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47B74" w14:textId="77777777" w:rsidR="00BC0A56" w:rsidRDefault="00BC0A56" w:rsidP="00BC0A56">
      <w:pPr>
        <w:spacing w:after="0" w:line="240" w:lineRule="auto"/>
        <w:jc w:val="center"/>
        <w:rPr>
          <w:rFonts w:ascii="Sylfaen" w:hAnsi="Sylfaen"/>
          <w:b/>
          <w:bCs/>
          <w:noProof/>
          <w:sz w:val="20"/>
          <w:szCs w:val="20"/>
          <w:lang w:val="ka-GE"/>
        </w:rPr>
      </w:pPr>
      <w:r>
        <w:rPr>
          <w:rFonts w:ascii="Sylfaen" w:hAnsi="Sylfaen"/>
          <w:b/>
          <w:bCs/>
          <w:noProof/>
          <w:sz w:val="20"/>
          <w:szCs w:val="20"/>
          <w:lang w:val="ka-GE"/>
        </w:rPr>
        <w:t>გამოყენების ინსტრუქცია</w:t>
      </w:r>
    </w:p>
    <w:p w14:paraId="6131777E" w14:textId="3C1B91C8" w:rsidR="00C3547E" w:rsidRPr="006F435A" w:rsidRDefault="00D51B06" w:rsidP="00BC0A56">
      <w:pPr>
        <w:spacing w:after="0" w:line="240" w:lineRule="auto"/>
        <w:jc w:val="center"/>
        <w:rPr>
          <w:rFonts w:ascii="Sylfaen" w:hAnsi="Sylfaen"/>
          <w:b/>
          <w:bCs/>
          <w:noProof/>
          <w:sz w:val="20"/>
          <w:szCs w:val="20"/>
          <w:lang w:val="ka-GE"/>
        </w:rPr>
      </w:pPr>
      <w:r w:rsidRPr="006F435A">
        <w:rPr>
          <w:rFonts w:ascii="Sylfaen" w:hAnsi="Sylfaen"/>
          <w:b/>
          <w:bCs/>
          <w:noProof/>
          <w:sz w:val="20"/>
          <w:szCs w:val="20"/>
        </w:rPr>
        <w:t xml:space="preserve">სამკურნალო საშუალების მახასიათებლების </w:t>
      </w:r>
      <w:r w:rsidR="006F435A" w:rsidRPr="006F435A">
        <w:rPr>
          <w:rFonts w:ascii="Sylfaen" w:hAnsi="Sylfaen"/>
          <w:b/>
          <w:bCs/>
          <w:noProof/>
          <w:sz w:val="20"/>
          <w:szCs w:val="20"/>
          <w:lang w:val="ka-GE"/>
        </w:rPr>
        <w:t>შეჯამება</w:t>
      </w:r>
    </w:p>
    <w:p w14:paraId="4188E1AB" w14:textId="77777777" w:rsidR="00D51B06" w:rsidRPr="006F435A" w:rsidRDefault="00D51B06" w:rsidP="00BC0A56">
      <w:pPr>
        <w:spacing w:after="0" w:line="240" w:lineRule="auto"/>
        <w:jc w:val="center"/>
        <w:rPr>
          <w:rFonts w:ascii="Sylfaen" w:hAnsi="Sylfaen"/>
          <w:b/>
          <w:bCs/>
          <w:noProof/>
          <w:sz w:val="20"/>
          <w:szCs w:val="20"/>
        </w:rPr>
      </w:pPr>
    </w:p>
    <w:p w14:paraId="4AA5A51E" w14:textId="320808A0" w:rsidR="00C3547E" w:rsidRPr="006F435A" w:rsidRDefault="00C3547E" w:rsidP="00BC0A56">
      <w:pPr>
        <w:spacing w:after="0" w:line="240" w:lineRule="auto"/>
        <w:jc w:val="both"/>
        <w:rPr>
          <w:rFonts w:ascii="Sylfaen" w:hAnsi="Sylfaen"/>
          <w:b/>
          <w:bCs/>
          <w:noProof/>
          <w:sz w:val="20"/>
          <w:szCs w:val="20"/>
        </w:rPr>
      </w:pPr>
      <w:r w:rsidRPr="006F435A">
        <w:rPr>
          <w:rFonts w:ascii="Sylfaen" w:hAnsi="Sylfaen"/>
          <w:b/>
          <w:bCs/>
          <w:noProof/>
          <w:sz w:val="20"/>
          <w:szCs w:val="20"/>
        </w:rPr>
        <w:t>1. სამ</w:t>
      </w:r>
      <w:r w:rsidR="006F435A" w:rsidRPr="006F435A">
        <w:rPr>
          <w:rFonts w:ascii="Sylfaen" w:hAnsi="Sylfaen"/>
          <w:b/>
          <w:bCs/>
          <w:noProof/>
          <w:sz w:val="20"/>
          <w:szCs w:val="20"/>
          <w:lang w:val="ka-GE"/>
        </w:rPr>
        <w:t xml:space="preserve">კურნალო საშუალების </w:t>
      </w:r>
      <w:r w:rsidRPr="006F435A">
        <w:rPr>
          <w:rFonts w:ascii="Sylfaen" w:hAnsi="Sylfaen"/>
          <w:b/>
          <w:bCs/>
          <w:noProof/>
          <w:sz w:val="20"/>
          <w:szCs w:val="20"/>
        </w:rPr>
        <w:t>დასახელება</w:t>
      </w:r>
    </w:p>
    <w:p w14:paraId="124683AC" w14:textId="3A1B5A3A" w:rsidR="00B27B05" w:rsidRDefault="00B27B05" w:rsidP="00BC0A56">
      <w:pPr>
        <w:spacing w:after="0" w:line="240" w:lineRule="auto"/>
        <w:rPr>
          <w:rFonts w:ascii="Sylfaen" w:hAnsi="Sylfaen"/>
          <w:noProof/>
          <w:sz w:val="20"/>
          <w:szCs w:val="20"/>
        </w:rPr>
      </w:pPr>
      <w:r w:rsidRPr="006F435A">
        <w:rPr>
          <w:rFonts w:ascii="Sylfaen" w:hAnsi="Sylfaen"/>
          <w:noProof/>
          <w:sz w:val="20"/>
          <w:szCs w:val="20"/>
        </w:rPr>
        <w:t xml:space="preserve">დაპაზანი </w:t>
      </w:r>
      <w:r w:rsidR="00D51B06" w:rsidRPr="006F435A">
        <w:rPr>
          <w:rFonts w:ascii="Sylfaen" w:hAnsi="Sylfaen"/>
          <w:noProof/>
          <w:sz w:val="20"/>
          <w:szCs w:val="20"/>
        </w:rPr>
        <w:t>აპკიანი გარსით დაფარული ტაბლეტები</w:t>
      </w:r>
      <w:r w:rsidR="00377396" w:rsidRPr="006F435A">
        <w:rPr>
          <w:rFonts w:ascii="Sylfaen" w:hAnsi="Sylfaen"/>
          <w:noProof/>
          <w:sz w:val="20"/>
          <w:szCs w:val="20"/>
        </w:rPr>
        <w:t xml:space="preserve"> </w:t>
      </w:r>
      <w:r w:rsidR="006F435A" w:rsidRPr="006F435A">
        <w:rPr>
          <w:rFonts w:ascii="Sylfaen" w:hAnsi="Sylfaen"/>
          <w:noProof/>
          <w:sz w:val="20"/>
          <w:szCs w:val="20"/>
        </w:rPr>
        <w:t>10</w:t>
      </w:r>
      <w:r w:rsidR="00BC0A56">
        <w:rPr>
          <w:rFonts w:ascii="Sylfaen" w:hAnsi="Sylfaen"/>
          <w:noProof/>
          <w:sz w:val="20"/>
          <w:szCs w:val="20"/>
        </w:rPr>
        <w:t xml:space="preserve"> </w:t>
      </w:r>
      <w:r w:rsidR="006F435A" w:rsidRPr="006F435A">
        <w:rPr>
          <w:rFonts w:ascii="Sylfaen" w:hAnsi="Sylfaen"/>
          <w:noProof/>
          <w:sz w:val="20"/>
          <w:szCs w:val="20"/>
        </w:rPr>
        <w:t>მგ</w:t>
      </w:r>
    </w:p>
    <w:p w14:paraId="1CA6BA18" w14:textId="77777777" w:rsidR="00BC0A56" w:rsidRPr="006F435A" w:rsidRDefault="00BC0A56" w:rsidP="00BC0A56">
      <w:pPr>
        <w:spacing w:after="0" w:line="240" w:lineRule="auto"/>
        <w:rPr>
          <w:rFonts w:ascii="Sylfaen" w:hAnsi="Sylfaen"/>
          <w:noProof/>
          <w:sz w:val="20"/>
          <w:szCs w:val="20"/>
        </w:rPr>
      </w:pPr>
    </w:p>
    <w:p w14:paraId="72EC7D07" w14:textId="6DC74F9F" w:rsidR="00C3547E" w:rsidRPr="006F435A" w:rsidRDefault="00C3547E" w:rsidP="00BC0A56">
      <w:pPr>
        <w:spacing w:after="0" w:line="240" w:lineRule="auto"/>
        <w:rPr>
          <w:rFonts w:ascii="Sylfaen" w:hAnsi="Sylfaen"/>
          <w:b/>
          <w:bCs/>
          <w:noProof/>
          <w:sz w:val="20"/>
          <w:szCs w:val="20"/>
        </w:rPr>
      </w:pPr>
      <w:r w:rsidRPr="006F435A">
        <w:rPr>
          <w:rFonts w:ascii="Sylfaen" w:hAnsi="Sylfaen"/>
          <w:b/>
          <w:bCs/>
          <w:noProof/>
          <w:sz w:val="20"/>
          <w:szCs w:val="20"/>
        </w:rPr>
        <w:t>2. ხარისხობრივი და რაოდენობრივი შემადგენლობა</w:t>
      </w:r>
    </w:p>
    <w:p w14:paraId="355513AB" w14:textId="476E2882" w:rsidR="00377396" w:rsidRPr="006F435A" w:rsidRDefault="00C3547E" w:rsidP="00BC0A56">
      <w:pPr>
        <w:spacing w:after="0" w:line="240" w:lineRule="auto"/>
        <w:jc w:val="both"/>
        <w:rPr>
          <w:rFonts w:ascii="Sylfaen" w:hAnsi="Sylfaen"/>
          <w:noProof/>
          <w:sz w:val="20"/>
          <w:szCs w:val="20"/>
        </w:rPr>
      </w:pPr>
      <w:r w:rsidRPr="006F435A">
        <w:rPr>
          <w:rFonts w:ascii="Sylfaen" w:hAnsi="Sylfaen"/>
          <w:noProof/>
          <w:sz w:val="20"/>
          <w:szCs w:val="20"/>
        </w:rPr>
        <w:t xml:space="preserve">თითოეული </w:t>
      </w:r>
      <w:r w:rsidR="00377396" w:rsidRPr="006F435A">
        <w:rPr>
          <w:rFonts w:ascii="Sylfaen" w:hAnsi="Sylfaen"/>
          <w:noProof/>
          <w:sz w:val="20"/>
          <w:szCs w:val="20"/>
        </w:rPr>
        <w:t>1</w:t>
      </w:r>
      <w:r w:rsidR="00B27B05" w:rsidRPr="006F435A">
        <w:rPr>
          <w:rFonts w:ascii="Sylfaen" w:hAnsi="Sylfaen"/>
          <w:noProof/>
          <w:sz w:val="20"/>
          <w:szCs w:val="20"/>
        </w:rPr>
        <w:t>0</w:t>
      </w:r>
      <w:r w:rsidR="00377396" w:rsidRPr="006F435A">
        <w:rPr>
          <w:rFonts w:ascii="Sylfaen" w:hAnsi="Sylfaen"/>
          <w:noProof/>
          <w:sz w:val="20"/>
          <w:szCs w:val="20"/>
        </w:rPr>
        <w:t xml:space="preserve"> მგ-იანი </w:t>
      </w:r>
      <w:r w:rsidR="00D51B06" w:rsidRPr="006F435A">
        <w:rPr>
          <w:rFonts w:ascii="Sylfaen" w:hAnsi="Sylfaen"/>
          <w:noProof/>
          <w:sz w:val="20"/>
          <w:szCs w:val="20"/>
        </w:rPr>
        <w:t xml:space="preserve">აპკიანი გარსით დაფარული </w:t>
      </w:r>
      <w:r w:rsidRPr="006F435A">
        <w:rPr>
          <w:rFonts w:ascii="Sylfaen" w:hAnsi="Sylfaen"/>
          <w:noProof/>
          <w:sz w:val="20"/>
          <w:szCs w:val="20"/>
        </w:rPr>
        <w:t xml:space="preserve">ტაბლეტი შეიცავს </w:t>
      </w:r>
      <w:r w:rsidR="00D51B06" w:rsidRPr="006F435A">
        <w:rPr>
          <w:rFonts w:ascii="Sylfaen" w:hAnsi="Sylfaen"/>
          <w:noProof/>
          <w:sz w:val="20"/>
          <w:szCs w:val="20"/>
        </w:rPr>
        <w:t>1</w:t>
      </w:r>
      <w:r w:rsidR="00B27B05" w:rsidRPr="006F435A">
        <w:rPr>
          <w:rFonts w:ascii="Sylfaen" w:hAnsi="Sylfaen"/>
          <w:noProof/>
          <w:sz w:val="20"/>
          <w:szCs w:val="20"/>
        </w:rPr>
        <w:t>0</w:t>
      </w:r>
      <w:r w:rsidR="00377396" w:rsidRPr="006F435A">
        <w:rPr>
          <w:rFonts w:ascii="Sylfaen" w:hAnsi="Sylfaen"/>
          <w:noProof/>
          <w:sz w:val="20"/>
          <w:szCs w:val="20"/>
        </w:rPr>
        <w:t xml:space="preserve"> </w:t>
      </w:r>
      <w:r w:rsidRPr="006F435A">
        <w:rPr>
          <w:rFonts w:ascii="Sylfaen" w:hAnsi="Sylfaen"/>
          <w:noProof/>
          <w:sz w:val="20"/>
          <w:szCs w:val="20"/>
        </w:rPr>
        <w:t xml:space="preserve">მგ </w:t>
      </w:r>
      <w:r w:rsidR="00B27B05" w:rsidRPr="006F435A">
        <w:rPr>
          <w:rFonts w:ascii="Sylfaen" w:hAnsi="Sylfaen" w:cs="Sylfaen"/>
          <w:noProof/>
          <w:color w:val="000000"/>
          <w:sz w:val="20"/>
          <w:szCs w:val="20"/>
        </w:rPr>
        <w:t>დაპაგლიფლოზინს</w:t>
      </w:r>
      <w:r w:rsidR="00B27B05" w:rsidRPr="006F435A">
        <w:rPr>
          <w:rFonts w:ascii="Sylfaen" w:hAnsi="Sylfaen"/>
          <w:noProof/>
          <w:color w:val="000000"/>
          <w:sz w:val="20"/>
          <w:szCs w:val="20"/>
        </w:rPr>
        <w:t>.</w:t>
      </w:r>
    </w:p>
    <w:p w14:paraId="37FD53C6" w14:textId="77777777" w:rsidR="00D51B06" w:rsidRPr="006F435A" w:rsidRDefault="00D51B06" w:rsidP="00BC0A56">
      <w:pPr>
        <w:spacing w:after="0" w:line="240" w:lineRule="auto"/>
        <w:jc w:val="both"/>
        <w:rPr>
          <w:rFonts w:ascii="Sylfaen" w:hAnsi="Sylfaen"/>
          <w:i/>
          <w:iCs/>
          <w:noProof/>
          <w:sz w:val="20"/>
          <w:szCs w:val="20"/>
        </w:rPr>
      </w:pPr>
      <w:r w:rsidRPr="006F435A">
        <w:rPr>
          <w:rFonts w:ascii="Sylfaen" w:hAnsi="Sylfaen"/>
          <w:i/>
          <w:iCs/>
          <w:noProof/>
          <w:sz w:val="20"/>
          <w:szCs w:val="20"/>
        </w:rPr>
        <w:t>ცნობილი ეფექტის მქონე დამხმარე ნივთიერება</w:t>
      </w:r>
    </w:p>
    <w:p w14:paraId="5B75495A" w14:textId="303FABF6" w:rsidR="00B27B05" w:rsidRPr="006F435A" w:rsidRDefault="00D51B06" w:rsidP="00BC0A56">
      <w:pPr>
        <w:spacing w:after="0" w:line="240" w:lineRule="auto"/>
        <w:jc w:val="both"/>
        <w:rPr>
          <w:rFonts w:ascii="Sylfaen" w:hAnsi="Sylfaen"/>
          <w:noProof/>
          <w:color w:val="000000"/>
          <w:sz w:val="20"/>
          <w:szCs w:val="20"/>
        </w:rPr>
      </w:pPr>
      <w:r w:rsidRPr="006F435A">
        <w:rPr>
          <w:rFonts w:ascii="Sylfaen" w:hAnsi="Sylfaen"/>
          <w:noProof/>
          <w:sz w:val="20"/>
          <w:szCs w:val="20"/>
        </w:rPr>
        <w:t xml:space="preserve">თითოეული </w:t>
      </w:r>
      <w:r w:rsidR="00377396" w:rsidRPr="006F435A">
        <w:rPr>
          <w:rFonts w:ascii="Sylfaen" w:hAnsi="Sylfaen"/>
          <w:noProof/>
          <w:sz w:val="20"/>
          <w:szCs w:val="20"/>
        </w:rPr>
        <w:t xml:space="preserve"> 1</w:t>
      </w:r>
      <w:r w:rsidR="00B27B05" w:rsidRPr="006F435A">
        <w:rPr>
          <w:rFonts w:ascii="Sylfaen" w:hAnsi="Sylfaen"/>
          <w:noProof/>
          <w:sz w:val="20"/>
          <w:szCs w:val="20"/>
        </w:rPr>
        <w:t>0</w:t>
      </w:r>
      <w:r w:rsidR="00377396" w:rsidRPr="006F435A">
        <w:rPr>
          <w:rFonts w:ascii="Sylfaen" w:hAnsi="Sylfaen"/>
          <w:noProof/>
          <w:sz w:val="20"/>
          <w:szCs w:val="20"/>
        </w:rPr>
        <w:t xml:space="preserve"> მგ-იანი </w:t>
      </w:r>
      <w:r w:rsidRPr="006F435A">
        <w:rPr>
          <w:rFonts w:ascii="Sylfaen" w:hAnsi="Sylfaen"/>
          <w:noProof/>
          <w:sz w:val="20"/>
          <w:szCs w:val="20"/>
        </w:rPr>
        <w:t>აპკიანი გარსით დაფარული ტაბლეტი შეიცავს </w:t>
      </w:r>
      <w:r w:rsidR="00B27B05" w:rsidRPr="006F435A">
        <w:rPr>
          <w:rFonts w:ascii="Sylfaen" w:hAnsi="Sylfaen"/>
          <w:noProof/>
          <w:sz w:val="20"/>
          <w:szCs w:val="20"/>
        </w:rPr>
        <w:t xml:space="preserve">90 </w:t>
      </w:r>
      <w:r w:rsidRPr="006F435A">
        <w:rPr>
          <w:rFonts w:ascii="Sylfaen" w:hAnsi="Sylfaen"/>
          <w:noProof/>
          <w:sz w:val="20"/>
          <w:szCs w:val="20"/>
        </w:rPr>
        <w:t xml:space="preserve"> მგ </w:t>
      </w:r>
      <w:r w:rsidR="00B27B05" w:rsidRPr="006F435A">
        <w:rPr>
          <w:rFonts w:ascii="Sylfaen" w:hAnsi="Sylfaen" w:cs="Sylfaen"/>
          <w:noProof/>
          <w:color w:val="000000"/>
          <w:sz w:val="20"/>
          <w:szCs w:val="20"/>
        </w:rPr>
        <w:t>უწყლო</w:t>
      </w:r>
      <w:r w:rsidR="00B27B05" w:rsidRPr="006F435A">
        <w:rPr>
          <w:rFonts w:ascii="Sylfaen" w:hAnsi="Sylfaen"/>
          <w:noProof/>
          <w:color w:val="000000"/>
          <w:sz w:val="20"/>
          <w:szCs w:val="20"/>
        </w:rPr>
        <w:t xml:space="preserve"> </w:t>
      </w:r>
      <w:r w:rsidR="00B27B05" w:rsidRPr="006F435A">
        <w:rPr>
          <w:rFonts w:ascii="Sylfaen" w:hAnsi="Sylfaen" w:cs="Sylfaen"/>
          <w:noProof/>
          <w:color w:val="000000"/>
          <w:sz w:val="20"/>
          <w:szCs w:val="20"/>
        </w:rPr>
        <w:t>ლაქტოზას</w:t>
      </w:r>
      <w:r w:rsidR="00B27B05" w:rsidRPr="006F435A">
        <w:rPr>
          <w:rFonts w:ascii="Sylfaen" w:hAnsi="Sylfaen"/>
          <w:noProof/>
          <w:color w:val="000000"/>
          <w:sz w:val="20"/>
          <w:szCs w:val="20"/>
        </w:rPr>
        <w:t>.</w:t>
      </w:r>
    </w:p>
    <w:p w14:paraId="320081ED" w14:textId="6814DE43" w:rsidR="00D51B06" w:rsidRDefault="00D51B06" w:rsidP="00BC0A56">
      <w:pPr>
        <w:spacing w:after="0" w:line="240" w:lineRule="auto"/>
        <w:jc w:val="both"/>
        <w:rPr>
          <w:rFonts w:ascii="Sylfaen" w:hAnsi="Sylfaen"/>
          <w:noProof/>
          <w:sz w:val="20"/>
          <w:szCs w:val="20"/>
        </w:rPr>
      </w:pPr>
      <w:r w:rsidRPr="006F435A">
        <w:rPr>
          <w:rFonts w:ascii="Sylfaen" w:hAnsi="Sylfaen"/>
          <w:noProof/>
          <w:sz w:val="20"/>
          <w:szCs w:val="20"/>
        </w:rPr>
        <w:t xml:space="preserve">დამხმარე ნივთიერებების სრული ჩამონათვალისთვის იხ. </w:t>
      </w:r>
      <w:r w:rsidR="006F435A" w:rsidRPr="006F435A">
        <w:rPr>
          <w:rFonts w:ascii="Sylfaen" w:hAnsi="Sylfaen"/>
          <w:noProof/>
          <w:sz w:val="20"/>
          <w:szCs w:val="20"/>
          <w:lang w:val="ka-GE"/>
        </w:rPr>
        <w:t>თავი</w:t>
      </w:r>
      <w:r w:rsidRPr="006F435A">
        <w:rPr>
          <w:rFonts w:ascii="Sylfaen" w:hAnsi="Sylfaen"/>
          <w:noProof/>
          <w:sz w:val="20"/>
          <w:szCs w:val="20"/>
        </w:rPr>
        <w:t xml:space="preserve"> 6.1.</w:t>
      </w:r>
    </w:p>
    <w:p w14:paraId="387EEA75" w14:textId="77777777" w:rsidR="00BC0A56" w:rsidRPr="00850096" w:rsidRDefault="00BC0A56" w:rsidP="00BC0A56">
      <w:pPr>
        <w:spacing w:after="0" w:line="240" w:lineRule="auto"/>
        <w:jc w:val="both"/>
        <w:rPr>
          <w:rFonts w:ascii="Sylfaen" w:hAnsi="Sylfaen"/>
          <w:noProof/>
          <w:sz w:val="20"/>
          <w:szCs w:val="20"/>
        </w:rPr>
      </w:pPr>
    </w:p>
    <w:p w14:paraId="3349D9D3" w14:textId="47B64EE4" w:rsidR="006D5DD9" w:rsidRPr="006F435A" w:rsidRDefault="00C3547E" w:rsidP="00BC0A56">
      <w:pPr>
        <w:spacing w:after="0" w:line="240" w:lineRule="auto"/>
        <w:jc w:val="both"/>
        <w:rPr>
          <w:rFonts w:ascii="Sylfaen" w:hAnsi="Sylfaen"/>
          <w:b/>
          <w:bCs/>
          <w:noProof/>
          <w:sz w:val="20"/>
          <w:szCs w:val="20"/>
        </w:rPr>
      </w:pPr>
      <w:r w:rsidRPr="006F435A">
        <w:rPr>
          <w:rFonts w:ascii="Sylfaen" w:hAnsi="Sylfaen"/>
          <w:b/>
          <w:bCs/>
          <w:noProof/>
          <w:sz w:val="20"/>
          <w:szCs w:val="20"/>
        </w:rPr>
        <w:t>3. ფარმაცევტული ფორმა:</w:t>
      </w:r>
    </w:p>
    <w:p w14:paraId="118057AB" w14:textId="51DF6144" w:rsidR="00D51B06" w:rsidRPr="006F435A" w:rsidRDefault="00D51B06" w:rsidP="00BC0A56">
      <w:pPr>
        <w:spacing w:after="0" w:line="240" w:lineRule="auto"/>
        <w:jc w:val="both"/>
        <w:rPr>
          <w:rFonts w:ascii="Sylfaen" w:hAnsi="Sylfaen"/>
          <w:noProof/>
          <w:sz w:val="20"/>
          <w:szCs w:val="20"/>
        </w:rPr>
      </w:pPr>
      <w:r w:rsidRPr="006F435A">
        <w:rPr>
          <w:rFonts w:ascii="Sylfaen" w:hAnsi="Sylfaen"/>
          <w:noProof/>
          <w:sz w:val="20"/>
          <w:szCs w:val="20"/>
        </w:rPr>
        <w:t>აპკიანი გარსით დაფარული ტაბლეტი</w:t>
      </w:r>
      <w:r w:rsidR="00B27B05" w:rsidRPr="006F435A">
        <w:rPr>
          <w:rFonts w:ascii="Sylfaen" w:hAnsi="Sylfaen"/>
          <w:noProof/>
          <w:sz w:val="20"/>
          <w:szCs w:val="20"/>
        </w:rPr>
        <w:t>.</w:t>
      </w:r>
    </w:p>
    <w:p w14:paraId="1011F4FE" w14:textId="6F369486" w:rsidR="00345373" w:rsidRPr="006F435A" w:rsidRDefault="00345373"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დაპაზანი 10 მგ აპკიანი გარსით დაფარული ტაბლეტები</w:t>
      </w:r>
    </w:p>
    <w:p w14:paraId="66246EC7" w14:textId="039FA4C8" w:rsidR="00345373"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ყვითელი ან ღია ყვითელი ფერის, რომბის ფორმის აპკიანი გარსით დაფარული ტაბლეტები, ერთ მხარეს ამოტვიფრულია ციფრი „10“, ხოლო მეორე მხარე გლუვია.</w:t>
      </w:r>
    </w:p>
    <w:p w14:paraId="6675CCED" w14:textId="77777777" w:rsidR="00BC0A56" w:rsidRPr="006F435A" w:rsidRDefault="00BC0A56" w:rsidP="00BC0A56">
      <w:pPr>
        <w:spacing w:after="0" w:line="240" w:lineRule="auto"/>
        <w:jc w:val="both"/>
        <w:rPr>
          <w:rFonts w:ascii="Sylfaen" w:hAnsi="Sylfaen"/>
          <w:noProof/>
          <w:sz w:val="20"/>
          <w:szCs w:val="20"/>
        </w:rPr>
      </w:pPr>
    </w:p>
    <w:p w14:paraId="08DADF5A" w14:textId="349D896F" w:rsidR="00C3547E" w:rsidRPr="006F435A" w:rsidRDefault="00C3547E" w:rsidP="00BC0A56">
      <w:pPr>
        <w:spacing w:after="0" w:line="240" w:lineRule="auto"/>
        <w:jc w:val="both"/>
        <w:rPr>
          <w:rFonts w:ascii="Sylfaen" w:hAnsi="Sylfaen"/>
          <w:b/>
          <w:bCs/>
          <w:noProof/>
          <w:sz w:val="20"/>
          <w:szCs w:val="20"/>
        </w:rPr>
      </w:pPr>
      <w:r w:rsidRPr="006F435A">
        <w:rPr>
          <w:rFonts w:ascii="Sylfaen" w:hAnsi="Sylfaen"/>
          <w:b/>
          <w:bCs/>
          <w:noProof/>
          <w:sz w:val="20"/>
          <w:szCs w:val="20"/>
        </w:rPr>
        <w:t>4. კლინიური მახასიათებლები:</w:t>
      </w:r>
    </w:p>
    <w:p w14:paraId="1AAE2FC8" w14:textId="0F1C0AAA" w:rsidR="00C3547E" w:rsidRPr="006F435A" w:rsidRDefault="00C3547E" w:rsidP="00BC0A56">
      <w:pPr>
        <w:spacing w:after="0" w:line="240" w:lineRule="auto"/>
        <w:jc w:val="both"/>
        <w:rPr>
          <w:rFonts w:ascii="Sylfaen" w:hAnsi="Sylfaen"/>
          <w:b/>
          <w:bCs/>
          <w:noProof/>
          <w:sz w:val="20"/>
          <w:szCs w:val="20"/>
        </w:rPr>
      </w:pPr>
      <w:r w:rsidRPr="006F435A">
        <w:rPr>
          <w:rFonts w:ascii="Sylfaen" w:hAnsi="Sylfaen"/>
          <w:b/>
          <w:bCs/>
          <w:noProof/>
          <w:sz w:val="20"/>
          <w:szCs w:val="20"/>
        </w:rPr>
        <w:t>4.1. თერაპიული ჩვენებები</w:t>
      </w:r>
    </w:p>
    <w:p w14:paraId="39AD69F7" w14:textId="239B4C78" w:rsidR="00345373" w:rsidRPr="006F435A" w:rsidRDefault="00EC6FED"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მე-</w:t>
      </w:r>
      <w:r w:rsidR="00345373" w:rsidRPr="006F435A">
        <w:rPr>
          <w:rFonts w:ascii="Sylfaen" w:hAnsi="Sylfaen"/>
          <w:noProof/>
          <w:sz w:val="20"/>
          <w:szCs w:val="20"/>
          <w:u w:val="single"/>
        </w:rPr>
        <w:t>2</w:t>
      </w:r>
      <w:r w:rsidRPr="006F435A">
        <w:rPr>
          <w:rFonts w:ascii="Sylfaen" w:hAnsi="Sylfaen"/>
          <w:noProof/>
          <w:sz w:val="20"/>
          <w:szCs w:val="20"/>
          <w:u w:val="single"/>
        </w:rPr>
        <w:t xml:space="preserve"> ტიპის</w:t>
      </w:r>
      <w:r w:rsidR="00345373" w:rsidRPr="006F435A">
        <w:rPr>
          <w:rFonts w:ascii="Sylfaen" w:hAnsi="Sylfaen"/>
          <w:noProof/>
          <w:sz w:val="20"/>
          <w:szCs w:val="20"/>
          <w:u w:val="single"/>
        </w:rPr>
        <w:t xml:space="preserve"> შაქრიანი დიაბეტი</w:t>
      </w:r>
    </w:p>
    <w:p w14:paraId="4CC6FFDF" w14:textId="15A10AC4" w:rsidR="00345373" w:rsidRPr="006F435A"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 xml:space="preserve">დაპაზანი ნაჩვენებია არასაკმარისად კონტროლირებადი  </w:t>
      </w:r>
      <w:r w:rsidR="00EC6FED" w:rsidRPr="006F435A">
        <w:rPr>
          <w:rFonts w:ascii="Sylfaen" w:hAnsi="Sylfaen"/>
          <w:noProof/>
          <w:sz w:val="20"/>
          <w:szCs w:val="20"/>
        </w:rPr>
        <w:t>მე-2 ტიპის</w:t>
      </w:r>
      <w:r w:rsidRPr="006F435A">
        <w:rPr>
          <w:rFonts w:ascii="Sylfaen" w:hAnsi="Sylfaen"/>
          <w:noProof/>
          <w:sz w:val="20"/>
          <w:szCs w:val="20"/>
        </w:rPr>
        <w:t xml:space="preserve"> შაქრიანი დიაბეტის სამკურნალოდ მოზრდილებსა და 10 წლის და უფროსი ასაკის ბავშვებში, როგორც დიეტისა და ფიზიკური აქტივობის დამატებითი საშუალება:</w:t>
      </w:r>
    </w:p>
    <w:p w14:paraId="0952F15F" w14:textId="77777777" w:rsidR="00345373" w:rsidRPr="006F435A"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 მონოთერაპიის სახით, როდესაც მეტფორმინის გამოყენება მიზანშეწონილად არ მიიჩნევა მისი აუტანლობის გამო;</w:t>
      </w:r>
    </w:p>
    <w:p w14:paraId="4E027771" w14:textId="5C3C73FC" w:rsidR="00345373" w:rsidRPr="006F435A"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 xml:space="preserve">- </w:t>
      </w:r>
      <w:r w:rsidR="00EC6FED" w:rsidRPr="006F435A">
        <w:rPr>
          <w:rFonts w:ascii="Sylfaen" w:hAnsi="Sylfaen"/>
          <w:noProof/>
          <w:sz w:val="20"/>
          <w:szCs w:val="20"/>
        </w:rPr>
        <w:t>მე-</w:t>
      </w:r>
      <w:r w:rsidRPr="006F435A">
        <w:rPr>
          <w:rFonts w:ascii="Sylfaen" w:hAnsi="Sylfaen"/>
          <w:noProof/>
          <w:sz w:val="20"/>
          <w:szCs w:val="20"/>
        </w:rPr>
        <w:t>2</w:t>
      </w:r>
      <w:r w:rsidR="00EC6FED" w:rsidRPr="006F435A">
        <w:rPr>
          <w:rFonts w:ascii="Sylfaen" w:hAnsi="Sylfaen"/>
          <w:noProof/>
          <w:sz w:val="20"/>
          <w:szCs w:val="20"/>
        </w:rPr>
        <w:t xml:space="preserve"> ტიპის</w:t>
      </w:r>
      <w:r w:rsidRPr="006F435A">
        <w:rPr>
          <w:rFonts w:ascii="Sylfaen" w:hAnsi="Sylfaen"/>
          <w:noProof/>
          <w:sz w:val="20"/>
          <w:szCs w:val="20"/>
        </w:rPr>
        <w:t xml:space="preserve"> დიაბეტის სამკურნალო სხვა სამკურნალო საშუალებებთან კომბინაციაში.</w:t>
      </w:r>
    </w:p>
    <w:p w14:paraId="4DF50ADF" w14:textId="1E814A79" w:rsidR="00345373"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კომბინირებული თერაპიის, გლიკემიურ კონტროლზე, გულ-სისხლძარღვთა და თირკმელებთან დაკავშირებულ მოვლენებზე ზემოქმედებისა და შესწავლილი პოპულაციების შესახებ კვლევის შედეგები იხილეთ 4.4, 4.5 და 5.1 ნაწილებში.</w:t>
      </w:r>
    </w:p>
    <w:p w14:paraId="3552428F" w14:textId="77777777" w:rsidR="00BC0A56" w:rsidRPr="006F435A" w:rsidRDefault="00BC0A56" w:rsidP="00BC0A56">
      <w:pPr>
        <w:spacing w:after="0" w:line="240" w:lineRule="auto"/>
        <w:jc w:val="both"/>
        <w:rPr>
          <w:rFonts w:ascii="Sylfaen" w:hAnsi="Sylfaen"/>
          <w:noProof/>
          <w:sz w:val="20"/>
          <w:szCs w:val="20"/>
        </w:rPr>
      </w:pPr>
    </w:p>
    <w:p w14:paraId="3D77DC9C" w14:textId="77777777" w:rsidR="00345373" w:rsidRPr="006F435A" w:rsidRDefault="00345373"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გულის უკმარისობა</w:t>
      </w:r>
    </w:p>
    <w:p w14:paraId="77A00DEE" w14:textId="6112D82D" w:rsidR="00345373"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დაპაზანი ნაჩვენებია მოზრდილებში სიმპტომური ქრონიკული გულის უკმარისობის სამკურნალოდ.</w:t>
      </w:r>
    </w:p>
    <w:p w14:paraId="64E2E3C2" w14:textId="77777777" w:rsidR="00BC0A56" w:rsidRPr="006F435A" w:rsidRDefault="00BC0A56" w:rsidP="00BC0A56">
      <w:pPr>
        <w:spacing w:after="0" w:line="240" w:lineRule="auto"/>
        <w:jc w:val="both"/>
        <w:rPr>
          <w:rFonts w:ascii="Sylfaen" w:hAnsi="Sylfaen"/>
          <w:noProof/>
          <w:sz w:val="20"/>
          <w:szCs w:val="20"/>
        </w:rPr>
      </w:pPr>
    </w:p>
    <w:p w14:paraId="3C47E2F2" w14:textId="77777777" w:rsidR="00345373" w:rsidRPr="006F435A" w:rsidRDefault="00345373"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თირკმლის ქრონიკული დაავადება</w:t>
      </w:r>
    </w:p>
    <w:p w14:paraId="53A17908" w14:textId="2AFC167B" w:rsidR="00345373"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დაპაზანი ნაჩვენებია მოზრდილებში თირკმლის ქრონიკული დაავადების სამკურნალოდ.</w:t>
      </w:r>
    </w:p>
    <w:p w14:paraId="47F47A7F" w14:textId="77777777" w:rsidR="00BC0A56" w:rsidRPr="00850096" w:rsidRDefault="00BC0A56" w:rsidP="00BC0A56">
      <w:pPr>
        <w:spacing w:after="0" w:line="240" w:lineRule="auto"/>
        <w:jc w:val="both"/>
        <w:rPr>
          <w:rFonts w:ascii="Sylfaen" w:hAnsi="Sylfaen"/>
          <w:noProof/>
          <w:sz w:val="20"/>
          <w:szCs w:val="20"/>
        </w:rPr>
      </w:pPr>
    </w:p>
    <w:p w14:paraId="148000E3" w14:textId="232B6A80" w:rsidR="00DE7F9D" w:rsidRPr="006F435A" w:rsidRDefault="00DE7F9D" w:rsidP="00BC0A56">
      <w:pPr>
        <w:spacing w:after="0" w:line="240" w:lineRule="auto"/>
        <w:jc w:val="both"/>
        <w:rPr>
          <w:rFonts w:ascii="Sylfaen" w:hAnsi="Sylfaen"/>
          <w:b/>
          <w:bCs/>
          <w:noProof/>
          <w:sz w:val="20"/>
          <w:szCs w:val="20"/>
        </w:rPr>
      </w:pPr>
      <w:r w:rsidRPr="006F435A">
        <w:rPr>
          <w:rFonts w:ascii="Sylfaen" w:hAnsi="Sylfaen"/>
          <w:b/>
          <w:bCs/>
          <w:noProof/>
          <w:sz w:val="20"/>
          <w:szCs w:val="20"/>
        </w:rPr>
        <w:t>4.2. დოზირება და მიღების წესი</w:t>
      </w:r>
    </w:p>
    <w:p w14:paraId="3483EC3C" w14:textId="77777777" w:rsidR="003A7819" w:rsidRPr="006F435A" w:rsidRDefault="003A7819"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დოზირება</w:t>
      </w:r>
    </w:p>
    <w:p w14:paraId="7BB0DD63" w14:textId="5636DDA4" w:rsidR="009D74C2" w:rsidRPr="006F435A" w:rsidRDefault="00EC6FED" w:rsidP="00BC0A56">
      <w:pPr>
        <w:spacing w:after="0" w:line="240" w:lineRule="auto"/>
        <w:jc w:val="both"/>
        <w:rPr>
          <w:rFonts w:ascii="Sylfaen" w:hAnsi="Sylfaen"/>
          <w:i/>
          <w:iCs/>
          <w:noProof/>
          <w:sz w:val="20"/>
          <w:szCs w:val="20"/>
          <w:u w:val="single"/>
        </w:rPr>
      </w:pPr>
      <w:r w:rsidRPr="006F435A">
        <w:rPr>
          <w:rFonts w:ascii="Sylfaen" w:hAnsi="Sylfaen"/>
          <w:i/>
          <w:iCs/>
          <w:noProof/>
          <w:sz w:val="20"/>
          <w:szCs w:val="20"/>
          <w:u w:val="single"/>
        </w:rPr>
        <w:t>მე-2 ტიპის</w:t>
      </w:r>
      <w:r w:rsidR="00345373" w:rsidRPr="006F435A">
        <w:rPr>
          <w:rFonts w:ascii="Sylfaen" w:hAnsi="Sylfaen"/>
          <w:i/>
          <w:iCs/>
          <w:noProof/>
          <w:sz w:val="20"/>
          <w:szCs w:val="20"/>
          <w:u w:val="single"/>
        </w:rPr>
        <w:t xml:space="preserve"> შაქრიანი დიაბეტი</w:t>
      </w:r>
    </w:p>
    <w:p w14:paraId="75706940" w14:textId="77777777" w:rsidR="00345373" w:rsidRPr="006F435A"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რეკომენდებული დოზაა დაპაგლიფლოზინის 10 მგ დღეში ერთხელ.</w:t>
      </w:r>
    </w:p>
    <w:p w14:paraId="6FA10853" w14:textId="23F7483F" w:rsidR="00345373" w:rsidRPr="006F435A"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როდესაც დაპაგლიფლოზინი გამოიყენება ინსულინთან ან ინსულინის სეკრეციის მასტიმულირებელ საშუალებასთან (მაგ., სულფონილშარდოვანას წარმოებული) კომბინაციაში, ჰიპოგლიკემიის რისკის შესამცირებლად შესაძლოა განხილულ იქნას ინსულინის ან ინსულინის სეკრეციის მასტიმულირებელი საშუალების დოზის შემცირება (იხ. ნაწილები 4.5 და 4.8).</w:t>
      </w:r>
    </w:p>
    <w:p w14:paraId="5681A017" w14:textId="77777777" w:rsidR="00345373" w:rsidRPr="006F435A" w:rsidRDefault="00345373" w:rsidP="00BC0A56">
      <w:pPr>
        <w:spacing w:after="0" w:line="240" w:lineRule="auto"/>
        <w:jc w:val="both"/>
        <w:rPr>
          <w:rFonts w:ascii="Sylfaen" w:hAnsi="Sylfaen"/>
          <w:i/>
          <w:iCs/>
          <w:noProof/>
          <w:sz w:val="20"/>
          <w:szCs w:val="20"/>
          <w:u w:val="single"/>
        </w:rPr>
      </w:pPr>
      <w:r w:rsidRPr="006F435A">
        <w:rPr>
          <w:rFonts w:ascii="Sylfaen" w:hAnsi="Sylfaen"/>
          <w:i/>
          <w:iCs/>
          <w:noProof/>
          <w:sz w:val="20"/>
          <w:szCs w:val="20"/>
          <w:u w:val="single"/>
        </w:rPr>
        <w:t>გულის უკმარისობა</w:t>
      </w:r>
    </w:p>
    <w:p w14:paraId="3A524C9A" w14:textId="609B7160" w:rsidR="00345373" w:rsidRPr="006F435A"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რეკომენდებული დოზაა დაპაგლიფლოზინის 10 მგ დღეში ერთხელ.</w:t>
      </w:r>
    </w:p>
    <w:p w14:paraId="350D8E6A" w14:textId="77777777" w:rsidR="00345373" w:rsidRPr="006F435A" w:rsidRDefault="00345373" w:rsidP="00BC0A56">
      <w:pPr>
        <w:spacing w:after="0" w:line="240" w:lineRule="auto"/>
        <w:jc w:val="both"/>
        <w:rPr>
          <w:rFonts w:ascii="Sylfaen" w:hAnsi="Sylfaen"/>
          <w:i/>
          <w:iCs/>
          <w:noProof/>
          <w:sz w:val="20"/>
          <w:szCs w:val="20"/>
          <w:u w:val="single"/>
        </w:rPr>
      </w:pPr>
      <w:r w:rsidRPr="006F435A">
        <w:rPr>
          <w:rFonts w:ascii="Sylfaen" w:hAnsi="Sylfaen"/>
          <w:i/>
          <w:iCs/>
          <w:noProof/>
          <w:sz w:val="20"/>
          <w:szCs w:val="20"/>
          <w:u w:val="single"/>
        </w:rPr>
        <w:t>თირკმლის ქრონიკული დაავადება</w:t>
      </w:r>
    </w:p>
    <w:p w14:paraId="13E2C0C7" w14:textId="46595D92" w:rsidR="00345373" w:rsidRPr="006F435A"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რეკომენდებული დოზაა დაპაგლიფლოზინის 10 მგ დღეში ერთხელ.</w:t>
      </w:r>
    </w:p>
    <w:p w14:paraId="508E98CD" w14:textId="77777777" w:rsidR="00345373" w:rsidRPr="006F435A" w:rsidRDefault="00345373" w:rsidP="00BC0A56">
      <w:pPr>
        <w:spacing w:after="0" w:line="240" w:lineRule="auto"/>
        <w:jc w:val="both"/>
        <w:rPr>
          <w:rFonts w:ascii="Sylfaen" w:hAnsi="Sylfaen"/>
          <w:i/>
          <w:iCs/>
          <w:noProof/>
          <w:sz w:val="20"/>
          <w:szCs w:val="20"/>
          <w:u w:val="single"/>
        </w:rPr>
      </w:pPr>
      <w:r w:rsidRPr="006F435A">
        <w:rPr>
          <w:rFonts w:ascii="Sylfaen" w:hAnsi="Sylfaen"/>
          <w:i/>
          <w:iCs/>
          <w:noProof/>
          <w:sz w:val="20"/>
          <w:szCs w:val="20"/>
          <w:u w:val="single"/>
        </w:rPr>
        <w:t>განსაკუთრებული ჯგუფები: თირკმლის ფუნქციის დარღვევა</w:t>
      </w:r>
    </w:p>
    <w:p w14:paraId="0988D28F" w14:textId="77777777" w:rsidR="00345373" w:rsidRPr="006F435A"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t>თირკმლის ფუნქციის საფუძველზე დოზის კორექცია საჭირო არ არის.</w:t>
      </w:r>
    </w:p>
    <w:p w14:paraId="61026282" w14:textId="77777777" w:rsidR="00345373" w:rsidRPr="006F435A" w:rsidRDefault="00345373" w:rsidP="00BC0A56">
      <w:pPr>
        <w:spacing w:after="0" w:line="240" w:lineRule="auto"/>
        <w:jc w:val="both"/>
        <w:rPr>
          <w:rFonts w:ascii="Sylfaen" w:hAnsi="Sylfaen"/>
          <w:noProof/>
          <w:sz w:val="20"/>
          <w:szCs w:val="20"/>
        </w:rPr>
      </w:pPr>
      <w:r w:rsidRPr="006F435A">
        <w:rPr>
          <w:rFonts w:ascii="Sylfaen" w:hAnsi="Sylfaen"/>
          <w:noProof/>
          <w:sz w:val="20"/>
          <w:szCs w:val="20"/>
        </w:rPr>
        <w:lastRenderedPageBreak/>
        <w:t>შეზღუდული გამოცდილების გამო, არ არის რეკომენდებული დაპაგლიფლოზინით მკურნალობის დაწყება იმ პაციენტებში, რომლებსაც აღენიშნებათ გლომერულური ფილტრაციის სიჩქარე (GFR) &lt; 25 მლ/წთ.</w:t>
      </w:r>
    </w:p>
    <w:p w14:paraId="17824DD3" w14:textId="6D6780E1" w:rsidR="00EC6FED"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მე-2 ტიპის</w:t>
      </w:r>
      <w:r w:rsidR="00345373" w:rsidRPr="006F435A">
        <w:rPr>
          <w:rFonts w:ascii="Sylfaen" w:hAnsi="Sylfaen"/>
          <w:noProof/>
          <w:sz w:val="20"/>
          <w:szCs w:val="20"/>
        </w:rPr>
        <w:t xml:space="preserve"> შაქრიანი დიაბეტის მქონე პაციენტებში დაპაგლიფლოზინის გლუკოზის დამაქვეითებელი ეფექტი მცირდება, როდესაც გლომერულური ფილტრაციის სიჩქარე (გფს) 45 მლ/წთ-ზე ნაკლებია, ხოლო თირკმლის მძიმე უკმარისობის მქონე პაციენტებში ეს ეფექტი, სავარაუდოდ, არ ვლინდება. შესაბამისად, თუ გფს 45 მლ/წთ-ზე დაბლა ეცემა, </w:t>
      </w:r>
      <w:r w:rsidRPr="006F435A">
        <w:rPr>
          <w:rFonts w:ascii="Sylfaen" w:hAnsi="Sylfaen"/>
          <w:noProof/>
          <w:sz w:val="20"/>
          <w:szCs w:val="20"/>
        </w:rPr>
        <w:t>მე-</w:t>
      </w:r>
      <w:r w:rsidR="00345373" w:rsidRPr="006F435A">
        <w:rPr>
          <w:rFonts w:ascii="Sylfaen" w:hAnsi="Sylfaen"/>
          <w:noProof/>
          <w:sz w:val="20"/>
          <w:szCs w:val="20"/>
        </w:rPr>
        <w:t>2</w:t>
      </w:r>
      <w:r w:rsidRPr="006F435A">
        <w:rPr>
          <w:rFonts w:ascii="Sylfaen" w:hAnsi="Sylfaen"/>
          <w:noProof/>
          <w:sz w:val="20"/>
          <w:szCs w:val="20"/>
        </w:rPr>
        <w:t xml:space="preserve"> ტიპის</w:t>
      </w:r>
      <w:r w:rsidR="00345373" w:rsidRPr="006F435A">
        <w:rPr>
          <w:rFonts w:ascii="Sylfaen" w:hAnsi="Sylfaen"/>
          <w:noProof/>
          <w:sz w:val="20"/>
          <w:szCs w:val="20"/>
        </w:rPr>
        <w:t xml:space="preserve"> შაქრიანი დიაბეტის მქონე პაციენტებში გლუკოზის დამქვეითებელი დამატებითი მკურნალობის დანიშვნა უნდა განიხილებოდეს, თუ საჭიროა გლიკემიის შემდგომი კონტროლი (იხ. ნაწილი 4.4, 4.8, 5.1 და 5.2).</w:t>
      </w:r>
    </w:p>
    <w:p w14:paraId="49B1CE18" w14:textId="77777777" w:rsidR="00BC0A56" w:rsidRPr="006F435A" w:rsidRDefault="00BC0A56" w:rsidP="00BC0A56">
      <w:pPr>
        <w:spacing w:after="0" w:line="240" w:lineRule="auto"/>
        <w:jc w:val="both"/>
        <w:rPr>
          <w:rFonts w:ascii="Sylfaen" w:hAnsi="Sylfaen"/>
          <w:noProof/>
          <w:sz w:val="20"/>
          <w:szCs w:val="20"/>
        </w:rPr>
      </w:pPr>
    </w:p>
    <w:p w14:paraId="3183A285" w14:textId="77777777" w:rsidR="00EC6FED" w:rsidRPr="006F435A" w:rsidRDefault="00EC6FED" w:rsidP="00BC0A56">
      <w:pPr>
        <w:spacing w:after="0" w:line="240" w:lineRule="auto"/>
        <w:jc w:val="both"/>
        <w:rPr>
          <w:rFonts w:ascii="Sylfaen" w:hAnsi="Sylfaen"/>
          <w:i/>
          <w:iCs/>
          <w:noProof/>
          <w:sz w:val="20"/>
          <w:szCs w:val="20"/>
        </w:rPr>
      </w:pPr>
      <w:r w:rsidRPr="006F435A">
        <w:rPr>
          <w:rFonts w:ascii="Sylfaen" w:hAnsi="Sylfaen"/>
          <w:i/>
          <w:iCs/>
          <w:noProof/>
          <w:sz w:val="20"/>
          <w:szCs w:val="20"/>
        </w:rPr>
        <w:t>ღვიძლის ფუნქციის დარღვევა</w:t>
      </w:r>
    </w:p>
    <w:p w14:paraId="21FEA827" w14:textId="02963317" w:rsidR="00EC6FED"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ღვიძლის ფუნქციის მსუბუქი ან საშუალო სიმძიმის დარღვევის მქონე პაციენტებში დოზის კორექცია საჭირო არ არის. ღვიძლის ფუნქციის მძიმე დარღვევის მქონე პაციენტებისთვის რეკომენდებულია საწყისი დოზა — 5 მგ. კარგი ამტანობის შემთხვევაში, დოზა შეიძლება გაიზარდოს 10 მგ-მდე (იხ. ნაწილი 4.4 და 5.2).</w:t>
      </w:r>
    </w:p>
    <w:p w14:paraId="351FE2F7" w14:textId="77777777" w:rsidR="00BC0A56" w:rsidRPr="006F435A" w:rsidRDefault="00BC0A56" w:rsidP="00BC0A56">
      <w:pPr>
        <w:spacing w:after="0" w:line="240" w:lineRule="auto"/>
        <w:jc w:val="both"/>
        <w:rPr>
          <w:rFonts w:ascii="Sylfaen" w:hAnsi="Sylfaen"/>
          <w:noProof/>
          <w:sz w:val="20"/>
          <w:szCs w:val="20"/>
        </w:rPr>
      </w:pPr>
    </w:p>
    <w:p w14:paraId="41859FDB" w14:textId="77777777" w:rsidR="00EC6FED" w:rsidRPr="006F435A" w:rsidRDefault="00EC6FED" w:rsidP="00BC0A56">
      <w:pPr>
        <w:spacing w:after="0" w:line="240" w:lineRule="auto"/>
        <w:jc w:val="both"/>
        <w:rPr>
          <w:rFonts w:ascii="Sylfaen" w:hAnsi="Sylfaen"/>
          <w:i/>
          <w:iCs/>
          <w:noProof/>
          <w:sz w:val="20"/>
          <w:szCs w:val="20"/>
        </w:rPr>
      </w:pPr>
      <w:r w:rsidRPr="006F435A">
        <w:rPr>
          <w:rFonts w:ascii="Sylfaen" w:hAnsi="Sylfaen"/>
          <w:i/>
          <w:iCs/>
          <w:noProof/>
          <w:sz w:val="20"/>
          <w:szCs w:val="20"/>
        </w:rPr>
        <w:t>ხანდაზმული პაციენტები (≥ 65 წელი)</w:t>
      </w:r>
    </w:p>
    <w:p w14:paraId="3E527D89" w14:textId="77777777" w:rsidR="00EC6FED"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ასაკის გათვალისწინებით დოზის კორექცია რეკომენდებული არ არის.</w:t>
      </w:r>
    </w:p>
    <w:p w14:paraId="41A2A5B1" w14:textId="77777777" w:rsidR="00BC0A56" w:rsidRPr="006F435A" w:rsidRDefault="00BC0A56" w:rsidP="00BC0A56">
      <w:pPr>
        <w:spacing w:after="0" w:line="240" w:lineRule="auto"/>
        <w:jc w:val="both"/>
        <w:rPr>
          <w:rFonts w:ascii="Sylfaen" w:hAnsi="Sylfaen"/>
          <w:noProof/>
          <w:sz w:val="20"/>
          <w:szCs w:val="20"/>
        </w:rPr>
      </w:pPr>
    </w:p>
    <w:p w14:paraId="7DA6B699" w14:textId="77777777" w:rsidR="00EC6FED" w:rsidRPr="006F435A" w:rsidRDefault="00EC6FED" w:rsidP="00BC0A56">
      <w:pPr>
        <w:spacing w:after="0" w:line="240" w:lineRule="auto"/>
        <w:jc w:val="both"/>
        <w:rPr>
          <w:rFonts w:ascii="Sylfaen" w:hAnsi="Sylfaen"/>
          <w:i/>
          <w:iCs/>
          <w:noProof/>
          <w:sz w:val="20"/>
          <w:szCs w:val="20"/>
        </w:rPr>
      </w:pPr>
      <w:r w:rsidRPr="006F435A">
        <w:rPr>
          <w:rFonts w:ascii="Sylfaen" w:hAnsi="Sylfaen"/>
          <w:i/>
          <w:iCs/>
          <w:noProof/>
          <w:sz w:val="20"/>
          <w:szCs w:val="20"/>
        </w:rPr>
        <w:t>პედიატრიული პოპულაცია</w:t>
      </w:r>
    </w:p>
    <w:p w14:paraId="7FB816DF" w14:textId="51781794" w:rsidR="00EC6FED" w:rsidRPr="006F435A"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10 წლის და უფროსი ასაკის ბავშვებში მე-2 ტიპის შაქრიანი დიაბეტის მკურნალობისას დოზის კორექცია საჭირო არ არის (იხ. ნაწილი 5.1 და 5.2). 10 წლამდე ასაკის ბავშვებთან დაკავშირებით მონაცემები არ არსებობს.</w:t>
      </w:r>
    </w:p>
    <w:p w14:paraId="54525CA0" w14:textId="77777777" w:rsidR="00EC6FED"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18 წლამდე ასაკის ბავშვებში გულის უკმარისობის ან თირკმლის ქრონიკული დაავადების სამკურნალოდ დაპაგლიფლოზინის უსაფრთხოება და ეფექტიანობა ჯერ დადგენილი არ არის. მონაცემები არ არსებობს.</w:t>
      </w:r>
    </w:p>
    <w:p w14:paraId="0A078E07" w14:textId="77777777" w:rsidR="00BC0A56" w:rsidRPr="006F435A" w:rsidRDefault="00BC0A56" w:rsidP="00BC0A56">
      <w:pPr>
        <w:spacing w:after="0" w:line="240" w:lineRule="auto"/>
        <w:jc w:val="both"/>
        <w:rPr>
          <w:rFonts w:ascii="Sylfaen" w:hAnsi="Sylfaen"/>
          <w:noProof/>
          <w:sz w:val="20"/>
          <w:szCs w:val="20"/>
        </w:rPr>
      </w:pPr>
    </w:p>
    <w:p w14:paraId="76B84A73" w14:textId="77777777" w:rsidR="00EC6FED" w:rsidRPr="006F435A" w:rsidRDefault="00EC6FED"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მიღების წესი</w:t>
      </w:r>
    </w:p>
    <w:p w14:paraId="358D09DA" w14:textId="36C82596" w:rsidR="00914982"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დაპაზანი 10 მგ მიიღება პერორალურად, დღეში ერთხელ, დღის ნებისმიერ მონაკვეთში, საკვებთან ერთად ან მის გარეშე. ტაბლეტი უნდა გადაიყლაპოს მთლიანად.</w:t>
      </w:r>
    </w:p>
    <w:p w14:paraId="5EFA935E" w14:textId="77777777" w:rsidR="00BC0A56" w:rsidRPr="006F435A" w:rsidRDefault="00BC0A56" w:rsidP="00BC0A56">
      <w:pPr>
        <w:spacing w:after="0" w:line="240" w:lineRule="auto"/>
        <w:jc w:val="both"/>
        <w:rPr>
          <w:rFonts w:ascii="Sylfaen" w:hAnsi="Sylfaen"/>
          <w:noProof/>
          <w:sz w:val="20"/>
          <w:szCs w:val="20"/>
        </w:rPr>
      </w:pPr>
    </w:p>
    <w:p w14:paraId="07454DE1" w14:textId="022D4123" w:rsidR="00914982" w:rsidRPr="006F435A" w:rsidRDefault="0061115D" w:rsidP="00BC0A56">
      <w:pPr>
        <w:spacing w:after="0" w:line="240" w:lineRule="auto"/>
        <w:jc w:val="both"/>
        <w:rPr>
          <w:rFonts w:ascii="Sylfaen" w:hAnsi="Sylfaen"/>
          <w:b/>
          <w:bCs/>
          <w:noProof/>
          <w:sz w:val="20"/>
          <w:szCs w:val="20"/>
        </w:rPr>
      </w:pPr>
      <w:r w:rsidRPr="006F435A">
        <w:rPr>
          <w:rFonts w:ascii="Sylfaen" w:hAnsi="Sylfaen"/>
          <w:b/>
          <w:bCs/>
          <w:noProof/>
          <w:sz w:val="20"/>
          <w:szCs w:val="20"/>
        </w:rPr>
        <w:t>4.3. უკუჩვენებები</w:t>
      </w:r>
    </w:p>
    <w:p w14:paraId="7BB44115" w14:textId="3756AA0F" w:rsidR="00EC6FED"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მომატებული მგრძნობელობა აქტიური ნივთიერების ან 6.1 ნაწილში ჩამოთვლილი რომელიმე დამხმარე ნივთიერების მიმართ.</w:t>
      </w:r>
    </w:p>
    <w:p w14:paraId="32F06B9E" w14:textId="77777777" w:rsidR="00BC0A56" w:rsidRPr="006F435A" w:rsidRDefault="00BC0A56" w:rsidP="00BC0A56">
      <w:pPr>
        <w:spacing w:after="0" w:line="240" w:lineRule="auto"/>
        <w:jc w:val="both"/>
        <w:rPr>
          <w:rFonts w:ascii="Sylfaen" w:hAnsi="Sylfaen"/>
          <w:noProof/>
          <w:sz w:val="20"/>
          <w:szCs w:val="20"/>
        </w:rPr>
      </w:pPr>
    </w:p>
    <w:p w14:paraId="3CF42FAA" w14:textId="697C7687" w:rsidR="0061115D" w:rsidRPr="006F435A" w:rsidRDefault="0061115D" w:rsidP="00BC0A56">
      <w:pPr>
        <w:spacing w:after="0" w:line="240" w:lineRule="auto"/>
        <w:jc w:val="both"/>
        <w:rPr>
          <w:rFonts w:ascii="Sylfaen" w:hAnsi="Sylfaen"/>
          <w:b/>
          <w:bCs/>
          <w:noProof/>
          <w:sz w:val="20"/>
          <w:szCs w:val="20"/>
        </w:rPr>
      </w:pPr>
      <w:r w:rsidRPr="006F435A">
        <w:rPr>
          <w:rFonts w:ascii="Sylfaen" w:hAnsi="Sylfaen"/>
          <w:b/>
          <w:bCs/>
          <w:noProof/>
          <w:sz w:val="20"/>
          <w:szCs w:val="20"/>
        </w:rPr>
        <w:t>4.4 სპეციალური გაფრთხილებები და სიფრთხილის ზომები გამოყენებისას</w:t>
      </w:r>
    </w:p>
    <w:p w14:paraId="336EF124" w14:textId="77777777" w:rsidR="00EC6FED" w:rsidRPr="006F435A" w:rsidRDefault="00EC6FED"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ზოგადი ინფორმაცია</w:t>
      </w:r>
    </w:p>
    <w:p w14:paraId="4CC9D541" w14:textId="12C6CEA1" w:rsidR="00EC6FED" w:rsidRPr="006F435A"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დაპაგლიფლოზინი არ უნდა იქნას გამოყენებული ტიპი</w:t>
      </w:r>
      <w:r w:rsidR="006F435A" w:rsidRPr="006F435A">
        <w:rPr>
          <w:rFonts w:ascii="Sylfaen" w:hAnsi="Sylfaen"/>
          <w:noProof/>
          <w:sz w:val="20"/>
          <w:szCs w:val="20"/>
          <w:lang w:val="ka-GE"/>
        </w:rPr>
        <w:t xml:space="preserve"> </w:t>
      </w:r>
      <w:r w:rsidR="006F435A" w:rsidRPr="006F435A">
        <w:rPr>
          <w:rFonts w:ascii="Sylfaen" w:hAnsi="Sylfaen"/>
          <w:noProof/>
          <w:sz w:val="20"/>
          <w:szCs w:val="20"/>
        </w:rPr>
        <w:t>I</w:t>
      </w:r>
      <w:r w:rsidRPr="006F435A">
        <w:rPr>
          <w:rFonts w:ascii="Sylfaen" w:hAnsi="Sylfaen"/>
          <w:noProof/>
          <w:sz w:val="20"/>
          <w:szCs w:val="20"/>
        </w:rPr>
        <w:t xml:space="preserve"> შაქრიანი დიაბეტის მქონე პაციენტებში (იხილეთ „დიაბეტური კეტოაციდოზი“ 4.4 ნაწილში).</w:t>
      </w:r>
    </w:p>
    <w:p w14:paraId="75F8A808" w14:textId="77777777" w:rsidR="000E7705" w:rsidRPr="006F435A" w:rsidRDefault="000E7705"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თირკმლის ფუნქციის დარღვევა</w:t>
      </w:r>
    </w:p>
    <w:p w14:paraId="1C6779C9" w14:textId="77777777" w:rsidR="00EC6FED" w:rsidRPr="006F435A"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შეზღუდული გამოცდილების გამო, არ არის რეკომენდებული დაპაგლიფლოზინით მკურნალობის დაწყება იმ პაციენტებში, რომლებსაც აღენიშნებათ გლომერულური ფილტრაციის სიჩქარე (GFR) &lt; 25 მლ/წთ.</w:t>
      </w:r>
    </w:p>
    <w:p w14:paraId="48B7C2D9" w14:textId="1EA8747C" w:rsidR="00EC6FED" w:rsidRPr="006F435A"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დაპაგლიფლოზინის გლუკოზის დამ</w:t>
      </w:r>
      <w:r w:rsidR="0080593E" w:rsidRPr="006F435A">
        <w:rPr>
          <w:rFonts w:ascii="Sylfaen" w:hAnsi="Sylfaen"/>
          <w:noProof/>
          <w:sz w:val="20"/>
          <w:szCs w:val="20"/>
        </w:rPr>
        <w:t>ა</w:t>
      </w:r>
      <w:r w:rsidRPr="006F435A">
        <w:rPr>
          <w:rFonts w:ascii="Sylfaen" w:hAnsi="Sylfaen"/>
          <w:noProof/>
          <w:sz w:val="20"/>
          <w:szCs w:val="20"/>
        </w:rPr>
        <w:t xml:space="preserve">ქვეითებელი ეფექტი დამოკიდებულია თირკმლის ფუნქციაზე; იგი მცირდება GFR &lt; 45 მლ/წთ-ის მქონე პაციენტებში და, სავარაუდოდ, არ ვლინდება თირკმლის ფუნქციის მძიმე დარღვევის მქონე პაციენტებში (იხილეთ </w:t>
      </w:r>
      <w:r w:rsidR="0080593E" w:rsidRPr="006F435A">
        <w:rPr>
          <w:rFonts w:ascii="Sylfaen" w:hAnsi="Sylfaen"/>
          <w:noProof/>
          <w:sz w:val="20"/>
          <w:szCs w:val="20"/>
        </w:rPr>
        <w:t>ნაწილ</w:t>
      </w:r>
      <w:r w:rsidRPr="006F435A">
        <w:rPr>
          <w:rFonts w:ascii="Sylfaen" w:hAnsi="Sylfaen"/>
          <w:noProof/>
          <w:sz w:val="20"/>
          <w:szCs w:val="20"/>
        </w:rPr>
        <w:t>ი 4.2, 5.1 და 5.2).</w:t>
      </w:r>
    </w:p>
    <w:p w14:paraId="3DD1B2D0" w14:textId="6FF1AD68" w:rsidR="0080593E" w:rsidRPr="006F435A" w:rsidRDefault="00EC6FED" w:rsidP="00BC0A56">
      <w:pPr>
        <w:spacing w:after="0" w:line="240" w:lineRule="auto"/>
        <w:jc w:val="both"/>
        <w:rPr>
          <w:rFonts w:ascii="Sylfaen" w:hAnsi="Sylfaen"/>
          <w:noProof/>
          <w:sz w:val="20"/>
          <w:szCs w:val="20"/>
        </w:rPr>
      </w:pPr>
      <w:r w:rsidRPr="006F435A">
        <w:rPr>
          <w:rFonts w:ascii="Sylfaen" w:hAnsi="Sylfaen"/>
          <w:noProof/>
          <w:sz w:val="20"/>
          <w:szCs w:val="20"/>
        </w:rPr>
        <w:t>მე-2 ტიპის შაქრიანი დიაბეტისა და თირკმლის ფუნქციის ზომიერი დარღვევის (GFR &lt; 60 მლ/წთ) მქონე პაციენტებში ჩატარებულ ერთ-ერთ კვლევაში, პლაცებოსთან შედარებით, დაპაგლიფლოზინით ნამკურნალებ პაციენტებში უფრო ხშირად აღინიშნებოდა ისეთი არასასურველი რეაქციები, როგორიცაა კრეატინინის, ფოსფორისა და პარათირეოიდული ჰორმონის (PTH) დონის მომატება, ასევე ჰიპოტენზია.</w:t>
      </w:r>
    </w:p>
    <w:p w14:paraId="5EB3AA72" w14:textId="77777777" w:rsidR="0080593E" w:rsidRPr="006F435A" w:rsidRDefault="0080593E"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ღვიძლის ფუნქციის დარღვევა</w:t>
      </w:r>
    </w:p>
    <w:p w14:paraId="220AC471" w14:textId="25967475" w:rsidR="0080593E" w:rsidRPr="006F435A" w:rsidRDefault="0080593E" w:rsidP="00BC0A56">
      <w:pPr>
        <w:spacing w:after="0" w:line="240" w:lineRule="auto"/>
        <w:jc w:val="both"/>
        <w:rPr>
          <w:rFonts w:ascii="Sylfaen" w:hAnsi="Sylfaen"/>
          <w:noProof/>
          <w:sz w:val="20"/>
          <w:szCs w:val="20"/>
        </w:rPr>
      </w:pPr>
      <w:r w:rsidRPr="006F435A">
        <w:rPr>
          <w:rFonts w:ascii="Sylfaen" w:hAnsi="Sylfaen"/>
          <w:noProof/>
          <w:sz w:val="20"/>
          <w:szCs w:val="20"/>
        </w:rPr>
        <w:t>ღვიძლის ფუნქციის დარღვევის მქონე პაციენტებში კლინიკური კვლევების ფარგლებში მიღებული გამოცდილება შეზღუდულია. ღვიძლის ფუნქციის მძიმე დარღვევის მქონე პაციენტებში იზრდება დაპაგლიფლოზინის ექსპოზიცია (იხილეთ ნაწილი 4.2 და 5.2).</w:t>
      </w:r>
    </w:p>
    <w:p w14:paraId="7E53E8DE" w14:textId="77777777" w:rsidR="0080593E" w:rsidRPr="006F435A" w:rsidRDefault="0080593E"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lastRenderedPageBreak/>
        <w:t>გამოყენება იმ პაციენტებში, რომლებსაც აქვთ სითხის მოცულობის შემცირებისა და/ან ჰიპოტენზიის რისკი</w:t>
      </w:r>
    </w:p>
    <w:p w14:paraId="741980EF" w14:textId="77777777" w:rsidR="0080593E" w:rsidRPr="006F435A" w:rsidRDefault="0080593E" w:rsidP="00BC0A56">
      <w:pPr>
        <w:spacing w:after="0" w:line="240" w:lineRule="auto"/>
        <w:jc w:val="both"/>
        <w:rPr>
          <w:rFonts w:ascii="Sylfaen" w:hAnsi="Sylfaen"/>
          <w:noProof/>
          <w:sz w:val="20"/>
          <w:szCs w:val="20"/>
        </w:rPr>
      </w:pPr>
      <w:r w:rsidRPr="006F435A">
        <w:rPr>
          <w:rFonts w:ascii="Sylfaen" w:hAnsi="Sylfaen"/>
          <w:noProof/>
          <w:sz w:val="20"/>
          <w:szCs w:val="20"/>
        </w:rPr>
        <w:t>მოქმედების მექანიზმიდან გამომდინარე, დაპაგლიფლოზინი ზრდის დიურეზს, რამაც შეიძლება გამოიწვიოს არტერიული წნევის ზომიერი დაქვეითება, რაც დაფიქსირდა კლინიკურ კვლევებში (იხ. ნაწილი 5.1). ეს ეფექტი შესაძლოა უფრო გამოხატული იყოს სისხლში გლუკოზის ძალიან მაღალი კონცენტრაციის მქონე პაციენტებში.</w:t>
      </w:r>
    </w:p>
    <w:p w14:paraId="48F5F89F" w14:textId="17FE61C8" w:rsidR="0080593E" w:rsidRPr="006F435A" w:rsidRDefault="0080593E" w:rsidP="00BC0A56">
      <w:pPr>
        <w:spacing w:after="0" w:line="240" w:lineRule="auto"/>
        <w:jc w:val="both"/>
        <w:rPr>
          <w:rFonts w:ascii="Sylfaen" w:hAnsi="Sylfaen"/>
          <w:noProof/>
          <w:sz w:val="20"/>
          <w:szCs w:val="20"/>
        </w:rPr>
      </w:pPr>
      <w:r w:rsidRPr="006F435A">
        <w:rPr>
          <w:rFonts w:ascii="Sylfaen" w:hAnsi="Sylfaen"/>
          <w:noProof/>
          <w:sz w:val="20"/>
          <w:szCs w:val="20"/>
        </w:rPr>
        <w:t>სიფრთხილეა საჭირო იმ პაციენტებთან მიმართებაში, რომლებისთვისაც დაპაგლიფლოზინით გამოწვეულმა არტერიული წნევის დაქვეითებამ შესაძლოა რისკი შექმნას; მაგალითად, პაციენტები, რომლებიც იღებენ ანტიჰიპერტენზიულ თერაპიას და აქვთ ჰიპოტენზიის ანამნეზი, ან ხანდაზმული პაციენტები.</w:t>
      </w:r>
    </w:p>
    <w:p w14:paraId="2764ADE6" w14:textId="77777777" w:rsidR="0080593E" w:rsidRPr="006F435A" w:rsidRDefault="0080593E" w:rsidP="00BC0A56">
      <w:pPr>
        <w:spacing w:after="0" w:line="240" w:lineRule="auto"/>
        <w:jc w:val="both"/>
        <w:rPr>
          <w:rFonts w:ascii="Sylfaen" w:hAnsi="Sylfaen"/>
          <w:noProof/>
          <w:sz w:val="20"/>
          <w:szCs w:val="20"/>
        </w:rPr>
      </w:pPr>
      <w:r w:rsidRPr="006F435A">
        <w:rPr>
          <w:rFonts w:ascii="Sylfaen" w:hAnsi="Sylfaen"/>
          <w:noProof/>
          <w:sz w:val="20"/>
          <w:szCs w:val="20"/>
        </w:rPr>
        <w:t>თანმხლები დაავადებების შემთხვევაში, რომლებმაც შეიძლება გამოიწვიოს სითხის მოცულობის შემცირება (მაგ., კუჭ-ნაწლავის ტრაქტის დაავადება), რეკომენდებულია სითხის მოცულობის სტატუსის გულდასმით მონიტორინგი (მაგ., ფიზიკური გასინჯვა, არტერიული წნევის გაზომვა, ლაბორატორიული კვლევები, მათ შორის ჰემატოკრიტისა და ელექტროლიტების განსაზღვრა). პაციენტებში, რომლებსაც აღენიშნებათ სითხის მოცულობის შემცირება, რეკომენდებულია დაპაგლიფლოზინით მკურნალობის დროებით შეწყვეტა აღნიშნული მდგომარეობის გამოსწორებამდე (იხ. ნაწილი 4.8).</w:t>
      </w:r>
    </w:p>
    <w:p w14:paraId="5C701C9B" w14:textId="77777777" w:rsidR="0080593E" w:rsidRPr="006F435A" w:rsidRDefault="0080593E"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დიაბეტური კეტოაციდოზი</w:t>
      </w:r>
    </w:p>
    <w:p w14:paraId="54064E29" w14:textId="77777777" w:rsidR="0080593E" w:rsidRPr="006F435A" w:rsidRDefault="0080593E" w:rsidP="00BC0A56">
      <w:pPr>
        <w:spacing w:after="0" w:line="240" w:lineRule="auto"/>
        <w:jc w:val="both"/>
        <w:rPr>
          <w:rFonts w:ascii="Sylfaen" w:hAnsi="Sylfaen"/>
          <w:noProof/>
          <w:sz w:val="20"/>
          <w:szCs w:val="20"/>
        </w:rPr>
      </w:pPr>
      <w:r w:rsidRPr="006F435A">
        <w:rPr>
          <w:rFonts w:ascii="Sylfaen" w:hAnsi="Sylfaen"/>
          <w:noProof/>
          <w:sz w:val="20"/>
          <w:szCs w:val="20"/>
        </w:rPr>
        <w:t>ნატრიუმ-გლუკოზის კოტრანსპორტერ 2-ის (SGLT2) ინჰიბიტორებით, მათ შორის დაპაგლიფლოზინით მკურნალობისას, დაფიქსირდა დიაბეტური კეტოაციდოზის (DKA) იშვიათი შემთხვევები, მათ შორის სიცოცხლისთვის საშიში და ლეტალური შედეგით დასრულებული შემთხვევები. რიგ შემთხვევებში მდგომარეობა ატიპურად მიმდინარეობდა: სისხლში გლუკოზის დონე მხოლოდ ზომიერად იყო მომატებული და 14 მმოლ/ლ-ზე (250 მგ/დლ) ნაკლებს შეადგენდა.</w:t>
      </w:r>
    </w:p>
    <w:p w14:paraId="13E25244" w14:textId="14F9EEC1" w:rsidR="0080593E" w:rsidRPr="006F435A" w:rsidRDefault="0080593E" w:rsidP="00BC0A56">
      <w:pPr>
        <w:spacing w:after="0" w:line="240" w:lineRule="auto"/>
        <w:jc w:val="both"/>
        <w:rPr>
          <w:rFonts w:ascii="Sylfaen" w:hAnsi="Sylfaen"/>
          <w:noProof/>
          <w:sz w:val="20"/>
          <w:szCs w:val="20"/>
        </w:rPr>
      </w:pPr>
      <w:r w:rsidRPr="006F435A">
        <w:rPr>
          <w:rFonts w:ascii="Sylfaen" w:hAnsi="Sylfaen"/>
          <w:noProof/>
          <w:sz w:val="20"/>
          <w:szCs w:val="20"/>
        </w:rPr>
        <w:t>დიაბეტური კეტოაციდოზის რისკი უნდა იქნას გათვალისწინებული ისეთი არასპეციფიკური სიმპტომების არსებობისას, როგორიცაა გულისრევა, ღებინება, ანორექსია, მუცლის ტკივილი, ძლიერი წყურვილი, სუნთქვის გაძნელება, ცნობიერების დაბინდვა, უჩვეულო დაღლილობა ან ძილიანობა. აღნიშნული სიმპტომების გამოვლენისას პაციენტებს დაუყოვნებლივ უნდა ჩაუტარდეთ კეტოაციდოზზე შემოწმება, სისხლში გლუკოზის დონის მიუხედავად.</w:t>
      </w:r>
    </w:p>
    <w:p w14:paraId="6C7AC242" w14:textId="77777777" w:rsidR="0080593E" w:rsidRPr="006F435A" w:rsidRDefault="0080593E" w:rsidP="00BC0A56">
      <w:pPr>
        <w:spacing w:after="0" w:line="240" w:lineRule="auto"/>
        <w:jc w:val="both"/>
        <w:rPr>
          <w:rFonts w:ascii="Sylfaen" w:hAnsi="Sylfaen"/>
          <w:noProof/>
          <w:sz w:val="20"/>
          <w:szCs w:val="20"/>
        </w:rPr>
      </w:pPr>
      <w:r w:rsidRPr="006F435A">
        <w:rPr>
          <w:rFonts w:ascii="Sylfaen" w:hAnsi="Sylfaen"/>
          <w:noProof/>
          <w:sz w:val="20"/>
          <w:szCs w:val="20"/>
        </w:rPr>
        <w:t>იმ პაციენტებში, რომლებთანაც არსებობს DKA-ს ეჭვი ან დადასტურებულია აღნიშნული დიაგნოზი, დაპაგლიფლოზინით მკურნალობა დაუყოვნებლივ უნდა შეწყდეს.</w:t>
      </w:r>
    </w:p>
    <w:p w14:paraId="4692743B" w14:textId="77777777" w:rsidR="00DA04DE" w:rsidRPr="006F435A" w:rsidRDefault="00DA04DE" w:rsidP="00BC0A56">
      <w:pPr>
        <w:spacing w:after="0" w:line="240" w:lineRule="auto"/>
        <w:jc w:val="both"/>
        <w:rPr>
          <w:rFonts w:ascii="Sylfaen" w:hAnsi="Sylfaen"/>
          <w:noProof/>
          <w:sz w:val="20"/>
          <w:szCs w:val="20"/>
        </w:rPr>
      </w:pPr>
      <w:r w:rsidRPr="006F435A">
        <w:rPr>
          <w:rFonts w:ascii="Sylfaen" w:hAnsi="Sylfaen"/>
          <w:noProof/>
          <w:sz w:val="20"/>
          <w:szCs w:val="20"/>
        </w:rPr>
        <w:t>მკურნალობა უნდა შეწყდეს იმ პაციენტებში, რომლებიც ჰოსპიტალიზებულნი არიან მასშტაბური ქირურგიული ჩარევის ან მწვავე, მძიმე დაავადების გამო. ასეთ პაციენტებში რეკომენდებულია კეტონების დონის მონიტორინგი. უპირატესობა ენიჭება სისხლში კეტონების დონის გაზომვას და არა შარდში. დაპაგლიფლოზინით მკურნალობის განახლება შესაძლებელია მას შემდეგ, რაც კეტონების მაჩვენებლები ნორმალიზდება და პაციენტის მდგომარეობა სტაბილიზდება.</w:t>
      </w:r>
    </w:p>
    <w:p w14:paraId="37F29C88" w14:textId="5B0AAE31" w:rsidR="001A1617" w:rsidRPr="006F435A" w:rsidRDefault="00DA04DE" w:rsidP="00BC0A56">
      <w:pPr>
        <w:spacing w:after="0" w:line="240" w:lineRule="auto"/>
        <w:jc w:val="both"/>
        <w:rPr>
          <w:rFonts w:ascii="Sylfaen" w:hAnsi="Sylfaen"/>
          <w:noProof/>
          <w:sz w:val="20"/>
          <w:szCs w:val="20"/>
        </w:rPr>
      </w:pPr>
      <w:r w:rsidRPr="006F435A">
        <w:rPr>
          <w:rFonts w:ascii="Sylfaen" w:hAnsi="Sylfaen"/>
          <w:noProof/>
          <w:sz w:val="20"/>
          <w:szCs w:val="20"/>
        </w:rPr>
        <w:t xml:space="preserve">დაპაგლიფლოზინით მკურნალობის დაწყებამდე უნდა გათვალისწინებულ იქნას პაციენტის ანამნეზში არსებული ის ფაქტორები, რომლებიც შესაძლოა ზრდიდეს კეტოაციდოზის განვითარების რისკს. </w:t>
      </w:r>
    </w:p>
    <w:p w14:paraId="23882580" w14:textId="5F89D4B2" w:rsidR="00DA04DE" w:rsidRPr="006F435A" w:rsidRDefault="00DA04DE" w:rsidP="00BC0A56">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დაპაგლიფლოზინის გამოყენებისას დაფიქსირდა კეტოაციდოზისა და გლუკოზურიის გახანგრძლივებული მიმდინარეობა. პრეპარატის მიღების შეწყვეტის შემდეგ კეტოაციდოზი შესაძლოა იმაზე დიდხანს გაგრძელდეს, ვიდრე ეს პლაზმიდან მისი ნახევარგამოყოფის პერიოდის საფუძველზეა მოსალოდნელი (იხ. ნაწილი 5.2). კეტოაციდოზის გახანგრძლივებულ მიმდინარეობაში შესაძლოა მონაწილეობდეს დაპაგლიფლოზინისგან დამოუკიდებელი ფაქტორებიც, მაგალითად, ინსულინის დეფიციტი.</w:t>
      </w:r>
    </w:p>
    <w:p w14:paraId="474F0635" w14:textId="232CE1A0" w:rsidR="00DA04DE" w:rsidRPr="006F435A" w:rsidRDefault="00DA04DE" w:rsidP="00BC0A56">
      <w:pPr>
        <w:spacing w:after="0" w:line="240" w:lineRule="auto"/>
        <w:jc w:val="both"/>
        <w:rPr>
          <w:rFonts w:ascii="Sylfaen" w:hAnsi="Sylfaen"/>
          <w:noProof/>
          <w:sz w:val="20"/>
          <w:szCs w:val="20"/>
        </w:rPr>
      </w:pPr>
      <w:r w:rsidRPr="006F435A">
        <w:rPr>
          <w:rFonts w:ascii="Sylfaen" w:hAnsi="Sylfaen"/>
          <w:noProof/>
          <w:sz w:val="20"/>
          <w:szCs w:val="20"/>
        </w:rPr>
        <w:t>პაციენტებს, რომლებსაც შეიძლება ჰქონდეთ დიაბეტური კეტოაციდოზის (DKA) მაღალი რისკი, მიეკუთვნებიან პაციენტები ბეტა-უჯრედების დაბალი ფუნქციური რეზერვით (მაგ., მე-2 ტიპის დიაბეტით დაავადებული პაციენტები დაბალი C-პეპტიდით ან ლატენტური აუტოიმუნური დიაბეტით მოზრდილებში (LADA) ან პაციენტები პანკრეატიტის ისტორიით), პაციენტები ისეთი მდგომარეობებით, რომლებიც იწვევს საკვების შეზღუდვას ან მძიმე დეჰიდრატაციას, პაციენტები, რომელთა ინსულინის დოზები შემცირებულია და პაციენტები, რომლებსაც აქვთ ინსულინის გაზრდილი მოთხოვნილება მწვავე სამედიცინო დაავადების, ქირურგიული ჩარევის ან ალკოჰოლის ბოროტად გამოყენების გამო. SGLT2 ინჰიბიტორები სიფრთხილით უნდა იქნას გამოყენებული ამ პაციენტებში.</w:t>
      </w:r>
    </w:p>
    <w:p w14:paraId="0BF0DFEB" w14:textId="244DF9DB" w:rsidR="00DA04DE" w:rsidRPr="006F435A" w:rsidRDefault="00DA04DE" w:rsidP="00BC0A56">
      <w:pPr>
        <w:spacing w:after="0" w:line="240" w:lineRule="auto"/>
        <w:jc w:val="both"/>
        <w:rPr>
          <w:rFonts w:ascii="Sylfaen" w:hAnsi="Sylfaen"/>
          <w:noProof/>
          <w:sz w:val="20"/>
          <w:szCs w:val="20"/>
        </w:rPr>
      </w:pPr>
      <w:r w:rsidRPr="006F435A">
        <w:rPr>
          <w:rFonts w:ascii="Sylfaen" w:hAnsi="Sylfaen"/>
          <w:noProof/>
          <w:sz w:val="20"/>
          <w:szCs w:val="20"/>
        </w:rPr>
        <w:t xml:space="preserve">SGLT2 ინჰიბიტორით მკურნალობის დროს დიაბეტური კეტოაციდოზის განვითარების რისკის მქონე პაციენტებში SGLT2 ინჰიბიტორით მკურნალობის დროს დიაბეტური კეტოაციდოზის განვითარების </w:t>
      </w:r>
      <w:r w:rsidRPr="006F435A">
        <w:rPr>
          <w:rFonts w:ascii="Sylfaen" w:hAnsi="Sylfaen"/>
          <w:noProof/>
          <w:sz w:val="20"/>
          <w:szCs w:val="20"/>
        </w:rPr>
        <w:lastRenderedPageBreak/>
        <w:t>განახლება რეკომენდებული არ არის, თუ არ გამოვლინდება და არ აღმოიფხვრება სხვა აშკარა გამომწვევი ფაქტორი.</w:t>
      </w:r>
    </w:p>
    <w:p w14:paraId="7F1B351B" w14:textId="4C5D4EB6" w:rsidR="00DA04DE" w:rsidRPr="006F435A" w:rsidRDefault="00DA04DE" w:rsidP="00BC0A56">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დაპაგლიფლოზინი არ უნდა იქნას გამოყენებული 1 ტიპის დიაბეტის მქონე პაციენტების სამკურნალოდ.</w:t>
      </w:r>
    </w:p>
    <w:p w14:paraId="652E01B7" w14:textId="48837648" w:rsidR="00DA04DE" w:rsidRPr="006F435A" w:rsidRDefault="00DA04DE"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შორისის ნეკროზული ფასციიტი (ფურნიეს განგრენა)</w:t>
      </w:r>
    </w:p>
    <w:p w14:paraId="735505AE" w14:textId="30FC5A8E" w:rsidR="00080CCE" w:rsidRPr="006F435A" w:rsidRDefault="00080CCE" w:rsidP="00BC0A56">
      <w:pPr>
        <w:spacing w:after="0" w:line="240" w:lineRule="auto"/>
        <w:jc w:val="both"/>
        <w:rPr>
          <w:rFonts w:ascii="Sylfaen" w:hAnsi="Sylfaen"/>
          <w:noProof/>
          <w:sz w:val="20"/>
          <w:szCs w:val="20"/>
        </w:rPr>
      </w:pPr>
      <w:r w:rsidRPr="006F435A">
        <w:rPr>
          <w:rFonts w:ascii="Sylfaen" w:hAnsi="Sylfaen"/>
          <w:noProof/>
          <w:sz w:val="20"/>
          <w:szCs w:val="20"/>
        </w:rPr>
        <w:t>SGLT2 ინჰიბიტორების მიმღებ ქალ და მამაკაც პაციენტებში პოსტმარკეტინგული გამოყენების პერიოდში დაფიქსირებულია შორისის ნეკროზული ფა</w:t>
      </w:r>
      <w:r w:rsidR="00E10F44">
        <w:rPr>
          <w:rFonts w:ascii="Sylfaen" w:hAnsi="Sylfaen"/>
          <w:noProof/>
          <w:sz w:val="20"/>
          <w:szCs w:val="20"/>
        </w:rPr>
        <w:t>სც</w:t>
      </w:r>
      <w:r w:rsidRPr="006F435A">
        <w:rPr>
          <w:rFonts w:ascii="Sylfaen" w:hAnsi="Sylfaen"/>
          <w:noProof/>
          <w:sz w:val="20"/>
          <w:szCs w:val="20"/>
        </w:rPr>
        <w:t>იიტის (ასევე ცნობილი როგორც ფურნიეს განგრენა) შემთხვევები (იხ. ნაწილი 4.8). ეს არის იშვიათი, თუმცა სერიოზული და პოტენციურად სიცოცხლისათვის საშიში მოვლენა, რომელიც საჭიროებს გადაუდებელ ქირურგიულ ჩარევასა და ანტიბიოტიკებით მკურნალობას.</w:t>
      </w:r>
    </w:p>
    <w:p w14:paraId="7AA97C83" w14:textId="53492553" w:rsidR="00080CCE" w:rsidRPr="006F435A" w:rsidRDefault="00080CCE" w:rsidP="00BC0A56">
      <w:pPr>
        <w:spacing w:after="0" w:line="240" w:lineRule="auto"/>
        <w:jc w:val="both"/>
        <w:rPr>
          <w:rFonts w:ascii="Sylfaen" w:hAnsi="Sylfaen"/>
          <w:noProof/>
          <w:sz w:val="20"/>
          <w:szCs w:val="20"/>
        </w:rPr>
      </w:pPr>
      <w:r w:rsidRPr="006F435A">
        <w:rPr>
          <w:rFonts w:ascii="Sylfaen" w:hAnsi="Sylfaen"/>
          <w:noProof/>
          <w:sz w:val="20"/>
          <w:szCs w:val="20"/>
        </w:rPr>
        <w:t>პაციენტებს უნდა მიეცეთ რეკომენდაცია, მიმართონ სამედიცინო დახმარებას, თუ აღენიშნებათ სასქესო ორგანოების ან შორისის მიდამოში ტკივილის, მგრძნობელობის, ერითემის ან შეშუპების ნებისმიერი კომბინაცია, რომელსაც თან ახლავს ცხელება ან შეუძლოდ ყოფნის შეგრძნება. გასათვალისწინებელია, რომ ნეკროზულ ფასციიტს შესაძლოა წინ უსწრებდეს შარდ-სასქესო სისტემის ინფექცია ან შორისის აბსცესი. ფურნიეს განგრენაზე ეჭვის არსებობის შემთხვევაში დაპაზანის მიღება უნდა შეწყდეს და დაუყოვნებლივ უნდა დაიწყოს შესაბამისი მკურნალობა (მათ შორის, ანტიბიოტიკოთერაპია და ქირურგიული ჩარევა).</w:t>
      </w:r>
    </w:p>
    <w:p w14:paraId="6BE45287" w14:textId="77777777" w:rsidR="00080CCE" w:rsidRPr="006F435A" w:rsidRDefault="00080CCE"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საშარდე გზების ინფექციები</w:t>
      </w:r>
    </w:p>
    <w:p w14:paraId="313EEF5E" w14:textId="77777777" w:rsidR="00080CCE" w:rsidRPr="006F435A" w:rsidRDefault="00080CCE" w:rsidP="00BC0A56">
      <w:pPr>
        <w:spacing w:after="0" w:line="240" w:lineRule="auto"/>
        <w:jc w:val="both"/>
        <w:rPr>
          <w:rFonts w:ascii="Sylfaen" w:hAnsi="Sylfaen"/>
          <w:noProof/>
          <w:sz w:val="20"/>
          <w:szCs w:val="20"/>
        </w:rPr>
      </w:pPr>
      <w:r w:rsidRPr="006F435A">
        <w:rPr>
          <w:rFonts w:ascii="Sylfaen" w:hAnsi="Sylfaen"/>
          <w:noProof/>
          <w:sz w:val="20"/>
          <w:szCs w:val="20"/>
        </w:rPr>
        <w:t>შარდის გლუკოზის გამოყოფა შეიძლება დაკავშირებული იყოს საშარდე გზების ინფექციის გაზრდილ რისკთან; ამიტომ, პიელონეფრიტის ან უროსეფსისის მკურნალობისას გასათვალისწინებელია დაპაგლიფლოზინის დროებითი შეწყვეტა.</w:t>
      </w:r>
    </w:p>
    <w:p w14:paraId="358EEBFC" w14:textId="5671B965" w:rsidR="00080CCE" w:rsidRPr="006F435A" w:rsidRDefault="00080CCE"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ხანდაზმული პაციენტები (≥ 65 წელი)</w:t>
      </w:r>
    </w:p>
    <w:p w14:paraId="26D03001" w14:textId="77777777" w:rsidR="00080CCE" w:rsidRPr="006F435A" w:rsidRDefault="00080CCE" w:rsidP="00BC0A56">
      <w:pPr>
        <w:spacing w:after="0" w:line="240" w:lineRule="auto"/>
        <w:jc w:val="both"/>
        <w:rPr>
          <w:rFonts w:ascii="Sylfaen" w:hAnsi="Sylfaen"/>
          <w:noProof/>
          <w:sz w:val="20"/>
          <w:szCs w:val="20"/>
        </w:rPr>
      </w:pPr>
      <w:r w:rsidRPr="006F435A">
        <w:rPr>
          <w:rFonts w:ascii="Sylfaen" w:hAnsi="Sylfaen"/>
          <w:noProof/>
          <w:sz w:val="20"/>
          <w:szCs w:val="20"/>
        </w:rPr>
        <w:t>ხანდაზმულ პაციენტებში შესაძლოა უფრო მაღალი იყოს სითხის მოცულობის შემცირების რისკი და მათ უფრო ხშირად უტარდებოდეთ მკურნალობა დიურეზული საშუალებებით.</w:t>
      </w:r>
    </w:p>
    <w:p w14:paraId="1BCE6BEF" w14:textId="77777777" w:rsidR="00080CCE" w:rsidRPr="006F435A" w:rsidRDefault="00080CCE" w:rsidP="00BC0A56">
      <w:pPr>
        <w:spacing w:after="0" w:line="240" w:lineRule="auto"/>
        <w:jc w:val="both"/>
        <w:rPr>
          <w:rFonts w:ascii="Sylfaen" w:hAnsi="Sylfaen"/>
          <w:noProof/>
          <w:sz w:val="20"/>
          <w:szCs w:val="20"/>
        </w:rPr>
      </w:pPr>
      <w:r w:rsidRPr="006F435A">
        <w:rPr>
          <w:rFonts w:ascii="Sylfaen" w:hAnsi="Sylfaen"/>
          <w:noProof/>
          <w:sz w:val="20"/>
          <w:szCs w:val="20"/>
        </w:rPr>
        <w:t>ხანდაზმულ პაციენტებში უფრო ხშირია თირკმლის ფუნქციის დარღვევა და/ან ანტიჰიპერტენზიული სამკურნალო საშუალებებით მკურნალობა, რომლებმაც შესაძლოა გამოიწვიოს თირკმლის ფუნქციის ცვლილებები, როგორიცაა ანგიოტენზინ-გარდამქმნელი ფერმენტის ინჰიბიტორები (ACE-I) და ანგიოტენზინ II-ის ტიპი 1-ის რეცეპტორების ბლოკატორები (ARB).</w:t>
      </w:r>
    </w:p>
    <w:p w14:paraId="590F73EF" w14:textId="77777777" w:rsidR="00080CCE" w:rsidRPr="006F435A" w:rsidRDefault="00080CCE" w:rsidP="00BC0A56">
      <w:pPr>
        <w:spacing w:after="0" w:line="240" w:lineRule="auto"/>
        <w:jc w:val="both"/>
        <w:rPr>
          <w:rFonts w:ascii="Sylfaen" w:hAnsi="Sylfaen"/>
          <w:noProof/>
          <w:sz w:val="20"/>
          <w:szCs w:val="20"/>
        </w:rPr>
      </w:pPr>
      <w:r w:rsidRPr="006F435A">
        <w:rPr>
          <w:rFonts w:ascii="Sylfaen" w:hAnsi="Sylfaen"/>
          <w:noProof/>
          <w:sz w:val="20"/>
          <w:szCs w:val="20"/>
        </w:rPr>
        <w:t>თირკმლის ფუნქციასთან დაკავშირებით ხანდაზმულ პაციენტებში გამოიყენება იგივე რეკომენდაციები, რაც ყველა სხვა პაციენტისთვის (იხ. ნაწილები 4.2, 4.4, 4.8 და 5.1).</w:t>
      </w:r>
    </w:p>
    <w:p w14:paraId="0C6BBF6B" w14:textId="77777777" w:rsidR="00C73951" w:rsidRPr="006F435A" w:rsidRDefault="00C73951"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გულის უკმარისობა</w:t>
      </w:r>
    </w:p>
    <w:p w14:paraId="1C9B12C3" w14:textId="77777777" w:rsidR="00C73951" w:rsidRPr="006F435A" w:rsidRDefault="00C73951" w:rsidP="00BC0A56">
      <w:pPr>
        <w:spacing w:after="0" w:line="240" w:lineRule="auto"/>
        <w:jc w:val="both"/>
        <w:rPr>
          <w:rFonts w:ascii="Sylfaen" w:hAnsi="Sylfaen"/>
          <w:noProof/>
          <w:sz w:val="20"/>
          <w:szCs w:val="20"/>
        </w:rPr>
      </w:pPr>
      <w:r w:rsidRPr="006F435A">
        <w:rPr>
          <w:rFonts w:ascii="Sylfaen" w:hAnsi="Sylfaen"/>
          <w:noProof/>
          <w:sz w:val="20"/>
          <w:szCs w:val="20"/>
        </w:rPr>
        <w:t>NYHA-ის IV ფუნქციური კლასის პაციენტებში დაპაგლიფლოზინის გამოყენების გამოცდილება შეზღუდულია.</w:t>
      </w:r>
    </w:p>
    <w:p w14:paraId="042B80BC" w14:textId="77777777" w:rsidR="00C73951" w:rsidRPr="006F435A" w:rsidRDefault="00C73951"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ინფილტრაციული კარდიომიოპათია</w:t>
      </w:r>
    </w:p>
    <w:p w14:paraId="13F66120" w14:textId="77777777" w:rsidR="00C73951" w:rsidRPr="006F435A" w:rsidRDefault="00C73951" w:rsidP="00BC0A56">
      <w:pPr>
        <w:spacing w:after="0" w:line="240" w:lineRule="auto"/>
        <w:jc w:val="both"/>
        <w:rPr>
          <w:rFonts w:ascii="Sylfaen" w:hAnsi="Sylfaen"/>
          <w:noProof/>
          <w:sz w:val="20"/>
          <w:szCs w:val="20"/>
        </w:rPr>
      </w:pPr>
      <w:r w:rsidRPr="006F435A">
        <w:rPr>
          <w:rFonts w:ascii="Sylfaen" w:hAnsi="Sylfaen"/>
          <w:noProof/>
          <w:sz w:val="20"/>
          <w:szCs w:val="20"/>
        </w:rPr>
        <w:t>ინფილტრაციული კარდიომიოპათიის მქონე პაციენტები შესწავლილი არ ყოფილან.</w:t>
      </w:r>
    </w:p>
    <w:p w14:paraId="6DF8BE45" w14:textId="77777777" w:rsidR="00C73951" w:rsidRPr="006F435A" w:rsidRDefault="00C73951"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თირკმლის ქრონიკული დაავადება</w:t>
      </w:r>
    </w:p>
    <w:p w14:paraId="7AA85F5D" w14:textId="77777777" w:rsidR="00C73951" w:rsidRPr="006F435A" w:rsidRDefault="00C73951" w:rsidP="00BC0A56">
      <w:pPr>
        <w:spacing w:after="0" w:line="240" w:lineRule="auto"/>
        <w:jc w:val="both"/>
        <w:rPr>
          <w:rFonts w:ascii="Sylfaen" w:hAnsi="Sylfaen"/>
          <w:noProof/>
          <w:sz w:val="20"/>
          <w:szCs w:val="20"/>
        </w:rPr>
      </w:pPr>
      <w:r w:rsidRPr="006F435A">
        <w:rPr>
          <w:rFonts w:ascii="Sylfaen" w:hAnsi="Sylfaen"/>
          <w:noProof/>
          <w:sz w:val="20"/>
          <w:szCs w:val="20"/>
        </w:rPr>
        <w:t>არ არსებობს დაპაგლიფლოზინის გამოყენების გამოცდილება თირკმლის ქრონიკული დაავადების სამკურნალოდ დიაბეტის არმქონე პაციენტებში, რომლებსაც არ აღენიშნებათ ალბუმინურია. ალბუმინურიის მქონე პაციენტებმა შესაძლოა უფრო მეტად მიიღონ სარგებელი დაპაგლიფლოზინით მკურნალობისგან.</w:t>
      </w:r>
    </w:p>
    <w:p w14:paraId="285F6E32" w14:textId="77777777" w:rsidR="00C73951" w:rsidRPr="006F435A" w:rsidRDefault="00C73951"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ჰემატოკრიტის მომატება</w:t>
      </w:r>
    </w:p>
    <w:p w14:paraId="70132DEE" w14:textId="77777777" w:rsidR="00C73951" w:rsidRPr="006F435A" w:rsidRDefault="00C73951" w:rsidP="00BC0A56">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დაპაგლიფლოზინით მკურნალობისას აღინიშნა ჰემატოკრიტის მომატება (იხ. ნაწილი 4.8). ჰემატოკრიტის გამოხატული მომატების მქონე პაციენტებს უნდა ჩაუტარდეთ მონიტორინგი და გამოკვლევა შესაძლო ძირითადი ჰემატოლოგიური დაავადების გამოსავლენად.</w:t>
      </w:r>
    </w:p>
    <w:p w14:paraId="2AD60563" w14:textId="77777777" w:rsidR="00C73951" w:rsidRPr="006F435A" w:rsidRDefault="00C73951"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ქვედა კიდურების ამპუტაციები</w:t>
      </w:r>
    </w:p>
    <w:p w14:paraId="6F997F9A" w14:textId="77777777" w:rsidR="00C73951" w:rsidRPr="006F435A" w:rsidRDefault="00C73951" w:rsidP="00BC0A56">
      <w:pPr>
        <w:spacing w:after="0" w:line="240" w:lineRule="auto"/>
        <w:jc w:val="both"/>
        <w:rPr>
          <w:rFonts w:ascii="Sylfaen" w:hAnsi="Sylfaen"/>
          <w:noProof/>
          <w:sz w:val="20"/>
          <w:szCs w:val="20"/>
        </w:rPr>
      </w:pPr>
      <w:r w:rsidRPr="006F435A">
        <w:rPr>
          <w:rFonts w:ascii="Sylfaen" w:hAnsi="Sylfaen"/>
          <w:noProof/>
          <w:sz w:val="20"/>
          <w:szCs w:val="20"/>
        </w:rPr>
        <w:t>SGLT2 ინჰიბიტორებით ჩატარებულმა ხანგრძლივმა კლინიკურმა კვლევებმა მე-2 ტიპის შაქრიანი დიაბეტის მქონე პაციენტებში გამოავლინა ქვედა კიდურების ამპუტაციის შემთხვევების (ძირითადად, ფეხის თითის) მომატება. უცნობია, წარმოადგენს თუ არა ეს ეფექტი მთელი კლასისთვის დამახასიათებელ ეფექტს. მნიშვნელოვანია დიაბეტის მქონე პაციენტებისთვის ფეხის რეგულარული პროფილაქტიკური მოვლის შესახებ რეკომენდაციების მიცემა.</w:t>
      </w:r>
    </w:p>
    <w:p w14:paraId="6EC13293" w14:textId="77777777" w:rsidR="00C73951" w:rsidRPr="006F435A" w:rsidRDefault="00C73951"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t>შარდის ლაბორატორიული გამოკვლევები</w:t>
      </w:r>
    </w:p>
    <w:p w14:paraId="04BE2685" w14:textId="77777777" w:rsidR="00C73951" w:rsidRPr="006F435A" w:rsidRDefault="00C73951" w:rsidP="00BC0A56">
      <w:pPr>
        <w:spacing w:after="0" w:line="240" w:lineRule="auto"/>
        <w:jc w:val="both"/>
        <w:rPr>
          <w:rFonts w:ascii="Sylfaen" w:hAnsi="Sylfaen"/>
          <w:noProof/>
          <w:sz w:val="20"/>
          <w:szCs w:val="20"/>
        </w:rPr>
      </w:pPr>
      <w:r w:rsidRPr="006F435A">
        <w:rPr>
          <w:rFonts w:ascii="Sylfaen" w:hAnsi="Sylfaen"/>
          <w:noProof/>
          <w:sz w:val="20"/>
          <w:szCs w:val="20"/>
        </w:rPr>
        <w:t>მოქმედების მექანიზმიდან გამომდინარე, დაპაზანის მიმღებ პაციენტებს შარდში გლუკოზის ტესტის შედეგი დადებითი ექნებათ.</w:t>
      </w:r>
    </w:p>
    <w:p w14:paraId="0DD86C33" w14:textId="77777777" w:rsidR="00C73951" w:rsidRPr="006F435A" w:rsidRDefault="00C73951" w:rsidP="00BC0A56">
      <w:pPr>
        <w:spacing w:after="0" w:line="240" w:lineRule="auto"/>
        <w:jc w:val="both"/>
        <w:rPr>
          <w:rFonts w:ascii="Sylfaen" w:hAnsi="Sylfaen"/>
          <w:noProof/>
          <w:sz w:val="20"/>
          <w:szCs w:val="20"/>
          <w:u w:val="single"/>
        </w:rPr>
      </w:pPr>
      <w:r w:rsidRPr="006F435A">
        <w:rPr>
          <w:rFonts w:ascii="Sylfaen" w:hAnsi="Sylfaen"/>
          <w:noProof/>
          <w:sz w:val="20"/>
          <w:szCs w:val="20"/>
          <w:u w:val="single"/>
        </w:rPr>
        <w:lastRenderedPageBreak/>
        <w:t>ლაქტოზა</w:t>
      </w:r>
    </w:p>
    <w:p w14:paraId="1325B334" w14:textId="3829B85F" w:rsidR="00F55D3B" w:rsidRDefault="00C73951" w:rsidP="00BC0A56">
      <w:pPr>
        <w:spacing w:after="0" w:line="240" w:lineRule="auto"/>
        <w:jc w:val="both"/>
        <w:rPr>
          <w:rFonts w:ascii="Sylfaen" w:hAnsi="Sylfaen"/>
          <w:noProof/>
          <w:sz w:val="20"/>
          <w:szCs w:val="20"/>
        </w:rPr>
      </w:pPr>
      <w:r w:rsidRPr="006F435A">
        <w:rPr>
          <w:rFonts w:ascii="Sylfaen" w:hAnsi="Sylfaen"/>
          <w:noProof/>
          <w:sz w:val="20"/>
          <w:szCs w:val="20"/>
        </w:rPr>
        <w:t>ტაბლეტები შეიცავს ლაქტოზას. გალაქტოზის აუტანლობის, ლაქტაზას სრული დეფიციტის ან გლუკოზა-გალაქტოზის მალაბსორბციის იშვიათი მემკვიდრეობითი პრობლემების მქონე პაციენტებმა ეს სამკურნალო საშუალება არ უნდა მიიღონ.</w:t>
      </w:r>
    </w:p>
    <w:p w14:paraId="75C9FA19" w14:textId="77777777" w:rsidR="00BC0A56" w:rsidRPr="006F435A" w:rsidRDefault="00BC0A56" w:rsidP="00BC0A56">
      <w:pPr>
        <w:spacing w:after="0" w:line="240" w:lineRule="auto"/>
        <w:jc w:val="both"/>
        <w:rPr>
          <w:rFonts w:ascii="Sylfaen" w:hAnsi="Sylfaen"/>
          <w:noProof/>
          <w:sz w:val="20"/>
          <w:szCs w:val="20"/>
        </w:rPr>
      </w:pPr>
    </w:p>
    <w:p w14:paraId="58B8F986" w14:textId="2942A01E" w:rsidR="00CF3069" w:rsidRPr="006F435A" w:rsidRDefault="00CF3069" w:rsidP="00BC0A56">
      <w:pPr>
        <w:spacing w:after="0" w:line="240" w:lineRule="auto"/>
        <w:jc w:val="both"/>
        <w:rPr>
          <w:rFonts w:ascii="Sylfaen" w:hAnsi="Sylfaen"/>
          <w:b/>
          <w:bCs/>
          <w:noProof/>
          <w:sz w:val="20"/>
          <w:szCs w:val="20"/>
        </w:rPr>
      </w:pPr>
      <w:r w:rsidRPr="006F435A">
        <w:rPr>
          <w:rFonts w:ascii="Sylfaen" w:hAnsi="Sylfaen"/>
          <w:b/>
          <w:bCs/>
          <w:noProof/>
          <w:sz w:val="20"/>
          <w:szCs w:val="20"/>
        </w:rPr>
        <w:t>4.5. ურთიერთქმედება სხვა სამკურნალო საშუალებებთან და ურთიერთქმედების სხვა ფორმები</w:t>
      </w:r>
    </w:p>
    <w:p w14:paraId="17BC80E6" w14:textId="77777777" w:rsidR="00C73951" w:rsidRPr="006F435A" w:rsidRDefault="00C73951" w:rsidP="00BC0A56">
      <w:pPr>
        <w:spacing w:after="0" w:line="240" w:lineRule="auto"/>
        <w:rPr>
          <w:rFonts w:ascii="Sylfaen" w:hAnsi="Sylfaen"/>
          <w:noProof/>
          <w:sz w:val="20"/>
          <w:szCs w:val="20"/>
          <w:u w:val="single"/>
        </w:rPr>
      </w:pPr>
      <w:r w:rsidRPr="006F435A">
        <w:rPr>
          <w:rFonts w:ascii="Sylfaen" w:hAnsi="Sylfaen"/>
          <w:noProof/>
          <w:sz w:val="20"/>
          <w:szCs w:val="20"/>
          <w:u w:val="single"/>
        </w:rPr>
        <w:t>ფარმაკოდინამიკური ურთიერთქმედებები</w:t>
      </w:r>
    </w:p>
    <w:p w14:paraId="35A9B299" w14:textId="77777777" w:rsidR="00C73951" w:rsidRPr="006F435A" w:rsidRDefault="00C73951" w:rsidP="00BC0A56">
      <w:pPr>
        <w:spacing w:after="0" w:line="240" w:lineRule="auto"/>
        <w:rPr>
          <w:rFonts w:ascii="Sylfaen" w:hAnsi="Sylfaen"/>
          <w:i/>
          <w:iCs/>
          <w:noProof/>
          <w:sz w:val="20"/>
          <w:szCs w:val="20"/>
          <w:u w:val="single"/>
        </w:rPr>
      </w:pPr>
      <w:r w:rsidRPr="006F435A">
        <w:rPr>
          <w:rFonts w:ascii="Sylfaen" w:hAnsi="Sylfaen"/>
          <w:i/>
          <w:iCs/>
          <w:noProof/>
          <w:sz w:val="20"/>
          <w:szCs w:val="20"/>
          <w:u w:val="single"/>
        </w:rPr>
        <w:t>შარდმდენები</w:t>
      </w:r>
    </w:p>
    <w:p w14:paraId="7915089B" w14:textId="3392D879" w:rsidR="00C73951" w:rsidRPr="006F435A" w:rsidRDefault="00C73951" w:rsidP="00A84271">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დაპაგლიფლოზინმა შეიძლება გააძლიეროს თიაზიდური და მარყუჟოვანი შარდმდენების დიურეზული ეფექტი და გაზარდოს დეჰიდრატაციისა და ჰიპოტენზიის რისკი (იხ. ნაწილი 4.4).</w:t>
      </w:r>
    </w:p>
    <w:p w14:paraId="5FD1C6F3" w14:textId="77777777" w:rsidR="00C73951" w:rsidRPr="006F435A" w:rsidRDefault="00C73951" w:rsidP="00A84271">
      <w:pPr>
        <w:spacing w:after="0" w:line="240" w:lineRule="auto"/>
        <w:jc w:val="both"/>
        <w:rPr>
          <w:rFonts w:ascii="Sylfaen" w:hAnsi="Sylfaen"/>
          <w:i/>
          <w:iCs/>
          <w:noProof/>
          <w:sz w:val="20"/>
          <w:szCs w:val="20"/>
          <w:u w:val="single"/>
        </w:rPr>
      </w:pPr>
      <w:r w:rsidRPr="006F435A">
        <w:rPr>
          <w:rFonts w:ascii="Sylfaen" w:hAnsi="Sylfaen"/>
          <w:i/>
          <w:iCs/>
          <w:noProof/>
          <w:sz w:val="20"/>
          <w:szCs w:val="20"/>
          <w:u w:val="single"/>
        </w:rPr>
        <w:t>ინსულინი და ინსულინის სეკრეციის მასტიმულირებელი საშუალებები</w:t>
      </w:r>
    </w:p>
    <w:p w14:paraId="1DB9A384" w14:textId="23876A22" w:rsidR="007E75BA" w:rsidRPr="006F435A" w:rsidRDefault="00C73951" w:rsidP="00A84271">
      <w:pPr>
        <w:spacing w:after="0" w:line="240" w:lineRule="auto"/>
        <w:jc w:val="both"/>
        <w:rPr>
          <w:rFonts w:ascii="Sylfaen" w:hAnsi="Sylfaen"/>
          <w:noProof/>
          <w:sz w:val="20"/>
          <w:szCs w:val="20"/>
        </w:rPr>
      </w:pPr>
      <w:r w:rsidRPr="006F435A">
        <w:rPr>
          <w:rFonts w:ascii="Sylfaen" w:hAnsi="Sylfaen"/>
          <w:noProof/>
          <w:sz w:val="20"/>
          <w:szCs w:val="20"/>
        </w:rPr>
        <w:t>ინსულინი და ინსულინის სეკრეციის მასტიმულირებელი საშუალებები, როგორიცაა სულფონილშარდოვანას პრეპარატები, იწვევენ ჰიპოგლიკემიას. შესაბამისად, მე-2 ტიპის შაქრიანი დიაბეტის მქონე პაციენტებში დაპაგლიფლოზინთან კომბინირებული გამოყენებისას შესაძლოა საჭირო გახდეს ინსულინის ან ინსულინის სეკრეციის მასტიმულირებელი საშუალების უფრო დაბალი დოზა ჰიპოგლიკემიის რისკის შესამცირებლად (იხ. ნაწილები 4.2 და 4.8).</w:t>
      </w:r>
    </w:p>
    <w:p w14:paraId="258C058C" w14:textId="77777777" w:rsidR="00C73951" w:rsidRPr="006F435A" w:rsidRDefault="00C73951" w:rsidP="00A84271">
      <w:pPr>
        <w:spacing w:after="0" w:line="240" w:lineRule="auto"/>
        <w:jc w:val="both"/>
        <w:rPr>
          <w:rFonts w:ascii="Sylfaen" w:hAnsi="Sylfaen"/>
          <w:noProof/>
          <w:sz w:val="20"/>
          <w:szCs w:val="20"/>
          <w:u w:val="single"/>
        </w:rPr>
      </w:pPr>
      <w:r w:rsidRPr="006F435A">
        <w:rPr>
          <w:rFonts w:ascii="Sylfaen" w:hAnsi="Sylfaen"/>
          <w:noProof/>
          <w:sz w:val="20"/>
          <w:szCs w:val="20"/>
          <w:u w:val="single"/>
        </w:rPr>
        <w:t>ფარმაკოკინეტიკური ურთიერთქმედებები</w:t>
      </w:r>
    </w:p>
    <w:p w14:paraId="07BDA39B" w14:textId="77777777" w:rsidR="00C73951" w:rsidRPr="006F435A" w:rsidRDefault="00C73951" w:rsidP="00A84271">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დაპაგლიფლოზინის მეტაბოლიზმი ძირითადად მიმდინარეობს გლუკურონიდთან კონიუგაციის გზით, რომელსაც UDP-გლუკურონოზილტრანსფერაზა 1A9 (UGT1A9) შუამავლობს.</w:t>
      </w:r>
    </w:p>
    <w:p w14:paraId="42217D90" w14:textId="1CFF5B77" w:rsidR="007E75BA" w:rsidRPr="006F435A" w:rsidRDefault="00C73951" w:rsidP="00A84271">
      <w:pPr>
        <w:spacing w:after="0" w:line="240" w:lineRule="auto"/>
        <w:jc w:val="both"/>
        <w:rPr>
          <w:rFonts w:ascii="Sylfaen" w:hAnsi="Sylfaen"/>
          <w:noProof/>
          <w:sz w:val="20"/>
          <w:szCs w:val="20"/>
        </w:rPr>
      </w:pPr>
      <w:r w:rsidRPr="006F435A">
        <w:rPr>
          <w:rFonts w:ascii="Sylfaen" w:hAnsi="Sylfaen"/>
          <w:i/>
          <w:iCs/>
          <w:noProof/>
          <w:sz w:val="20"/>
          <w:szCs w:val="20"/>
        </w:rPr>
        <w:t>ინ ვიტრო</w:t>
      </w:r>
      <w:r w:rsidRPr="006F435A">
        <w:rPr>
          <w:rFonts w:ascii="Sylfaen" w:hAnsi="Sylfaen"/>
          <w:noProof/>
          <w:sz w:val="20"/>
          <w:szCs w:val="20"/>
        </w:rPr>
        <w:t> კვლევებში დაპაგლიფლოზინი არც თრგუნავდა ციტოქრომ P450-ის (CYP) CYP1A2, CYP2A6, CYP2B6, CYP2C8, CYP2C9, CYP2C19, CYP2D6 და CYP3A4 იზოფერმენტებს და არც იწვევდა CYP1A2, CYP2B6 ან CYP3A4-ის ინდუქციას. შესაბამისად, მოსალოდნელი არ არის, რომ დაპაგლიფლოზინი გავლენას მოახდენს ამ ფერმენტებით მეტაბოლიზებული ერთდროულად გამოყენებული სამკურნალო საშუალებების მეტაბოლურ კლირენსზე.</w:t>
      </w:r>
    </w:p>
    <w:p w14:paraId="7090F8BC" w14:textId="77777777" w:rsidR="007E75BA" w:rsidRPr="006F435A" w:rsidRDefault="007E75BA" w:rsidP="00A84271">
      <w:pPr>
        <w:spacing w:after="0" w:line="240" w:lineRule="auto"/>
        <w:jc w:val="both"/>
        <w:rPr>
          <w:rFonts w:ascii="Sylfaen" w:hAnsi="Sylfaen"/>
          <w:noProof/>
          <w:sz w:val="20"/>
          <w:szCs w:val="20"/>
          <w:u w:val="single"/>
        </w:rPr>
      </w:pPr>
      <w:r w:rsidRPr="006F435A">
        <w:rPr>
          <w:rFonts w:ascii="Sylfaen" w:hAnsi="Sylfaen"/>
          <w:noProof/>
          <w:sz w:val="20"/>
          <w:szCs w:val="20"/>
          <w:u w:val="single"/>
        </w:rPr>
        <w:t>სხვა სამკურნალო საშუალებების გავლენა დაპაგლიფლოზინზე</w:t>
      </w:r>
    </w:p>
    <w:p w14:paraId="04A33584" w14:textId="77777777" w:rsidR="007E75BA" w:rsidRPr="006F435A" w:rsidRDefault="007E75BA" w:rsidP="00A84271">
      <w:pPr>
        <w:spacing w:after="0" w:line="240" w:lineRule="auto"/>
        <w:jc w:val="both"/>
        <w:rPr>
          <w:rFonts w:ascii="Sylfaen" w:hAnsi="Sylfaen"/>
          <w:noProof/>
          <w:sz w:val="20"/>
          <w:szCs w:val="20"/>
        </w:rPr>
      </w:pPr>
      <w:r w:rsidRPr="006F435A">
        <w:rPr>
          <w:rFonts w:ascii="Sylfaen" w:hAnsi="Sylfaen"/>
          <w:noProof/>
          <w:sz w:val="20"/>
          <w:szCs w:val="20"/>
        </w:rPr>
        <w:t>ჯანმრთელ პირებში ჩატარებული ურთიერთქმედების კვლევები, რომლებიც ძირითადად ერთჯერადი დოზის დიზაინს იყენებდა, მიუთითებს, რომ დაპაგლიფლოზინის ფარმაკოკინეტიკა არ იცვლება მეტფორმინის, პიოგლიტაზონის, სიტაგლიპტინის, გლიმეპირიდის, ვოგლიბოზის, ჰიდროქლორთიაზიდის, ბუმეტანიდის, ვალსარტანის ან სიმვასტატინის გამოყენებისას.</w:t>
      </w:r>
    </w:p>
    <w:p w14:paraId="0448CE1E" w14:textId="77777777" w:rsidR="007E75BA" w:rsidRPr="006F435A" w:rsidRDefault="007E75BA" w:rsidP="00BC0A56">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დაპაგლიფლოზინის რიფამპიცინთან (სხვადასხვა აქტიური ტრანსპორტერებისა და სამკურნალო საშუალებების მეტაბოლიზმში მონაწილე ფერმენტების ინდუქტორი) ერთდროული გამოყენების შემდეგ დაპაგლიფლოზინის სისტემური ექსპოზიციის (AUC) 22%-ით შემცირება აღინიშნა, თუმცა 24-საათიან პერიოდში შარდში გლუკოზის ექსკრეციაზე კლინიკურად მნიშვნელოვანი გავლენა არ გამოვლენილა. დოზის კორექცია რეკომენდებული არ არის. სხვა ინდუქტორებთან (მაგ., კარბამაზეპინთან, ფენიტოინთან, ფენობარბიტალთან) კლინიკურად რელევანტური ეფექტი მოსალოდნელი არ არის.</w:t>
      </w:r>
    </w:p>
    <w:p w14:paraId="5B11726D" w14:textId="0B64B827" w:rsidR="007E75BA" w:rsidRPr="006F435A" w:rsidRDefault="007E75BA" w:rsidP="00BC0A56">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დაპაგლიფლოზინის მეფენამის მჟავასთან (UGT1A9-ის ინჰიბიტორი) ერთდროული გამოყენების შემდეგ დაპაგლიფლოზინის სისტემური ექსპოზიციის 55%-ით ზრდა აღინიშნა, თუმცა 24-საათიან პერიოდში შარდში გლუკოზის ექსკრეციაზე კლინიკურად მნიშვნელოვანი გავლენა არ გამოვლენილა. დოზის კორექცია რეკომენდებული არ არის.</w:t>
      </w:r>
    </w:p>
    <w:p w14:paraId="69DF2BA8" w14:textId="77777777" w:rsidR="007E75BA" w:rsidRPr="006F435A" w:rsidRDefault="007E75BA" w:rsidP="00BC0A56">
      <w:pPr>
        <w:spacing w:after="0" w:line="240" w:lineRule="auto"/>
        <w:rPr>
          <w:rFonts w:ascii="Sylfaen" w:hAnsi="Sylfaen"/>
          <w:noProof/>
          <w:sz w:val="20"/>
          <w:szCs w:val="20"/>
          <w:u w:val="single"/>
        </w:rPr>
      </w:pPr>
      <w:r w:rsidRPr="006F435A">
        <w:rPr>
          <w:rFonts w:ascii="Sylfaen" w:hAnsi="Sylfaen"/>
          <w:noProof/>
          <w:sz w:val="20"/>
          <w:szCs w:val="20"/>
          <w:u w:val="single"/>
        </w:rPr>
        <w:t>დაპაგლიფლოზინის გავლენა სხვა სამკურნალო საშუალებებზე</w:t>
      </w:r>
    </w:p>
    <w:p w14:paraId="319AC245" w14:textId="77777777" w:rsidR="007E75BA" w:rsidRPr="006F435A" w:rsidRDefault="007E75BA" w:rsidP="00A84271">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დაპაგლიფლოზინმა შესაძლოა გაზარდოს ლითიუმის თირკმლისმიერი ექსკრეცია და გამოიწვიოს სისხლში ლითიუმის დონის შემცირება. დაპაგლიფლოზინით მკურნალობის დაწყებისა და დოზის ცვლილების შემდეგ ლითიუმის შრატში კონცენტრაცია უფრო ხშირად უნდა გაკონტროლდეს. ლითიუმის შრატში კონცენტრაციის მონიტორინგის მიზნით პაციენტი უნდა გადამისამართდეს ექიმთან, რომელიც ლითიუმით მკურნალობას ნიშნავს.</w:t>
      </w:r>
    </w:p>
    <w:p w14:paraId="191B9CAC" w14:textId="77777777" w:rsidR="007E75BA" w:rsidRPr="006F435A" w:rsidRDefault="007E75BA" w:rsidP="00A84271">
      <w:pPr>
        <w:spacing w:after="0" w:line="240" w:lineRule="auto"/>
        <w:jc w:val="both"/>
        <w:rPr>
          <w:rFonts w:ascii="Sylfaen" w:hAnsi="Sylfaen"/>
          <w:noProof/>
          <w:sz w:val="20"/>
          <w:szCs w:val="20"/>
        </w:rPr>
      </w:pPr>
      <w:r w:rsidRPr="006F435A">
        <w:rPr>
          <w:rFonts w:ascii="Sylfaen" w:hAnsi="Sylfaen"/>
          <w:noProof/>
          <w:sz w:val="20"/>
          <w:szCs w:val="20"/>
        </w:rPr>
        <w:t>ჯანმრთელ პირებში ჩატარებული ურთიერთქმედების კვლევები, რომლებიც ძირითადად ერთჯერადი დოზის დიზაინს იყენებდა, მიუთითებს, რომ დაპაგლიფლოზინმა არ შეცვალა მეტფორმინის, პიოგლიტაზონის, სიტაგლიპტინის, გლიმეპირიდის, ჰიდროქლორთიაზიდის, ბუმეტანიდის, ვალსარტანის, დიგოქსინის (P-gp-ის სუბსტრატი) ან ვარფარინის (S-ვარფარინი, CYP2C9-ის სუბსტრატი) ფარმაკოკინეტიკა ან ვარფარინის ანტიკოაგულაციური ეფექტები, რომლებიც შეფასდა INR-ის მიხედვით.</w:t>
      </w:r>
    </w:p>
    <w:p w14:paraId="468B17AB" w14:textId="31F9746E" w:rsidR="00F85503" w:rsidRPr="006F435A" w:rsidRDefault="007E75BA" w:rsidP="00A84271">
      <w:pPr>
        <w:spacing w:after="0" w:line="240" w:lineRule="auto"/>
        <w:jc w:val="both"/>
        <w:rPr>
          <w:rFonts w:ascii="Sylfaen" w:hAnsi="Sylfaen"/>
          <w:noProof/>
          <w:sz w:val="20"/>
          <w:szCs w:val="20"/>
        </w:rPr>
      </w:pPr>
      <w:r w:rsidRPr="006F435A">
        <w:rPr>
          <w:rFonts w:ascii="Sylfaen" w:hAnsi="Sylfaen"/>
          <w:noProof/>
          <w:sz w:val="20"/>
          <w:szCs w:val="20"/>
        </w:rPr>
        <w:lastRenderedPageBreak/>
        <w:t>დაპაგლიფლოზინის 20 მგ-ის ერთჯერადი დოზისა და სიმვასტატინის (CYP3A4-ის სუბსტრატი) ერთდროულად გამოყენების შედეგად სიმვასტატინის AUC 19%-ით, ხოლო სიმვასტატინის მჟავას AUC 31%-ით გაიზარდა. სიმვასტატინისა და სიმვასტატინის მჟავას ექსპოზიციის ზრდა კლინიკურად რელევანტურად არ მიიჩნევა.</w:t>
      </w:r>
    </w:p>
    <w:p w14:paraId="074FF8DC" w14:textId="77777777" w:rsidR="00F85503" w:rsidRPr="006F435A" w:rsidRDefault="00F85503" w:rsidP="00A84271">
      <w:pPr>
        <w:spacing w:after="0" w:line="240" w:lineRule="auto"/>
        <w:jc w:val="both"/>
        <w:rPr>
          <w:rFonts w:ascii="Sylfaen" w:hAnsi="Sylfaen"/>
          <w:noProof/>
          <w:sz w:val="20"/>
          <w:szCs w:val="20"/>
          <w:u w:val="single"/>
        </w:rPr>
      </w:pPr>
      <w:r w:rsidRPr="006F435A">
        <w:rPr>
          <w:rFonts w:ascii="Sylfaen" w:hAnsi="Sylfaen"/>
          <w:noProof/>
          <w:sz w:val="20"/>
          <w:szCs w:val="20"/>
          <w:u w:val="single"/>
        </w:rPr>
        <w:t>1,5-ანჰიდროგლუციტოლის (1,5-AG) ანალიზზე ზემოქმედება</w:t>
      </w:r>
    </w:p>
    <w:p w14:paraId="67042FED" w14:textId="49F465A5" w:rsidR="00F85503" w:rsidRPr="006F435A"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გლიკემიური კონტროლის მონიტორინგისთვის 1,5-AG-ის ანალიზის გამოყენება რეკომენდებული არ არის, ვინაიდან SGLT2 ინჰიბიტორების მიმღებ პაციენტებში 1,5-AG-ის მაჩვენებლები არასაიმედოა გლიკემიური კონტროლის შეფასებისას. რეკომენდებულია გლიკემიური კონტროლის მონიტორინგის ალტერნატიული მეთოდების გამოყენება.</w:t>
      </w:r>
    </w:p>
    <w:p w14:paraId="1005A81A" w14:textId="77777777" w:rsidR="00F85503" w:rsidRPr="006F435A" w:rsidRDefault="00F85503" w:rsidP="00A84271">
      <w:pPr>
        <w:spacing w:after="0" w:line="240" w:lineRule="auto"/>
        <w:jc w:val="both"/>
        <w:rPr>
          <w:rFonts w:ascii="Sylfaen" w:hAnsi="Sylfaen"/>
          <w:noProof/>
          <w:sz w:val="20"/>
          <w:szCs w:val="20"/>
          <w:u w:val="single"/>
        </w:rPr>
      </w:pPr>
      <w:r w:rsidRPr="006F435A">
        <w:rPr>
          <w:rFonts w:ascii="Sylfaen" w:hAnsi="Sylfaen"/>
          <w:noProof/>
          <w:sz w:val="20"/>
          <w:szCs w:val="20"/>
          <w:u w:val="single"/>
        </w:rPr>
        <w:t>პედიატრიული პოპულაცია</w:t>
      </w:r>
    </w:p>
    <w:p w14:paraId="6B1AE9FC" w14:textId="3FEC41EF" w:rsidR="00F85503"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ურთიერთქმედების კვლევები ჩატარდა მხოლოდ მოზრდილებში.</w:t>
      </w:r>
    </w:p>
    <w:p w14:paraId="7F4342AF" w14:textId="77777777" w:rsidR="00A84271" w:rsidRPr="006F435A" w:rsidRDefault="00A84271" w:rsidP="00A84271">
      <w:pPr>
        <w:spacing w:after="0" w:line="240" w:lineRule="auto"/>
        <w:jc w:val="both"/>
        <w:rPr>
          <w:rFonts w:ascii="Sylfaen" w:hAnsi="Sylfaen"/>
          <w:noProof/>
          <w:sz w:val="20"/>
          <w:szCs w:val="20"/>
        </w:rPr>
      </w:pPr>
    </w:p>
    <w:p w14:paraId="350542E7" w14:textId="08E61F3C" w:rsidR="005057F2" w:rsidRPr="006F435A" w:rsidRDefault="005057F2" w:rsidP="00BC0A56">
      <w:pPr>
        <w:spacing w:after="0" w:line="240" w:lineRule="auto"/>
        <w:rPr>
          <w:rFonts w:ascii="Sylfaen" w:hAnsi="Sylfaen"/>
          <w:b/>
          <w:bCs/>
          <w:noProof/>
          <w:sz w:val="20"/>
          <w:szCs w:val="20"/>
        </w:rPr>
      </w:pPr>
      <w:r w:rsidRPr="006F435A">
        <w:rPr>
          <w:rFonts w:ascii="Sylfaen" w:hAnsi="Sylfaen"/>
          <w:b/>
          <w:bCs/>
          <w:noProof/>
          <w:sz w:val="20"/>
          <w:szCs w:val="20"/>
        </w:rPr>
        <w:t xml:space="preserve">4.6. </w:t>
      </w:r>
      <w:r w:rsidR="006F435A" w:rsidRPr="006F435A">
        <w:rPr>
          <w:rFonts w:ascii="Sylfaen" w:hAnsi="Sylfaen"/>
          <w:b/>
          <w:bCs/>
          <w:noProof/>
          <w:sz w:val="20"/>
          <w:szCs w:val="20"/>
          <w:lang w:val="ka-GE"/>
        </w:rPr>
        <w:t>ფერტილობა</w:t>
      </w:r>
      <w:r w:rsidRPr="006F435A">
        <w:rPr>
          <w:rFonts w:ascii="Sylfaen" w:hAnsi="Sylfaen"/>
          <w:b/>
          <w:bCs/>
          <w:noProof/>
          <w:sz w:val="20"/>
          <w:szCs w:val="20"/>
        </w:rPr>
        <w:t>, ორსულობა და ლაქტაცია</w:t>
      </w:r>
    </w:p>
    <w:p w14:paraId="1531C783" w14:textId="77777777" w:rsidR="00F85503" w:rsidRPr="006F435A" w:rsidRDefault="005057F2" w:rsidP="00A84271">
      <w:pPr>
        <w:spacing w:after="0" w:line="240" w:lineRule="auto"/>
        <w:jc w:val="both"/>
        <w:rPr>
          <w:rFonts w:ascii="Sylfaen" w:hAnsi="Sylfaen"/>
          <w:noProof/>
          <w:sz w:val="20"/>
          <w:szCs w:val="20"/>
          <w:u w:val="single"/>
        </w:rPr>
      </w:pPr>
      <w:r w:rsidRPr="006F435A">
        <w:rPr>
          <w:rFonts w:ascii="Sylfaen" w:hAnsi="Sylfaen"/>
          <w:noProof/>
          <w:sz w:val="20"/>
          <w:szCs w:val="20"/>
          <w:u w:val="single"/>
        </w:rPr>
        <w:t>ორსულობა</w:t>
      </w:r>
    </w:p>
    <w:p w14:paraId="642020D3" w14:textId="431EF1DF" w:rsidR="00F85503" w:rsidRPr="006F435A" w:rsidRDefault="00F85503" w:rsidP="00A84271">
      <w:pPr>
        <w:spacing w:after="0" w:line="240" w:lineRule="auto"/>
        <w:jc w:val="both"/>
        <w:rPr>
          <w:rFonts w:ascii="Sylfaen" w:hAnsi="Sylfaen"/>
          <w:noProof/>
          <w:sz w:val="20"/>
          <w:szCs w:val="20"/>
          <w:u w:val="single"/>
        </w:rPr>
      </w:pPr>
      <w:r w:rsidRPr="006F435A">
        <w:rPr>
          <w:rFonts w:ascii="Sylfaen" w:hAnsi="Sylfaen"/>
          <w:noProof/>
          <w:sz w:val="20"/>
          <w:szCs w:val="20"/>
        </w:rPr>
        <w:t>ორსულ ქალებში დაპაგლიფლოზინის გამოყენების შესახებ მონაცემები არ არსებობს. ვირთაგვებში ჩატარებულმა კვლევებმა გამოავლინა ტოქსიკური ზემოქმედება განვითარებად თირკმელზე იმ პერიოდში, რომელიც ადამიანებში ორსულობის მეორე და მესამე ტრიმესტრებს შეესაბამება (იხ. ნაწილი 5.3). შესაბამისად, ორსულობის მეორე და მესამე ტრიმესტრების განმავლობაში დაპაგლიფლოზინის გამოყენება რეკომენდებული არ არის.</w:t>
      </w:r>
    </w:p>
    <w:p w14:paraId="23912E21" w14:textId="65AA433E" w:rsidR="00F85503" w:rsidRPr="00850096"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ორსულობის დადგენის შემთხვევაში დაპაგლიფლოზინით მკურნალობა უნდა შეწყდეს.</w:t>
      </w:r>
    </w:p>
    <w:p w14:paraId="4C6E6339" w14:textId="77777777" w:rsidR="00F85503" w:rsidRPr="006F435A" w:rsidRDefault="00F85503" w:rsidP="00A84271">
      <w:pPr>
        <w:spacing w:after="0" w:line="240" w:lineRule="auto"/>
        <w:jc w:val="both"/>
        <w:rPr>
          <w:rFonts w:ascii="Sylfaen" w:hAnsi="Sylfaen"/>
          <w:noProof/>
          <w:sz w:val="20"/>
          <w:szCs w:val="20"/>
          <w:u w:val="single"/>
        </w:rPr>
      </w:pPr>
      <w:r w:rsidRPr="006F435A">
        <w:rPr>
          <w:rFonts w:ascii="Sylfaen" w:hAnsi="Sylfaen"/>
          <w:noProof/>
          <w:sz w:val="20"/>
          <w:szCs w:val="20"/>
          <w:u w:val="single"/>
        </w:rPr>
        <w:t>ძუძუთი კვება</w:t>
      </w:r>
    </w:p>
    <w:p w14:paraId="6D7B1BE8" w14:textId="4FE27E0F" w:rsidR="00F85503" w:rsidRPr="006F435A"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უცნობია, გამოიყოფა თუ არა დაპაგლიფლოზინი და/ან მისი მეტაბოლიტები ადამიანის რძეში. ცხოველებში არსებული ფარმაკოდინამიკური/ტოქსიკოლოგიური მონაცემებით დადასტურებულია დაპაგლიფლოზინის/მეტაბოლიტების რძეში ექსკრეცია, აგრეთვე მეძუძურ ნაშიერებში ფარმაკოლოგიურად განპირობებული ეფექტები (იხ. ნაწილი 5.3). ახალშობილებისთვის/ჩვილებისთვის რისკის გამორიცხვა შეუძლებელია. დაპაგლიფლოზინი არ უნდა იქნას გამოყენებული ძუძუთი კვების პერიოდში.</w:t>
      </w:r>
    </w:p>
    <w:p w14:paraId="00D79520" w14:textId="77777777" w:rsidR="00F85503" w:rsidRPr="006F435A" w:rsidRDefault="00F85503" w:rsidP="00A84271">
      <w:pPr>
        <w:spacing w:after="0" w:line="240" w:lineRule="auto"/>
        <w:jc w:val="both"/>
        <w:rPr>
          <w:rFonts w:ascii="Sylfaen" w:hAnsi="Sylfaen"/>
          <w:noProof/>
          <w:sz w:val="20"/>
          <w:szCs w:val="20"/>
          <w:u w:val="single"/>
        </w:rPr>
      </w:pPr>
      <w:r w:rsidRPr="006F435A">
        <w:rPr>
          <w:rFonts w:ascii="Sylfaen" w:hAnsi="Sylfaen"/>
          <w:noProof/>
          <w:sz w:val="20"/>
          <w:szCs w:val="20"/>
          <w:u w:val="single"/>
        </w:rPr>
        <w:t>ფერტილობა</w:t>
      </w:r>
    </w:p>
    <w:p w14:paraId="2873FF70" w14:textId="3F0AEBCD" w:rsidR="00070506"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დაპაგლიფლოზინის გავლენა ადამიანის ფერტილობაზე შესწავლილი არ არის. მამრ და მდედრ ვირთაგვებში დაპაგლიფლოზინმა ფერტილობაზე გავლენა არ გამოავლინა შემოწმებული არცერთი დოზის შემთხვევაში.</w:t>
      </w:r>
    </w:p>
    <w:p w14:paraId="1E51D50F" w14:textId="77777777" w:rsidR="00A84271" w:rsidRPr="006F435A" w:rsidRDefault="00A84271" w:rsidP="00A84271">
      <w:pPr>
        <w:spacing w:after="0" w:line="240" w:lineRule="auto"/>
        <w:jc w:val="both"/>
        <w:rPr>
          <w:rFonts w:ascii="Sylfaen" w:hAnsi="Sylfaen"/>
          <w:noProof/>
          <w:sz w:val="20"/>
          <w:szCs w:val="20"/>
        </w:rPr>
      </w:pPr>
    </w:p>
    <w:p w14:paraId="01E434EC" w14:textId="5FF41737" w:rsidR="00EE4DFC" w:rsidRPr="006F435A" w:rsidRDefault="00EE4DFC" w:rsidP="00A84271">
      <w:pPr>
        <w:spacing w:after="0" w:line="240" w:lineRule="auto"/>
        <w:jc w:val="both"/>
        <w:rPr>
          <w:rFonts w:ascii="Sylfaen" w:hAnsi="Sylfaen"/>
          <w:b/>
          <w:bCs/>
          <w:noProof/>
          <w:sz w:val="20"/>
          <w:szCs w:val="20"/>
        </w:rPr>
      </w:pPr>
      <w:r w:rsidRPr="006F435A">
        <w:rPr>
          <w:rFonts w:ascii="Sylfaen" w:hAnsi="Sylfaen"/>
          <w:b/>
          <w:bCs/>
          <w:noProof/>
          <w:sz w:val="20"/>
          <w:szCs w:val="20"/>
        </w:rPr>
        <w:t>4.7. გავლენა ავტომობილის მართვისა და მექანიზმებთან მუშაობის უნარზე</w:t>
      </w:r>
    </w:p>
    <w:p w14:paraId="38B7AA28" w14:textId="2104F5F6" w:rsidR="00F85503"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დაპაგლიფლოზინს არ აქვს ან აქვს უმნიშვნელო გავლენა ავტომობილის მართვისა და მექანიზმებთან მუშაობის უნარზე. პაციენტები უნდა იყვნენ გაფრთხილებულნი ჰიპოგლიკემიის რისკის შესახებ, როდესაც დაპაგლიფლოზინი გამოიყენება სულფონილშარდოვანასთან ან ინსულინთან კომბინაციაში.</w:t>
      </w:r>
    </w:p>
    <w:p w14:paraId="4A8462D9" w14:textId="77777777" w:rsidR="00A84271" w:rsidRPr="006F435A" w:rsidRDefault="00A84271" w:rsidP="00BC0A56">
      <w:pPr>
        <w:spacing w:after="0" w:line="240" w:lineRule="auto"/>
        <w:rPr>
          <w:rFonts w:ascii="Sylfaen" w:hAnsi="Sylfaen"/>
          <w:noProof/>
          <w:sz w:val="20"/>
          <w:szCs w:val="20"/>
        </w:rPr>
      </w:pPr>
    </w:p>
    <w:p w14:paraId="2D113AFE" w14:textId="336A45D2" w:rsidR="00EE4DFC" w:rsidRPr="006F435A" w:rsidRDefault="00EE4DFC" w:rsidP="00BC0A56">
      <w:pPr>
        <w:spacing w:after="0" w:line="240" w:lineRule="auto"/>
        <w:rPr>
          <w:rFonts w:ascii="Sylfaen" w:hAnsi="Sylfaen"/>
          <w:b/>
          <w:bCs/>
          <w:noProof/>
          <w:sz w:val="20"/>
          <w:szCs w:val="20"/>
        </w:rPr>
      </w:pPr>
      <w:r w:rsidRPr="006F435A">
        <w:rPr>
          <w:rFonts w:ascii="Sylfaen" w:hAnsi="Sylfaen"/>
          <w:b/>
          <w:bCs/>
          <w:noProof/>
          <w:sz w:val="20"/>
          <w:szCs w:val="20"/>
        </w:rPr>
        <w:t>4.8. არასასურველი ეფექტები</w:t>
      </w:r>
    </w:p>
    <w:p w14:paraId="7BAD6C20" w14:textId="77777777" w:rsidR="00070506" w:rsidRPr="006F435A" w:rsidRDefault="00070506" w:rsidP="00A84271">
      <w:pPr>
        <w:spacing w:after="0" w:line="240" w:lineRule="auto"/>
        <w:jc w:val="both"/>
        <w:rPr>
          <w:rFonts w:ascii="Sylfaen" w:hAnsi="Sylfaen"/>
          <w:noProof/>
          <w:sz w:val="20"/>
          <w:szCs w:val="20"/>
          <w:u w:val="single"/>
        </w:rPr>
      </w:pPr>
      <w:r w:rsidRPr="006F435A">
        <w:rPr>
          <w:rFonts w:ascii="Sylfaen" w:hAnsi="Sylfaen"/>
          <w:noProof/>
          <w:sz w:val="20"/>
          <w:szCs w:val="20"/>
          <w:u w:val="single"/>
        </w:rPr>
        <w:t>უსაფრთხოების პროფილის შეჯამება</w:t>
      </w:r>
    </w:p>
    <w:p w14:paraId="681D290F" w14:textId="77777777" w:rsidR="00F85503" w:rsidRPr="00A84271" w:rsidRDefault="00F85503" w:rsidP="00A84271">
      <w:pPr>
        <w:spacing w:after="0" w:line="240" w:lineRule="auto"/>
        <w:jc w:val="both"/>
        <w:rPr>
          <w:rFonts w:ascii="Sylfaen" w:hAnsi="Sylfaen"/>
          <w:i/>
          <w:iCs/>
          <w:noProof/>
          <w:sz w:val="20"/>
          <w:szCs w:val="20"/>
          <w:u w:val="single"/>
        </w:rPr>
      </w:pPr>
      <w:r w:rsidRPr="00A84271">
        <w:rPr>
          <w:rFonts w:ascii="Sylfaen" w:hAnsi="Sylfaen"/>
          <w:i/>
          <w:iCs/>
          <w:noProof/>
          <w:sz w:val="20"/>
          <w:szCs w:val="20"/>
          <w:u w:val="single"/>
        </w:rPr>
        <w:t>მე-2 ტიპის შაქრიანი დიაბეტი</w:t>
      </w:r>
    </w:p>
    <w:p w14:paraId="41BD0734" w14:textId="77777777" w:rsidR="00F85503" w:rsidRPr="006F435A"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მე-2 ტიპის შაქრიანი დიაბეტის მქონე პაციენტებში ჩატარებულ კლინიკურ კვლევებში დაპაგლიფლოზინით მკურნალობა ჩაუტარდა 15 000-ზე მეტ პაციენტს.</w:t>
      </w:r>
    </w:p>
    <w:p w14:paraId="0BCA3F2B" w14:textId="77777777" w:rsidR="00F85503" w:rsidRPr="006F435A"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უსაფრთხოებისა და ამტანობის პირველადი შეფასება ჩატარდა წინასწარ განსაზღვრულ, გაერთიანებულ ანალიზში, რომელიც მოიცავდა 13 ხანმოკლე (24 კვირამდე ხანგრძლივობის) პლაცებოთი კონტროლირებულ კვლევას. კვლევებში მონაწილეობდა 2 360 სუბიექტი, რომლებიც მკურნალობდნენ დაპაგლიფლოზინით 10 მგ დოზით, და 2 295 სუბიექტი, რომლებიც იღებდნენ პლაცებოს.</w:t>
      </w:r>
    </w:p>
    <w:p w14:paraId="68E60FF6" w14:textId="77777777" w:rsidR="00F85503" w:rsidRPr="006F435A"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მე-2 ტიპის შაქრიანი დიაბეტის დროს დაპაგლიფლოზინის კარდიოვასკულარული გამოსავლების კვლევაში (DECLARE კვლევა, იხ. ნაწილი 5.1) 8 574 პაციენტი იღებდა დაპაგლიფლოზინს 10 მგ დოზით, ხოლო 8 569 პაციენტი — პლაცებოს; ექსპოზიციის მედიანური ხანგრძლივობა შეადგენდა 48 თვეს. საერთო ჯამში, დაპაგლიფლოზინის მიმართ ექსპოზიციამ შეადგინა 30 623 პაციენტ-წელი.</w:t>
      </w:r>
    </w:p>
    <w:p w14:paraId="06FCA19A" w14:textId="565C93B7" w:rsidR="00F85503" w:rsidRPr="006F435A"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lastRenderedPageBreak/>
        <w:t>კლინიკურ კვლევებში ყველაზე ხშირად შეტყობინებული გვერდითი რეაქციები იყო გენიტალური ინფექციები.</w:t>
      </w:r>
    </w:p>
    <w:p w14:paraId="114CA1E6" w14:textId="77777777" w:rsidR="00F85503" w:rsidRPr="006F435A" w:rsidRDefault="00F85503" w:rsidP="00A84271">
      <w:pPr>
        <w:spacing w:after="0" w:line="240" w:lineRule="auto"/>
        <w:jc w:val="both"/>
        <w:rPr>
          <w:rFonts w:ascii="Sylfaen" w:hAnsi="Sylfaen"/>
          <w:i/>
          <w:iCs/>
          <w:noProof/>
          <w:sz w:val="20"/>
          <w:szCs w:val="20"/>
          <w:u w:val="single"/>
        </w:rPr>
      </w:pPr>
      <w:r w:rsidRPr="006F435A">
        <w:rPr>
          <w:rFonts w:ascii="Sylfaen" w:hAnsi="Sylfaen"/>
          <w:i/>
          <w:iCs/>
          <w:noProof/>
          <w:sz w:val="20"/>
          <w:szCs w:val="20"/>
          <w:u w:val="single"/>
        </w:rPr>
        <w:t>გულის უკმარისობა</w:t>
      </w:r>
    </w:p>
    <w:p w14:paraId="35056636" w14:textId="13174DB4" w:rsidR="000D6F1F" w:rsidRPr="006F435A"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განდევნის ფრაქციის შემცირებული მაჩვენებლით გულის უკმარისობის მქონე პაციენტებში ჩატარებულ დაპაგლიფლოზინის კარდიოვასკულარული გამოსავლების კვლევაში (DAPA-HF კვლევა) 2 368 პაციენტი მკურნალობდა დაპაგლიფლოზინით 10 მგ დოზით, ხოლო 2 368 პაციენტი — პლაცებოთი; ექსპოზიციის მედიანური ხანგრძლივობა შეადგენდა 18 თვეს. პაციენტთა პოპულაცია მოიცავდა როგორც მე-2 ტიპის შაქრიანი დიაბეტის მქონე, ისე დიაბეტის არმქონე პაციენტებს და პაციენტებს eGFR ≥ 30 მლ/წთ/1,73 მ² მაჩვენებლით.</w:t>
      </w:r>
      <w:r w:rsidR="00A84271">
        <w:rPr>
          <w:rFonts w:ascii="Sylfaen" w:hAnsi="Sylfaen"/>
          <w:noProof/>
          <w:sz w:val="20"/>
          <w:szCs w:val="20"/>
        </w:rPr>
        <w:t xml:space="preserve"> </w:t>
      </w:r>
      <w:r w:rsidRPr="006F435A">
        <w:rPr>
          <w:rFonts w:ascii="Sylfaen" w:hAnsi="Sylfaen"/>
          <w:noProof/>
          <w:sz w:val="20"/>
          <w:szCs w:val="20"/>
        </w:rPr>
        <w:t>მარცხენა პარკუჭის განდევნის ფრაქციის &gt; 40%-ით გულის უკმარისობის მქონე პაციენტებში ჩატარებულ დაპაგლიფლოზინის კარდიოვასკულარული გამოსავლების კვლევაში (DELIVER) 3 126 პაციენტი მკურნალობდა დაპაგლიფლოზინით 10 მგ დოზით, ხოლო 3 127 პაციენტი — პლაცებოთი; ექსპოზიციის მედიანური ხანგრძლივობა შეადგენდა 27 თვეს. პაციენტთა პოპულაცია მოიცავდა როგორც მე-2 ტიპის შაქრიანი დიაბეტის მქონე, ისე დიაბეტის არმქონე პაციენტებს და პაციენტებს eGFR ≥ 25 მლ/წთ/1,73 მ² მაჩვენებლით. გულის უკმარისობის მქონე პაციენტებში დაპაგლიფლოზინის უსაფრთხოების საერთო პროფილი შეესაბამებოდა დაპაგლიფლოზინის უსაფრთხოების ცნობილ პროფილს.</w:t>
      </w:r>
    </w:p>
    <w:p w14:paraId="639DB365" w14:textId="77777777" w:rsidR="00F85503" w:rsidRPr="006F435A" w:rsidRDefault="00F85503" w:rsidP="00A84271">
      <w:pPr>
        <w:spacing w:after="0" w:line="240" w:lineRule="auto"/>
        <w:jc w:val="both"/>
        <w:rPr>
          <w:rFonts w:ascii="Sylfaen" w:hAnsi="Sylfaen"/>
          <w:i/>
          <w:iCs/>
          <w:noProof/>
          <w:sz w:val="20"/>
          <w:szCs w:val="20"/>
          <w:u w:val="single"/>
        </w:rPr>
      </w:pPr>
      <w:r w:rsidRPr="006F435A">
        <w:rPr>
          <w:rFonts w:ascii="Sylfaen" w:hAnsi="Sylfaen"/>
          <w:i/>
          <w:iCs/>
          <w:noProof/>
          <w:sz w:val="20"/>
          <w:szCs w:val="20"/>
          <w:u w:val="single"/>
        </w:rPr>
        <w:t>თირკმლის ქრონიკული დაავადება</w:t>
      </w:r>
    </w:p>
    <w:p w14:paraId="33F81C1C" w14:textId="1BA199DE" w:rsidR="00F85503" w:rsidRPr="006F435A" w:rsidRDefault="00F85503" w:rsidP="00A84271">
      <w:pPr>
        <w:spacing w:after="0" w:line="240" w:lineRule="auto"/>
        <w:jc w:val="both"/>
        <w:rPr>
          <w:rFonts w:ascii="Sylfaen" w:hAnsi="Sylfaen"/>
          <w:noProof/>
          <w:sz w:val="20"/>
          <w:szCs w:val="20"/>
        </w:rPr>
      </w:pPr>
      <w:r w:rsidRPr="006F435A">
        <w:rPr>
          <w:rFonts w:ascii="Sylfaen" w:hAnsi="Sylfaen"/>
          <w:noProof/>
          <w:sz w:val="20"/>
          <w:szCs w:val="20"/>
        </w:rPr>
        <w:t xml:space="preserve">თირკმლის ქრონიკული დაავადების მქონე პაციენტებში ჩატარებულ დაპაგლიფლოზინის თირკმლის </w:t>
      </w:r>
      <w:r w:rsidR="000D6F1F" w:rsidRPr="006F435A">
        <w:rPr>
          <w:rFonts w:ascii="Sylfaen" w:hAnsi="Sylfaen"/>
          <w:noProof/>
          <w:sz w:val="20"/>
          <w:szCs w:val="20"/>
        </w:rPr>
        <w:t>შედეგების</w:t>
      </w:r>
      <w:r w:rsidRPr="006F435A">
        <w:rPr>
          <w:rFonts w:ascii="Sylfaen" w:hAnsi="Sylfaen"/>
          <w:noProof/>
          <w:sz w:val="20"/>
          <w:szCs w:val="20"/>
        </w:rPr>
        <w:t xml:space="preserve"> კვლევაში (DAPA-CKD) 2 149 პაციენტი მკურნალობდა დაპაგლიფლოზინით 10 მგ დოზით, ხოლო 2 149 პაციენტი — პლაცებოთი; ექსპოზიციის მედიანური ხანგრძლივობა შეადგენდა 27 თვეს. პაციენტთა პოპულაცია მოიცავდა როგორც მე-2 ტიპის შაქრიანი დიაბეტის მქონე, ისე დიაბეტის არმქონე პაციენტებს, eGFR ≥ 25-დან ≤ 75 მლ/წთ/1,73 მ²-მდე მაჩვენებლით. მკურნალობა გრძელდებოდა იმ შემთხვევაშიც, თუ eGFR 25 მლ/წთ/1,73 მ²-ზე დაბალ დონემდე შემცირდებოდა.</w:t>
      </w:r>
    </w:p>
    <w:p w14:paraId="29031EB6" w14:textId="4937DEBC" w:rsidR="000D6F1F" w:rsidRDefault="00F85503" w:rsidP="00BC0A56">
      <w:pPr>
        <w:spacing w:after="0" w:line="240" w:lineRule="auto"/>
        <w:rPr>
          <w:rFonts w:ascii="Sylfaen" w:hAnsi="Sylfaen"/>
          <w:noProof/>
          <w:sz w:val="20"/>
          <w:szCs w:val="20"/>
        </w:rPr>
      </w:pPr>
      <w:r w:rsidRPr="006F435A">
        <w:rPr>
          <w:rFonts w:ascii="Sylfaen" w:hAnsi="Sylfaen"/>
          <w:noProof/>
          <w:sz w:val="20"/>
          <w:szCs w:val="20"/>
        </w:rPr>
        <w:t>თირკმლის ქრონიკული დაავადების მქონე პაციენტებში დაპაგლიფლოზინის უსაფრთხოების საერთო პროფილი შეესაბამებოდა დაპაგლიფლოზინის უსაფრთხოების ცნობილ პროფილს.</w:t>
      </w:r>
    </w:p>
    <w:p w14:paraId="25D9FF1A" w14:textId="77777777" w:rsidR="00966BD2" w:rsidRPr="006F435A" w:rsidRDefault="00966BD2" w:rsidP="00966BD2">
      <w:pPr>
        <w:spacing w:after="0" w:line="240" w:lineRule="auto"/>
        <w:jc w:val="both"/>
        <w:rPr>
          <w:rFonts w:ascii="Sylfaen" w:hAnsi="Sylfaen"/>
          <w:noProof/>
          <w:sz w:val="20"/>
          <w:szCs w:val="20"/>
        </w:rPr>
      </w:pPr>
    </w:p>
    <w:p w14:paraId="6E2F4D07" w14:textId="77777777" w:rsidR="000D6F1F" w:rsidRPr="006F435A" w:rsidRDefault="000D6F1F" w:rsidP="00966BD2">
      <w:pPr>
        <w:spacing w:after="0" w:line="240" w:lineRule="auto"/>
        <w:jc w:val="both"/>
        <w:rPr>
          <w:rFonts w:ascii="Sylfaen" w:hAnsi="Sylfaen"/>
          <w:noProof/>
          <w:sz w:val="20"/>
          <w:szCs w:val="20"/>
          <w:u w:val="single"/>
        </w:rPr>
      </w:pPr>
      <w:r w:rsidRPr="006F435A">
        <w:rPr>
          <w:rFonts w:ascii="Sylfaen" w:hAnsi="Sylfaen"/>
          <w:noProof/>
          <w:sz w:val="20"/>
          <w:szCs w:val="20"/>
          <w:u w:val="single"/>
        </w:rPr>
        <w:t>არასასურველი რეაქციების ცხრილი</w:t>
      </w:r>
    </w:p>
    <w:p w14:paraId="7F66D38A" w14:textId="7F68A9E2" w:rsidR="003B3501" w:rsidRPr="00850096" w:rsidRDefault="000D6F1F" w:rsidP="00966BD2">
      <w:pPr>
        <w:spacing w:after="0" w:line="240" w:lineRule="auto"/>
        <w:jc w:val="both"/>
        <w:rPr>
          <w:rFonts w:ascii="Sylfaen" w:hAnsi="Sylfaen"/>
          <w:noProof/>
          <w:sz w:val="20"/>
          <w:szCs w:val="20"/>
        </w:rPr>
      </w:pPr>
      <w:r w:rsidRPr="006F435A">
        <w:rPr>
          <w:rFonts w:ascii="Sylfaen" w:hAnsi="Sylfaen"/>
          <w:noProof/>
          <w:sz w:val="20"/>
          <w:szCs w:val="20"/>
        </w:rPr>
        <w:t>ქვემოთ ჩამოთვლილი არასასურველი რეაქციები გამოვლინდა პლაცებო-კონტროლირებადი კლინიკური კვლევებისა და პოსტმარკეტინგული მონიტორინგის პროცესში. არცერთი მათგანი არ აღმოჩნდა დოზაზე დამოკიდებული. ქვემოთ მოცემული არასასურველი რეაქციები კლასიფიცირებულია სიხშირისა და ორგანოთა სისტემების კლასის (SOC) მიხედვით. სიხშირის კატეგორიები განისაზღვრება შემდეგი პრინციპით: ძალიან ხშირი (≥ 1/10), ხშირი (≥ 1/100-დან &lt; 1/10-მდე), არც ისე ხშირი (≥ 1/1 000-დან &lt; 1/100-მდე), იშვიათი (≥ 1/10 000-დან &lt; 1/1 000-მდე), ძალიან იშვიათი (&lt; 1/10 000) და უცნობი (არსებული მონაცემებით შეფასება შეუძლებელია).</w:t>
      </w:r>
    </w:p>
    <w:p w14:paraId="6439DC47" w14:textId="2079E585" w:rsidR="00F85503" w:rsidRPr="00850096" w:rsidRDefault="000D6F1F" w:rsidP="00966BD2">
      <w:pPr>
        <w:spacing w:after="0" w:line="240" w:lineRule="auto"/>
        <w:jc w:val="both"/>
        <w:rPr>
          <w:rFonts w:ascii="Sylfaen" w:hAnsi="Sylfaen"/>
          <w:b/>
          <w:bCs/>
          <w:noProof/>
          <w:sz w:val="20"/>
          <w:szCs w:val="20"/>
        </w:rPr>
      </w:pPr>
      <w:r w:rsidRPr="00850096">
        <w:rPr>
          <w:rFonts w:ascii="Sylfaen" w:hAnsi="Sylfaen"/>
          <w:b/>
          <w:bCs/>
          <w:noProof/>
          <w:sz w:val="20"/>
          <w:szCs w:val="20"/>
        </w:rPr>
        <w:t>ცხრილი 1. არასასურველი რეაქციები პლაცებო-კონტროლირებად კლინიკურ კვლევებსა პოსტმარკეტინგული გამოცდილების საფუძველზე</w:t>
      </w:r>
    </w:p>
    <w:p w14:paraId="5C6BD9CD" w14:textId="77777777" w:rsidR="003B3501" w:rsidRPr="001C3C36" w:rsidRDefault="003B3501" w:rsidP="00BC0A56">
      <w:pPr>
        <w:spacing w:after="0" w:line="240" w:lineRule="auto"/>
        <w:rPr>
          <w:rFonts w:ascii="Sylfaen" w:hAnsi="Sylfaen"/>
          <w:b/>
          <w:bCs/>
          <w:noProof/>
        </w:rPr>
      </w:pPr>
    </w:p>
    <w:tbl>
      <w:tblPr>
        <w:tblW w:w="0" w:type="auto"/>
        <w:tblInd w:w="357" w:type="dxa"/>
        <w:tblLayout w:type="fixed"/>
        <w:tblCellMar>
          <w:left w:w="0" w:type="dxa"/>
          <w:right w:w="0" w:type="dxa"/>
        </w:tblCellMar>
        <w:tblLook w:val="01E0" w:firstRow="1" w:lastRow="1" w:firstColumn="1" w:lastColumn="1" w:noHBand="0" w:noVBand="0"/>
      </w:tblPr>
      <w:tblGrid>
        <w:gridCol w:w="1618"/>
        <w:gridCol w:w="1584"/>
        <w:gridCol w:w="1553"/>
        <w:gridCol w:w="1462"/>
        <w:gridCol w:w="1284"/>
        <w:gridCol w:w="1347"/>
      </w:tblGrid>
      <w:tr w:rsidR="000D6F1F" w:rsidRPr="001C3C36" w14:paraId="067D7276" w14:textId="77777777" w:rsidTr="00DD48E8">
        <w:trPr>
          <w:trHeight w:hRule="exact" w:val="664"/>
        </w:trPr>
        <w:tc>
          <w:tcPr>
            <w:tcW w:w="1618" w:type="dxa"/>
            <w:tcBorders>
              <w:top w:val="single" w:sz="5" w:space="0" w:color="000000"/>
              <w:left w:val="single" w:sz="5" w:space="0" w:color="000000"/>
              <w:bottom w:val="single" w:sz="5" w:space="0" w:color="000000"/>
              <w:right w:val="single" w:sz="5" w:space="0" w:color="000000"/>
            </w:tcBorders>
          </w:tcPr>
          <w:p w14:paraId="18F782BA" w14:textId="0523CF71" w:rsidR="000D6F1F" w:rsidRPr="001C3C36" w:rsidRDefault="000D6F1F" w:rsidP="00BC0A56">
            <w:pPr>
              <w:spacing w:line="240" w:lineRule="auto"/>
              <w:rPr>
                <w:rFonts w:ascii="Sylfaen" w:hAnsi="Sylfaen" w:cs="Times New Roman"/>
                <w:b/>
                <w:bCs/>
                <w:noProof/>
                <w:sz w:val="18"/>
                <w:szCs w:val="18"/>
              </w:rPr>
            </w:pPr>
            <w:r w:rsidRPr="001C3C36">
              <w:rPr>
                <w:rFonts w:ascii="Sylfaen" w:hAnsi="Sylfaen" w:cs="Times New Roman"/>
                <w:b/>
                <w:bCs/>
                <w:noProof/>
                <w:sz w:val="18"/>
                <w:szCs w:val="18"/>
              </w:rPr>
              <w:t>ორგანოთა სისტემების კლასი</w:t>
            </w:r>
          </w:p>
        </w:tc>
        <w:tc>
          <w:tcPr>
            <w:tcW w:w="1584" w:type="dxa"/>
            <w:tcBorders>
              <w:top w:val="single" w:sz="5" w:space="0" w:color="000000"/>
              <w:left w:val="single" w:sz="5" w:space="0" w:color="000000"/>
              <w:bottom w:val="single" w:sz="5" w:space="0" w:color="000000"/>
              <w:right w:val="single" w:sz="5" w:space="0" w:color="000000"/>
            </w:tcBorders>
          </w:tcPr>
          <w:p w14:paraId="6A5EE4CC" w14:textId="6C68CDBA" w:rsidR="000D6F1F" w:rsidRPr="001C3C36" w:rsidRDefault="000D6F1F" w:rsidP="00BC0A56">
            <w:pPr>
              <w:spacing w:line="240" w:lineRule="auto"/>
              <w:rPr>
                <w:rFonts w:ascii="Sylfaen" w:hAnsi="Sylfaen" w:cs="Times New Roman"/>
                <w:b/>
                <w:bCs/>
                <w:noProof/>
                <w:sz w:val="18"/>
                <w:szCs w:val="18"/>
              </w:rPr>
            </w:pPr>
            <w:r w:rsidRPr="001C3C36">
              <w:rPr>
                <w:rFonts w:ascii="Sylfaen" w:hAnsi="Sylfaen" w:cs="Times New Roman"/>
                <w:b/>
                <w:bCs/>
                <w:noProof/>
                <w:sz w:val="18"/>
                <w:szCs w:val="18"/>
              </w:rPr>
              <w:t>ძალიან ხშირი</w:t>
            </w:r>
          </w:p>
        </w:tc>
        <w:tc>
          <w:tcPr>
            <w:tcW w:w="1553" w:type="dxa"/>
            <w:tcBorders>
              <w:top w:val="single" w:sz="5" w:space="0" w:color="000000"/>
              <w:left w:val="single" w:sz="5" w:space="0" w:color="000000"/>
              <w:bottom w:val="single" w:sz="5" w:space="0" w:color="000000"/>
              <w:right w:val="single" w:sz="5" w:space="0" w:color="000000"/>
            </w:tcBorders>
          </w:tcPr>
          <w:p w14:paraId="557C4E09" w14:textId="6E29A0B5" w:rsidR="000D6F1F" w:rsidRPr="001C3C36" w:rsidRDefault="000D6F1F" w:rsidP="00BC0A56">
            <w:pPr>
              <w:spacing w:line="240" w:lineRule="auto"/>
              <w:rPr>
                <w:rFonts w:ascii="Sylfaen" w:hAnsi="Sylfaen" w:cs="Times New Roman"/>
                <w:b/>
                <w:bCs/>
                <w:noProof/>
                <w:sz w:val="18"/>
                <w:szCs w:val="18"/>
              </w:rPr>
            </w:pPr>
            <w:r w:rsidRPr="001C3C36">
              <w:rPr>
                <w:rFonts w:ascii="Sylfaen" w:hAnsi="Sylfaen" w:cs="Times New Roman"/>
                <w:b/>
                <w:bCs/>
                <w:noProof/>
                <w:sz w:val="18"/>
                <w:szCs w:val="18"/>
              </w:rPr>
              <w:t>ხშირი*</w:t>
            </w:r>
          </w:p>
        </w:tc>
        <w:tc>
          <w:tcPr>
            <w:tcW w:w="1462" w:type="dxa"/>
            <w:tcBorders>
              <w:top w:val="single" w:sz="5" w:space="0" w:color="000000"/>
              <w:left w:val="single" w:sz="5" w:space="0" w:color="000000"/>
              <w:bottom w:val="single" w:sz="5" w:space="0" w:color="000000"/>
              <w:right w:val="single" w:sz="5" w:space="0" w:color="000000"/>
            </w:tcBorders>
          </w:tcPr>
          <w:p w14:paraId="1CCA86A3" w14:textId="450D1A39" w:rsidR="000D6F1F" w:rsidRPr="001C3C36" w:rsidRDefault="000D6F1F" w:rsidP="00BC0A56">
            <w:pPr>
              <w:spacing w:line="240" w:lineRule="auto"/>
              <w:rPr>
                <w:rFonts w:ascii="Sylfaen" w:hAnsi="Sylfaen" w:cs="Times New Roman"/>
                <w:b/>
                <w:bCs/>
                <w:noProof/>
                <w:sz w:val="18"/>
                <w:szCs w:val="18"/>
              </w:rPr>
            </w:pPr>
            <w:r w:rsidRPr="001C3C36">
              <w:rPr>
                <w:rFonts w:ascii="Sylfaen" w:hAnsi="Sylfaen" w:cs="Times New Roman"/>
                <w:b/>
                <w:bCs/>
                <w:noProof/>
                <w:sz w:val="18"/>
                <w:szCs w:val="18"/>
              </w:rPr>
              <w:t>არც ისე ხშირი**</w:t>
            </w:r>
          </w:p>
        </w:tc>
        <w:tc>
          <w:tcPr>
            <w:tcW w:w="1284" w:type="dxa"/>
            <w:tcBorders>
              <w:top w:val="single" w:sz="5" w:space="0" w:color="000000"/>
              <w:left w:val="single" w:sz="5" w:space="0" w:color="000000"/>
              <w:bottom w:val="single" w:sz="5" w:space="0" w:color="000000"/>
              <w:right w:val="single" w:sz="5" w:space="0" w:color="000000"/>
            </w:tcBorders>
          </w:tcPr>
          <w:p w14:paraId="209BED1D" w14:textId="5F2F3572" w:rsidR="000D6F1F" w:rsidRPr="001C3C36" w:rsidRDefault="000D6F1F" w:rsidP="00BC0A56">
            <w:pPr>
              <w:spacing w:line="240" w:lineRule="auto"/>
              <w:rPr>
                <w:rFonts w:ascii="Sylfaen" w:hAnsi="Sylfaen" w:cs="Times New Roman"/>
                <w:b/>
                <w:bCs/>
                <w:noProof/>
                <w:sz w:val="18"/>
                <w:szCs w:val="18"/>
              </w:rPr>
            </w:pPr>
            <w:r w:rsidRPr="001C3C36">
              <w:rPr>
                <w:rFonts w:ascii="Sylfaen" w:hAnsi="Sylfaen" w:cs="Times New Roman"/>
                <w:b/>
                <w:bCs/>
                <w:noProof/>
                <w:sz w:val="18"/>
                <w:szCs w:val="18"/>
              </w:rPr>
              <w:t>იშვიათი</w:t>
            </w:r>
          </w:p>
        </w:tc>
        <w:tc>
          <w:tcPr>
            <w:tcW w:w="1347" w:type="dxa"/>
            <w:tcBorders>
              <w:top w:val="single" w:sz="5" w:space="0" w:color="000000"/>
              <w:left w:val="single" w:sz="5" w:space="0" w:color="000000"/>
              <w:bottom w:val="single" w:sz="5" w:space="0" w:color="000000"/>
              <w:right w:val="single" w:sz="5" w:space="0" w:color="000000"/>
            </w:tcBorders>
          </w:tcPr>
          <w:p w14:paraId="18E43978" w14:textId="7E320803" w:rsidR="000D6F1F" w:rsidRPr="001C3C36" w:rsidRDefault="000D6F1F" w:rsidP="00BC0A56">
            <w:pPr>
              <w:spacing w:line="240" w:lineRule="auto"/>
              <w:rPr>
                <w:rFonts w:ascii="Sylfaen" w:hAnsi="Sylfaen" w:cs="Times New Roman"/>
                <w:b/>
                <w:bCs/>
                <w:noProof/>
                <w:sz w:val="18"/>
                <w:szCs w:val="18"/>
              </w:rPr>
            </w:pPr>
            <w:r w:rsidRPr="001C3C36">
              <w:rPr>
                <w:rFonts w:ascii="Sylfaen" w:hAnsi="Sylfaen" w:cs="Times New Roman"/>
                <w:b/>
                <w:bCs/>
                <w:noProof/>
                <w:sz w:val="18"/>
                <w:szCs w:val="18"/>
              </w:rPr>
              <w:t>ძალიან იშვიათი</w:t>
            </w:r>
          </w:p>
        </w:tc>
      </w:tr>
      <w:tr w:rsidR="000D6F1F" w:rsidRPr="001C3C36" w14:paraId="4ADCA21E" w14:textId="77777777" w:rsidTr="003B3501">
        <w:trPr>
          <w:trHeight w:hRule="exact" w:val="2253"/>
        </w:trPr>
        <w:tc>
          <w:tcPr>
            <w:tcW w:w="1618" w:type="dxa"/>
            <w:tcBorders>
              <w:top w:val="single" w:sz="5" w:space="0" w:color="000000"/>
              <w:left w:val="single" w:sz="5" w:space="0" w:color="000000"/>
              <w:bottom w:val="single" w:sz="5" w:space="0" w:color="000000"/>
              <w:right w:val="single" w:sz="5" w:space="0" w:color="000000"/>
            </w:tcBorders>
          </w:tcPr>
          <w:p w14:paraId="159CBF62" w14:textId="05EAC7B2" w:rsidR="000D6F1F" w:rsidRPr="001C3C36" w:rsidRDefault="000D6F1F" w:rsidP="00BC0A56">
            <w:pPr>
              <w:spacing w:line="240" w:lineRule="auto"/>
              <w:rPr>
                <w:rFonts w:ascii="Sylfaen" w:hAnsi="Sylfaen" w:cs="Times New Roman"/>
                <w:noProof/>
                <w:sz w:val="18"/>
                <w:szCs w:val="18"/>
              </w:rPr>
            </w:pPr>
            <w:r w:rsidRPr="001C3C36">
              <w:rPr>
                <w:rFonts w:ascii="Sylfaen" w:hAnsi="Sylfaen" w:cs="Times New Roman"/>
                <w:noProof/>
                <w:sz w:val="18"/>
                <w:szCs w:val="18"/>
              </w:rPr>
              <w:t>ინფექციები და ინვაზიები</w:t>
            </w:r>
          </w:p>
        </w:tc>
        <w:tc>
          <w:tcPr>
            <w:tcW w:w="1584" w:type="dxa"/>
            <w:tcBorders>
              <w:top w:val="single" w:sz="5" w:space="0" w:color="000000"/>
              <w:left w:val="single" w:sz="5" w:space="0" w:color="000000"/>
              <w:bottom w:val="single" w:sz="5" w:space="0" w:color="000000"/>
              <w:right w:val="single" w:sz="5" w:space="0" w:color="000000"/>
            </w:tcBorders>
          </w:tcPr>
          <w:p w14:paraId="3966D404" w14:textId="77777777" w:rsidR="000D6F1F" w:rsidRPr="001C3C36" w:rsidRDefault="000D6F1F" w:rsidP="00BC0A56">
            <w:pPr>
              <w:spacing w:line="240" w:lineRule="auto"/>
              <w:rPr>
                <w:rFonts w:ascii="Sylfaen" w:hAnsi="Sylfaen" w:cs="Times New Roman"/>
                <w:noProof/>
                <w:sz w:val="18"/>
                <w:szCs w:val="18"/>
              </w:rPr>
            </w:pPr>
          </w:p>
        </w:tc>
        <w:tc>
          <w:tcPr>
            <w:tcW w:w="1553" w:type="dxa"/>
            <w:tcBorders>
              <w:top w:val="single" w:sz="5" w:space="0" w:color="000000"/>
              <w:left w:val="single" w:sz="5" w:space="0" w:color="000000"/>
              <w:bottom w:val="single" w:sz="5" w:space="0" w:color="000000"/>
              <w:right w:val="single" w:sz="5" w:space="0" w:color="000000"/>
            </w:tcBorders>
          </w:tcPr>
          <w:p w14:paraId="5265102B" w14:textId="77777777" w:rsidR="003B3501" w:rsidRPr="001C3C36" w:rsidRDefault="003B3501" w:rsidP="00BC0A56">
            <w:pPr>
              <w:spacing w:after="0" w:line="240" w:lineRule="auto"/>
              <w:rPr>
                <w:rFonts w:ascii="Sylfaen" w:hAnsi="Sylfaen"/>
                <w:noProof/>
                <w:sz w:val="18"/>
                <w:szCs w:val="18"/>
              </w:rPr>
            </w:pPr>
            <w:r w:rsidRPr="001C3C36">
              <w:rPr>
                <w:rFonts w:ascii="Sylfaen" w:hAnsi="Sylfaen"/>
                <w:noProof/>
                <w:sz w:val="18"/>
                <w:szCs w:val="18"/>
              </w:rPr>
              <w:t>ვულვოვაგინიტი, ბალანიტი და მასთან დაკავშირებული გენიტალური ინფექციები</w:t>
            </w:r>
            <w:r w:rsidRPr="001C3C36">
              <w:rPr>
                <w:rFonts w:ascii="Sylfaen" w:hAnsi="Sylfaen"/>
                <w:noProof/>
                <w:sz w:val="18"/>
                <w:szCs w:val="18"/>
                <w:vertAlign w:val="superscript"/>
              </w:rPr>
              <w:t>*,b,c</w:t>
            </w:r>
            <w:r w:rsidRPr="001C3C36">
              <w:rPr>
                <w:rFonts w:ascii="Sylfaen" w:hAnsi="Sylfaen"/>
                <w:noProof/>
                <w:sz w:val="18"/>
                <w:szCs w:val="18"/>
              </w:rPr>
              <w:br/>
              <w:t>საშარდე გზების ინფექცია</w:t>
            </w:r>
            <w:r w:rsidRPr="001C3C36">
              <w:rPr>
                <w:rFonts w:ascii="Sylfaen" w:hAnsi="Sylfaen"/>
                <w:noProof/>
                <w:sz w:val="18"/>
                <w:szCs w:val="18"/>
                <w:vertAlign w:val="superscript"/>
              </w:rPr>
              <w:t>*,b,d</w:t>
            </w:r>
          </w:p>
          <w:p w14:paraId="38E066E2" w14:textId="26CE4620" w:rsidR="000D6F1F" w:rsidRPr="001C3C36" w:rsidRDefault="000D6F1F" w:rsidP="00BC0A56">
            <w:pPr>
              <w:spacing w:line="240" w:lineRule="auto"/>
              <w:rPr>
                <w:rFonts w:ascii="Sylfaen" w:hAnsi="Sylfaen" w:cs="Times New Roman"/>
                <w:noProof/>
                <w:sz w:val="18"/>
                <w:szCs w:val="18"/>
              </w:rPr>
            </w:pPr>
          </w:p>
        </w:tc>
        <w:tc>
          <w:tcPr>
            <w:tcW w:w="1462" w:type="dxa"/>
            <w:tcBorders>
              <w:top w:val="single" w:sz="5" w:space="0" w:color="000000"/>
              <w:left w:val="single" w:sz="5" w:space="0" w:color="000000"/>
              <w:bottom w:val="single" w:sz="5" w:space="0" w:color="000000"/>
              <w:right w:val="single" w:sz="5" w:space="0" w:color="000000"/>
            </w:tcBorders>
          </w:tcPr>
          <w:p w14:paraId="13D7C63E" w14:textId="0E074698"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სოკოვანი ინფექცია</w:t>
            </w:r>
            <w:r w:rsidR="000D6F1F" w:rsidRPr="001C3C36">
              <w:rPr>
                <w:rFonts w:ascii="Sylfaen" w:hAnsi="Sylfaen" w:cs="Times New Roman"/>
                <w:noProof/>
                <w:sz w:val="18"/>
                <w:szCs w:val="18"/>
                <w:vertAlign w:val="superscript"/>
              </w:rPr>
              <w:t>**</w:t>
            </w:r>
          </w:p>
        </w:tc>
        <w:tc>
          <w:tcPr>
            <w:tcW w:w="1284" w:type="dxa"/>
            <w:tcBorders>
              <w:top w:val="single" w:sz="5" w:space="0" w:color="000000"/>
              <w:left w:val="single" w:sz="5" w:space="0" w:color="000000"/>
              <w:bottom w:val="single" w:sz="5" w:space="0" w:color="000000"/>
              <w:right w:val="single" w:sz="5" w:space="0" w:color="000000"/>
            </w:tcBorders>
          </w:tcPr>
          <w:p w14:paraId="57DCFFB4" w14:textId="77777777" w:rsidR="000D6F1F" w:rsidRPr="001C3C36" w:rsidRDefault="000D6F1F" w:rsidP="00BC0A56">
            <w:pPr>
              <w:spacing w:line="240" w:lineRule="auto"/>
              <w:rPr>
                <w:rFonts w:ascii="Sylfaen" w:hAnsi="Sylfaen" w:cs="Times New Roman"/>
                <w:noProof/>
                <w:sz w:val="18"/>
                <w:szCs w:val="18"/>
              </w:rPr>
            </w:pPr>
          </w:p>
        </w:tc>
        <w:tc>
          <w:tcPr>
            <w:tcW w:w="1347" w:type="dxa"/>
            <w:tcBorders>
              <w:top w:val="single" w:sz="5" w:space="0" w:color="000000"/>
              <w:left w:val="single" w:sz="5" w:space="0" w:color="000000"/>
              <w:bottom w:val="single" w:sz="5" w:space="0" w:color="000000"/>
              <w:right w:val="single" w:sz="5" w:space="0" w:color="000000"/>
            </w:tcBorders>
          </w:tcPr>
          <w:p w14:paraId="544A8BA9" w14:textId="37913C9D"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 xml:space="preserve">შორისის </w:t>
            </w:r>
            <w:r w:rsidRPr="00FC0C70">
              <w:rPr>
                <w:rFonts w:ascii="Sylfaen" w:hAnsi="Sylfaen" w:cs="Times New Roman"/>
                <w:noProof/>
                <w:sz w:val="18"/>
                <w:szCs w:val="18"/>
              </w:rPr>
              <w:t>ნეკროზული ფა</w:t>
            </w:r>
            <w:r w:rsidR="00966BD2" w:rsidRPr="00FC0C70">
              <w:rPr>
                <w:rFonts w:ascii="Sylfaen" w:hAnsi="Sylfaen" w:cs="Times New Roman"/>
                <w:noProof/>
                <w:sz w:val="18"/>
                <w:szCs w:val="18"/>
              </w:rPr>
              <w:t>სც</w:t>
            </w:r>
            <w:r w:rsidRPr="00FC0C70">
              <w:rPr>
                <w:rFonts w:ascii="Sylfaen" w:hAnsi="Sylfaen" w:cs="Times New Roman"/>
                <w:noProof/>
                <w:sz w:val="18"/>
                <w:szCs w:val="18"/>
              </w:rPr>
              <w:t>იიტი (ფურნიეს განგრენა)</w:t>
            </w:r>
            <w:r w:rsidR="000D6F1F" w:rsidRPr="00FC0C70">
              <w:rPr>
                <w:rFonts w:ascii="Sylfaen" w:hAnsi="Sylfaen" w:cs="Times New Roman"/>
                <w:noProof/>
                <w:sz w:val="18"/>
                <w:szCs w:val="18"/>
                <w:vertAlign w:val="superscript"/>
              </w:rPr>
              <w:t>b,i</w:t>
            </w:r>
          </w:p>
        </w:tc>
      </w:tr>
      <w:tr w:rsidR="000D6F1F" w:rsidRPr="001C3C36" w14:paraId="042EF39F" w14:textId="77777777" w:rsidTr="003B3501">
        <w:trPr>
          <w:trHeight w:hRule="exact" w:val="1983"/>
        </w:trPr>
        <w:tc>
          <w:tcPr>
            <w:tcW w:w="1618" w:type="dxa"/>
            <w:tcBorders>
              <w:top w:val="single" w:sz="5" w:space="0" w:color="000000"/>
              <w:left w:val="single" w:sz="5" w:space="0" w:color="000000"/>
              <w:bottom w:val="single" w:sz="5" w:space="0" w:color="000000"/>
              <w:right w:val="single" w:sz="5" w:space="0" w:color="000000"/>
            </w:tcBorders>
          </w:tcPr>
          <w:p w14:paraId="0D443CEE" w14:textId="1458D30F"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lastRenderedPageBreak/>
              <w:t>მეტაბოლიზმისა და კვების დარღვევები</w:t>
            </w:r>
          </w:p>
        </w:tc>
        <w:tc>
          <w:tcPr>
            <w:tcW w:w="1584" w:type="dxa"/>
            <w:tcBorders>
              <w:top w:val="single" w:sz="5" w:space="0" w:color="000000"/>
              <w:left w:val="single" w:sz="5" w:space="0" w:color="000000"/>
              <w:bottom w:val="single" w:sz="5" w:space="0" w:color="000000"/>
              <w:right w:val="single" w:sz="5" w:space="0" w:color="000000"/>
            </w:tcBorders>
          </w:tcPr>
          <w:p w14:paraId="0DE23CBF" w14:textId="27C45F9D" w:rsidR="000D6F1F" w:rsidRPr="001C3C36" w:rsidRDefault="003B3501" w:rsidP="00BC0A56">
            <w:pPr>
              <w:spacing w:line="240" w:lineRule="auto"/>
              <w:rPr>
                <w:rFonts w:ascii="Sylfaen" w:hAnsi="Sylfaen" w:cs="Times New Roman"/>
                <w:noProof/>
                <w:sz w:val="18"/>
                <w:szCs w:val="18"/>
              </w:rPr>
            </w:pPr>
            <w:r w:rsidRPr="001C3C36">
              <w:rPr>
                <w:rFonts w:ascii="Sylfaen" w:hAnsi="Sylfaen" w:cs="Sylfaen"/>
                <w:noProof/>
                <w:color w:val="000000"/>
                <w:sz w:val="18"/>
                <w:szCs w:val="18"/>
              </w:rPr>
              <w:t>ჰიპოგლიკემია</w:t>
            </w:r>
            <w:r w:rsidRPr="001C3C36">
              <w:rPr>
                <w:rFonts w:ascii="Sylfaen" w:hAnsi="Sylfaen"/>
                <w:noProof/>
                <w:color w:val="000000"/>
                <w:sz w:val="18"/>
                <w:szCs w:val="18"/>
              </w:rPr>
              <w:t xml:space="preserve"> (</w:t>
            </w:r>
            <w:r w:rsidRPr="001C3C36">
              <w:rPr>
                <w:rFonts w:ascii="Sylfaen" w:hAnsi="Sylfaen" w:cs="Sylfaen"/>
                <w:noProof/>
                <w:color w:val="000000"/>
                <w:sz w:val="18"/>
                <w:szCs w:val="18"/>
              </w:rPr>
              <w:t>სულფონილშარდოვანას</w:t>
            </w:r>
            <w:r w:rsidRPr="001C3C36">
              <w:rPr>
                <w:rFonts w:ascii="Sylfaen" w:hAnsi="Sylfaen"/>
                <w:noProof/>
                <w:color w:val="000000"/>
                <w:sz w:val="18"/>
                <w:szCs w:val="18"/>
              </w:rPr>
              <w:t xml:space="preserve"> </w:t>
            </w:r>
            <w:r w:rsidRPr="001C3C36">
              <w:rPr>
                <w:rFonts w:ascii="Sylfaen" w:hAnsi="Sylfaen" w:cs="Sylfaen"/>
                <w:noProof/>
                <w:color w:val="000000"/>
                <w:sz w:val="18"/>
                <w:szCs w:val="18"/>
              </w:rPr>
              <w:t>პრეპარატებთან</w:t>
            </w:r>
            <w:r w:rsidRPr="001C3C36">
              <w:rPr>
                <w:rFonts w:ascii="Sylfaen" w:hAnsi="Sylfaen"/>
                <w:noProof/>
                <w:color w:val="000000"/>
                <w:sz w:val="18"/>
                <w:szCs w:val="18"/>
              </w:rPr>
              <w:t xml:space="preserve"> </w:t>
            </w:r>
            <w:r w:rsidRPr="001C3C36">
              <w:rPr>
                <w:rFonts w:ascii="Sylfaen" w:hAnsi="Sylfaen" w:cs="Sylfaen"/>
                <w:noProof/>
                <w:color w:val="000000"/>
                <w:sz w:val="18"/>
                <w:szCs w:val="18"/>
              </w:rPr>
              <w:t>ან</w:t>
            </w:r>
            <w:r w:rsidRPr="001C3C36">
              <w:rPr>
                <w:rFonts w:ascii="Sylfaen" w:hAnsi="Sylfaen"/>
                <w:noProof/>
                <w:color w:val="000000"/>
                <w:sz w:val="18"/>
                <w:szCs w:val="18"/>
              </w:rPr>
              <w:t xml:space="preserve"> </w:t>
            </w:r>
            <w:r w:rsidRPr="001C3C36">
              <w:rPr>
                <w:rFonts w:ascii="Sylfaen" w:hAnsi="Sylfaen" w:cs="Sylfaen"/>
                <w:noProof/>
                <w:color w:val="000000"/>
                <w:sz w:val="18"/>
                <w:szCs w:val="18"/>
              </w:rPr>
              <w:t>ინსულინთან</w:t>
            </w:r>
            <w:r w:rsidRPr="001C3C36">
              <w:rPr>
                <w:rFonts w:ascii="Sylfaen" w:hAnsi="Sylfaen"/>
                <w:noProof/>
                <w:color w:val="000000"/>
                <w:sz w:val="18"/>
                <w:szCs w:val="18"/>
              </w:rPr>
              <w:t xml:space="preserve"> </w:t>
            </w:r>
            <w:r w:rsidRPr="001C3C36">
              <w:rPr>
                <w:rFonts w:ascii="Sylfaen" w:hAnsi="Sylfaen" w:cs="Sylfaen"/>
                <w:noProof/>
                <w:color w:val="000000"/>
                <w:sz w:val="18"/>
                <w:szCs w:val="18"/>
              </w:rPr>
              <w:t>ერთად</w:t>
            </w:r>
            <w:r w:rsidRPr="001C3C36">
              <w:rPr>
                <w:rFonts w:ascii="Sylfaen" w:hAnsi="Sylfaen"/>
                <w:noProof/>
                <w:color w:val="000000"/>
                <w:sz w:val="18"/>
                <w:szCs w:val="18"/>
              </w:rPr>
              <w:t xml:space="preserve"> </w:t>
            </w:r>
            <w:r w:rsidRPr="001C3C36">
              <w:rPr>
                <w:rFonts w:ascii="Sylfaen" w:hAnsi="Sylfaen" w:cs="Sylfaen"/>
                <w:noProof/>
                <w:color w:val="000000"/>
                <w:sz w:val="18"/>
                <w:szCs w:val="18"/>
              </w:rPr>
              <w:t>გამოყენებისას</w:t>
            </w:r>
            <w:r w:rsidRPr="001C3C36">
              <w:rPr>
                <w:rFonts w:ascii="Sylfaen" w:hAnsi="Sylfaen"/>
                <w:noProof/>
                <w:color w:val="000000"/>
                <w:sz w:val="18"/>
                <w:szCs w:val="18"/>
              </w:rPr>
              <w:t>)</w:t>
            </w:r>
            <w:r w:rsidR="000D6F1F" w:rsidRPr="001C3C36">
              <w:rPr>
                <w:rFonts w:ascii="Sylfaen" w:hAnsi="Sylfaen" w:cs="Times New Roman"/>
                <w:noProof/>
                <w:sz w:val="18"/>
                <w:szCs w:val="18"/>
                <w:vertAlign w:val="superscript"/>
              </w:rPr>
              <w:t>b</w:t>
            </w:r>
          </w:p>
        </w:tc>
        <w:tc>
          <w:tcPr>
            <w:tcW w:w="1553" w:type="dxa"/>
            <w:tcBorders>
              <w:top w:val="single" w:sz="5" w:space="0" w:color="000000"/>
              <w:left w:val="single" w:sz="5" w:space="0" w:color="000000"/>
              <w:bottom w:val="single" w:sz="5" w:space="0" w:color="000000"/>
              <w:right w:val="single" w:sz="5" w:space="0" w:color="000000"/>
            </w:tcBorders>
          </w:tcPr>
          <w:p w14:paraId="3B412D66" w14:textId="77777777" w:rsidR="000D6F1F" w:rsidRPr="001C3C36" w:rsidRDefault="000D6F1F" w:rsidP="00BC0A56">
            <w:pPr>
              <w:spacing w:line="240" w:lineRule="auto"/>
              <w:rPr>
                <w:rFonts w:ascii="Sylfaen" w:hAnsi="Sylfaen" w:cs="Times New Roman"/>
                <w:noProof/>
                <w:sz w:val="18"/>
                <w:szCs w:val="18"/>
              </w:rPr>
            </w:pPr>
          </w:p>
        </w:tc>
        <w:tc>
          <w:tcPr>
            <w:tcW w:w="1462" w:type="dxa"/>
            <w:tcBorders>
              <w:top w:val="single" w:sz="5" w:space="0" w:color="000000"/>
              <w:left w:val="single" w:sz="5" w:space="0" w:color="000000"/>
              <w:bottom w:val="single" w:sz="5" w:space="0" w:color="000000"/>
              <w:right w:val="single" w:sz="5" w:space="0" w:color="000000"/>
            </w:tcBorders>
          </w:tcPr>
          <w:p w14:paraId="4E777CDE" w14:textId="3D7F1A9E"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სითხის მოცულობის შემცირება</w:t>
            </w:r>
            <w:r w:rsidRPr="001C3C36">
              <w:rPr>
                <w:rFonts w:ascii="Sylfaen" w:hAnsi="Sylfaen" w:cs="Times New Roman"/>
                <w:noProof/>
                <w:sz w:val="18"/>
                <w:szCs w:val="18"/>
                <w:vertAlign w:val="superscript"/>
              </w:rPr>
              <w:t>b,e</w:t>
            </w:r>
            <w:r w:rsidRPr="001C3C36">
              <w:rPr>
                <w:rFonts w:ascii="Sylfaen" w:hAnsi="Sylfaen" w:cs="Times New Roman"/>
                <w:noProof/>
                <w:sz w:val="18"/>
                <w:szCs w:val="18"/>
              </w:rPr>
              <w:br/>
              <w:t>წყურვილი**</w:t>
            </w:r>
          </w:p>
        </w:tc>
        <w:tc>
          <w:tcPr>
            <w:tcW w:w="1284" w:type="dxa"/>
            <w:tcBorders>
              <w:top w:val="single" w:sz="5" w:space="0" w:color="000000"/>
              <w:left w:val="single" w:sz="5" w:space="0" w:color="000000"/>
              <w:bottom w:val="single" w:sz="5" w:space="0" w:color="000000"/>
              <w:right w:val="single" w:sz="5" w:space="0" w:color="000000"/>
            </w:tcBorders>
          </w:tcPr>
          <w:p w14:paraId="00048775" w14:textId="205FC80F"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დიაბეტური კეტოაციდოზი (მე-2 ტიპის შაქრიანი დიაბეტის დროს გამოყენებისას)</w:t>
            </w:r>
            <w:r w:rsidRPr="001C3C36">
              <w:rPr>
                <w:rFonts w:ascii="Sylfaen" w:hAnsi="Sylfaen" w:cs="Times New Roman"/>
                <w:noProof/>
                <w:sz w:val="18"/>
                <w:szCs w:val="18"/>
                <w:vertAlign w:val="superscript"/>
              </w:rPr>
              <w:t>b,i,k</w:t>
            </w:r>
          </w:p>
        </w:tc>
        <w:tc>
          <w:tcPr>
            <w:tcW w:w="1347" w:type="dxa"/>
            <w:tcBorders>
              <w:top w:val="single" w:sz="5" w:space="0" w:color="000000"/>
              <w:left w:val="single" w:sz="5" w:space="0" w:color="000000"/>
              <w:bottom w:val="single" w:sz="5" w:space="0" w:color="000000"/>
              <w:right w:val="single" w:sz="5" w:space="0" w:color="000000"/>
            </w:tcBorders>
          </w:tcPr>
          <w:p w14:paraId="48CD39CB" w14:textId="77777777" w:rsidR="000D6F1F" w:rsidRPr="001C3C36" w:rsidRDefault="000D6F1F" w:rsidP="00BC0A56">
            <w:pPr>
              <w:spacing w:line="240" w:lineRule="auto"/>
              <w:rPr>
                <w:rFonts w:ascii="Sylfaen" w:hAnsi="Sylfaen" w:cs="Times New Roman"/>
                <w:noProof/>
                <w:sz w:val="18"/>
                <w:szCs w:val="18"/>
              </w:rPr>
            </w:pPr>
          </w:p>
        </w:tc>
      </w:tr>
      <w:tr w:rsidR="000D6F1F" w:rsidRPr="001C3C36" w14:paraId="2F6C1070" w14:textId="77777777" w:rsidTr="00FC0C70">
        <w:trPr>
          <w:trHeight w:hRule="exact" w:val="865"/>
        </w:trPr>
        <w:tc>
          <w:tcPr>
            <w:tcW w:w="1618" w:type="dxa"/>
            <w:tcBorders>
              <w:top w:val="single" w:sz="5" w:space="0" w:color="000000"/>
              <w:left w:val="single" w:sz="5" w:space="0" w:color="000000"/>
              <w:bottom w:val="single" w:sz="5" w:space="0" w:color="000000"/>
              <w:right w:val="single" w:sz="5" w:space="0" w:color="000000"/>
            </w:tcBorders>
          </w:tcPr>
          <w:p w14:paraId="1844D80E" w14:textId="34B971B8"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 xml:space="preserve">ნერვული სისტემის </w:t>
            </w:r>
            <w:r w:rsidR="00FC0C70">
              <w:rPr>
                <w:rFonts w:ascii="Sylfaen" w:hAnsi="Sylfaen" w:cs="Times New Roman"/>
                <w:noProof/>
                <w:sz w:val="18"/>
                <w:szCs w:val="18"/>
              </w:rPr>
              <w:t xml:space="preserve">მხრივ </w:t>
            </w:r>
            <w:r w:rsidRPr="001C3C36">
              <w:rPr>
                <w:rFonts w:ascii="Sylfaen" w:hAnsi="Sylfaen" w:cs="Times New Roman"/>
                <w:noProof/>
                <w:sz w:val="18"/>
                <w:szCs w:val="18"/>
              </w:rPr>
              <w:t>დარღვევები</w:t>
            </w:r>
          </w:p>
        </w:tc>
        <w:tc>
          <w:tcPr>
            <w:tcW w:w="1584" w:type="dxa"/>
            <w:tcBorders>
              <w:top w:val="single" w:sz="5" w:space="0" w:color="000000"/>
              <w:left w:val="single" w:sz="5" w:space="0" w:color="000000"/>
              <w:bottom w:val="single" w:sz="5" w:space="0" w:color="000000"/>
              <w:right w:val="single" w:sz="5" w:space="0" w:color="000000"/>
            </w:tcBorders>
          </w:tcPr>
          <w:p w14:paraId="24215AE4" w14:textId="77777777" w:rsidR="000D6F1F" w:rsidRPr="001C3C36" w:rsidRDefault="000D6F1F" w:rsidP="00BC0A56">
            <w:pPr>
              <w:spacing w:line="240" w:lineRule="auto"/>
              <w:rPr>
                <w:rFonts w:ascii="Sylfaen" w:hAnsi="Sylfaen" w:cs="Times New Roman"/>
                <w:noProof/>
                <w:sz w:val="18"/>
                <w:szCs w:val="18"/>
              </w:rPr>
            </w:pPr>
          </w:p>
        </w:tc>
        <w:tc>
          <w:tcPr>
            <w:tcW w:w="1553" w:type="dxa"/>
            <w:tcBorders>
              <w:top w:val="single" w:sz="5" w:space="0" w:color="000000"/>
              <w:left w:val="single" w:sz="5" w:space="0" w:color="000000"/>
              <w:bottom w:val="single" w:sz="5" w:space="0" w:color="000000"/>
              <w:right w:val="single" w:sz="5" w:space="0" w:color="000000"/>
            </w:tcBorders>
          </w:tcPr>
          <w:p w14:paraId="2EA8B372" w14:textId="09A5CE08"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თავბრუსხვევა</w:t>
            </w:r>
          </w:p>
        </w:tc>
        <w:tc>
          <w:tcPr>
            <w:tcW w:w="1462" w:type="dxa"/>
            <w:tcBorders>
              <w:top w:val="single" w:sz="5" w:space="0" w:color="000000"/>
              <w:left w:val="single" w:sz="5" w:space="0" w:color="000000"/>
              <w:bottom w:val="single" w:sz="5" w:space="0" w:color="000000"/>
              <w:right w:val="single" w:sz="5" w:space="0" w:color="000000"/>
            </w:tcBorders>
          </w:tcPr>
          <w:p w14:paraId="18F8F55B" w14:textId="77777777" w:rsidR="000D6F1F" w:rsidRPr="001C3C36" w:rsidRDefault="000D6F1F" w:rsidP="00BC0A56">
            <w:pPr>
              <w:spacing w:line="240" w:lineRule="auto"/>
              <w:rPr>
                <w:rFonts w:ascii="Sylfaen" w:hAnsi="Sylfaen" w:cs="Times New Roman"/>
                <w:noProof/>
                <w:sz w:val="18"/>
                <w:szCs w:val="18"/>
              </w:rPr>
            </w:pPr>
          </w:p>
        </w:tc>
        <w:tc>
          <w:tcPr>
            <w:tcW w:w="1284" w:type="dxa"/>
            <w:tcBorders>
              <w:top w:val="single" w:sz="5" w:space="0" w:color="000000"/>
              <w:left w:val="single" w:sz="5" w:space="0" w:color="000000"/>
              <w:bottom w:val="single" w:sz="5" w:space="0" w:color="000000"/>
              <w:right w:val="single" w:sz="5" w:space="0" w:color="000000"/>
            </w:tcBorders>
          </w:tcPr>
          <w:p w14:paraId="21E96ED7" w14:textId="77777777" w:rsidR="000D6F1F" w:rsidRPr="001C3C36" w:rsidRDefault="000D6F1F" w:rsidP="00BC0A56">
            <w:pPr>
              <w:spacing w:line="240" w:lineRule="auto"/>
              <w:rPr>
                <w:rFonts w:ascii="Sylfaen" w:hAnsi="Sylfaen" w:cs="Times New Roman"/>
                <w:noProof/>
                <w:sz w:val="18"/>
                <w:szCs w:val="18"/>
              </w:rPr>
            </w:pPr>
          </w:p>
        </w:tc>
        <w:tc>
          <w:tcPr>
            <w:tcW w:w="1347" w:type="dxa"/>
            <w:tcBorders>
              <w:top w:val="single" w:sz="5" w:space="0" w:color="000000"/>
              <w:left w:val="single" w:sz="5" w:space="0" w:color="000000"/>
              <w:bottom w:val="single" w:sz="5" w:space="0" w:color="000000"/>
              <w:right w:val="single" w:sz="5" w:space="0" w:color="000000"/>
            </w:tcBorders>
          </w:tcPr>
          <w:p w14:paraId="134DEC39" w14:textId="77777777" w:rsidR="000D6F1F" w:rsidRPr="001C3C36" w:rsidRDefault="000D6F1F" w:rsidP="00BC0A56">
            <w:pPr>
              <w:spacing w:line="240" w:lineRule="auto"/>
              <w:rPr>
                <w:rFonts w:ascii="Sylfaen" w:hAnsi="Sylfaen" w:cs="Times New Roman"/>
                <w:noProof/>
                <w:sz w:val="18"/>
                <w:szCs w:val="18"/>
              </w:rPr>
            </w:pPr>
          </w:p>
        </w:tc>
      </w:tr>
      <w:tr w:rsidR="000D6F1F" w:rsidRPr="001C3C36" w14:paraId="43AFD26C" w14:textId="77777777" w:rsidTr="003B3501">
        <w:trPr>
          <w:trHeight w:hRule="exact" w:val="849"/>
        </w:trPr>
        <w:tc>
          <w:tcPr>
            <w:tcW w:w="1618" w:type="dxa"/>
            <w:tcBorders>
              <w:top w:val="single" w:sz="5" w:space="0" w:color="000000"/>
              <w:left w:val="single" w:sz="5" w:space="0" w:color="000000"/>
              <w:bottom w:val="single" w:sz="5" w:space="0" w:color="000000"/>
              <w:right w:val="single" w:sz="5" w:space="0" w:color="000000"/>
            </w:tcBorders>
          </w:tcPr>
          <w:p w14:paraId="5FBF6856" w14:textId="136BDAF7"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 xml:space="preserve">კუჭ-ნაწლავის ტრაქტის </w:t>
            </w:r>
            <w:r w:rsidR="00FC0C70">
              <w:rPr>
                <w:rFonts w:ascii="Sylfaen" w:hAnsi="Sylfaen" w:cs="Times New Roman"/>
                <w:noProof/>
                <w:sz w:val="18"/>
                <w:szCs w:val="18"/>
              </w:rPr>
              <w:t xml:space="preserve">მხრივ </w:t>
            </w:r>
            <w:r w:rsidRPr="001C3C36">
              <w:rPr>
                <w:rFonts w:ascii="Sylfaen" w:hAnsi="Sylfaen" w:cs="Times New Roman"/>
                <w:noProof/>
                <w:sz w:val="18"/>
                <w:szCs w:val="18"/>
              </w:rPr>
              <w:t>დარღვევები</w:t>
            </w:r>
          </w:p>
        </w:tc>
        <w:tc>
          <w:tcPr>
            <w:tcW w:w="1584" w:type="dxa"/>
            <w:tcBorders>
              <w:top w:val="single" w:sz="5" w:space="0" w:color="000000"/>
              <w:left w:val="single" w:sz="5" w:space="0" w:color="000000"/>
              <w:bottom w:val="single" w:sz="5" w:space="0" w:color="000000"/>
              <w:right w:val="single" w:sz="5" w:space="0" w:color="000000"/>
            </w:tcBorders>
          </w:tcPr>
          <w:p w14:paraId="4D12884D" w14:textId="77777777" w:rsidR="000D6F1F" w:rsidRPr="001C3C36" w:rsidRDefault="000D6F1F" w:rsidP="00BC0A56">
            <w:pPr>
              <w:spacing w:line="240" w:lineRule="auto"/>
              <w:rPr>
                <w:rFonts w:ascii="Sylfaen" w:hAnsi="Sylfaen" w:cs="Times New Roman"/>
                <w:noProof/>
                <w:sz w:val="18"/>
                <w:szCs w:val="18"/>
              </w:rPr>
            </w:pPr>
          </w:p>
        </w:tc>
        <w:tc>
          <w:tcPr>
            <w:tcW w:w="1553" w:type="dxa"/>
            <w:tcBorders>
              <w:top w:val="single" w:sz="5" w:space="0" w:color="000000"/>
              <w:left w:val="single" w:sz="5" w:space="0" w:color="000000"/>
              <w:bottom w:val="single" w:sz="5" w:space="0" w:color="000000"/>
              <w:right w:val="single" w:sz="5" w:space="0" w:color="000000"/>
            </w:tcBorders>
          </w:tcPr>
          <w:p w14:paraId="5B03E2BD" w14:textId="77777777" w:rsidR="000D6F1F" w:rsidRPr="001C3C36" w:rsidRDefault="000D6F1F" w:rsidP="00BC0A56">
            <w:pPr>
              <w:spacing w:line="240" w:lineRule="auto"/>
              <w:rPr>
                <w:rFonts w:ascii="Sylfaen" w:hAnsi="Sylfaen" w:cs="Times New Roman"/>
                <w:noProof/>
                <w:sz w:val="18"/>
                <w:szCs w:val="18"/>
              </w:rPr>
            </w:pPr>
          </w:p>
        </w:tc>
        <w:tc>
          <w:tcPr>
            <w:tcW w:w="1462" w:type="dxa"/>
            <w:tcBorders>
              <w:top w:val="single" w:sz="5" w:space="0" w:color="000000"/>
              <w:left w:val="single" w:sz="5" w:space="0" w:color="000000"/>
              <w:bottom w:val="single" w:sz="5" w:space="0" w:color="000000"/>
              <w:right w:val="single" w:sz="5" w:space="0" w:color="000000"/>
            </w:tcBorders>
          </w:tcPr>
          <w:p w14:paraId="3F1E54A9" w14:textId="23D2CB88"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ყაზბობა</w:t>
            </w:r>
            <w:r w:rsidR="000D6F1F" w:rsidRPr="001C3C36">
              <w:rPr>
                <w:rFonts w:ascii="Sylfaen" w:hAnsi="Sylfaen" w:cs="Times New Roman"/>
                <w:noProof/>
                <w:sz w:val="18"/>
                <w:szCs w:val="18"/>
                <w:vertAlign w:val="superscript"/>
              </w:rPr>
              <w:t>**</w:t>
            </w:r>
            <w:r w:rsidR="000D6F1F" w:rsidRPr="001C3C36">
              <w:rPr>
                <w:rFonts w:ascii="Sylfaen" w:hAnsi="Sylfaen" w:cs="Times New Roman"/>
                <w:noProof/>
                <w:sz w:val="18"/>
                <w:szCs w:val="18"/>
              </w:rPr>
              <w:t xml:space="preserve"> </w:t>
            </w:r>
            <w:r w:rsidRPr="001C3C36">
              <w:rPr>
                <w:rFonts w:ascii="Sylfaen" w:hAnsi="Sylfaen" w:cs="Times New Roman"/>
                <w:noProof/>
                <w:sz w:val="18"/>
                <w:szCs w:val="18"/>
              </w:rPr>
              <w:br/>
              <w:t>პირის სიმშრალე</w:t>
            </w:r>
            <w:r w:rsidR="000D6F1F" w:rsidRPr="001C3C36">
              <w:rPr>
                <w:rFonts w:ascii="Sylfaen" w:hAnsi="Sylfaen" w:cs="Times New Roman"/>
                <w:noProof/>
                <w:sz w:val="18"/>
                <w:szCs w:val="18"/>
                <w:vertAlign w:val="superscript"/>
              </w:rPr>
              <w:t>**</w:t>
            </w:r>
          </w:p>
        </w:tc>
        <w:tc>
          <w:tcPr>
            <w:tcW w:w="1284" w:type="dxa"/>
            <w:tcBorders>
              <w:top w:val="single" w:sz="5" w:space="0" w:color="000000"/>
              <w:left w:val="single" w:sz="5" w:space="0" w:color="000000"/>
              <w:bottom w:val="single" w:sz="5" w:space="0" w:color="000000"/>
              <w:right w:val="single" w:sz="5" w:space="0" w:color="000000"/>
            </w:tcBorders>
          </w:tcPr>
          <w:p w14:paraId="09A2B5BC" w14:textId="77777777" w:rsidR="000D6F1F" w:rsidRPr="001C3C36" w:rsidRDefault="000D6F1F" w:rsidP="00BC0A56">
            <w:pPr>
              <w:spacing w:line="240" w:lineRule="auto"/>
              <w:rPr>
                <w:rFonts w:ascii="Sylfaen" w:hAnsi="Sylfaen" w:cs="Times New Roman"/>
                <w:noProof/>
                <w:sz w:val="18"/>
                <w:szCs w:val="18"/>
              </w:rPr>
            </w:pPr>
          </w:p>
        </w:tc>
        <w:tc>
          <w:tcPr>
            <w:tcW w:w="1347" w:type="dxa"/>
            <w:tcBorders>
              <w:top w:val="single" w:sz="5" w:space="0" w:color="000000"/>
              <w:left w:val="single" w:sz="5" w:space="0" w:color="000000"/>
              <w:bottom w:val="single" w:sz="5" w:space="0" w:color="000000"/>
              <w:right w:val="single" w:sz="5" w:space="0" w:color="000000"/>
            </w:tcBorders>
          </w:tcPr>
          <w:p w14:paraId="422294B6" w14:textId="77777777" w:rsidR="000D6F1F" w:rsidRPr="001C3C36" w:rsidRDefault="000D6F1F" w:rsidP="00BC0A56">
            <w:pPr>
              <w:spacing w:line="240" w:lineRule="auto"/>
              <w:rPr>
                <w:rFonts w:ascii="Sylfaen" w:hAnsi="Sylfaen" w:cs="Times New Roman"/>
                <w:noProof/>
                <w:sz w:val="18"/>
                <w:szCs w:val="18"/>
              </w:rPr>
            </w:pPr>
          </w:p>
        </w:tc>
      </w:tr>
      <w:tr w:rsidR="000D6F1F" w:rsidRPr="001C3C36" w14:paraId="3828D564" w14:textId="77777777" w:rsidTr="003B3501">
        <w:trPr>
          <w:trHeight w:hRule="exact" w:val="903"/>
        </w:trPr>
        <w:tc>
          <w:tcPr>
            <w:tcW w:w="1618" w:type="dxa"/>
            <w:tcBorders>
              <w:top w:val="single" w:sz="5" w:space="0" w:color="000000"/>
              <w:left w:val="single" w:sz="5" w:space="0" w:color="000000"/>
              <w:bottom w:val="single" w:sz="5" w:space="0" w:color="000000"/>
              <w:right w:val="single" w:sz="5" w:space="0" w:color="000000"/>
            </w:tcBorders>
          </w:tcPr>
          <w:p w14:paraId="4B285DF0" w14:textId="595FFB58"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 xml:space="preserve">კანისა და კანქვეშა ქსოვილების </w:t>
            </w:r>
            <w:r w:rsidR="00FC0C70">
              <w:rPr>
                <w:rFonts w:ascii="Sylfaen" w:hAnsi="Sylfaen" w:cs="Times New Roman"/>
                <w:noProof/>
                <w:sz w:val="18"/>
                <w:szCs w:val="18"/>
              </w:rPr>
              <w:t xml:space="preserve">მხრივ </w:t>
            </w:r>
            <w:r w:rsidRPr="001C3C36">
              <w:rPr>
                <w:rFonts w:ascii="Sylfaen" w:hAnsi="Sylfaen" w:cs="Times New Roman"/>
                <w:noProof/>
                <w:sz w:val="18"/>
                <w:szCs w:val="18"/>
              </w:rPr>
              <w:t>დარღვევები</w:t>
            </w:r>
          </w:p>
        </w:tc>
        <w:tc>
          <w:tcPr>
            <w:tcW w:w="1584" w:type="dxa"/>
            <w:tcBorders>
              <w:top w:val="single" w:sz="5" w:space="0" w:color="000000"/>
              <w:left w:val="single" w:sz="5" w:space="0" w:color="000000"/>
              <w:bottom w:val="single" w:sz="5" w:space="0" w:color="000000"/>
              <w:right w:val="single" w:sz="5" w:space="0" w:color="000000"/>
            </w:tcBorders>
          </w:tcPr>
          <w:p w14:paraId="66A89ED2" w14:textId="77777777" w:rsidR="000D6F1F" w:rsidRPr="001C3C36" w:rsidRDefault="000D6F1F" w:rsidP="00BC0A56">
            <w:pPr>
              <w:spacing w:line="240" w:lineRule="auto"/>
              <w:rPr>
                <w:rFonts w:ascii="Sylfaen" w:hAnsi="Sylfaen" w:cs="Times New Roman"/>
                <w:noProof/>
                <w:sz w:val="18"/>
                <w:szCs w:val="18"/>
              </w:rPr>
            </w:pPr>
          </w:p>
        </w:tc>
        <w:tc>
          <w:tcPr>
            <w:tcW w:w="1553" w:type="dxa"/>
            <w:tcBorders>
              <w:top w:val="single" w:sz="5" w:space="0" w:color="000000"/>
              <w:left w:val="single" w:sz="5" w:space="0" w:color="000000"/>
              <w:bottom w:val="single" w:sz="5" w:space="0" w:color="000000"/>
              <w:right w:val="single" w:sz="5" w:space="0" w:color="000000"/>
            </w:tcBorders>
          </w:tcPr>
          <w:p w14:paraId="6DE1C7EF" w14:textId="3E9E11FD"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გამონაყარი</w:t>
            </w:r>
            <w:r w:rsidR="000D6F1F" w:rsidRPr="001C3C36">
              <w:rPr>
                <w:rFonts w:ascii="Sylfaen" w:hAnsi="Sylfaen" w:cs="Times New Roman"/>
                <w:noProof/>
                <w:sz w:val="18"/>
                <w:szCs w:val="18"/>
                <w:vertAlign w:val="superscript"/>
              </w:rPr>
              <w:t>j</w:t>
            </w:r>
          </w:p>
        </w:tc>
        <w:tc>
          <w:tcPr>
            <w:tcW w:w="1462" w:type="dxa"/>
            <w:tcBorders>
              <w:top w:val="single" w:sz="5" w:space="0" w:color="000000"/>
              <w:left w:val="single" w:sz="5" w:space="0" w:color="000000"/>
              <w:bottom w:val="single" w:sz="5" w:space="0" w:color="000000"/>
              <w:right w:val="single" w:sz="5" w:space="0" w:color="000000"/>
            </w:tcBorders>
          </w:tcPr>
          <w:p w14:paraId="09C02060" w14:textId="77777777" w:rsidR="000D6F1F" w:rsidRPr="001C3C36" w:rsidRDefault="000D6F1F" w:rsidP="00BC0A56">
            <w:pPr>
              <w:spacing w:line="240" w:lineRule="auto"/>
              <w:rPr>
                <w:rFonts w:ascii="Sylfaen" w:hAnsi="Sylfaen" w:cs="Times New Roman"/>
                <w:noProof/>
                <w:sz w:val="18"/>
                <w:szCs w:val="18"/>
              </w:rPr>
            </w:pPr>
          </w:p>
        </w:tc>
        <w:tc>
          <w:tcPr>
            <w:tcW w:w="1284" w:type="dxa"/>
            <w:tcBorders>
              <w:top w:val="single" w:sz="5" w:space="0" w:color="000000"/>
              <w:left w:val="single" w:sz="5" w:space="0" w:color="000000"/>
              <w:bottom w:val="single" w:sz="5" w:space="0" w:color="000000"/>
              <w:right w:val="single" w:sz="5" w:space="0" w:color="000000"/>
            </w:tcBorders>
          </w:tcPr>
          <w:p w14:paraId="2AA6C2CA" w14:textId="77777777" w:rsidR="000D6F1F" w:rsidRPr="001C3C36" w:rsidRDefault="000D6F1F" w:rsidP="00BC0A56">
            <w:pPr>
              <w:spacing w:line="240" w:lineRule="auto"/>
              <w:rPr>
                <w:rFonts w:ascii="Sylfaen" w:hAnsi="Sylfaen" w:cs="Times New Roman"/>
                <w:noProof/>
                <w:sz w:val="18"/>
                <w:szCs w:val="18"/>
              </w:rPr>
            </w:pPr>
          </w:p>
        </w:tc>
        <w:tc>
          <w:tcPr>
            <w:tcW w:w="1347" w:type="dxa"/>
            <w:tcBorders>
              <w:top w:val="single" w:sz="5" w:space="0" w:color="000000"/>
              <w:left w:val="single" w:sz="5" w:space="0" w:color="000000"/>
              <w:bottom w:val="single" w:sz="5" w:space="0" w:color="000000"/>
              <w:right w:val="single" w:sz="5" w:space="0" w:color="000000"/>
            </w:tcBorders>
          </w:tcPr>
          <w:p w14:paraId="5A8B96E6" w14:textId="3C8DE606"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ანგიოდემა</w:t>
            </w:r>
          </w:p>
        </w:tc>
      </w:tr>
      <w:tr w:rsidR="000D6F1F" w:rsidRPr="001C3C36" w14:paraId="61AF658A" w14:textId="77777777" w:rsidTr="003B3501">
        <w:trPr>
          <w:trHeight w:hRule="exact" w:val="1173"/>
        </w:trPr>
        <w:tc>
          <w:tcPr>
            <w:tcW w:w="1618" w:type="dxa"/>
            <w:tcBorders>
              <w:top w:val="single" w:sz="5" w:space="0" w:color="000000"/>
              <w:left w:val="single" w:sz="5" w:space="0" w:color="000000"/>
              <w:bottom w:val="single" w:sz="5" w:space="0" w:color="000000"/>
              <w:right w:val="single" w:sz="5" w:space="0" w:color="000000"/>
            </w:tcBorders>
          </w:tcPr>
          <w:p w14:paraId="118F1D05" w14:textId="42F718D6"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 xml:space="preserve">კუნთ-სახსროვანი და შემაერთებელი ქსოვილის </w:t>
            </w:r>
            <w:r w:rsidR="00FC0C70">
              <w:rPr>
                <w:rFonts w:ascii="Sylfaen" w:hAnsi="Sylfaen" w:cs="Times New Roman"/>
                <w:noProof/>
                <w:sz w:val="18"/>
                <w:szCs w:val="18"/>
              </w:rPr>
              <w:t xml:space="preserve">მხრივ </w:t>
            </w:r>
            <w:r w:rsidRPr="001C3C36">
              <w:rPr>
                <w:rFonts w:ascii="Sylfaen" w:hAnsi="Sylfaen" w:cs="Times New Roman"/>
                <w:noProof/>
                <w:sz w:val="18"/>
                <w:szCs w:val="18"/>
              </w:rPr>
              <w:t>დარღვევები</w:t>
            </w:r>
          </w:p>
        </w:tc>
        <w:tc>
          <w:tcPr>
            <w:tcW w:w="1584" w:type="dxa"/>
            <w:tcBorders>
              <w:top w:val="single" w:sz="5" w:space="0" w:color="000000"/>
              <w:left w:val="single" w:sz="5" w:space="0" w:color="000000"/>
              <w:bottom w:val="single" w:sz="5" w:space="0" w:color="000000"/>
              <w:right w:val="single" w:sz="5" w:space="0" w:color="000000"/>
            </w:tcBorders>
          </w:tcPr>
          <w:p w14:paraId="3A590B6E" w14:textId="77777777" w:rsidR="000D6F1F" w:rsidRPr="001C3C36" w:rsidRDefault="000D6F1F" w:rsidP="00BC0A56">
            <w:pPr>
              <w:spacing w:line="240" w:lineRule="auto"/>
              <w:rPr>
                <w:rFonts w:ascii="Sylfaen" w:hAnsi="Sylfaen" w:cs="Times New Roman"/>
                <w:noProof/>
                <w:sz w:val="18"/>
                <w:szCs w:val="18"/>
              </w:rPr>
            </w:pPr>
          </w:p>
        </w:tc>
        <w:tc>
          <w:tcPr>
            <w:tcW w:w="1553" w:type="dxa"/>
            <w:tcBorders>
              <w:top w:val="single" w:sz="5" w:space="0" w:color="000000"/>
              <w:left w:val="single" w:sz="5" w:space="0" w:color="000000"/>
              <w:bottom w:val="single" w:sz="5" w:space="0" w:color="000000"/>
              <w:right w:val="single" w:sz="5" w:space="0" w:color="000000"/>
            </w:tcBorders>
          </w:tcPr>
          <w:p w14:paraId="051840CC" w14:textId="5CE4FA4B"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ზურგის ტკივილი</w:t>
            </w:r>
            <w:r w:rsidR="000D6F1F" w:rsidRPr="001C3C36">
              <w:rPr>
                <w:rFonts w:ascii="Sylfaen" w:hAnsi="Sylfaen" w:cs="Times New Roman"/>
                <w:noProof/>
                <w:sz w:val="18"/>
                <w:szCs w:val="18"/>
                <w:vertAlign w:val="superscript"/>
              </w:rPr>
              <w:t>*</w:t>
            </w:r>
          </w:p>
        </w:tc>
        <w:tc>
          <w:tcPr>
            <w:tcW w:w="1462" w:type="dxa"/>
            <w:tcBorders>
              <w:top w:val="single" w:sz="5" w:space="0" w:color="000000"/>
              <w:left w:val="single" w:sz="5" w:space="0" w:color="000000"/>
              <w:bottom w:val="single" w:sz="5" w:space="0" w:color="000000"/>
              <w:right w:val="single" w:sz="5" w:space="0" w:color="000000"/>
            </w:tcBorders>
          </w:tcPr>
          <w:p w14:paraId="0E7A90AE" w14:textId="77777777" w:rsidR="000D6F1F" w:rsidRPr="001C3C36" w:rsidRDefault="000D6F1F" w:rsidP="00BC0A56">
            <w:pPr>
              <w:spacing w:line="240" w:lineRule="auto"/>
              <w:rPr>
                <w:rFonts w:ascii="Sylfaen" w:hAnsi="Sylfaen" w:cs="Times New Roman"/>
                <w:noProof/>
                <w:sz w:val="18"/>
                <w:szCs w:val="18"/>
              </w:rPr>
            </w:pPr>
          </w:p>
        </w:tc>
        <w:tc>
          <w:tcPr>
            <w:tcW w:w="1284" w:type="dxa"/>
            <w:tcBorders>
              <w:top w:val="single" w:sz="5" w:space="0" w:color="000000"/>
              <w:left w:val="single" w:sz="5" w:space="0" w:color="000000"/>
              <w:bottom w:val="single" w:sz="5" w:space="0" w:color="000000"/>
              <w:right w:val="single" w:sz="5" w:space="0" w:color="000000"/>
            </w:tcBorders>
          </w:tcPr>
          <w:p w14:paraId="0F0D0A07" w14:textId="77777777" w:rsidR="000D6F1F" w:rsidRPr="001C3C36" w:rsidRDefault="000D6F1F" w:rsidP="00BC0A56">
            <w:pPr>
              <w:spacing w:line="240" w:lineRule="auto"/>
              <w:rPr>
                <w:rFonts w:ascii="Sylfaen" w:hAnsi="Sylfaen" w:cs="Times New Roman"/>
                <w:noProof/>
                <w:sz w:val="18"/>
                <w:szCs w:val="18"/>
              </w:rPr>
            </w:pPr>
          </w:p>
        </w:tc>
        <w:tc>
          <w:tcPr>
            <w:tcW w:w="1347" w:type="dxa"/>
            <w:tcBorders>
              <w:top w:val="single" w:sz="5" w:space="0" w:color="000000"/>
              <w:left w:val="single" w:sz="5" w:space="0" w:color="000000"/>
              <w:bottom w:val="single" w:sz="5" w:space="0" w:color="000000"/>
              <w:right w:val="single" w:sz="5" w:space="0" w:color="000000"/>
            </w:tcBorders>
          </w:tcPr>
          <w:p w14:paraId="02466578" w14:textId="77777777" w:rsidR="000D6F1F" w:rsidRPr="001C3C36" w:rsidRDefault="000D6F1F" w:rsidP="00BC0A56">
            <w:pPr>
              <w:spacing w:line="240" w:lineRule="auto"/>
              <w:rPr>
                <w:rFonts w:ascii="Sylfaen" w:hAnsi="Sylfaen" w:cs="Times New Roman"/>
                <w:noProof/>
                <w:sz w:val="18"/>
                <w:szCs w:val="18"/>
              </w:rPr>
            </w:pPr>
          </w:p>
        </w:tc>
      </w:tr>
      <w:tr w:rsidR="000D6F1F" w:rsidRPr="001C3C36" w14:paraId="2113288C" w14:textId="77777777" w:rsidTr="003B3501">
        <w:trPr>
          <w:trHeight w:hRule="exact" w:val="984"/>
        </w:trPr>
        <w:tc>
          <w:tcPr>
            <w:tcW w:w="1618" w:type="dxa"/>
            <w:tcBorders>
              <w:top w:val="single" w:sz="5" w:space="0" w:color="000000"/>
              <w:left w:val="single" w:sz="5" w:space="0" w:color="000000"/>
              <w:bottom w:val="single" w:sz="5" w:space="0" w:color="000000"/>
              <w:right w:val="single" w:sz="5" w:space="0" w:color="000000"/>
            </w:tcBorders>
          </w:tcPr>
          <w:p w14:paraId="20D73AC6" w14:textId="3F68E6B5"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თირკმლისა და საშარდე სისტემის</w:t>
            </w:r>
            <w:r w:rsidR="00FC0C70">
              <w:rPr>
                <w:rFonts w:ascii="Sylfaen" w:hAnsi="Sylfaen" w:cs="Times New Roman"/>
                <w:noProof/>
                <w:sz w:val="18"/>
                <w:szCs w:val="18"/>
              </w:rPr>
              <w:t xml:space="preserve"> მხრივ</w:t>
            </w:r>
            <w:r w:rsidRPr="001C3C36">
              <w:rPr>
                <w:rFonts w:ascii="Sylfaen" w:hAnsi="Sylfaen" w:cs="Times New Roman"/>
                <w:noProof/>
                <w:sz w:val="18"/>
                <w:szCs w:val="18"/>
              </w:rPr>
              <w:t xml:space="preserve"> დარღვევები</w:t>
            </w:r>
          </w:p>
        </w:tc>
        <w:tc>
          <w:tcPr>
            <w:tcW w:w="1584" w:type="dxa"/>
            <w:tcBorders>
              <w:top w:val="single" w:sz="5" w:space="0" w:color="000000"/>
              <w:left w:val="single" w:sz="5" w:space="0" w:color="000000"/>
              <w:bottom w:val="single" w:sz="5" w:space="0" w:color="000000"/>
              <w:right w:val="single" w:sz="5" w:space="0" w:color="000000"/>
            </w:tcBorders>
          </w:tcPr>
          <w:p w14:paraId="7BF68E06" w14:textId="77777777" w:rsidR="000D6F1F" w:rsidRPr="001C3C36" w:rsidRDefault="000D6F1F" w:rsidP="00BC0A56">
            <w:pPr>
              <w:spacing w:line="240" w:lineRule="auto"/>
              <w:rPr>
                <w:rFonts w:ascii="Sylfaen" w:hAnsi="Sylfaen" w:cs="Times New Roman"/>
                <w:noProof/>
                <w:sz w:val="18"/>
                <w:szCs w:val="18"/>
              </w:rPr>
            </w:pPr>
          </w:p>
        </w:tc>
        <w:tc>
          <w:tcPr>
            <w:tcW w:w="1553" w:type="dxa"/>
            <w:tcBorders>
              <w:top w:val="single" w:sz="5" w:space="0" w:color="000000"/>
              <w:left w:val="single" w:sz="5" w:space="0" w:color="000000"/>
              <w:bottom w:val="single" w:sz="5" w:space="0" w:color="000000"/>
              <w:right w:val="single" w:sz="5" w:space="0" w:color="000000"/>
            </w:tcBorders>
          </w:tcPr>
          <w:p w14:paraId="3CB3830D" w14:textId="3FCBA9C8"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 xml:space="preserve">დიზურია </w:t>
            </w:r>
            <w:r w:rsidRPr="001C3C36">
              <w:rPr>
                <w:rFonts w:ascii="Sylfaen" w:hAnsi="Sylfaen" w:cs="Times New Roman"/>
                <w:noProof/>
                <w:sz w:val="18"/>
                <w:szCs w:val="18"/>
              </w:rPr>
              <w:br/>
              <w:t>პოლიურია</w:t>
            </w:r>
            <w:r w:rsidR="000D6F1F" w:rsidRPr="001C3C36">
              <w:rPr>
                <w:rFonts w:ascii="Sylfaen" w:hAnsi="Sylfaen" w:cs="Times New Roman"/>
                <w:noProof/>
                <w:sz w:val="18"/>
                <w:szCs w:val="18"/>
                <w:vertAlign w:val="superscript"/>
              </w:rPr>
              <w:t>*,f</w:t>
            </w:r>
          </w:p>
        </w:tc>
        <w:tc>
          <w:tcPr>
            <w:tcW w:w="1462" w:type="dxa"/>
            <w:tcBorders>
              <w:top w:val="single" w:sz="5" w:space="0" w:color="000000"/>
              <w:left w:val="single" w:sz="5" w:space="0" w:color="000000"/>
              <w:bottom w:val="single" w:sz="5" w:space="0" w:color="000000"/>
              <w:right w:val="single" w:sz="5" w:space="0" w:color="000000"/>
            </w:tcBorders>
          </w:tcPr>
          <w:p w14:paraId="4DB761C3" w14:textId="4B38CF73"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ნოქტურია</w:t>
            </w:r>
            <w:r w:rsidR="000D6F1F" w:rsidRPr="001C3C36">
              <w:rPr>
                <w:rFonts w:ascii="Sylfaen" w:hAnsi="Sylfaen" w:cs="Times New Roman"/>
                <w:noProof/>
                <w:sz w:val="18"/>
                <w:szCs w:val="18"/>
                <w:vertAlign w:val="superscript"/>
              </w:rPr>
              <w:t>**</w:t>
            </w:r>
          </w:p>
        </w:tc>
        <w:tc>
          <w:tcPr>
            <w:tcW w:w="1284" w:type="dxa"/>
            <w:tcBorders>
              <w:top w:val="single" w:sz="5" w:space="0" w:color="000000"/>
              <w:left w:val="single" w:sz="5" w:space="0" w:color="000000"/>
              <w:bottom w:val="single" w:sz="5" w:space="0" w:color="000000"/>
              <w:right w:val="single" w:sz="5" w:space="0" w:color="000000"/>
            </w:tcBorders>
          </w:tcPr>
          <w:p w14:paraId="0F2E6017" w14:textId="77777777" w:rsidR="000D6F1F" w:rsidRPr="001C3C36" w:rsidRDefault="000D6F1F" w:rsidP="00BC0A56">
            <w:pPr>
              <w:spacing w:line="240" w:lineRule="auto"/>
              <w:rPr>
                <w:rFonts w:ascii="Sylfaen" w:hAnsi="Sylfaen" w:cs="Times New Roman"/>
                <w:noProof/>
                <w:sz w:val="18"/>
                <w:szCs w:val="18"/>
              </w:rPr>
            </w:pPr>
          </w:p>
        </w:tc>
        <w:tc>
          <w:tcPr>
            <w:tcW w:w="1347" w:type="dxa"/>
            <w:tcBorders>
              <w:top w:val="single" w:sz="5" w:space="0" w:color="000000"/>
              <w:left w:val="single" w:sz="5" w:space="0" w:color="000000"/>
              <w:bottom w:val="single" w:sz="5" w:space="0" w:color="000000"/>
              <w:right w:val="single" w:sz="5" w:space="0" w:color="000000"/>
            </w:tcBorders>
          </w:tcPr>
          <w:p w14:paraId="01291B91" w14:textId="3FA2546A"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ტუბულოინტერსტიციული ნეფრიტი</w:t>
            </w:r>
          </w:p>
        </w:tc>
      </w:tr>
      <w:tr w:rsidR="000D6F1F" w:rsidRPr="001C3C36" w14:paraId="20FA52C8" w14:textId="77777777" w:rsidTr="00FC0C70">
        <w:trPr>
          <w:trHeight w:hRule="exact" w:val="1330"/>
        </w:trPr>
        <w:tc>
          <w:tcPr>
            <w:tcW w:w="1618" w:type="dxa"/>
            <w:tcBorders>
              <w:top w:val="single" w:sz="5" w:space="0" w:color="000000"/>
              <w:left w:val="single" w:sz="5" w:space="0" w:color="000000"/>
              <w:bottom w:val="single" w:sz="5" w:space="0" w:color="000000"/>
              <w:right w:val="single" w:sz="5" w:space="0" w:color="000000"/>
            </w:tcBorders>
          </w:tcPr>
          <w:p w14:paraId="77075667" w14:textId="6288BDD9" w:rsidR="000D6F1F" w:rsidRPr="001C3C36" w:rsidRDefault="003B3501" w:rsidP="00BC0A56">
            <w:pPr>
              <w:spacing w:line="240" w:lineRule="auto"/>
              <w:rPr>
                <w:rFonts w:ascii="Sylfaen" w:hAnsi="Sylfaen" w:cs="Times New Roman"/>
                <w:noProof/>
                <w:sz w:val="18"/>
                <w:szCs w:val="18"/>
              </w:rPr>
            </w:pPr>
            <w:r w:rsidRPr="001C3C36">
              <w:rPr>
                <w:rFonts w:ascii="Sylfaen" w:hAnsi="Sylfaen" w:cs="Times New Roman"/>
                <w:noProof/>
                <w:sz w:val="18"/>
                <w:szCs w:val="18"/>
              </w:rPr>
              <w:t>რეპროდუქციული სისტემისა და სარძევე ჯირკვლ</w:t>
            </w:r>
            <w:r w:rsidR="00FC0C70">
              <w:rPr>
                <w:rFonts w:ascii="Sylfaen" w:hAnsi="Sylfaen" w:cs="Times New Roman"/>
                <w:noProof/>
                <w:sz w:val="18"/>
                <w:szCs w:val="18"/>
              </w:rPr>
              <w:t>ებ</w:t>
            </w:r>
            <w:r w:rsidRPr="001C3C36">
              <w:rPr>
                <w:rFonts w:ascii="Sylfaen" w:hAnsi="Sylfaen" w:cs="Times New Roman"/>
                <w:noProof/>
                <w:sz w:val="18"/>
                <w:szCs w:val="18"/>
              </w:rPr>
              <w:t>ის</w:t>
            </w:r>
            <w:r w:rsidR="00FC0C70">
              <w:rPr>
                <w:rFonts w:ascii="Sylfaen" w:hAnsi="Sylfaen" w:cs="Times New Roman"/>
                <w:noProof/>
                <w:sz w:val="18"/>
                <w:szCs w:val="18"/>
              </w:rPr>
              <w:t xml:space="preserve"> მხრივ </w:t>
            </w:r>
            <w:r w:rsidRPr="001C3C36">
              <w:rPr>
                <w:rFonts w:ascii="Sylfaen" w:hAnsi="Sylfaen" w:cs="Times New Roman"/>
                <w:noProof/>
                <w:sz w:val="18"/>
                <w:szCs w:val="18"/>
              </w:rPr>
              <w:t xml:space="preserve"> დარღვევები</w:t>
            </w:r>
          </w:p>
        </w:tc>
        <w:tc>
          <w:tcPr>
            <w:tcW w:w="1584" w:type="dxa"/>
            <w:tcBorders>
              <w:top w:val="single" w:sz="5" w:space="0" w:color="000000"/>
              <w:left w:val="single" w:sz="5" w:space="0" w:color="000000"/>
              <w:bottom w:val="single" w:sz="5" w:space="0" w:color="000000"/>
              <w:right w:val="single" w:sz="5" w:space="0" w:color="000000"/>
            </w:tcBorders>
          </w:tcPr>
          <w:p w14:paraId="6F8AA710" w14:textId="77777777" w:rsidR="000D6F1F" w:rsidRPr="001C3C36" w:rsidRDefault="000D6F1F" w:rsidP="00BC0A56">
            <w:pPr>
              <w:spacing w:line="240" w:lineRule="auto"/>
              <w:rPr>
                <w:rFonts w:ascii="Sylfaen" w:hAnsi="Sylfaen" w:cs="Times New Roman"/>
                <w:noProof/>
                <w:sz w:val="18"/>
                <w:szCs w:val="18"/>
              </w:rPr>
            </w:pPr>
          </w:p>
        </w:tc>
        <w:tc>
          <w:tcPr>
            <w:tcW w:w="1553" w:type="dxa"/>
            <w:tcBorders>
              <w:top w:val="single" w:sz="5" w:space="0" w:color="000000"/>
              <w:left w:val="single" w:sz="5" w:space="0" w:color="000000"/>
              <w:bottom w:val="single" w:sz="5" w:space="0" w:color="000000"/>
              <w:right w:val="single" w:sz="5" w:space="0" w:color="000000"/>
            </w:tcBorders>
          </w:tcPr>
          <w:p w14:paraId="3537F9CA" w14:textId="77777777" w:rsidR="000D6F1F" w:rsidRPr="001C3C36" w:rsidRDefault="000D6F1F" w:rsidP="00BC0A56">
            <w:pPr>
              <w:spacing w:line="240" w:lineRule="auto"/>
              <w:rPr>
                <w:rFonts w:ascii="Sylfaen" w:hAnsi="Sylfaen" w:cs="Times New Roman"/>
                <w:noProof/>
                <w:sz w:val="18"/>
                <w:szCs w:val="18"/>
              </w:rPr>
            </w:pPr>
          </w:p>
        </w:tc>
        <w:tc>
          <w:tcPr>
            <w:tcW w:w="1462" w:type="dxa"/>
            <w:tcBorders>
              <w:top w:val="single" w:sz="5" w:space="0" w:color="000000"/>
              <w:left w:val="single" w:sz="5" w:space="0" w:color="000000"/>
              <w:bottom w:val="single" w:sz="5" w:space="0" w:color="000000"/>
              <w:right w:val="single" w:sz="5" w:space="0" w:color="000000"/>
            </w:tcBorders>
          </w:tcPr>
          <w:p w14:paraId="3F76804B" w14:textId="61A89161" w:rsidR="000D6F1F" w:rsidRPr="001C3C36" w:rsidRDefault="00AE315F" w:rsidP="00BC0A56">
            <w:pPr>
              <w:spacing w:line="240" w:lineRule="auto"/>
              <w:rPr>
                <w:rFonts w:ascii="Sylfaen" w:hAnsi="Sylfaen" w:cs="Times New Roman"/>
                <w:noProof/>
                <w:sz w:val="18"/>
                <w:szCs w:val="18"/>
              </w:rPr>
            </w:pPr>
            <w:r w:rsidRPr="001C3C36">
              <w:rPr>
                <w:rFonts w:ascii="Sylfaen" w:hAnsi="Sylfaen" w:cs="Times New Roman"/>
                <w:noProof/>
                <w:sz w:val="18"/>
                <w:szCs w:val="18"/>
              </w:rPr>
              <w:t>ვულვოვაგინალური ქავილი**</w:t>
            </w:r>
            <w:r w:rsidRPr="001C3C36">
              <w:rPr>
                <w:rFonts w:ascii="Sylfaen" w:hAnsi="Sylfaen" w:cs="Times New Roman"/>
                <w:noProof/>
                <w:sz w:val="18"/>
                <w:szCs w:val="18"/>
              </w:rPr>
              <w:br/>
              <w:t>გენიტალური ქავილი**</w:t>
            </w:r>
          </w:p>
        </w:tc>
        <w:tc>
          <w:tcPr>
            <w:tcW w:w="1284" w:type="dxa"/>
            <w:tcBorders>
              <w:top w:val="single" w:sz="5" w:space="0" w:color="000000"/>
              <w:left w:val="single" w:sz="5" w:space="0" w:color="000000"/>
              <w:bottom w:val="single" w:sz="5" w:space="0" w:color="000000"/>
              <w:right w:val="single" w:sz="5" w:space="0" w:color="000000"/>
            </w:tcBorders>
          </w:tcPr>
          <w:p w14:paraId="402482C8" w14:textId="77777777" w:rsidR="000D6F1F" w:rsidRPr="001C3C36" w:rsidRDefault="000D6F1F" w:rsidP="00BC0A56">
            <w:pPr>
              <w:spacing w:line="240" w:lineRule="auto"/>
              <w:rPr>
                <w:rFonts w:ascii="Sylfaen" w:hAnsi="Sylfaen" w:cs="Times New Roman"/>
                <w:noProof/>
                <w:sz w:val="18"/>
                <w:szCs w:val="18"/>
              </w:rPr>
            </w:pPr>
          </w:p>
        </w:tc>
        <w:tc>
          <w:tcPr>
            <w:tcW w:w="1347" w:type="dxa"/>
            <w:tcBorders>
              <w:top w:val="single" w:sz="5" w:space="0" w:color="000000"/>
              <w:left w:val="single" w:sz="5" w:space="0" w:color="000000"/>
              <w:bottom w:val="single" w:sz="5" w:space="0" w:color="000000"/>
              <w:right w:val="single" w:sz="5" w:space="0" w:color="000000"/>
            </w:tcBorders>
          </w:tcPr>
          <w:p w14:paraId="53B9FBB6" w14:textId="77777777" w:rsidR="000D6F1F" w:rsidRPr="001C3C36" w:rsidRDefault="000D6F1F" w:rsidP="00BC0A56">
            <w:pPr>
              <w:spacing w:line="240" w:lineRule="auto"/>
              <w:rPr>
                <w:rFonts w:ascii="Sylfaen" w:hAnsi="Sylfaen" w:cs="Times New Roman"/>
                <w:noProof/>
                <w:sz w:val="18"/>
                <w:szCs w:val="18"/>
              </w:rPr>
            </w:pPr>
          </w:p>
        </w:tc>
      </w:tr>
      <w:tr w:rsidR="000D6F1F" w:rsidRPr="001C3C36" w14:paraId="7875B595" w14:textId="77777777" w:rsidTr="00AE315F">
        <w:trPr>
          <w:trHeight w:hRule="exact" w:val="2793"/>
        </w:trPr>
        <w:tc>
          <w:tcPr>
            <w:tcW w:w="1618" w:type="dxa"/>
            <w:tcBorders>
              <w:top w:val="single" w:sz="5" w:space="0" w:color="000000"/>
              <w:left w:val="single" w:sz="5" w:space="0" w:color="000000"/>
              <w:bottom w:val="single" w:sz="5" w:space="0" w:color="000000"/>
              <w:right w:val="single" w:sz="5" w:space="0" w:color="000000"/>
            </w:tcBorders>
          </w:tcPr>
          <w:p w14:paraId="3E467815" w14:textId="7A05C4B4" w:rsidR="000D6F1F" w:rsidRPr="001C3C36" w:rsidRDefault="00AE315F" w:rsidP="00BC0A56">
            <w:pPr>
              <w:spacing w:line="240" w:lineRule="auto"/>
              <w:rPr>
                <w:rFonts w:ascii="Sylfaen" w:hAnsi="Sylfaen" w:cs="Times New Roman"/>
                <w:noProof/>
                <w:sz w:val="18"/>
                <w:szCs w:val="18"/>
              </w:rPr>
            </w:pPr>
            <w:r w:rsidRPr="001C3C36">
              <w:rPr>
                <w:rFonts w:ascii="Sylfaen" w:hAnsi="Sylfaen" w:cs="Times New Roman"/>
                <w:noProof/>
                <w:sz w:val="18"/>
                <w:szCs w:val="18"/>
              </w:rPr>
              <w:t>გამოკვლევები</w:t>
            </w:r>
          </w:p>
        </w:tc>
        <w:tc>
          <w:tcPr>
            <w:tcW w:w="1584" w:type="dxa"/>
            <w:tcBorders>
              <w:top w:val="single" w:sz="5" w:space="0" w:color="000000"/>
              <w:left w:val="single" w:sz="5" w:space="0" w:color="000000"/>
              <w:bottom w:val="single" w:sz="5" w:space="0" w:color="000000"/>
              <w:right w:val="single" w:sz="5" w:space="0" w:color="000000"/>
            </w:tcBorders>
          </w:tcPr>
          <w:p w14:paraId="307984AA" w14:textId="77777777" w:rsidR="000D6F1F" w:rsidRPr="001C3C36" w:rsidRDefault="000D6F1F" w:rsidP="00BC0A56">
            <w:pPr>
              <w:spacing w:line="240" w:lineRule="auto"/>
              <w:rPr>
                <w:rFonts w:ascii="Sylfaen" w:hAnsi="Sylfaen" w:cs="Times New Roman"/>
                <w:noProof/>
                <w:sz w:val="18"/>
                <w:szCs w:val="18"/>
              </w:rPr>
            </w:pPr>
          </w:p>
        </w:tc>
        <w:tc>
          <w:tcPr>
            <w:tcW w:w="1553" w:type="dxa"/>
            <w:tcBorders>
              <w:top w:val="single" w:sz="5" w:space="0" w:color="000000"/>
              <w:left w:val="single" w:sz="5" w:space="0" w:color="000000"/>
              <w:bottom w:val="single" w:sz="5" w:space="0" w:color="000000"/>
              <w:right w:val="single" w:sz="5" w:space="0" w:color="000000"/>
            </w:tcBorders>
          </w:tcPr>
          <w:p w14:paraId="40E328BA" w14:textId="02327C5E" w:rsidR="000D6F1F" w:rsidRPr="001C3C36" w:rsidRDefault="00AE315F" w:rsidP="00BC0A56">
            <w:pPr>
              <w:spacing w:line="240" w:lineRule="auto"/>
              <w:rPr>
                <w:rFonts w:ascii="Sylfaen" w:hAnsi="Sylfaen" w:cs="Times New Roman"/>
                <w:noProof/>
                <w:sz w:val="18"/>
                <w:szCs w:val="18"/>
              </w:rPr>
            </w:pPr>
            <w:r w:rsidRPr="001C3C36">
              <w:rPr>
                <w:rFonts w:ascii="Sylfaen" w:hAnsi="Sylfaen" w:cs="Times New Roman"/>
                <w:noProof/>
                <w:sz w:val="18"/>
                <w:szCs w:val="18"/>
              </w:rPr>
              <w:t>ჰემატოკრიტის მომატება</w:t>
            </w:r>
            <w:r w:rsidRPr="00FC0C70">
              <w:rPr>
                <w:rFonts w:ascii="Sylfaen" w:hAnsi="Sylfaen" w:cs="Times New Roman"/>
                <w:noProof/>
                <w:sz w:val="18"/>
                <w:szCs w:val="18"/>
                <w:vertAlign w:val="superscript"/>
              </w:rPr>
              <w:t>g</w:t>
            </w:r>
            <w:r w:rsidRPr="001C3C36">
              <w:rPr>
                <w:rFonts w:ascii="Sylfaen" w:hAnsi="Sylfaen" w:cs="Times New Roman"/>
                <w:noProof/>
                <w:sz w:val="18"/>
                <w:szCs w:val="18"/>
              </w:rPr>
              <w:br/>
              <w:t>კრეატინინის თირკმლისმიერი კლირენსის შემცირება მკურნალობის საწყის პერიოდშიb</w:t>
            </w:r>
            <w:r w:rsidRPr="001C3C36">
              <w:rPr>
                <w:rFonts w:ascii="Sylfaen" w:hAnsi="Sylfaen" w:cs="Times New Roman"/>
                <w:noProof/>
                <w:sz w:val="18"/>
                <w:szCs w:val="18"/>
              </w:rPr>
              <w:br/>
              <w:t>დისლიპიდემია</w:t>
            </w:r>
            <w:r w:rsidRPr="001C3C36">
              <w:rPr>
                <w:rFonts w:ascii="Sylfaen" w:hAnsi="Sylfaen" w:cs="Times New Roman"/>
                <w:noProof/>
                <w:sz w:val="18"/>
                <w:szCs w:val="18"/>
                <w:vertAlign w:val="superscript"/>
              </w:rPr>
              <w:t>h</w:t>
            </w:r>
          </w:p>
        </w:tc>
        <w:tc>
          <w:tcPr>
            <w:tcW w:w="1462" w:type="dxa"/>
            <w:tcBorders>
              <w:top w:val="single" w:sz="5" w:space="0" w:color="000000"/>
              <w:left w:val="single" w:sz="5" w:space="0" w:color="000000"/>
              <w:bottom w:val="single" w:sz="5" w:space="0" w:color="000000"/>
              <w:right w:val="single" w:sz="5" w:space="0" w:color="000000"/>
            </w:tcBorders>
          </w:tcPr>
          <w:p w14:paraId="659E3F89" w14:textId="7D5A39E2" w:rsidR="000D6F1F" w:rsidRPr="001C3C36" w:rsidRDefault="00AE315F" w:rsidP="00BC0A56">
            <w:pPr>
              <w:spacing w:line="240" w:lineRule="auto"/>
              <w:rPr>
                <w:rFonts w:ascii="Sylfaen" w:hAnsi="Sylfaen" w:cs="Times New Roman"/>
                <w:noProof/>
                <w:sz w:val="18"/>
                <w:szCs w:val="18"/>
              </w:rPr>
            </w:pPr>
            <w:r w:rsidRPr="001C3C36">
              <w:rPr>
                <w:rFonts w:ascii="Sylfaen" w:hAnsi="Sylfaen" w:cs="Times New Roman"/>
                <w:noProof/>
                <w:sz w:val="18"/>
                <w:szCs w:val="18"/>
              </w:rPr>
              <w:t>სისხლში კრეატინინის მომატება მკურნალობის საწყის პერიოდში</w:t>
            </w:r>
            <w:r w:rsidRPr="001C3C36">
              <w:rPr>
                <w:rFonts w:ascii="Sylfaen" w:hAnsi="Sylfaen" w:cs="Times New Roman"/>
                <w:noProof/>
                <w:sz w:val="18"/>
                <w:szCs w:val="18"/>
                <w:vertAlign w:val="superscript"/>
              </w:rPr>
              <w:t>**,b</w:t>
            </w:r>
            <w:r w:rsidRPr="001C3C36">
              <w:rPr>
                <w:rFonts w:ascii="Sylfaen" w:hAnsi="Sylfaen" w:cs="Times New Roman"/>
                <w:noProof/>
                <w:sz w:val="18"/>
                <w:szCs w:val="18"/>
              </w:rPr>
              <w:br/>
              <w:t>სისხლში შარდოვანას მომატება**</w:t>
            </w:r>
            <w:r w:rsidRPr="001C3C36">
              <w:rPr>
                <w:rFonts w:ascii="Sylfaen" w:hAnsi="Sylfaen" w:cs="Times New Roman"/>
                <w:noProof/>
                <w:sz w:val="18"/>
                <w:szCs w:val="18"/>
              </w:rPr>
              <w:br/>
              <w:t>წონის კლება**</w:t>
            </w:r>
          </w:p>
        </w:tc>
        <w:tc>
          <w:tcPr>
            <w:tcW w:w="1284" w:type="dxa"/>
            <w:tcBorders>
              <w:top w:val="single" w:sz="5" w:space="0" w:color="000000"/>
              <w:left w:val="single" w:sz="5" w:space="0" w:color="000000"/>
              <w:bottom w:val="single" w:sz="5" w:space="0" w:color="000000"/>
              <w:right w:val="single" w:sz="5" w:space="0" w:color="000000"/>
            </w:tcBorders>
          </w:tcPr>
          <w:p w14:paraId="02F84E0E" w14:textId="77777777" w:rsidR="000D6F1F" w:rsidRPr="001C3C36" w:rsidRDefault="000D6F1F" w:rsidP="00BC0A56">
            <w:pPr>
              <w:spacing w:line="240" w:lineRule="auto"/>
              <w:rPr>
                <w:rFonts w:ascii="Sylfaen" w:hAnsi="Sylfaen" w:cs="Times New Roman"/>
                <w:noProof/>
                <w:sz w:val="18"/>
                <w:szCs w:val="18"/>
              </w:rPr>
            </w:pPr>
          </w:p>
        </w:tc>
        <w:tc>
          <w:tcPr>
            <w:tcW w:w="1347" w:type="dxa"/>
            <w:tcBorders>
              <w:top w:val="single" w:sz="5" w:space="0" w:color="000000"/>
              <w:left w:val="single" w:sz="5" w:space="0" w:color="000000"/>
              <w:bottom w:val="single" w:sz="5" w:space="0" w:color="000000"/>
              <w:right w:val="single" w:sz="5" w:space="0" w:color="000000"/>
            </w:tcBorders>
          </w:tcPr>
          <w:p w14:paraId="0AD7160D" w14:textId="77777777" w:rsidR="000D6F1F" w:rsidRPr="001C3C36" w:rsidRDefault="000D6F1F" w:rsidP="00BC0A56">
            <w:pPr>
              <w:spacing w:line="240" w:lineRule="auto"/>
              <w:rPr>
                <w:rFonts w:ascii="Sylfaen" w:hAnsi="Sylfaen" w:cs="Times New Roman"/>
                <w:noProof/>
                <w:sz w:val="18"/>
                <w:szCs w:val="18"/>
              </w:rPr>
            </w:pPr>
          </w:p>
        </w:tc>
      </w:tr>
    </w:tbl>
    <w:p w14:paraId="101D3589" w14:textId="77777777" w:rsidR="000D6F1F" w:rsidRPr="001C3C36" w:rsidRDefault="000D6F1F" w:rsidP="00BC0A56">
      <w:pPr>
        <w:spacing w:after="0" w:line="240" w:lineRule="auto"/>
        <w:rPr>
          <w:rFonts w:ascii="Sylfaen" w:hAnsi="Sylfaen"/>
          <w:noProof/>
        </w:rPr>
      </w:pPr>
    </w:p>
    <w:p w14:paraId="121DFE17" w14:textId="4B5F52F5" w:rsidR="00AE315F" w:rsidRPr="00850096" w:rsidRDefault="00AE315F" w:rsidP="00FC0C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ᵃ</w:t>
      </w:r>
      <w:r w:rsidRPr="00850096">
        <w:rPr>
          <w:rFonts w:ascii="Sylfaen" w:hAnsi="Sylfaen"/>
          <w:noProof/>
          <w:sz w:val="20"/>
          <w:szCs w:val="20"/>
        </w:rPr>
        <w:t xml:space="preserve"> ცხრილში წარმოდგენილია მონაცემები 24 კვირამდე პერიოდისთვის (მოკლევადიანი), გლიკემიური კონტროლის მიზნით დამატებითი თერაპიის გამოყენების მიუხედავად.</w:t>
      </w:r>
    </w:p>
    <w:p w14:paraId="23A972A7" w14:textId="77777777" w:rsidR="00AE315F" w:rsidRPr="00850096" w:rsidRDefault="00AE315F" w:rsidP="00FC0C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ᵇ</w:t>
      </w:r>
      <w:r w:rsidRPr="00850096">
        <w:rPr>
          <w:rFonts w:ascii="Sylfaen" w:hAnsi="Sylfaen"/>
          <w:noProof/>
          <w:sz w:val="20"/>
          <w:szCs w:val="20"/>
        </w:rPr>
        <w:t xml:space="preserve"> დამატებითი ინფორმაციისთვის იხილეთ შესაბამისი ქვეთავი ქვემოთ.</w:t>
      </w:r>
    </w:p>
    <w:p w14:paraId="36A03BC9" w14:textId="77777777" w:rsidR="00AE315F" w:rsidRPr="00850096" w:rsidRDefault="00AE315F" w:rsidP="00FC0C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ᶜ</w:t>
      </w:r>
      <w:r w:rsidRPr="00850096">
        <w:rPr>
          <w:rFonts w:ascii="Sylfaen" w:hAnsi="Sylfaen"/>
          <w:noProof/>
          <w:sz w:val="20"/>
          <w:szCs w:val="20"/>
        </w:rPr>
        <w:t xml:space="preserve"> ვულვოვაგინიტი, ბალანიტი და მასთან დაკავშირებული გენიტალური ინფექციები მოიცავს, მაგალითად, წინასწარ განსაზღვრულ პრეფერირებულ ტერმინებს: ვულვოვაგინალური მიკოზური ინფექცია, ვაგინალური ინფექცია, ბალანიტი, გენიტალური სოკოვანი ინფექცია, ვულვოვაგინალური კანდიდოზი, ვულვოვაგინიტი, კანდიდოზური ბალანიტი, გენიტალური კანდიდოზი, გენიტალური ინფექცია, გენიტალური ინფექცია მამაკაცებში, პენისის ინფექცია, ვულვიტი, ბაქტერიული ვაგინიტი, ვულვის აბსცესი.</w:t>
      </w:r>
    </w:p>
    <w:p w14:paraId="3C225850" w14:textId="77777777" w:rsidR="00AE315F" w:rsidRPr="00850096" w:rsidRDefault="00AE315F" w:rsidP="00FC0C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lastRenderedPageBreak/>
        <w:t>ᵈ</w:t>
      </w:r>
      <w:r w:rsidRPr="00850096">
        <w:rPr>
          <w:rFonts w:ascii="Sylfaen" w:hAnsi="Sylfaen"/>
          <w:noProof/>
          <w:sz w:val="20"/>
          <w:szCs w:val="20"/>
        </w:rPr>
        <w:t xml:space="preserve"> საშარდე გზების ინფექცია მოიცავს შემდეგ პრეფერირებულ ტერმინებს, რომლებიც ჩამოთვლილია შეტყობინების სიხშირის კლების მიხედვით: საშარდე გზების ინფექცია, ცისტიტი, </w:t>
      </w:r>
      <w:r w:rsidRPr="00850096">
        <w:rPr>
          <w:rFonts w:ascii="Sylfaen" w:hAnsi="Sylfaen"/>
          <w:i/>
          <w:iCs/>
          <w:noProof/>
          <w:sz w:val="20"/>
          <w:szCs w:val="20"/>
        </w:rPr>
        <w:t>Escherichia</w:t>
      </w:r>
      <w:r w:rsidRPr="00850096">
        <w:rPr>
          <w:rFonts w:ascii="Sylfaen" w:hAnsi="Sylfaen"/>
          <w:noProof/>
          <w:sz w:val="20"/>
          <w:szCs w:val="20"/>
        </w:rPr>
        <w:t>-ს მიერ გამოწვეული საშარდე გზების ინფექცია, შარდ-სასქესო სისტემის ინფექცია, პიელონეფრიტი, ტრიგონიტი, ურეთრიტი, თირკმლის ინფექცია და პროსტატიტი.</w:t>
      </w:r>
    </w:p>
    <w:p w14:paraId="0CA2BF65" w14:textId="77777777" w:rsidR="00AE315F" w:rsidRPr="00850096" w:rsidRDefault="00AE315F" w:rsidP="00FC0C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ᵉ</w:t>
      </w:r>
      <w:r w:rsidRPr="00850096">
        <w:rPr>
          <w:rFonts w:ascii="Sylfaen" w:hAnsi="Sylfaen"/>
          <w:noProof/>
          <w:sz w:val="20"/>
          <w:szCs w:val="20"/>
        </w:rPr>
        <w:t xml:space="preserve"> სითხის მოცულობის შემცირება მოიცავს, მაგალითად, წინასწარ განსაზღვრულ პრეფერირებულ ტერმინებს: დეჰიდრატაცია, ჰიპოვოლემია, ჰიპოტენზია.</w:t>
      </w:r>
    </w:p>
    <w:p w14:paraId="5A95405C" w14:textId="77777777" w:rsidR="00AE315F" w:rsidRPr="00850096" w:rsidRDefault="00AE315F" w:rsidP="00FC0C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ᶠ</w:t>
      </w:r>
      <w:r w:rsidRPr="00850096">
        <w:rPr>
          <w:rFonts w:ascii="Sylfaen" w:hAnsi="Sylfaen"/>
          <w:noProof/>
          <w:sz w:val="20"/>
          <w:szCs w:val="20"/>
        </w:rPr>
        <w:t xml:space="preserve"> პოლიურია მოიცავს შემდეგ პრეფერირებულ ტერმინებს: პოლაკიურია, პოლიურია, შარდის გამოყოფის მომატება.</w:t>
      </w:r>
    </w:p>
    <w:p w14:paraId="2AD2EBE1" w14:textId="77777777" w:rsidR="00AE315F" w:rsidRPr="00850096" w:rsidRDefault="00AE315F" w:rsidP="00FC0C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ᵍ</w:t>
      </w:r>
      <w:r w:rsidRPr="00850096">
        <w:rPr>
          <w:rFonts w:ascii="Sylfaen" w:hAnsi="Sylfaen"/>
          <w:noProof/>
          <w:sz w:val="20"/>
          <w:szCs w:val="20"/>
        </w:rPr>
        <w:t xml:space="preserve"> ჰემატოკრიტის საშუალო ცვლილება საწყის მაჩვენებელთან შედარებით შეადგენდა 2,30%-ს დაპაგლიფლოზინის 10 მგ დოზის შემთხვევაში, პლაცებოსთან შედარებით −0,33%-ს. ჰემატოკრიტის &gt;55%-ზე მაღალი მაჩვენებლები აღინიშნა დაპაგლიფლოზინით 10 მგ დოზით ნამკურნალები სუბიექტების 1,3%-ში, პლაცებოს მიმღები სუბიექტების 0,4%-თან შედარებით.</w:t>
      </w:r>
    </w:p>
    <w:p w14:paraId="78AFE423" w14:textId="77777777" w:rsidR="00AE315F" w:rsidRPr="00850096" w:rsidRDefault="00AE315F" w:rsidP="00FC0C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ʰ</w:t>
      </w:r>
      <w:r w:rsidRPr="00850096">
        <w:rPr>
          <w:rFonts w:ascii="Sylfaen" w:hAnsi="Sylfaen"/>
          <w:noProof/>
          <w:sz w:val="20"/>
          <w:szCs w:val="20"/>
        </w:rPr>
        <w:t xml:space="preserve"> საწყის მაჩვენებელთან შედარებით დაპაგლიფლოზინის 10 მგ დოზისა და პლაცებოს შემთხვევაში საშუალო პროცენტული ცვლილება, შესაბამისად, შეადგენდა: საერთო ქოლესტერინი — 2,5% და 0,0%; HDL ქოლესტერინი — 6,0% და 2,7%; LDL ქოლესტერინი — 2,9% და −1,0%; ტრიგლიცერიდები — −2,7% და −0,7%.</w:t>
      </w:r>
    </w:p>
    <w:p w14:paraId="0ED004E9" w14:textId="77777777" w:rsidR="00AE315F" w:rsidRPr="00850096" w:rsidRDefault="00AE315F" w:rsidP="00FC0C70">
      <w:pPr>
        <w:spacing w:after="0" w:line="240" w:lineRule="auto"/>
        <w:jc w:val="both"/>
        <w:rPr>
          <w:rFonts w:ascii="Sylfaen" w:hAnsi="Sylfaen"/>
          <w:noProof/>
          <w:sz w:val="20"/>
          <w:szCs w:val="20"/>
        </w:rPr>
      </w:pPr>
      <w:r w:rsidRPr="00850096">
        <w:rPr>
          <w:rFonts w:ascii="Cambria Math" w:hAnsi="Cambria Math" w:cs="Cambria Math"/>
          <w:noProof/>
          <w:sz w:val="20"/>
          <w:szCs w:val="20"/>
        </w:rPr>
        <w:t>ⁱ</w:t>
      </w:r>
      <w:r w:rsidRPr="00850096">
        <w:rPr>
          <w:rFonts w:ascii="Sylfaen" w:hAnsi="Sylfaen"/>
          <w:noProof/>
          <w:sz w:val="20"/>
          <w:szCs w:val="20"/>
        </w:rPr>
        <w:t xml:space="preserve"> იხ. ნაწილი 4.4.</w:t>
      </w:r>
    </w:p>
    <w:p w14:paraId="5D590B3A" w14:textId="77777777" w:rsidR="00AE315F" w:rsidRPr="00850096" w:rsidRDefault="00AE315F" w:rsidP="00FC0C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ʲ</w:t>
      </w:r>
      <w:r w:rsidRPr="00850096">
        <w:rPr>
          <w:rFonts w:ascii="Sylfaen" w:hAnsi="Sylfaen"/>
          <w:noProof/>
          <w:sz w:val="20"/>
          <w:szCs w:val="20"/>
        </w:rPr>
        <w:t xml:space="preserve"> გვერდითი რეაქცია გამოვლენილი იქნა პოსტმარკეტინგული მეთვალყურეობის შედეგად. გამონაყარი მოიცავს შემდეგ პრეფერირებულ ტერმინებს, რომლებიც კლინიკურ კვლევებში შეტყობინების სიხშირის კლების მიხედვითაა ჩამოთვლილი: გამონაყარი, გენერალიზებული გამონაყარი, ქავილიანი გამონაყარი, მაკულური გამონაყარი, მაკულოპაპულური გამონაყარი, პუსტულური გამონაყარი, ვეზიკულური გამონაყარი და ერითემატოზული გამონაყარი. აქტიური საკონტროლო და პლაცებოთი კონტროლირებული კლინიკური კვლევების დროს (დაპაგლიფლოზინი, N=5 936; ყველა საკონტროლო ჯგუფი, N=3 403) გამონაყარის სიხშირე დაპაგლიფლოზინისა და ყველა საკონტროლო ჯგუფის შემთხვევაში მსგავსი იყო და, შესაბამისად, შეადგენდა 1,4%-ს და 1,4%-ს.</w:t>
      </w:r>
    </w:p>
    <w:p w14:paraId="3C108CD5" w14:textId="0C04DC8B" w:rsidR="00AE315F" w:rsidRPr="00850096" w:rsidRDefault="00AE315F" w:rsidP="00FC0C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ᵏ</w:t>
      </w:r>
      <w:r w:rsidRPr="00850096">
        <w:rPr>
          <w:rFonts w:ascii="Sylfaen" w:hAnsi="Sylfaen"/>
          <w:noProof/>
          <w:sz w:val="20"/>
          <w:szCs w:val="20"/>
        </w:rPr>
        <w:t xml:space="preserve"> დაფიქსირდა მე-2 ტიპის შაქრიანი დიაბეტის მქონე პაციენტებში ჩატარებულ კარდიოვასკულარული გამოსავლების კვლევაში (DECLARE). სიხშირე ეფუძნება წლიურ მაჩვენებელს.</w:t>
      </w:r>
    </w:p>
    <w:p w14:paraId="61F79C45" w14:textId="73786AC4" w:rsidR="00AE315F" w:rsidRPr="00850096" w:rsidRDefault="00AE315F" w:rsidP="00FC0C70">
      <w:pPr>
        <w:numPr>
          <w:ilvl w:val="0"/>
          <w:numId w:val="26"/>
        </w:numPr>
        <w:spacing w:after="0" w:line="240" w:lineRule="auto"/>
        <w:jc w:val="both"/>
        <w:rPr>
          <w:rFonts w:ascii="Sylfaen" w:hAnsi="Sylfaen"/>
          <w:noProof/>
          <w:sz w:val="20"/>
          <w:szCs w:val="20"/>
        </w:rPr>
      </w:pPr>
      <w:r w:rsidRPr="00850096">
        <w:rPr>
          <w:rFonts w:ascii="Sylfaen" w:hAnsi="Sylfaen"/>
          <w:noProof/>
          <w:sz w:val="20"/>
          <w:szCs w:val="20"/>
        </w:rPr>
        <w:t>დაფიქსირდა სუბიექტების ≥2%-ში და დაპაგლიფლოზინის 10 მგ დოზით ნამკურნალებ სუბიექტებში პლაცებოსთან შედარებით ≥1%-ით მეტი სიხშირით და სულ მცირე 3 სუბიექტით მეტი რაოდენობით.</w:t>
      </w:r>
    </w:p>
    <w:p w14:paraId="62294A49" w14:textId="6D4A5044" w:rsidR="009A49E2" w:rsidRDefault="00AE315F" w:rsidP="00FC0C70">
      <w:pPr>
        <w:spacing w:after="0" w:line="240" w:lineRule="auto"/>
        <w:jc w:val="both"/>
        <w:rPr>
          <w:rFonts w:ascii="Sylfaen" w:hAnsi="Sylfaen"/>
          <w:noProof/>
          <w:sz w:val="20"/>
          <w:szCs w:val="20"/>
        </w:rPr>
      </w:pPr>
      <w:r w:rsidRPr="00850096">
        <w:rPr>
          <w:rFonts w:ascii="Sylfaen" w:hAnsi="Sylfaen"/>
          <w:noProof/>
          <w:sz w:val="20"/>
          <w:szCs w:val="20"/>
        </w:rPr>
        <w:t>** მკვლევრის მიერ შეფასებულია, როგორც საკვლევ მკურნალობასთან შესაძლო, სავარაუდოდ ან ნამდვილად დაკავშირებული და შეტყობინებულია სუბიექტების ≥0,2%-ში და დაპაგლიფლოზინის 10 მგ დოზით ნამკურნალებ სუბიექტებში პლაცებოსთან შედარებით ≥0,1%-ით მეტი სიხშირით და სულ მცირე 3 სუბიექტით მეტი რაოდენობით.</w:t>
      </w:r>
    </w:p>
    <w:p w14:paraId="0C01244A" w14:textId="77777777" w:rsidR="00FC0C70" w:rsidRPr="00850096" w:rsidRDefault="00FC0C70" w:rsidP="00BC0A56">
      <w:pPr>
        <w:spacing w:after="0" w:line="240" w:lineRule="auto"/>
        <w:rPr>
          <w:rFonts w:ascii="Sylfaen" w:hAnsi="Sylfaen"/>
          <w:noProof/>
          <w:sz w:val="20"/>
          <w:szCs w:val="20"/>
        </w:rPr>
      </w:pPr>
    </w:p>
    <w:p w14:paraId="69995DCD" w14:textId="77777777" w:rsidR="009A49E2" w:rsidRPr="00850096" w:rsidRDefault="009A49E2" w:rsidP="00FC0C70">
      <w:pPr>
        <w:spacing w:after="0" w:line="240" w:lineRule="auto"/>
        <w:jc w:val="both"/>
        <w:rPr>
          <w:rFonts w:ascii="Sylfaen" w:hAnsi="Sylfaen"/>
          <w:noProof/>
          <w:sz w:val="20"/>
          <w:szCs w:val="20"/>
          <w:u w:val="single"/>
        </w:rPr>
      </w:pPr>
      <w:r w:rsidRPr="00850096">
        <w:rPr>
          <w:rFonts w:ascii="Sylfaen" w:hAnsi="Sylfaen"/>
          <w:noProof/>
          <w:sz w:val="20"/>
          <w:szCs w:val="20"/>
          <w:u w:val="single"/>
        </w:rPr>
        <w:t>შერჩეული გვერდითი რეაქციების აღწერა</w:t>
      </w:r>
    </w:p>
    <w:p w14:paraId="3BB0620E" w14:textId="77777777" w:rsidR="009A49E2" w:rsidRPr="00850096" w:rsidRDefault="009A49E2" w:rsidP="00FC0C70">
      <w:pPr>
        <w:spacing w:after="0" w:line="240" w:lineRule="auto"/>
        <w:jc w:val="both"/>
        <w:rPr>
          <w:rFonts w:ascii="Sylfaen" w:hAnsi="Sylfaen"/>
          <w:i/>
          <w:iCs/>
          <w:noProof/>
          <w:sz w:val="20"/>
          <w:szCs w:val="20"/>
          <w:u w:val="single"/>
        </w:rPr>
      </w:pPr>
      <w:r w:rsidRPr="00850096">
        <w:rPr>
          <w:rFonts w:ascii="Sylfaen" w:hAnsi="Sylfaen"/>
          <w:i/>
          <w:iCs/>
          <w:noProof/>
          <w:sz w:val="20"/>
          <w:szCs w:val="20"/>
          <w:u w:val="single"/>
        </w:rPr>
        <w:t>ვულვოვაგინიტი, ბალანიტი და მასთან დაკავშირებული გენიტალური ინფექციები</w:t>
      </w:r>
    </w:p>
    <w:p w14:paraId="0C9858DD" w14:textId="77777777" w:rsidR="009A49E2" w:rsidRPr="00850096" w:rsidRDefault="009A49E2" w:rsidP="00FC0C70">
      <w:pPr>
        <w:spacing w:after="0" w:line="240" w:lineRule="auto"/>
        <w:jc w:val="both"/>
        <w:rPr>
          <w:rFonts w:ascii="Sylfaen" w:hAnsi="Sylfaen"/>
          <w:noProof/>
          <w:sz w:val="20"/>
          <w:szCs w:val="20"/>
        </w:rPr>
      </w:pPr>
      <w:r w:rsidRPr="00850096">
        <w:rPr>
          <w:rFonts w:ascii="Sylfaen" w:hAnsi="Sylfaen"/>
          <w:noProof/>
          <w:sz w:val="20"/>
          <w:szCs w:val="20"/>
        </w:rPr>
        <w:t>13 კვლევის უსაფრთხოების გაერთიანებულ მონაცემებში ვულვოვაგინიტი, ბალანიტი და მასთან დაკავშირებული გენიტალური ინფექციები აღინიშნა დაპაგლიფლოზინის 10 მგ დოზის მიმღები სუბიექტების 5,5%-სა და პლაცებოს მიმღები სუბიექტების 0,6%-ში, შესაბამისად. ინფექციების უმეტესობა იყო მსუბუქი ან საშუალო სიმძიმის; სუბიექტები პასუხობდნენ სტანდარტული მკურნალობის პირველ კურსს და შემთხვევები იშვიათად იწვევდა დაპაგლიფლოზინით მკურნალობის შეწყვეტას. ეს ინფექციები უფრო ხშირად აღინიშნებოდა ქალებში (დაპაგლიფლოზინისა და პლაცებოს შემთხვევაში, შესაბამისად, 8,4% და 1,2%), ხოლო იმ პირებს, რომლებსაც წარსულში უკვე ჰქონდათ აღნიშნული ინფექცია, მისი განმეორებით განვითარების ალბათობა უფრო მაღალი ჰქონდათ.</w:t>
      </w:r>
    </w:p>
    <w:p w14:paraId="5C2788D8" w14:textId="0AD0F01E" w:rsidR="009A49E2" w:rsidRPr="00850096" w:rsidRDefault="009A49E2" w:rsidP="00FC0C70">
      <w:pPr>
        <w:spacing w:after="0" w:line="240" w:lineRule="auto"/>
        <w:jc w:val="both"/>
        <w:rPr>
          <w:rFonts w:ascii="Sylfaen" w:hAnsi="Sylfaen"/>
          <w:noProof/>
          <w:sz w:val="20"/>
          <w:szCs w:val="20"/>
        </w:rPr>
      </w:pPr>
      <w:r w:rsidRPr="00850096">
        <w:rPr>
          <w:rFonts w:ascii="Sylfaen" w:hAnsi="Sylfaen"/>
          <w:noProof/>
          <w:sz w:val="20"/>
          <w:szCs w:val="20"/>
        </w:rPr>
        <w:t>DECLARE კვლევაში გენიტალურ ინფექციებთან დაკავშირებული სერიოზული გვერდითი მოვლენების მქონე პაციენტების რაოდენობა მცირე და დაბალანსებული იყო: 2 პაციენტი დაპაგლიფლოზინის ჯგუფში და 2 პაციენტი პლაცებოს ჯგუფში.</w:t>
      </w:r>
    </w:p>
    <w:p w14:paraId="1B2E815B" w14:textId="77777777" w:rsidR="00FC0C70" w:rsidRDefault="009A49E2" w:rsidP="00FC0C70">
      <w:pPr>
        <w:spacing w:after="0" w:line="240" w:lineRule="auto"/>
        <w:jc w:val="both"/>
        <w:rPr>
          <w:rFonts w:ascii="Sylfaen" w:hAnsi="Sylfaen"/>
          <w:noProof/>
          <w:sz w:val="20"/>
          <w:szCs w:val="20"/>
        </w:rPr>
      </w:pPr>
      <w:r w:rsidRPr="00850096">
        <w:rPr>
          <w:rFonts w:ascii="Sylfaen" w:hAnsi="Sylfaen"/>
          <w:noProof/>
          <w:sz w:val="20"/>
          <w:szCs w:val="20"/>
        </w:rPr>
        <w:t xml:space="preserve">DAPA-HF კვლევაში დაპაგლიფლოზინის ჯგუფში არცერთ პაციენტს არ აღენიშნა გენიტალურ ინფექციებთან დაკავშირებული სერიოზული გვერდითი მოვლენა, ხოლო პლაცებოს ჯგუფში ასეთი შემთხვევა აღენიშნა ერთ პაციენტს. დაპაგლიფლოზინის ჯგუფში 7 (0,3%) პაციენტს აღენიშნა გენიტალური </w:t>
      </w:r>
      <w:r w:rsidRPr="00850096">
        <w:rPr>
          <w:rFonts w:ascii="Sylfaen" w:hAnsi="Sylfaen"/>
          <w:noProof/>
          <w:sz w:val="20"/>
          <w:szCs w:val="20"/>
        </w:rPr>
        <w:lastRenderedPageBreak/>
        <w:t xml:space="preserve">ინფექციით გამოწვეული გვერდითი მოვლენა, რომელმაც მკურნალობის შეწყვეტა გამოიწვია, ხოლო პლაცებოს ჯგუფში ასეთი შემთხვევა არ გამოვლენილა. </w:t>
      </w:r>
    </w:p>
    <w:p w14:paraId="73B9B67C" w14:textId="22D9DE36" w:rsidR="009A49E2" w:rsidRPr="00850096" w:rsidRDefault="009A49E2" w:rsidP="00FC0C70">
      <w:pPr>
        <w:spacing w:after="0" w:line="240" w:lineRule="auto"/>
        <w:jc w:val="both"/>
        <w:rPr>
          <w:rFonts w:ascii="Sylfaen" w:hAnsi="Sylfaen"/>
          <w:noProof/>
          <w:sz w:val="20"/>
          <w:szCs w:val="20"/>
        </w:rPr>
      </w:pPr>
      <w:r w:rsidRPr="00850096">
        <w:rPr>
          <w:rFonts w:ascii="Sylfaen" w:hAnsi="Sylfaen"/>
          <w:noProof/>
          <w:sz w:val="20"/>
          <w:szCs w:val="20"/>
        </w:rPr>
        <w:t>DELIVER კვლევაში თითოეულ სამკურნალო ჯგუფში ერთმა (&lt; 0,1%) პაციენტმა აღნიშნა გენიტალურ ინფექციასთან დაკავშირებული სერიოზული გვერდითი მოვლენა. დაპაგლიფლოზინის ჯგუფში 3 (0,1%) პაციენტს აღენიშნა გენიტალური ინფექციით გამოწვეული გვერდითი მოვლენა, რომელმაც მკურნალობის შეწყვეტა გამოიწვია, ხოლო პლაცებოს ჯგუფში ასეთი შემთხვევა არ გამოვლენილა.</w:t>
      </w:r>
    </w:p>
    <w:p w14:paraId="369AA217" w14:textId="77777777" w:rsidR="009A49E2" w:rsidRPr="00850096" w:rsidRDefault="009A49E2" w:rsidP="00FC0C70">
      <w:pPr>
        <w:spacing w:after="0" w:line="240" w:lineRule="auto"/>
        <w:jc w:val="both"/>
        <w:rPr>
          <w:rFonts w:ascii="Sylfaen" w:hAnsi="Sylfaen"/>
          <w:noProof/>
          <w:sz w:val="20"/>
          <w:szCs w:val="20"/>
        </w:rPr>
      </w:pPr>
      <w:r w:rsidRPr="00850096">
        <w:rPr>
          <w:rFonts w:ascii="Sylfaen" w:hAnsi="Sylfaen"/>
          <w:noProof/>
          <w:sz w:val="20"/>
          <w:szCs w:val="20"/>
        </w:rPr>
        <w:t>DAPA-CKD კვლევაში დაპაგლიფლოზინის ჯგუფში 3 (0,1%) პაციენტს აღენიშნა გენიტალურ ინფექციებთან დაკავშირებული სერიოზული გვერდითი მოვლენა, ხოლო პლაცებოს ჯგუფში ასეთი შემთხვევა არ გამოვლენილა. დაპაგლიფლოზინის ჯგუფში 3 (0,1%) პაციენტს აღენიშნა გენიტალური ინფექციით გამოწვეული გვერდითი მოვლენა, რომელმაც მკურნალობის შეწყვეტა გამოიწვია, ხოლო პლაცებოს ჯგუფში ასეთი შემთხვევა არ გამოვლენილა. დიაბეტის არმქონე არცერთ პაციენტს არ აღენიშნა გენიტალურ ინფექციებთან დაკავშირებული სერიოზული გვერდითი მოვლენა ან გენიტალური ინფექციით გამოწვეული გვერდითი მოვლენა, რომელმაც მკურნალობის შეწყვეტა გამოიწვია.</w:t>
      </w:r>
    </w:p>
    <w:p w14:paraId="2A4D2848" w14:textId="56F622A2" w:rsidR="000D6F1F"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ფიმოზის/შეძენილი ფიმოზის შემთხვევები დაფიქსირდა სასქესო ორგანოების ინფექციების პარალელურად; ზოგიერთ შემთხვევაში საჭირო გახდა წინადაცვეთა.</w:t>
      </w:r>
    </w:p>
    <w:p w14:paraId="4961D2FE" w14:textId="77777777" w:rsidR="00FC0C70" w:rsidRPr="00850096" w:rsidRDefault="00FC0C70" w:rsidP="00BC0A56">
      <w:pPr>
        <w:spacing w:after="0" w:line="240" w:lineRule="auto"/>
        <w:rPr>
          <w:rFonts w:ascii="Sylfaen" w:hAnsi="Sylfaen"/>
          <w:noProof/>
          <w:sz w:val="20"/>
          <w:szCs w:val="20"/>
        </w:rPr>
      </w:pPr>
    </w:p>
    <w:p w14:paraId="1FF755C2" w14:textId="412E2CEE" w:rsidR="00A87708" w:rsidRPr="00850096" w:rsidRDefault="00A87708" w:rsidP="00FC0C70">
      <w:pPr>
        <w:spacing w:after="0" w:line="240" w:lineRule="auto"/>
        <w:jc w:val="both"/>
        <w:rPr>
          <w:rFonts w:ascii="Sylfaen" w:hAnsi="Sylfaen"/>
          <w:i/>
          <w:iCs/>
          <w:noProof/>
          <w:sz w:val="20"/>
          <w:szCs w:val="20"/>
          <w:u w:val="single"/>
        </w:rPr>
      </w:pPr>
      <w:r w:rsidRPr="00850096">
        <w:rPr>
          <w:rFonts w:ascii="Sylfaen" w:hAnsi="Sylfaen"/>
          <w:i/>
          <w:iCs/>
          <w:noProof/>
          <w:sz w:val="20"/>
          <w:szCs w:val="20"/>
          <w:u w:val="single"/>
        </w:rPr>
        <w:t>შორისის ნეკროზული ფა</w:t>
      </w:r>
      <w:r w:rsidR="00E10F44">
        <w:rPr>
          <w:rFonts w:ascii="Sylfaen" w:hAnsi="Sylfaen"/>
          <w:i/>
          <w:iCs/>
          <w:noProof/>
          <w:sz w:val="20"/>
          <w:szCs w:val="20"/>
          <w:u w:val="single"/>
        </w:rPr>
        <w:t>სც</w:t>
      </w:r>
      <w:r w:rsidRPr="00850096">
        <w:rPr>
          <w:rFonts w:ascii="Sylfaen" w:hAnsi="Sylfaen"/>
          <w:i/>
          <w:iCs/>
          <w:noProof/>
          <w:sz w:val="20"/>
          <w:szCs w:val="20"/>
          <w:u w:val="single"/>
        </w:rPr>
        <w:t>იიტი (ფურნიეს განგრენა)</w:t>
      </w:r>
    </w:p>
    <w:p w14:paraId="6EA1AD2B" w14:textId="449871C0"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SGLT2 ინჰიბიტორების, მათ შორის დაპაგლიფლოზინის, მიმღებ პაციენტებში პოსტმარკეტინგულ პერიოდში დაფიქსირებულია ფურნიეს განგრენის შემთხვევები (იხ. ნაწილი 4.4).</w:t>
      </w:r>
    </w:p>
    <w:p w14:paraId="22E051E2" w14:textId="3B9B8A47" w:rsidR="00A87708"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DECLARE კვლევაში, რომელშიც მონაწილეობდა მე-2 ტიპის შაქრიანი დიაბეტის მქონე 17 160 პაციენტი და ექსპოზიციის მედიანური ხანგრძლივობა შეადგენდა 48 თვეს, სულ დაფიქსირდა ფურნიეს განგრენის 6 შემთხვევა: ერთი — დაპაგლიფლოზინით ნამკურნალებ ჯგუფში და 5 — პლაცებოს ჯგუფში.</w:t>
      </w:r>
    </w:p>
    <w:p w14:paraId="0E15DA5E" w14:textId="77777777" w:rsidR="00FC0C70" w:rsidRPr="00850096" w:rsidRDefault="00FC0C70" w:rsidP="00BC0A56">
      <w:pPr>
        <w:spacing w:after="0" w:line="240" w:lineRule="auto"/>
        <w:rPr>
          <w:rFonts w:ascii="Sylfaen" w:hAnsi="Sylfaen"/>
          <w:noProof/>
          <w:sz w:val="20"/>
          <w:szCs w:val="20"/>
        </w:rPr>
      </w:pPr>
    </w:p>
    <w:p w14:paraId="66763A5C" w14:textId="77777777" w:rsidR="00A87708" w:rsidRPr="00850096" w:rsidRDefault="00A87708" w:rsidP="00FC0C70">
      <w:pPr>
        <w:spacing w:after="0" w:line="240" w:lineRule="auto"/>
        <w:jc w:val="both"/>
        <w:rPr>
          <w:rFonts w:ascii="Sylfaen" w:hAnsi="Sylfaen"/>
          <w:i/>
          <w:iCs/>
          <w:noProof/>
          <w:sz w:val="20"/>
          <w:szCs w:val="20"/>
          <w:u w:val="single"/>
        </w:rPr>
      </w:pPr>
      <w:r w:rsidRPr="00850096">
        <w:rPr>
          <w:rFonts w:ascii="Sylfaen" w:hAnsi="Sylfaen"/>
          <w:i/>
          <w:iCs/>
          <w:noProof/>
          <w:sz w:val="20"/>
          <w:szCs w:val="20"/>
          <w:u w:val="single"/>
        </w:rPr>
        <w:t>ჰიპოგლიკემია</w:t>
      </w:r>
    </w:p>
    <w:p w14:paraId="60A9BF26" w14:textId="77777777"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ჰიპოგლიკემიის სიხშირე დამოკიდებული იყო შაქრიანი დიაბეტის მქონე პაციენტებში ჩატარებულ კლინიკურ კვლევებში გამოყენებული ფონური თერაპიის ტიპზე.</w:t>
      </w:r>
    </w:p>
    <w:p w14:paraId="6B170BF0" w14:textId="7697A8FE"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მონოთერაპიის, მეტფორმინთან დამატებითი თერაპიის ან სიტაგლიპტინთან (მეტფორმინთან ერთად ან მის გარეშე) დამატებითი თერაპიის კვლევებში ჰიპოგლიკემიის მსუბუქი ეპიზოდების სიხშირე მსგავსი იყო (&lt; 5%) სამკურნალო ჯგუფებს შორის, პლაცებოს ჯგუფის ჩათვლით, მკურნალობის 102 კვირამდე პერიოდის განმავლობაში. ყველა კვლევაში ჰიპოგლიკემიის მძიმე მოვლენები არც ისე ხშირი იყო და მსგავსი სიხშირით აღინიშნებოდა დაპაგლიფლოზინით ან პლაცებოთი ნამკურნალებ ჯგუფებში. სულფონილშარდოვანას პრეპარატებთან და ინსულინთან დამატებითი თერაპიის კვლევებში ჰიპოგლიკემიის უფრო მაღალი სიხშირე აღინიშნა (იხ. ნაწილი 4.5).</w:t>
      </w:r>
    </w:p>
    <w:p w14:paraId="6E31EF0B" w14:textId="77777777"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გლიმეპირიდთან დამატებითი თერაპიის კვლევაში, 24-ე და 48-ე კვირებზე ჰიპოგლიკემიის მსუბუქი ეპიზოდები უფრო ხშირად აღინიშნა დაპაგლიფლოზინის 10 მგ-ისა და გლიმეპირიდის კომბინაციით ნამკურნალებ ჯგუფში (შესაბამისად, 6,0% და 7,9%), ვიდრე პლაცებოსა და გლიმეპირიდის კომბინაციით ნამკურნალებ ჯგუფში (შესაბამისად, 2,1% და 2,1%).</w:t>
      </w:r>
    </w:p>
    <w:p w14:paraId="0CAC78C1" w14:textId="77777777"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ინსულინთან დამატებითი თერაპიის კვლევაში ჰიპოგლიკემიის მძიმე ეპიზოდები აღინიშნა დაპაგლიფლოზინის 10 მგ-ისა და ინსულინის კომბინაციით ნამკურნალები სუბიექტების 0,5%-სა და 1,0%-ში, შესაბამისად, 24-ე და 104-ე კვირებზე, ხოლო პლაცებოსა და ინსულინის კომბინაციით ნამკურნალები ჯგუფების სუბიექტების 0,5%-ში როგორც 24-ე, ისე 104-ე კვირაზე. 24-ე და 104-ე კვირებზე ჰიპოგლიკემიის მსუბუქი ეპიზოდები აღინიშნა, შესაბამისად, დაპაგლიფლოზინის 10 მგ-ისა და ინსულინის მიმღები სუბიექტების 40,3%-სა და 53,1%-ში და პლაცებოსა და ინსულინის მიმღები სუბიექტების 34,0%-სა და 41,6%-ში.</w:t>
      </w:r>
    </w:p>
    <w:p w14:paraId="4FA12C0D" w14:textId="77777777"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მეტფორმინთან და სულფონილშარდოვანას პრეპარატთან დამატებითი თერაპიის კვლევაში 24 კვირამდე პერიოდში ჰიპოგლიკემიის მძიმე ეპიზოდები არ დაფიქსირებულა. ჰიპოგლიკემიის მსუბუქი ეპიზოდები აღინიშნა დაპაგლიფლოზინის 10 მგ-ის, მეტფორმინისა და სულფონილშარდოვანას პრეპარატის კომბინაციით ნამკურნალები სუბიექტების 12,8%-ში და პლაცებოს, მეტფორმინისა და სულფონილშარდოვანას პრეპარატის კომბინაციით ნამკურნალები სუბიექტების 3,7%-ში.</w:t>
      </w:r>
    </w:p>
    <w:p w14:paraId="7523C171" w14:textId="77777777"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 xml:space="preserve">DECLARE კვლევაში დაპაგლიფლოზინით თერაპიის ფონზე ჰიპოგლიკემიის მძიმე მოვლენების მომატებული რისკი პლაცებოსთან შედარებით არ გამოვლენილა. ჰიპოგლიკემიის მძიმე მოვლენები </w:t>
      </w:r>
      <w:r w:rsidRPr="00850096">
        <w:rPr>
          <w:rFonts w:ascii="Sylfaen" w:hAnsi="Sylfaen"/>
          <w:noProof/>
          <w:sz w:val="20"/>
          <w:szCs w:val="20"/>
        </w:rPr>
        <w:lastRenderedPageBreak/>
        <w:t>აღინიშნა დაპაგლიფლოზინით ნამკურნალებ 58 (0,7%) პაციენტში და პლაცებოთი ნამკურნალებ 83 (1,0%) პაციენტში.</w:t>
      </w:r>
    </w:p>
    <w:p w14:paraId="77C0FA44" w14:textId="77777777"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DAPA-HF კვლევაში ჰიპოგლიკემიის მძიმე მოვლენები აღინიშნა 4 (0,2%) პაციენტში როგორც დაპაგლიფლოზინის, ისე პლაცებოს სამკურნალო ჯგუფებში. DELIVER კვლევაში ჰიპოგლიკემიის მძიმე მოვლენები აღინიშნა დაპაგლიფლოზინის ჯგუფის 6 (0,2%) პაციენტში და პლაცებოს ჯგუფის 7 (0,2%) პაციენტში. ჰიპოგლიკემიის მძიმე მოვლენები აღინიშნა მხოლოდ მე-2 ტიპის შაქრიანი დიაბეტის მქონე პაციენტებში.</w:t>
      </w:r>
    </w:p>
    <w:p w14:paraId="50947F7C" w14:textId="59148F12" w:rsidR="00A87708"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DAPA-CKD კვლევაში ჰიპოგლიკემიის მძიმე მოვლენები აღინიშნა დაპაგლიფლოზინის ჯგუფის 14 (0,7%) პაციენტში და პლაცებოს ჯგუფის 28 (1,3%) პაციენტში და გამოვლინდა მხოლოდ მე-2 ტიპის შაქრიანი დიაბეტის მქონე პაციენტებში.</w:t>
      </w:r>
    </w:p>
    <w:p w14:paraId="454E751B" w14:textId="77777777" w:rsidR="00FC0C70" w:rsidRPr="00850096" w:rsidRDefault="00FC0C70" w:rsidP="00BC0A56">
      <w:pPr>
        <w:spacing w:after="0" w:line="240" w:lineRule="auto"/>
        <w:rPr>
          <w:rFonts w:ascii="Sylfaen" w:hAnsi="Sylfaen"/>
          <w:noProof/>
          <w:sz w:val="20"/>
          <w:szCs w:val="20"/>
        </w:rPr>
      </w:pPr>
    </w:p>
    <w:p w14:paraId="65BF581C" w14:textId="77777777" w:rsidR="00A87708" w:rsidRPr="00850096" w:rsidRDefault="00A87708" w:rsidP="00FC0C70">
      <w:pPr>
        <w:spacing w:after="0" w:line="240" w:lineRule="auto"/>
        <w:jc w:val="both"/>
        <w:rPr>
          <w:rFonts w:ascii="Sylfaen" w:hAnsi="Sylfaen"/>
          <w:i/>
          <w:iCs/>
          <w:noProof/>
          <w:sz w:val="20"/>
          <w:szCs w:val="20"/>
          <w:u w:val="single"/>
        </w:rPr>
      </w:pPr>
      <w:r w:rsidRPr="00850096">
        <w:rPr>
          <w:rFonts w:ascii="Sylfaen" w:hAnsi="Sylfaen"/>
          <w:i/>
          <w:iCs/>
          <w:noProof/>
          <w:sz w:val="20"/>
          <w:szCs w:val="20"/>
          <w:u w:val="single"/>
        </w:rPr>
        <w:t>სითხის მოცულობის შემცირება</w:t>
      </w:r>
    </w:p>
    <w:p w14:paraId="78A42055" w14:textId="661C2F26"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13 კვლევის უსაფრთხოების გაერთიანებულ მონაცემებში სითხის მოცულობის შემცირებაზე მიმანიშნებელი რეაქციები (მათ შორის, დეჰიდრატაციის, ჰიპოვოლემიის ან ჰიპოტენზიის შესახებ შეტყობინებები) აღინიშნა დაპაგლიფლოზინის 10 მგ დოზის მიმღები სუბიექტების 1,1%-სა და პლაცებოს მიმღები სუბიექტების 0,7%-ში; სერიოზული რეაქციები აღინიშნა სუბიექტების &lt; 0,2%-ში და მათი სიხშირე დაბალანსებული იყო დაპაგლიფლოზინის 10 მგ და პლაცებოს ჯგუფებს შორის (იხ. ნაწილი 4.4).</w:t>
      </w:r>
    </w:p>
    <w:p w14:paraId="4B7947E0" w14:textId="06E50AC4"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DECLARE კვლევაში სითხის მოცულობის შემცირებაზე მიმანიშნებელი მოვლენების მქონე პაციენტების რაოდენობა დაბალანსებული იყო სამკურნალო ჯგუფებს შორის: შესაბამისად, 213 (2,5%) და 207 (2,4%) პაციენტი დაპაგლიფლოზინისა და პლაცებოს ჯგუფებში. სერიოზული გვერდითი მოვლენები აღინიშნა 81 (0,9%) და 70 (0,8%) პაციენტში დაპაგლიფლოზინისა და პლაცებოს ჯგუფებში. მოვლენები, ძირითადად, დაბალანსებული იყო სამკურნალო ჯგუფებს შორის ასაკის, დიურეზული საშუალებების გამოყენების, არტერიული წნევის და ანგიოტენზინ-გარდამქმნელი ფერმენტის ინჰიბიტორების (ACE-I)/ანგიოტენზინ II-ის ტიპი 1-ის რეცეპტორების ბლოკატორების (ARB) გამოყენების მიხედვით დაყოფილ ქვეჯგუფებში. საწყის ეტაპზე eGFR &lt; 60 მლ/წთ/1,73 მ²-ის მქონე პაციენტებში სითხის მოცულობის შემცირებაზე მიმანიშნებელი სერიოზული გვერდითი მოვლენების 19 შემთხვევა აღინიშნა დაპაგლიფლოზინის ჯგუფში და 13 შემთხვევა — პლაცებოს ჯგუფში.</w:t>
      </w:r>
    </w:p>
    <w:p w14:paraId="06C744E7" w14:textId="77777777"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DAPA-HF კვლევაში სითხის მოცულობის შემცირებაზე მიმანიშნებელი მოვლენების მქონე პაციენტების რაოდენობა შეადგენდა 170-ს (7,2%) დაპაგლიფლოზინის ჯგუფში და 153-ს (6,5%) პლაცებოს ჯგუფში. სითხის მოცულობის შემცირებაზე მიმანიშნებელი სიმპტომების გამო სერიოზული მოვლენების მქონე პაციენტების რაოდენობა უფრო მცირე იყო დაპაგლიფლოზინის ჯგუფში (23 [1,0%]), პლაცებოს ჯგუფთან შედარებით (38 [1,6%]). შედეგები მსგავსი იყო იმის მიუხედავად, არსებობდა თუ არა დიაბეტი საწყის ეტაპზე და როგორი იყო საწყისი eGFR. DELIVER კვლევაში სითხის მოცულობის შემცირებაზე მიმანიშნებელი სიმპტომების გამო სერიოზული მოვლენების მქონე პაციენტების რაოდენობა შეადგენდა 35-ს (1,1%) დაპაგლიფლოზინის ჯგუფში და 31-ს (1,0%) პლაცებოს ჯგუფში.</w:t>
      </w:r>
    </w:p>
    <w:p w14:paraId="09837EFF" w14:textId="04C1981C" w:rsidR="00A87708"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DAPA-CKD კვლევაში სითხის მოცულობის შემცირებაზე მიმანიშნებელი მოვლენების მქონე პაციენტების რაოდენობა შეადგენდა 120-ს (5,6%) დაპაგლიფლოზინის ჯგუფში და 84-ს (3,9%) პლაცებოს ჯგუფში. სითხის მოცულობის შემცირებაზე მიმანიშნებელი სიმპტომების გამო სერიოზული მოვლენები აღენიშნა 16 (0,7%) პაციენტს დაპაგლიფლოზინის ჯგუფში და 15 (0,7%) პაციენტს პლაცებოს ჯგუფში.</w:t>
      </w:r>
    </w:p>
    <w:p w14:paraId="15C8AE64" w14:textId="77777777" w:rsidR="00FC0C70" w:rsidRPr="00850096" w:rsidRDefault="00FC0C70" w:rsidP="00FC0C70">
      <w:pPr>
        <w:spacing w:after="0" w:line="240" w:lineRule="auto"/>
        <w:jc w:val="both"/>
        <w:rPr>
          <w:rFonts w:ascii="Sylfaen" w:hAnsi="Sylfaen"/>
          <w:noProof/>
          <w:sz w:val="20"/>
          <w:szCs w:val="20"/>
        </w:rPr>
      </w:pPr>
    </w:p>
    <w:p w14:paraId="3F7F9B22" w14:textId="77777777" w:rsidR="00A87708" w:rsidRPr="00850096" w:rsidRDefault="00A87708" w:rsidP="00FC0C70">
      <w:pPr>
        <w:spacing w:after="0" w:line="240" w:lineRule="auto"/>
        <w:jc w:val="both"/>
        <w:rPr>
          <w:rFonts w:ascii="Sylfaen" w:hAnsi="Sylfaen"/>
          <w:i/>
          <w:iCs/>
          <w:noProof/>
          <w:sz w:val="20"/>
          <w:szCs w:val="20"/>
          <w:u w:val="single"/>
        </w:rPr>
      </w:pPr>
      <w:r w:rsidRPr="00850096">
        <w:rPr>
          <w:rFonts w:ascii="Sylfaen" w:hAnsi="Sylfaen"/>
          <w:i/>
          <w:iCs/>
          <w:noProof/>
          <w:sz w:val="20"/>
          <w:szCs w:val="20"/>
          <w:u w:val="single"/>
        </w:rPr>
        <w:t>დიაბეტური კეტოაციდოზი მე-2 ტიპის შაქრიანი დიაბეტის დროს</w:t>
      </w:r>
    </w:p>
    <w:p w14:paraId="1D6F3E92" w14:textId="77777777"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DECLARE კვლევაში, ექსპოზიციის 48-თვიანი მედიანური ხანგრძლივობის პირობებში, დიაბეტური კეტოაციდოზის (DKA) შემთხვევები აღინიშნა დაპაგლიფლოზინის 10 მგ ჯგუფის 27 პაციენტში და პლაცებოს ჯგუფის 12 პაციენტში. შემთხვევები თანაბრად იყო განაწილებული კვლევის პერიოდის განმავლობაში. დაპაგლიფლოზინის ჯგუფში DKA-ის მქონე 27 პაციენტიდან 22-ს შემთხვევის გამოვლენის მომენტში ერთდროულად უტარდებოდა ინსულინით მკურნალობა. DKA-ის გამომწვევი ფაქტორები შეესაბამებოდა მე-2 ტიპის შაქრიანი დიაბეტის მქონე პაციენტთა პოპულაციაში მოსალოდნელ ფაქტორებს (იხ. ნაწილი 4.4).</w:t>
      </w:r>
    </w:p>
    <w:p w14:paraId="4FC02B00" w14:textId="77777777" w:rsidR="00A87708" w:rsidRPr="00850096"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 xml:space="preserve">DAPA-HF კვლევაში DKA-ის შემთხვევები აღინიშნა დაპაგლიფლოზინის ჯგუფში მე-2 ტიპის შაქრიანი დიაბეტის მქონე 3 პაციენტში, ხოლო პლაცებოს ჯგუფში ასეთი შემთხვევა არ გამოვლენილა. DELIVER </w:t>
      </w:r>
      <w:r w:rsidRPr="00850096">
        <w:rPr>
          <w:rFonts w:ascii="Sylfaen" w:hAnsi="Sylfaen"/>
          <w:noProof/>
          <w:sz w:val="20"/>
          <w:szCs w:val="20"/>
        </w:rPr>
        <w:lastRenderedPageBreak/>
        <w:t>კვლევაში DKA-ის შემთხვევები აღინიშნა დაპაგლიფლოზინის ჯგუფში მე-2 ტიპის შაქრიანი დიაბეტის მქონე 2 პაციენტში, ხოლო პლაცებოს ჯგუფში ასეთი შემთხვევა არ გამოვლენილა.</w:t>
      </w:r>
    </w:p>
    <w:p w14:paraId="0DF9AEF4" w14:textId="11F5133C" w:rsidR="00EB0C4D" w:rsidRDefault="00A87708" w:rsidP="00FC0C70">
      <w:pPr>
        <w:spacing w:after="0" w:line="240" w:lineRule="auto"/>
        <w:jc w:val="both"/>
        <w:rPr>
          <w:rFonts w:ascii="Sylfaen" w:hAnsi="Sylfaen"/>
          <w:noProof/>
          <w:sz w:val="20"/>
          <w:szCs w:val="20"/>
        </w:rPr>
      </w:pPr>
      <w:r w:rsidRPr="00850096">
        <w:rPr>
          <w:rFonts w:ascii="Sylfaen" w:hAnsi="Sylfaen"/>
          <w:noProof/>
          <w:sz w:val="20"/>
          <w:szCs w:val="20"/>
        </w:rPr>
        <w:t>DAPA-CKD კვლევაში დაპაგლიფლოზინის ჯგუფის არცერთ პაციენტში DKA-ის შემთხვევა არ დაფიქსირებულა, ხოლო პლაცებოს ჯგუფში DKA-ის შემთხვევები აღინიშნა მე-2 ტიპის შაქრიანი დიაბეტის მქონე 2 პაციენტში.</w:t>
      </w:r>
    </w:p>
    <w:p w14:paraId="276E4829" w14:textId="77777777" w:rsidR="00FC0C70" w:rsidRPr="00850096" w:rsidRDefault="00FC0C70" w:rsidP="00FC0C70">
      <w:pPr>
        <w:spacing w:after="0" w:line="240" w:lineRule="auto"/>
        <w:jc w:val="both"/>
        <w:rPr>
          <w:rFonts w:ascii="Sylfaen" w:hAnsi="Sylfaen"/>
          <w:noProof/>
          <w:sz w:val="20"/>
          <w:szCs w:val="20"/>
        </w:rPr>
      </w:pPr>
    </w:p>
    <w:p w14:paraId="2DE2B964" w14:textId="77777777" w:rsidR="00EB0C4D" w:rsidRPr="00850096" w:rsidRDefault="00EB0C4D" w:rsidP="00BC0A56">
      <w:pPr>
        <w:spacing w:after="0" w:line="240" w:lineRule="auto"/>
        <w:rPr>
          <w:rFonts w:ascii="Sylfaen" w:hAnsi="Sylfaen"/>
          <w:i/>
          <w:iCs/>
          <w:noProof/>
          <w:sz w:val="20"/>
          <w:szCs w:val="20"/>
          <w:u w:val="single"/>
        </w:rPr>
      </w:pPr>
      <w:r w:rsidRPr="00850096">
        <w:rPr>
          <w:rFonts w:ascii="Sylfaen" w:hAnsi="Sylfaen"/>
          <w:i/>
          <w:iCs/>
          <w:noProof/>
          <w:sz w:val="20"/>
          <w:szCs w:val="20"/>
          <w:u w:val="single"/>
        </w:rPr>
        <w:t>საშარდე გზების ინფექციები</w:t>
      </w:r>
    </w:p>
    <w:p w14:paraId="6DEEF762" w14:textId="77777777" w:rsidR="00EB0C4D" w:rsidRPr="00850096" w:rsidRDefault="00EB0C4D" w:rsidP="00FC0C70">
      <w:pPr>
        <w:spacing w:after="0" w:line="240" w:lineRule="auto"/>
        <w:jc w:val="both"/>
        <w:rPr>
          <w:rFonts w:ascii="Sylfaen" w:hAnsi="Sylfaen"/>
          <w:noProof/>
          <w:sz w:val="20"/>
          <w:szCs w:val="20"/>
        </w:rPr>
      </w:pPr>
      <w:r w:rsidRPr="00850096">
        <w:rPr>
          <w:rFonts w:ascii="Sylfaen" w:hAnsi="Sylfaen"/>
          <w:noProof/>
          <w:sz w:val="20"/>
          <w:szCs w:val="20"/>
        </w:rPr>
        <w:t>13 კვლევის უსაფრთხოების გაერთიანებულ მონაცემებში საშარდე გზების ინფექციები უფრო ხშირად აღინიშნა დაპაგლიფლოზინის 10 მგ დოზის გამოყენებისას, პლაცებოსთან შედარებით (შესაბამისად, 4,7% და 3,5%; იხ. ნაწილი 4.4). ინფექციების უმეტესობა იყო მსუბუქი ან საშუალო სიმძიმის; სუბიექტები პასუხობდნენ სტანდარტული მკურნალობის პირველ კურსს და შემთხვევები იშვიათად იწვევდა დაპაგლიფლოზინით მკურნალობის შეწყვეტას. ეს ინფექციები უფრო ხშირად აღინიშნებოდა ქალებში, ხოლო ინფექციის წარსულში არსებობის მქონე სუბიექტებში განმეორებითი ინფექციის განვითარების ალბათობა უფრო მაღალი იყო.</w:t>
      </w:r>
    </w:p>
    <w:p w14:paraId="03956470" w14:textId="77777777" w:rsidR="00EB0C4D" w:rsidRPr="00850096" w:rsidRDefault="00EB0C4D" w:rsidP="00FC0C70">
      <w:pPr>
        <w:spacing w:after="0" w:line="240" w:lineRule="auto"/>
        <w:jc w:val="both"/>
        <w:rPr>
          <w:rFonts w:ascii="Sylfaen" w:hAnsi="Sylfaen"/>
          <w:noProof/>
          <w:sz w:val="20"/>
          <w:szCs w:val="20"/>
        </w:rPr>
      </w:pPr>
      <w:r w:rsidRPr="00850096">
        <w:rPr>
          <w:rFonts w:ascii="Sylfaen" w:hAnsi="Sylfaen"/>
          <w:noProof/>
          <w:sz w:val="20"/>
          <w:szCs w:val="20"/>
        </w:rPr>
        <w:t>DECLARE კვლევაში საშარდე გზების ინფექციებთან დაკავშირებული სერიოზული მოვლენები უფრო იშვიათად აღინიშნა დაპაგლიფლოზინის 10 მგ დოზის გამოყენებისას, პლაცებოსთან შედარებით: შესაბამისად, 79 (0,9%) და 109 (1,3%) მოვლენა.</w:t>
      </w:r>
    </w:p>
    <w:p w14:paraId="153ADDA7" w14:textId="77777777" w:rsidR="00EB0C4D" w:rsidRPr="00850096" w:rsidRDefault="00EB0C4D" w:rsidP="00FC0C70">
      <w:pPr>
        <w:spacing w:after="0" w:line="240" w:lineRule="auto"/>
        <w:jc w:val="both"/>
        <w:rPr>
          <w:rFonts w:ascii="Sylfaen" w:hAnsi="Sylfaen"/>
          <w:noProof/>
          <w:sz w:val="20"/>
          <w:szCs w:val="20"/>
        </w:rPr>
      </w:pPr>
      <w:r w:rsidRPr="00850096">
        <w:rPr>
          <w:rFonts w:ascii="Sylfaen" w:hAnsi="Sylfaen"/>
          <w:noProof/>
          <w:sz w:val="20"/>
          <w:szCs w:val="20"/>
        </w:rPr>
        <w:t>DAPA-HF კვლევაში საშარდე გზების ინფექციებთან დაკავშირებული სერიოზული გვერდითი მოვლენების მქონე პაციენტების რაოდენობა შეადგენდა 14-ს (0,6%) დაპაგლიფლოზინის ჯგუფში და 17-ს (0,7%) პლაცებოს ჯგუფში.</w:t>
      </w:r>
    </w:p>
    <w:p w14:paraId="1789742C" w14:textId="5B20105D" w:rsidR="00EB0C4D" w:rsidRPr="00850096" w:rsidRDefault="00EB0C4D" w:rsidP="00FC0C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დაპაგლიფლოზინისა და პლაცებოს ჯგუფებში, თითოეულში, დაფიქსირდა 5 (0,2%) პაციენტი, რომლებსაც შარდსასქესო სისტემის ინფექციების გამო განუვითარდათ ისეთი არასასურველი მოვლენები, რამაც მკურნალობის შეწყვეტა გამოიწვია.</w:t>
      </w:r>
      <w:r w:rsidR="00FC0C70">
        <w:rPr>
          <w:rFonts w:ascii="Sylfaen" w:hAnsi="Sylfaen"/>
          <w:noProof/>
          <w:sz w:val="20"/>
          <w:szCs w:val="20"/>
        </w:rPr>
        <w:t xml:space="preserve"> </w:t>
      </w:r>
      <w:r w:rsidRPr="00850096">
        <w:rPr>
          <w:rFonts w:ascii="Sylfaen" w:hAnsi="Sylfaen"/>
          <w:noProof/>
          <w:sz w:val="20"/>
          <w:szCs w:val="20"/>
        </w:rPr>
        <w:t>DELIVER კვლევაში საშარდე გზების ინფექციებთან დაკავშირებული სერიოზული გვერდითი მოვლენების მქონე პაციენტების რაოდენობა შეადგენდა 41-ს (1,3%) დაპაგლიფლოზინის ჯგუფში და 37-ს (1,2%) პლაცებოს ჯგუფში. დაპაგლიფლოზინის ჯგუფში 13 (0,4%) პაციენტს და პლაცებოს ჯგუფში 9 (0,3%) პაციენტს აღენიშნა საშარდე გზების ინფექციით გამოწვეული გვერდითი მოვლენა, რომელმაც მკურნალობის შეწყვეტა გამოიწვია.</w:t>
      </w:r>
    </w:p>
    <w:p w14:paraId="797C755E" w14:textId="01EFACF5" w:rsidR="00EB0C4D" w:rsidRPr="00850096" w:rsidRDefault="00EB0C4D" w:rsidP="00FC0C70">
      <w:pPr>
        <w:spacing w:after="0" w:line="240" w:lineRule="auto"/>
        <w:jc w:val="both"/>
        <w:rPr>
          <w:rFonts w:ascii="Sylfaen" w:hAnsi="Sylfaen"/>
          <w:noProof/>
          <w:sz w:val="20"/>
          <w:szCs w:val="20"/>
        </w:rPr>
      </w:pPr>
      <w:r w:rsidRPr="00850096">
        <w:rPr>
          <w:rFonts w:ascii="Sylfaen" w:hAnsi="Sylfaen"/>
          <w:noProof/>
          <w:sz w:val="20"/>
          <w:szCs w:val="20"/>
        </w:rPr>
        <w:t>DAPA-CKD კვლევაში საშარდე გზების ინფექციებთან დაკავშირებული სერიოზული გვერდითი მოვლენების მქონე პაციენტების რაოდენობა შეადგენდა 29-ს (1,3%) დაპაგლიფლოზინის ჯგუფში და 18-ს (0,8%) პლაცებოს ჯგუფში. დაპაგლიფლოზინის ჯგუფში 8 (0,4%) პაციენტს და პლაცებოს ჯგუფში 3 (0,1%) პაციენტს აღენიშნა საშარდე გზების ინფექციით გამოწვეული გვერდითი მოვლენა, რომელმაც მკურნალობის შეწყვეტა გამოიწვია. დიაბეტის არმქონე პაციენტებში საშარდე გზების ინფექციებთან დაკავშირებული სერიოზული გვერდითი მოვლენების ან საშარდე გზების ინფექციით გამოწვეული გვერდითი მოვლენების, რომლებმაც მკურნალობის შეწყვეტა გამოიწვია, მქონე პაციენტების რაოდენობა მსგავსი იყო სამკურნალო ჯგუფებს შორის (სერიოზული გვერდითი მოვლენებისთვის, შესაბამისად, 6 [0,9%] და 4 [0,6%], ხოლო მკურნალობის შეწყვეტის გამომწვევი გვერდითი მოვლენებისთვის — 1 [0,1%] და 0, დაპაგლიფლოზინისა და პლაცებოს ჯგუფებში).</w:t>
      </w:r>
    </w:p>
    <w:p w14:paraId="0C20EB2E" w14:textId="77777777" w:rsidR="00EB0C4D" w:rsidRPr="00C66C31" w:rsidRDefault="00EB0C4D" w:rsidP="00BC0A56">
      <w:pPr>
        <w:spacing w:after="0" w:line="240" w:lineRule="auto"/>
        <w:rPr>
          <w:rFonts w:ascii="Sylfaen" w:hAnsi="Sylfaen"/>
          <w:i/>
          <w:iCs/>
          <w:noProof/>
          <w:sz w:val="20"/>
          <w:szCs w:val="20"/>
          <w:u w:val="single"/>
        </w:rPr>
      </w:pPr>
      <w:r w:rsidRPr="00C66C31">
        <w:rPr>
          <w:rFonts w:ascii="Sylfaen" w:hAnsi="Sylfaen"/>
          <w:i/>
          <w:iCs/>
          <w:noProof/>
          <w:sz w:val="20"/>
          <w:szCs w:val="20"/>
          <w:u w:val="single"/>
        </w:rPr>
        <w:t>კრეატინინის მომატება</w:t>
      </w:r>
    </w:p>
    <w:p w14:paraId="65EB08CB" w14:textId="0F6F9119" w:rsidR="00EB0C4D" w:rsidRPr="00850096" w:rsidRDefault="00EB0C4D" w:rsidP="009167F3">
      <w:pPr>
        <w:spacing w:after="0" w:line="240" w:lineRule="auto"/>
        <w:jc w:val="both"/>
        <w:rPr>
          <w:rFonts w:ascii="Sylfaen" w:hAnsi="Sylfaen"/>
          <w:noProof/>
          <w:sz w:val="20"/>
          <w:szCs w:val="20"/>
        </w:rPr>
      </w:pPr>
      <w:r w:rsidRPr="00850096">
        <w:rPr>
          <w:rFonts w:ascii="Sylfaen" w:hAnsi="Sylfaen"/>
          <w:noProof/>
          <w:sz w:val="20"/>
          <w:szCs w:val="20"/>
        </w:rPr>
        <w:t>კრეატინინის მომატებასთან დაკავშირებული გვერდითი რეაქციები გაერთიანებული იყო ერთ ჯგუფში (მაგ., კრეატინინის თირკმლისმიერი კლირენსის შემცირება, თირკმლის ფუნქციის დარღვევა, სისხლში კრეატინინის მომატება და გლომერულური ფილტრაციის სიჩქარის შემცირება). 13 კვლევის უსაფრთხოების გაერთიანებულ მონაცემებში ამ ჯგუფში გაერთიანებული რეაქციები აღინიშნა დაპაგლიფლოზინის 10 მგ დოზის მიმღები პაციენტების 3,2%-სა და პლაცებოს მიმღები პაციენტების 1,8%-ში. თირკმლის ნორმალური ფუნქციის ან თირკმლის ფუნქციის მსუბუქი დარღვევის მქონე პაციენტებში (საწყისი eGFR ≥ 60 მლ/წთ/1,73 მ²) ამ ჯგუფში გაერთიანებული რეაქციები აღინიშნა დაპაგლიფლოზინის 10 მგ დოზის მიმღები პაციენტების 1,3%-სა და პლაცებოს მიმღები პაციენტების 0,8%-ში. ეს რეაქციები უფრო ხშირად აღინიშნებოდა საწყისი eGFR ≥ 30 და &lt; 60 მლ/წთ/1,73 მ²-ის მქონე პაციენტებში (დაპაგლიფლოზინი 10 მგ — 18,5%, პლაცებო — 9,3%).</w:t>
      </w:r>
    </w:p>
    <w:p w14:paraId="04BD3FB9" w14:textId="77777777" w:rsidR="00EB0C4D" w:rsidRPr="00850096" w:rsidRDefault="00EB0C4D" w:rsidP="009167F3">
      <w:pPr>
        <w:spacing w:after="0" w:line="240" w:lineRule="auto"/>
        <w:jc w:val="both"/>
        <w:rPr>
          <w:rFonts w:ascii="Sylfaen" w:hAnsi="Sylfaen"/>
          <w:noProof/>
          <w:sz w:val="20"/>
          <w:szCs w:val="20"/>
        </w:rPr>
      </w:pPr>
      <w:r w:rsidRPr="00850096">
        <w:rPr>
          <w:rFonts w:ascii="Sylfaen" w:hAnsi="Sylfaen"/>
          <w:noProof/>
          <w:sz w:val="20"/>
          <w:szCs w:val="20"/>
        </w:rPr>
        <w:t xml:space="preserve">თირკმელებთან დაკავშირებული გვერდითი მოვლენების მქონე პაციენტების შემდგომმა შეფასებამ აჩვენა, რომ უმეტესობას აღენიშნებოდა შრატში კრეატინინის ცვლილება საწყის მაჩვენებელთან შედარებით ≤ 44 </w:t>
      </w:r>
      <w:r w:rsidRPr="00850096">
        <w:rPr>
          <w:rFonts w:ascii="Sylfaen" w:hAnsi="Sylfaen"/>
          <w:noProof/>
          <w:sz w:val="20"/>
          <w:szCs w:val="20"/>
        </w:rPr>
        <w:lastRenderedPageBreak/>
        <w:t>მიკრომოლი/ლ (≤ 0,5 მგ/დლ). კრეატინინის მომატება, როგორც წესი, გარდამავალი იყო მკურნალობის გაგრძელებისას ან შექცევადი — მკურნალობის შეწყვეტის შემდეგ.</w:t>
      </w:r>
    </w:p>
    <w:p w14:paraId="6B4245DD" w14:textId="77777777" w:rsidR="00EB0C4D" w:rsidRPr="00850096" w:rsidRDefault="00EB0C4D" w:rsidP="009167F3">
      <w:pPr>
        <w:spacing w:after="0" w:line="240" w:lineRule="auto"/>
        <w:jc w:val="both"/>
        <w:rPr>
          <w:rFonts w:ascii="Sylfaen" w:hAnsi="Sylfaen"/>
          <w:noProof/>
          <w:sz w:val="20"/>
          <w:szCs w:val="20"/>
        </w:rPr>
      </w:pPr>
      <w:r w:rsidRPr="00850096">
        <w:rPr>
          <w:rFonts w:ascii="Sylfaen" w:hAnsi="Sylfaen"/>
          <w:noProof/>
          <w:sz w:val="20"/>
          <w:szCs w:val="20"/>
        </w:rPr>
        <w:t>DECLARE კვლევაში, რომელშიც მონაწილეობდნენ ხანდაზმული პაციენტები და თირკმლის ფუნქციის დარღვევის მქონე პაციენტები (eGFR &lt; 60 მლ/წთ/1,73 მ²), eGFR დროთა განმავლობაში მცირდებოდა ორივე სამკურნალო ჯგუფში. 1 წლისთვის საშუალო eGFR დაპაგლიფლოზინის ჯგუფში მცირედით დაბალი იყო, ხოლო 4 წლისთვის — მცირედით მაღალი, პლაცებოს ჯგუფთან შედარებით.</w:t>
      </w:r>
    </w:p>
    <w:p w14:paraId="687F2F30" w14:textId="77777777" w:rsidR="00EB0C4D" w:rsidRPr="00850096" w:rsidRDefault="00EB0C4D" w:rsidP="009167F3">
      <w:pPr>
        <w:spacing w:after="0" w:line="240" w:lineRule="auto"/>
        <w:jc w:val="both"/>
        <w:rPr>
          <w:rFonts w:ascii="Sylfaen" w:hAnsi="Sylfaen"/>
          <w:noProof/>
          <w:sz w:val="20"/>
          <w:szCs w:val="20"/>
        </w:rPr>
      </w:pPr>
      <w:r w:rsidRPr="00850096">
        <w:rPr>
          <w:rFonts w:ascii="Sylfaen" w:hAnsi="Sylfaen"/>
          <w:noProof/>
          <w:sz w:val="20"/>
          <w:szCs w:val="20"/>
        </w:rPr>
        <w:t>DAPA-HF და DELIVER კვლევებში eGFR დროთა განმავლობაში მცირდებოდა როგორც დაპაგლიფლოზინის, ისე პლაცებოს ჯგუფებში. DAPA-HF კვლევაში საშუალო eGFR-ის საწყისი შემცირება შეადგენდა −4,3 მლ/წთ/1,73 მ²-ს დაპაგლიფლოზინის ჯგუფში და −1,1 მლ/წთ/1,73 მ²-ს პლაცებოს ჯგუფში. 20 თვისთვის eGFR-ის ცვლილება საწყის მაჩვენებელთან შედარებით მსგავსი იყო სამკურნალო ჯგუფებს შორის: −5,3 მლ/წთ/1,73 მ² დაპაგლიფლოზინის ჯგუფში და −4,5 მლ/წთ/1,73 მ² პლაცებოს ჯგუფში. DELIVER კვლევაში 1 თვისთვის საშუალო eGFR-ის შემცირება შეადგენდა −3,7 მლ/წთ/1,73 მ²-ს დაპაგლიფლოზინის ჯგუფში და −0,4 მლ/წთ/1,73 მ²-ს პლაცებოს ჯგუფში. 24 თვისთვის eGFR-ის ცვლილება საწყის მაჩვენებელთან შედარებით მსგავსი იყო სამკურნალო ჯგუფებს შორის: −4,2 მლ/წთ/1,73 მ² დაპაგლიფლოზინის ჯგუფში და −3,2 მლ/წთ/1,73 მ² პლაცებოს ჯგუფში.</w:t>
      </w:r>
    </w:p>
    <w:p w14:paraId="6AEE2D1F" w14:textId="62CAE368" w:rsidR="00EB0C4D" w:rsidRDefault="00EB0C4D" w:rsidP="009167F3">
      <w:pPr>
        <w:spacing w:after="0" w:line="240" w:lineRule="auto"/>
        <w:jc w:val="both"/>
        <w:rPr>
          <w:rFonts w:ascii="Sylfaen" w:hAnsi="Sylfaen"/>
          <w:noProof/>
          <w:sz w:val="20"/>
          <w:szCs w:val="20"/>
        </w:rPr>
      </w:pPr>
      <w:r w:rsidRPr="00850096">
        <w:rPr>
          <w:rFonts w:ascii="Sylfaen" w:hAnsi="Sylfaen"/>
          <w:noProof/>
          <w:sz w:val="20"/>
          <w:szCs w:val="20"/>
        </w:rPr>
        <w:t>DAPA-CKD კვლევაში eGFR დროთა განმავლობაში მცირდებოდა როგორც დაპაგლიფლოზინის, ისე პლაცებოს ჯგუფებში. საშუალო eGFR-ის საწყისი (მე-14 დღეს) შემცირება შეადგენდა −4,0 მლ/წთ/1,73 მ²-ს დაპაგლიფლოზინის ჯგუფში და −0,8 მლ/წთ/1,73 მ²-ს პლაცებოს ჯგუფში. 28 თვისთვის eGFR-ის ცვლილება საწყის მაჩვენებელთან შედარებით შეადგენდა −7,4 მლ/წთ/1,73 მ²-ს დაპაგლიფლოზინის ჯგუფში და −8,6 მლ/წთ/1,73 მ²-ს პლაცებოს ჯგუფში.</w:t>
      </w:r>
    </w:p>
    <w:p w14:paraId="4ED94CC6" w14:textId="77777777" w:rsidR="009167F3" w:rsidRPr="00850096" w:rsidRDefault="009167F3" w:rsidP="009167F3">
      <w:pPr>
        <w:spacing w:after="0" w:line="240" w:lineRule="auto"/>
        <w:jc w:val="both"/>
        <w:rPr>
          <w:rFonts w:ascii="Sylfaen" w:hAnsi="Sylfaen"/>
          <w:noProof/>
          <w:sz w:val="20"/>
          <w:szCs w:val="20"/>
        </w:rPr>
      </w:pPr>
    </w:p>
    <w:p w14:paraId="79AEF5F7" w14:textId="7B005690" w:rsidR="00EB0C4D" w:rsidRPr="00850096" w:rsidRDefault="00EB0C4D" w:rsidP="009167F3">
      <w:pPr>
        <w:spacing w:after="0" w:line="240" w:lineRule="auto"/>
        <w:jc w:val="both"/>
        <w:rPr>
          <w:rFonts w:ascii="Sylfaen" w:hAnsi="Sylfaen"/>
          <w:noProof/>
          <w:sz w:val="20"/>
          <w:szCs w:val="20"/>
          <w:u w:val="single"/>
        </w:rPr>
      </w:pPr>
      <w:r w:rsidRPr="00850096">
        <w:rPr>
          <w:rFonts w:ascii="Sylfaen" w:hAnsi="Sylfaen"/>
          <w:noProof/>
          <w:sz w:val="20"/>
          <w:szCs w:val="20"/>
          <w:u w:val="single"/>
        </w:rPr>
        <w:t>პედიატრიული პოპულაცია</w:t>
      </w:r>
    </w:p>
    <w:p w14:paraId="4043C145" w14:textId="1C82F3AA" w:rsidR="00DD1ED6" w:rsidRDefault="00EB0C4D" w:rsidP="009167F3">
      <w:pPr>
        <w:spacing w:after="0" w:line="240" w:lineRule="auto"/>
        <w:jc w:val="both"/>
        <w:rPr>
          <w:rFonts w:ascii="Sylfaen" w:hAnsi="Sylfaen"/>
          <w:noProof/>
          <w:sz w:val="20"/>
          <w:szCs w:val="20"/>
        </w:rPr>
      </w:pPr>
      <w:r w:rsidRPr="00850096">
        <w:rPr>
          <w:rFonts w:ascii="Sylfaen" w:hAnsi="Sylfaen"/>
          <w:noProof/>
          <w:sz w:val="20"/>
          <w:szCs w:val="20"/>
        </w:rPr>
        <w:t>მე-2 ტიპის შაქრიანი დიაბეტის მქონე 10 წლის და უფროსი ასაკის ბავშვებში ჩატარებულ კლინიკურ კვლევაში (იხ. ნაწილი 5.1) დაკვირვებული დაპაგლიფლოზინის უსაფრთხოების პროფილი მსგავსი იყო მოზრდილებში ჩატარებულ კვლევებში დაკვირვებული უსაფრთხოების პროფილისა.</w:t>
      </w:r>
    </w:p>
    <w:p w14:paraId="51B1C425" w14:textId="77777777" w:rsidR="009167F3" w:rsidRPr="00850096" w:rsidRDefault="009167F3" w:rsidP="009167F3">
      <w:pPr>
        <w:spacing w:after="0" w:line="240" w:lineRule="auto"/>
        <w:jc w:val="both"/>
        <w:rPr>
          <w:rFonts w:ascii="Sylfaen" w:hAnsi="Sylfaen"/>
          <w:noProof/>
          <w:sz w:val="20"/>
          <w:szCs w:val="20"/>
        </w:rPr>
      </w:pPr>
    </w:p>
    <w:p w14:paraId="66F0AEE2" w14:textId="77777777" w:rsidR="00EB0C4D" w:rsidRPr="00850096" w:rsidRDefault="00EB0C4D" w:rsidP="009167F3">
      <w:pPr>
        <w:spacing w:after="0" w:line="240" w:lineRule="auto"/>
        <w:jc w:val="both"/>
        <w:rPr>
          <w:rFonts w:ascii="Sylfaen" w:hAnsi="Sylfaen"/>
          <w:noProof/>
          <w:sz w:val="20"/>
          <w:szCs w:val="20"/>
          <w:u w:val="single"/>
        </w:rPr>
      </w:pPr>
      <w:r w:rsidRPr="00850096">
        <w:rPr>
          <w:rFonts w:ascii="Sylfaen" w:hAnsi="Sylfaen"/>
          <w:noProof/>
          <w:sz w:val="20"/>
          <w:szCs w:val="20"/>
          <w:u w:val="single"/>
        </w:rPr>
        <w:t>საეჭვო გვერდითი რეაქციების შესახებ შეტყობინება</w:t>
      </w:r>
    </w:p>
    <w:p w14:paraId="6DDE315F" w14:textId="66CA73EF" w:rsidR="00EB0C4D" w:rsidRDefault="00EB0C4D" w:rsidP="009167F3">
      <w:pPr>
        <w:spacing w:after="0" w:line="240" w:lineRule="auto"/>
        <w:jc w:val="both"/>
        <w:rPr>
          <w:rFonts w:ascii="Sylfaen" w:hAnsi="Sylfaen"/>
          <w:noProof/>
          <w:sz w:val="20"/>
          <w:szCs w:val="20"/>
        </w:rPr>
      </w:pPr>
      <w:r w:rsidRPr="00850096">
        <w:rPr>
          <w:rFonts w:ascii="Sylfaen" w:hAnsi="Sylfaen"/>
          <w:noProof/>
          <w:sz w:val="20"/>
          <w:szCs w:val="20"/>
        </w:rPr>
        <w:t>სამკურნალო საშუალების ავტორიზაციის შემდეგ საეჭვო გვერდითი რეაქციების შესახებ შეტყობინება მნიშვნელოვანია. ეს საშუალებას იძლევა გაგრძელდეს სამკურნალო საშუალების სარგებელი/რისკის ბალანსის მონიტორინგი.</w:t>
      </w:r>
    </w:p>
    <w:p w14:paraId="4B334EF9" w14:textId="77777777" w:rsidR="009167F3" w:rsidRPr="00850096" w:rsidRDefault="009167F3" w:rsidP="00BC0A56">
      <w:pPr>
        <w:spacing w:after="0" w:line="240" w:lineRule="auto"/>
        <w:rPr>
          <w:rFonts w:ascii="Sylfaen" w:hAnsi="Sylfaen"/>
          <w:noProof/>
          <w:sz w:val="20"/>
          <w:szCs w:val="20"/>
        </w:rPr>
      </w:pPr>
    </w:p>
    <w:p w14:paraId="10025607" w14:textId="5FDAED6D" w:rsidR="00D4135E" w:rsidRPr="00850096" w:rsidRDefault="002555F2" w:rsidP="00BC0A56">
      <w:pPr>
        <w:spacing w:after="0" w:line="240" w:lineRule="auto"/>
        <w:rPr>
          <w:rFonts w:ascii="Sylfaen" w:hAnsi="Sylfaen"/>
          <w:b/>
          <w:bCs/>
          <w:noProof/>
          <w:sz w:val="20"/>
          <w:szCs w:val="20"/>
        </w:rPr>
      </w:pPr>
      <w:r w:rsidRPr="00850096">
        <w:rPr>
          <w:rFonts w:ascii="Sylfaen" w:hAnsi="Sylfaen"/>
          <w:b/>
          <w:bCs/>
          <w:noProof/>
          <w:sz w:val="20"/>
          <w:szCs w:val="20"/>
        </w:rPr>
        <w:t>4.9. დოზის გადაჭარბება</w:t>
      </w:r>
    </w:p>
    <w:p w14:paraId="1AB7BD0E" w14:textId="0AC8082B" w:rsidR="00DD1ED6" w:rsidRPr="00850096" w:rsidRDefault="00DD1ED6" w:rsidP="009167F3">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დაპაგლიფლოზინმა ჯანმრთელ სუბიექტებში ერთჯერადი პერორალური დოზების სახით 500 მგ-მდე (ადამიანისთვის რეკომენდებული მაქსიმალური დოზის 50-ჯერ მეტი) გამოყენებისას ტოქსიკურობის ნიშნები არ გამოავლინა. ამ სუბიექტებს შარდში აღენიშნებოდათ გლუკოზის გამოვლენა დოზაზე დამოკიდებული პერიოდის განმავლობაში (500 მგ დოზის შემთხვევაში — სულ მცირე 5 დღის განმავლობაში), დეჰიდრატაციის, ჰიპოტენზიის ან ელექტროლიტური დისბალანსის შესახებ შეტყობინებების გარეშე და QTc ინტერვალზე კლინიკურად მნიშვნელოვანი გავლენის გარეშე. ჰიპოგლიკემიის სიხშირე პლაცებოს მსგავსი იყო.</w:t>
      </w:r>
      <w:r w:rsidR="009167F3">
        <w:rPr>
          <w:rFonts w:ascii="Sylfaen" w:hAnsi="Sylfaen"/>
          <w:noProof/>
          <w:sz w:val="20"/>
          <w:szCs w:val="20"/>
        </w:rPr>
        <w:t xml:space="preserve"> </w:t>
      </w:r>
      <w:r w:rsidRPr="00850096">
        <w:rPr>
          <w:rFonts w:ascii="Sylfaen" w:hAnsi="Sylfaen"/>
          <w:noProof/>
          <w:sz w:val="20"/>
          <w:szCs w:val="20"/>
        </w:rPr>
        <w:t>კლინიკურ კვლევებში, რომლებშიც ჯანმრთელ სუბიექტებსა და მე-2 ტიპის შაქრიანი დიაბეტის მქონე სუბიექტებს 2 კვირის განმავლობაში დღეში ერთხელ 100 მგ-მდე დოზები (ადამიანისთვის რეკომენდებული მაქსიმალური დოზის 10-ჯერ მეტი) ეძლეოდათ, ჰიპოგლიკემიის სიხშირე პლაცებოსთან შედარებით ოდნავ მაღალი იყო და დოზაზე დამოკიდებული არ ყოფილა. გვერდითი მოვლენების, მათ შორის დეჰიდრატაციისა და ჰიპოტენზიის, სიხშირე პლაცებოს მსგავსი იყო და ლაბორატორიულ მაჩვენებლებში, მათ შორის შრატის ელექტროლიტებსა და თირკმლის ფუნქციის ბიომარკერებში, დოზაზე დამოკიდებული კლინიკურად მნიშვნელოვანი ცვლილებები არ გამოვლენილა.</w:t>
      </w:r>
    </w:p>
    <w:p w14:paraId="0329A45C" w14:textId="7FCE73FC" w:rsidR="00DD1ED6" w:rsidRDefault="00DD1ED6" w:rsidP="009167F3">
      <w:pPr>
        <w:spacing w:after="0" w:line="240" w:lineRule="auto"/>
        <w:jc w:val="both"/>
        <w:rPr>
          <w:rFonts w:ascii="Sylfaen" w:hAnsi="Sylfaen"/>
          <w:noProof/>
          <w:sz w:val="20"/>
          <w:szCs w:val="20"/>
        </w:rPr>
      </w:pPr>
      <w:r w:rsidRPr="00850096">
        <w:rPr>
          <w:rFonts w:ascii="Sylfaen" w:hAnsi="Sylfaen"/>
          <w:noProof/>
          <w:sz w:val="20"/>
          <w:szCs w:val="20"/>
        </w:rPr>
        <w:t>დოზის გადაჭარბების შემთხვევაში უნდა დაიწყოს შესაბამისი დამხმარე მკურნალობა პაციენტის კლინიკური მდგომარეობის შესაბამისად. დაპაგლიფლოზინის ჰემოდიალიზით მოცილება შესწავლილი არ არის.</w:t>
      </w:r>
    </w:p>
    <w:p w14:paraId="63965F7B" w14:textId="77777777" w:rsidR="009167F3" w:rsidRPr="00850096" w:rsidRDefault="009167F3" w:rsidP="009167F3">
      <w:pPr>
        <w:spacing w:after="0" w:line="240" w:lineRule="auto"/>
        <w:jc w:val="both"/>
        <w:rPr>
          <w:rFonts w:ascii="Sylfaen" w:hAnsi="Sylfaen"/>
          <w:noProof/>
          <w:sz w:val="20"/>
          <w:szCs w:val="20"/>
        </w:rPr>
      </w:pPr>
    </w:p>
    <w:p w14:paraId="767E4D49" w14:textId="77777777" w:rsidR="002555F2" w:rsidRPr="00850096" w:rsidRDefault="002555F2" w:rsidP="00BC0A56">
      <w:pPr>
        <w:spacing w:after="0" w:line="240" w:lineRule="auto"/>
        <w:rPr>
          <w:rFonts w:ascii="Sylfaen" w:hAnsi="Sylfaen"/>
          <w:b/>
          <w:bCs/>
          <w:noProof/>
          <w:sz w:val="20"/>
          <w:szCs w:val="20"/>
        </w:rPr>
      </w:pPr>
      <w:r w:rsidRPr="00850096">
        <w:rPr>
          <w:rFonts w:ascii="Sylfaen" w:hAnsi="Sylfaen"/>
          <w:b/>
          <w:bCs/>
          <w:noProof/>
          <w:sz w:val="20"/>
          <w:szCs w:val="20"/>
        </w:rPr>
        <w:t>5. ფარმაკოლოგიური თვისებები</w:t>
      </w:r>
    </w:p>
    <w:p w14:paraId="6667E06E" w14:textId="77777777" w:rsidR="002555F2" w:rsidRPr="00850096" w:rsidRDefault="002555F2" w:rsidP="009167F3">
      <w:pPr>
        <w:spacing w:after="0" w:line="240" w:lineRule="auto"/>
        <w:jc w:val="both"/>
        <w:rPr>
          <w:rFonts w:ascii="Sylfaen" w:hAnsi="Sylfaen"/>
          <w:b/>
          <w:bCs/>
          <w:noProof/>
          <w:sz w:val="20"/>
          <w:szCs w:val="20"/>
        </w:rPr>
      </w:pPr>
      <w:r w:rsidRPr="00850096">
        <w:rPr>
          <w:rFonts w:ascii="Sylfaen" w:hAnsi="Sylfaen"/>
          <w:b/>
          <w:bCs/>
          <w:noProof/>
          <w:sz w:val="20"/>
          <w:szCs w:val="20"/>
        </w:rPr>
        <w:lastRenderedPageBreak/>
        <w:t>5.1. ფარმაკოდინამიკური თვისებები</w:t>
      </w:r>
    </w:p>
    <w:p w14:paraId="4445F097" w14:textId="2E44746C" w:rsidR="00DD1ED6" w:rsidRPr="00850096" w:rsidRDefault="00DD1ED6" w:rsidP="009167F3">
      <w:pPr>
        <w:spacing w:after="0" w:line="240" w:lineRule="auto"/>
        <w:jc w:val="both"/>
        <w:rPr>
          <w:rFonts w:ascii="Sylfaen" w:hAnsi="Sylfaen"/>
          <w:noProof/>
          <w:sz w:val="20"/>
          <w:szCs w:val="20"/>
        </w:rPr>
      </w:pPr>
      <w:r w:rsidRPr="00850096">
        <w:rPr>
          <w:rFonts w:ascii="Sylfaen" w:hAnsi="Sylfaen"/>
          <w:noProof/>
          <w:sz w:val="20"/>
          <w:szCs w:val="20"/>
        </w:rPr>
        <w:t>ფარმაკოთერაპიული ჯგუფი: შაქრიანი დიაბეტის სამკურნალო საშუალებები, ნატრიუმ-გლუკოზის კო-ტრანსპორტერ 2-ის (SGLT2) ინჰიბიტორები, ATC-კოდი: A10BK01</w:t>
      </w:r>
    </w:p>
    <w:p w14:paraId="3D26AEA6" w14:textId="77777777" w:rsidR="00534E1F" w:rsidRPr="00850096" w:rsidRDefault="00534E1F" w:rsidP="009167F3">
      <w:pPr>
        <w:spacing w:after="0" w:line="240" w:lineRule="auto"/>
        <w:jc w:val="both"/>
        <w:rPr>
          <w:rFonts w:ascii="Sylfaen" w:hAnsi="Sylfaen"/>
          <w:noProof/>
          <w:sz w:val="20"/>
          <w:szCs w:val="20"/>
          <w:u w:val="single"/>
        </w:rPr>
      </w:pPr>
      <w:r w:rsidRPr="00850096">
        <w:rPr>
          <w:rFonts w:ascii="Sylfaen" w:hAnsi="Sylfaen"/>
          <w:noProof/>
          <w:sz w:val="20"/>
          <w:szCs w:val="20"/>
          <w:u w:val="single"/>
        </w:rPr>
        <w:t>მოქმედების მექანიზმი</w:t>
      </w:r>
    </w:p>
    <w:p w14:paraId="24FCF375" w14:textId="572F0144" w:rsidR="00AF664E" w:rsidRPr="00850096" w:rsidRDefault="00AF664E" w:rsidP="009167F3">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 არის SGLT2-ის მაღალი აქტივობის (Ki: 0,55 ნმ), სელექციური და შექცევადი ინჰიბიტორი.</w:t>
      </w:r>
    </w:p>
    <w:p w14:paraId="103EB17C" w14:textId="1333200A" w:rsidR="00726DEE" w:rsidRDefault="00AF664E" w:rsidP="009167F3">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მიერ SGLT2-ის ინჰიბირება ამცირებს გლუკოზის რეაბსორბციას გლომერულური ფილტრატიდან თირკმლის პროქსიმალურ მილაკში, რასაც თან ახლავს ნატრიუმის რეაბსორბციის შემცირება და ამის შედეგად ხდება შარდში გლუკოზის ექსკრეცია და ოსმოსური დიურეზი. შესაბამისად, დაპაგლიფლოზინი ზრდის ნატრიუმის მიწოდებას დისტალურ მილაკში, რაც აძლიერებს ტუბულოგლომერულურ უკუკავშირს და ამცირებს ინტრაგლომერულურ წნევას. ეს, ოსმოსურ დიურეზთან ერთად, იწვევს მოცულობითი გადატვირთვის შემცირებას, არტერიული წნევის დაქვეითებას და პრე- და პოსტდატვირთვის შემცირებას, რამაც შეიძლება სასარგებლო გავლენა მოახდინოს გულის რემოდელირებასა და დიასტოლურ ფუნქციაზე და ხელი შეუწყოს თირკმლის ფუნქციის შენარჩუნებას. დაპაგლიფლოზინის კარდიული და თირკმლისმიერი სარგებელი სცდება სისხლში გლუკოზის დონის დამაქვეითებელ ეფექტს და არ შემოიფარგლება დიაბეტის მქონე პაციენტებით, როგორც ეს ნაჩვენებია DAPA-HF, DELIVER და DAPA-CKD კვლევებში. სხვა ეფექტებს მიეკუთვნება ჰემატოკრიტის მომატება და სხეულის წონის შემცირება.</w:t>
      </w:r>
    </w:p>
    <w:p w14:paraId="30956306" w14:textId="77777777" w:rsidR="009167F3" w:rsidRPr="00850096" w:rsidRDefault="009167F3" w:rsidP="009167F3">
      <w:pPr>
        <w:spacing w:after="0" w:line="240" w:lineRule="auto"/>
        <w:jc w:val="both"/>
        <w:rPr>
          <w:rFonts w:ascii="Sylfaen" w:hAnsi="Sylfaen"/>
          <w:noProof/>
          <w:sz w:val="20"/>
          <w:szCs w:val="20"/>
        </w:rPr>
      </w:pPr>
    </w:p>
    <w:p w14:paraId="7A3BCDAC" w14:textId="77777777" w:rsidR="00726DEE" w:rsidRPr="00850096" w:rsidRDefault="00726DEE" w:rsidP="009167F3">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 აუმჯობესებს როგორც უზმოზე, ისე ჭამის შემდგომ პლაზმაში გლუკოზის დონეს თირკმლისმიერი გლუკოზის რეაბსორბციის შემცირებით, რაც იწვევს შარდში გლუკოზის ექსკრეციას. გლუკოზის ეს ექსკრეცია (გლუკოზურიული ეფექტი) აღინიშნება პირველი დოზის მიღების შემდეგ, გრძელდება დოზირების 24-საათიანი ინტერვალის განმავლობაში და ნარჩუნდება მკურნალობის მთელი პერიოდის განმავლობაში. ამ მექანიზმის საშუალებით თირკმელების მიერ მოცილებული გლუკოზის რაოდენობა დამოკიდებულია სისხლში გლუკოზის კონცენტრაციასა და გლომერულური ფილტრაციის სიჩქარეზე (GFR). შესაბამისად, სისხლში გლუკოზის ნორმალური დონის მქონე და/ან დაბალი GFR-ის მქონე სუბიექტებში დაპაგლიფლოზინს ჰიპოგლიკემიის გამოწვევის დაბალი მიდრეკილება აქვს, ვინაიდან გაფილტრული გლუკოზის რაოდენობა მცირეა და მისი რეაბსორბცია შესაძლებელია SGLT1-ისა და დაუბლოკავი SGLT2-ის ტრანსპორტერების მიერ. დაპაგლიფლოზინი არ არღვევს ჰიპოგლიკემიის საპასუხოდ ნორმალურ ენდოგენურ გლუკოზის წარმოქმნას. დაპაგლიფლოზინის მოქმედება არ არის დამოკიდებული ინსულინის სეკრეციასა და ინსულინის მოქმედებაზე. დაპაგლიფლოზინის კლინიკურ კვლევებში აღინიშნებოდა ბეტა-უჯრედების ფუნქციის ჰომეოსტაზის მოდელის შეფასების (HOMA ბეტა-უჯრედები) გაუმჯობესება.</w:t>
      </w:r>
    </w:p>
    <w:p w14:paraId="57BBC9D6" w14:textId="2B60DA14" w:rsidR="00726DEE" w:rsidRDefault="00726DEE" w:rsidP="009167F3">
      <w:pPr>
        <w:spacing w:after="0" w:line="240" w:lineRule="auto"/>
        <w:jc w:val="both"/>
        <w:rPr>
          <w:rFonts w:ascii="Sylfaen" w:hAnsi="Sylfaen"/>
          <w:noProof/>
          <w:sz w:val="20"/>
          <w:szCs w:val="20"/>
        </w:rPr>
      </w:pPr>
      <w:r w:rsidRPr="00850096">
        <w:rPr>
          <w:rFonts w:ascii="Sylfaen" w:hAnsi="Sylfaen"/>
          <w:noProof/>
          <w:sz w:val="20"/>
          <w:szCs w:val="20"/>
        </w:rPr>
        <w:t>SGLT2 სელექტიურად ექსპრესირდება თირკმელში. დაპაგლიფლოზინი არ აინჰიბირებს სხვა გლუკოზის ტრანსპორტერებს, რომლებიც მნიშვნელოვანია გლუკოზის პერიფერიულ ქსოვილებში ტრანსპორტირებისთვის, და SGLT2-ის მიმართ &gt;1 400-ჯერ უფრო სელექციურია, ვიდრე SGLT1-ის მიმართ, რომელიც წარმოადგენს ნაწლავში გლუკოზის აბსორბციაზე პასუხისმგებელ ძირითად ტრანსპორტერს.</w:t>
      </w:r>
    </w:p>
    <w:p w14:paraId="463E88DE" w14:textId="77777777" w:rsidR="009167F3" w:rsidRPr="00850096" w:rsidRDefault="009167F3" w:rsidP="00BC0A56">
      <w:pPr>
        <w:spacing w:after="0" w:line="240" w:lineRule="auto"/>
        <w:rPr>
          <w:rFonts w:ascii="Sylfaen" w:hAnsi="Sylfaen"/>
          <w:noProof/>
          <w:sz w:val="20"/>
          <w:szCs w:val="20"/>
        </w:rPr>
      </w:pPr>
    </w:p>
    <w:p w14:paraId="5D10D52F" w14:textId="5A99C231" w:rsidR="00534E1F" w:rsidRPr="00850096" w:rsidRDefault="00534E1F" w:rsidP="009167F3">
      <w:pPr>
        <w:spacing w:after="0" w:line="240" w:lineRule="auto"/>
        <w:jc w:val="both"/>
        <w:rPr>
          <w:rFonts w:ascii="Sylfaen" w:hAnsi="Sylfaen"/>
          <w:noProof/>
          <w:sz w:val="20"/>
          <w:szCs w:val="20"/>
          <w:u w:val="single"/>
        </w:rPr>
      </w:pPr>
      <w:r w:rsidRPr="00850096">
        <w:rPr>
          <w:rFonts w:ascii="Sylfaen" w:hAnsi="Sylfaen"/>
          <w:noProof/>
          <w:sz w:val="20"/>
          <w:szCs w:val="20"/>
          <w:u w:val="single"/>
        </w:rPr>
        <w:t>ფარმაკოდინამიკური ეფექტები</w:t>
      </w:r>
    </w:p>
    <w:p w14:paraId="421B5E7A" w14:textId="77777777" w:rsidR="00726DEE" w:rsidRPr="00850096" w:rsidRDefault="00726DEE" w:rsidP="009167F3">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მიღების შემდეგ ჯანმრთელ სუბიექტებსა და მე-2 ტიპის შაქრიანი დიაბეტის მქონე სუბიექტებში აღინიშნა შარდში გამოყოფილი გლუკოზის რაოდენობის ზრდა.</w:t>
      </w:r>
    </w:p>
    <w:p w14:paraId="2F043787" w14:textId="77777777" w:rsidR="00726DEE" w:rsidRPr="00850096" w:rsidRDefault="00726DEE" w:rsidP="009167F3">
      <w:pPr>
        <w:spacing w:after="0" w:line="240" w:lineRule="auto"/>
        <w:jc w:val="both"/>
        <w:rPr>
          <w:rFonts w:ascii="Sylfaen" w:hAnsi="Sylfaen"/>
          <w:noProof/>
          <w:sz w:val="20"/>
          <w:szCs w:val="20"/>
        </w:rPr>
      </w:pPr>
      <w:r w:rsidRPr="00850096">
        <w:rPr>
          <w:rFonts w:ascii="Sylfaen" w:hAnsi="Sylfaen"/>
          <w:noProof/>
          <w:sz w:val="20"/>
          <w:szCs w:val="20"/>
        </w:rPr>
        <w:t>მე-2 ტიპის შაქრიანი დიაბეტის მქონე სუბიექტებში, რომლებიც 12 კვირის განმავლობაში იღებდნენ დაპაგლიფლოზინს 10 მგ/დღეში დოზით, შარდში დღეში გამოიყოფოდა დაახლოებით 70 გ გლუკოზა (რაც შეესაბამება 280 კკალ/დღეს). გლუკოზის მდგრადი ექსკრეციის დამადასტურებელი მონაცემები აღინიშნა მე-2 ტიპის შაქრიანი დიაბეტის მქონე სუბიექტებში, რომლებიც დაპაგლიფლოზინს 10 მგ/დღეში დოზით 2 წლამდე პერიოდის განმავლობაში იღებდნენ.</w:t>
      </w:r>
    </w:p>
    <w:p w14:paraId="4FD2FB47" w14:textId="77777777" w:rsidR="00726DEE" w:rsidRPr="00850096" w:rsidRDefault="00726DEE" w:rsidP="009167F3">
      <w:pPr>
        <w:spacing w:after="0" w:line="240" w:lineRule="auto"/>
        <w:jc w:val="both"/>
        <w:rPr>
          <w:rFonts w:ascii="Sylfaen" w:hAnsi="Sylfaen"/>
          <w:noProof/>
          <w:sz w:val="20"/>
          <w:szCs w:val="20"/>
        </w:rPr>
      </w:pPr>
      <w:r w:rsidRPr="00850096">
        <w:rPr>
          <w:rFonts w:ascii="Sylfaen" w:hAnsi="Sylfaen"/>
          <w:noProof/>
          <w:sz w:val="20"/>
          <w:szCs w:val="20"/>
        </w:rPr>
        <w:t xml:space="preserve">დაპაგლიფლოზინთან დაკავშირებული შარდში გლუკოზის ეს ექსკრეცია ასევე იწვევს ოსმოსურ დიურეზს და შარდის მოცულობის ზრდას მე-2 ტიპის შაქრიანი დიაბეტის მქონე სუბიექტებში. დაპაგლიფლოზინით 10 მგ დოზით ნამკურნალებ მე-2 ტიპის შაქრიანი დიაბეტის მქონე სუბიექტებში შარდის მოცულობის ზრდა შენარჩუნდა 12 კვირის განმავლობაში და შეადგენდა დაახლოებით 375 მლ/დღეს. შარდის მოცულობის </w:t>
      </w:r>
      <w:r w:rsidRPr="00850096">
        <w:rPr>
          <w:rFonts w:ascii="Sylfaen" w:hAnsi="Sylfaen"/>
          <w:noProof/>
          <w:sz w:val="20"/>
          <w:szCs w:val="20"/>
        </w:rPr>
        <w:lastRenderedPageBreak/>
        <w:t>ზრდას თან ახლდა შარდში ნატრიუმის ექსკრეციის უმნიშვნელო და გარდამავალი მატება, რომელიც არ იყო დაკავშირებული შრატში ნატრიუმის კონცენტრაციების ცვლილებებთან.</w:t>
      </w:r>
    </w:p>
    <w:p w14:paraId="251D6C5B" w14:textId="3D9AFED1" w:rsidR="00726DEE" w:rsidRDefault="00726DEE" w:rsidP="009167F3">
      <w:pPr>
        <w:spacing w:after="0" w:line="240" w:lineRule="auto"/>
        <w:jc w:val="both"/>
        <w:rPr>
          <w:rFonts w:ascii="Sylfaen" w:hAnsi="Sylfaen"/>
          <w:noProof/>
          <w:sz w:val="20"/>
          <w:szCs w:val="20"/>
        </w:rPr>
      </w:pPr>
      <w:r w:rsidRPr="00850096">
        <w:rPr>
          <w:rFonts w:ascii="Sylfaen" w:hAnsi="Sylfaen"/>
          <w:noProof/>
          <w:sz w:val="20"/>
          <w:szCs w:val="20"/>
        </w:rPr>
        <w:t>შარდში შარდმჟავას ექსკრეციაც გარდამავლად (3-7 დღის განმავლობაში) გაიზარდა და ამას თან ახლდა შრატში შარდმჟავას კონცენტრაციის მდგრადი შემცირება. 24-ე კვირისთვის შრატში შარდმჟავას კონცენტრაციის შემცირება მერყეობდა -48,3-დან -18,3 მიკრომოლ/ლ-მდე (-0,87-დან -0,33 მგ/დლ-მდე).</w:t>
      </w:r>
    </w:p>
    <w:p w14:paraId="1CBE3C1E" w14:textId="77777777" w:rsidR="009167F3" w:rsidRPr="00850096" w:rsidRDefault="009167F3" w:rsidP="00BC0A56">
      <w:pPr>
        <w:spacing w:after="0" w:line="240" w:lineRule="auto"/>
        <w:rPr>
          <w:rFonts w:ascii="Sylfaen" w:hAnsi="Sylfaen"/>
          <w:noProof/>
          <w:sz w:val="20"/>
          <w:szCs w:val="20"/>
        </w:rPr>
      </w:pPr>
    </w:p>
    <w:p w14:paraId="50316575" w14:textId="77777777" w:rsidR="008F1BDE" w:rsidRPr="00850096" w:rsidRDefault="008F1BDE" w:rsidP="00BC0A56">
      <w:pPr>
        <w:spacing w:after="0" w:line="240" w:lineRule="auto"/>
        <w:rPr>
          <w:rFonts w:ascii="Sylfaen" w:hAnsi="Sylfaen"/>
          <w:noProof/>
          <w:sz w:val="20"/>
          <w:szCs w:val="20"/>
          <w:u w:val="single"/>
        </w:rPr>
      </w:pPr>
      <w:r w:rsidRPr="00850096">
        <w:rPr>
          <w:rFonts w:ascii="Sylfaen" w:hAnsi="Sylfaen"/>
          <w:noProof/>
          <w:sz w:val="20"/>
          <w:szCs w:val="20"/>
          <w:u w:val="single"/>
        </w:rPr>
        <w:t>კლინიკური ეფექტიანობა და უსაფრთხოება</w:t>
      </w:r>
    </w:p>
    <w:p w14:paraId="38D08F2E" w14:textId="77777777" w:rsidR="00726DEE" w:rsidRPr="00850096" w:rsidRDefault="00726DEE" w:rsidP="009167F3">
      <w:pPr>
        <w:spacing w:after="0" w:line="240" w:lineRule="auto"/>
        <w:jc w:val="both"/>
        <w:rPr>
          <w:rFonts w:ascii="Sylfaen" w:hAnsi="Sylfaen"/>
          <w:noProof/>
          <w:sz w:val="20"/>
          <w:szCs w:val="20"/>
          <w:u w:val="single"/>
        </w:rPr>
      </w:pPr>
      <w:r w:rsidRPr="00850096">
        <w:rPr>
          <w:rFonts w:ascii="Sylfaen" w:hAnsi="Sylfaen"/>
          <w:noProof/>
          <w:sz w:val="20"/>
          <w:szCs w:val="20"/>
          <w:u w:val="single"/>
        </w:rPr>
        <w:t>მე-2 ტიპის შაქრიანი დიაბეტი</w:t>
      </w:r>
    </w:p>
    <w:p w14:paraId="3411B60C" w14:textId="77777777" w:rsidR="00726DEE" w:rsidRPr="00850096" w:rsidRDefault="00726DEE" w:rsidP="009167F3">
      <w:pPr>
        <w:spacing w:after="0" w:line="240" w:lineRule="auto"/>
        <w:jc w:val="both"/>
        <w:rPr>
          <w:rFonts w:ascii="Sylfaen" w:hAnsi="Sylfaen"/>
          <w:noProof/>
          <w:sz w:val="20"/>
          <w:szCs w:val="20"/>
        </w:rPr>
      </w:pPr>
      <w:r w:rsidRPr="00850096">
        <w:rPr>
          <w:rFonts w:ascii="Sylfaen" w:hAnsi="Sylfaen"/>
          <w:noProof/>
          <w:sz w:val="20"/>
          <w:szCs w:val="20"/>
        </w:rPr>
        <w:t>გლიკემიური კონტროლის გაუმჯობესება და კარდიოვასკულური და თირკმლისმიერი ავადობისა და სიკვდილიანობის შემცირება მე-2 ტიპის შაქრიანი დიაბეტის მკურნალობის განუყოფელი ნაწილია.</w:t>
      </w:r>
    </w:p>
    <w:p w14:paraId="2681B823" w14:textId="069E1D5A" w:rsidR="00726DEE" w:rsidRPr="00850096" w:rsidRDefault="00726DEE" w:rsidP="009167F3">
      <w:pPr>
        <w:spacing w:after="0" w:line="240" w:lineRule="auto"/>
        <w:jc w:val="both"/>
        <w:rPr>
          <w:rFonts w:ascii="Sylfaen" w:hAnsi="Sylfaen"/>
          <w:noProof/>
          <w:sz w:val="20"/>
          <w:szCs w:val="20"/>
        </w:rPr>
      </w:pPr>
      <w:r w:rsidRPr="00850096">
        <w:rPr>
          <w:rFonts w:ascii="Sylfaen" w:hAnsi="Sylfaen"/>
          <w:noProof/>
          <w:sz w:val="20"/>
          <w:szCs w:val="20"/>
        </w:rPr>
        <w:t>ჩატარდა თოთხმეტი ორმაგად ბრმა, რანდომიზებული, კონტროლირებადი კლინიკური კვლევა 7 056 ზრდასრულ სუბიექტში, რომლებსაც ჰქონდათ მე-2 ტიპის შაქრიანი დიაბეტი, დაპაგლიფლოზინის გლიკემიური ეფექტურობისა და უსაფრთხოების შესაფასებლად; ამ კვლევებში 4 737 სუბიექტი მკურნალობდა დაპაგლიფლოზინით. თორმეტ კვლევაში მკურნალობის პერიოდის ხანგრძლივობა შეადგენდა 24 კვირას, მათგან 8 კვლევას ჰქონდა ხანგრძლივი გაგრძელების პერიოდი 24-დან 80 კვირამდე (კვლევის საერთო ხანგრძლივობა — 104 კვირამდე), ერთ კვლევაში მკურნალობის პერიოდი შეადგენდა 28 კვირას, ხოლო ერთი კვლევის ხანგრძლივობა იყო 52 კვირა, ხანგრძლივი გაგრძელების პერიოდებით 52 და 104 კვირის განმავლობაში (კვლევის საერთო ხანგრძლივობა — 208 კვირა). დიაბეტის საშუალო ხანგრძლივობა მერყეობდა 1,4-დან 16,9 წლამდე. სუბიექტების 50%-ს აღენიშნებოდა თირკმლის ფუნქციის მსუბუქი დარღვევა, ხოლო 11%-ს — თირკმლის ფუნქციის ზომიერი დარღვევა. სუბიექტების 51% იყო მამაკაცი, 84% — თეთრკანიანი, 8% — აზიელი, 4% — შავკანიანი და 4% მიეკუთვნებოდა სხვა რასობრივ ჯგუფებს. სუბიექტების 81%-ს სხეულის მასის ინდექსი (BMI) ≥ 27 ჰქონდა. გარდა ამისა, ჩატარდა ორი 12-კვირიანი, პლაცებოთი კონტროლირებული კვლევა პაციენტებში არაადეკვატურად კონტროლირებადი მე-2 ტიპის შაქრიანი დიაბეტისა და ჰიპერტენზიის მქონე პაციენტებში.</w:t>
      </w:r>
    </w:p>
    <w:p w14:paraId="7F124531" w14:textId="7E2E71B0" w:rsidR="002132EE" w:rsidRDefault="002132EE" w:rsidP="009167F3">
      <w:pPr>
        <w:spacing w:after="0" w:line="240" w:lineRule="auto"/>
        <w:jc w:val="both"/>
        <w:rPr>
          <w:rFonts w:ascii="Sylfaen" w:hAnsi="Sylfaen"/>
          <w:noProof/>
          <w:sz w:val="20"/>
          <w:szCs w:val="20"/>
        </w:rPr>
      </w:pPr>
      <w:r w:rsidRPr="00850096">
        <w:rPr>
          <w:rFonts w:ascii="Sylfaen" w:hAnsi="Sylfaen"/>
          <w:noProof/>
          <w:sz w:val="20"/>
          <w:szCs w:val="20"/>
        </w:rPr>
        <w:t>ჩატარდა კვლევა (DECLARE) დაპაგლიფლოზინის (10 მგ) ეფექტიანობის შესაფასებლად პლაცებოსთან შედარებით გულ-სისხლძარღვოვან და თირკმლისმიერ გართულებებზე; კვლევაში მონაწილეობდა 17 160 პაციენტი მე-2 ტიპის შაქრიანი დიაბეტით, რომლებსაც აღენიშნებოდათ ან არ აღენიშნებოდათ დადასტურებული გულ-სისხლძარღვოვანი დაავადება.</w:t>
      </w:r>
    </w:p>
    <w:p w14:paraId="4A4F026B" w14:textId="77777777" w:rsidR="009167F3" w:rsidRPr="00850096" w:rsidRDefault="009167F3" w:rsidP="009167F3">
      <w:pPr>
        <w:spacing w:after="0" w:line="240" w:lineRule="auto"/>
        <w:jc w:val="both"/>
        <w:rPr>
          <w:rFonts w:ascii="Sylfaen" w:hAnsi="Sylfaen"/>
          <w:noProof/>
          <w:sz w:val="20"/>
          <w:szCs w:val="20"/>
        </w:rPr>
      </w:pPr>
    </w:p>
    <w:p w14:paraId="6655A785" w14:textId="4D60365C" w:rsidR="00726DEE" w:rsidRPr="00850096" w:rsidRDefault="00726DEE" w:rsidP="009167F3">
      <w:pPr>
        <w:spacing w:after="0" w:line="240" w:lineRule="auto"/>
        <w:jc w:val="both"/>
        <w:rPr>
          <w:rFonts w:ascii="Sylfaen" w:hAnsi="Sylfaen"/>
          <w:i/>
          <w:iCs/>
          <w:noProof/>
          <w:sz w:val="20"/>
          <w:szCs w:val="20"/>
          <w:u w:val="single"/>
        </w:rPr>
      </w:pPr>
      <w:r w:rsidRPr="00850096">
        <w:rPr>
          <w:rFonts w:ascii="Sylfaen" w:hAnsi="Sylfaen"/>
          <w:i/>
          <w:iCs/>
          <w:noProof/>
          <w:sz w:val="20"/>
          <w:szCs w:val="20"/>
          <w:u w:val="single"/>
        </w:rPr>
        <w:t>გლიკემიური კონტროლი</w:t>
      </w:r>
    </w:p>
    <w:p w14:paraId="7F0877F3" w14:textId="77777777" w:rsidR="00726DEE" w:rsidRPr="00850096" w:rsidRDefault="00726DEE" w:rsidP="009167F3">
      <w:pPr>
        <w:spacing w:after="0" w:line="240" w:lineRule="auto"/>
        <w:jc w:val="both"/>
        <w:rPr>
          <w:rFonts w:ascii="Sylfaen" w:hAnsi="Sylfaen"/>
          <w:i/>
          <w:iCs/>
          <w:noProof/>
          <w:sz w:val="20"/>
          <w:szCs w:val="20"/>
        </w:rPr>
      </w:pPr>
      <w:r w:rsidRPr="00850096">
        <w:rPr>
          <w:rFonts w:ascii="Sylfaen" w:hAnsi="Sylfaen"/>
          <w:i/>
          <w:iCs/>
          <w:noProof/>
          <w:sz w:val="20"/>
          <w:szCs w:val="20"/>
        </w:rPr>
        <w:t>მონოთერაპია</w:t>
      </w:r>
    </w:p>
    <w:p w14:paraId="02EE8EEE" w14:textId="77777777" w:rsidR="00726DEE" w:rsidRPr="00850096" w:rsidRDefault="00726DEE" w:rsidP="009167F3">
      <w:pPr>
        <w:spacing w:after="0" w:line="240" w:lineRule="auto"/>
        <w:jc w:val="both"/>
        <w:rPr>
          <w:rFonts w:ascii="Sylfaen" w:hAnsi="Sylfaen"/>
          <w:noProof/>
          <w:sz w:val="20"/>
          <w:szCs w:val="20"/>
        </w:rPr>
      </w:pPr>
      <w:r w:rsidRPr="00850096">
        <w:rPr>
          <w:rFonts w:ascii="Sylfaen" w:hAnsi="Sylfaen"/>
          <w:noProof/>
          <w:sz w:val="20"/>
          <w:szCs w:val="20"/>
        </w:rPr>
        <w:t>ჩატარდა 24-კვირიანი ორმაგად ბრმა, პლაცებოთი კონტროლირებული კვლევა (დამატებითი გაგრძელების პერიოდით), რომლის მიზანი იყო არაადეკვატურად კონტროლირებადი მე-2 ტიპის შაქრიანი დიაბეტის მქონე სუბიექტებში დაპაგლიფლოზინით მონოთერაპიის უსაფრთხოებისა და ეფექტურობის შეფასება. დაპაგლიფლოზინით დღეში ერთხელ მკურნალობამ გამოიწვია HbA1c-ის სტატისტიკურად მნიშვნელოვანი (p &lt; 0,0001) შემცირება პლაცებოსთან შედარებით (ცხრილი 2).</w:t>
      </w:r>
    </w:p>
    <w:p w14:paraId="75789CCD" w14:textId="56CC5E01" w:rsidR="008F1BDE" w:rsidRDefault="00726DEE" w:rsidP="009167F3">
      <w:pPr>
        <w:spacing w:after="0" w:line="240" w:lineRule="auto"/>
        <w:jc w:val="both"/>
        <w:rPr>
          <w:rFonts w:ascii="Sylfaen" w:hAnsi="Sylfaen"/>
          <w:noProof/>
          <w:sz w:val="20"/>
          <w:szCs w:val="20"/>
        </w:rPr>
      </w:pPr>
      <w:r w:rsidRPr="00850096">
        <w:rPr>
          <w:rFonts w:ascii="Sylfaen" w:hAnsi="Sylfaen"/>
          <w:noProof/>
          <w:sz w:val="20"/>
          <w:szCs w:val="20"/>
        </w:rPr>
        <w:t>გაგრძელების პერიოდში HbA1c-ის შემცირება შენარჩუნდა 102-ე კვირამდე (-0,61% და 0,17% საწყის მაჩვენებელთან შედარებით კორექტირებული საშუალო ცვლილება, შესაბამისად, დაპაგლიფლოზინის 10 მგ და პლაცებოს ჯგუფებში).</w:t>
      </w:r>
    </w:p>
    <w:p w14:paraId="6AD12B79" w14:textId="77777777" w:rsidR="009167F3" w:rsidRPr="00850096" w:rsidRDefault="009167F3" w:rsidP="009167F3">
      <w:pPr>
        <w:spacing w:after="0" w:line="240" w:lineRule="auto"/>
        <w:jc w:val="both"/>
        <w:rPr>
          <w:rFonts w:ascii="Sylfaen" w:hAnsi="Sylfaen"/>
          <w:noProof/>
          <w:sz w:val="20"/>
          <w:szCs w:val="20"/>
        </w:rPr>
      </w:pPr>
    </w:p>
    <w:p w14:paraId="5D3AC1D1" w14:textId="7D107C8E" w:rsidR="008F1BDE" w:rsidRPr="00850096" w:rsidRDefault="008F1BDE" w:rsidP="009167F3">
      <w:pPr>
        <w:spacing w:after="0" w:line="240" w:lineRule="auto"/>
        <w:jc w:val="both"/>
        <w:rPr>
          <w:rFonts w:ascii="Sylfaen" w:hAnsi="Sylfaen"/>
          <w:b/>
          <w:bCs/>
          <w:noProof/>
          <w:sz w:val="20"/>
          <w:szCs w:val="20"/>
        </w:rPr>
      </w:pPr>
      <w:r w:rsidRPr="00850096">
        <w:rPr>
          <w:rFonts w:ascii="Sylfaen" w:hAnsi="Sylfaen"/>
          <w:b/>
          <w:bCs/>
          <w:noProof/>
          <w:sz w:val="20"/>
          <w:szCs w:val="20"/>
        </w:rPr>
        <w:t xml:space="preserve">ცხრილი </w:t>
      </w:r>
      <w:r w:rsidR="002132EE" w:rsidRPr="00850096">
        <w:rPr>
          <w:rFonts w:ascii="Sylfaen" w:hAnsi="Sylfaen"/>
          <w:b/>
          <w:bCs/>
          <w:noProof/>
          <w:sz w:val="20"/>
          <w:szCs w:val="20"/>
        </w:rPr>
        <w:t>2</w:t>
      </w:r>
      <w:r w:rsidRPr="00850096">
        <w:rPr>
          <w:rFonts w:ascii="Sylfaen" w:hAnsi="Sylfaen"/>
          <w:b/>
          <w:bCs/>
          <w:noProof/>
          <w:sz w:val="20"/>
          <w:szCs w:val="20"/>
        </w:rPr>
        <w:t xml:space="preserve">: </w:t>
      </w:r>
      <w:r w:rsidR="002132EE" w:rsidRPr="00850096">
        <w:rPr>
          <w:rFonts w:ascii="Sylfaen" w:hAnsi="Sylfaen"/>
          <w:b/>
          <w:bCs/>
          <w:noProof/>
          <w:sz w:val="20"/>
          <w:szCs w:val="20"/>
        </w:rPr>
        <w:t>დაპაგლიფლოზინის მონოთერაპიის პლაცებო-კონტროლირებადი კვლევის შედეგები 24-ე კვირაზე (LOCF)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452"/>
        <w:gridCol w:w="2426"/>
        <w:gridCol w:w="2457"/>
      </w:tblGrid>
      <w:tr w:rsidR="002132EE" w:rsidRPr="001C3C36" w14:paraId="671A409D" w14:textId="77777777" w:rsidTr="00DD48E8">
        <w:trPr>
          <w:trHeight w:hRule="exact" w:val="354"/>
        </w:trPr>
        <w:tc>
          <w:tcPr>
            <w:tcW w:w="8335" w:type="dxa"/>
            <w:gridSpan w:val="3"/>
          </w:tcPr>
          <w:p w14:paraId="50A8643C" w14:textId="4C3211CB" w:rsidR="002132EE" w:rsidRPr="001C3C36" w:rsidRDefault="002132EE" w:rsidP="00BC0A56">
            <w:pPr>
              <w:pStyle w:val="TableParagraph"/>
              <w:spacing w:before="64"/>
              <w:ind w:right="561"/>
              <w:jc w:val="center"/>
              <w:rPr>
                <w:rFonts w:ascii="Sylfaen" w:eastAsia="Times New Roman" w:hAnsi="Sylfaen" w:cs="Times New Roman"/>
                <w:noProof/>
                <w:sz w:val="18"/>
                <w:szCs w:val="18"/>
              </w:rPr>
            </w:pPr>
            <w:r w:rsidRPr="001C3C36">
              <w:rPr>
                <w:rFonts w:ascii="Sylfaen" w:eastAsia="Times New Roman" w:hAnsi="Sylfaen" w:cs="Times New Roman"/>
                <w:b/>
                <w:bCs/>
                <w:noProof/>
                <w:sz w:val="18"/>
                <w:szCs w:val="18"/>
              </w:rPr>
              <w:t>მონოთერაპია</w:t>
            </w:r>
          </w:p>
        </w:tc>
      </w:tr>
      <w:tr w:rsidR="002132EE" w:rsidRPr="001C3C36" w14:paraId="220EF30A" w14:textId="77777777" w:rsidTr="00DD48E8">
        <w:trPr>
          <w:trHeight w:hRule="exact" w:val="374"/>
        </w:trPr>
        <w:tc>
          <w:tcPr>
            <w:tcW w:w="3452" w:type="dxa"/>
          </w:tcPr>
          <w:p w14:paraId="752DB9AC" w14:textId="77777777" w:rsidR="002132EE" w:rsidRPr="001C3C36" w:rsidRDefault="002132EE" w:rsidP="00BC0A56">
            <w:pPr>
              <w:pStyle w:val="TableParagraph"/>
              <w:spacing w:before="33"/>
              <w:ind w:left="172"/>
              <w:rPr>
                <w:rFonts w:ascii="Sylfaen" w:eastAsia="Times New Roman" w:hAnsi="Sylfaen" w:cs="Times New Roman"/>
                <w:noProof/>
                <w:sz w:val="18"/>
                <w:szCs w:val="18"/>
              </w:rPr>
            </w:pPr>
          </w:p>
        </w:tc>
        <w:tc>
          <w:tcPr>
            <w:tcW w:w="2426" w:type="dxa"/>
          </w:tcPr>
          <w:p w14:paraId="7638F83D" w14:textId="1A8B1C6A" w:rsidR="002132EE" w:rsidRPr="001C3C36" w:rsidRDefault="002132EE" w:rsidP="00BC0A56">
            <w:pPr>
              <w:pStyle w:val="TableParagraph"/>
              <w:spacing w:before="64"/>
              <w:rPr>
                <w:rFonts w:ascii="Sylfaen" w:eastAsia="Times New Roman" w:hAnsi="Sylfaen" w:cs="Times New Roman"/>
                <w:b/>
                <w:bCs/>
                <w:noProof/>
                <w:sz w:val="18"/>
                <w:szCs w:val="18"/>
              </w:rPr>
            </w:pPr>
            <w:r w:rsidRPr="001C3C36">
              <w:rPr>
                <w:rFonts w:ascii="Sylfaen" w:eastAsia="Times New Roman" w:hAnsi="Sylfaen" w:cs="Sylfaen"/>
                <w:b/>
                <w:bCs/>
                <w:noProof/>
                <w:sz w:val="18"/>
                <w:szCs w:val="18"/>
              </w:rPr>
              <w:t>დაპაგლიფლოზინი</w:t>
            </w:r>
            <w:r w:rsidRPr="001C3C36">
              <w:rPr>
                <w:rFonts w:ascii="Sylfaen" w:eastAsia="Times New Roman" w:hAnsi="Sylfaen" w:cs="Times New Roman"/>
                <w:b/>
                <w:bCs/>
                <w:noProof/>
                <w:sz w:val="18"/>
                <w:szCs w:val="18"/>
              </w:rPr>
              <w:t xml:space="preserve"> 10 </w:t>
            </w:r>
            <w:r w:rsidRPr="001C3C36">
              <w:rPr>
                <w:rFonts w:ascii="Sylfaen" w:eastAsia="Times New Roman" w:hAnsi="Sylfaen" w:cs="Sylfaen"/>
                <w:b/>
                <w:bCs/>
                <w:noProof/>
                <w:sz w:val="18"/>
                <w:szCs w:val="18"/>
              </w:rPr>
              <w:t>მგ</w:t>
            </w:r>
          </w:p>
        </w:tc>
        <w:tc>
          <w:tcPr>
            <w:tcW w:w="2457" w:type="dxa"/>
          </w:tcPr>
          <w:p w14:paraId="029826A3" w14:textId="39C757C6" w:rsidR="002132EE" w:rsidRPr="001C3C36" w:rsidRDefault="002132EE" w:rsidP="00BC0A56">
            <w:pPr>
              <w:pStyle w:val="TableParagraph"/>
              <w:spacing w:before="64"/>
              <w:ind w:right="561"/>
              <w:jc w:val="center"/>
              <w:rPr>
                <w:rFonts w:ascii="Sylfaen" w:eastAsia="Times New Roman" w:hAnsi="Sylfaen" w:cs="Times New Roman"/>
                <w:b/>
                <w:bCs/>
                <w:noProof/>
                <w:sz w:val="18"/>
                <w:szCs w:val="18"/>
              </w:rPr>
            </w:pPr>
            <w:r w:rsidRPr="001C3C36">
              <w:rPr>
                <w:rFonts w:ascii="Sylfaen" w:eastAsia="Times New Roman" w:hAnsi="Sylfaen" w:cs="Times New Roman"/>
                <w:b/>
                <w:bCs/>
                <w:noProof/>
                <w:sz w:val="18"/>
                <w:szCs w:val="18"/>
              </w:rPr>
              <w:t>პლაცებო</w:t>
            </w:r>
          </w:p>
        </w:tc>
      </w:tr>
      <w:tr w:rsidR="002132EE" w:rsidRPr="001C3C36" w14:paraId="76102C09" w14:textId="77777777" w:rsidTr="00DD48E8">
        <w:trPr>
          <w:trHeight w:hRule="exact" w:val="354"/>
        </w:trPr>
        <w:tc>
          <w:tcPr>
            <w:tcW w:w="3452" w:type="dxa"/>
          </w:tcPr>
          <w:p w14:paraId="328E867A" w14:textId="77777777" w:rsidR="002132EE" w:rsidRPr="001C3C36" w:rsidRDefault="002132EE" w:rsidP="00BC0A56">
            <w:pPr>
              <w:pStyle w:val="TableParagraph"/>
              <w:spacing w:before="33"/>
              <w:ind w:left="172"/>
              <w:rPr>
                <w:rFonts w:ascii="Sylfaen" w:hAnsi="Sylfaen"/>
                <w:b/>
                <w:noProof/>
                <w:spacing w:val="-3"/>
                <w:position w:val="-8"/>
                <w:sz w:val="18"/>
                <w:szCs w:val="18"/>
              </w:rPr>
            </w:pPr>
            <w:r w:rsidRPr="001C3C36">
              <w:rPr>
                <w:rFonts w:ascii="Sylfaen" w:hAnsi="Sylfaen"/>
                <w:b/>
                <w:noProof/>
                <w:spacing w:val="-3"/>
                <w:position w:val="-8"/>
                <w:sz w:val="18"/>
                <w:szCs w:val="18"/>
              </w:rPr>
              <w:t>N</w:t>
            </w:r>
            <w:r w:rsidRPr="001C3C36">
              <w:rPr>
                <w:rFonts w:ascii="Sylfaen" w:hAnsi="Sylfaen"/>
                <w:b/>
                <w:noProof/>
                <w:spacing w:val="-3"/>
                <w:sz w:val="18"/>
                <w:szCs w:val="18"/>
              </w:rPr>
              <w:t>b</w:t>
            </w:r>
          </w:p>
        </w:tc>
        <w:tc>
          <w:tcPr>
            <w:tcW w:w="2426" w:type="dxa"/>
          </w:tcPr>
          <w:p w14:paraId="20C9B783" w14:textId="77777777" w:rsidR="002132EE" w:rsidRPr="001C3C36" w:rsidRDefault="002132EE" w:rsidP="00BC0A56">
            <w:pPr>
              <w:pStyle w:val="TableParagraph"/>
              <w:spacing w:before="64"/>
              <w:ind w:left="801"/>
              <w:rPr>
                <w:rFonts w:ascii="Sylfaen" w:hAnsi="Sylfaen"/>
                <w:noProof/>
                <w:spacing w:val="-5"/>
                <w:sz w:val="18"/>
                <w:szCs w:val="18"/>
              </w:rPr>
            </w:pPr>
            <w:r w:rsidRPr="001C3C36">
              <w:rPr>
                <w:rFonts w:ascii="Sylfaen" w:hAnsi="Sylfaen"/>
                <w:noProof/>
                <w:spacing w:val="-5"/>
                <w:sz w:val="18"/>
                <w:szCs w:val="18"/>
              </w:rPr>
              <w:t>70</w:t>
            </w:r>
          </w:p>
        </w:tc>
        <w:tc>
          <w:tcPr>
            <w:tcW w:w="2457" w:type="dxa"/>
          </w:tcPr>
          <w:p w14:paraId="7591D11D" w14:textId="77777777" w:rsidR="002132EE" w:rsidRPr="001C3C36" w:rsidRDefault="002132EE" w:rsidP="00BC0A56">
            <w:pPr>
              <w:pStyle w:val="TableParagraph"/>
              <w:spacing w:before="64"/>
              <w:ind w:right="561"/>
              <w:jc w:val="center"/>
              <w:rPr>
                <w:rFonts w:ascii="Sylfaen" w:hAnsi="Sylfaen"/>
                <w:noProof/>
                <w:spacing w:val="-5"/>
                <w:sz w:val="18"/>
                <w:szCs w:val="18"/>
              </w:rPr>
            </w:pPr>
            <w:r w:rsidRPr="001C3C36">
              <w:rPr>
                <w:rFonts w:ascii="Sylfaen" w:hAnsi="Sylfaen"/>
                <w:noProof/>
                <w:spacing w:val="-5"/>
                <w:sz w:val="18"/>
                <w:szCs w:val="18"/>
              </w:rPr>
              <w:t>75</w:t>
            </w:r>
          </w:p>
        </w:tc>
      </w:tr>
      <w:tr w:rsidR="002132EE" w:rsidRPr="001C3C36" w14:paraId="04C2F6DA" w14:textId="77777777" w:rsidTr="00DD48E8">
        <w:trPr>
          <w:trHeight w:hRule="exact" w:val="223"/>
        </w:trPr>
        <w:tc>
          <w:tcPr>
            <w:tcW w:w="8335" w:type="dxa"/>
            <w:gridSpan w:val="3"/>
          </w:tcPr>
          <w:p w14:paraId="657641B0" w14:textId="77777777" w:rsidR="002132EE" w:rsidRPr="001C3C36" w:rsidRDefault="002132EE" w:rsidP="00BC0A56">
            <w:pPr>
              <w:pStyle w:val="TableParagraph"/>
              <w:ind w:left="112"/>
              <w:rPr>
                <w:rFonts w:ascii="Sylfaen" w:eastAsia="Times New Roman" w:hAnsi="Sylfaen" w:cs="Times New Roman"/>
                <w:noProof/>
                <w:sz w:val="18"/>
                <w:szCs w:val="18"/>
              </w:rPr>
            </w:pPr>
            <w:r w:rsidRPr="001C3C36">
              <w:rPr>
                <w:rFonts w:ascii="Sylfaen" w:hAnsi="Sylfaen"/>
                <w:b/>
                <w:noProof/>
                <w:spacing w:val="-1"/>
                <w:sz w:val="18"/>
                <w:szCs w:val="18"/>
              </w:rPr>
              <w:t>HbA1c</w:t>
            </w:r>
            <w:r w:rsidRPr="001C3C36">
              <w:rPr>
                <w:rFonts w:ascii="Sylfaen" w:hAnsi="Sylfaen"/>
                <w:b/>
                <w:noProof/>
                <w:spacing w:val="-14"/>
                <w:sz w:val="18"/>
                <w:szCs w:val="18"/>
              </w:rPr>
              <w:t xml:space="preserve"> </w:t>
            </w:r>
            <w:r w:rsidRPr="001C3C36">
              <w:rPr>
                <w:rFonts w:ascii="Sylfaen" w:hAnsi="Sylfaen"/>
                <w:b/>
                <w:noProof/>
                <w:spacing w:val="-3"/>
                <w:sz w:val="18"/>
                <w:szCs w:val="18"/>
              </w:rPr>
              <w:t>(%)</w:t>
            </w:r>
          </w:p>
        </w:tc>
      </w:tr>
      <w:tr w:rsidR="002132EE" w:rsidRPr="001C3C36" w14:paraId="6117CA17" w14:textId="77777777" w:rsidTr="00DD48E8">
        <w:trPr>
          <w:trHeight w:hRule="exact" w:val="237"/>
        </w:trPr>
        <w:tc>
          <w:tcPr>
            <w:tcW w:w="3452" w:type="dxa"/>
          </w:tcPr>
          <w:p w14:paraId="4684AA9D" w14:textId="1371A14C" w:rsidR="002132EE" w:rsidRPr="001C3C36" w:rsidRDefault="002132EE" w:rsidP="00BC0A56">
            <w:pPr>
              <w:pStyle w:val="TableParagraph"/>
              <w:ind w:left="112"/>
              <w:rPr>
                <w:rFonts w:ascii="Sylfaen" w:eastAsia="Times New Roman" w:hAnsi="Sylfaen" w:cs="Times New Roman"/>
                <w:noProof/>
                <w:sz w:val="18"/>
                <w:szCs w:val="18"/>
              </w:rPr>
            </w:pPr>
            <w:r w:rsidRPr="001C3C36">
              <w:rPr>
                <w:rFonts w:ascii="Sylfaen" w:hAnsi="Sylfaen" w:cs="Sylfaen"/>
                <w:b/>
                <w:noProof/>
                <w:spacing w:val="-1"/>
                <w:sz w:val="18"/>
                <w:szCs w:val="18"/>
              </w:rPr>
              <w:t>საწყისი</w:t>
            </w:r>
            <w:r w:rsidRPr="001C3C36">
              <w:rPr>
                <w:rFonts w:ascii="Sylfaen" w:hAnsi="Sylfaen"/>
                <w:b/>
                <w:noProof/>
                <w:spacing w:val="-1"/>
                <w:sz w:val="18"/>
                <w:szCs w:val="18"/>
              </w:rPr>
              <w:t xml:space="preserve"> </w:t>
            </w:r>
            <w:r w:rsidRPr="001C3C36">
              <w:rPr>
                <w:rFonts w:ascii="Sylfaen" w:hAnsi="Sylfaen" w:cs="Sylfaen"/>
                <w:b/>
                <w:noProof/>
                <w:spacing w:val="-1"/>
                <w:sz w:val="18"/>
                <w:szCs w:val="18"/>
              </w:rPr>
              <w:t>მაჩვენებელი</w:t>
            </w:r>
            <w:r w:rsidRPr="001C3C36">
              <w:rPr>
                <w:rFonts w:ascii="Sylfaen" w:hAnsi="Sylfaen"/>
                <w:b/>
                <w:noProof/>
                <w:spacing w:val="-1"/>
                <w:sz w:val="18"/>
                <w:szCs w:val="18"/>
              </w:rPr>
              <w:t xml:space="preserve"> (</w:t>
            </w:r>
            <w:r w:rsidRPr="001C3C36">
              <w:rPr>
                <w:rFonts w:ascii="Sylfaen" w:hAnsi="Sylfaen" w:cs="Sylfaen"/>
                <w:b/>
                <w:noProof/>
                <w:spacing w:val="-1"/>
                <w:sz w:val="18"/>
                <w:szCs w:val="18"/>
              </w:rPr>
              <w:t>საშუალო</w:t>
            </w:r>
            <w:r w:rsidRPr="001C3C36">
              <w:rPr>
                <w:rFonts w:ascii="Sylfaen" w:hAnsi="Sylfaen"/>
                <w:b/>
                <w:noProof/>
                <w:spacing w:val="-1"/>
                <w:sz w:val="18"/>
                <w:szCs w:val="18"/>
              </w:rPr>
              <w:t>)</w:t>
            </w:r>
          </w:p>
        </w:tc>
        <w:tc>
          <w:tcPr>
            <w:tcW w:w="2426" w:type="dxa"/>
          </w:tcPr>
          <w:p w14:paraId="6A922352" w14:textId="77777777" w:rsidR="002132EE" w:rsidRPr="001C3C36" w:rsidRDefault="002132EE" w:rsidP="00BC0A56">
            <w:pPr>
              <w:pStyle w:val="TableParagraph"/>
              <w:ind w:right="61"/>
              <w:jc w:val="center"/>
              <w:rPr>
                <w:rFonts w:ascii="Sylfaen" w:eastAsia="Times New Roman" w:hAnsi="Sylfaen" w:cs="Times New Roman"/>
                <w:noProof/>
                <w:sz w:val="18"/>
                <w:szCs w:val="18"/>
              </w:rPr>
            </w:pPr>
            <w:r w:rsidRPr="001C3C36">
              <w:rPr>
                <w:rFonts w:ascii="Sylfaen" w:hAnsi="Sylfaen"/>
                <w:noProof/>
                <w:spacing w:val="-5"/>
                <w:sz w:val="18"/>
                <w:szCs w:val="18"/>
              </w:rPr>
              <w:t>8.01</w:t>
            </w:r>
          </w:p>
        </w:tc>
        <w:tc>
          <w:tcPr>
            <w:tcW w:w="2457" w:type="dxa"/>
          </w:tcPr>
          <w:p w14:paraId="0361FC46" w14:textId="77777777" w:rsidR="002132EE" w:rsidRPr="001C3C36" w:rsidRDefault="002132EE" w:rsidP="00BC0A56">
            <w:pPr>
              <w:pStyle w:val="TableParagraph"/>
              <w:ind w:right="80"/>
              <w:jc w:val="center"/>
              <w:rPr>
                <w:rFonts w:ascii="Sylfaen" w:eastAsia="Times New Roman" w:hAnsi="Sylfaen" w:cs="Times New Roman"/>
                <w:noProof/>
                <w:sz w:val="18"/>
                <w:szCs w:val="18"/>
              </w:rPr>
            </w:pPr>
            <w:r w:rsidRPr="001C3C36">
              <w:rPr>
                <w:rFonts w:ascii="Sylfaen" w:hAnsi="Sylfaen"/>
                <w:noProof/>
                <w:spacing w:val="-5"/>
                <w:sz w:val="18"/>
                <w:szCs w:val="18"/>
              </w:rPr>
              <w:t>7.79</w:t>
            </w:r>
          </w:p>
        </w:tc>
      </w:tr>
      <w:tr w:rsidR="002132EE" w:rsidRPr="001C3C36" w14:paraId="514AF10C" w14:textId="77777777" w:rsidTr="002132EE">
        <w:trPr>
          <w:trHeight w:hRule="exact" w:val="631"/>
        </w:trPr>
        <w:tc>
          <w:tcPr>
            <w:tcW w:w="3452" w:type="dxa"/>
          </w:tcPr>
          <w:p w14:paraId="0C0D66AA" w14:textId="77777777" w:rsidR="002132EE" w:rsidRPr="001C3C36" w:rsidRDefault="002132EE" w:rsidP="00BC0A56">
            <w:pPr>
              <w:pStyle w:val="TableParagraph"/>
              <w:rPr>
                <w:rFonts w:ascii="Sylfaen" w:hAnsi="Sylfaen"/>
                <w:noProof/>
                <w:sz w:val="18"/>
                <w:szCs w:val="18"/>
              </w:rPr>
            </w:pPr>
            <w:r w:rsidRPr="001C3C36">
              <w:rPr>
                <w:rFonts w:ascii="Sylfaen" w:hAnsi="Sylfaen"/>
                <w:noProof/>
                <w:sz w:val="18"/>
                <w:szCs w:val="18"/>
              </w:rPr>
              <w:t xml:space="preserve">  საწყის მაჩვენებელთან შედარებით  </w:t>
            </w:r>
          </w:p>
          <w:p w14:paraId="68B0CB31" w14:textId="19D6A30E" w:rsidR="002132EE" w:rsidRPr="001C3C36" w:rsidRDefault="002132EE" w:rsidP="00BC0A56">
            <w:pPr>
              <w:pStyle w:val="TableParagraph"/>
              <w:rPr>
                <w:rFonts w:ascii="Sylfaen" w:eastAsia="Times New Roman" w:hAnsi="Sylfaen" w:cs="Times New Roman"/>
                <w:noProof/>
                <w:sz w:val="18"/>
                <w:szCs w:val="18"/>
              </w:rPr>
            </w:pPr>
            <w:r w:rsidRPr="001C3C36">
              <w:rPr>
                <w:rFonts w:ascii="Sylfaen" w:hAnsi="Sylfaen"/>
                <w:noProof/>
                <w:sz w:val="18"/>
                <w:szCs w:val="18"/>
              </w:rPr>
              <w:t xml:space="preserve">  ცვლილება</w:t>
            </w:r>
            <w:r w:rsidRPr="001C3C36">
              <w:rPr>
                <w:rFonts w:ascii="Sylfaen" w:hAnsi="Sylfaen"/>
                <w:noProof/>
                <w:spacing w:val="-3"/>
                <w:position w:val="7"/>
                <w:sz w:val="18"/>
                <w:szCs w:val="18"/>
              </w:rPr>
              <w:t>c</w:t>
            </w:r>
          </w:p>
        </w:tc>
        <w:tc>
          <w:tcPr>
            <w:tcW w:w="2426" w:type="dxa"/>
          </w:tcPr>
          <w:p w14:paraId="616FF3C9" w14:textId="77777777" w:rsidR="002132EE" w:rsidRPr="001C3C36" w:rsidRDefault="002132EE" w:rsidP="00BC0A56">
            <w:pPr>
              <w:pStyle w:val="TableParagraph"/>
              <w:spacing w:before="4"/>
              <w:ind w:right="198"/>
              <w:jc w:val="center"/>
              <w:rPr>
                <w:rFonts w:ascii="Sylfaen" w:eastAsia="Times New Roman" w:hAnsi="Sylfaen" w:cs="Times New Roman"/>
                <w:noProof/>
                <w:sz w:val="18"/>
                <w:szCs w:val="18"/>
              </w:rPr>
            </w:pPr>
            <w:r w:rsidRPr="001C3C36">
              <w:rPr>
                <w:rFonts w:ascii="Sylfaen" w:hAnsi="Sylfaen"/>
                <w:noProof/>
                <w:spacing w:val="-3"/>
                <w:sz w:val="18"/>
                <w:szCs w:val="18"/>
              </w:rPr>
              <w:t>-0.89</w:t>
            </w:r>
          </w:p>
        </w:tc>
        <w:tc>
          <w:tcPr>
            <w:tcW w:w="2457" w:type="dxa"/>
          </w:tcPr>
          <w:p w14:paraId="1EE84FD2" w14:textId="77777777" w:rsidR="002132EE" w:rsidRPr="001C3C36" w:rsidRDefault="002132EE" w:rsidP="00BC0A56">
            <w:pPr>
              <w:pStyle w:val="TableParagraph"/>
              <w:spacing w:before="4"/>
              <w:ind w:right="63"/>
              <w:jc w:val="center"/>
              <w:rPr>
                <w:rFonts w:ascii="Sylfaen" w:eastAsia="Times New Roman" w:hAnsi="Sylfaen" w:cs="Times New Roman"/>
                <w:noProof/>
                <w:sz w:val="18"/>
                <w:szCs w:val="18"/>
              </w:rPr>
            </w:pPr>
            <w:r w:rsidRPr="001C3C36">
              <w:rPr>
                <w:rFonts w:ascii="Sylfaen" w:hAnsi="Sylfaen"/>
                <w:noProof/>
                <w:spacing w:val="-3"/>
                <w:sz w:val="18"/>
                <w:szCs w:val="18"/>
              </w:rPr>
              <w:t>-0.23</w:t>
            </w:r>
          </w:p>
        </w:tc>
      </w:tr>
      <w:tr w:rsidR="002132EE" w:rsidRPr="001C3C36" w14:paraId="09E24EC1" w14:textId="77777777" w:rsidTr="00DD48E8">
        <w:trPr>
          <w:trHeight w:hRule="exact" w:val="267"/>
        </w:trPr>
        <w:tc>
          <w:tcPr>
            <w:tcW w:w="3452" w:type="dxa"/>
          </w:tcPr>
          <w:p w14:paraId="430E3752" w14:textId="614C9E30" w:rsidR="002132EE" w:rsidRPr="001C3C36" w:rsidRDefault="002132EE" w:rsidP="00BC0A56">
            <w:pPr>
              <w:pStyle w:val="TableParagraph"/>
              <w:spacing w:before="7"/>
              <w:ind w:left="237"/>
              <w:rPr>
                <w:rFonts w:ascii="Sylfaen" w:eastAsia="Times New Roman" w:hAnsi="Sylfaen" w:cs="Times New Roman"/>
                <w:noProof/>
                <w:sz w:val="18"/>
                <w:szCs w:val="18"/>
              </w:rPr>
            </w:pPr>
            <w:r w:rsidRPr="001C3C36">
              <w:rPr>
                <w:rFonts w:ascii="Sylfaen" w:hAnsi="Sylfaen" w:cs="Sylfaen"/>
                <w:noProof/>
                <w:sz w:val="18"/>
                <w:szCs w:val="18"/>
              </w:rPr>
              <w:t>პლაცებოსთან</w:t>
            </w:r>
            <w:r w:rsidRPr="001C3C36">
              <w:rPr>
                <w:rFonts w:ascii="Sylfaen" w:hAnsi="Sylfaen"/>
                <w:noProof/>
                <w:sz w:val="18"/>
                <w:szCs w:val="18"/>
              </w:rPr>
              <w:t xml:space="preserve"> </w:t>
            </w:r>
            <w:r w:rsidRPr="001C3C36">
              <w:rPr>
                <w:rFonts w:ascii="Sylfaen" w:hAnsi="Sylfaen" w:cs="Sylfaen"/>
                <w:noProof/>
                <w:sz w:val="18"/>
                <w:szCs w:val="18"/>
              </w:rPr>
              <w:t>შედარებით</w:t>
            </w:r>
            <w:r w:rsidRPr="001C3C36">
              <w:rPr>
                <w:rFonts w:ascii="Sylfaen" w:hAnsi="Sylfaen"/>
                <w:noProof/>
                <w:sz w:val="18"/>
                <w:szCs w:val="18"/>
              </w:rPr>
              <w:t xml:space="preserve"> </w:t>
            </w:r>
            <w:r w:rsidRPr="001C3C36">
              <w:rPr>
                <w:rFonts w:ascii="Sylfaen" w:hAnsi="Sylfaen" w:cs="Sylfaen"/>
                <w:noProof/>
                <w:sz w:val="18"/>
                <w:szCs w:val="18"/>
              </w:rPr>
              <w:t>განსხვავება</w:t>
            </w:r>
            <w:r w:rsidRPr="001C3C36">
              <w:rPr>
                <w:rFonts w:ascii="Sylfaen" w:hAnsi="Sylfaen"/>
                <w:noProof/>
                <w:spacing w:val="-2"/>
                <w:position w:val="7"/>
                <w:sz w:val="18"/>
                <w:szCs w:val="18"/>
              </w:rPr>
              <w:t>c</w:t>
            </w:r>
          </w:p>
        </w:tc>
        <w:tc>
          <w:tcPr>
            <w:tcW w:w="2426" w:type="dxa"/>
          </w:tcPr>
          <w:p w14:paraId="136D1617" w14:textId="77777777" w:rsidR="002132EE" w:rsidRPr="001C3C36" w:rsidRDefault="002132EE" w:rsidP="00BC0A56">
            <w:pPr>
              <w:pStyle w:val="TableParagraph"/>
              <w:spacing w:before="7"/>
              <w:ind w:right="55"/>
              <w:jc w:val="center"/>
              <w:rPr>
                <w:rFonts w:ascii="Sylfaen" w:eastAsia="Times New Roman" w:hAnsi="Sylfaen" w:cs="Times New Roman"/>
                <w:noProof/>
                <w:sz w:val="18"/>
                <w:szCs w:val="18"/>
              </w:rPr>
            </w:pPr>
            <w:r w:rsidRPr="001C3C36">
              <w:rPr>
                <w:rFonts w:ascii="Sylfaen" w:hAnsi="Sylfaen"/>
                <w:noProof/>
                <w:spacing w:val="-2"/>
                <w:sz w:val="18"/>
                <w:szCs w:val="18"/>
              </w:rPr>
              <w:t>-0.66</w:t>
            </w:r>
            <w:r w:rsidRPr="001C3C36">
              <w:rPr>
                <w:rFonts w:ascii="Sylfaen" w:hAnsi="Sylfaen"/>
                <w:noProof/>
                <w:spacing w:val="-2"/>
                <w:position w:val="7"/>
                <w:sz w:val="18"/>
                <w:szCs w:val="18"/>
              </w:rPr>
              <w:t>*</w:t>
            </w:r>
          </w:p>
        </w:tc>
        <w:tc>
          <w:tcPr>
            <w:tcW w:w="2457" w:type="dxa"/>
          </w:tcPr>
          <w:p w14:paraId="5AF526E7" w14:textId="77777777" w:rsidR="002132EE" w:rsidRPr="001C3C36" w:rsidRDefault="002132EE" w:rsidP="00BC0A56">
            <w:pPr>
              <w:spacing w:line="240" w:lineRule="auto"/>
              <w:rPr>
                <w:rFonts w:ascii="Sylfaen" w:hAnsi="Sylfaen"/>
                <w:noProof/>
                <w:sz w:val="18"/>
                <w:szCs w:val="18"/>
              </w:rPr>
            </w:pPr>
          </w:p>
        </w:tc>
      </w:tr>
      <w:tr w:rsidR="002132EE" w:rsidRPr="001C3C36" w14:paraId="20C5445D" w14:textId="77777777" w:rsidTr="00DD48E8">
        <w:trPr>
          <w:trHeight w:hRule="exact" w:val="268"/>
        </w:trPr>
        <w:tc>
          <w:tcPr>
            <w:tcW w:w="3452" w:type="dxa"/>
          </w:tcPr>
          <w:p w14:paraId="49F3E5A1" w14:textId="77777777" w:rsidR="002132EE" w:rsidRPr="001C3C36" w:rsidRDefault="002132EE" w:rsidP="00BC0A56">
            <w:pPr>
              <w:pStyle w:val="TableParagraph"/>
              <w:spacing w:before="3"/>
              <w:ind w:left="333"/>
              <w:rPr>
                <w:rFonts w:ascii="Sylfaen" w:eastAsia="Times New Roman" w:hAnsi="Sylfaen" w:cs="Times New Roman"/>
                <w:noProof/>
                <w:sz w:val="18"/>
                <w:szCs w:val="18"/>
              </w:rPr>
            </w:pPr>
            <w:r w:rsidRPr="001C3C36">
              <w:rPr>
                <w:rFonts w:ascii="Sylfaen" w:hAnsi="Sylfaen"/>
                <w:noProof/>
                <w:sz w:val="18"/>
                <w:szCs w:val="18"/>
              </w:rPr>
              <w:lastRenderedPageBreak/>
              <w:t>(95%</w:t>
            </w:r>
            <w:r w:rsidRPr="001C3C36">
              <w:rPr>
                <w:rFonts w:ascii="Sylfaen" w:hAnsi="Sylfaen"/>
                <w:noProof/>
                <w:spacing w:val="-9"/>
                <w:sz w:val="18"/>
                <w:szCs w:val="18"/>
              </w:rPr>
              <w:t xml:space="preserve"> </w:t>
            </w:r>
            <w:r w:rsidRPr="001C3C36">
              <w:rPr>
                <w:rFonts w:ascii="Sylfaen" w:hAnsi="Sylfaen"/>
                <w:noProof/>
                <w:spacing w:val="-5"/>
                <w:sz w:val="18"/>
                <w:szCs w:val="18"/>
              </w:rPr>
              <w:t>CI)</w:t>
            </w:r>
          </w:p>
        </w:tc>
        <w:tc>
          <w:tcPr>
            <w:tcW w:w="2426" w:type="dxa"/>
          </w:tcPr>
          <w:p w14:paraId="2CBD2F13" w14:textId="77777777" w:rsidR="002132EE" w:rsidRPr="001C3C36" w:rsidRDefault="002132EE" w:rsidP="00BC0A56">
            <w:pPr>
              <w:pStyle w:val="TableParagraph"/>
              <w:spacing w:before="3"/>
              <w:ind w:left="520"/>
              <w:rPr>
                <w:rFonts w:ascii="Sylfaen" w:eastAsia="Times New Roman" w:hAnsi="Sylfaen" w:cs="Times New Roman"/>
                <w:noProof/>
                <w:sz w:val="18"/>
                <w:szCs w:val="18"/>
              </w:rPr>
            </w:pPr>
            <w:r w:rsidRPr="001C3C36">
              <w:rPr>
                <w:rFonts w:ascii="Sylfaen" w:hAnsi="Sylfaen"/>
                <w:noProof/>
                <w:sz w:val="18"/>
                <w:szCs w:val="18"/>
              </w:rPr>
              <w:t>(-0.96,</w:t>
            </w:r>
            <w:r w:rsidRPr="001C3C36">
              <w:rPr>
                <w:rFonts w:ascii="Sylfaen" w:hAnsi="Sylfaen"/>
                <w:noProof/>
                <w:spacing w:val="-17"/>
                <w:sz w:val="18"/>
                <w:szCs w:val="18"/>
              </w:rPr>
              <w:t xml:space="preserve"> </w:t>
            </w:r>
            <w:r w:rsidRPr="001C3C36">
              <w:rPr>
                <w:rFonts w:ascii="Sylfaen" w:hAnsi="Sylfaen"/>
                <w:noProof/>
                <w:spacing w:val="-2"/>
                <w:sz w:val="18"/>
                <w:szCs w:val="18"/>
              </w:rPr>
              <w:t>-0.36)</w:t>
            </w:r>
          </w:p>
        </w:tc>
        <w:tc>
          <w:tcPr>
            <w:tcW w:w="2457" w:type="dxa"/>
          </w:tcPr>
          <w:p w14:paraId="70C3C0B8" w14:textId="77777777" w:rsidR="002132EE" w:rsidRPr="001C3C36" w:rsidRDefault="002132EE" w:rsidP="00BC0A56">
            <w:pPr>
              <w:spacing w:line="240" w:lineRule="auto"/>
              <w:rPr>
                <w:rFonts w:ascii="Sylfaen" w:hAnsi="Sylfaen"/>
                <w:noProof/>
                <w:sz w:val="18"/>
                <w:szCs w:val="18"/>
              </w:rPr>
            </w:pPr>
          </w:p>
        </w:tc>
      </w:tr>
      <w:tr w:rsidR="002132EE" w:rsidRPr="001C3C36" w14:paraId="7541A06E" w14:textId="77777777" w:rsidTr="002132EE">
        <w:trPr>
          <w:trHeight w:hRule="exact" w:val="1090"/>
        </w:trPr>
        <w:tc>
          <w:tcPr>
            <w:tcW w:w="3452" w:type="dxa"/>
          </w:tcPr>
          <w:p w14:paraId="4ADC5E74" w14:textId="34E829ED" w:rsidR="002132EE" w:rsidRPr="001C3C36" w:rsidRDefault="002132EE" w:rsidP="00BC0A56">
            <w:pPr>
              <w:pStyle w:val="TableParagraph"/>
              <w:ind w:left="112" w:right="518"/>
              <w:rPr>
                <w:rFonts w:ascii="Sylfaen" w:eastAsia="Times New Roman" w:hAnsi="Sylfaen" w:cs="Times New Roman"/>
                <w:noProof/>
                <w:sz w:val="18"/>
                <w:szCs w:val="18"/>
              </w:rPr>
            </w:pPr>
            <w:r w:rsidRPr="001C3C36">
              <w:rPr>
                <w:rFonts w:ascii="Sylfaen" w:hAnsi="Sylfaen" w:cs="Sylfaen"/>
                <w:b/>
                <w:noProof/>
                <w:spacing w:val="-1"/>
                <w:sz w:val="18"/>
                <w:szCs w:val="18"/>
              </w:rPr>
              <w:t>სუბიექტები</w:t>
            </w:r>
            <w:r w:rsidRPr="001C3C36">
              <w:rPr>
                <w:rFonts w:ascii="Sylfaen" w:hAnsi="Sylfaen"/>
                <w:b/>
                <w:noProof/>
                <w:spacing w:val="-1"/>
                <w:sz w:val="18"/>
                <w:szCs w:val="18"/>
              </w:rPr>
              <w:t xml:space="preserve"> (%), </w:t>
            </w:r>
            <w:r w:rsidRPr="001C3C36">
              <w:rPr>
                <w:rFonts w:ascii="Sylfaen" w:hAnsi="Sylfaen" w:cs="Sylfaen"/>
                <w:b/>
                <w:noProof/>
                <w:spacing w:val="-1"/>
                <w:sz w:val="18"/>
                <w:szCs w:val="18"/>
              </w:rPr>
              <w:t>რომლებმაც</w:t>
            </w:r>
            <w:r w:rsidRPr="001C3C36">
              <w:rPr>
                <w:rFonts w:ascii="Sylfaen" w:hAnsi="Sylfaen"/>
                <w:b/>
                <w:noProof/>
                <w:spacing w:val="-1"/>
                <w:sz w:val="18"/>
                <w:szCs w:val="18"/>
              </w:rPr>
              <w:t xml:space="preserve"> </w:t>
            </w:r>
            <w:r w:rsidRPr="001C3C36">
              <w:rPr>
                <w:rFonts w:ascii="Sylfaen" w:hAnsi="Sylfaen" w:cs="Sylfaen"/>
                <w:b/>
                <w:noProof/>
                <w:spacing w:val="-1"/>
                <w:sz w:val="18"/>
                <w:szCs w:val="18"/>
              </w:rPr>
              <w:t>მიაღწიეს</w:t>
            </w:r>
            <w:r w:rsidRPr="001C3C36">
              <w:rPr>
                <w:rFonts w:ascii="Sylfaen" w:hAnsi="Sylfaen"/>
                <w:b/>
                <w:noProof/>
                <w:spacing w:val="-1"/>
                <w:sz w:val="18"/>
                <w:szCs w:val="18"/>
              </w:rPr>
              <w:t>:</w:t>
            </w:r>
            <w:r w:rsidRPr="001C3C36">
              <w:rPr>
                <w:rFonts w:ascii="Sylfaen" w:hAnsi="Sylfaen"/>
                <w:b/>
                <w:noProof/>
                <w:sz w:val="18"/>
                <w:szCs w:val="18"/>
              </w:rPr>
              <w:t>HbA1c</w:t>
            </w:r>
            <w:r w:rsidRPr="001C3C36">
              <w:rPr>
                <w:rFonts w:ascii="Sylfaen" w:hAnsi="Sylfaen"/>
                <w:b/>
                <w:noProof/>
                <w:spacing w:val="-8"/>
                <w:sz w:val="18"/>
                <w:szCs w:val="18"/>
              </w:rPr>
              <w:t xml:space="preserve"> </w:t>
            </w:r>
            <w:r w:rsidRPr="001C3C36">
              <w:rPr>
                <w:rFonts w:ascii="Sylfaen" w:hAnsi="Sylfaen"/>
                <w:b/>
                <w:noProof/>
                <w:sz w:val="18"/>
                <w:szCs w:val="18"/>
              </w:rPr>
              <w:t>&lt;</w:t>
            </w:r>
            <w:r w:rsidRPr="001C3C36">
              <w:rPr>
                <w:rFonts w:ascii="Sylfaen" w:hAnsi="Sylfaen"/>
                <w:b/>
                <w:noProof/>
                <w:spacing w:val="28"/>
                <w:w w:val="99"/>
                <w:sz w:val="18"/>
                <w:szCs w:val="18"/>
              </w:rPr>
              <w:t xml:space="preserve"> </w:t>
            </w:r>
            <w:r w:rsidRPr="001C3C36">
              <w:rPr>
                <w:rFonts w:ascii="Sylfaen" w:hAnsi="Sylfaen"/>
                <w:b/>
                <w:noProof/>
                <w:spacing w:val="1"/>
                <w:sz w:val="18"/>
                <w:szCs w:val="18"/>
              </w:rPr>
              <w:t>7%</w:t>
            </w:r>
          </w:p>
          <w:p w14:paraId="03206A9A" w14:textId="27F46FAA" w:rsidR="002132EE" w:rsidRPr="001C3C36" w:rsidRDefault="002132EE" w:rsidP="00BC0A56">
            <w:pPr>
              <w:pStyle w:val="TableParagraph"/>
              <w:spacing w:before="2"/>
              <w:ind w:left="254"/>
              <w:rPr>
                <w:rFonts w:ascii="Sylfaen" w:eastAsia="Times New Roman" w:hAnsi="Sylfaen" w:cs="Times New Roman"/>
                <w:noProof/>
                <w:sz w:val="18"/>
                <w:szCs w:val="18"/>
              </w:rPr>
            </w:pPr>
            <w:r w:rsidRPr="001C3C36">
              <w:rPr>
                <w:rFonts w:ascii="Sylfaen" w:hAnsi="Sylfaen" w:cs="Sylfaen"/>
                <w:noProof/>
                <w:spacing w:val="-1"/>
                <w:sz w:val="18"/>
                <w:szCs w:val="18"/>
              </w:rPr>
              <w:t>საწყისი</w:t>
            </w:r>
            <w:r w:rsidRPr="001C3C36">
              <w:rPr>
                <w:rFonts w:ascii="Sylfaen" w:hAnsi="Sylfaen"/>
                <w:noProof/>
                <w:spacing w:val="-1"/>
                <w:sz w:val="18"/>
                <w:szCs w:val="18"/>
              </w:rPr>
              <w:t xml:space="preserve"> </w:t>
            </w:r>
            <w:r w:rsidRPr="001C3C36">
              <w:rPr>
                <w:rFonts w:ascii="Sylfaen" w:hAnsi="Sylfaen" w:cs="Sylfaen"/>
                <w:noProof/>
                <w:spacing w:val="-1"/>
                <w:sz w:val="18"/>
                <w:szCs w:val="18"/>
              </w:rPr>
              <w:t>მაჩვენებლის</w:t>
            </w:r>
            <w:r w:rsidRPr="001C3C36">
              <w:rPr>
                <w:rFonts w:ascii="Sylfaen" w:hAnsi="Sylfaen"/>
                <w:noProof/>
                <w:spacing w:val="-1"/>
                <w:sz w:val="18"/>
                <w:szCs w:val="18"/>
              </w:rPr>
              <w:t xml:space="preserve"> </w:t>
            </w:r>
            <w:r w:rsidRPr="001C3C36">
              <w:rPr>
                <w:rFonts w:ascii="Sylfaen" w:hAnsi="Sylfaen" w:cs="Sylfaen"/>
                <w:noProof/>
                <w:spacing w:val="-1"/>
                <w:sz w:val="18"/>
                <w:szCs w:val="18"/>
              </w:rPr>
              <w:t>მიხედვით</w:t>
            </w:r>
            <w:r w:rsidRPr="001C3C36">
              <w:rPr>
                <w:rFonts w:ascii="Sylfaen" w:hAnsi="Sylfaen"/>
                <w:noProof/>
                <w:spacing w:val="-1"/>
                <w:sz w:val="18"/>
                <w:szCs w:val="18"/>
              </w:rPr>
              <w:t xml:space="preserve"> </w:t>
            </w:r>
            <w:r w:rsidRPr="001C3C36">
              <w:rPr>
                <w:rFonts w:ascii="Sylfaen" w:hAnsi="Sylfaen" w:cs="Sylfaen"/>
                <w:noProof/>
                <w:spacing w:val="-1"/>
                <w:sz w:val="18"/>
                <w:szCs w:val="18"/>
              </w:rPr>
              <w:t>კორექტირებული</w:t>
            </w:r>
          </w:p>
        </w:tc>
        <w:tc>
          <w:tcPr>
            <w:tcW w:w="2426" w:type="dxa"/>
          </w:tcPr>
          <w:p w14:paraId="0DA63CFD" w14:textId="77777777" w:rsidR="002132EE" w:rsidRPr="001C3C36" w:rsidRDefault="002132EE" w:rsidP="00BC0A56">
            <w:pPr>
              <w:pStyle w:val="TableParagraph"/>
              <w:rPr>
                <w:rFonts w:ascii="Sylfaen" w:eastAsia="Times New Roman" w:hAnsi="Sylfaen" w:cs="Times New Roman"/>
                <w:noProof/>
                <w:sz w:val="18"/>
                <w:szCs w:val="18"/>
              </w:rPr>
            </w:pPr>
          </w:p>
          <w:p w14:paraId="3D7E5B61" w14:textId="77777777" w:rsidR="002132EE" w:rsidRPr="001C3C36" w:rsidRDefault="002132EE" w:rsidP="00BC0A56">
            <w:pPr>
              <w:pStyle w:val="TableParagraph"/>
              <w:spacing w:before="3"/>
              <w:rPr>
                <w:rFonts w:ascii="Sylfaen" w:eastAsia="Times New Roman" w:hAnsi="Sylfaen" w:cs="Times New Roman"/>
                <w:noProof/>
                <w:sz w:val="18"/>
                <w:szCs w:val="18"/>
              </w:rPr>
            </w:pPr>
          </w:p>
          <w:p w14:paraId="33845BD3" w14:textId="77777777" w:rsidR="002132EE" w:rsidRPr="001C3C36" w:rsidRDefault="002132EE" w:rsidP="00BC0A56">
            <w:pPr>
              <w:pStyle w:val="TableParagraph"/>
              <w:ind w:right="201"/>
              <w:jc w:val="center"/>
              <w:rPr>
                <w:rFonts w:ascii="Sylfaen" w:eastAsia="Times New Roman" w:hAnsi="Sylfaen" w:cs="Times New Roman"/>
                <w:noProof/>
                <w:sz w:val="18"/>
                <w:szCs w:val="18"/>
              </w:rPr>
            </w:pPr>
            <w:r w:rsidRPr="001C3C36">
              <w:rPr>
                <w:rFonts w:ascii="Sylfaen" w:eastAsia="Times New Roman" w:hAnsi="Sylfaen" w:cs="Times New Roman"/>
                <w:noProof/>
                <w:spacing w:val="-2"/>
                <w:sz w:val="18"/>
                <w:szCs w:val="18"/>
              </w:rPr>
              <w:t>50.8</w:t>
            </w:r>
            <w:r w:rsidRPr="001C3C36">
              <w:rPr>
                <w:rFonts w:ascii="Sylfaen" w:eastAsia="Times New Roman" w:hAnsi="Sylfaen" w:cs="Times New Roman"/>
                <w:noProof/>
                <w:spacing w:val="-2"/>
                <w:position w:val="7"/>
                <w:sz w:val="18"/>
                <w:szCs w:val="18"/>
              </w:rPr>
              <w:t>§</w:t>
            </w:r>
          </w:p>
        </w:tc>
        <w:tc>
          <w:tcPr>
            <w:tcW w:w="2457" w:type="dxa"/>
          </w:tcPr>
          <w:p w14:paraId="77C38158" w14:textId="77777777" w:rsidR="002132EE" w:rsidRPr="001C3C36" w:rsidRDefault="002132EE" w:rsidP="00BC0A56">
            <w:pPr>
              <w:pStyle w:val="TableParagraph"/>
              <w:rPr>
                <w:rFonts w:ascii="Sylfaen" w:eastAsia="Times New Roman" w:hAnsi="Sylfaen" w:cs="Times New Roman"/>
                <w:noProof/>
                <w:sz w:val="18"/>
                <w:szCs w:val="18"/>
              </w:rPr>
            </w:pPr>
          </w:p>
          <w:p w14:paraId="2246090D" w14:textId="77777777" w:rsidR="002132EE" w:rsidRPr="001C3C36" w:rsidRDefault="002132EE" w:rsidP="00BC0A56">
            <w:pPr>
              <w:pStyle w:val="TableParagraph"/>
              <w:spacing w:before="8"/>
              <w:rPr>
                <w:rFonts w:ascii="Sylfaen" w:eastAsia="Times New Roman" w:hAnsi="Sylfaen" w:cs="Times New Roman"/>
                <w:noProof/>
                <w:sz w:val="18"/>
                <w:szCs w:val="18"/>
              </w:rPr>
            </w:pPr>
          </w:p>
          <w:p w14:paraId="73D609C4" w14:textId="77777777" w:rsidR="002132EE" w:rsidRPr="001C3C36" w:rsidRDefault="002132EE" w:rsidP="00BC0A56">
            <w:pPr>
              <w:pStyle w:val="TableParagraph"/>
              <w:ind w:right="80"/>
              <w:jc w:val="center"/>
              <w:rPr>
                <w:rFonts w:ascii="Sylfaen" w:eastAsia="Times New Roman" w:hAnsi="Sylfaen" w:cs="Times New Roman"/>
                <w:noProof/>
                <w:sz w:val="18"/>
                <w:szCs w:val="18"/>
              </w:rPr>
            </w:pPr>
            <w:r w:rsidRPr="001C3C36">
              <w:rPr>
                <w:rFonts w:ascii="Sylfaen" w:hAnsi="Sylfaen"/>
                <w:noProof/>
                <w:spacing w:val="-5"/>
                <w:sz w:val="18"/>
                <w:szCs w:val="18"/>
              </w:rPr>
              <w:t>31.6</w:t>
            </w:r>
          </w:p>
        </w:tc>
      </w:tr>
      <w:tr w:rsidR="002132EE" w:rsidRPr="001C3C36" w14:paraId="39C93E24" w14:textId="77777777" w:rsidTr="00DD48E8">
        <w:trPr>
          <w:trHeight w:hRule="exact" w:val="244"/>
        </w:trPr>
        <w:tc>
          <w:tcPr>
            <w:tcW w:w="8335" w:type="dxa"/>
            <w:gridSpan w:val="3"/>
          </w:tcPr>
          <w:p w14:paraId="71B4A274" w14:textId="3929B4A2" w:rsidR="002132EE" w:rsidRPr="001C3C36" w:rsidRDefault="002132EE" w:rsidP="00BC0A56">
            <w:pPr>
              <w:pStyle w:val="TableParagraph"/>
              <w:ind w:left="112"/>
              <w:rPr>
                <w:rFonts w:ascii="Sylfaen" w:eastAsia="Times New Roman" w:hAnsi="Sylfaen" w:cs="Times New Roman"/>
                <w:noProof/>
                <w:sz w:val="18"/>
                <w:szCs w:val="18"/>
              </w:rPr>
            </w:pPr>
            <w:r w:rsidRPr="001C3C36">
              <w:rPr>
                <w:rFonts w:ascii="Sylfaen" w:hAnsi="Sylfaen"/>
                <w:b/>
                <w:noProof/>
                <w:spacing w:val="-1"/>
                <w:sz w:val="18"/>
                <w:szCs w:val="18"/>
              </w:rPr>
              <w:t>სხეულის წონა</w:t>
            </w:r>
            <w:r w:rsidRPr="001C3C36">
              <w:rPr>
                <w:rFonts w:ascii="Sylfaen" w:hAnsi="Sylfaen"/>
                <w:b/>
                <w:noProof/>
                <w:spacing w:val="-6"/>
                <w:sz w:val="18"/>
                <w:szCs w:val="18"/>
              </w:rPr>
              <w:t xml:space="preserve"> </w:t>
            </w:r>
            <w:r w:rsidRPr="001C3C36">
              <w:rPr>
                <w:rFonts w:ascii="Sylfaen" w:hAnsi="Sylfaen"/>
                <w:b/>
                <w:noProof/>
                <w:spacing w:val="-3"/>
                <w:sz w:val="18"/>
                <w:szCs w:val="18"/>
              </w:rPr>
              <w:t>(კგ)</w:t>
            </w:r>
          </w:p>
        </w:tc>
      </w:tr>
      <w:tr w:rsidR="0038131D" w:rsidRPr="001C3C36" w14:paraId="5E4C3B57" w14:textId="77777777" w:rsidTr="00DD48E8">
        <w:trPr>
          <w:trHeight w:hRule="exact" w:val="244"/>
        </w:trPr>
        <w:tc>
          <w:tcPr>
            <w:tcW w:w="3452" w:type="dxa"/>
          </w:tcPr>
          <w:p w14:paraId="7861CA9C" w14:textId="1EFCB5B7" w:rsidR="0038131D" w:rsidRPr="001C3C36" w:rsidRDefault="0038131D" w:rsidP="00BC0A56">
            <w:pPr>
              <w:pStyle w:val="TableParagraph"/>
              <w:ind w:left="254"/>
              <w:rPr>
                <w:rFonts w:ascii="Sylfaen" w:eastAsia="Times New Roman" w:hAnsi="Sylfaen" w:cs="Times New Roman"/>
                <w:noProof/>
                <w:sz w:val="18"/>
                <w:szCs w:val="18"/>
              </w:rPr>
            </w:pPr>
            <w:r w:rsidRPr="001C3C36">
              <w:rPr>
                <w:rFonts w:ascii="Sylfaen" w:hAnsi="Sylfaen" w:cs="Sylfaen"/>
                <w:b/>
                <w:noProof/>
                <w:spacing w:val="-1"/>
                <w:sz w:val="18"/>
                <w:szCs w:val="18"/>
              </w:rPr>
              <w:t>საწყისი</w:t>
            </w:r>
            <w:r w:rsidRPr="001C3C36">
              <w:rPr>
                <w:rFonts w:ascii="Sylfaen" w:hAnsi="Sylfaen"/>
                <w:b/>
                <w:noProof/>
                <w:spacing w:val="-1"/>
                <w:sz w:val="18"/>
                <w:szCs w:val="18"/>
              </w:rPr>
              <w:t xml:space="preserve"> </w:t>
            </w:r>
            <w:r w:rsidRPr="001C3C36">
              <w:rPr>
                <w:rFonts w:ascii="Sylfaen" w:hAnsi="Sylfaen" w:cs="Sylfaen"/>
                <w:b/>
                <w:noProof/>
                <w:spacing w:val="-1"/>
                <w:sz w:val="18"/>
                <w:szCs w:val="18"/>
              </w:rPr>
              <w:t>მაჩვენებელი</w:t>
            </w:r>
            <w:r w:rsidRPr="001C3C36">
              <w:rPr>
                <w:rFonts w:ascii="Sylfaen" w:hAnsi="Sylfaen"/>
                <w:b/>
                <w:noProof/>
                <w:spacing w:val="-1"/>
                <w:sz w:val="18"/>
                <w:szCs w:val="18"/>
              </w:rPr>
              <w:t xml:space="preserve"> (</w:t>
            </w:r>
            <w:r w:rsidRPr="001C3C36">
              <w:rPr>
                <w:rFonts w:ascii="Sylfaen" w:hAnsi="Sylfaen" w:cs="Sylfaen"/>
                <w:b/>
                <w:noProof/>
                <w:spacing w:val="-1"/>
                <w:sz w:val="18"/>
                <w:szCs w:val="18"/>
              </w:rPr>
              <w:t>საშუალო</w:t>
            </w:r>
            <w:r w:rsidRPr="001C3C36">
              <w:rPr>
                <w:rFonts w:ascii="Sylfaen" w:hAnsi="Sylfaen"/>
                <w:b/>
                <w:noProof/>
                <w:spacing w:val="-1"/>
                <w:sz w:val="18"/>
                <w:szCs w:val="18"/>
              </w:rPr>
              <w:t>)</w:t>
            </w:r>
          </w:p>
        </w:tc>
        <w:tc>
          <w:tcPr>
            <w:tcW w:w="2426" w:type="dxa"/>
          </w:tcPr>
          <w:p w14:paraId="5AA6B336" w14:textId="77777777" w:rsidR="0038131D" w:rsidRPr="001C3C36" w:rsidRDefault="0038131D" w:rsidP="00BC0A56">
            <w:pPr>
              <w:pStyle w:val="TableParagraph"/>
              <w:ind w:right="195"/>
              <w:jc w:val="center"/>
              <w:rPr>
                <w:rFonts w:ascii="Sylfaen" w:eastAsia="Times New Roman" w:hAnsi="Sylfaen" w:cs="Times New Roman"/>
                <w:noProof/>
                <w:sz w:val="18"/>
                <w:szCs w:val="18"/>
              </w:rPr>
            </w:pPr>
            <w:r w:rsidRPr="001C3C36">
              <w:rPr>
                <w:rFonts w:ascii="Sylfaen" w:hAnsi="Sylfaen"/>
                <w:noProof/>
                <w:spacing w:val="-2"/>
                <w:sz w:val="18"/>
                <w:szCs w:val="18"/>
              </w:rPr>
              <w:t>94.13</w:t>
            </w:r>
          </w:p>
        </w:tc>
        <w:tc>
          <w:tcPr>
            <w:tcW w:w="2457" w:type="dxa"/>
          </w:tcPr>
          <w:p w14:paraId="4836183A" w14:textId="77777777" w:rsidR="0038131D" w:rsidRPr="001C3C36" w:rsidRDefault="0038131D" w:rsidP="00BC0A56">
            <w:pPr>
              <w:pStyle w:val="TableParagraph"/>
              <w:ind w:right="75"/>
              <w:jc w:val="center"/>
              <w:rPr>
                <w:rFonts w:ascii="Sylfaen" w:eastAsia="Times New Roman" w:hAnsi="Sylfaen" w:cs="Times New Roman"/>
                <w:noProof/>
                <w:sz w:val="18"/>
                <w:szCs w:val="18"/>
              </w:rPr>
            </w:pPr>
            <w:r w:rsidRPr="001C3C36">
              <w:rPr>
                <w:rFonts w:ascii="Sylfaen" w:hAnsi="Sylfaen"/>
                <w:noProof/>
                <w:spacing w:val="-2"/>
                <w:sz w:val="18"/>
                <w:szCs w:val="18"/>
              </w:rPr>
              <w:t>88.77</w:t>
            </w:r>
          </w:p>
        </w:tc>
      </w:tr>
      <w:tr w:rsidR="0038131D" w:rsidRPr="001C3C36" w14:paraId="57ADB5A7" w14:textId="77777777" w:rsidTr="00DD48E8">
        <w:trPr>
          <w:trHeight w:hRule="exact" w:val="268"/>
        </w:trPr>
        <w:tc>
          <w:tcPr>
            <w:tcW w:w="3452" w:type="dxa"/>
          </w:tcPr>
          <w:p w14:paraId="5EF10299" w14:textId="77777777" w:rsidR="0038131D" w:rsidRPr="001C3C36" w:rsidRDefault="0038131D" w:rsidP="00BC0A56">
            <w:pPr>
              <w:pStyle w:val="TableParagraph"/>
              <w:rPr>
                <w:rFonts w:ascii="Sylfaen" w:hAnsi="Sylfaen"/>
                <w:noProof/>
                <w:sz w:val="18"/>
                <w:szCs w:val="18"/>
              </w:rPr>
            </w:pPr>
            <w:r w:rsidRPr="001C3C36">
              <w:rPr>
                <w:rFonts w:ascii="Sylfaen" w:hAnsi="Sylfaen"/>
                <w:noProof/>
                <w:sz w:val="18"/>
                <w:szCs w:val="18"/>
              </w:rPr>
              <w:t xml:space="preserve">  საწყის მაჩვენებელთან შედარებით  </w:t>
            </w:r>
          </w:p>
          <w:p w14:paraId="2D8D6361" w14:textId="5EFD7F19" w:rsidR="0038131D" w:rsidRPr="001C3C36" w:rsidRDefault="0038131D" w:rsidP="00BC0A56">
            <w:pPr>
              <w:pStyle w:val="TableParagraph"/>
              <w:spacing w:before="8"/>
              <w:ind w:left="254"/>
              <w:rPr>
                <w:rFonts w:ascii="Sylfaen" w:eastAsia="Times New Roman" w:hAnsi="Sylfaen" w:cs="Times New Roman"/>
                <w:noProof/>
                <w:sz w:val="18"/>
                <w:szCs w:val="18"/>
              </w:rPr>
            </w:pPr>
            <w:r w:rsidRPr="001C3C36">
              <w:rPr>
                <w:rFonts w:ascii="Sylfaen" w:hAnsi="Sylfaen"/>
                <w:noProof/>
                <w:sz w:val="18"/>
                <w:szCs w:val="18"/>
              </w:rPr>
              <w:t xml:space="preserve">  ცვლილება</w:t>
            </w:r>
            <w:r w:rsidRPr="001C3C36">
              <w:rPr>
                <w:rFonts w:ascii="Sylfaen" w:hAnsi="Sylfaen"/>
                <w:noProof/>
                <w:spacing w:val="-3"/>
                <w:position w:val="7"/>
                <w:sz w:val="18"/>
                <w:szCs w:val="18"/>
              </w:rPr>
              <w:t>c</w:t>
            </w:r>
          </w:p>
        </w:tc>
        <w:tc>
          <w:tcPr>
            <w:tcW w:w="2426" w:type="dxa"/>
          </w:tcPr>
          <w:p w14:paraId="242A53DC" w14:textId="77777777" w:rsidR="0038131D" w:rsidRPr="001C3C36" w:rsidRDefault="0038131D" w:rsidP="00BC0A56">
            <w:pPr>
              <w:pStyle w:val="TableParagraph"/>
              <w:spacing w:before="12"/>
              <w:ind w:right="198"/>
              <w:jc w:val="center"/>
              <w:rPr>
                <w:rFonts w:ascii="Sylfaen" w:eastAsia="Times New Roman" w:hAnsi="Sylfaen" w:cs="Times New Roman"/>
                <w:noProof/>
                <w:sz w:val="18"/>
                <w:szCs w:val="18"/>
              </w:rPr>
            </w:pPr>
            <w:r w:rsidRPr="001C3C36">
              <w:rPr>
                <w:rFonts w:ascii="Sylfaen" w:hAnsi="Sylfaen"/>
                <w:noProof/>
                <w:spacing w:val="-3"/>
                <w:sz w:val="18"/>
                <w:szCs w:val="18"/>
              </w:rPr>
              <w:t>-3.16</w:t>
            </w:r>
          </w:p>
        </w:tc>
        <w:tc>
          <w:tcPr>
            <w:tcW w:w="2457" w:type="dxa"/>
          </w:tcPr>
          <w:p w14:paraId="06DFEDAD" w14:textId="77777777" w:rsidR="0038131D" w:rsidRPr="001C3C36" w:rsidRDefault="0038131D" w:rsidP="00BC0A56">
            <w:pPr>
              <w:pStyle w:val="TableParagraph"/>
              <w:spacing w:before="12"/>
              <w:ind w:right="63"/>
              <w:jc w:val="center"/>
              <w:rPr>
                <w:rFonts w:ascii="Sylfaen" w:eastAsia="Times New Roman" w:hAnsi="Sylfaen" w:cs="Times New Roman"/>
                <w:noProof/>
                <w:sz w:val="18"/>
                <w:szCs w:val="18"/>
              </w:rPr>
            </w:pPr>
            <w:r w:rsidRPr="001C3C36">
              <w:rPr>
                <w:rFonts w:ascii="Sylfaen" w:hAnsi="Sylfaen"/>
                <w:noProof/>
                <w:spacing w:val="-3"/>
                <w:sz w:val="18"/>
                <w:szCs w:val="18"/>
              </w:rPr>
              <w:t>-2.19</w:t>
            </w:r>
          </w:p>
        </w:tc>
      </w:tr>
      <w:tr w:rsidR="0038131D" w:rsidRPr="001C3C36" w14:paraId="4B20AC6E" w14:textId="77777777" w:rsidTr="0038131D">
        <w:trPr>
          <w:trHeight w:hRule="exact" w:val="1045"/>
        </w:trPr>
        <w:tc>
          <w:tcPr>
            <w:tcW w:w="3452" w:type="dxa"/>
          </w:tcPr>
          <w:p w14:paraId="3E1E9D29" w14:textId="284DE29C" w:rsidR="0038131D" w:rsidRPr="001C3C36" w:rsidRDefault="0038131D" w:rsidP="00BC0A56">
            <w:pPr>
              <w:pStyle w:val="TableParagraph"/>
              <w:spacing w:before="11"/>
              <w:ind w:left="499" w:right="1234" w:hanging="310"/>
              <w:rPr>
                <w:rFonts w:ascii="Sylfaen" w:eastAsia="Times New Roman" w:hAnsi="Sylfaen" w:cs="Times New Roman"/>
                <w:noProof/>
                <w:sz w:val="18"/>
                <w:szCs w:val="18"/>
              </w:rPr>
            </w:pPr>
            <w:r w:rsidRPr="001C3C36">
              <w:rPr>
                <w:rFonts w:ascii="Sylfaen" w:hAnsi="Sylfaen" w:cs="Sylfaen"/>
                <w:noProof/>
                <w:sz w:val="18"/>
                <w:szCs w:val="18"/>
              </w:rPr>
              <w:t>პლაცებოსთან</w:t>
            </w:r>
            <w:r w:rsidRPr="001C3C36">
              <w:rPr>
                <w:rFonts w:ascii="Sylfaen" w:hAnsi="Sylfaen"/>
                <w:noProof/>
                <w:sz w:val="18"/>
                <w:szCs w:val="18"/>
              </w:rPr>
              <w:t xml:space="preserve"> </w:t>
            </w:r>
            <w:r w:rsidRPr="001C3C36">
              <w:rPr>
                <w:rFonts w:ascii="Sylfaen" w:hAnsi="Sylfaen" w:cs="Sylfaen"/>
                <w:noProof/>
                <w:sz w:val="18"/>
                <w:szCs w:val="18"/>
              </w:rPr>
              <w:t>შედარებით</w:t>
            </w:r>
            <w:r w:rsidRPr="001C3C36">
              <w:rPr>
                <w:rFonts w:ascii="Sylfaen" w:hAnsi="Sylfaen"/>
                <w:noProof/>
                <w:sz w:val="18"/>
                <w:szCs w:val="18"/>
              </w:rPr>
              <w:br/>
            </w:r>
            <w:r w:rsidRPr="001C3C36">
              <w:rPr>
                <w:rFonts w:ascii="Sylfaen" w:hAnsi="Sylfaen" w:cs="Sylfaen"/>
                <w:noProof/>
                <w:sz w:val="18"/>
                <w:szCs w:val="18"/>
              </w:rPr>
              <w:t>განსხვავება</w:t>
            </w:r>
            <w:r w:rsidRPr="001C3C36">
              <w:rPr>
                <w:rFonts w:ascii="Sylfaen" w:hAnsi="Sylfaen"/>
                <w:noProof/>
                <w:spacing w:val="-2"/>
                <w:position w:val="7"/>
                <w:sz w:val="18"/>
                <w:szCs w:val="18"/>
              </w:rPr>
              <w:t>c</w:t>
            </w:r>
            <w:r w:rsidRPr="001C3C36">
              <w:rPr>
                <w:rFonts w:ascii="Sylfaen" w:hAnsi="Sylfaen"/>
                <w:noProof/>
                <w:spacing w:val="-2"/>
                <w:position w:val="7"/>
                <w:sz w:val="18"/>
                <w:szCs w:val="18"/>
              </w:rPr>
              <w:br/>
            </w:r>
            <w:r w:rsidRPr="001C3C36">
              <w:rPr>
                <w:rFonts w:ascii="Sylfaen" w:hAnsi="Sylfaen"/>
                <w:noProof/>
                <w:spacing w:val="-1"/>
                <w:sz w:val="18"/>
                <w:szCs w:val="18"/>
              </w:rPr>
              <w:t>(95%</w:t>
            </w:r>
            <w:r w:rsidRPr="001C3C36">
              <w:rPr>
                <w:rFonts w:ascii="Sylfaen" w:hAnsi="Sylfaen"/>
                <w:noProof/>
                <w:spacing w:val="-8"/>
                <w:sz w:val="18"/>
                <w:szCs w:val="18"/>
              </w:rPr>
              <w:t xml:space="preserve"> </w:t>
            </w:r>
            <w:r w:rsidRPr="001C3C36">
              <w:rPr>
                <w:rFonts w:ascii="Sylfaen" w:hAnsi="Sylfaen"/>
                <w:noProof/>
                <w:spacing w:val="-1"/>
                <w:sz w:val="18"/>
                <w:szCs w:val="18"/>
              </w:rPr>
              <w:t>CI)</w:t>
            </w:r>
          </w:p>
        </w:tc>
        <w:tc>
          <w:tcPr>
            <w:tcW w:w="2426" w:type="dxa"/>
          </w:tcPr>
          <w:p w14:paraId="37801166" w14:textId="77777777" w:rsidR="0038131D" w:rsidRPr="001C3C36" w:rsidRDefault="0038131D" w:rsidP="00BC0A56">
            <w:pPr>
              <w:pStyle w:val="TableParagraph"/>
              <w:spacing w:before="16"/>
              <w:ind w:right="200"/>
              <w:jc w:val="center"/>
              <w:rPr>
                <w:rFonts w:ascii="Sylfaen" w:eastAsia="Times New Roman" w:hAnsi="Sylfaen" w:cs="Times New Roman"/>
                <w:noProof/>
                <w:sz w:val="18"/>
                <w:szCs w:val="18"/>
              </w:rPr>
            </w:pPr>
            <w:r w:rsidRPr="001C3C36">
              <w:rPr>
                <w:rFonts w:ascii="Sylfaen" w:hAnsi="Sylfaen"/>
                <w:noProof/>
                <w:sz w:val="18"/>
                <w:szCs w:val="18"/>
              </w:rPr>
              <w:t>-</w:t>
            </w:r>
            <w:r w:rsidRPr="001C3C36">
              <w:rPr>
                <w:rFonts w:ascii="Sylfaen" w:hAnsi="Sylfaen"/>
                <w:noProof/>
                <w:spacing w:val="-9"/>
                <w:sz w:val="18"/>
                <w:szCs w:val="18"/>
              </w:rPr>
              <w:t xml:space="preserve"> </w:t>
            </w:r>
            <w:r w:rsidRPr="001C3C36">
              <w:rPr>
                <w:rFonts w:ascii="Sylfaen" w:hAnsi="Sylfaen"/>
                <w:noProof/>
                <w:spacing w:val="-2"/>
                <w:sz w:val="18"/>
                <w:szCs w:val="18"/>
              </w:rPr>
              <w:t>0.97</w:t>
            </w:r>
          </w:p>
          <w:p w14:paraId="47285849" w14:textId="77777777" w:rsidR="0038131D" w:rsidRPr="001C3C36" w:rsidRDefault="0038131D" w:rsidP="00BC0A56">
            <w:pPr>
              <w:pStyle w:val="TableParagraph"/>
              <w:spacing w:before="22"/>
              <w:ind w:right="200"/>
              <w:jc w:val="center"/>
              <w:rPr>
                <w:rFonts w:ascii="Sylfaen" w:eastAsia="Times New Roman" w:hAnsi="Sylfaen" w:cs="Times New Roman"/>
                <w:noProof/>
                <w:sz w:val="18"/>
                <w:szCs w:val="18"/>
              </w:rPr>
            </w:pPr>
            <w:r w:rsidRPr="001C3C36">
              <w:rPr>
                <w:rFonts w:ascii="Sylfaen" w:hAnsi="Sylfaen"/>
                <w:noProof/>
                <w:spacing w:val="-2"/>
                <w:sz w:val="18"/>
                <w:szCs w:val="18"/>
              </w:rPr>
              <w:t>(2.20,</w:t>
            </w:r>
            <w:r w:rsidRPr="001C3C36">
              <w:rPr>
                <w:rFonts w:ascii="Sylfaen" w:hAnsi="Sylfaen"/>
                <w:noProof/>
                <w:spacing w:val="-13"/>
                <w:sz w:val="18"/>
                <w:szCs w:val="18"/>
              </w:rPr>
              <w:t xml:space="preserve"> </w:t>
            </w:r>
            <w:r w:rsidRPr="001C3C36">
              <w:rPr>
                <w:rFonts w:ascii="Sylfaen" w:hAnsi="Sylfaen"/>
                <w:noProof/>
                <w:spacing w:val="-2"/>
                <w:sz w:val="18"/>
                <w:szCs w:val="18"/>
              </w:rPr>
              <w:t>0.25)</w:t>
            </w:r>
          </w:p>
        </w:tc>
        <w:tc>
          <w:tcPr>
            <w:tcW w:w="2457" w:type="dxa"/>
          </w:tcPr>
          <w:p w14:paraId="71CFC760" w14:textId="77777777" w:rsidR="0038131D" w:rsidRPr="001C3C36" w:rsidRDefault="0038131D" w:rsidP="00BC0A56">
            <w:pPr>
              <w:spacing w:line="240" w:lineRule="auto"/>
              <w:rPr>
                <w:rFonts w:ascii="Sylfaen" w:hAnsi="Sylfaen"/>
                <w:noProof/>
                <w:sz w:val="18"/>
                <w:szCs w:val="18"/>
              </w:rPr>
            </w:pPr>
          </w:p>
        </w:tc>
      </w:tr>
    </w:tbl>
    <w:p w14:paraId="6CB939EE" w14:textId="496B5A97" w:rsidR="00B76498" w:rsidRPr="00850096" w:rsidRDefault="00B76498" w:rsidP="009167F3">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ᵃ</w:t>
      </w:r>
      <w:r w:rsidRPr="00850096">
        <w:rPr>
          <w:rFonts w:ascii="Sylfaen" w:hAnsi="Sylfaen"/>
          <w:noProof/>
          <w:sz w:val="20"/>
          <w:szCs w:val="20"/>
        </w:rPr>
        <w:t xml:space="preserve">LOCF: </w:t>
      </w:r>
      <w:r w:rsidR="00CF47AD" w:rsidRPr="00850096">
        <w:rPr>
          <w:rFonts w:ascii="Sylfaen" w:hAnsi="Sylfaen"/>
          <w:noProof/>
          <w:sz w:val="20"/>
          <w:szCs w:val="20"/>
        </w:rPr>
        <w:t>ბოლო დაკვირვების მონაცემის გადატანა (მონაცემი, რომელიც დაფიქსირდა „გადამრჩენ“ თერაპიაზე გადასვლამდე იმ პაციენტებში, რომლებსაც ეს თერაპია დასჭირდათ)</w:t>
      </w:r>
    </w:p>
    <w:p w14:paraId="18F0401F" w14:textId="77777777" w:rsidR="00B76498" w:rsidRPr="00850096" w:rsidRDefault="00B76498" w:rsidP="009167F3">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ᵇ</w:t>
      </w:r>
      <w:r w:rsidRPr="00850096">
        <w:rPr>
          <w:rFonts w:ascii="Sylfaen" w:hAnsi="Sylfaen"/>
          <w:noProof/>
          <w:sz w:val="20"/>
          <w:szCs w:val="20"/>
        </w:rPr>
        <w:t xml:space="preserve"> ყველა რანდომიზებული სუბიექტი, რომელმაც მოკლევადიანი ორმაგად ბრმა პერიოდის განმავლობაში მიიღო ორმაგად ბრმა კვლევითი სამკურნალო საშუალების სულ მცირე ერთი დოზა</w:t>
      </w:r>
    </w:p>
    <w:p w14:paraId="53D8A506" w14:textId="77777777" w:rsidR="00B76498" w:rsidRPr="00850096" w:rsidRDefault="00B76498" w:rsidP="009167F3">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ᶜ</w:t>
      </w:r>
      <w:r w:rsidRPr="00850096">
        <w:rPr>
          <w:rFonts w:ascii="Sylfaen" w:hAnsi="Sylfaen"/>
          <w:noProof/>
          <w:sz w:val="20"/>
          <w:szCs w:val="20"/>
        </w:rPr>
        <w:t xml:space="preserve"> უმცირესი კვადრატების საშუალო, კორექტირებული საწყისი მნიშვნელობის მიხედვით</w:t>
      </w:r>
    </w:p>
    <w:p w14:paraId="393FC720" w14:textId="45A67F89" w:rsidR="00B76498" w:rsidRPr="00850096" w:rsidRDefault="00CF47AD" w:rsidP="009167F3">
      <w:pPr>
        <w:spacing w:after="0" w:line="240" w:lineRule="auto"/>
        <w:jc w:val="both"/>
        <w:rPr>
          <w:rFonts w:ascii="Sylfaen" w:hAnsi="Sylfaen"/>
          <w:noProof/>
          <w:sz w:val="20"/>
          <w:szCs w:val="20"/>
        </w:rPr>
      </w:pPr>
      <w:r w:rsidRPr="00850096">
        <w:rPr>
          <w:rFonts w:ascii="Sylfaen" w:hAnsi="Sylfaen"/>
          <w:noProof/>
          <w:sz w:val="20"/>
          <w:szCs w:val="20"/>
        </w:rPr>
        <w:t xml:space="preserve">* </w:t>
      </w:r>
      <w:r w:rsidR="00B76498" w:rsidRPr="00850096">
        <w:rPr>
          <w:rFonts w:ascii="Sylfaen" w:hAnsi="Sylfaen"/>
          <w:noProof/>
          <w:sz w:val="20"/>
          <w:szCs w:val="20"/>
        </w:rPr>
        <w:t>p-მნიშვნელობა &lt; 0,0001 პლაცებოსთან შედარებით</w:t>
      </w:r>
    </w:p>
    <w:p w14:paraId="6AD8AC13" w14:textId="793F29F2" w:rsidR="00CF47AD" w:rsidRDefault="00B76498" w:rsidP="009167F3">
      <w:pPr>
        <w:spacing w:after="0" w:line="240" w:lineRule="auto"/>
        <w:jc w:val="both"/>
        <w:rPr>
          <w:rFonts w:ascii="Sylfaen" w:hAnsi="Sylfaen"/>
          <w:noProof/>
          <w:sz w:val="20"/>
          <w:szCs w:val="20"/>
        </w:rPr>
      </w:pPr>
      <w:r w:rsidRPr="00850096">
        <w:rPr>
          <w:rFonts w:ascii="Sylfaen" w:hAnsi="Sylfaen"/>
          <w:noProof/>
          <w:sz w:val="20"/>
          <w:szCs w:val="20"/>
        </w:rPr>
        <w:t>§ სტატისტიკური მნიშვნელობის შეფასება არ ჩატარებულა მეორეული საბოლოო წერტილების თანმიმდევრული ტესტირების პროცედურის შედეგად.</w:t>
      </w:r>
    </w:p>
    <w:p w14:paraId="73376159" w14:textId="77777777" w:rsidR="009167F3" w:rsidRPr="00850096" w:rsidRDefault="009167F3" w:rsidP="00BC0A56">
      <w:pPr>
        <w:spacing w:after="0" w:line="240" w:lineRule="auto"/>
        <w:rPr>
          <w:rFonts w:ascii="Sylfaen" w:hAnsi="Sylfaen"/>
          <w:noProof/>
          <w:sz w:val="20"/>
          <w:szCs w:val="20"/>
        </w:rPr>
      </w:pPr>
    </w:p>
    <w:p w14:paraId="615476AB" w14:textId="77777777" w:rsidR="00CF47AD" w:rsidRPr="00850096" w:rsidRDefault="00CF47AD" w:rsidP="009167F3">
      <w:pPr>
        <w:spacing w:after="0" w:line="240" w:lineRule="auto"/>
        <w:jc w:val="both"/>
        <w:rPr>
          <w:rFonts w:ascii="Sylfaen" w:hAnsi="Sylfaen"/>
          <w:i/>
          <w:iCs/>
          <w:noProof/>
          <w:sz w:val="20"/>
          <w:szCs w:val="20"/>
        </w:rPr>
      </w:pPr>
      <w:r w:rsidRPr="00850096">
        <w:rPr>
          <w:rFonts w:ascii="Sylfaen" w:hAnsi="Sylfaen"/>
          <w:i/>
          <w:iCs/>
          <w:noProof/>
          <w:sz w:val="20"/>
          <w:szCs w:val="20"/>
        </w:rPr>
        <w:t>დამატებითი კომბინირებული თერაპია</w:t>
      </w:r>
    </w:p>
    <w:p w14:paraId="3A4DC2AB" w14:textId="0739241A" w:rsidR="00B76498" w:rsidRPr="00850096" w:rsidRDefault="006E7EA0" w:rsidP="009167F3">
      <w:pPr>
        <w:spacing w:after="0" w:line="240" w:lineRule="auto"/>
        <w:jc w:val="both"/>
        <w:rPr>
          <w:rFonts w:ascii="Sylfaen" w:hAnsi="Sylfaen"/>
          <w:noProof/>
          <w:sz w:val="20"/>
          <w:szCs w:val="20"/>
        </w:rPr>
      </w:pPr>
      <w:r w:rsidRPr="00850096">
        <w:rPr>
          <w:rFonts w:ascii="Sylfaen" w:hAnsi="Sylfaen"/>
          <w:noProof/>
          <w:sz w:val="20"/>
          <w:szCs w:val="20"/>
        </w:rPr>
        <w:t>52-კვირიან, აქტიური კონტროლის მქონე კვლევაში, რომელიც მიზნად ისახავდა არანაკლები ეფექტიანობის (non-inferiority) დადგენას (და მოიცავდა გაგრძელების პერიოდებს 52-ე და 104-ე კვირამდე), შეფასდა დაპაგლიფლოზინის, როგორც მეტფორმინთან დამატებითი თერაპიის, ეფექტიანობა სულფონილშარდოვანას წარმოებულთან (გლიპიზიდი) შედარებით, რომელიც ასევე მეტფორმინთან კომბინაციაში გამოიყენებოდა. კვლევაში მონაწილეობდნენ პაციენტები გლიკემიის არასაკმარისი კონტროლით (HbA1c &gt; 6,5% და ≤ 10%). შედეგებმა აჩვენა, რომ საწყისი მაჩვენებლიდან 52-ე კვირამდე HbA1c-ის საშუალო შემცირების ხარისხი დაპაგლიფლოზინისა და გლიპიზიდის ჯგუფებში მსგავსი იყო, რითაც დადასტურდა პრეპარატის არანაკლები ეფექტიანობა (ცხრილი 3). 104-ე კვირაზე HbA1c-ის საწყისი მაჩვენებლიდან კორექტირებული საშუალო ცვლილება შეადგენდა -0,32%-ს დაპაგლიფლოზინისთვის და -0,14%-ს გლიპიზიდისთვის. 208-ე კვირაზე HbA1c-ის საწყისი მაჩვენებლიდან კორექტირებული საშუალო ცვლილება იყო -0,10% დაპაგლიფლოზინისთვის და 0,20% გლიპიზიდისთვის. 52-ე, 104-ე და 208-ე კვირებზე ჰიპოგლიკემიის სულ მცირე ერთი ეპიზოდი აღენიშნებოდა პაციენტთა მნიშვნელოვნად ნაკლებ წილს დაპაგლიფლოზინით მკურნალობის ჯგუფში (შესაბამისად, 3,5%, 4,3% და 5,0%), გლიპიზიდით მკურნალობის ჯგუფთან შედარებით (შესაბამისად, 40,8%, 47,0% და 50,0%). კვლევაში დარჩენილ პაციენტთა წილი 104-ე და 208-ე კვირებზე შეადგენდა 56,2%-სა და 39,7%-ს დაპაგლიფლოზინის ჯგუფში, ხოლო 50,0%-სა და 34,6%-ს — გლიპიზიდის ჯგუფში.</w:t>
      </w:r>
    </w:p>
    <w:p w14:paraId="1C0544C2" w14:textId="77777777" w:rsidR="00850096" w:rsidRDefault="00850096" w:rsidP="009167F3">
      <w:pPr>
        <w:spacing w:after="0" w:line="240" w:lineRule="auto"/>
        <w:jc w:val="both"/>
        <w:rPr>
          <w:rFonts w:ascii="Sylfaen" w:hAnsi="Sylfaen"/>
          <w:b/>
          <w:bCs/>
          <w:noProof/>
          <w:sz w:val="20"/>
          <w:szCs w:val="20"/>
        </w:rPr>
      </w:pPr>
    </w:p>
    <w:p w14:paraId="2E544278" w14:textId="362A9E3C" w:rsidR="00212477" w:rsidRPr="00850096" w:rsidRDefault="00212477" w:rsidP="00BC0A56">
      <w:pPr>
        <w:spacing w:after="0" w:line="240" w:lineRule="auto"/>
        <w:rPr>
          <w:rFonts w:ascii="Sylfaen" w:hAnsi="Sylfaen"/>
          <w:b/>
          <w:bCs/>
          <w:noProof/>
          <w:sz w:val="20"/>
          <w:szCs w:val="20"/>
        </w:rPr>
      </w:pPr>
      <w:r w:rsidRPr="00850096">
        <w:rPr>
          <w:rFonts w:ascii="Sylfaen" w:hAnsi="Sylfaen"/>
          <w:b/>
          <w:bCs/>
          <w:noProof/>
          <w:sz w:val="20"/>
          <w:szCs w:val="20"/>
        </w:rPr>
        <w:t xml:space="preserve">ცხრილი </w:t>
      </w:r>
      <w:r w:rsidR="001D1F98" w:rsidRPr="00850096">
        <w:rPr>
          <w:rFonts w:ascii="Sylfaen" w:hAnsi="Sylfaen"/>
          <w:b/>
          <w:bCs/>
          <w:noProof/>
          <w:sz w:val="20"/>
          <w:szCs w:val="20"/>
        </w:rPr>
        <w:t>3</w:t>
      </w:r>
      <w:r w:rsidRPr="00850096">
        <w:rPr>
          <w:rFonts w:ascii="Sylfaen" w:hAnsi="Sylfaen"/>
          <w:b/>
          <w:bCs/>
          <w:noProof/>
          <w:sz w:val="20"/>
          <w:szCs w:val="20"/>
        </w:rPr>
        <w:t xml:space="preserve">: </w:t>
      </w:r>
      <w:r w:rsidR="001D1F98" w:rsidRPr="00850096">
        <w:rPr>
          <w:rFonts w:ascii="Sylfaen" w:hAnsi="Sylfaen"/>
          <w:b/>
          <w:bCs/>
          <w:noProof/>
          <w:sz w:val="20"/>
          <w:szCs w:val="20"/>
        </w:rPr>
        <w:t>52-ე კვირის შედეგები (LOCF</w:t>
      </w:r>
      <w:r w:rsidR="001D1F98" w:rsidRPr="00850096">
        <w:rPr>
          <w:rFonts w:ascii="Times New Roman" w:hAnsi="Times New Roman" w:cs="Times New Roman"/>
          <w:b/>
          <w:bCs/>
          <w:noProof/>
          <w:sz w:val="20"/>
          <w:szCs w:val="20"/>
        </w:rPr>
        <w:t>ᵃ</w:t>
      </w:r>
      <w:r w:rsidR="001D1F98" w:rsidRPr="00850096">
        <w:rPr>
          <w:rFonts w:ascii="Sylfaen" w:hAnsi="Sylfaen"/>
          <w:b/>
          <w:bCs/>
          <w:noProof/>
          <w:sz w:val="20"/>
          <w:szCs w:val="20"/>
        </w:rPr>
        <w:t>) აქტიური კონტროლით ჩატარებულ კვლევაში, რომელშიც დაპაგლიფლოზინი შედარებული იყო გლიპიზიდთან, როგორც მეტფორმინზე დამატებითი თერაპია</w:t>
      </w:r>
    </w:p>
    <w:tbl>
      <w:tblPr>
        <w:tblStyle w:val="TableGrid"/>
        <w:tblW w:w="0" w:type="auto"/>
        <w:tblLook w:val="04A0" w:firstRow="1" w:lastRow="0" w:firstColumn="1" w:lastColumn="0" w:noHBand="0" w:noVBand="1"/>
      </w:tblPr>
      <w:tblGrid>
        <w:gridCol w:w="4248"/>
        <w:gridCol w:w="2551"/>
        <w:gridCol w:w="2217"/>
      </w:tblGrid>
      <w:tr w:rsidR="001D1F98" w:rsidRPr="001C3C36" w14:paraId="466F0FCA" w14:textId="77777777" w:rsidTr="00DD48E8">
        <w:tc>
          <w:tcPr>
            <w:tcW w:w="4248" w:type="dxa"/>
          </w:tcPr>
          <w:p w14:paraId="15A1B1F3" w14:textId="5733F5D0" w:rsidR="001D1F98" w:rsidRPr="001C3C36" w:rsidRDefault="001D1F98" w:rsidP="00BC0A56">
            <w:pPr>
              <w:rPr>
                <w:rFonts w:ascii="Sylfaen" w:hAnsi="Sylfaen" w:cs="Times New Roman"/>
                <w:b/>
                <w:bCs/>
                <w:noProof/>
                <w:sz w:val="18"/>
                <w:szCs w:val="18"/>
              </w:rPr>
            </w:pPr>
            <w:r w:rsidRPr="001C3C36">
              <w:rPr>
                <w:rFonts w:ascii="Sylfaen" w:hAnsi="Sylfaen" w:cs="Times New Roman"/>
                <w:b/>
                <w:bCs/>
                <w:noProof/>
                <w:sz w:val="18"/>
                <w:szCs w:val="18"/>
              </w:rPr>
              <w:t>პარამეტრი</w:t>
            </w:r>
          </w:p>
        </w:tc>
        <w:tc>
          <w:tcPr>
            <w:tcW w:w="2551" w:type="dxa"/>
          </w:tcPr>
          <w:p w14:paraId="77347C5C" w14:textId="485A8F2A" w:rsidR="001D1F98" w:rsidRPr="001C3C36" w:rsidRDefault="001D1F98"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r w:rsidRPr="001C3C36">
              <w:rPr>
                <w:rFonts w:ascii="Sylfaen" w:hAnsi="Sylfaen" w:cs="Times New Roman"/>
                <w:b/>
                <w:bCs/>
                <w:noProof/>
                <w:sz w:val="18"/>
                <w:szCs w:val="18"/>
              </w:rPr>
              <w:t xml:space="preserve"> + </w:t>
            </w:r>
            <w:r w:rsidRPr="001C3C36">
              <w:rPr>
                <w:rFonts w:ascii="Sylfaen" w:hAnsi="Sylfaen" w:cs="Sylfaen"/>
                <w:b/>
                <w:bCs/>
                <w:noProof/>
                <w:sz w:val="18"/>
                <w:szCs w:val="18"/>
              </w:rPr>
              <w:t>მეტფორმინი</w:t>
            </w:r>
          </w:p>
        </w:tc>
        <w:tc>
          <w:tcPr>
            <w:tcW w:w="2217" w:type="dxa"/>
          </w:tcPr>
          <w:p w14:paraId="3393C165" w14:textId="68A6B702" w:rsidR="001D1F98" w:rsidRPr="001C3C36" w:rsidRDefault="001D1F98" w:rsidP="00BC0A56">
            <w:pPr>
              <w:jc w:val="center"/>
              <w:rPr>
                <w:rFonts w:ascii="Sylfaen" w:hAnsi="Sylfaen" w:cs="Times New Roman"/>
                <w:b/>
                <w:bCs/>
                <w:noProof/>
                <w:sz w:val="18"/>
                <w:szCs w:val="18"/>
              </w:rPr>
            </w:pPr>
            <w:r w:rsidRPr="001C3C36">
              <w:rPr>
                <w:rFonts w:ascii="Sylfaen" w:hAnsi="Sylfaen" w:cs="Sylfaen"/>
                <w:b/>
                <w:bCs/>
                <w:noProof/>
                <w:sz w:val="18"/>
                <w:szCs w:val="18"/>
              </w:rPr>
              <w:t>გლიპიზიდი</w:t>
            </w:r>
            <w:r w:rsidRPr="001C3C36">
              <w:rPr>
                <w:rFonts w:ascii="Sylfaen" w:hAnsi="Sylfaen" w:cs="Times New Roman"/>
                <w:b/>
                <w:bCs/>
                <w:noProof/>
                <w:sz w:val="18"/>
                <w:szCs w:val="18"/>
              </w:rPr>
              <w:t xml:space="preserve"> + </w:t>
            </w:r>
            <w:r w:rsidRPr="001C3C36">
              <w:rPr>
                <w:rFonts w:ascii="Sylfaen" w:hAnsi="Sylfaen" w:cs="Sylfaen"/>
                <w:b/>
                <w:bCs/>
                <w:noProof/>
                <w:sz w:val="18"/>
                <w:szCs w:val="18"/>
              </w:rPr>
              <w:t>მეტფორმინი</w:t>
            </w:r>
          </w:p>
        </w:tc>
      </w:tr>
      <w:tr w:rsidR="001D1F98" w:rsidRPr="001C3C36" w14:paraId="2BA080C3" w14:textId="77777777" w:rsidTr="00DD48E8">
        <w:tc>
          <w:tcPr>
            <w:tcW w:w="4248" w:type="dxa"/>
          </w:tcPr>
          <w:p w14:paraId="2DBD98E4" w14:textId="77777777" w:rsidR="001D1F98" w:rsidRPr="001C3C36" w:rsidRDefault="001D1F98" w:rsidP="00BC0A56">
            <w:pPr>
              <w:rPr>
                <w:rFonts w:ascii="Sylfaen" w:hAnsi="Sylfaen" w:cs="Times New Roman"/>
                <w:b/>
                <w:bCs/>
                <w:noProof/>
                <w:sz w:val="18"/>
                <w:szCs w:val="18"/>
              </w:rPr>
            </w:pPr>
            <w:r w:rsidRPr="001C3C36">
              <w:rPr>
                <w:rFonts w:ascii="Sylfaen" w:hAnsi="Sylfaen" w:cs="Times New Roman"/>
                <w:b/>
                <w:bCs/>
                <w:noProof/>
                <w:sz w:val="18"/>
                <w:szCs w:val="18"/>
              </w:rPr>
              <w:t>N</w:t>
            </w:r>
            <w:r w:rsidRPr="001C3C36">
              <w:rPr>
                <w:rFonts w:ascii="Sylfaen" w:hAnsi="Sylfaen" w:cs="Times New Roman"/>
                <w:b/>
                <w:bCs/>
                <w:noProof/>
                <w:sz w:val="18"/>
                <w:szCs w:val="18"/>
                <w:vertAlign w:val="superscript"/>
              </w:rPr>
              <w:t>b</w:t>
            </w:r>
          </w:p>
        </w:tc>
        <w:tc>
          <w:tcPr>
            <w:tcW w:w="2551" w:type="dxa"/>
          </w:tcPr>
          <w:p w14:paraId="5D9F3ADE"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400</w:t>
            </w:r>
          </w:p>
        </w:tc>
        <w:tc>
          <w:tcPr>
            <w:tcW w:w="2217" w:type="dxa"/>
          </w:tcPr>
          <w:p w14:paraId="40A240E6"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401</w:t>
            </w:r>
          </w:p>
        </w:tc>
      </w:tr>
      <w:tr w:rsidR="001D1F98" w:rsidRPr="001C3C36" w14:paraId="624ACF55" w14:textId="77777777" w:rsidTr="00DD48E8">
        <w:tc>
          <w:tcPr>
            <w:tcW w:w="4248" w:type="dxa"/>
          </w:tcPr>
          <w:p w14:paraId="47787E13" w14:textId="77777777" w:rsidR="001D1F98" w:rsidRPr="001C3C36" w:rsidRDefault="001D1F98" w:rsidP="00BC0A56">
            <w:pPr>
              <w:rPr>
                <w:rFonts w:ascii="Sylfaen" w:hAnsi="Sylfaen" w:cs="Times New Roman"/>
                <w:b/>
                <w:bCs/>
                <w:noProof/>
                <w:sz w:val="18"/>
                <w:szCs w:val="18"/>
              </w:rPr>
            </w:pPr>
            <w:r w:rsidRPr="001C3C36">
              <w:rPr>
                <w:rFonts w:ascii="Sylfaen" w:hAnsi="Sylfaen" w:cs="Times New Roman"/>
                <w:b/>
                <w:bCs/>
                <w:noProof/>
                <w:sz w:val="18"/>
                <w:szCs w:val="18"/>
              </w:rPr>
              <w:t>HbA1c (%)</w:t>
            </w:r>
          </w:p>
          <w:p w14:paraId="48B4B499" w14:textId="77777777" w:rsidR="001D1F98" w:rsidRPr="001C3C36" w:rsidRDefault="001D1F98"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57813F80" w14:textId="1997E289" w:rsidR="001D1F98" w:rsidRPr="001C3C36" w:rsidRDefault="001D1F98"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146DFD40" w14:textId="72DA5CE3" w:rsidR="001D1F98" w:rsidRPr="001C3C36" w:rsidRDefault="001D1F98" w:rsidP="00BC0A56">
            <w:pPr>
              <w:rPr>
                <w:rFonts w:ascii="Sylfaen" w:hAnsi="Sylfaen" w:cs="Times New Roman"/>
                <w:noProof/>
                <w:sz w:val="18"/>
                <w:szCs w:val="18"/>
                <w:vertAlign w:val="superscript"/>
              </w:rPr>
            </w:pPr>
            <w:r w:rsidRPr="001C3C36">
              <w:rPr>
                <w:rFonts w:ascii="Sylfaen" w:hAnsi="Sylfaen" w:cs="Sylfaen"/>
                <w:noProof/>
                <w:sz w:val="18"/>
                <w:szCs w:val="18"/>
              </w:rPr>
              <w:t>განსხვავება</w:t>
            </w:r>
            <w:r w:rsidRPr="001C3C36">
              <w:rPr>
                <w:rFonts w:ascii="Sylfaen" w:hAnsi="Sylfaen" w:cs="Times New Roman"/>
                <w:noProof/>
                <w:sz w:val="18"/>
                <w:szCs w:val="18"/>
              </w:rPr>
              <w:t xml:space="preserve"> </w:t>
            </w:r>
            <w:r w:rsidRPr="001C3C36">
              <w:rPr>
                <w:rFonts w:ascii="Sylfaen" w:hAnsi="Sylfaen" w:cs="Sylfaen"/>
                <w:noProof/>
                <w:sz w:val="18"/>
                <w:szCs w:val="18"/>
              </w:rPr>
              <w:t>გლიპიზიდისა</w:t>
            </w:r>
            <w:r w:rsidRPr="001C3C36">
              <w:rPr>
                <w:rFonts w:ascii="Sylfaen" w:hAnsi="Sylfaen" w:cs="Times New Roman"/>
                <w:noProof/>
                <w:sz w:val="18"/>
                <w:szCs w:val="18"/>
              </w:rPr>
              <w:t xml:space="preserve"> </w:t>
            </w:r>
            <w:r w:rsidRPr="001C3C36">
              <w:rPr>
                <w:rFonts w:ascii="Sylfaen" w:hAnsi="Sylfaen" w:cs="Sylfaen"/>
                <w:noProof/>
                <w:sz w:val="18"/>
                <w:szCs w:val="18"/>
              </w:rPr>
              <w:t>და</w:t>
            </w:r>
            <w:r w:rsidRPr="001C3C36">
              <w:rPr>
                <w:rFonts w:ascii="Sylfaen" w:hAnsi="Sylfaen" w:cs="Times New Roman"/>
                <w:noProof/>
                <w:sz w:val="18"/>
                <w:szCs w:val="18"/>
              </w:rPr>
              <w:t xml:space="preserve"> </w:t>
            </w:r>
            <w:r w:rsidRPr="001C3C36">
              <w:rPr>
                <w:rFonts w:ascii="Sylfaen" w:hAnsi="Sylfaen" w:cs="Sylfaen"/>
                <w:noProof/>
                <w:sz w:val="18"/>
                <w:szCs w:val="18"/>
              </w:rPr>
              <w:t>მეტფორმინის</w:t>
            </w:r>
            <w:r w:rsidRPr="001C3C36">
              <w:rPr>
                <w:rFonts w:ascii="Sylfaen" w:hAnsi="Sylfaen" w:cs="Times New Roman"/>
                <w:noProof/>
                <w:sz w:val="18"/>
                <w:szCs w:val="18"/>
              </w:rPr>
              <w:t xml:space="preserve"> </w:t>
            </w:r>
            <w:r w:rsidRPr="001C3C36">
              <w:rPr>
                <w:rFonts w:ascii="Sylfaen" w:hAnsi="Sylfaen" w:cs="Sylfaen"/>
                <w:noProof/>
                <w:sz w:val="18"/>
                <w:szCs w:val="18"/>
              </w:rPr>
              <w:t>კომბინაციისგან</w:t>
            </w:r>
            <w:r w:rsidRPr="001C3C36">
              <w:rPr>
                <w:rFonts w:ascii="Sylfaen" w:hAnsi="Sylfaen" w:cs="Sylfaen"/>
                <w:noProof/>
                <w:sz w:val="18"/>
                <w:szCs w:val="18"/>
                <w:vertAlign w:val="superscript"/>
              </w:rPr>
              <w:t>c</w:t>
            </w:r>
          </w:p>
          <w:p w14:paraId="5AC67605" w14:textId="5A993B5E"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(95%-</w:t>
            </w:r>
            <w:r w:rsidRPr="001C3C36">
              <w:rPr>
                <w:rFonts w:ascii="Sylfaen" w:hAnsi="Sylfaen" w:cs="Sylfaen"/>
                <w:noProof/>
                <w:sz w:val="18"/>
                <w:szCs w:val="18"/>
              </w:rPr>
              <w:t>იანი</w:t>
            </w:r>
            <w:r w:rsidRPr="001C3C36">
              <w:rPr>
                <w:rFonts w:ascii="Sylfaen" w:hAnsi="Sylfaen" w:cs="Times New Roman"/>
                <w:noProof/>
                <w:sz w:val="18"/>
                <w:szCs w:val="18"/>
              </w:rPr>
              <w:t xml:space="preserve"> </w:t>
            </w:r>
            <w:r w:rsidRPr="001C3C36">
              <w:rPr>
                <w:rFonts w:ascii="Sylfaen" w:hAnsi="Sylfaen" w:cs="Sylfaen"/>
                <w:noProof/>
                <w:sz w:val="18"/>
                <w:szCs w:val="18"/>
              </w:rPr>
              <w:t>სანდოობის</w:t>
            </w:r>
            <w:r w:rsidRPr="001C3C36">
              <w:rPr>
                <w:rFonts w:ascii="Sylfaen" w:hAnsi="Sylfaen" w:cs="Times New Roman"/>
                <w:noProof/>
                <w:sz w:val="18"/>
                <w:szCs w:val="18"/>
              </w:rPr>
              <w:t xml:space="preserve"> </w:t>
            </w:r>
            <w:r w:rsidRPr="001C3C36">
              <w:rPr>
                <w:rFonts w:ascii="Sylfaen" w:hAnsi="Sylfaen" w:cs="Sylfaen"/>
                <w:noProof/>
                <w:sz w:val="18"/>
                <w:szCs w:val="18"/>
              </w:rPr>
              <w:t>ინტერვალი</w:t>
            </w:r>
            <w:r w:rsidRPr="001C3C36">
              <w:rPr>
                <w:rFonts w:ascii="Sylfaen" w:hAnsi="Sylfaen" w:cs="Times New Roman"/>
                <w:noProof/>
                <w:sz w:val="18"/>
                <w:szCs w:val="18"/>
              </w:rPr>
              <w:t>)</w:t>
            </w:r>
          </w:p>
        </w:tc>
        <w:tc>
          <w:tcPr>
            <w:tcW w:w="2551" w:type="dxa"/>
          </w:tcPr>
          <w:p w14:paraId="0AAA7CC1" w14:textId="77777777" w:rsidR="001D1F98" w:rsidRPr="001C3C36" w:rsidRDefault="001D1F98" w:rsidP="00BC0A56">
            <w:pPr>
              <w:jc w:val="center"/>
              <w:rPr>
                <w:rFonts w:ascii="Sylfaen" w:hAnsi="Sylfaen" w:cs="Times New Roman"/>
                <w:b/>
                <w:bCs/>
                <w:noProof/>
                <w:sz w:val="18"/>
                <w:szCs w:val="18"/>
              </w:rPr>
            </w:pPr>
          </w:p>
          <w:p w14:paraId="4980B0E9"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7.69</w:t>
            </w:r>
          </w:p>
          <w:p w14:paraId="690FA858"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-0.52</w:t>
            </w:r>
          </w:p>
          <w:p w14:paraId="18BA1FAC"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0.00</w:t>
            </w:r>
            <w:r w:rsidRPr="001C3C36">
              <w:rPr>
                <w:rFonts w:ascii="Sylfaen" w:hAnsi="Sylfaen" w:cs="Times New Roman"/>
                <w:noProof/>
                <w:sz w:val="18"/>
                <w:szCs w:val="18"/>
                <w:vertAlign w:val="superscript"/>
              </w:rPr>
              <w:t>d</w:t>
            </w:r>
          </w:p>
          <w:p w14:paraId="375DCBF2" w14:textId="77777777" w:rsidR="001D1F98" w:rsidRPr="001C3C36" w:rsidRDefault="001D1F98" w:rsidP="00BC0A56">
            <w:pPr>
              <w:jc w:val="center"/>
              <w:rPr>
                <w:rFonts w:ascii="Sylfaen" w:hAnsi="Sylfaen" w:cs="Times New Roman"/>
                <w:b/>
                <w:bCs/>
                <w:noProof/>
                <w:sz w:val="18"/>
                <w:szCs w:val="18"/>
              </w:rPr>
            </w:pPr>
            <w:r w:rsidRPr="001C3C36">
              <w:rPr>
                <w:rFonts w:ascii="Sylfaen" w:hAnsi="Sylfaen" w:cs="Times New Roman"/>
                <w:noProof/>
                <w:sz w:val="18"/>
                <w:szCs w:val="18"/>
              </w:rPr>
              <w:t>(-0.11, 0.11)</w:t>
            </w:r>
          </w:p>
        </w:tc>
        <w:tc>
          <w:tcPr>
            <w:tcW w:w="2217" w:type="dxa"/>
          </w:tcPr>
          <w:p w14:paraId="2465E12D" w14:textId="77777777" w:rsidR="001D1F98" w:rsidRPr="001C3C36" w:rsidRDefault="001D1F98" w:rsidP="00BC0A56">
            <w:pPr>
              <w:jc w:val="center"/>
              <w:rPr>
                <w:rFonts w:ascii="Sylfaen" w:hAnsi="Sylfaen" w:cs="Times New Roman"/>
                <w:b/>
                <w:bCs/>
                <w:noProof/>
                <w:sz w:val="18"/>
                <w:szCs w:val="18"/>
              </w:rPr>
            </w:pPr>
          </w:p>
          <w:p w14:paraId="737C4227"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7.74</w:t>
            </w:r>
          </w:p>
          <w:p w14:paraId="0102C4F6"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-0.52</w:t>
            </w:r>
          </w:p>
        </w:tc>
      </w:tr>
      <w:tr w:rsidR="001D1F98" w:rsidRPr="001C3C36" w14:paraId="38E961F3" w14:textId="77777777" w:rsidTr="00DD48E8">
        <w:tc>
          <w:tcPr>
            <w:tcW w:w="4248" w:type="dxa"/>
          </w:tcPr>
          <w:p w14:paraId="6B00D209" w14:textId="78579EC4" w:rsidR="001D1F98" w:rsidRPr="001C3C36" w:rsidRDefault="001D1F98" w:rsidP="00BC0A56">
            <w:pPr>
              <w:rPr>
                <w:rFonts w:ascii="Sylfaen" w:hAnsi="Sylfaen" w:cs="Times New Roman"/>
                <w:b/>
                <w:bCs/>
                <w:noProof/>
                <w:sz w:val="18"/>
                <w:szCs w:val="18"/>
              </w:rPr>
            </w:pPr>
            <w:r w:rsidRPr="001C3C36">
              <w:rPr>
                <w:rFonts w:ascii="Sylfaen" w:hAnsi="Sylfaen" w:cs="Times New Roman"/>
                <w:b/>
                <w:bCs/>
                <w:noProof/>
                <w:sz w:val="18"/>
                <w:szCs w:val="18"/>
              </w:rPr>
              <w:t>სხეულის წონა (კგ)</w:t>
            </w:r>
          </w:p>
          <w:p w14:paraId="151B7F7F" w14:textId="77777777" w:rsidR="001D1F98" w:rsidRPr="001C3C36" w:rsidRDefault="001D1F98"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5AF6E3DB" w14:textId="77777777" w:rsidR="001D1F98" w:rsidRPr="001C3C36" w:rsidRDefault="001D1F98" w:rsidP="00BC0A56">
            <w:pPr>
              <w:rPr>
                <w:rFonts w:ascii="Sylfaen" w:hAnsi="Sylfaen" w:cs="Times New Roman"/>
                <w:noProof/>
                <w:sz w:val="18"/>
                <w:szCs w:val="18"/>
                <w:vertAlign w:val="superscript"/>
              </w:rPr>
            </w:pPr>
            <w:r w:rsidRPr="001C3C36">
              <w:rPr>
                <w:rFonts w:ascii="Sylfaen" w:hAnsi="Sylfaen" w:cs="Sylfaen"/>
                <w:noProof/>
                <w:sz w:val="18"/>
                <w:szCs w:val="18"/>
              </w:rPr>
              <w:lastRenderedPageBreak/>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4C9035A7" w14:textId="77777777" w:rsidR="001D1F98" w:rsidRPr="001C3C36" w:rsidRDefault="001D1F98" w:rsidP="00BC0A56">
            <w:pPr>
              <w:rPr>
                <w:rFonts w:ascii="Sylfaen" w:hAnsi="Sylfaen" w:cs="Times New Roman"/>
                <w:noProof/>
                <w:sz w:val="18"/>
                <w:szCs w:val="18"/>
                <w:vertAlign w:val="superscript"/>
              </w:rPr>
            </w:pPr>
            <w:r w:rsidRPr="001C3C36">
              <w:rPr>
                <w:rFonts w:ascii="Sylfaen" w:hAnsi="Sylfaen" w:cs="Sylfaen"/>
                <w:noProof/>
                <w:sz w:val="18"/>
                <w:szCs w:val="18"/>
              </w:rPr>
              <w:t>განსხვავება</w:t>
            </w:r>
            <w:r w:rsidRPr="001C3C36">
              <w:rPr>
                <w:rFonts w:ascii="Sylfaen" w:hAnsi="Sylfaen" w:cs="Times New Roman"/>
                <w:noProof/>
                <w:sz w:val="18"/>
                <w:szCs w:val="18"/>
              </w:rPr>
              <w:t xml:space="preserve"> </w:t>
            </w:r>
            <w:r w:rsidRPr="001C3C36">
              <w:rPr>
                <w:rFonts w:ascii="Sylfaen" w:hAnsi="Sylfaen" w:cs="Sylfaen"/>
                <w:noProof/>
                <w:sz w:val="18"/>
                <w:szCs w:val="18"/>
              </w:rPr>
              <w:t>გლიპიზიდისა</w:t>
            </w:r>
            <w:r w:rsidRPr="001C3C36">
              <w:rPr>
                <w:rFonts w:ascii="Sylfaen" w:hAnsi="Sylfaen" w:cs="Times New Roman"/>
                <w:noProof/>
                <w:sz w:val="18"/>
                <w:szCs w:val="18"/>
              </w:rPr>
              <w:t xml:space="preserve"> </w:t>
            </w:r>
            <w:r w:rsidRPr="001C3C36">
              <w:rPr>
                <w:rFonts w:ascii="Sylfaen" w:hAnsi="Sylfaen" w:cs="Sylfaen"/>
                <w:noProof/>
                <w:sz w:val="18"/>
                <w:szCs w:val="18"/>
              </w:rPr>
              <w:t>და</w:t>
            </w:r>
            <w:r w:rsidRPr="001C3C36">
              <w:rPr>
                <w:rFonts w:ascii="Sylfaen" w:hAnsi="Sylfaen" w:cs="Times New Roman"/>
                <w:noProof/>
                <w:sz w:val="18"/>
                <w:szCs w:val="18"/>
              </w:rPr>
              <w:t xml:space="preserve"> </w:t>
            </w:r>
            <w:r w:rsidRPr="001C3C36">
              <w:rPr>
                <w:rFonts w:ascii="Sylfaen" w:hAnsi="Sylfaen" w:cs="Sylfaen"/>
                <w:noProof/>
                <w:sz w:val="18"/>
                <w:szCs w:val="18"/>
              </w:rPr>
              <w:t>მეტფორმინის</w:t>
            </w:r>
            <w:r w:rsidRPr="001C3C36">
              <w:rPr>
                <w:rFonts w:ascii="Sylfaen" w:hAnsi="Sylfaen" w:cs="Times New Roman"/>
                <w:noProof/>
                <w:sz w:val="18"/>
                <w:szCs w:val="18"/>
              </w:rPr>
              <w:t xml:space="preserve"> </w:t>
            </w:r>
            <w:r w:rsidRPr="001C3C36">
              <w:rPr>
                <w:rFonts w:ascii="Sylfaen" w:hAnsi="Sylfaen" w:cs="Sylfaen"/>
                <w:noProof/>
                <w:sz w:val="18"/>
                <w:szCs w:val="18"/>
              </w:rPr>
              <w:t>კომბინაციისგან</w:t>
            </w:r>
            <w:r w:rsidRPr="001C3C36">
              <w:rPr>
                <w:rFonts w:ascii="Sylfaen" w:hAnsi="Sylfaen" w:cs="Sylfaen"/>
                <w:noProof/>
                <w:sz w:val="18"/>
                <w:szCs w:val="18"/>
                <w:vertAlign w:val="superscript"/>
              </w:rPr>
              <w:t>c</w:t>
            </w:r>
          </w:p>
          <w:p w14:paraId="55082AAE" w14:textId="5367337D"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(95%-</w:t>
            </w:r>
            <w:r w:rsidRPr="001C3C36">
              <w:rPr>
                <w:rFonts w:ascii="Sylfaen" w:hAnsi="Sylfaen" w:cs="Sylfaen"/>
                <w:noProof/>
                <w:sz w:val="18"/>
                <w:szCs w:val="18"/>
              </w:rPr>
              <w:t>იანი</w:t>
            </w:r>
            <w:r w:rsidRPr="001C3C36">
              <w:rPr>
                <w:rFonts w:ascii="Sylfaen" w:hAnsi="Sylfaen" w:cs="Times New Roman"/>
                <w:noProof/>
                <w:sz w:val="18"/>
                <w:szCs w:val="18"/>
              </w:rPr>
              <w:t xml:space="preserve"> </w:t>
            </w:r>
            <w:r w:rsidRPr="001C3C36">
              <w:rPr>
                <w:rFonts w:ascii="Sylfaen" w:hAnsi="Sylfaen" w:cs="Sylfaen"/>
                <w:noProof/>
                <w:sz w:val="18"/>
                <w:szCs w:val="18"/>
              </w:rPr>
              <w:t>სანდოობის</w:t>
            </w:r>
            <w:r w:rsidRPr="001C3C36">
              <w:rPr>
                <w:rFonts w:ascii="Sylfaen" w:hAnsi="Sylfaen" w:cs="Times New Roman"/>
                <w:noProof/>
                <w:sz w:val="18"/>
                <w:szCs w:val="18"/>
              </w:rPr>
              <w:t xml:space="preserve"> </w:t>
            </w:r>
            <w:r w:rsidRPr="001C3C36">
              <w:rPr>
                <w:rFonts w:ascii="Sylfaen" w:hAnsi="Sylfaen" w:cs="Sylfaen"/>
                <w:noProof/>
                <w:sz w:val="18"/>
                <w:szCs w:val="18"/>
              </w:rPr>
              <w:t>ინტერვალი</w:t>
            </w:r>
            <w:r w:rsidRPr="001C3C36">
              <w:rPr>
                <w:rFonts w:ascii="Sylfaen" w:hAnsi="Sylfaen" w:cs="Times New Roman"/>
                <w:noProof/>
                <w:sz w:val="18"/>
                <w:szCs w:val="18"/>
              </w:rPr>
              <w:t>)</w:t>
            </w:r>
          </w:p>
        </w:tc>
        <w:tc>
          <w:tcPr>
            <w:tcW w:w="2551" w:type="dxa"/>
          </w:tcPr>
          <w:p w14:paraId="355A2ED3" w14:textId="77777777" w:rsidR="001D1F98" w:rsidRPr="001C3C36" w:rsidRDefault="001D1F98" w:rsidP="00BC0A56">
            <w:pPr>
              <w:jc w:val="center"/>
              <w:rPr>
                <w:rFonts w:ascii="Sylfaen" w:hAnsi="Sylfaen" w:cs="Times New Roman"/>
                <w:b/>
                <w:bCs/>
                <w:noProof/>
                <w:sz w:val="18"/>
                <w:szCs w:val="18"/>
              </w:rPr>
            </w:pPr>
          </w:p>
          <w:p w14:paraId="5FC337C8"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88.44</w:t>
            </w:r>
          </w:p>
          <w:p w14:paraId="5F3FD968"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lastRenderedPageBreak/>
              <w:t>-3.22</w:t>
            </w:r>
          </w:p>
          <w:p w14:paraId="2F845E3F"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-4.65</w:t>
            </w:r>
            <w:r w:rsidRPr="001C3C36">
              <w:rPr>
                <w:rFonts w:ascii="Sylfaen" w:hAnsi="Sylfaen" w:cs="Times New Roman"/>
                <w:noProof/>
                <w:sz w:val="18"/>
                <w:szCs w:val="18"/>
                <w:vertAlign w:val="superscript"/>
              </w:rPr>
              <w:t>*</w:t>
            </w:r>
          </w:p>
          <w:p w14:paraId="04206D35" w14:textId="77777777" w:rsidR="001D1F98" w:rsidRPr="001C3C36" w:rsidRDefault="001D1F98" w:rsidP="00BC0A56">
            <w:pPr>
              <w:jc w:val="center"/>
              <w:rPr>
                <w:rFonts w:ascii="Sylfaen" w:hAnsi="Sylfaen" w:cs="Times New Roman"/>
                <w:b/>
                <w:bCs/>
                <w:noProof/>
                <w:sz w:val="18"/>
                <w:szCs w:val="18"/>
              </w:rPr>
            </w:pPr>
            <w:r w:rsidRPr="001C3C36">
              <w:rPr>
                <w:rFonts w:ascii="Sylfaen" w:hAnsi="Sylfaen" w:cs="Times New Roman"/>
                <w:noProof/>
                <w:sz w:val="18"/>
                <w:szCs w:val="18"/>
              </w:rPr>
              <w:t>(-5.14, -4.17)</w:t>
            </w:r>
          </w:p>
        </w:tc>
        <w:tc>
          <w:tcPr>
            <w:tcW w:w="2217" w:type="dxa"/>
          </w:tcPr>
          <w:p w14:paraId="6B0A4751" w14:textId="77777777" w:rsidR="001D1F98" w:rsidRPr="001C3C36" w:rsidRDefault="001D1F98" w:rsidP="00BC0A56">
            <w:pPr>
              <w:jc w:val="center"/>
              <w:rPr>
                <w:rFonts w:ascii="Sylfaen" w:hAnsi="Sylfaen" w:cs="Times New Roman"/>
                <w:b/>
                <w:bCs/>
                <w:noProof/>
                <w:sz w:val="18"/>
                <w:szCs w:val="18"/>
              </w:rPr>
            </w:pPr>
          </w:p>
          <w:p w14:paraId="045EF00E"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87.60</w:t>
            </w:r>
          </w:p>
          <w:p w14:paraId="492C05DA"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lastRenderedPageBreak/>
              <w:t>1.44</w:t>
            </w:r>
          </w:p>
        </w:tc>
      </w:tr>
    </w:tbl>
    <w:p w14:paraId="3E5AF80E" w14:textId="77777777" w:rsidR="001D1F98" w:rsidRPr="00850096" w:rsidRDefault="001D1F98"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lastRenderedPageBreak/>
        <w:t>ᵃ</w:t>
      </w:r>
      <w:r w:rsidRPr="00850096">
        <w:rPr>
          <w:rFonts w:ascii="Sylfaen" w:hAnsi="Sylfaen"/>
          <w:noProof/>
          <w:sz w:val="20"/>
          <w:szCs w:val="20"/>
        </w:rPr>
        <w:t>LOCF: ბოლო დაკვირვების გადატანა წინ</w:t>
      </w:r>
    </w:p>
    <w:p w14:paraId="42EB1976" w14:textId="77777777" w:rsidR="001D1F98" w:rsidRPr="00850096" w:rsidRDefault="001D1F98"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ᵇ</w:t>
      </w:r>
      <w:r w:rsidRPr="00850096">
        <w:rPr>
          <w:rFonts w:ascii="Sylfaen" w:hAnsi="Sylfaen"/>
          <w:noProof/>
          <w:sz w:val="20"/>
          <w:szCs w:val="20"/>
        </w:rPr>
        <w:t xml:space="preserve"> რანდომიზებული და ნამკურნალები სუბიექტები, რომლებსაც ჰქონდათ საწყისი მაჩვენებელი და ეფექტურობის სულ მცირე 1 მაჩვენებელი საწყისი ეტაპის შემდგომ</w:t>
      </w:r>
    </w:p>
    <w:p w14:paraId="503C9EAE" w14:textId="77777777" w:rsidR="001D1F98" w:rsidRPr="00850096" w:rsidRDefault="001D1F98"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ᶜ</w:t>
      </w:r>
      <w:r w:rsidRPr="00850096">
        <w:rPr>
          <w:rFonts w:ascii="Sylfaen" w:hAnsi="Sylfaen"/>
          <w:noProof/>
          <w:sz w:val="20"/>
          <w:szCs w:val="20"/>
        </w:rPr>
        <w:t xml:space="preserve"> უმცირესი კვადრატების საშუალო, კორექტირებული საწყისი მნიშვნელობის მიხედვით</w:t>
      </w:r>
    </w:p>
    <w:p w14:paraId="40A058BF" w14:textId="77777777" w:rsidR="001D1F98" w:rsidRPr="00850096" w:rsidRDefault="001D1F98"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ᵈ</w:t>
      </w:r>
      <w:r w:rsidRPr="00850096">
        <w:rPr>
          <w:rFonts w:ascii="Sylfaen" w:hAnsi="Sylfaen"/>
          <w:noProof/>
          <w:sz w:val="20"/>
          <w:szCs w:val="20"/>
        </w:rPr>
        <w:t xml:space="preserve"> გლიპიზიდთან + მეტფორმინთან შედარებით არანაკლები ეფექტურობა</w:t>
      </w:r>
    </w:p>
    <w:p w14:paraId="62796190" w14:textId="32A8C10F" w:rsidR="001D1F98" w:rsidRPr="00850096" w:rsidRDefault="001D1F98" w:rsidP="00BC0A56">
      <w:pPr>
        <w:spacing w:after="0" w:line="240" w:lineRule="auto"/>
        <w:rPr>
          <w:rFonts w:ascii="Sylfaen" w:hAnsi="Sylfaen"/>
          <w:noProof/>
          <w:sz w:val="20"/>
          <w:szCs w:val="20"/>
        </w:rPr>
      </w:pPr>
      <w:r w:rsidRPr="00850096">
        <w:rPr>
          <w:rFonts w:ascii="Sylfaen" w:hAnsi="Sylfaen"/>
          <w:noProof/>
          <w:sz w:val="20"/>
          <w:szCs w:val="20"/>
        </w:rPr>
        <w:t>* p-მნიშვნელობა &lt; 0,0001</w:t>
      </w:r>
    </w:p>
    <w:p w14:paraId="0A1AEBD8" w14:textId="77777777" w:rsidR="00212477" w:rsidRPr="00850096" w:rsidRDefault="00212477" w:rsidP="00BC0A56">
      <w:pPr>
        <w:spacing w:after="0" w:line="240" w:lineRule="auto"/>
        <w:rPr>
          <w:rFonts w:ascii="Sylfaen" w:hAnsi="Sylfaen"/>
          <w:noProof/>
          <w:sz w:val="20"/>
          <w:szCs w:val="20"/>
        </w:rPr>
      </w:pPr>
    </w:p>
    <w:p w14:paraId="59B99425" w14:textId="77777777" w:rsidR="001D1F98" w:rsidRPr="00850096" w:rsidRDefault="001D1F98" w:rsidP="009167F3">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დამატებითმა გამოყენებამ მეტფორმინთან, გლიმეპირიდთან, მეტფორმინსა და სულფონილშარდოვანას წარმოებულთან, სიტაგლიპტინთან (მეტფორმინით ან მის გარეშე) ან ინსულინთან ერთად, პლაცებოს ჯგუფთან შედარებით, 24-კვირიან პერიოდში განაპირობა HbA1c-ის დონის სტატისტიკურად მნიშვნელოვანი შემცირება (p &lt; 0.0001; ცხრილები 4, 5 და 6).</w:t>
      </w:r>
    </w:p>
    <w:p w14:paraId="43D41C49" w14:textId="13260ACB" w:rsidR="00212477" w:rsidRPr="00850096" w:rsidRDefault="001D1F98" w:rsidP="009167F3">
      <w:pPr>
        <w:spacing w:after="0" w:line="240" w:lineRule="auto"/>
        <w:jc w:val="both"/>
        <w:rPr>
          <w:rFonts w:ascii="Sylfaen" w:hAnsi="Sylfaen"/>
          <w:noProof/>
          <w:sz w:val="20"/>
          <w:szCs w:val="20"/>
        </w:rPr>
      </w:pPr>
      <w:r w:rsidRPr="00850096">
        <w:rPr>
          <w:rFonts w:ascii="Sylfaen" w:hAnsi="Sylfaen"/>
          <w:noProof/>
          <w:sz w:val="20"/>
          <w:szCs w:val="20"/>
        </w:rPr>
        <w:t>24-ე კვირაზე დაფიქსირებული HbA1c-ის შემცირების მაჩვენებლები შენარჩუნდა კომბინირებული თერაპიის კვლევებშიც (გლიმეპირიდი და ინსულინი): მონაცემები მოიცავდა 48-კვირიან (გლიმეპირიდი) და 104-კვირიან (ინსულინი) პერიოდებს. 48-ე კვირაზე, სიტაგლიპტინთან (მეტფორმინით ან მის გარეშე) დამატებისას, საწყისი მაჩვენებლიდან კორექტირებული საშუალო ცვლილება დაპაგლიფლოზინის (10 მგ) და პლაცებოს ჯგუფებში შეადგენდა -0,30%-სა და 0,38%-ს. მეტფორმინთან დამატების კვლევაში HbA1c-ის შემცირების მაჩვენებლები შენარჩუნდა 102-ე კვირამდე (საწყისი მაჩვენებლიდან კორექტირებული საშუალო ცვლილება 10 მგ-ისა და პლაცებოსთვის შეადგენდა -0,78%-სა და 0,02%-ს). 104-ე კვირაზე, ინსულინთან (გლუკოზის დამწევ დამატებით პერორალურ პრეპარატებთან ერთად ან მათ გარეშე) კომბინაციისას, HbA1c-ის შემცირების მაჩვენებლები (საწყისი მაჩვენებლიდან კორექტირებული საშუალო ცვლილება) დაპაგლიფლოზინის (10 მგ) და პლაცებოს ჯგუფებისთვის იყო -0,71% და -0,06%. 48-ე და 104-ე კვირებზე, დაპაგლიფლოზინით (10 მგ) მკურნალობის ჯგუფში ინსულინის დოზა საწყის მაჩვენებელთან შედარებით უცვლელი დარჩა (საშუალო დოზა — 76 სე/დღე-ღამეში). პლაცებოს ჯგუფში, საწყის მაჩვენებელთან შედარებით, დაფიქსირდა ინსულინის დოზის საშუალო ზრდა 10,5 სე/დღე-ღამეში (48-ე კვირაზე) და 18,3 სე/დღე-ღამეში (104-ე კვირაზე) (საშუალო დოზები — 84 და 92 სე/დღე-ღამეში, შესაბამისად). 104-ე კვირაზე კვლევაში მონაწილეობა განაგრძო პაციენტთა 72,4%-მა დაპაგლიფლოზინის (10 მგ) ჯგუფში და 54,8%-მა — პლაცებოს ჯგუფში.</w:t>
      </w:r>
    </w:p>
    <w:p w14:paraId="6D8E4830" w14:textId="77777777" w:rsidR="001D1F98" w:rsidRPr="00850096" w:rsidRDefault="001D1F98" w:rsidP="00BC0A56">
      <w:pPr>
        <w:spacing w:after="0" w:line="240" w:lineRule="auto"/>
        <w:rPr>
          <w:rFonts w:ascii="Sylfaen" w:hAnsi="Sylfaen"/>
          <w:noProof/>
          <w:sz w:val="20"/>
          <w:szCs w:val="20"/>
        </w:rPr>
      </w:pPr>
    </w:p>
    <w:p w14:paraId="5FE6AE52" w14:textId="112B7B9B" w:rsidR="00212477" w:rsidRPr="00850096" w:rsidRDefault="00212477" w:rsidP="00BC0A56">
      <w:pPr>
        <w:spacing w:after="0" w:line="240" w:lineRule="auto"/>
        <w:rPr>
          <w:rFonts w:ascii="Sylfaen" w:hAnsi="Sylfaen"/>
          <w:b/>
          <w:bCs/>
          <w:noProof/>
          <w:sz w:val="20"/>
          <w:szCs w:val="20"/>
        </w:rPr>
      </w:pPr>
      <w:r w:rsidRPr="00850096">
        <w:rPr>
          <w:rFonts w:ascii="Sylfaen" w:hAnsi="Sylfaen"/>
          <w:b/>
          <w:bCs/>
          <w:noProof/>
          <w:sz w:val="20"/>
          <w:szCs w:val="20"/>
        </w:rPr>
        <w:t xml:space="preserve">ცხრილი </w:t>
      </w:r>
      <w:r w:rsidR="001D1F98" w:rsidRPr="00850096">
        <w:rPr>
          <w:rFonts w:ascii="Sylfaen" w:hAnsi="Sylfaen"/>
          <w:b/>
          <w:bCs/>
          <w:noProof/>
          <w:sz w:val="20"/>
          <w:szCs w:val="20"/>
        </w:rPr>
        <w:t>4</w:t>
      </w:r>
      <w:r w:rsidRPr="00850096">
        <w:rPr>
          <w:rFonts w:ascii="Sylfaen" w:hAnsi="Sylfaen"/>
          <w:b/>
          <w:bCs/>
          <w:noProof/>
          <w:sz w:val="20"/>
          <w:szCs w:val="20"/>
        </w:rPr>
        <w:t xml:space="preserve">: </w:t>
      </w:r>
      <w:r w:rsidR="001D1F98" w:rsidRPr="00850096">
        <w:rPr>
          <w:rFonts w:ascii="Sylfaen" w:hAnsi="Sylfaen"/>
          <w:b/>
          <w:bCs/>
          <w:noProof/>
          <w:sz w:val="20"/>
          <w:szCs w:val="20"/>
        </w:rPr>
        <w:t>დაპაგლიფლოზინის 24-კვირიანი (LOCF) პლაცებო-კონტროლირებადი კვლევების შედეგები მეტფორმინთან ან სიტაგლიპტინთან (მეტფორმინით ან მის გარეშე) კომბინაციაში გამოყენებისას.</w:t>
      </w:r>
    </w:p>
    <w:tbl>
      <w:tblPr>
        <w:tblStyle w:val="TableGrid"/>
        <w:tblW w:w="0" w:type="auto"/>
        <w:tblLook w:val="04A0" w:firstRow="1" w:lastRow="0" w:firstColumn="1" w:lastColumn="0" w:noHBand="0" w:noVBand="1"/>
      </w:tblPr>
      <w:tblGrid>
        <w:gridCol w:w="2759"/>
        <w:gridCol w:w="1824"/>
        <w:gridCol w:w="1625"/>
        <w:gridCol w:w="1845"/>
        <w:gridCol w:w="1626"/>
      </w:tblGrid>
      <w:tr w:rsidR="001D1F98" w:rsidRPr="001C3C36" w14:paraId="6D2E3822" w14:textId="77777777" w:rsidTr="00223F44">
        <w:tc>
          <w:tcPr>
            <w:tcW w:w="3055" w:type="dxa"/>
            <w:vMerge w:val="restart"/>
          </w:tcPr>
          <w:p w14:paraId="38592A8E" w14:textId="77777777" w:rsidR="001D1F98" w:rsidRPr="001C3C36" w:rsidRDefault="001D1F98" w:rsidP="00BC0A56">
            <w:pPr>
              <w:rPr>
                <w:rFonts w:ascii="Sylfaen" w:hAnsi="Sylfaen" w:cs="Times New Roman"/>
                <w:b/>
                <w:bCs/>
                <w:noProof/>
                <w:sz w:val="18"/>
                <w:szCs w:val="18"/>
              </w:rPr>
            </w:pPr>
          </w:p>
        </w:tc>
        <w:tc>
          <w:tcPr>
            <w:tcW w:w="6342" w:type="dxa"/>
            <w:gridSpan w:val="4"/>
          </w:tcPr>
          <w:p w14:paraId="31A6359F" w14:textId="77777777" w:rsidR="00223F44" w:rsidRPr="00223F44" w:rsidRDefault="00223F44" w:rsidP="00BC0A56">
            <w:pPr>
              <w:jc w:val="center"/>
              <w:rPr>
                <w:rFonts w:ascii="Sylfaen" w:hAnsi="Sylfaen" w:cs="Times New Roman"/>
                <w:b/>
                <w:bCs/>
                <w:noProof/>
                <w:sz w:val="18"/>
                <w:szCs w:val="18"/>
              </w:rPr>
            </w:pPr>
            <w:r w:rsidRPr="00223F44">
              <w:rPr>
                <w:rFonts w:ascii="Sylfaen" w:hAnsi="Sylfaen" w:cs="Sylfaen"/>
                <w:b/>
                <w:bCs/>
                <w:noProof/>
                <w:sz w:val="18"/>
                <w:szCs w:val="18"/>
              </w:rPr>
              <w:t>დამატებითი</w:t>
            </w:r>
            <w:r w:rsidRPr="00223F44">
              <w:rPr>
                <w:rFonts w:ascii="Sylfaen" w:hAnsi="Sylfaen" w:cs="Times New Roman"/>
                <w:b/>
                <w:bCs/>
                <w:noProof/>
                <w:sz w:val="18"/>
                <w:szCs w:val="18"/>
              </w:rPr>
              <w:t xml:space="preserve"> </w:t>
            </w:r>
            <w:r w:rsidRPr="00223F44">
              <w:rPr>
                <w:rFonts w:ascii="Sylfaen" w:hAnsi="Sylfaen" w:cs="Sylfaen"/>
                <w:b/>
                <w:bCs/>
                <w:noProof/>
                <w:sz w:val="18"/>
                <w:szCs w:val="18"/>
              </w:rPr>
              <w:t>კომბინირებული</w:t>
            </w:r>
            <w:r w:rsidRPr="00223F44">
              <w:rPr>
                <w:rFonts w:ascii="Sylfaen" w:hAnsi="Sylfaen" w:cs="Times New Roman"/>
                <w:b/>
                <w:bCs/>
                <w:noProof/>
                <w:sz w:val="18"/>
                <w:szCs w:val="18"/>
              </w:rPr>
              <w:t xml:space="preserve"> </w:t>
            </w:r>
            <w:r w:rsidRPr="00223F44">
              <w:rPr>
                <w:rFonts w:ascii="Sylfaen" w:hAnsi="Sylfaen" w:cs="Sylfaen"/>
                <w:b/>
                <w:bCs/>
                <w:noProof/>
                <w:sz w:val="18"/>
                <w:szCs w:val="18"/>
              </w:rPr>
              <w:t>თერაპია</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23F44" w:rsidRPr="00223F44" w14:paraId="259CF1EB" w14:textId="77777777" w:rsidTr="00223F44">
              <w:trPr>
                <w:tblHeader/>
                <w:tblCellSpacing w:w="15" w:type="dxa"/>
              </w:trPr>
              <w:tc>
                <w:tcPr>
                  <w:tcW w:w="0" w:type="auto"/>
                  <w:vAlign w:val="center"/>
                  <w:hideMark/>
                </w:tcPr>
                <w:p w14:paraId="5063F438" w14:textId="77777777" w:rsidR="00223F44" w:rsidRPr="00223F44" w:rsidRDefault="00223F44" w:rsidP="00BC0A56">
                  <w:pPr>
                    <w:spacing w:after="0" w:line="240" w:lineRule="auto"/>
                    <w:jc w:val="center"/>
                    <w:rPr>
                      <w:rFonts w:ascii="Sylfaen" w:hAnsi="Sylfaen" w:cs="Times New Roman"/>
                      <w:b/>
                      <w:bCs/>
                      <w:noProof/>
                      <w:sz w:val="18"/>
                      <w:szCs w:val="18"/>
                    </w:rPr>
                  </w:pPr>
                </w:p>
              </w:tc>
            </w:tr>
          </w:tbl>
          <w:p w14:paraId="4FC25470" w14:textId="4DEDAA2C" w:rsidR="001D1F98" w:rsidRPr="001C3C36" w:rsidRDefault="001D1F98" w:rsidP="00BC0A56">
            <w:pPr>
              <w:jc w:val="center"/>
              <w:rPr>
                <w:rFonts w:ascii="Sylfaen" w:hAnsi="Sylfaen" w:cs="Times New Roman"/>
                <w:b/>
                <w:bCs/>
                <w:noProof/>
                <w:sz w:val="18"/>
                <w:szCs w:val="18"/>
              </w:rPr>
            </w:pPr>
          </w:p>
        </w:tc>
      </w:tr>
      <w:tr w:rsidR="001D1F98" w:rsidRPr="001C3C36" w14:paraId="454E7F34" w14:textId="77777777" w:rsidTr="00223F44">
        <w:tc>
          <w:tcPr>
            <w:tcW w:w="3055" w:type="dxa"/>
            <w:vMerge/>
          </w:tcPr>
          <w:p w14:paraId="212C5C53" w14:textId="77777777" w:rsidR="001D1F98" w:rsidRPr="001C3C36" w:rsidRDefault="001D1F98" w:rsidP="00BC0A56">
            <w:pPr>
              <w:rPr>
                <w:rFonts w:ascii="Sylfaen" w:hAnsi="Sylfaen" w:cs="Times New Roman"/>
                <w:b/>
                <w:bCs/>
                <w:noProof/>
                <w:sz w:val="18"/>
                <w:szCs w:val="18"/>
              </w:rPr>
            </w:pPr>
          </w:p>
        </w:tc>
        <w:tc>
          <w:tcPr>
            <w:tcW w:w="2687" w:type="dxa"/>
            <w:gridSpan w:val="2"/>
          </w:tcPr>
          <w:p w14:paraId="3DDEAC40" w14:textId="04D54D67" w:rsidR="001D1F98" w:rsidRPr="001C3C36" w:rsidRDefault="001D1F98" w:rsidP="00BC0A56">
            <w:pPr>
              <w:jc w:val="center"/>
              <w:rPr>
                <w:rFonts w:ascii="Sylfaen" w:hAnsi="Sylfaen" w:cs="Times New Roman"/>
                <w:b/>
                <w:bCs/>
                <w:noProof/>
                <w:sz w:val="18"/>
                <w:szCs w:val="18"/>
              </w:rPr>
            </w:pPr>
            <w:r w:rsidRPr="001C3C36">
              <w:rPr>
                <w:rFonts w:ascii="Sylfaen" w:hAnsi="Sylfaen" w:cs="Times New Roman"/>
                <w:b/>
                <w:bCs/>
                <w:noProof/>
                <w:sz w:val="18"/>
                <w:szCs w:val="18"/>
              </w:rPr>
              <w:t>მეტფორმინი</w:t>
            </w:r>
            <w:r w:rsidRPr="001C3C36">
              <w:rPr>
                <w:rFonts w:ascii="Sylfaen" w:hAnsi="Sylfaen" w:cs="Times New Roman"/>
                <w:b/>
                <w:bCs/>
                <w:noProof/>
                <w:sz w:val="18"/>
                <w:szCs w:val="18"/>
                <w:vertAlign w:val="superscript"/>
              </w:rPr>
              <w:t>1</w:t>
            </w:r>
          </w:p>
        </w:tc>
        <w:tc>
          <w:tcPr>
            <w:tcW w:w="3655" w:type="dxa"/>
            <w:gridSpan w:val="2"/>
          </w:tcPr>
          <w:p w14:paraId="13F06969" w14:textId="77777777" w:rsidR="00223F44" w:rsidRPr="001C3C36" w:rsidRDefault="00223F44" w:rsidP="00BC0A56">
            <w:pPr>
              <w:jc w:val="center"/>
              <w:rPr>
                <w:rFonts w:ascii="Sylfaen" w:hAnsi="Sylfaen" w:cs="Times New Roman"/>
                <w:b/>
                <w:bCs/>
                <w:noProof/>
                <w:sz w:val="18"/>
                <w:szCs w:val="18"/>
              </w:rPr>
            </w:pPr>
            <w:r w:rsidRPr="001C3C36">
              <w:rPr>
                <w:rFonts w:ascii="Sylfaen" w:hAnsi="Sylfaen" w:cs="Times New Roman"/>
                <w:b/>
                <w:bCs/>
                <w:noProof/>
                <w:sz w:val="18"/>
                <w:szCs w:val="18"/>
              </w:rPr>
              <w:t xml:space="preserve">DPP-4 </w:t>
            </w:r>
            <w:r w:rsidRPr="001C3C36">
              <w:rPr>
                <w:rFonts w:ascii="Sylfaen" w:hAnsi="Sylfaen" w:cs="Sylfaen"/>
                <w:b/>
                <w:bCs/>
                <w:noProof/>
                <w:sz w:val="18"/>
                <w:szCs w:val="18"/>
              </w:rPr>
              <w:t>ინჰიბიტორი</w:t>
            </w:r>
          </w:p>
          <w:p w14:paraId="14CE3185" w14:textId="09088B55" w:rsidR="001D1F98" w:rsidRPr="001C3C36" w:rsidRDefault="00223F44" w:rsidP="00BC0A56">
            <w:pPr>
              <w:jc w:val="center"/>
              <w:rPr>
                <w:rFonts w:ascii="Sylfaen" w:hAnsi="Sylfaen" w:cs="Times New Roman"/>
                <w:b/>
                <w:bCs/>
                <w:noProof/>
                <w:sz w:val="18"/>
                <w:szCs w:val="18"/>
              </w:rPr>
            </w:pPr>
            <w:r w:rsidRPr="001C3C36">
              <w:rPr>
                <w:rFonts w:ascii="Sylfaen" w:hAnsi="Sylfaen" w:cs="Times New Roman"/>
                <w:b/>
                <w:bCs/>
                <w:noProof/>
                <w:sz w:val="18"/>
                <w:szCs w:val="18"/>
              </w:rPr>
              <w:t>(</w:t>
            </w:r>
            <w:r w:rsidRPr="001C3C36">
              <w:rPr>
                <w:rFonts w:ascii="Sylfaen" w:hAnsi="Sylfaen" w:cs="Sylfaen"/>
                <w:b/>
                <w:bCs/>
                <w:noProof/>
                <w:sz w:val="18"/>
                <w:szCs w:val="18"/>
              </w:rPr>
              <w:t>სიტაგლიპტინი</w:t>
            </w:r>
            <w:r w:rsidRPr="001C3C36">
              <w:rPr>
                <w:rFonts w:ascii="Sylfaen" w:hAnsi="Sylfaen" w:cs="Times New Roman"/>
                <w:b/>
                <w:bCs/>
                <w:noProof/>
                <w:sz w:val="18"/>
                <w:szCs w:val="18"/>
              </w:rPr>
              <w:t xml:space="preserve">2) ± </w:t>
            </w:r>
            <w:r w:rsidRPr="001C3C36">
              <w:rPr>
                <w:rFonts w:ascii="Sylfaen" w:hAnsi="Sylfaen" w:cs="Sylfaen"/>
                <w:b/>
                <w:bCs/>
                <w:noProof/>
                <w:sz w:val="18"/>
                <w:szCs w:val="18"/>
              </w:rPr>
              <w:t>მეტფორმინი</w:t>
            </w:r>
            <w:r w:rsidRPr="001C3C36">
              <w:rPr>
                <w:rFonts w:ascii="Sylfaen" w:hAnsi="Sylfaen" w:cs="Times New Roman"/>
                <w:b/>
                <w:bCs/>
                <w:noProof/>
                <w:sz w:val="18"/>
                <w:szCs w:val="18"/>
                <w:vertAlign w:val="superscript"/>
              </w:rPr>
              <w:t>1</w:t>
            </w:r>
          </w:p>
        </w:tc>
      </w:tr>
      <w:tr w:rsidR="001D1F98" w:rsidRPr="001C3C36" w14:paraId="22E54FD2" w14:textId="77777777" w:rsidTr="00223F44">
        <w:tc>
          <w:tcPr>
            <w:tcW w:w="3055" w:type="dxa"/>
            <w:vMerge/>
          </w:tcPr>
          <w:p w14:paraId="6F72B718" w14:textId="77777777" w:rsidR="001D1F98" w:rsidRPr="001C3C36" w:rsidRDefault="001D1F98" w:rsidP="00BC0A56">
            <w:pPr>
              <w:rPr>
                <w:rFonts w:ascii="Sylfaen" w:hAnsi="Sylfaen" w:cs="Times New Roman"/>
                <w:b/>
                <w:bCs/>
                <w:noProof/>
                <w:sz w:val="18"/>
                <w:szCs w:val="18"/>
              </w:rPr>
            </w:pPr>
          </w:p>
        </w:tc>
        <w:tc>
          <w:tcPr>
            <w:tcW w:w="884" w:type="dxa"/>
          </w:tcPr>
          <w:p w14:paraId="791E157D" w14:textId="77777777" w:rsidR="00223F44" w:rsidRPr="001C3C36" w:rsidRDefault="00223F44"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p>
          <w:p w14:paraId="1EDD99F9" w14:textId="122B435D" w:rsidR="001D1F98" w:rsidRPr="001C3C36" w:rsidRDefault="00223F44" w:rsidP="00BC0A56">
            <w:pPr>
              <w:jc w:val="center"/>
              <w:rPr>
                <w:rFonts w:ascii="Sylfaen" w:hAnsi="Sylfaen" w:cs="Times New Roman"/>
                <w:b/>
                <w:bCs/>
                <w:noProof/>
                <w:sz w:val="18"/>
                <w:szCs w:val="18"/>
              </w:rPr>
            </w:pPr>
            <w:r w:rsidRPr="001C3C36">
              <w:rPr>
                <w:rFonts w:ascii="Sylfaen" w:hAnsi="Sylfaen" w:cs="Times New Roman"/>
                <w:b/>
                <w:bCs/>
                <w:noProof/>
                <w:sz w:val="18"/>
                <w:szCs w:val="18"/>
              </w:rPr>
              <w:t xml:space="preserve">10 </w:t>
            </w:r>
            <w:r w:rsidRPr="001C3C36">
              <w:rPr>
                <w:rFonts w:ascii="Sylfaen" w:hAnsi="Sylfaen" w:cs="Sylfaen"/>
                <w:b/>
                <w:bCs/>
                <w:noProof/>
                <w:sz w:val="18"/>
                <w:szCs w:val="18"/>
              </w:rPr>
              <w:t>მგ</w:t>
            </w:r>
          </w:p>
        </w:tc>
        <w:tc>
          <w:tcPr>
            <w:tcW w:w="1803" w:type="dxa"/>
          </w:tcPr>
          <w:p w14:paraId="3668AD3D" w14:textId="7BA2075F" w:rsidR="001D1F98" w:rsidRPr="001C3C36" w:rsidRDefault="00223F44" w:rsidP="00BC0A56">
            <w:pPr>
              <w:jc w:val="center"/>
              <w:rPr>
                <w:rFonts w:ascii="Sylfaen" w:hAnsi="Sylfaen" w:cs="Times New Roman"/>
                <w:b/>
                <w:bCs/>
                <w:noProof/>
                <w:sz w:val="18"/>
                <w:szCs w:val="18"/>
              </w:rPr>
            </w:pPr>
            <w:r w:rsidRPr="001C3C36">
              <w:rPr>
                <w:rFonts w:ascii="Sylfaen" w:hAnsi="Sylfaen" w:cs="Times New Roman"/>
                <w:b/>
                <w:bCs/>
                <w:noProof/>
                <w:sz w:val="18"/>
                <w:szCs w:val="18"/>
              </w:rPr>
              <w:t>პლაცებო</w:t>
            </w:r>
          </w:p>
        </w:tc>
        <w:tc>
          <w:tcPr>
            <w:tcW w:w="1851" w:type="dxa"/>
          </w:tcPr>
          <w:p w14:paraId="15DD999F" w14:textId="77777777" w:rsidR="00223F44" w:rsidRPr="001C3C36" w:rsidRDefault="00223F44"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p>
          <w:p w14:paraId="48B82BE5" w14:textId="715B3556" w:rsidR="001D1F98" w:rsidRPr="001C3C36" w:rsidRDefault="00223F44" w:rsidP="00BC0A56">
            <w:pPr>
              <w:jc w:val="center"/>
              <w:rPr>
                <w:rFonts w:ascii="Sylfaen" w:hAnsi="Sylfaen" w:cs="Times New Roman"/>
                <w:b/>
                <w:bCs/>
                <w:noProof/>
                <w:sz w:val="18"/>
                <w:szCs w:val="18"/>
              </w:rPr>
            </w:pPr>
            <w:r w:rsidRPr="001C3C36">
              <w:rPr>
                <w:rFonts w:ascii="Sylfaen" w:hAnsi="Sylfaen" w:cs="Times New Roman"/>
                <w:b/>
                <w:bCs/>
                <w:noProof/>
                <w:sz w:val="18"/>
                <w:szCs w:val="18"/>
              </w:rPr>
              <w:t xml:space="preserve">10 </w:t>
            </w:r>
            <w:r w:rsidRPr="001C3C36">
              <w:rPr>
                <w:rFonts w:ascii="Sylfaen" w:hAnsi="Sylfaen" w:cs="Sylfaen"/>
                <w:b/>
                <w:bCs/>
                <w:noProof/>
                <w:sz w:val="18"/>
                <w:szCs w:val="18"/>
              </w:rPr>
              <w:t>მგ</w:t>
            </w:r>
          </w:p>
        </w:tc>
        <w:tc>
          <w:tcPr>
            <w:tcW w:w="1804" w:type="dxa"/>
          </w:tcPr>
          <w:p w14:paraId="5C78D737" w14:textId="5F715505" w:rsidR="001D1F98" w:rsidRPr="001C3C36" w:rsidRDefault="00223F44" w:rsidP="00BC0A56">
            <w:pPr>
              <w:jc w:val="center"/>
              <w:rPr>
                <w:rFonts w:ascii="Sylfaen" w:hAnsi="Sylfaen" w:cs="Times New Roman"/>
                <w:b/>
                <w:bCs/>
                <w:noProof/>
                <w:sz w:val="18"/>
                <w:szCs w:val="18"/>
              </w:rPr>
            </w:pPr>
            <w:r w:rsidRPr="001C3C36">
              <w:rPr>
                <w:rFonts w:ascii="Sylfaen" w:hAnsi="Sylfaen" w:cs="Times New Roman"/>
                <w:b/>
                <w:bCs/>
                <w:noProof/>
                <w:sz w:val="18"/>
                <w:szCs w:val="18"/>
              </w:rPr>
              <w:t>პლაცებო</w:t>
            </w:r>
          </w:p>
        </w:tc>
      </w:tr>
      <w:tr w:rsidR="001D1F98" w:rsidRPr="001C3C36" w14:paraId="1CF81A88" w14:textId="77777777" w:rsidTr="00223F44">
        <w:tc>
          <w:tcPr>
            <w:tcW w:w="3055" w:type="dxa"/>
          </w:tcPr>
          <w:p w14:paraId="5233E1E9" w14:textId="77777777" w:rsidR="001D1F98" w:rsidRPr="001C3C36" w:rsidRDefault="001D1F98" w:rsidP="00BC0A56">
            <w:pPr>
              <w:rPr>
                <w:rFonts w:ascii="Sylfaen" w:hAnsi="Sylfaen" w:cs="Times New Roman"/>
                <w:b/>
                <w:bCs/>
                <w:noProof/>
                <w:sz w:val="18"/>
                <w:szCs w:val="18"/>
              </w:rPr>
            </w:pPr>
            <w:r w:rsidRPr="001C3C36">
              <w:rPr>
                <w:rFonts w:ascii="Sylfaen" w:hAnsi="Sylfaen" w:cs="Times New Roman"/>
                <w:b/>
                <w:bCs/>
                <w:noProof/>
                <w:sz w:val="18"/>
                <w:szCs w:val="18"/>
              </w:rPr>
              <w:t>N</w:t>
            </w:r>
            <w:r w:rsidRPr="001C3C36">
              <w:rPr>
                <w:rFonts w:ascii="Sylfaen" w:hAnsi="Sylfaen" w:cs="Times New Roman"/>
                <w:b/>
                <w:bCs/>
                <w:noProof/>
                <w:sz w:val="18"/>
                <w:szCs w:val="18"/>
                <w:vertAlign w:val="superscript"/>
              </w:rPr>
              <w:t>b</w:t>
            </w:r>
          </w:p>
        </w:tc>
        <w:tc>
          <w:tcPr>
            <w:tcW w:w="884" w:type="dxa"/>
          </w:tcPr>
          <w:p w14:paraId="2B6E9172"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135</w:t>
            </w:r>
          </w:p>
        </w:tc>
        <w:tc>
          <w:tcPr>
            <w:tcW w:w="1803" w:type="dxa"/>
          </w:tcPr>
          <w:p w14:paraId="4BCE882C"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137</w:t>
            </w:r>
          </w:p>
        </w:tc>
        <w:tc>
          <w:tcPr>
            <w:tcW w:w="1851" w:type="dxa"/>
          </w:tcPr>
          <w:p w14:paraId="4D4ADDF2"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223</w:t>
            </w:r>
          </w:p>
        </w:tc>
        <w:tc>
          <w:tcPr>
            <w:tcW w:w="1804" w:type="dxa"/>
          </w:tcPr>
          <w:p w14:paraId="4C315E36"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224</w:t>
            </w:r>
          </w:p>
        </w:tc>
      </w:tr>
      <w:tr w:rsidR="001D1F98" w:rsidRPr="001C3C36" w14:paraId="24EC8E94" w14:textId="77777777" w:rsidTr="00223F44">
        <w:tc>
          <w:tcPr>
            <w:tcW w:w="3055" w:type="dxa"/>
          </w:tcPr>
          <w:p w14:paraId="751E8FDF" w14:textId="77777777" w:rsidR="001D1F98" w:rsidRPr="001C3C36" w:rsidRDefault="001D1F98" w:rsidP="00BC0A56">
            <w:pPr>
              <w:rPr>
                <w:rFonts w:ascii="Sylfaen" w:hAnsi="Sylfaen" w:cs="Times New Roman"/>
                <w:b/>
                <w:bCs/>
                <w:noProof/>
                <w:sz w:val="18"/>
                <w:szCs w:val="18"/>
              </w:rPr>
            </w:pPr>
            <w:r w:rsidRPr="001C3C36">
              <w:rPr>
                <w:rFonts w:ascii="Sylfaen" w:hAnsi="Sylfaen" w:cs="Times New Roman"/>
                <w:b/>
                <w:bCs/>
                <w:noProof/>
                <w:sz w:val="18"/>
                <w:szCs w:val="18"/>
              </w:rPr>
              <w:t>HbA1c (%)</w:t>
            </w:r>
          </w:p>
          <w:p w14:paraId="16FC347F" w14:textId="77777777" w:rsidR="00223F44" w:rsidRPr="001C3C36" w:rsidRDefault="00223F44"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6476A754" w14:textId="77777777" w:rsidR="00223F44" w:rsidRPr="001C3C36" w:rsidRDefault="00223F44"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36FE2E63" w14:textId="10C054B9" w:rsidR="00223F44" w:rsidRPr="001C3C36" w:rsidRDefault="00223F44" w:rsidP="00BC0A56">
            <w:pPr>
              <w:rPr>
                <w:rFonts w:ascii="Sylfaen" w:hAnsi="Sylfaen" w:cs="Times New Roman"/>
                <w:noProof/>
                <w:sz w:val="18"/>
                <w:szCs w:val="18"/>
                <w:vertAlign w:val="superscript"/>
              </w:rPr>
            </w:pPr>
            <w:r w:rsidRPr="001C3C36">
              <w:rPr>
                <w:rFonts w:ascii="Sylfaen" w:hAnsi="Sylfaen" w:cs="Sylfaen"/>
                <w:noProof/>
                <w:sz w:val="18"/>
                <w:szCs w:val="18"/>
              </w:rPr>
              <w:t>პლაცებოსთან შედარებით განსხვავება</w:t>
            </w:r>
            <w:r w:rsidRPr="001C3C36">
              <w:rPr>
                <w:rFonts w:ascii="Sylfaen" w:hAnsi="Sylfaen" w:cs="Sylfaen"/>
                <w:noProof/>
                <w:sz w:val="18"/>
                <w:szCs w:val="18"/>
                <w:vertAlign w:val="superscript"/>
              </w:rPr>
              <w:t>c</w:t>
            </w:r>
          </w:p>
          <w:p w14:paraId="53CB9596" w14:textId="504662E2" w:rsidR="001D1F98" w:rsidRPr="001C3C36" w:rsidRDefault="00223F44" w:rsidP="00BC0A56">
            <w:pPr>
              <w:rPr>
                <w:rFonts w:ascii="Sylfaen" w:hAnsi="Sylfaen" w:cs="Times New Roman"/>
                <w:noProof/>
                <w:sz w:val="18"/>
                <w:szCs w:val="18"/>
              </w:rPr>
            </w:pPr>
            <w:r w:rsidRPr="001C3C36">
              <w:rPr>
                <w:rFonts w:ascii="Sylfaen" w:hAnsi="Sylfaen" w:cs="Times New Roman"/>
                <w:noProof/>
                <w:sz w:val="18"/>
                <w:szCs w:val="18"/>
              </w:rPr>
              <w:t>(95%-</w:t>
            </w:r>
            <w:r w:rsidRPr="001C3C36">
              <w:rPr>
                <w:rFonts w:ascii="Sylfaen" w:hAnsi="Sylfaen" w:cs="Sylfaen"/>
                <w:noProof/>
                <w:sz w:val="18"/>
                <w:szCs w:val="18"/>
              </w:rPr>
              <w:t>იანი</w:t>
            </w:r>
            <w:r w:rsidRPr="001C3C36">
              <w:rPr>
                <w:rFonts w:ascii="Sylfaen" w:hAnsi="Sylfaen" w:cs="Times New Roman"/>
                <w:noProof/>
                <w:sz w:val="18"/>
                <w:szCs w:val="18"/>
              </w:rPr>
              <w:t xml:space="preserve"> </w:t>
            </w:r>
            <w:r w:rsidRPr="001C3C36">
              <w:rPr>
                <w:rFonts w:ascii="Sylfaen" w:hAnsi="Sylfaen" w:cs="Sylfaen"/>
                <w:noProof/>
                <w:sz w:val="18"/>
                <w:szCs w:val="18"/>
              </w:rPr>
              <w:t>სანდოობის</w:t>
            </w:r>
            <w:r w:rsidRPr="001C3C36">
              <w:rPr>
                <w:rFonts w:ascii="Sylfaen" w:hAnsi="Sylfaen" w:cs="Times New Roman"/>
                <w:noProof/>
                <w:sz w:val="18"/>
                <w:szCs w:val="18"/>
              </w:rPr>
              <w:t xml:space="preserve"> </w:t>
            </w:r>
            <w:r w:rsidRPr="001C3C36">
              <w:rPr>
                <w:rFonts w:ascii="Sylfaen" w:hAnsi="Sylfaen" w:cs="Sylfaen"/>
                <w:noProof/>
                <w:sz w:val="18"/>
                <w:szCs w:val="18"/>
              </w:rPr>
              <w:t>ინტერვალი</w:t>
            </w:r>
            <w:r w:rsidRPr="001C3C36">
              <w:rPr>
                <w:rFonts w:ascii="Sylfaen" w:hAnsi="Sylfaen" w:cs="Times New Roman"/>
                <w:noProof/>
                <w:sz w:val="18"/>
                <w:szCs w:val="18"/>
              </w:rPr>
              <w:t>)</w:t>
            </w:r>
          </w:p>
        </w:tc>
        <w:tc>
          <w:tcPr>
            <w:tcW w:w="884" w:type="dxa"/>
          </w:tcPr>
          <w:p w14:paraId="44369088" w14:textId="77777777" w:rsidR="001D1F98" w:rsidRPr="001C3C36" w:rsidRDefault="001D1F98" w:rsidP="00BC0A56">
            <w:pPr>
              <w:jc w:val="center"/>
              <w:rPr>
                <w:rFonts w:ascii="Sylfaen" w:hAnsi="Sylfaen" w:cs="Times New Roman"/>
                <w:b/>
                <w:bCs/>
                <w:noProof/>
                <w:sz w:val="18"/>
                <w:szCs w:val="18"/>
              </w:rPr>
            </w:pPr>
          </w:p>
          <w:p w14:paraId="7C53809A"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7.92</w:t>
            </w:r>
          </w:p>
          <w:p w14:paraId="2A7993ED" w14:textId="77777777" w:rsidR="001D1F98" w:rsidRPr="001C3C36" w:rsidRDefault="001D1F98" w:rsidP="00BC0A56">
            <w:pPr>
              <w:jc w:val="center"/>
              <w:rPr>
                <w:rFonts w:ascii="Sylfaen" w:hAnsi="Sylfaen" w:cs="Times New Roman"/>
                <w:noProof/>
                <w:sz w:val="18"/>
                <w:szCs w:val="18"/>
              </w:rPr>
            </w:pPr>
          </w:p>
          <w:p w14:paraId="152CA7DE"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-0.84</w:t>
            </w:r>
          </w:p>
          <w:p w14:paraId="6D30AF09" w14:textId="77777777" w:rsidR="001D1F98" w:rsidRPr="001C3C36" w:rsidRDefault="001D1F98" w:rsidP="00BC0A56">
            <w:pPr>
              <w:jc w:val="center"/>
              <w:rPr>
                <w:rFonts w:ascii="Sylfaen" w:hAnsi="Sylfaen" w:cs="Times New Roman"/>
                <w:noProof/>
                <w:sz w:val="18"/>
                <w:szCs w:val="18"/>
              </w:rPr>
            </w:pPr>
          </w:p>
          <w:p w14:paraId="7FB7DFBB"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-0.54</w:t>
            </w:r>
            <w:r w:rsidRPr="001C3C36">
              <w:rPr>
                <w:rFonts w:ascii="Sylfaen" w:hAnsi="Sylfaen" w:cs="Times New Roman"/>
                <w:noProof/>
                <w:sz w:val="18"/>
                <w:szCs w:val="18"/>
                <w:vertAlign w:val="superscript"/>
              </w:rPr>
              <w:t>*</w:t>
            </w:r>
          </w:p>
          <w:p w14:paraId="4C0F05B0"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(-0.74, -0.34)</w:t>
            </w:r>
          </w:p>
        </w:tc>
        <w:tc>
          <w:tcPr>
            <w:tcW w:w="1803" w:type="dxa"/>
          </w:tcPr>
          <w:p w14:paraId="775A1B68" w14:textId="77777777" w:rsidR="001D1F98" w:rsidRPr="001C3C36" w:rsidRDefault="001D1F98" w:rsidP="00BC0A56">
            <w:pPr>
              <w:jc w:val="center"/>
              <w:rPr>
                <w:rFonts w:ascii="Sylfaen" w:hAnsi="Sylfaen" w:cs="Times New Roman"/>
                <w:b/>
                <w:bCs/>
                <w:noProof/>
                <w:sz w:val="18"/>
                <w:szCs w:val="18"/>
              </w:rPr>
            </w:pPr>
          </w:p>
          <w:p w14:paraId="56DA6941"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8.11</w:t>
            </w:r>
          </w:p>
          <w:p w14:paraId="1404C1DA" w14:textId="77777777" w:rsidR="001D1F98" w:rsidRPr="001C3C36" w:rsidRDefault="001D1F98" w:rsidP="00BC0A56">
            <w:pPr>
              <w:jc w:val="center"/>
              <w:rPr>
                <w:rFonts w:ascii="Sylfaen" w:hAnsi="Sylfaen" w:cs="Times New Roman"/>
                <w:noProof/>
                <w:sz w:val="18"/>
                <w:szCs w:val="18"/>
              </w:rPr>
            </w:pPr>
          </w:p>
          <w:p w14:paraId="158D7681"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-0.30</w:t>
            </w:r>
          </w:p>
        </w:tc>
        <w:tc>
          <w:tcPr>
            <w:tcW w:w="1851" w:type="dxa"/>
          </w:tcPr>
          <w:p w14:paraId="6F07F014" w14:textId="77777777" w:rsidR="001D1F98" w:rsidRPr="001C3C36" w:rsidRDefault="001D1F98" w:rsidP="00BC0A56">
            <w:pPr>
              <w:jc w:val="center"/>
              <w:rPr>
                <w:rFonts w:ascii="Sylfaen" w:hAnsi="Sylfaen" w:cs="Times New Roman"/>
                <w:b/>
                <w:bCs/>
                <w:noProof/>
                <w:sz w:val="18"/>
                <w:szCs w:val="18"/>
              </w:rPr>
            </w:pPr>
          </w:p>
          <w:p w14:paraId="1E921878"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7.90</w:t>
            </w:r>
          </w:p>
          <w:p w14:paraId="65C167F7" w14:textId="77777777" w:rsidR="001D1F98" w:rsidRPr="001C3C36" w:rsidRDefault="001D1F98" w:rsidP="00BC0A56">
            <w:pPr>
              <w:jc w:val="center"/>
              <w:rPr>
                <w:rFonts w:ascii="Sylfaen" w:hAnsi="Sylfaen" w:cs="Times New Roman"/>
                <w:noProof/>
                <w:sz w:val="18"/>
                <w:szCs w:val="18"/>
              </w:rPr>
            </w:pPr>
          </w:p>
          <w:p w14:paraId="47BE6DA9"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-0.45</w:t>
            </w:r>
          </w:p>
          <w:p w14:paraId="6F81BAB1" w14:textId="77777777" w:rsidR="001D1F98" w:rsidRPr="001C3C36" w:rsidRDefault="001D1F98" w:rsidP="00BC0A56">
            <w:pPr>
              <w:jc w:val="center"/>
              <w:rPr>
                <w:rFonts w:ascii="Sylfaen" w:hAnsi="Sylfaen" w:cs="Times New Roman"/>
                <w:noProof/>
                <w:sz w:val="18"/>
                <w:szCs w:val="18"/>
              </w:rPr>
            </w:pPr>
          </w:p>
          <w:p w14:paraId="5EE41162"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-0.48</w:t>
            </w:r>
            <w:r w:rsidRPr="001C3C36">
              <w:rPr>
                <w:rFonts w:ascii="Sylfaen" w:hAnsi="Sylfaen" w:cs="Times New Roman"/>
                <w:noProof/>
                <w:sz w:val="18"/>
                <w:szCs w:val="18"/>
                <w:vertAlign w:val="superscript"/>
              </w:rPr>
              <w:t>*</w:t>
            </w:r>
          </w:p>
          <w:p w14:paraId="6E7BCAD2"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(-0.62, -0.34)</w:t>
            </w:r>
          </w:p>
        </w:tc>
        <w:tc>
          <w:tcPr>
            <w:tcW w:w="1804" w:type="dxa"/>
          </w:tcPr>
          <w:p w14:paraId="1E20BB8C" w14:textId="77777777" w:rsidR="001D1F98" w:rsidRPr="001C3C36" w:rsidRDefault="001D1F98" w:rsidP="00BC0A56">
            <w:pPr>
              <w:jc w:val="center"/>
              <w:rPr>
                <w:rFonts w:ascii="Sylfaen" w:hAnsi="Sylfaen" w:cs="Times New Roman"/>
                <w:b/>
                <w:bCs/>
                <w:noProof/>
                <w:sz w:val="18"/>
                <w:szCs w:val="18"/>
              </w:rPr>
            </w:pPr>
          </w:p>
          <w:p w14:paraId="68C7BB01"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7.97</w:t>
            </w:r>
          </w:p>
          <w:p w14:paraId="515E0AB3" w14:textId="77777777" w:rsidR="001D1F98" w:rsidRPr="001C3C36" w:rsidRDefault="001D1F98" w:rsidP="00BC0A56">
            <w:pPr>
              <w:jc w:val="center"/>
              <w:rPr>
                <w:rFonts w:ascii="Sylfaen" w:hAnsi="Sylfaen" w:cs="Times New Roman"/>
                <w:noProof/>
                <w:sz w:val="18"/>
                <w:szCs w:val="18"/>
              </w:rPr>
            </w:pPr>
          </w:p>
          <w:p w14:paraId="1FCD601A"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t>0.04</w:t>
            </w:r>
          </w:p>
        </w:tc>
      </w:tr>
      <w:tr w:rsidR="001D1F98" w:rsidRPr="001C3C36" w14:paraId="6A573D91" w14:textId="77777777" w:rsidTr="00223F44">
        <w:trPr>
          <w:trHeight w:val="786"/>
        </w:trPr>
        <w:tc>
          <w:tcPr>
            <w:tcW w:w="3055" w:type="dxa"/>
          </w:tcPr>
          <w:p w14:paraId="06D1EEA6" w14:textId="77777777" w:rsidR="00223F44" w:rsidRPr="001C3C36" w:rsidRDefault="00223F44" w:rsidP="00BC0A56">
            <w:pPr>
              <w:rPr>
                <w:rFonts w:ascii="Sylfaen" w:hAnsi="Sylfaen" w:cs="Times New Roman"/>
                <w:b/>
                <w:bCs/>
                <w:noProof/>
                <w:sz w:val="18"/>
                <w:szCs w:val="18"/>
              </w:rPr>
            </w:pPr>
            <w:r w:rsidRPr="001C3C36">
              <w:rPr>
                <w:rFonts w:ascii="Sylfaen" w:hAnsi="Sylfaen" w:cs="Sylfaen"/>
                <w:b/>
                <w:bCs/>
                <w:noProof/>
                <w:sz w:val="18"/>
                <w:szCs w:val="18"/>
              </w:rPr>
              <w:t>სუბიექტები</w:t>
            </w:r>
            <w:r w:rsidRPr="001C3C36">
              <w:rPr>
                <w:rFonts w:ascii="Sylfaen" w:hAnsi="Sylfaen" w:cs="Times New Roman"/>
                <w:b/>
                <w:bCs/>
                <w:noProof/>
                <w:sz w:val="18"/>
                <w:szCs w:val="18"/>
              </w:rPr>
              <w:t xml:space="preserve"> (%), </w:t>
            </w:r>
            <w:r w:rsidRPr="001C3C36">
              <w:rPr>
                <w:rFonts w:ascii="Sylfaen" w:hAnsi="Sylfaen" w:cs="Sylfaen"/>
                <w:b/>
                <w:bCs/>
                <w:noProof/>
                <w:sz w:val="18"/>
                <w:szCs w:val="18"/>
              </w:rPr>
              <w:t>რომლებმაც</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მიაღწიეს</w:t>
            </w:r>
            <w:r w:rsidRPr="001C3C36">
              <w:rPr>
                <w:rFonts w:ascii="Sylfaen" w:hAnsi="Sylfaen" w:cs="Times New Roman"/>
                <w:b/>
                <w:bCs/>
                <w:noProof/>
                <w:sz w:val="18"/>
                <w:szCs w:val="18"/>
              </w:rPr>
              <w:t>: HbA1c &lt; 7%</w:t>
            </w:r>
          </w:p>
          <w:p w14:paraId="40EE82CF" w14:textId="56660EAC" w:rsidR="001D1F98" w:rsidRPr="001C3C36" w:rsidRDefault="00223F44"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მაჩვენებლის</w:t>
            </w:r>
            <w:r w:rsidRPr="001C3C36">
              <w:rPr>
                <w:rFonts w:ascii="Sylfaen" w:hAnsi="Sylfaen" w:cs="Times New Roman"/>
                <w:noProof/>
                <w:sz w:val="18"/>
                <w:szCs w:val="18"/>
              </w:rPr>
              <w:t xml:space="preserve"> </w:t>
            </w:r>
            <w:r w:rsidRPr="001C3C36">
              <w:rPr>
                <w:rFonts w:ascii="Sylfaen" w:hAnsi="Sylfaen" w:cs="Sylfaen"/>
                <w:noProof/>
                <w:sz w:val="18"/>
                <w:szCs w:val="18"/>
              </w:rPr>
              <w:t>მიხედვით</w:t>
            </w:r>
            <w:r w:rsidRPr="001C3C36">
              <w:rPr>
                <w:rFonts w:ascii="Sylfaen" w:hAnsi="Sylfaen" w:cs="Times New Roman"/>
                <w:noProof/>
                <w:sz w:val="18"/>
                <w:szCs w:val="18"/>
              </w:rPr>
              <w:t xml:space="preserve"> </w:t>
            </w:r>
            <w:r w:rsidRPr="001C3C36">
              <w:rPr>
                <w:rFonts w:ascii="Sylfaen" w:hAnsi="Sylfaen" w:cs="Sylfaen"/>
                <w:noProof/>
                <w:sz w:val="18"/>
                <w:szCs w:val="18"/>
              </w:rPr>
              <w:t>კორექტირებული</w:t>
            </w:r>
          </w:p>
        </w:tc>
        <w:tc>
          <w:tcPr>
            <w:tcW w:w="884" w:type="dxa"/>
          </w:tcPr>
          <w:p w14:paraId="191D1D03" w14:textId="77777777" w:rsidR="001D1F98" w:rsidRPr="001C3C36" w:rsidRDefault="001D1F98" w:rsidP="00BC0A56">
            <w:pPr>
              <w:jc w:val="center"/>
              <w:rPr>
                <w:rFonts w:ascii="Sylfaen" w:hAnsi="Sylfaen" w:cs="Times New Roman"/>
                <w:noProof/>
                <w:sz w:val="18"/>
                <w:szCs w:val="18"/>
              </w:rPr>
            </w:pPr>
          </w:p>
          <w:p w14:paraId="0CEEBF74" w14:textId="77777777" w:rsidR="001D1F98" w:rsidRPr="001C3C36" w:rsidRDefault="001D1F98" w:rsidP="00BC0A56">
            <w:pPr>
              <w:jc w:val="center"/>
              <w:rPr>
                <w:rFonts w:ascii="Sylfaen" w:hAnsi="Sylfaen" w:cs="Times New Roman"/>
                <w:noProof/>
                <w:sz w:val="18"/>
                <w:szCs w:val="18"/>
              </w:rPr>
            </w:pPr>
          </w:p>
          <w:p w14:paraId="3E3383EE" w14:textId="77777777" w:rsidR="001D1F98" w:rsidRPr="001C3C36" w:rsidRDefault="001D1F98" w:rsidP="00BC0A56">
            <w:pPr>
              <w:jc w:val="center"/>
              <w:rPr>
                <w:rFonts w:ascii="Sylfaen" w:hAnsi="Sylfaen" w:cs="Times New Roman"/>
                <w:noProof/>
                <w:sz w:val="18"/>
                <w:szCs w:val="18"/>
              </w:rPr>
            </w:pPr>
          </w:p>
          <w:p w14:paraId="5959238A" w14:textId="77777777" w:rsidR="001D1F98" w:rsidRPr="001C3C36" w:rsidRDefault="001D1F98" w:rsidP="00BC0A56">
            <w:pPr>
              <w:jc w:val="center"/>
              <w:rPr>
                <w:rFonts w:ascii="Sylfaen" w:hAnsi="Sylfaen" w:cs="Times New Roman"/>
                <w:noProof/>
                <w:sz w:val="18"/>
                <w:szCs w:val="18"/>
              </w:rPr>
            </w:pPr>
          </w:p>
          <w:p w14:paraId="4BB55C6B"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lastRenderedPageBreak/>
              <w:t>40.6</w:t>
            </w:r>
            <w:r w:rsidRPr="001C3C36">
              <w:rPr>
                <w:rFonts w:ascii="Sylfaen" w:hAnsi="Sylfaen" w:cs="Times New Roman"/>
                <w:noProof/>
                <w:sz w:val="18"/>
                <w:szCs w:val="18"/>
                <w:vertAlign w:val="superscript"/>
              </w:rPr>
              <w:t>**</w:t>
            </w:r>
          </w:p>
        </w:tc>
        <w:tc>
          <w:tcPr>
            <w:tcW w:w="1803" w:type="dxa"/>
          </w:tcPr>
          <w:p w14:paraId="07A7554F" w14:textId="77777777" w:rsidR="001D1F98" w:rsidRPr="001C3C36" w:rsidRDefault="001D1F98" w:rsidP="00BC0A56">
            <w:pPr>
              <w:jc w:val="center"/>
              <w:rPr>
                <w:rFonts w:ascii="Sylfaen" w:hAnsi="Sylfaen" w:cs="Times New Roman"/>
                <w:b/>
                <w:bCs/>
                <w:noProof/>
                <w:sz w:val="18"/>
                <w:szCs w:val="18"/>
              </w:rPr>
            </w:pPr>
          </w:p>
          <w:p w14:paraId="39806269" w14:textId="77777777" w:rsidR="001D1F98" w:rsidRPr="001C3C36" w:rsidRDefault="001D1F98" w:rsidP="00BC0A56">
            <w:pPr>
              <w:jc w:val="center"/>
              <w:rPr>
                <w:rFonts w:ascii="Sylfaen" w:hAnsi="Sylfaen" w:cs="Times New Roman"/>
                <w:b/>
                <w:bCs/>
                <w:noProof/>
                <w:sz w:val="18"/>
                <w:szCs w:val="18"/>
              </w:rPr>
            </w:pPr>
          </w:p>
          <w:p w14:paraId="0D4C1E27" w14:textId="77777777" w:rsidR="001D1F98" w:rsidRPr="001C3C36" w:rsidRDefault="001D1F98" w:rsidP="00BC0A56">
            <w:pPr>
              <w:jc w:val="center"/>
              <w:rPr>
                <w:rFonts w:ascii="Sylfaen" w:hAnsi="Sylfaen" w:cs="Times New Roman"/>
                <w:b/>
                <w:bCs/>
                <w:noProof/>
                <w:sz w:val="18"/>
                <w:szCs w:val="18"/>
              </w:rPr>
            </w:pPr>
          </w:p>
          <w:p w14:paraId="3C2D8700" w14:textId="77777777" w:rsidR="001D1F98" w:rsidRPr="001C3C36" w:rsidRDefault="001D1F98" w:rsidP="00BC0A56">
            <w:pPr>
              <w:jc w:val="center"/>
              <w:rPr>
                <w:rFonts w:ascii="Sylfaen" w:hAnsi="Sylfaen" w:cs="Times New Roman"/>
                <w:b/>
                <w:bCs/>
                <w:noProof/>
                <w:sz w:val="18"/>
                <w:szCs w:val="18"/>
              </w:rPr>
            </w:pPr>
          </w:p>
          <w:p w14:paraId="39A0D3C2" w14:textId="77777777" w:rsidR="001D1F98" w:rsidRPr="001C3C36" w:rsidRDefault="001D1F98" w:rsidP="00BC0A56">
            <w:pPr>
              <w:jc w:val="center"/>
              <w:rPr>
                <w:rFonts w:ascii="Sylfaen" w:hAnsi="Sylfaen" w:cs="Times New Roman"/>
                <w:noProof/>
                <w:sz w:val="18"/>
                <w:szCs w:val="18"/>
              </w:rPr>
            </w:pPr>
            <w:r w:rsidRPr="001C3C36">
              <w:rPr>
                <w:rFonts w:ascii="Sylfaen" w:hAnsi="Sylfaen" w:cs="Times New Roman"/>
                <w:noProof/>
                <w:sz w:val="18"/>
                <w:szCs w:val="18"/>
              </w:rPr>
              <w:lastRenderedPageBreak/>
              <w:t>25.9</w:t>
            </w:r>
          </w:p>
        </w:tc>
        <w:tc>
          <w:tcPr>
            <w:tcW w:w="1851" w:type="dxa"/>
          </w:tcPr>
          <w:p w14:paraId="69E87B43" w14:textId="77777777" w:rsidR="001D1F98" w:rsidRPr="001C3C36" w:rsidRDefault="001D1F98" w:rsidP="00BC0A56">
            <w:pPr>
              <w:jc w:val="center"/>
              <w:rPr>
                <w:rFonts w:ascii="Sylfaen" w:hAnsi="Sylfaen" w:cs="Times New Roman"/>
                <w:b/>
                <w:bCs/>
                <w:noProof/>
                <w:sz w:val="18"/>
                <w:szCs w:val="18"/>
              </w:rPr>
            </w:pPr>
          </w:p>
        </w:tc>
        <w:tc>
          <w:tcPr>
            <w:tcW w:w="1804" w:type="dxa"/>
          </w:tcPr>
          <w:p w14:paraId="16CDA59D" w14:textId="77777777" w:rsidR="001D1F98" w:rsidRPr="001C3C36" w:rsidRDefault="001D1F98" w:rsidP="00BC0A56">
            <w:pPr>
              <w:jc w:val="center"/>
              <w:rPr>
                <w:rFonts w:ascii="Sylfaen" w:hAnsi="Sylfaen" w:cs="Times New Roman"/>
                <w:b/>
                <w:bCs/>
                <w:noProof/>
                <w:sz w:val="18"/>
                <w:szCs w:val="18"/>
              </w:rPr>
            </w:pPr>
          </w:p>
        </w:tc>
      </w:tr>
      <w:tr w:rsidR="001D1F98" w:rsidRPr="001C3C36" w14:paraId="23088987" w14:textId="77777777" w:rsidTr="00223F44">
        <w:tc>
          <w:tcPr>
            <w:tcW w:w="3055" w:type="dxa"/>
          </w:tcPr>
          <w:p w14:paraId="2FE1D318" w14:textId="3C8E69B6" w:rsidR="001D1F98" w:rsidRPr="001C3C36" w:rsidRDefault="00223F44" w:rsidP="00BC0A56">
            <w:pPr>
              <w:rPr>
                <w:rFonts w:ascii="Sylfaen" w:hAnsi="Sylfaen" w:cs="Times New Roman"/>
                <w:b/>
                <w:bCs/>
                <w:noProof/>
                <w:sz w:val="18"/>
                <w:szCs w:val="18"/>
              </w:rPr>
            </w:pPr>
            <w:r w:rsidRPr="001C3C36">
              <w:rPr>
                <w:rFonts w:ascii="Sylfaen" w:hAnsi="Sylfaen" w:cs="Times New Roman"/>
                <w:b/>
                <w:bCs/>
                <w:noProof/>
                <w:sz w:val="18"/>
                <w:szCs w:val="18"/>
              </w:rPr>
              <w:t>სხეულის წონა</w:t>
            </w:r>
            <w:r w:rsidR="001D1F98" w:rsidRPr="001C3C36">
              <w:rPr>
                <w:rFonts w:ascii="Sylfaen" w:hAnsi="Sylfaen" w:cs="Times New Roman"/>
                <w:b/>
                <w:bCs/>
                <w:noProof/>
                <w:sz w:val="18"/>
                <w:szCs w:val="18"/>
              </w:rPr>
              <w:t xml:space="preserve"> (</w:t>
            </w:r>
            <w:r w:rsidRPr="001C3C36">
              <w:rPr>
                <w:rFonts w:ascii="Sylfaen" w:hAnsi="Sylfaen" w:cs="Times New Roman"/>
                <w:b/>
                <w:bCs/>
                <w:noProof/>
                <w:sz w:val="18"/>
                <w:szCs w:val="18"/>
              </w:rPr>
              <w:t>კგ</w:t>
            </w:r>
            <w:r w:rsidR="001D1F98" w:rsidRPr="001C3C36">
              <w:rPr>
                <w:rFonts w:ascii="Sylfaen" w:hAnsi="Sylfaen" w:cs="Times New Roman"/>
                <w:b/>
                <w:bCs/>
                <w:noProof/>
                <w:sz w:val="18"/>
                <w:szCs w:val="18"/>
              </w:rPr>
              <w:t>)</w:t>
            </w:r>
          </w:p>
          <w:p w14:paraId="2600109B" w14:textId="77777777" w:rsidR="00223F44" w:rsidRPr="001C3C36" w:rsidRDefault="00223F44"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6B89D1B7" w14:textId="77777777" w:rsidR="00223F44" w:rsidRPr="001C3C36" w:rsidRDefault="00223F44"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213F374B" w14:textId="77777777" w:rsidR="00223F44" w:rsidRPr="001C3C36" w:rsidRDefault="00223F44" w:rsidP="00BC0A56">
            <w:pPr>
              <w:rPr>
                <w:rFonts w:ascii="Sylfaen" w:hAnsi="Sylfaen" w:cs="Times New Roman"/>
                <w:noProof/>
                <w:sz w:val="18"/>
                <w:szCs w:val="18"/>
                <w:vertAlign w:val="superscript"/>
              </w:rPr>
            </w:pPr>
            <w:r w:rsidRPr="001C3C36">
              <w:rPr>
                <w:rFonts w:ascii="Sylfaen" w:hAnsi="Sylfaen" w:cs="Sylfaen"/>
                <w:noProof/>
                <w:sz w:val="18"/>
                <w:szCs w:val="18"/>
              </w:rPr>
              <w:t>პლაცებოსთან შედარებით განსხვავება</w:t>
            </w:r>
            <w:r w:rsidRPr="001C3C36">
              <w:rPr>
                <w:rFonts w:ascii="Sylfaen" w:hAnsi="Sylfaen" w:cs="Sylfaen"/>
                <w:noProof/>
                <w:sz w:val="18"/>
                <w:szCs w:val="18"/>
                <w:vertAlign w:val="superscript"/>
              </w:rPr>
              <w:t>c</w:t>
            </w:r>
          </w:p>
          <w:p w14:paraId="5FC5F69E" w14:textId="1138FB9C" w:rsidR="001D1F98" w:rsidRPr="001C3C36" w:rsidRDefault="00223F44" w:rsidP="00BC0A56">
            <w:pPr>
              <w:rPr>
                <w:rFonts w:ascii="Sylfaen" w:hAnsi="Sylfaen" w:cs="Times New Roman"/>
                <w:noProof/>
                <w:sz w:val="18"/>
                <w:szCs w:val="18"/>
              </w:rPr>
            </w:pPr>
            <w:r w:rsidRPr="001C3C36">
              <w:rPr>
                <w:rFonts w:ascii="Sylfaen" w:hAnsi="Sylfaen" w:cs="Times New Roman"/>
                <w:noProof/>
                <w:sz w:val="18"/>
                <w:szCs w:val="18"/>
              </w:rPr>
              <w:t>(95%-</w:t>
            </w:r>
            <w:r w:rsidRPr="001C3C36">
              <w:rPr>
                <w:rFonts w:ascii="Sylfaen" w:hAnsi="Sylfaen" w:cs="Sylfaen"/>
                <w:noProof/>
                <w:sz w:val="18"/>
                <w:szCs w:val="18"/>
              </w:rPr>
              <w:t>იანი</w:t>
            </w:r>
            <w:r w:rsidRPr="001C3C36">
              <w:rPr>
                <w:rFonts w:ascii="Sylfaen" w:hAnsi="Sylfaen" w:cs="Times New Roman"/>
                <w:noProof/>
                <w:sz w:val="18"/>
                <w:szCs w:val="18"/>
              </w:rPr>
              <w:t xml:space="preserve"> </w:t>
            </w:r>
            <w:r w:rsidRPr="001C3C36">
              <w:rPr>
                <w:rFonts w:ascii="Sylfaen" w:hAnsi="Sylfaen" w:cs="Sylfaen"/>
                <w:noProof/>
                <w:sz w:val="18"/>
                <w:szCs w:val="18"/>
              </w:rPr>
              <w:t>სანდოობის</w:t>
            </w:r>
            <w:r w:rsidRPr="001C3C36">
              <w:rPr>
                <w:rFonts w:ascii="Sylfaen" w:hAnsi="Sylfaen" w:cs="Times New Roman"/>
                <w:noProof/>
                <w:sz w:val="18"/>
                <w:szCs w:val="18"/>
              </w:rPr>
              <w:t xml:space="preserve"> </w:t>
            </w:r>
            <w:r w:rsidRPr="001C3C36">
              <w:rPr>
                <w:rFonts w:ascii="Sylfaen" w:hAnsi="Sylfaen" w:cs="Sylfaen"/>
                <w:noProof/>
                <w:sz w:val="18"/>
                <w:szCs w:val="18"/>
              </w:rPr>
              <w:t>ინტერვალი</w:t>
            </w:r>
            <w:r w:rsidRPr="001C3C36">
              <w:rPr>
                <w:rFonts w:ascii="Sylfaen" w:hAnsi="Sylfaen" w:cs="Times New Roman"/>
                <w:noProof/>
                <w:sz w:val="18"/>
                <w:szCs w:val="18"/>
              </w:rPr>
              <w:t>)</w:t>
            </w:r>
          </w:p>
        </w:tc>
        <w:tc>
          <w:tcPr>
            <w:tcW w:w="884" w:type="dxa"/>
          </w:tcPr>
          <w:p w14:paraId="4892FF16" w14:textId="77777777" w:rsidR="001D1F98" w:rsidRPr="001C3C36" w:rsidRDefault="001D1F98" w:rsidP="00BC0A56">
            <w:pPr>
              <w:rPr>
                <w:rFonts w:ascii="Sylfaen" w:hAnsi="Sylfaen" w:cs="Times New Roman"/>
                <w:b/>
                <w:bCs/>
                <w:noProof/>
                <w:sz w:val="18"/>
                <w:szCs w:val="18"/>
              </w:rPr>
            </w:pPr>
          </w:p>
          <w:p w14:paraId="4A50DA37" w14:textId="77777777" w:rsidR="001D1F98" w:rsidRPr="001C3C36" w:rsidRDefault="001D1F98" w:rsidP="00BC0A56">
            <w:pPr>
              <w:rPr>
                <w:rFonts w:ascii="Sylfaen" w:hAnsi="Sylfaen" w:cs="Times New Roman"/>
                <w:b/>
                <w:bCs/>
                <w:noProof/>
                <w:sz w:val="18"/>
                <w:szCs w:val="18"/>
              </w:rPr>
            </w:pPr>
          </w:p>
          <w:p w14:paraId="1AD0470D"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86.28</w:t>
            </w:r>
          </w:p>
          <w:p w14:paraId="434273BF" w14:textId="77777777" w:rsidR="001D1F98" w:rsidRPr="001C3C36" w:rsidRDefault="001D1F98" w:rsidP="00BC0A56">
            <w:pPr>
              <w:rPr>
                <w:rFonts w:ascii="Sylfaen" w:hAnsi="Sylfaen" w:cs="Times New Roman"/>
                <w:noProof/>
                <w:sz w:val="18"/>
                <w:szCs w:val="18"/>
              </w:rPr>
            </w:pPr>
          </w:p>
          <w:p w14:paraId="675F3ECD"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-2.86</w:t>
            </w:r>
          </w:p>
          <w:p w14:paraId="4BF92533" w14:textId="77777777" w:rsidR="001D1F98" w:rsidRPr="001C3C36" w:rsidRDefault="001D1F98" w:rsidP="00BC0A56">
            <w:pPr>
              <w:rPr>
                <w:rFonts w:ascii="Sylfaen" w:hAnsi="Sylfaen" w:cs="Times New Roman"/>
                <w:noProof/>
                <w:sz w:val="18"/>
                <w:szCs w:val="18"/>
              </w:rPr>
            </w:pPr>
          </w:p>
          <w:p w14:paraId="3014F07E"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-1.97</w:t>
            </w:r>
            <w:r w:rsidRPr="001C3C36">
              <w:rPr>
                <w:rFonts w:ascii="Sylfaen" w:hAnsi="Sylfaen" w:cs="Times New Roman"/>
                <w:noProof/>
                <w:sz w:val="18"/>
                <w:szCs w:val="18"/>
                <w:vertAlign w:val="superscript"/>
              </w:rPr>
              <w:t>*</w:t>
            </w:r>
          </w:p>
          <w:p w14:paraId="2E5AD8E2"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(-2.63, -1.31)</w:t>
            </w:r>
          </w:p>
        </w:tc>
        <w:tc>
          <w:tcPr>
            <w:tcW w:w="1803" w:type="dxa"/>
          </w:tcPr>
          <w:p w14:paraId="6E3F1809" w14:textId="77777777" w:rsidR="001D1F98" w:rsidRPr="001C3C36" w:rsidRDefault="001D1F98" w:rsidP="00BC0A56">
            <w:pPr>
              <w:rPr>
                <w:rFonts w:ascii="Sylfaen" w:hAnsi="Sylfaen" w:cs="Times New Roman"/>
                <w:b/>
                <w:bCs/>
                <w:noProof/>
                <w:sz w:val="18"/>
                <w:szCs w:val="18"/>
              </w:rPr>
            </w:pPr>
          </w:p>
          <w:p w14:paraId="058A0B7B" w14:textId="77777777" w:rsidR="001D1F98" w:rsidRPr="001C3C36" w:rsidRDefault="001D1F98" w:rsidP="00BC0A56">
            <w:pPr>
              <w:rPr>
                <w:rFonts w:ascii="Sylfaen" w:hAnsi="Sylfaen" w:cs="Times New Roman"/>
                <w:b/>
                <w:bCs/>
                <w:noProof/>
                <w:sz w:val="18"/>
                <w:szCs w:val="18"/>
              </w:rPr>
            </w:pPr>
          </w:p>
          <w:p w14:paraId="1BE72B0D"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87.74</w:t>
            </w:r>
          </w:p>
          <w:p w14:paraId="0E6B6280" w14:textId="77777777" w:rsidR="001D1F98" w:rsidRPr="001C3C36" w:rsidRDefault="001D1F98" w:rsidP="00BC0A56">
            <w:pPr>
              <w:rPr>
                <w:rFonts w:ascii="Sylfaen" w:hAnsi="Sylfaen" w:cs="Times New Roman"/>
                <w:noProof/>
                <w:sz w:val="18"/>
                <w:szCs w:val="18"/>
              </w:rPr>
            </w:pPr>
          </w:p>
          <w:p w14:paraId="48AE74A2"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-0.89</w:t>
            </w:r>
          </w:p>
        </w:tc>
        <w:tc>
          <w:tcPr>
            <w:tcW w:w="1851" w:type="dxa"/>
          </w:tcPr>
          <w:p w14:paraId="67BD442A" w14:textId="77777777" w:rsidR="001D1F98" w:rsidRPr="001C3C36" w:rsidRDefault="001D1F98" w:rsidP="00BC0A56">
            <w:pPr>
              <w:rPr>
                <w:rFonts w:ascii="Sylfaen" w:hAnsi="Sylfaen" w:cs="Times New Roman"/>
                <w:b/>
                <w:bCs/>
                <w:noProof/>
                <w:sz w:val="18"/>
                <w:szCs w:val="18"/>
              </w:rPr>
            </w:pPr>
          </w:p>
          <w:p w14:paraId="62ECECE0" w14:textId="77777777" w:rsidR="001D1F98" w:rsidRPr="001C3C36" w:rsidRDefault="001D1F98" w:rsidP="00BC0A56">
            <w:pPr>
              <w:rPr>
                <w:rFonts w:ascii="Sylfaen" w:hAnsi="Sylfaen" w:cs="Times New Roman"/>
                <w:b/>
                <w:bCs/>
                <w:noProof/>
                <w:sz w:val="18"/>
                <w:szCs w:val="18"/>
              </w:rPr>
            </w:pPr>
          </w:p>
          <w:p w14:paraId="3648439D"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91.02</w:t>
            </w:r>
          </w:p>
          <w:p w14:paraId="0D56A9A4" w14:textId="77777777" w:rsidR="001D1F98" w:rsidRPr="001C3C36" w:rsidRDefault="001D1F98" w:rsidP="00BC0A56">
            <w:pPr>
              <w:rPr>
                <w:rFonts w:ascii="Sylfaen" w:hAnsi="Sylfaen" w:cs="Times New Roman"/>
                <w:noProof/>
                <w:sz w:val="18"/>
                <w:szCs w:val="18"/>
              </w:rPr>
            </w:pPr>
          </w:p>
          <w:p w14:paraId="50B6B69E"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-2.14</w:t>
            </w:r>
          </w:p>
          <w:p w14:paraId="0C88B487" w14:textId="77777777" w:rsidR="001D1F98" w:rsidRPr="001C3C36" w:rsidRDefault="001D1F98" w:rsidP="00BC0A56">
            <w:pPr>
              <w:rPr>
                <w:rFonts w:ascii="Sylfaen" w:hAnsi="Sylfaen" w:cs="Times New Roman"/>
                <w:noProof/>
                <w:sz w:val="18"/>
                <w:szCs w:val="18"/>
              </w:rPr>
            </w:pPr>
          </w:p>
          <w:p w14:paraId="73824C72"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-1.89</w:t>
            </w:r>
            <w:r w:rsidRPr="001C3C36">
              <w:rPr>
                <w:rFonts w:ascii="Sylfaen" w:hAnsi="Sylfaen" w:cs="Times New Roman"/>
                <w:noProof/>
                <w:sz w:val="18"/>
                <w:szCs w:val="18"/>
                <w:vertAlign w:val="superscript"/>
              </w:rPr>
              <w:t>*</w:t>
            </w:r>
          </w:p>
          <w:p w14:paraId="68BBB476"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(-2.37, -1.40)</w:t>
            </w:r>
          </w:p>
        </w:tc>
        <w:tc>
          <w:tcPr>
            <w:tcW w:w="1804" w:type="dxa"/>
          </w:tcPr>
          <w:p w14:paraId="0407073C" w14:textId="77777777" w:rsidR="001D1F98" w:rsidRPr="001C3C36" w:rsidRDefault="001D1F98" w:rsidP="00BC0A56">
            <w:pPr>
              <w:rPr>
                <w:rFonts w:ascii="Sylfaen" w:hAnsi="Sylfaen" w:cs="Times New Roman"/>
                <w:b/>
                <w:bCs/>
                <w:noProof/>
                <w:sz w:val="18"/>
                <w:szCs w:val="18"/>
              </w:rPr>
            </w:pPr>
          </w:p>
          <w:p w14:paraId="1CAD3FA6" w14:textId="77777777" w:rsidR="001D1F98" w:rsidRPr="001C3C36" w:rsidRDefault="001D1F98" w:rsidP="00BC0A56">
            <w:pPr>
              <w:rPr>
                <w:rFonts w:ascii="Sylfaen" w:hAnsi="Sylfaen" w:cs="Times New Roman"/>
                <w:b/>
                <w:bCs/>
                <w:noProof/>
                <w:sz w:val="18"/>
                <w:szCs w:val="18"/>
              </w:rPr>
            </w:pPr>
          </w:p>
          <w:p w14:paraId="3D6F7548"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89.23</w:t>
            </w:r>
          </w:p>
          <w:p w14:paraId="77F32AE9" w14:textId="77777777" w:rsidR="001D1F98" w:rsidRPr="001C3C36" w:rsidRDefault="001D1F98" w:rsidP="00BC0A56">
            <w:pPr>
              <w:rPr>
                <w:rFonts w:ascii="Sylfaen" w:hAnsi="Sylfaen" w:cs="Times New Roman"/>
                <w:noProof/>
                <w:sz w:val="18"/>
                <w:szCs w:val="18"/>
              </w:rPr>
            </w:pPr>
          </w:p>
          <w:p w14:paraId="46C23217" w14:textId="77777777" w:rsidR="001D1F98" w:rsidRPr="001C3C36" w:rsidRDefault="001D1F98" w:rsidP="00BC0A56">
            <w:pPr>
              <w:rPr>
                <w:rFonts w:ascii="Sylfaen" w:hAnsi="Sylfaen" w:cs="Times New Roman"/>
                <w:noProof/>
                <w:sz w:val="18"/>
                <w:szCs w:val="18"/>
              </w:rPr>
            </w:pPr>
            <w:r w:rsidRPr="001C3C36">
              <w:rPr>
                <w:rFonts w:ascii="Sylfaen" w:hAnsi="Sylfaen" w:cs="Times New Roman"/>
                <w:noProof/>
                <w:sz w:val="18"/>
                <w:szCs w:val="18"/>
              </w:rPr>
              <w:t>-0.26</w:t>
            </w:r>
          </w:p>
        </w:tc>
      </w:tr>
    </w:tbl>
    <w:p w14:paraId="66DEBE21" w14:textId="77777777" w:rsidR="00223F44" w:rsidRPr="00850096" w:rsidRDefault="00223F44" w:rsidP="00BC0A56">
      <w:pPr>
        <w:spacing w:after="0" w:line="240" w:lineRule="auto"/>
        <w:rPr>
          <w:rFonts w:ascii="Sylfaen" w:hAnsi="Sylfaen"/>
          <w:noProof/>
          <w:sz w:val="20"/>
          <w:szCs w:val="20"/>
        </w:rPr>
      </w:pPr>
      <w:r w:rsidRPr="00850096">
        <w:rPr>
          <w:rFonts w:ascii="Sylfaen" w:hAnsi="Sylfaen"/>
          <w:noProof/>
          <w:sz w:val="20"/>
          <w:szCs w:val="20"/>
        </w:rPr>
        <w:t>¹ მეტფორმინი ≥ 1 500 მგ/დღეში;</w:t>
      </w:r>
    </w:p>
    <w:p w14:paraId="0A30DE88" w14:textId="77777777" w:rsidR="00223F44" w:rsidRPr="00850096" w:rsidRDefault="00223F44" w:rsidP="00BC0A56">
      <w:pPr>
        <w:spacing w:after="0" w:line="240" w:lineRule="auto"/>
        <w:rPr>
          <w:rFonts w:ascii="Sylfaen" w:hAnsi="Sylfaen"/>
          <w:noProof/>
          <w:sz w:val="20"/>
          <w:szCs w:val="20"/>
        </w:rPr>
      </w:pPr>
      <w:r w:rsidRPr="00850096">
        <w:rPr>
          <w:rFonts w:ascii="Sylfaen" w:hAnsi="Sylfaen"/>
          <w:noProof/>
          <w:sz w:val="20"/>
          <w:szCs w:val="20"/>
        </w:rPr>
        <w:t>² სიტაგლიპტინი 100 მგ/დღეში</w:t>
      </w:r>
    </w:p>
    <w:p w14:paraId="0FD5BDCF" w14:textId="77777777" w:rsidR="00223F44" w:rsidRPr="00850096" w:rsidRDefault="00223F44"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ᵃ</w:t>
      </w:r>
      <w:r w:rsidRPr="00850096">
        <w:rPr>
          <w:rFonts w:ascii="Sylfaen" w:hAnsi="Sylfaen"/>
          <w:noProof/>
          <w:sz w:val="20"/>
          <w:szCs w:val="20"/>
        </w:rPr>
        <w:t>LOCF: ბოლო დაკვირვება (გადარჩენისთვის დამატებითი მკურნალობის მიმღები სუბიექტებისთვის — გადარჩენისთვის დამატებითი მკურნალობის დაწყებამდე) გადატანილი წინ</w:t>
      </w:r>
    </w:p>
    <w:p w14:paraId="15DF5CBC" w14:textId="77777777" w:rsidR="00223F44" w:rsidRPr="00850096" w:rsidRDefault="00223F44"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ᵇ</w:t>
      </w:r>
      <w:r w:rsidRPr="00850096">
        <w:rPr>
          <w:rFonts w:ascii="Sylfaen" w:hAnsi="Sylfaen"/>
          <w:noProof/>
          <w:sz w:val="20"/>
          <w:szCs w:val="20"/>
        </w:rPr>
        <w:t xml:space="preserve"> ყველა რანდომიზებული სუბიექტი, რომელმაც მოკლევადიანი ორმაგად ბრმა პერიოდის განმავლობაში მიიღო ორმაგად ბრმა კვლევითი სამკურნალო საშუალების სულ მცირე ერთი დოზა</w:t>
      </w:r>
    </w:p>
    <w:p w14:paraId="34F5440E" w14:textId="77777777" w:rsidR="00223F44" w:rsidRPr="00850096" w:rsidRDefault="00223F44"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ᶜ</w:t>
      </w:r>
      <w:r w:rsidRPr="00850096">
        <w:rPr>
          <w:rFonts w:ascii="Sylfaen" w:hAnsi="Sylfaen"/>
          <w:noProof/>
          <w:sz w:val="20"/>
          <w:szCs w:val="20"/>
        </w:rPr>
        <w:t xml:space="preserve"> უმცირესი კვადრატების საშუალო, კორექტირებული საწყისი მნიშვნელობის მიხედვით</w:t>
      </w:r>
    </w:p>
    <w:p w14:paraId="4040A9EC" w14:textId="5B0CC847" w:rsidR="00223F44" w:rsidRPr="00850096" w:rsidRDefault="00223F44" w:rsidP="00BC0A56">
      <w:pPr>
        <w:spacing w:after="0" w:line="240" w:lineRule="auto"/>
        <w:rPr>
          <w:rFonts w:ascii="Sylfaen" w:hAnsi="Sylfaen"/>
          <w:noProof/>
          <w:sz w:val="20"/>
          <w:szCs w:val="20"/>
        </w:rPr>
      </w:pPr>
      <w:r w:rsidRPr="00850096">
        <w:rPr>
          <w:rFonts w:ascii="Sylfaen" w:hAnsi="Sylfaen"/>
          <w:noProof/>
          <w:sz w:val="20"/>
          <w:szCs w:val="20"/>
        </w:rPr>
        <w:t>*p-მნიშვნელობა &lt; 0,0001 პლაცებოსთან + პერორალურ გლუკოზის დონის დამაქვეითებელ სამკურნალო საშუალებებთან შედარებით</w:t>
      </w:r>
    </w:p>
    <w:p w14:paraId="0BC39E9A" w14:textId="77777777" w:rsidR="00223F44" w:rsidRPr="00850096" w:rsidRDefault="00223F44" w:rsidP="00BC0A56">
      <w:pPr>
        <w:spacing w:after="0" w:line="240" w:lineRule="auto"/>
        <w:rPr>
          <w:rFonts w:ascii="Sylfaen" w:hAnsi="Sylfaen"/>
          <w:noProof/>
          <w:sz w:val="20"/>
          <w:szCs w:val="20"/>
        </w:rPr>
      </w:pPr>
      <w:r w:rsidRPr="00850096">
        <w:rPr>
          <w:rFonts w:ascii="Sylfaen" w:hAnsi="Sylfaen"/>
          <w:noProof/>
          <w:sz w:val="20"/>
          <w:szCs w:val="20"/>
        </w:rPr>
        <w:t>** p-მნიშვნელობა &lt; 0,05 პლაცებოსთან + პერორალურ გლუკოზის დონის დამაქვეითებელ სამკურნალო საშუალებებთან შედარებით</w:t>
      </w:r>
    </w:p>
    <w:p w14:paraId="20B1E399" w14:textId="77777777" w:rsidR="00E20D62" w:rsidRPr="00850096" w:rsidRDefault="00E20D62" w:rsidP="00BC0A56">
      <w:pPr>
        <w:spacing w:after="0" w:line="240" w:lineRule="auto"/>
        <w:rPr>
          <w:rFonts w:ascii="Sylfaen" w:hAnsi="Sylfaen"/>
          <w:noProof/>
          <w:sz w:val="20"/>
          <w:szCs w:val="20"/>
        </w:rPr>
      </w:pPr>
    </w:p>
    <w:p w14:paraId="2D707AE7" w14:textId="16B1785F" w:rsidR="00E20D62" w:rsidRPr="001C3C36" w:rsidRDefault="00E20D62" w:rsidP="00BC0A56">
      <w:pPr>
        <w:spacing w:after="0" w:line="240" w:lineRule="auto"/>
        <w:rPr>
          <w:rFonts w:ascii="Sylfaen" w:hAnsi="Sylfaen"/>
          <w:b/>
          <w:bCs/>
          <w:noProof/>
        </w:rPr>
      </w:pPr>
      <w:r w:rsidRPr="00850096">
        <w:rPr>
          <w:rFonts w:ascii="Sylfaen" w:hAnsi="Sylfaen"/>
          <w:b/>
          <w:bCs/>
          <w:noProof/>
          <w:sz w:val="20"/>
          <w:szCs w:val="20"/>
        </w:rPr>
        <w:t xml:space="preserve">ცხრილი </w:t>
      </w:r>
      <w:r w:rsidR="00223F44" w:rsidRPr="00850096">
        <w:rPr>
          <w:rFonts w:ascii="Sylfaen" w:hAnsi="Sylfaen"/>
          <w:b/>
          <w:bCs/>
          <w:noProof/>
          <w:sz w:val="20"/>
          <w:szCs w:val="20"/>
        </w:rPr>
        <w:t>5</w:t>
      </w:r>
      <w:r w:rsidRPr="00850096">
        <w:rPr>
          <w:rFonts w:ascii="Sylfaen" w:hAnsi="Sylfaen"/>
          <w:b/>
          <w:bCs/>
          <w:noProof/>
          <w:sz w:val="20"/>
          <w:szCs w:val="20"/>
        </w:rPr>
        <w:t xml:space="preserve">: </w:t>
      </w:r>
      <w:r w:rsidR="00223F44" w:rsidRPr="00850096">
        <w:rPr>
          <w:rFonts w:ascii="Sylfaen" w:hAnsi="Sylfaen"/>
          <w:b/>
          <w:bCs/>
          <w:noProof/>
          <w:sz w:val="20"/>
          <w:szCs w:val="20"/>
        </w:rPr>
        <w:t>დაპაგლიფლოზინის 24-კვირიანი პლაცებო-კონტროლირებადი კვლევების შედეგები სულფონილშარდოვანასთან (გლიმეპირიდი) ან მეტფორმინთან და სულფონილშარდოვანასთან დამატებითი კომბინაციის სახით გამოყენებისას</w:t>
      </w:r>
    </w:p>
    <w:tbl>
      <w:tblPr>
        <w:tblStyle w:val="TableGrid"/>
        <w:tblW w:w="0" w:type="auto"/>
        <w:tblLook w:val="04A0" w:firstRow="1" w:lastRow="0" w:firstColumn="1" w:lastColumn="0" w:noHBand="0" w:noVBand="1"/>
      </w:tblPr>
      <w:tblGrid>
        <w:gridCol w:w="2732"/>
        <w:gridCol w:w="1851"/>
        <w:gridCol w:w="1622"/>
        <w:gridCol w:w="1851"/>
        <w:gridCol w:w="1623"/>
      </w:tblGrid>
      <w:tr w:rsidR="00223F44" w:rsidRPr="001C3C36" w14:paraId="5F15B119" w14:textId="77777777" w:rsidTr="00C57414">
        <w:tc>
          <w:tcPr>
            <w:tcW w:w="2732" w:type="dxa"/>
            <w:vMerge w:val="restart"/>
          </w:tcPr>
          <w:p w14:paraId="060583C9" w14:textId="77777777" w:rsidR="00223F44" w:rsidRPr="001C3C36" w:rsidRDefault="00223F44" w:rsidP="00BC0A56">
            <w:pPr>
              <w:rPr>
                <w:rFonts w:ascii="Sylfaen" w:hAnsi="Sylfaen" w:cs="Times New Roman"/>
                <w:b/>
                <w:bCs/>
                <w:noProof/>
                <w:sz w:val="18"/>
                <w:szCs w:val="18"/>
              </w:rPr>
            </w:pPr>
          </w:p>
        </w:tc>
        <w:tc>
          <w:tcPr>
            <w:tcW w:w="6947" w:type="dxa"/>
            <w:gridSpan w:val="4"/>
          </w:tcPr>
          <w:p w14:paraId="1F4B0356" w14:textId="77777777" w:rsidR="00223F44" w:rsidRPr="00223F44" w:rsidRDefault="00223F44" w:rsidP="00BC0A56">
            <w:pPr>
              <w:jc w:val="center"/>
              <w:rPr>
                <w:rFonts w:ascii="Sylfaen" w:hAnsi="Sylfaen" w:cs="Times New Roman"/>
                <w:b/>
                <w:bCs/>
                <w:noProof/>
                <w:sz w:val="18"/>
                <w:szCs w:val="18"/>
              </w:rPr>
            </w:pPr>
            <w:r w:rsidRPr="00223F44">
              <w:rPr>
                <w:rFonts w:ascii="Sylfaen" w:hAnsi="Sylfaen" w:cs="Sylfaen"/>
                <w:b/>
                <w:bCs/>
                <w:noProof/>
                <w:sz w:val="18"/>
                <w:szCs w:val="18"/>
              </w:rPr>
              <w:t>დამატებითი</w:t>
            </w:r>
            <w:r w:rsidRPr="00223F44">
              <w:rPr>
                <w:rFonts w:ascii="Sylfaen" w:hAnsi="Sylfaen" w:cs="Times New Roman"/>
                <w:b/>
                <w:bCs/>
                <w:noProof/>
                <w:sz w:val="18"/>
                <w:szCs w:val="18"/>
              </w:rPr>
              <w:t xml:space="preserve"> </w:t>
            </w:r>
            <w:r w:rsidRPr="00223F44">
              <w:rPr>
                <w:rFonts w:ascii="Sylfaen" w:hAnsi="Sylfaen" w:cs="Sylfaen"/>
                <w:b/>
                <w:bCs/>
                <w:noProof/>
                <w:sz w:val="18"/>
                <w:szCs w:val="18"/>
              </w:rPr>
              <w:t>კომბინირებული</w:t>
            </w:r>
            <w:r w:rsidRPr="00223F44">
              <w:rPr>
                <w:rFonts w:ascii="Sylfaen" w:hAnsi="Sylfaen" w:cs="Times New Roman"/>
                <w:b/>
                <w:bCs/>
                <w:noProof/>
                <w:sz w:val="18"/>
                <w:szCs w:val="18"/>
              </w:rPr>
              <w:t xml:space="preserve"> </w:t>
            </w:r>
            <w:r w:rsidRPr="00223F44">
              <w:rPr>
                <w:rFonts w:ascii="Sylfaen" w:hAnsi="Sylfaen" w:cs="Sylfaen"/>
                <w:b/>
                <w:bCs/>
                <w:noProof/>
                <w:sz w:val="18"/>
                <w:szCs w:val="18"/>
              </w:rPr>
              <w:t>თერაპია</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223F44" w:rsidRPr="00223F44" w14:paraId="731E779F" w14:textId="77777777" w:rsidTr="00223F44">
              <w:trPr>
                <w:tblHeader/>
                <w:tblCellSpacing w:w="15" w:type="dxa"/>
              </w:trPr>
              <w:tc>
                <w:tcPr>
                  <w:tcW w:w="0" w:type="auto"/>
                  <w:vAlign w:val="center"/>
                  <w:hideMark/>
                </w:tcPr>
                <w:p w14:paraId="1BCBC3AD" w14:textId="77777777" w:rsidR="00223F44" w:rsidRPr="00223F44" w:rsidRDefault="00223F44" w:rsidP="00BC0A56">
                  <w:pPr>
                    <w:spacing w:after="0" w:line="240" w:lineRule="auto"/>
                    <w:jc w:val="center"/>
                    <w:rPr>
                      <w:rFonts w:ascii="Sylfaen" w:hAnsi="Sylfaen" w:cs="Times New Roman"/>
                      <w:b/>
                      <w:bCs/>
                      <w:noProof/>
                      <w:sz w:val="18"/>
                      <w:szCs w:val="18"/>
                    </w:rPr>
                  </w:pPr>
                </w:p>
              </w:tc>
            </w:tr>
          </w:tbl>
          <w:p w14:paraId="1C9D7171" w14:textId="42E9D2DB" w:rsidR="00223F44" w:rsidRPr="001C3C36" w:rsidRDefault="00223F44" w:rsidP="00BC0A56">
            <w:pPr>
              <w:jc w:val="center"/>
              <w:rPr>
                <w:rFonts w:ascii="Sylfaen" w:hAnsi="Sylfaen" w:cs="Times New Roman"/>
                <w:b/>
                <w:bCs/>
                <w:noProof/>
                <w:sz w:val="18"/>
                <w:szCs w:val="18"/>
              </w:rPr>
            </w:pPr>
          </w:p>
        </w:tc>
      </w:tr>
      <w:tr w:rsidR="00223F44" w:rsidRPr="001C3C36" w14:paraId="567C1605" w14:textId="77777777" w:rsidTr="00C57414">
        <w:tc>
          <w:tcPr>
            <w:tcW w:w="2732" w:type="dxa"/>
            <w:vMerge/>
          </w:tcPr>
          <w:p w14:paraId="5E37FCFF" w14:textId="77777777" w:rsidR="00223F44" w:rsidRPr="001C3C36" w:rsidRDefault="00223F44" w:rsidP="00BC0A56">
            <w:pPr>
              <w:rPr>
                <w:rFonts w:ascii="Sylfaen" w:hAnsi="Sylfaen" w:cs="Times New Roman"/>
                <w:b/>
                <w:bCs/>
                <w:noProof/>
                <w:sz w:val="18"/>
                <w:szCs w:val="18"/>
              </w:rPr>
            </w:pPr>
          </w:p>
        </w:tc>
        <w:tc>
          <w:tcPr>
            <w:tcW w:w="3473" w:type="dxa"/>
            <w:gridSpan w:val="2"/>
          </w:tcPr>
          <w:p w14:paraId="6CE85133" w14:textId="77777777" w:rsidR="00C57414" w:rsidRPr="001C3C36" w:rsidRDefault="00C57414" w:rsidP="00BC0A56">
            <w:pPr>
              <w:jc w:val="center"/>
              <w:rPr>
                <w:rFonts w:ascii="Sylfaen" w:hAnsi="Sylfaen" w:cs="Times New Roman"/>
                <w:b/>
                <w:bCs/>
                <w:noProof/>
                <w:sz w:val="18"/>
                <w:szCs w:val="18"/>
              </w:rPr>
            </w:pPr>
            <w:r w:rsidRPr="001C3C36">
              <w:rPr>
                <w:rFonts w:ascii="Sylfaen" w:hAnsi="Sylfaen" w:cs="Times New Roman"/>
                <w:b/>
                <w:bCs/>
                <w:noProof/>
                <w:sz w:val="18"/>
                <w:szCs w:val="18"/>
              </w:rPr>
              <w:t>სულფონილშარდოვანა</w:t>
            </w:r>
          </w:p>
          <w:p w14:paraId="24F1B893" w14:textId="04125E83" w:rsidR="00223F44" w:rsidRPr="001C3C36" w:rsidRDefault="00C57414" w:rsidP="00BC0A56">
            <w:pPr>
              <w:jc w:val="center"/>
              <w:rPr>
                <w:rFonts w:ascii="Sylfaen" w:hAnsi="Sylfaen" w:cs="Times New Roman"/>
                <w:b/>
                <w:bCs/>
                <w:noProof/>
                <w:sz w:val="18"/>
                <w:szCs w:val="18"/>
              </w:rPr>
            </w:pPr>
            <w:r w:rsidRPr="001C3C36">
              <w:rPr>
                <w:rFonts w:ascii="Sylfaen" w:hAnsi="Sylfaen" w:cs="Times New Roman"/>
                <w:b/>
                <w:bCs/>
                <w:noProof/>
                <w:sz w:val="18"/>
                <w:szCs w:val="18"/>
              </w:rPr>
              <w:t>(გლიმეპირიდი</w:t>
            </w:r>
            <w:r w:rsidRPr="001C3C36">
              <w:rPr>
                <w:rFonts w:ascii="Sylfaen" w:hAnsi="Sylfaen" w:cs="Times New Roman"/>
                <w:b/>
                <w:bCs/>
                <w:noProof/>
                <w:sz w:val="18"/>
                <w:szCs w:val="18"/>
                <w:vertAlign w:val="superscript"/>
              </w:rPr>
              <w:t>1</w:t>
            </w:r>
            <w:r w:rsidRPr="001C3C36">
              <w:rPr>
                <w:rFonts w:ascii="Sylfaen" w:hAnsi="Sylfaen" w:cs="Times New Roman"/>
                <w:b/>
                <w:bCs/>
                <w:noProof/>
                <w:sz w:val="18"/>
                <w:szCs w:val="18"/>
              </w:rPr>
              <w:t>)</w:t>
            </w:r>
          </w:p>
        </w:tc>
        <w:tc>
          <w:tcPr>
            <w:tcW w:w="3474" w:type="dxa"/>
            <w:gridSpan w:val="2"/>
          </w:tcPr>
          <w:p w14:paraId="623997A9" w14:textId="2CAF9D3F" w:rsidR="00223F44" w:rsidRPr="001C3C36" w:rsidRDefault="00C57414" w:rsidP="00BC0A56">
            <w:pPr>
              <w:jc w:val="center"/>
              <w:rPr>
                <w:rFonts w:ascii="Sylfaen" w:hAnsi="Sylfaen" w:cs="Times New Roman"/>
                <w:b/>
                <w:bCs/>
                <w:noProof/>
                <w:sz w:val="18"/>
                <w:szCs w:val="18"/>
                <w:vertAlign w:val="superscript"/>
              </w:rPr>
            </w:pPr>
            <w:r w:rsidRPr="001C3C36">
              <w:rPr>
                <w:rFonts w:ascii="Sylfaen" w:hAnsi="Sylfaen" w:cs="Sylfaen"/>
                <w:b/>
                <w:bCs/>
                <w:noProof/>
                <w:sz w:val="18"/>
                <w:szCs w:val="18"/>
              </w:rPr>
              <w:t>სულფონილშარდოვანა</w:t>
            </w:r>
            <w:r w:rsidRPr="001C3C36">
              <w:rPr>
                <w:rFonts w:ascii="Sylfaen" w:hAnsi="Sylfaen" w:cs="Times New Roman"/>
                <w:b/>
                <w:bCs/>
                <w:noProof/>
                <w:sz w:val="18"/>
                <w:szCs w:val="18"/>
              </w:rPr>
              <w:t xml:space="preserve"> + </w:t>
            </w:r>
            <w:r w:rsidRPr="001C3C36">
              <w:rPr>
                <w:rFonts w:ascii="Sylfaen" w:hAnsi="Sylfaen" w:cs="Sylfaen"/>
                <w:b/>
                <w:bCs/>
                <w:noProof/>
                <w:sz w:val="18"/>
                <w:szCs w:val="18"/>
              </w:rPr>
              <w:t>მეტფორმინი</w:t>
            </w:r>
            <w:r w:rsidRPr="001C3C36">
              <w:rPr>
                <w:rFonts w:ascii="Sylfaen" w:hAnsi="Sylfaen" w:cs="Sylfaen"/>
                <w:b/>
                <w:bCs/>
                <w:noProof/>
                <w:sz w:val="18"/>
                <w:szCs w:val="18"/>
                <w:vertAlign w:val="superscript"/>
              </w:rPr>
              <w:t>2</w:t>
            </w:r>
          </w:p>
        </w:tc>
      </w:tr>
      <w:tr w:rsidR="00223F44" w:rsidRPr="001C3C36" w14:paraId="6505FFF0" w14:textId="77777777" w:rsidTr="00C57414">
        <w:tc>
          <w:tcPr>
            <w:tcW w:w="2732" w:type="dxa"/>
            <w:vMerge/>
          </w:tcPr>
          <w:p w14:paraId="71659FAC" w14:textId="77777777" w:rsidR="00223F44" w:rsidRPr="001C3C36" w:rsidRDefault="00223F44" w:rsidP="00BC0A56">
            <w:pPr>
              <w:rPr>
                <w:rFonts w:ascii="Sylfaen" w:hAnsi="Sylfaen" w:cs="Times New Roman"/>
                <w:b/>
                <w:bCs/>
                <w:noProof/>
                <w:sz w:val="18"/>
                <w:szCs w:val="18"/>
              </w:rPr>
            </w:pPr>
          </w:p>
        </w:tc>
        <w:tc>
          <w:tcPr>
            <w:tcW w:w="1851" w:type="dxa"/>
          </w:tcPr>
          <w:p w14:paraId="62AB6BDD" w14:textId="77777777" w:rsidR="00223F44" w:rsidRPr="001C3C36" w:rsidRDefault="00223F44"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p>
          <w:p w14:paraId="6555EA27" w14:textId="77777777" w:rsidR="00223F44" w:rsidRPr="001C3C36" w:rsidRDefault="00223F44" w:rsidP="00BC0A56">
            <w:pPr>
              <w:jc w:val="center"/>
              <w:rPr>
                <w:rFonts w:ascii="Sylfaen" w:hAnsi="Sylfaen" w:cs="Times New Roman"/>
                <w:b/>
                <w:bCs/>
                <w:noProof/>
                <w:sz w:val="18"/>
                <w:szCs w:val="18"/>
              </w:rPr>
            </w:pPr>
            <w:r w:rsidRPr="001C3C36">
              <w:rPr>
                <w:rFonts w:ascii="Sylfaen" w:hAnsi="Sylfaen" w:cs="Times New Roman"/>
                <w:b/>
                <w:bCs/>
                <w:noProof/>
                <w:sz w:val="18"/>
                <w:szCs w:val="18"/>
              </w:rPr>
              <w:t xml:space="preserve">10 </w:t>
            </w:r>
            <w:r w:rsidRPr="001C3C36">
              <w:rPr>
                <w:rFonts w:ascii="Sylfaen" w:hAnsi="Sylfaen" w:cs="Sylfaen"/>
                <w:b/>
                <w:bCs/>
                <w:noProof/>
                <w:sz w:val="18"/>
                <w:szCs w:val="18"/>
              </w:rPr>
              <w:t>მგ</w:t>
            </w:r>
          </w:p>
        </w:tc>
        <w:tc>
          <w:tcPr>
            <w:tcW w:w="1622" w:type="dxa"/>
          </w:tcPr>
          <w:p w14:paraId="2C04D773" w14:textId="77777777" w:rsidR="00223F44" w:rsidRPr="001C3C36" w:rsidRDefault="00223F44" w:rsidP="00BC0A56">
            <w:pPr>
              <w:jc w:val="center"/>
              <w:rPr>
                <w:rFonts w:ascii="Sylfaen" w:hAnsi="Sylfaen" w:cs="Times New Roman"/>
                <w:b/>
                <w:bCs/>
                <w:noProof/>
                <w:sz w:val="18"/>
                <w:szCs w:val="18"/>
              </w:rPr>
            </w:pPr>
            <w:r w:rsidRPr="001C3C36">
              <w:rPr>
                <w:rFonts w:ascii="Sylfaen" w:hAnsi="Sylfaen" w:cs="Times New Roman"/>
                <w:b/>
                <w:bCs/>
                <w:noProof/>
                <w:sz w:val="18"/>
                <w:szCs w:val="18"/>
              </w:rPr>
              <w:t>პლაცებო</w:t>
            </w:r>
          </w:p>
        </w:tc>
        <w:tc>
          <w:tcPr>
            <w:tcW w:w="1851" w:type="dxa"/>
          </w:tcPr>
          <w:p w14:paraId="50CA253A" w14:textId="77777777" w:rsidR="00223F44" w:rsidRPr="001C3C36" w:rsidRDefault="00223F44"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p>
          <w:p w14:paraId="760302BA" w14:textId="77777777" w:rsidR="00223F44" w:rsidRPr="001C3C36" w:rsidRDefault="00223F44" w:rsidP="00BC0A56">
            <w:pPr>
              <w:jc w:val="center"/>
              <w:rPr>
                <w:rFonts w:ascii="Sylfaen" w:hAnsi="Sylfaen" w:cs="Times New Roman"/>
                <w:b/>
                <w:bCs/>
                <w:noProof/>
                <w:sz w:val="18"/>
                <w:szCs w:val="18"/>
              </w:rPr>
            </w:pPr>
            <w:r w:rsidRPr="001C3C36">
              <w:rPr>
                <w:rFonts w:ascii="Sylfaen" w:hAnsi="Sylfaen" w:cs="Times New Roman"/>
                <w:b/>
                <w:bCs/>
                <w:noProof/>
                <w:sz w:val="18"/>
                <w:szCs w:val="18"/>
              </w:rPr>
              <w:t xml:space="preserve">10 </w:t>
            </w:r>
            <w:r w:rsidRPr="001C3C36">
              <w:rPr>
                <w:rFonts w:ascii="Sylfaen" w:hAnsi="Sylfaen" w:cs="Sylfaen"/>
                <w:b/>
                <w:bCs/>
                <w:noProof/>
                <w:sz w:val="18"/>
                <w:szCs w:val="18"/>
              </w:rPr>
              <w:t>მგ</w:t>
            </w:r>
          </w:p>
        </w:tc>
        <w:tc>
          <w:tcPr>
            <w:tcW w:w="1623" w:type="dxa"/>
          </w:tcPr>
          <w:p w14:paraId="6C8C7F8C" w14:textId="77777777" w:rsidR="00223F44" w:rsidRPr="001C3C36" w:rsidRDefault="00223F44" w:rsidP="00BC0A56">
            <w:pPr>
              <w:jc w:val="center"/>
              <w:rPr>
                <w:rFonts w:ascii="Sylfaen" w:hAnsi="Sylfaen" w:cs="Times New Roman"/>
                <w:b/>
                <w:bCs/>
                <w:noProof/>
                <w:sz w:val="18"/>
                <w:szCs w:val="18"/>
              </w:rPr>
            </w:pPr>
            <w:r w:rsidRPr="001C3C36">
              <w:rPr>
                <w:rFonts w:ascii="Sylfaen" w:hAnsi="Sylfaen" w:cs="Times New Roman"/>
                <w:b/>
                <w:bCs/>
                <w:noProof/>
                <w:sz w:val="18"/>
                <w:szCs w:val="18"/>
              </w:rPr>
              <w:t>პლაცებო</w:t>
            </w:r>
          </w:p>
        </w:tc>
      </w:tr>
      <w:tr w:rsidR="00C57414" w:rsidRPr="001C3C36" w14:paraId="61F97CB2" w14:textId="77777777" w:rsidTr="00C57414">
        <w:tc>
          <w:tcPr>
            <w:tcW w:w="2732" w:type="dxa"/>
          </w:tcPr>
          <w:p w14:paraId="3238918D" w14:textId="77777777" w:rsidR="00C57414" w:rsidRPr="001C3C36" w:rsidRDefault="00C57414" w:rsidP="00BC0A56">
            <w:pPr>
              <w:rPr>
                <w:rFonts w:ascii="Sylfaen" w:hAnsi="Sylfaen" w:cs="Times New Roman"/>
                <w:b/>
                <w:bCs/>
                <w:noProof/>
                <w:sz w:val="18"/>
                <w:szCs w:val="18"/>
              </w:rPr>
            </w:pPr>
            <w:r w:rsidRPr="001C3C36">
              <w:rPr>
                <w:rFonts w:ascii="Sylfaen" w:hAnsi="Sylfaen" w:cs="Times New Roman"/>
                <w:b/>
                <w:bCs/>
                <w:noProof/>
                <w:sz w:val="18"/>
                <w:szCs w:val="18"/>
              </w:rPr>
              <w:t>N</w:t>
            </w:r>
            <w:r w:rsidRPr="001C3C36">
              <w:rPr>
                <w:rFonts w:ascii="Sylfaen" w:hAnsi="Sylfaen" w:cs="Times New Roman"/>
                <w:b/>
                <w:bCs/>
                <w:noProof/>
                <w:sz w:val="18"/>
                <w:szCs w:val="18"/>
                <w:vertAlign w:val="superscript"/>
              </w:rPr>
              <w:t>b</w:t>
            </w:r>
          </w:p>
        </w:tc>
        <w:tc>
          <w:tcPr>
            <w:tcW w:w="1851" w:type="dxa"/>
          </w:tcPr>
          <w:p w14:paraId="3F348F43" w14:textId="2A56463B"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151</w:t>
            </w:r>
          </w:p>
        </w:tc>
        <w:tc>
          <w:tcPr>
            <w:tcW w:w="1622" w:type="dxa"/>
          </w:tcPr>
          <w:p w14:paraId="5E68CA4A" w14:textId="512B6ED0"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145</w:t>
            </w:r>
          </w:p>
        </w:tc>
        <w:tc>
          <w:tcPr>
            <w:tcW w:w="1851" w:type="dxa"/>
          </w:tcPr>
          <w:p w14:paraId="752567A0" w14:textId="5F35FAF4"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108</w:t>
            </w:r>
          </w:p>
        </w:tc>
        <w:tc>
          <w:tcPr>
            <w:tcW w:w="1623" w:type="dxa"/>
          </w:tcPr>
          <w:p w14:paraId="370550CC" w14:textId="72D34B94"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108</w:t>
            </w:r>
          </w:p>
        </w:tc>
      </w:tr>
      <w:tr w:rsidR="00C57414" w:rsidRPr="001C3C36" w14:paraId="40B68846" w14:textId="77777777" w:rsidTr="00C57414">
        <w:tc>
          <w:tcPr>
            <w:tcW w:w="2732" w:type="dxa"/>
          </w:tcPr>
          <w:p w14:paraId="3B31A9A8" w14:textId="77777777" w:rsidR="00C57414" w:rsidRPr="001C3C36" w:rsidRDefault="00C57414" w:rsidP="00BC0A56">
            <w:pPr>
              <w:rPr>
                <w:rFonts w:ascii="Sylfaen" w:hAnsi="Sylfaen" w:cs="Times New Roman"/>
                <w:b/>
                <w:bCs/>
                <w:noProof/>
                <w:sz w:val="18"/>
                <w:szCs w:val="18"/>
              </w:rPr>
            </w:pPr>
            <w:r w:rsidRPr="001C3C36">
              <w:rPr>
                <w:rFonts w:ascii="Sylfaen" w:hAnsi="Sylfaen" w:cs="Times New Roman"/>
                <w:b/>
                <w:bCs/>
                <w:noProof/>
                <w:sz w:val="18"/>
                <w:szCs w:val="18"/>
              </w:rPr>
              <w:t>HbA1c (%)</w:t>
            </w:r>
          </w:p>
          <w:p w14:paraId="7B466892" w14:textId="77777777" w:rsidR="00C57414" w:rsidRPr="001C3C36" w:rsidRDefault="00C57414"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5726A15F" w14:textId="77777777" w:rsidR="00C57414" w:rsidRPr="001C3C36" w:rsidRDefault="00C57414"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0009AEEE" w14:textId="77777777" w:rsidR="00C57414" w:rsidRPr="001C3C36" w:rsidRDefault="00C57414" w:rsidP="00BC0A56">
            <w:pPr>
              <w:rPr>
                <w:rFonts w:ascii="Sylfaen" w:hAnsi="Sylfaen" w:cs="Times New Roman"/>
                <w:noProof/>
                <w:sz w:val="18"/>
                <w:szCs w:val="18"/>
                <w:vertAlign w:val="superscript"/>
              </w:rPr>
            </w:pPr>
            <w:r w:rsidRPr="001C3C36">
              <w:rPr>
                <w:rFonts w:ascii="Sylfaen" w:hAnsi="Sylfaen" w:cs="Sylfaen"/>
                <w:noProof/>
                <w:sz w:val="18"/>
                <w:szCs w:val="18"/>
              </w:rPr>
              <w:t>პლაცებოსთან შედარებით განსხვავება</w:t>
            </w:r>
            <w:r w:rsidRPr="001C3C36">
              <w:rPr>
                <w:rFonts w:ascii="Sylfaen" w:hAnsi="Sylfaen" w:cs="Sylfaen"/>
                <w:noProof/>
                <w:sz w:val="18"/>
                <w:szCs w:val="18"/>
                <w:vertAlign w:val="superscript"/>
              </w:rPr>
              <w:t>c</w:t>
            </w:r>
          </w:p>
          <w:p w14:paraId="0E8885C7" w14:textId="77777777"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(95%-</w:t>
            </w:r>
            <w:r w:rsidRPr="001C3C36">
              <w:rPr>
                <w:rFonts w:ascii="Sylfaen" w:hAnsi="Sylfaen" w:cs="Sylfaen"/>
                <w:noProof/>
                <w:sz w:val="18"/>
                <w:szCs w:val="18"/>
              </w:rPr>
              <w:t>იანი</w:t>
            </w:r>
            <w:r w:rsidRPr="001C3C36">
              <w:rPr>
                <w:rFonts w:ascii="Sylfaen" w:hAnsi="Sylfaen" w:cs="Times New Roman"/>
                <w:noProof/>
                <w:sz w:val="18"/>
                <w:szCs w:val="18"/>
              </w:rPr>
              <w:t xml:space="preserve"> </w:t>
            </w:r>
            <w:r w:rsidRPr="001C3C36">
              <w:rPr>
                <w:rFonts w:ascii="Sylfaen" w:hAnsi="Sylfaen" w:cs="Sylfaen"/>
                <w:noProof/>
                <w:sz w:val="18"/>
                <w:szCs w:val="18"/>
              </w:rPr>
              <w:t>სანდოობის</w:t>
            </w:r>
            <w:r w:rsidRPr="001C3C36">
              <w:rPr>
                <w:rFonts w:ascii="Sylfaen" w:hAnsi="Sylfaen" w:cs="Times New Roman"/>
                <w:noProof/>
                <w:sz w:val="18"/>
                <w:szCs w:val="18"/>
              </w:rPr>
              <w:t xml:space="preserve"> </w:t>
            </w:r>
            <w:r w:rsidRPr="001C3C36">
              <w:rPr>
                <w:rFonts w:ascii="Sylfaen" w:hAnsi="Sylfaen" w:cs="Sylfaen"/>
                <w:noProof/>
                <w:sz w:val="18"/>
                <w:szCs w:val="18"/>
              </w:rPr>
              <w:t>ინტერვალი</w:t>
            </w:r>
            <w:r w:rsidRPr="001C3C36">
              <w:rPr>
                <w:rFonts w:ascii="Sylfaen" w:hAnsi="Sylfaen" w:cs="Times New Roman"/>
                <w:noProof/>
                <w:sz w:val="18"/>
                <w:szCs w:val="18"/>
              </w:rPr>
              <w:t>)</w:t>
            </w:r>
          </w:p>
        </w:tc>
        <w:tc>
          <w:tcPr>
            <w:tcW w:w="1851" w:type="dxa"/>
          </w:tcPr>
          <w:p w14:paraId="4726634B" w14:textId="77777777" w:rsidR="00C57414" w:rsidRPr="001C3C36" w:rsidRDefault="00C57414" w:rsidP="00BC0A56">
            <w:pPr>
              <w:jc w:val="center"/>
              <w:rPr>
                <w:rFonts w:ascii="Sylfaen" w:hAnsi="Sylfaen" w:cs="Times New Roman"/>
                <w:b/>
                <w:bCs/>
                <w:noProof/>
                <w:sz w:val="18"/>
                <w:szCs w:val="18"/>
              </w:rPr>
            </w:pPr>
          </w:p>
          <w:p w14:paraId="26BC1834" w14:textId="77777777"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8.07</w:t>
            </w:r>
          </w:p>
          <w:p w14:paraId="5A9D51B1" w14:textId="77777777" w:rsidR="00C57414" w:rsidRPr="001C3C36" w:rsidRDefault="00C57414" w:rsidP="00BC0A56">
            <w:pPr>
              <w:jc w:val="center"/>
              <w:rPr>
                <w:rFonts w:ascii="Sylfaen" w:hAnsi="Sylfaen" w:cs="Times New Roman"/>
                <w:noProof/>
                <w:sz w:val="18"/>
                <w:szCs w:val="18"/>
              </w:rPr>
            </w:pPr>
          </w:p>
          <w:p w14:paraId="18F94235" w14:textId="344F2077"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-0.82</w:t>
            </w:r>
          </w:p>
          <w:p w14:paraId="0AC6662F" w14:textId="77777777" w:rsidR="00C57414" w:rsidRPr="001C3C36" w:rsidRDefault="00C57414" w:rsidP="00BC0A56">
            <w:pPr>
              <w:jc w:val="center"/>
              <w:rPr>
                <w:rFonts w:ascii="Sylfaen" w:hAnsi="Sylfaen" w:cs="Times New Roman"/>
                <w:noProof/>
                <w:sz w:val="18"/>
                <w:szCs w:val="18"/>
              </w:rPr>
            </w:pPr>
          </w:p>
          <w:p w14:paraId="68CF8C4E" w14:textId="77777777" w:rsidR="00C57414" w:rsidRPr="001C3C36" w:rsidRDefault="00C57414" w:rsidP="00BC0A56">
            <w:pPr>
              <w:jc w:val="center"/>
              <w:rPr>
                <w:rFonts w:ascii="Sylfaen" w:hAnsi="Sylfaen" w:cs="Times New Roman"/>
                <w:noProof/>
                <w:sz w:val="18"/>
                <w:szCs w:val="18"/>
              </w:rPr>
            </w:pPr>
          </w:p>
          <w:p w14:paraId="2D6DB163" w14:textId="784ACE0C"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-0.68</w:t>
            </w:r>
            <w:r w:rsidRPr="001C3C36">
              <w:rPr>
                <w:rFonts w:ascii="Sylfaen" w:hAnsi="Sylfaen" w:cs="Times New Roman"/>
                <w:noProof/>
                <w:sz w:val="18"/>
                <w:szCs w:val="18"/>
                <w:vertAlign w:val="superscript"/>
              </w:rPr>
              <w:t>*</w:t>
            </w:r>
          </w:p>
          <w:p w14:paraId="375DA17C" w14:textId="643AFD67"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(-0.86, -0.51)</w:t>
            </w:r>
          </w:p>
        </w:tc>
        <w:tc>
          <w:tcPr>
            <w:tcW w:w="1622" w:type="dxa"/>
          </w:tcPr>
          <w:p w14:paraId="2AAE6FBE" w14:textId="77777777" w:rsidR="00C57414" w:rsidRPr="001C3C36" w:rsidRDefault="00C57414" w:rsidP="00BC0A56">
            <w:pPr>
              <w:jc w:val="center"/>
              <w:rPr>
                <w:rFonts w:ascii="Sylfaen" w:hAnsi="Sylfaen" w:cs="Times New Roman"/>
                <w:b/>
                <w:bCs/>
                <w:noProof/>
                <w:sz w:val="18"/>
                <w:szCs w:val="18"/>
              </w:rPr>
            </w:pPr>
          </w:p>
          <w:p w14:paraId="01019D40" w14:textId="77777777"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8.15</w:t>
            </w:r>
          </w:p>
          <w:p w14:paraId="15A46627" w14:textId="77777777" w:rsidR="00C57414" w:rsidRPr="001C3C36" w:rsidRDefault="00C57414" w:rsidP="00BC0A56">
            <w:pPr>
              <w:jc w:val="center"/>
              <w:rPr>
                <w:rFonts w:ascii="Sylfaen" w:hAnsi="Sylfaen" w:cs="Times New Roman"/>
                <w:noProof/>
                <w:sz w:val="18"/>
                <w:szCs w:val="18"/>
              </w:rPr>
            </w:pPr>
          </w:p>
          <w:p w14:paraId="4162D445" w14:textId="7D46868A"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-0.13</w:t>
            </w:r>
          </w:p>
        </w:tc>
        <w:tc>
          <w:tcPr>
            <w:tcW w:w="1851" w:type="dxa"/>
          </w:tcPr>
          <w:p w14:paraId="3AA92510" w14:textId="77777777" w:rsidR="00C57414" w:rsidRPr="001C3C36" w:rsidRDefault="00C57414" w:rsidP="00BC0A56">
            <w:pPr>
              <w:jc w:val="center"/>
              <w:rPr>
                <w:rFonts w:ascii="Sylfaen" w:hAnsi="Sylfaen" w:cs="Times New Roman"/>
                <w:b/>
                <w:bCs/>
                <w:noProof/>
                <w:sz w:val="18"/>
                <w:szCs w:val="18"/>
              </w:rPr>
            </w:pPr>
          </w:p>
          <w:p w14:paraId="05FFAFE8" w14:textId="77777777"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8.08</w:t>
            </w:r>
          </w:p>
          <w:p w14:paraId="2C4479D1" w14:textId="77777777" w:rsidR="00C57414" w:rsidRPr="001C3C36" w:rsidRDefault="00C57414" w:rsidP="00BC0A56">
            <w:pPr>
              <w:jc w:val="center"/>
              <w:rPr>
                <w:rFonts w:ascii="Sylfaen" w:hAnsi="Sylfaen" w:cs="Times New Roman"/>
                <w:noProof/>
                <w:sz w:val="18"/>
                <w:szCs w:val="18"/>
              </w:rPr>
            </w:pPr>
          </w:p>
          <w:p w14:paraId="3D0C09A2" w14:textId="5EEFB01F"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-0.86</w:t>
            </w:r>
          </w:p>
          <w:p w14:paraId="1D5120A8" w14:textId="77777777"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w:t>
            </w:r>
          </w:p>
          <w:p w14:paraId="60FEC6B0" w14:textId="77777777" w:rsidR="00C57414" w:rsidRPr="001C3C36" w:rsidRDefault="00C57414" w:rsidP="00BC0A56">
            <w:pPr>
              <w:jc w:val="center"/>
              <w:rPr>
                <w:rFonts w:ascii="Sylfaen" w:hAnsi="Sylfaen" w:cs="Times New Roman"/>
                <w:noProof/>
                <w:sz w:val="18"/>
                <w:szCs w:val="18"/>
              </w:rPr>
            </w:pPr>
          </w:p>
          <w:p w14:paraId="11DA6817" w14:textId="4C5E841A"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0.69</w:t>
            </w:r>
            <w:r w:rsidRPr="001C3C36">
              <w:rPr>
                <w:rFonts w:ascii="Sylfaen" w:hAnsi="Sylfaen" w:cs="Times New Roman"/>
                <w:noProof/>
                <w:sz w:val="18"/>
                <w:szCs w:val="18"/>
                <w:vertAlign w:val="superscript"/>
              </w:rPr>
              <w:t>*</w:t>
            </w:r>
          </w:p>
          <w:p w14:paraId="43829F22" w14:textId="02D804D7"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(−0.89, −0.49)</w:t>
            </w:r>
          </w:p>
        </w:tc>
        <w:tc>
          <w:tcPr>
            <w:tcW w:w="1623" w:type="dxa"/>
          </w:tcPr>
          <w:p w14:paraId="5550868C" w14:textId="77777777" w:rsidR="00C57414" w:rsidRPr="001C3C36" w:rsidRDefault="00C57414" w:rsidP="00BC0A56">
            <w:pPr>
              <w:jc w:val="center"/>
              <w:rPr>
                <w:rFonts w:ascii="Sylfaen" w:hAnsi="Sylfaen" w:cs="Times New Roman"/>
                <w:b/>
                <w:bCs/>
                <w:noProof/>
                <w:sz w:val="18"/>
                <w:szCs w:val="18"/>
              </w:rPr>
            </w:pPr>
          </w:p>
          <w:p w14:paraId="0D468E04" w14:textId="77777777"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8.24</w:t>
            </w:r>
          </w:p>
          <w:p w14:paraId="49E057DF" w14:textId="77777777" w:rsidR="00C57414" w:rsidRPr="001C3C36" w:rsidRDefault="00C57414" w:rsidP="00BC0A56">
            <w:pPr>
              <w:jc w:val="center"/>
              <w:rPr>
                <w:rFonts w:ascii="Sylfaen" w:hAnsi="Sylfaen" w:cs="Times New Roman"/>
                <w:noProof/>
                <w:sz w:val="18"/>
                <w:szCs w:val="18"/>
              </w:rPr>
            </w:pPr>
          </w:p>
          <w:p w14:paraId="486AB535" w14:textId="291947B3"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-0.17</w:t>
            </w:r>
          </w:p>
        </w:tc>
      </w:tr>
      <w:tr w:rsidR="00C57414" w:rsidRPr="001C3C36" w14:paraId="65AE3FFC" w14:textId="77777777" w:rsidTr="00C57414">
        <w:trPr>
          <w:trHeight w:val="786"/>
        </w:trPr>
        <w:tc>
          <w:tcPr>
            <w:tcW w:w="2732" w:type="dxa"/>
          </w:tcPr>
          <w:p w14:paraId="3596ACFD" w14:textId="72721C68" w:rsidR="00C57414" w:rsidRPr="001C3C36" w:rsidRDefault="00C57414" w:rsidP="00BC0A56">
            <w:pPr>
              <w:rPr>
                <w:rFonts w:ascii="Sylfaen" w:hAnsi="Sylfaen" w:cs="Times New Roman"/>
                <w:b/>
                <w:bCs/>
                <w:noProof/>
                <w:sz w:val="18"/>
                <w:szCs w:val="18"/>
              </w:rPr>
            </w:pPr>
            <w:r w:rsidRPr="001C3C36">
              <w:rPr>
                <w:rFonts w:ascii="Sylfaen" w:hAnsi="Sylfaen" w:cs="Sylfaen"/>
                <w:b/>
                <w:bCs/>
                <w:noProof/>
                <w:sz w:val="18"/>
                <w:szCs w:val="18"/>
              </w:rPr>
              <w:t>სუბიექტები</w:t>
            </w:r>
            <w:r w:rsidRPr="001C3C36">
              <w:rPr>
                <w:rFonts w:ascii="Sylfaen" w:hAnsi="Sylfaen" w:cs="Times New Roman"/>
                <w:b/>
                <w:bCs/>
                <w:noProof/>
                <w:sz w:val="18"/>
                <w:szCs w:val="18"/>
              </w:rPr>
              <w:t xml:space="preserve"> (%), </w:t>
            </w:r>
            <w:r w:rsidRPr="001C3C36">
              <w:rPr>
                <w:rFonts w:ascii="Sylfaen" w:hAnsi="Sylfaen" w:cs="Sylfaen"/>
                <w:b/>
                <w:bCs/>
                <w:noProof/>
                <w:sz w:val="18"/>
                <w:szCs w:val="18"/>
              </w:rPr>
              <w:t>რომლებმაც</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მიაღწიეს</w:t>
            </w:r>
            <w:r w:rsidRPr="001C3C36">
              <w:rPr>
                <w:rFonts w:ascii="Sylfaen" w:hAnsi="Sylfaen" w:cs="Times New Roman"/>
                <w:b/>
                <w:bCs/>
                <w:noProof/>
                <w:sz w:val="18"/>
                <w:szCs w:val="18"/>
              </w:rPr>
              <w:t>: HbA1c &lt; 7% (LOCF)</w:t>
            </w:r>
            <w:r w:rsidRPr="001C3C36">
              <w:rPr>
                <w:rFonts w:ascii="Sylfaen" w:hAnsi="Sylfaen" w:cs="Times New Roman"/>
                <w:b/>
                <w:bCs/>
                <w:noProof/>
                <w:sz w:val="18"/>
                <w:szCs w:val="18"/>
                <w:vertAlign w:val="superscript"/>
              </w:rPr>
              <w:t>d</w:t>
            </w:r>
          </w:p>
          <w:p w14:paraId="70772B4B" w14:textId="77777777" w:rsidR="00C57414" w:rsidRPr="001C3C36" w:rsidRDefault="00C57414"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მაჩვენებლის</w:t>
            </w:r>
            <w:r w:rsidRPr="001C3C36">
              <w:rPr>
                <w:rFonts w:ascii="Sylfaen" w:hAnsi="Sylfaen" w:cs="Times New Roman"/>
                <w:noProof/>
                <w:sz w:val="18"/>
                <w:szCs w:val="18"/>
              </w:rPr>
              <w:t xml:space="preserve"> </w:t>
            </w:r>
            <w:r w:rsidRPr="001C3C36">
              <w:rPr>
                <w:rFonts w:ascii="Sylfaen" w:hAnsi="Sylfaen" w:cs="Sylfaen"/>
                <w:noProof/>
                <w:sz w:val="18"/>
                <w:szCs w:val="18"/>
              </w:rPr>
              <w:t>მიხედვით</w:t>
            </w:r>
            <w:r w:rsidRPr="001C3C36">
              <w:rPr>
                <w:rFonts w:ascii="Sylfaen" w:hAnsi="Sylfaen" w:cs="Times New Roman"/>
                <w:noProof/>
                <w:sz w:val="18"/>
                <w:szCs w:val="18"/>
              </w:rPr>
              <w:t xml:space="preserve"> </w:t>
            </w:r>
            <w:r w:rsidRPr="001C3C36">
              <w:rPr>
                <w:rFonts w:ascii="Sylfaen" w:hAnsi="Sylfaen" w:cs="Sylfaen"/>
                <w:noProof/>
                <w:sz w:val="18"/>
                <w:szCs w:val="18"/>
              </w:rPr>
              <w:t>კორექტირებული</w:t>
            </w:r>
          </w:p>
        </w:tc>
        <w:tc>
          <w:tcPr>
            <w:tcW w:w="1851" w:type="dxa"/>
          </w:tcPr>
          <w:p w14:paraId="3E35EFB7" w14:textId="77777777" w:rsidR="00C57414" w:rsidRPr="001C3C36" w:rsidRDefault="00C57414" w:rsidP="00BC0A56">
            <w:pPr>
              <w:jc w:val="center"/>
              <w:rPr>
                <w:rFonts w:ascii="Sylfaen" w:hAnsi="Sylfaen" w:cs="Times New Roman"/>
                <w:noProof/>
                <w:sz w:val="18"/>
                <w:szCs w:val="18"/>
              </w:rPr>
            </w:pPr>
          </w:p>
          <w:p w14:paraId="363A108E" w14:textId="77777777" w:rsidR="00C57414" w:rsidRPr="001C3C36" w:rsidRDefault="00C57414" w:rsidP="00BC0A56">
            <w:pPr>
              <w:jc w:val="center"/>
              <w:rPr>
                <w:rFonts w:ascii="Sylfaen" w:hAnsi="Sylfaen" w:cs="Times New Roman"/>
                <w:noProof/>
                <w:sz w:val="18"/>
                <w:szCs w:val="18"/>
              </w:rPr>
            </w:pPr>
          </w:p>
          <w:p w14:paraId="7151F07F" w14:textId="6C99DF97"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31.7</w:t>
            </w:r>
            <w:r w:rsidRPr="001C3C36">
              <w:rPr>
                <w:rFonts w:ascii="Sylfaen" w:hAnsi="Sylfaen" w:cs="Times New Roman"/>
                <w:noProof/>
                <w:sz w:val="18"/>
                <w:szCs w:val="18"/>
                <w:vertAlign w:val="superscript"/>
              </w:rPr>
              <w:t>*</w:t>
            </w:r>
          </w:p>
        </w:tc>
        <w:tc>
          <w:tcPr>
            <w:tcW w:w="1622" w:type="dxa"/>
          </w:tcPr>
          <w:p w14:paraId="7DCD2279" w14:textId="77777777" w:rsidR="00C57414" w:rsidRPr="001C3C36" w:rsidRDefault="00C57414" w:rsidP="00BC0A56">
            <w:pPr>
              <w:jc w:val="center"/>
              <w:rPr>
                <w:rFonts w:ascii="Sylfaen" w:hAnsi="Sylfaen" w:cs="Times New Roman"/>
                <w:b/>
                <w:bCs/>
                <w:noProof/>
                <w:sz w:val="18"/>
                <w:szCs w:val="18"/>
              </w:rPr>
            </w:pPr>
          </w:p>
          <w:p w14:paraId="41B08A79" w14:textId="77777777" w:rsidR="00C57414" w:rsidRPr="001C3C36" w:rsidRDefault="00C57414" w:rsidP="00BC0A56">
            <w:pPr>
              <w:jc w:val="center"/>
              <w:rPr>
                <w:rFonts w:ascii="Sylfaen" w:hAnsi="Sylfaen" w:cs="Times New Roman"/>
                <w:b/>
                <w:bCs/>
                <w:noProof/>
                <w:sz w:val="18"/>
                <w:szCs w:val="18"/>
              </w:rPr>
            </w:pPr>
          </w:p>
          <w:p w14:paraId="053D65CE" w14:textId="2CBD0A04" w:rsidR="00C57414" w:rsidRPr="001C3C36" w:rsidRDefault="00C57414" w:rsidP="00BC0A56">
            <w:pPr>
              <w:jc w:val="center"/>
              <w:rPr>
                <w:rFonts w:ascii="Sylfaen" w:hAnsi="Sylfaen" w:cs="Times New Roman"/>
                <w:noProof/>
                <w:sz w:val="18"/>
                <w:szCs w:val="18"/>
              </w:rPr>
            </w:pPr>
            <w:r w:rsidRPr="001C3C36">
              <w:rPr>
                <w:rFonts w:ascii="Sylfaen" w:hAnsi="Sylfaen" w:cs="Times New Roman"/>
                <w:noProof/>
                <w:sz w:val="18"/>
                <w:szCs w:val="18"/>
              </w:rPr>
              <w:t>13.0</w:t>
            </w:r>
          </w:p>
        </w:tc>
        <w:tc>
          <w:tcPr>
            <w:tcW w:w="1851" w:type="dxa"/>
          </w:tcPr>
          <w:p w14:paraId="6B360EEC" w14:textId="77777777" w:rsidR="00C57414" w:rsidRPr="001C3C36" w:rsidRDefault="00C57414" w:rsidP="00BC0A56">
            <w:pPr>
              <w:jc w:val="center"/>
              <w:rPr>
                <w:rFonts w:ascii="Sylfaen" w:hAnsi="Sylfaen" w:cs="Times New Roman"/>
                <w:b/>
                <w:bCs/>
                <w:noProof/>
                <w:sz w:val="18"/>
                <w:szCs w:val="18"/>
              </w:rPr>
            </w:pPr>
          </w:p>
          <w:p w14:paraId="13E75AEA" w14:textId="77777777" w:rsidR="00C57414" w:rsidRPr="001C3C36" w:rsidRDefault="00C57414" w:rsidP="00BC0A56">
            <w:pPr>
              <w:jc w:val="center"/>
              <w:rPr>
                <w:rFonts w:ascii="Sylfaen" w:hAnsi="Sylfaen" w:cs="Times New Roman"/>
                <w:b/>
                <w:bCs/>
                <w:noProof/>
                <w:sz w:val="18"/>
                <w:szCs w:val="18"/>
              </w:rPr>
            </w:pPr>
          </w:p>
          <w:p w14:paraId="1F774689" w14:textId="2D977B21" w:rsidR="00C57414" w:rsidRPr="001C3C36" w:rsidRDefault="00C57414" w:rsidP="00BC0A56">
            <w:pPr>
              <w:jc w:val="center"/>
              <w:rPr>
                <w:rFonts w:ascii="Sylfaen" w:hAnsi="Sylfaen" w:cs="Times New Roman"/>
                <w:b/>
                <w:bCs/>
                <w:noProof/>
                <w:sz w:val="18"/>
                <w:szCs w:val="18"/>
              </w:rPr>
            </w:pPr>
            <w:r w:rsidRPr="001C3C36">
              <w:rPr>
                <w:rFonts w:ascii="Sylfaen" w:hAnsi="Sylfaen" w:cs="Times New Roman"/>
                <w:noProof/>
                <w:sz w:val="18"/>
                <w:szCs w:val="18"/>
              </w:rPr>
              <w:t>31.8</w:t>
            </w:r>
            <w:r w:rsidRPr="001C3C36">
              <w:rPr>
                <w:rFonts w:ascii="Sylfaen" w:hAnsi="Sylfaen" w:cs="Times New Roman"/>
                <w:noProof/>
                <w:sz w:val="18"/>
                <w:szCs w:val="18"/>
                <w:vertAlign w:val="superscript"/>
              </w:rPr>
              <w:t>*</w:t>
            </w:r>
          </w:p>
        </w:tc>
        <w:tc>
          <w:tcPr>
            <w:tcW w:w="1623" w:type="dxa"/>
          </w:tcPr>
          <w:p w14:paraId="275B7CB4" w14:textId="77777777" w:rsidR="00C57414" w:rsidRPr="001C3C36" w:rsidRDefault="00C57414" w:rsidP="00BC0A56">
            <w:pPr>
              <w:jc w:val="center"/>
              <w:rPr>
                <w:rFonts w:ascii="Sylfaen" w:hAnsi="Sylfaen" w:cs="Times New Roman"/>
                <w:b/>
                <w:bCs/>
                <w:noProof/>
                <w:sz w:val="18"/>
                <w:szCs w:val="18"/>
              </w:rPr>
            </w:pPr>
          </w:p>
          <w:p w14:paraId="7BCBC573" w14:textId="77777777" w:rsidR="00C57414" w:rsidRPr="001C3C36" w:rsidRDefault="00C57414" w:rsidP="00BC0A56">
            <w:pPr>
              <w:jc w:val="center"/>
              <w:rPr>
                <w:rFonts w:ascii="Sylfaen" w:hAnsi="Sylfaen" w:cs="Times New Roman"/>
                <w:b/>
                <w:bCs/>
                <w:noProof/>
                <w:sz w:val="18"/>
                <w:szCs w:val="18"/>
              </w:rPr>
            </w:pPr>
          </w:p>
          <w:p w14:paraId="3DD9C02C" w14:textId="5362D898" w:rsidR="00C57414" w:rsidRPr="001C3C36" w:rsidRDefault="00C57414" w:rsidP="00BC0A56">
            <w:pPr>
              <w:jc w:val="center"/>
              <w:rPr>
                <w:rFonts w:ascii="Sylfaen" w:hAnsi="Sylfaen" w:cs="Times New Roman"/>
                <w:b/>
                <w:bCs/>
                <w:noProof/>
                <w:sz w:val="18"/>
                <w:szCs w:val="18"/>
              </w:rPr>
            </w:pPr>
            <w:r w:rsidRPr="001C3C36">
              <w:rPr>
                <w:rFonts w:ascii="Sylfaen" w:hAnsi="Sylfaen" w:cs="Times New Roman"/>
                <w:noProof/>
                <w:sz w:val="18"/>
                <w:szCs w:val="18"/>
              </w:rPr>
              <w:t>11.1</w:t>
            </w:r>
          </w:p>
        </w:tc>
      </w:tr>
      <w:tr w:rsidR="00C57414" w:rsidRPr="001C3C36" w14:paraId="64D306F1" w14:textId="77777777" w:rsidTr="00C57414">
        <w:tc>
          <w:tcPr>
            <w:tcW w:w="2732" w:type="dxa"/>
          </w:tcPr>
          <w:p w14:paraId="68D984E1" w14:textId="77777777" w:rsidR="00C57414" w:rsidRPr="001C3C36" w:rsidRDefault="00C57414" w:rsidP="00BC0A56">
            <w:pPr>
              <w:rPr>
                <w:rFonts w:ascii="Sylfaen" w:hAnsi="Sylfaen" w:cs="Times New Roman"/>
                <w:b/>
                <w:bCs/>
                <w:noProof/>
                <w:sz w:val="18"/>
                <w:szCs w:val="18"/>
              </w:rPr>
            </w:pPr>
            <w:r w:rsidRPr="001C3C36">
              <w:rPr>
                <w:rFonts w:ascii="Sylfaen" w:hAnsi="Sylfaen" w:cs="Times New Roman"/>
                <w:b/>
                <w:bCs/>
                <w:noProof/>
                <w:sz w:val="18"/>
                <w:szCs w:val="18"/>
              </w:rPr>
              <w:t>სხეულის წონა (კგ)</w:t>
            </w:r>
          </w:p>
          <w:p w14:paraId="7BCB9FE0" w14:textId="77777777" w:rsidR="00C57414" w:rsidRPr="001C3C36" w:rsidRDefault="00C57414"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4DC1430B" w14:textId="77777777" w:rsidR="00C57414" w:rsidRPr="001C3C36" w:rsidRDefault="00C57414"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0A35E1C7" w14:textId="77777777" w:rsidR="00C57414" w:rsidRPr="001C3C36" w:rsidRDefault="00C57414" w:rsidP="00BC0A56">
            <w:pPr>
              <w:rPr>
                <w:rFonts w:ascii="Sylfaen" w:hAnsi="Sylfaen" w:cs="Times New Roman"/>
                <w:noProof/>
                <w:sz w:val="18"/>
                <w:szCs w:val="18"/>
                <w:vertAlign w:val="superscript"/>
              </w:rPr>
            </w:pPr>
            <w:r w:rsidRPr="001C3C36">
              <w:rPr>
                <w:rFonts w:ascii="Sylfaen" w:hAnsi="Sylfaen" w:cs="Sylfaen"/>
                <w:noProof/>
                <w:sz w:val="18"/>
                <w:szCs w:val="18"/>
              </w:rPr>
              <w:t>პლაცებოსთან შედარებით განსხვავება</w:t>
            </w:r>
            <w:r w:rsidRPr="001C3C36">
              <w:rPr>
                <w:rFonts w:ascii="Sylfaen" w:hAnsi="Sylfaen" w:cs="Sylfaen"/>
                <w:noProof/>
                <w:sz w:val="18"/>
                <w:szCs w:val="18"/>
                <w:vertAlign w:val="superscript"/>
              </w:rPr>
              <w:t>c</w:t>
            </w:r>
          </w:p>
          <w:p w14:paraId="50234E88" w14:textId="77777777"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lastRenderedPageBreak/>
              <w:t>(95%-</w:t>
            </w:r>
            <w:r w:rsidRPr="001C3C36">
              <w:rPr>
                <w:rFonts w:ascii="Sylfaen" w:hAnsi="Sylfaen" w:cs="Sylfaen"/>
                <w:noProof/>
                <w:sz w:val="18"/>
                <w:szCs w:val="18"/>
              </w:rPr>
              <w:t>იანი</w:t>
            </w:r>
            <w:r w:rsidRPr="001C3C36">
              <w:rPr>
                <w:rFonts w:ascii="Sylfaen" w:hAnsi="Sylfaen" w:cs="Times New Roman"/>
                <w:noProof/>
                <w:sz w:val="18"/>
                <w:szCs w:val="18"/>
              </w:rPr>
              <w:t xml:space="preserve"> </w:t>
            </w:r>
            <w:r w:rsidRPr="001C3C36">
              <w:rPr>
                <w:rFonts w:ascii="Sylfaen" w:hAnsi="Sylfaen" w:cs="Sylfaen"/>
                <w:noProof/>
                <w:sz w:val="18"/>
                <w:szCs w:val="18"/>
              </w:rPr>
              <w:t>სანდოობის</w:t>
            </w:r>
            <w:r w:rsidRPr="001C3C36">
              <w:rPr>
                <w:rFonts w:ascii="Sylfaen" w:hAnsi="Sylfaen" w:cs="Times New Roman"/>
                <w:noProof/>
                <w:sz w:val="18"/>
                <w:szCs w:val="18"/>
              </w:rPr>
              <w:t xml:space="preserve"> </w:t>
            </w:r>
            <w:r w:rsidRPr="001C3C36">
              <w:rPr>
                <w:rFonts w:ascii="Sylfaen" w:hAnsi="Sylfaen" w:cs="Sylfaen"/>
                <w:noProof/>
                <w:sz w:val="18"/>
                <w:szCs w:val="18"/>
              </w:rPr>
              <w:t>ინტერვალი</w:t>
            </w:r>
            <w:r w:rsidRPr="001C3C36">
              <w:rPr>
                <w:rFonts w:ascii="Sylfaen" w:hAnsi="Sylfaen" w:cs="Times New Roman"/>
                <w:noProof/>
                <w:sz w:val="18"/>
                <w:szCs w:val="18"/>
              </w:rPr>
              <w:t>)</w:t>
            </w:r>
          </w:p>
        </w:tc>
        <w:tc>
          <w:tcPr>
            <w:tcW w:w="1851" w:type="dxa"/>
          </w:tcPr>
          <w:p w14:paraId="5AA9A9BE" w14:textId="77777777" w:rsidR="00C57414" w:rsidRPr="001C3C36" w:rsidRDefault="00C57414" w:rsidP="00BC0A56">
            <w:pPr>
              <w:rPr>
                <w:rFonts w:ascii="Sylfaen" w:hAnsi="Sylfaen" w:cs="Times New Roman"/>
                <w:b/>
                <w:bCs/>
                <w:noProof/>
                <w:sz w:val="18"/>
                <w:szCs w:val="18"/>
              </w:rPr>
            </w:pPr>
          </w:p>
          <w:p w14:paraId="39E1B7B7" w14:textId="77777777" w:rsidR="00C57414" w:rsidRPr="001C3C36" w:rsidRDefault="00C57414" w:rsidP="00BC0A56">
            <w:pPr>
              <w:rPr>
                <w:rFonts w:ascii="Sylfaen" w:hAnsi="Sylfaen" w:cs="Times New Roman"/>
                <w:b/>
                <w:bCs/>
                <w:noProof/>
                <w:sz w:val="18"/>
                <w:szCs w:val="18"/>
              </w:rPr>
            </w:pPr>
          </w:p>
          <w:p w14:paraId="2351AB38" w14:textId="77777777"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80.56</w:t>
            </w:r>
          </w:p>
          <w:p w14:paraId="31C5A8FC" w14:textId="77777777" w:rsidR="00C57414" w:rsidRPr="001C3C36" w:rsidRDefault="00C57414" w:rsidP="00BC0A56">
            <w:pPr>
              <w:rPr>
                <w:rFonts w:ascii="Sylfaen" w:hAnsi="Sylfaen" w:cs="Times New Roman"/>
                <w:noProof/>
                <w:sz w:val="18"/>
                <w:szCs w:val="18"/>
              </w:rPr>
            </w:pPr>
          </w:p>
          <w:p w14:paraId="0F223E9E" w14:textId="1EB8C761"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-2.26</w:t>
            </w:r>
          </w:p>
          <w:p w14:paraId="55C6DE03" w14:textId="77777777" w:rsidR="00C57414" w:rsidRPr="001C3C36" w:rsidRDefault="00C57414" w:rsidP="00BC0A56">
            <w:pPr>
              <w:rPr>
                <w:rFonts w:ascii="Sylfaen" w:hAnsi="Sylfaen" w:cs="Times New Roman"/>
                <w:noProof/>
                <w:sz w:val="18"/>
                <w:szCs w:val="18"/>
              </w:rPr>
            </w:pPr>
          </w:p>
          <w:p w14:paraId="2FC8DA83" w14:textId="06F08FBC"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-1.54</w:t>
            </w:r>
            <w:r w:rsidRPr="001C3C36">
              <w:rPr>
                <w:rFonts w:ascii="Sylfaen" w:hAnsi="Sylfaen" w:cs="Times New Roman"/>
                <w:noProof/>
                <w:sz w:val="18"/>
                <w:szCs w:val="18"/>
                <w:vertAlign w:val="superscript"/>
              </w:rPr>
              <w:t>*</w:t>
            </w:r>
          </w:p>
          <w:p w14:paraId="2989AA94" w14:textId="4773A663"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(-2.17, -0.92)</w:t>
            </w:r>
          </w:p>
        </w:tc>
        <w:tc>
          <w:tcPr>
            <w:tcW w:w="1622" w:type="dxa"/>
          </w:tcPr>
          <w:p w14:paraId="63E90C84" w14:textId="77777777" w:rsidR="00C57414" w:rsidRPr="001C3C36" w:rsidRDefault="00C57414" w:rsidP="00BC0A56">
            <w:pPr>
              <w:rPr>
                <w:rFonts w:ascii="Sylfaen" w:hAnsi="Sylfaen" w:cs="Times New Roman"/>
                <w:b/>
                <w:bCs/>
                <w:noProof/>
                <w:sz w:val="18"/>
                <w:szCs w:val="18"/>
              </w:rPr>
            </w:pPr>
          </w:p>
          <w:p w14:paraId="7E921BAF" w14:textId="77777777" w:rsidR="00C57414" w:rsidRPr="001C3C36" w:rsidRDefault="00C57414" w:rsidP="00BC0A56">
            <w:pPr>
              <w:rPr>
                <w:rFonts w:ascii="Sylfaen" w:hAnsi="Sylfaen" w:cs="Times New Roman"/>
                <w:b/>
                <w:bCs/>
                <w:noProof/>
                <w:sz w:val="18"/>
                <w:szCs w:val="18"/>
              </w:rPr>
            </w:pPr>
          </w:p>
          <w:p w14:paraId="463D12D1" w14:textId="77777777"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80.94</w:t>
            </w:r>
          </w:p>
          <w:p w14:paraId="358843EF" w14:textId="77777777" w:rsidR="00C57414" w:rsidRPr="001C3C36" w:rsidRDefault="00C57414" w:rsidP="00BC0A56">
            <w:pPr>
              <w:rPr>
                <w:rFonts w:ascii="Sylfaen" w:hAnsi="Sylfaen" w:cs="Times New Roman"/>
                <w:noProof/>
                <w:sz w:val="18"/>
                <w:szCs w:val="18"/>
              </w:rPr>
            </w:pPr>
          </w:p>
          <w:p w14:paraId="0BCE2616" w14:textId="493FF434"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-0.72</w:t>
            </w:r>
          </w:p>
        </w:tc>
        <w:tc>
          <w:tcPr>
            <w:tcW w:w="1851" w:type="dxa"/>
          </w:tcPr>
          <w:p w14:paraId="1C77448D" w14:textId="77777777" w:rsidR="00C57414" w:rsidRPr="001C3C36" w:rsidRDefault="00C57414" w:rsidP="00BC0A56">
            <w:pPr>
              <w:rPr>
                <w:rFonts w:ascii="Sylfaen" w:hAnsi="Sylfaen" w:cs="Times New Roman"/>
                <w:b/>
                <w:bCs/>
                <w:noProof/>
                <w:sz w:val="18"/>
                <w:szCs w:val="18"/>
              </w:rPr>
            </w:pPr>
          </w:p>
          <w:p w14:paraId="268D95D0" w14:textId="77777777" w:rsidR="00C57414" w:rsidRPr="001C3C36" w:rsidRDefault="00C57414" w:rsidP="00BC0A56">
            <w:pPr>
              <w:rPr>
                <w:rFonts w:ascii="Sylfaen" w:hAnsi="Sylfaen" w:cs="Times New Roman"/>
                <w:b/>
                <w:bCs/>
                <w:noProof/>
                <w:sz w:val="18"/>
                <w:szCs w:val="18"/>
              </w:rPr>
            </w:pPr>
          </w:p>
          <w:p w14:paraId="20B91612" w14:textId="77777777"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88.57</w:t>
            </w:r>
          </w:p>
          <w:p w14:paraId="54723DB2" w14:textId="77777777" w:rsidR="00C57414" w:rsidRPr="001C3C36" w:rsidRDefault="00C57414" w:rsidP="00BC0A56">
            <w:pPr>
              <w:rPr>
                <w:rFonts w:ascii="Sylfaen" w:hAnsi="Sylfaen" w:cs="Times New Roman"/>
                <w:noProof/>
                <w:sz w:val="18"/>
                <w:szCs w:val="18"/>
              </w:rPr>
            </w:pPr>
          </w:p>
          <w:p w14:paraId="77906B48" w14:textId="47A307E2"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-2.65</w:t>
            </w:r>
          </w:p>
          <w:p w14:paraId="7E8514BF" w14:textId="77777777" w:rsidR="00C57414" w:rsidRPr="001C3C36" w:rsidRDefault="00C57414" w:rsidP="00BC0A56">
            <w:pPr>
              <w:rPr>
                <w:rFonts w:ascii="Sylfaen" w:hAnsi="Sylfaen" w:cs="Times New Roman"/>
                <w:noProof/>
                <w:sz w:val="18"/>
                <w:szCs w:val="18"/>
              </w:rPr>
            </w:pPr>
          </w:p>
          <w:p w14:paraId="7A709294" w14:textId="3DB5B247"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−2.07</w:t>
            </w:r>
            <w:r w:rsidRPr="001C3C36">
              <w:rPr>
                <w:rFonts w:ascii="Sylfaen" w:hAnsi="Sylfaen" w:cs="Times New Roman"/>
                <w:noProof/>
                <w:sz w:val="18"/>
                <w:szCs w:val="18"/>
                <w:vertAlign w:val="superscript"/>
              </w:rPr>
              <w:t>*</w:t>
            </w:r>
          </w:p>
          <w:p w14:paraId="380C6CE2" w14:textId="4BB4277C"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(−2.79, −1.35)</w:t>
            </w:r>
          </w:p>
        </w:tc>
        <w:tc>
          <w:tcPr>
            <w:tcW w:w="1623" w:type="dxa"/>
          </w:tcPr>
          <w:p w14:paraId="292E7685" w14:textId="77777777" w:rsidR="00C57414" w:rsidRPr="001C3C36" w:rsidRDefault="00C57414" w:rsidP="00BC0A56">
            <w:pPr>
              <w:rPr>
                <w:rFonts w:ascii="Sylfaen" w:hAnsi="Sylfaen" w:cs="Times New Roman"/>
                <w:b/>
                <w:bCs/>
                <w:noProof/>
                <w:sz w:val="18"/>
                <w:szCs w:val="18"/>
              </w:rPr>
            </w:pPr>
          </w:p>
          <w:p w14:paraId="768590B9" w14:textId="77777777" w:rsidR="00C57414" w:rsidRPr="001C3C36" w:rsidRDefault="00C57414" w:rsidP="00BC0A56">
            <w:pPr>
              <w:rPr>
                <w:rFonts w:ascii="Sylfaen" w:hAnsi="Sylfaen" w:cs="Times New Roman"/>
                <w:b/>
                <w:bCs/>
                <w:noProof/>
                <w:sz w:val="18"/>
                <w:szCs w:val="18"/>
              </w:rPr>
            </w:pPr>
          </w:p>
          <w:p w14:paraId="7D0E0330" w14:textId="77777777"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90.07</w:t>
            </w:r>
          </w:p>
          <w:p w14:paraId="293108C6" w14:textId="77777777" w:rsidR="00C57414" w:rsidRPr="001C3C36" w:rsidRDefault="00C57414" w:rsidP="00BC0A56">
            <w:pPr>
              <w:rPr>
                <w:rFonts w:ascii="Sylfaen" w:hAnsi="Sylfaen" w:cs="Times New Roman"/>
                <w:noProof/>
                <w:sz w:val="18"/>
                <w:szCs w:val="18"/>
              </w:rPr>
            </w:pPr>
          </w:p>
          <w:p w14:paraId="4C61F3CE" w14:textId="5279E41D" w:rsidR="00C57414" w:rsidRPr="001C3C36" w:rsidRDefault="00C57414" w:rsidP="00BC0A56">
            <w:pPr>
              <w:rPr>
                <w:rFonts w:ascii="Sylfaen" w:hAnsi="Sylfaen" w:cs="Times New Roman"/>
                <w:noProof/>
                <w:sz w:val="18"/>
                <w:szCs w:val="18"/>
              </w:rPr>
            </w:pPr>
            <w:r w:rsidRPr="001C3C36">
              <w:rPr>
                <w:rFonts w:ascii="Sylfaen" w:hAnsi="Sylfaen" w:cs="Times New Roman"/>
                <w:noProof/>
                <w:sz w:val="18"/>
                <w:szCs w:val="18"/>
              </w:rPr>
              <w:t>-0.58</w:t>
            </w:r>
          </w:p>
        </w:tc>
      </w:tr>
    </w:tbl>
    <w:p w14:paraId="4FE72366" w14:textId="77777777" w:rsidR="00C57414" w:rsidRPr="00850096" w:rsidRDefault="00C57414" w:rsidP="00BC0A56">
      <w:pPr>
        <w:spacing w:after="0" w:line="240" w:lineRule="auto"/>
        <w:rPr>
          <w:rFonts w:ascii="Sylfaen" w:hAnsi="Sylfaen"/>
          <w:noProof/>
          <w:sz w:val="20"/>
          <w:szCs w:val="20"/>
        </w:rPr>
      </w:pPr>
      <w:r w:rsidRPr="00850096">
        <w:rPr>
          <w:rFonts w:ascii="Sylfaen" w:hAnsi="Sylfaen"/>
          <w:noProof/>
          <w:sz w:val="20"/>
          <w:szCs w:val="20"/>
        </w:rPr>
        <w:t>¹ გლიმეპირიდი 4 მგ/დღეში;</w:t>
      </w:r>
    </w:p>
    <w:p w14:paraId="7145DB9D" w14:textId="77777777" w:rsidR="00C57414" w:rsidRPr="00850096" w:rsidRDefault="00C57414" w:rsidP="00BC0A56">
      <w:pPr>
        <w:spacing w:after="0" w:line="240" w:lineRule="auto"/>
        <w:rPr>
          <w:rFonts w:ascii="Sylfaen" w:hAnsi="Sylfaen"/>
          <w:noProof/>
          <w:sz w:val="20"/>
          <w:szCs w:val="20"/>
        </w:rPr>
      </w:pPr>
      <w:r w:rsidRPr="00850096">
        <w:rPr>
          <w:rFonts w:ascii="Sylfaen" w:hAnsi="Sylfaen"/>
          <w:noProof/>
          <w:sz w:val="20"/>
          <w:szCs w:val="20"/>
        </w:rPr>
        <w:t>² მეტფორმინი (დაუყოვნებელი ან გახანგრძლივებული გამოთავისუფლების ფორმულაციები) ≥1 500 მგ/დღეში, სულფონილშარდოვანას მაქსიმალურად ასატან დოზასთან ერთად, რომელიც უნდა შეადგენდეს მაქსიმალური დოზის არანაკლებ ნახევარს, ჩართვამდე სულ მცირე 8 კვირის განმავლობაში.</w:t>
      </w:r>
    </w:p>
    <w:p w14:paraId="200714E4" w14:textId="77777777" w:rsidR="00C57414" w:rsidRPr="00850096" w:rsidRDefault="00C57414"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ᵃ</w:t>
      </w:r>
      <w:r w:rsidRPr="00850096">
        <w:rPr>
          <w:rFonts w:ascii="Sylfaen" w:hAnsi="Sylfaen"/>
          <w:noProof/>
          <w:sz w:val="20"/>
          <w:szCs w:val="20"/>
        </w:rPr>
        <w:t xml:space="preserve"> რანდომიზებული და ნამკურნალები პაციენტები, რომლებსაც ჰქონდათ საწყისი მაჩვენებელი და ეფექტურობის სულ მცირე 1 მაჩვენებელი საწყისი ეტაპის შემდგომ.</w:t>
      </w:r>
    </w:p>
    <w:p w14:paraId="4AB9363C" w14:textId="77777777" w:rsidR="00C57414" w:rsidRPr="00850096" w:rsidRDefault="00C57414"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ᵇ</w:t>
      </w:r>
      <w:r w:rsidRPr="00850096">
        <w:rPr>
          <w:rFonts w:ascii="Sylfaen" w:hAnsi="Sylfaen"/>
          <w:noProof/>
          <w:sz w:val="20"/>
          <w:szCs w:val="20"/>
        </w:rPr>
        <w:t xml:space="preserve"> სვეტები 1 და 2: HbA1c გაანალიზებული იყო LOCF მეთოდით (იხ. სქოლიო d); სვეტები 3 და 4: HbA1c გაანალიზებული იყო LRM მეთოდით (იხ. სქოლიო e).</w:t>
      </w:r>
    </w:p>
    <w:p w14:paraId="3E62799C" w14:textId="77777777" w:rsidR="00C57414" w:rsidRPr="00850096" w:rsidRDefault="00C57414"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ᶜ</w:t>
      </w:r>
      <w:r w:rsidRPr="00850096">
        <w:rPr>
          <w:rFonts w:ascii="Sylfaen" w:hAnsi="Sylfaen"/>
          <w:noProof/>
          <w:sz w:val="20"/>
          <w:szCs w:val="20"/>
        </w:rPr>
        <w:t xml:space="preserve"> უმცირესი კვადრატების საშუალო, კორექტირებული საწყისი მნიშვნელობის მიხედვით.</w:t>
      </w:r>
    </w:p>
    <w:p w14:paraId="62E01908" w14:textId="77777777" w:rsidR="00C57414" w:rsidRPr="00850096" w:rsidRDefault="00C57414"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ᵈ</w:t>
      </w:r>
      <w:r w:rsidRPr="00850096">
        <w:rPr>
          <w:rFonts w:ascii="Sylfaen" w:hAnsi="Sylfaen"/>
          <w:noProof/>
          <w:sz w:val="20"/>
          <w:szCs w:val="20"/>
        </w:rPr>
        <w:t xml:space="preserve"> LOCF: ბოლო დაკვირვება (გადარჩენისთვის დამატებითი მკურნალობის მიმღები სუბიექტებისთვის — გადარჩენისთვის დამატებითი მკურნალობის დაწყებამდე) გადატანილი წინ.</w:t>
      </w:r>
    </w:p>
    <w:p w14:paraId="4A2D2D0F" w14:textId="77777777" w:rsidR="00C57414" w:rsidRPr="00850096" w:rsidRDefault="00C57414"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ᵉ</w:t>
      </w:r>
      <w:r w:rsidRPr="00850096">
        <w:rPr>
          <w:rFonts w:ascii="Sylfaen" w:hAnsi="Sylfaen"/>
          <w:noProof/>
          <w:sz w:val="20"/>
          <w:szCs w:val="20"/>
        </w:rPr>
        <w:t xml:space="preserve"> LRM: განმეორებითი გაზომვების გრძივი ანალიზი.</w:t>
      </w:r>
    </w:p>
    <w:p w14:paraId="42267A88" w14:textId="2A8D2842" w:rsidR="00C57414" w:rsidRPr="00850096" w:rsidRDefault="00CE0EBF" w:rsidP="00BC0A56">
      <w:pPr>
        <w:spacing w:after="0" w:line="240" w:lineRule="auto"/>
        <w:rPr>
          <w:rFonts w:ascii="Sylfaen" w:hAnsi="Sylfaen"/>
          <w:noProof/>
          <w:sz w:val="20"/>
          <w:szCs w:val="20"/>
        </w:rPr>
      </w:pPr>
      <w:r w:rsidRPr="00850096">
        <w:rPr>
          <w:rFonts w:ascii="Sylfaen" w:hAnsi="Sylfaen"/>
          <w:noProof/>
          <w:sz w:val="20"/>
          <w:szCs w:val="20"/>
        </w:rPr>
        <w:t xml:space="preserve">* </w:t>
      </w:r>
      <w:r w:rsidR="00C57414" w:rsidRPr="00850096">
        <w:rPr>
          <w:rFonts w:ascii="Sylfaen" w:hAnsi="Sylfaen"/>
          <w:noProof/>
          <w:sz w:val="20"/>
          <w:szCs w:val="20"/>
        </w:rPr>
        <w:t>p-მნიშვნელობა &lt; 0,0001 პლაცებოსთან + პერორალურ გლუკოზის დონის დამაქვეითებელ სამკურნალო საშუალებებთან შედარებით.</w:t>
      </w:r>
    </w:p>
    <w:p w14:paraId="77AC9331" w14:textId="77777777" w:rsidR="00E20D62" w:rsidRPr="00850096" w:rsidRDefault="00E20D62" w:rsidP="00BC0A56">
      <w:pPr>
        <w:spacing w:after="0" w:line="240" w:lineRule="auto"/>
        <w:rPr>
          <w:rFonts w:ascii="Sylfaen" w:hAnsi="Sylfaen"/>
          <w:noProof/>
          <w:sz w:val="20"/>
          <w:szCs w:val="20"/>
        </w:rPr>
      </w:pPr>
    </w:p>
    <w:p w14:paraId="00A470D7" w14:textId="78EF9D1D" w:rsidR="00E20D62" w:rsidRPr="00850096" w:rsidRDefault="00E20D62" w:rsidP="00BC0A56">
      <w:pPr>
        <w:spacing w:after="0" w:line="240" w:lineRule="auto"/>
        <w:rPr>
          <w:rFonts w:ascii="Sylfaen" w:hAnsi="Sylfaen"/>
          <w:b/>
          <w:bCs/>
          <w:noProof/>
          <w:sz w:val="20"/>
          <w:szCs w:val="20"/>
        </w:rPr>
      </w:pPr>
      <w:r w:rsidRPr="00850096">
        <w:rPr>
          <w:rFonts w:ascii="Sylfaen" w:hAnsi="Sylfaen"/>
          <w:b/>
          <w:bCs/>
          <w:noProof/>
          <w:sz w:val="20"/>
          <w:szCs w:val="20"/>
        </w:rPr>
        <w:t xml:space="preserve">ცხრილი </w:t>
      </w:r>
      <w:r w:rsidR="00CE0EBF" w:rsidRPr="00850096">
        <w:rPr>
          <w:rFonts w:ascii="Sylfaen" w:hAnsi="Sylfaen"/>
          <w:b/>
          <w:bCs/>
          <w:noProof/>
          <w:sz w:val="20"/>
          <w:szCs w:val="20"/>
        </w:rPr>
        <w:t>6</w:t>
      </w:r>
      <w:r w:rsidRPr="00850096">
        <w:rPr>
          <w:rFonts w:ascii="Sylfaen" w:hAnsi="Sylfaen"/>
          <w:b/>
          <w:bCs/>
          <w:noProof/>
          <w:sz w:val="20"/>
          <w:szCs w:val="20"/>
        </w:rPr>
        <w:t xml:space="preserve">: </w:t>
      </w:r>
      <w:r w:rsidR="00DC1878" w:rsidRPr="00850096">
        <w:rPr>
          <w:rFonts w:ascii="Sylfaen" w:hAnsi="Sylfaen"/>
          <w:b/>
          <w:bCs/>
          <w:noProof/>
          <w:sz w:val="20"/>
          <w:szCs w:val="20"/>
        </w:rPr>
        <w:t>შედეგები 24-ე კვირაზე (LOCF) დაპაგლიფლოზინისა და ინსულინის (ცალკე ან გლუკოზის დამწევ პერორალურ პრეპარატებთან კომბინაციაში) გამოყენებით ჩატარებულ პლაცებო-კონტროლირებად კვლევაში.</w:t>
      </w:r>
    </w:p>
    <w:tbl>
      <w:tblPr>
        <w:tblStyle w:val="TableGrid"/>
        <w:tblW w:w="0" w:type="auto"/>
        <w:tblLook w:val="04A0" w:firstRow="1" w:lastRow="0" w:firstColumn="1" w:lastColumn="0" w:noHBand="0" w:noVBand="1"/>
      </w:tblPr>
      <w:tblGrid>
        <w:gridCol w:w="3397"/>
        <w:gridCol w:w="2977"/>
        <w:gridCol w:w="2642"/>
      </w:tblGrid>
      <w:tr w:rsidR="00DC1878" w:rsidRPr="001C3C36" w14:paraId="1DD7FF68" w14:textId="77777777" w:rsidTr="00DC1878">
        <w:trPr>
          <w:trHeight w:val="1124"/>
        </w:trPr>
        <w:tc>
          <w:tcPr>
            <w:tcW w:w="3397" w:type="dxa"/>
          </w:tcPr>
          <w:p w14:paraId="79FDB4C0" w14:textId="2AD9E14A" w:rsidR="00DC1878" w:rsidRPr="001C3C36" w:rsidRDefault="00DC1878" w:rsidP="00BC0A56">
            <w:pPr>
              <w:rPr>
                <w:rFonts w:ascii="Sylfaen" w:hAnsi="Sylfaen" w:cs="Times New Roman"/>
                <w:b/>
                <w:bCs/>
                <w:noProof/>
                <w:sz w:val="18"/>
                <w:szCs w:val="18"/>
              </w:rPr>
            </w:pPr>
            <w:r w:rsidRPr="001C3C36">
              <w:rPr>
                <w:rFonts w:ascii="Sylfaen" w:hAnsi="Sylfaen" w:cs="Sylfaen"/>
                <w:b/>
                <w:bCs/>
                <w:noProof/>
                <w:sz w:val="18"/>
                <w:szCs w:val="18"/>
              </w:rPr>
              <w:t>პარამეტრი</w:t>
            </w:r>
          </w:p>
        </w:tc>
        <w:tc>
          <w:tcPr>
            <w:tcW w:w="2977" w:type="dxa"/>
          </w:tcPr>
          <w:p w14:paraId="47F84456" w14:textId="3EF260FC" w:rsidR="00DC1878" w:rsidRPr="001C3C36" w:rsidRDefault="00DC1878"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r w:rsidRPr="001C3C36">
              <w:rPr>
                <w:rFonts w:ascii="Sylfaen" w:hAnsi="Sylfaen" w:cs="Times New Roman"/>
                <w:b/>
                <w:bCs/>
                <w:noProof/>
                <w:sz w:val="18"/>
                <w:szCs w:val="18"/>
              </w:rPr>
              <w:t xml:space="preserve"> 10 </w:t>
            </w:r>
            <w:r w:rsidRPr="001C3C36">
              <w:rPr>
                <w:rFonts w:ascii="Sylfaen" w:hAnsi="Sylfaen" w:cs="Sylfaen"/>
                <w:b/>
                <w:bCs/>
                <w:noProof/>
                <w:sz w:val="18"/>
                <w:szCs w:val="18"/>
              </w:rPr>
              <w:t>მგ</w:t>
            </w:r>
            <w:r w:rsidRPr="001C3C36">
              <w:rPr>
                <w:rFonts w:ascii="Sylfaen" w:hAnsi="Sylfaen" w:cs="Times New Roman"/>
                <w:b/>
                <w:bCs/>
                <w:noProof/>
                <w:sz w:val="18"/>
                <w:szCs w:val="18"/>
              </w:rPr>
              <w:t xml:space="preserve"> + </w:t>
            </w:r>
            <w:r w:rsidRPr="001C3C36">
              <w:rPr>
                <w:rFonts w:ascii="Sylfaen" w:hAnsi="Sylfaen" w:cs="Sylfaen"/>
                <w:b/>
                <w:bCs/>
                <w:noProof/>
                <w:sz w:val="18"/>
                <w:szCs w:val="18"/>
              </w:rPr>
              <w:t>ინსულინი</w:t>
            </w:r>
            <w:r w:rsidRPr="001C3C36">
              <w:rPr>
                <w:rFonts w:ascii="Sylfaen" w:hAnsi="Sylfaen" w:cs="Times New Roman"/>
                <w:b/>
                <w:bCs/>
                <w:noProof/>
                <w:sz w:val="18"/>
                <w:szCs w:val="18"/>
              </w:rPr>
              <w:t xml:space="preserve"> ± </w:t>
            </w:r>
            <w:r w:rsidRPr="001C3C36">
              <w:rPr>
                <w:rFonts w:ascii="Sylfaen" w:hAnsi="Sylfaen" w:cs="Sylfaen"/>
                <w:b/>
                <w:bCs/>
                <w:noProof/>
                <w:sz w:val="18"/>
                <w:szCs w:val="18"/>
              </w:rPr>
              <w:t>გლუკოზის</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დონის</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დამქვეითებელი</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პერორალური</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სამკურნალო</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საშუალებები</w:t>
            </w:r>
            <w:r w:rsidRPr="001C3C36">
              <w:rPr>
                <w:rFonts w:ascii="Sylfaen" w:hAnsi="Sylfaen" w:cs="Times New Roman"/>
                <w:noProof/>
                <w:sz w:val="18"/>
                <w:szCs w:val="18"/>
                <w:vertAlign w:val="superscript"/>
              </w:rPr>
              <w:t>2</w:t>
            </w:r>
          </w:p>
        </w:tc>
        <w:tc>
          <w:tcPr>
            <w:tcW w:w="2642" w:type="dxa"/>
          </w:tcPr>
          <w:p w14:paraId="0C8322BA" w14:textId="1405A3E6" w:rsidR="00DC1878" w:rsidRPr="001C3C36" w:rsidRDefault="00DC1878" w:rsidP="00BC0A56">
            <w:pPr>
              <w:jc w:val="center"/>
              <w:rPr>
                <w:rFonts w:ascii="Sylfaen" w:hAnsi="Sylfaen" w:cs="Times New Roman"/>
                <w:noProof/>
                <w:sz w:val="18"/>
                <w:szCs w:val="18"/>
                <w:vertAlign w:val="superscript"/>
              </w:rPr>
            </w:pPr>
            <w:r w:rsidRPr="001C3C36">
              <w:rPr>
                <w:rFonts w:ascii="Sylfaen" w:hAnsi="Sylfaen" w:cs="Sylfaen"/>
                <w:b/>
                <w:bCs/>
                <w:noProof/>
                <w:sz w:val="18"/>
                <w:szCs w:val="18"/>
              </w:rPr>
              <w:t>პლაცებო</w:t>
            </w:r>
            <w:r w:rsidRPr="001C3C36">
              <w:rPr>
                <w:rFonts w:ascii="Sylfaen" w:hAnsi="Sylfaen" w:cs="Times New Roman"/>
                <w:b/>
                <w:bCs/>
                <w:noProof/>
                <w:sz w:val="18"/>
                <w:szCs w:val="18"/>
              </w:rPr>
              <w:t xml:space="preserve"> + </w:t>
            </w:r>
            <w:r w:rsidRPr="001C3C36">
              <w:rPr>
                <w:rFonts w:ascii="Sylfaen" w:hAnsi="Sylfaen" w:cs="Sylfaen"/>
                <w:b/>
                <w:bCs/>
                <w:noProof/>
                <w:sz w:val="18"/>
                <w:szCs w:val="18"/>
              </w:rPr>
              <w:t>ინსულინი</w:t>
            </w:r>
            <w:r w:rsidRPr="001C3C36">
              <w:rPr>
                <w:rFonts w:ascii="Sylfaen" w:hAnsi="Sylfaen" w:cs="Times New Roman"/>
                <w:b/>
                <w:bCs/>
                <w:noProof/>
                <w:sz w:val="18"/>
                <w:szCs w:val="18"/>
              </w:rPr>
              <w:t xml:space="preserve"> ± </w:t>
            </w:r>
            <w:r w:rsidRPr="001C3C36">
              <w:rPr>
                <w:rFonts w:ascii="Sylfaen" w:hAnsi="Sylfaen" w:cs="Sylfaen"/>
                <w:b/>
                <w:bCs/>
                <w:noProof/>
                <w:sz w:val="18"/>
                <w:szCs w:val="18"/>
              </w:rPr>
              <w:t>პერორალური</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გლუკოზის</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დამქვეითებელი</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სამკურნალო</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საშუალებები</w:t>
            </w:r>
            <w:r w:rsidRPr="001C3C36">
              <w:rPr>
                <w:rFonts w:ascii="Sylfaen" w:hAnsi="Sylfaen" w:cs="Sylfaen"/>
                <w:b/>
                <w:bCs/>
                <w:noProof/>
                <w:sz w:val="18"/>
                <w:szCs w:val="18"/>
                <w:vertAlign w:val="superscript"/>
              </w:rPr>
              <w:t>2</w:t>
            </w:r>
          </w:p>
        </w:tc>
      </w:tr>
      <w:tr w:rsidR="00DC1878" w:rsidRPr="001C3C36" w14:paraId="7D6ADDE6" w14:textId="77777777" w:rsidTr="00DD48E8">
        <w:tc>
          <w:tcPr>
            <w:tcW w:w="3397" w:type="dxa"/>
          </w:tcPr>
          <w:p w14:paraId="026DF75A" w14:textId="77777777" w:rsidR="00DC1878" w:rsidRPr="001C3C36" w:rsidRDefault="00DC1878" w:rsidP="00BC0A56">
            <w:pPr>
              <w:rPr>
                <w:rFonts w:ascii="Sylfaen" w:hAnsi="Sylfaen" w:cs="Times New Roman"/>
                <w:noProof/>
                <w:sz w:val="18"/>
                <w:szCs w:val="18"/>
              </w:rPr>
            </w:pPr>
            <w:r w:rsidRPr="001C3C36">
              <w:rPr>
                <w:rFonts w:ascii="Sylfaen" w:hAnsi="Sylfaen" w:cs="Times New Roman"/>
                <w:b/>
                <w:bCs/>
                <w:noProof/>
                <w:sz w:val="18"/>
                <w:szCs w:val="18"/>
              </w:rPr>
              <w:t>N</w:t>
            </w:r>
            <w:r w:rsidRPr="001C3C36">
              <w:rPr>
                <w:rFonts w:ascii="Sylfaen" w:hAnsi="Sylfaen" w:cs="Times New Roman"/>
                <w:noProof/>
                <w:sz w:val="18"/>
                <w:szCs w:val="18"/>
                <w:vertAlign w:val="superscript"/>
              </w:rPr>
              <w:t>b</w:t>
            </w:r>
          </w:p>
        </w:tc>
        <w:tc>
          <w:tcPr>
            <w:tcW w:w="2977" w:type="dxa"/>
          </w:tcPr>
          <w:p w14:paraId="4FB6DE82"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194</w:t>
            </w:r>
          </w:p>
        </w:tc>
        <w:tc>
          <w:tcPr>
            <w:tcW w:w="2642" w:type="dxa"/>
          </w:tcPr>
          <w:p w14:paraId="3582FE84"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193</w:t>
            </w:r>
          </w:p>
        </w:tc>
      </w:tr>
      <w:tr w:rsidR="00DC1878" w:rsidRPr="001C3C36" w14:paraId="0BC103BF" w14:textId="77777777" w:rsidTr="00DD48E8">
        <w:tc>
          <w:tcPr>
            <w:tcW w:w="3397" w:type="dxa"/>
          </w:tcPr>
          <w:p w14:paraId="07CFB97E" w14:textId="77777777" w:rsidR="00DC1878" w:rsidRPr="001C3C36" w:rsidRDefault="00DC1878" w:rsidP="00BC0A56">
            <w:pPr>
              <w:rPr>
                <w:rFonts w:ascii="Sylfaen" w:hAnsi="Sylfaen" w:cs="Times New Roman"/>
                <w:b/>
                <w:bCs/>
                <w:noProof/>
                <w:sz w:val="18"/>
                <w:szCs w:val="18"/>
              </w:rPr>
            </w:pPr>
            <w:r w:rsidRPr="001C3C36">
              <w:rPr>
                <w:rFonts w:ascii="Sylfaen" w:hAnsi="Sylfaen" w:cs="Times New Roman"/>
                <w:b/>
                <w:bCs/>
                <w:noProof/>
                <w:sz w:val="18"/>
                <w:szCs w:val="18"/>
              </w:rPr>
              <w:t>HbA1c (%)</w:t>
            </w:r>
          </w:p>
          <w:p w14:paraId="28AADC18" w14:textId="77777777" w:rsidR="00DC1878" w:rsidRPr="001C3C36" w:rsidRDefault="00DC1878"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3DCA54F8" w14:textId="77777777" w:rsidR="00DC1878" w:rsidRPr="001C3C36" w:rsidRDefault="00DC1878"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162A762D" w14:textId="77777777" w:rsidR="00DC1878" w:rsidRPr="001C3C36" w:rsidRDefault="00DC1878" w:rsidP="00BC0A56">
            <w:pPr>
              <w:rPr>
                <w:rFonts w:ascii="Sylfaen" w:hAnsi="Sylfaen" w:cs="Times New Roman"/>
                <w:noProof/>
                <w:sz w:val="18"/>
                <w:szCs w:val="18"/>
                <w:vertAlign w:val="superscript"/>
              </w:rPr>
            </w:pPr>
            <w:r w:rsidRPr="001C3C36">
              <w:rPr>
                <w:rFonts w:ascii="Sylfaen" w:hAnsi="Sylfaen" w:cs="Sylfaen"/>
                <w:noProof/>
                <w:sz w:val="18"/>
                <w:szCs w:val="18"/>
              </w:rPr>
              <w:t>პლაცებოსთან შედარებით განსხვავება</w:t>
            </w:r>
            <w:r w:rsidRPr="001C3C36">
              <w:rPr>
                <w:rFonts w:ascii="Sylfaen" w:hAnsi="Sylfaen" w:cs="Sylfaen"/>
                <w:noProof/>
                <w:sz w:val="18"/>
                <w:szCs w:val="18"/>
                <w:vertAlign w:val="superscript"/>
              </w:rPr>
              <w:t>c</w:t>
            </w:r>
          </w:p>
          <w:p w14:paraId="4465C0B2" w14:textId="76046C25" w:rsidR="00DC1878" w:rsidRPr="001C3C36" w:rsidRDefault="00DC1878" w:rsidP="00BC0A56">
            <w:pPr>
              <w:rPr>
                <w:rFonts w:ascii="Sylfaen" w:hAnsi="Sylfaen" w:cs="Times New Roman"/>
                <w:noProof/>
                <w:sz w:val="18"/>
                <w:szCs w:val="18"/>
              </w:rPr>
            </w:pPr>
            <w:r w:rsidRPr="001C3C36">
              <w:rPr>
                <w:rFonts w:ascii="Sylfaen" w:hAnsi="Sylfaen" w:cs="Times New Roman"/>
                <w:noProof/>
                <w:sz w:val="18"/>
                <w:szCs w:val="18"/>
              </w:rPr>
              <w:t>(95%-</w:t>
            </w:r>
            <w:r w:rsidRPr="001C3C36">
              <w:rPr>
                <w:rFonts w:ascii="Sylfaen" w:hAnsi="Sylfaen" w:cs="Sylfaen"/>
                <w:noProof/>
                <w:sz w:val="18"/>
                <w:szCs w:val="18"/>
              </w:rPr>
              <w:t>იანი</w:t>
            </w:r>
            <w:r w:rsidRPr="001C3C36">
              <w:rPr>
                <w:rFonts w:ascii="Sylfaen" w:hAnsi="Sylfaen" w:cs="Times New Roman"/>
                <w:noProof/>
                <w:sz w:val="18"/>
                <w:szCs w:val="18"/>
              </w:rPr>
              <w:t xml:space="preserve"> </w:t>
            </w:r>
            <w:r w:rsidRPr="001C3C36">
              <w:rPr>
                <w:rFonts w:ascii="Sylfaen" w:hAnsi="Sylfaen" w:cs="Sylfaen"/>
                <w:noProof/>
                <w:sz w:val="18"/>
                <w:szCs w:val="18"/>
              </w:rPr>
              <w:t>სანდოობის</w:t>
            </w:r>
            <w:r w:rsidRPr="001C3C36">
              <w:rPr>
                <w:rFonts w:ascii="Sylfaen" w:hAnsi="Sylfaen" w:cs="Times New Roman"/>
                <w:noProof/>
                <w:sz w:val="18"/>
                <w:szCs w:val="18"/>
              </w:rPr>
              <w:t xml:space="preserve"> </w:t>
            </w:r>
            <w:r w:rsidRPr="001C3C36">
              <w:rPr>
                <w:rFonts w:ascii="Sylfaen" w:hAnsi="Sylfaen" w:cs="Sylfaen"/>
                <w:noProof/>
                <w:sz w:val="18"/>
                <w:szCs w:val="18"/>
              </w:rPr>
              <w:t>ინტერვალი</w:t>
            </w:r>
            <w:r w:rsidRPr="001C3C36">
              <w:rPr>
                <w:rFonts w:ascii="Sylfaen" w:hAnsi="Sylfaen" w:cs="Times New Roman"/>
                <w:noProof/>
                <w:sz w:val="18"/>
                <w:szCs w:val="18"/>
              </w:rPr>
              <w:t>)</w:t>
            </w:r>
          </w:p>
        </w:tc>
        <w:tc>
          <w:tcPr>
            <w:tcW w:w="2977" w:type="dxa"/>
          </w:tcPr>
          <w:p w14:paraId="0E9E356C" w14:textId="77777777" w:rsidR="00DC1878" w:rsidRPr="001C3C36" w:rsidRDefault="00DC1878" w:rsidP="00BC0A56">
            <w:pPr>
              <w:jc w:val="center"/>
              <w:rPr>
                <w:rFonts w:ascii="Sylfaen" w:hAnsi="Sylfaen" w:cs="Times New Roman"/>
                <w:noProof/>
                <w:sz w:val="18"/>
                <w:szCs w:val="18"/>
              </w:rPr>
            </w:pPr>
          </w:p>
          <w:p w14:paraId="66743205"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8.58</w:t>
            </w:r>
          </w:p>
          <w:p w14:paraId="12AFD617"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-0.90</w:t>
            </w:r>
          </w:p>
          <w:p w14:paraId="7EB4F5E3"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-0.60</w:t>
            </w:r>
            <w:r w:rsidRPr="001C3C36">
              <w:rPr>
                <w:rFonts w:ascii="Sylfaen" w:hAnsi="Sylfaen" w:cs="Times New Roman"/>
                <w:noProof/>
                <w:sz w:val="18"/>
                <w:szCs w:val="18"/>
                <w:vertAlign w:val="superscript"/>
              </w:rPr>
              <w:t>*</w:t>
            </w:r>
          </w:p>
          <w:p w14:paraId="7F49F4E1"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(-0.74, -0.45)</w:t>
            </w:r>
          </w:p>
        </w:tc>
        <w:tc>
          <w:tcPr>
            <w:tcW w:w="2642" w:type="dxa"/>
          </w:tcPr>
          <w:p w14:paraId="53445FD6" w14:textId="77777777" w:rsidR="00DC1878" w:rsidRPr="001C3C36" w:rsidRDefault="00DC1878" w:rsidP="00BC0A56">
            <w:pPr>
              <w:jc w:val="center"/>
              <w:rPr>
                <w:rFonts w:ascii="Sylfaen" w:hAnsi="Sylfaen" w:cs="Times New Roman"/>
                <w:noProof/>
                <w:sz w:val="18"/>
                <w:szCs w:val="18"/>
              </w:rPr>
            </w:pPr>
          </w:p>
          <w:p w14:paraId="011D7794"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8.46</w:t>
            </w:r>
          </w:p>
          <w:p w14:paraId="62810C48"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-0.30</w:t>
            </w:r>
          </w:p>
        </w:tc>
      </w:tr>
      <w:tr w:rsidR="00DC1878" w:rsidRPr="001C3C36" w14:paraId="7A61B516" w14:textId="77777777" w:rsidTr="00DD48E8">
        <w:tc>
          <w:tcPr>
            <w:tcW w:w="3397" w:type="dxa"/>
          </w:tcPr>
          <w:p w14:paraId="10A14FB5" w14:textId="77777777" w:rsidR="00DC1878" w:rsidRPr="001C3C36" w:rsidRDefault="00DC1878" w:rsidP="00BC0A56">
            <w:pPr>
              <w:rPr>
                <w:rFonts w:ascii="Sylfaen" w:hAnsi="Sylfaen" w:cs="Times New Roman"/>
                <w:b/>
                <w:bCs/>
                <w:noProof/>
                <w:sz w:val="18"/>
                <w:szCs w:val="18"/>
              </w:rPr>
            </w:pPr>
            <w:r w:rsidRPr="001C3C36">
              <w:rPr>
                <w:rFonts w:ascii="Sylfaen" w:hAnsi="Sylfaen" w:cs="Times New Roman"/>
                <w:b/>
                <w:bCs/>
                <w:noProof/>
                <w:sz w:val="18"/>
                <w:szCs w:val="18"/>
              </w:rPr>
              <w:t>სხეულის წონა (კგ)</w:t>
            </w:r>
          </w:p>
          <w:p w14:paraId="177B8269" w14:textId="77777777" w:rsidR="00DC1878" w:rsidRPr="001C3C36" w:rsidRDefault="00DC1878"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7846BDB3" w14:textId="77777777" w:rsidR="00DC1878" w:rsidRPr="001C3C36" w:rsidRDefault="00DC1878"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4CE867C6" w14:textId="77777777" w:rsidR="00DC1878" w:rsidRPr="001C3C36" w:rsidRDefault="00DC1878" w:rsidP="00BC0A56">
            <w:pPr>
              <w:rPr>
                <w:rFonts w:ascii="Sylfaen" w:hAnsi="Sylfaen" w:cs="Times New Roman"/>
                <w:noProof/>
                <w:sz w:val="18"/>
                <w:szCs w:val="18"/>
                <w:vertAlign w:val="superscript"/>
              </w:rPr>
            </w:pPr>
            <w:r w:rsidRPr="001C3C36">
              <w:rPr>
                <w:rFonts w:ascii="Sylfaen" w:hAnsi="Sylfaen" w:cs="Sylfaen"/>
                <w:noProof/>
                <w:sz w:val="18"/>
                <w:szCs w:val="18"/>
              </w:rPr>
              <w:t>პლაცებოსთან შედარებით განსხვავება</w:t>
            </w:r>
            <w:r w:rsidRPr="001C3C36">
              <w:rPr>
                <w:rFonts w:ascii="Sylfaen" w:hAnsi="Sylfaen" w:cs="Sylfaen"/>
                <w:noProof/>
                <w:sz w:val="18"/>
                <w:szCs w:val="18"/>
                <w:vertAlign w:val="superscript"/>
              </w:rPr>
              <w:t>c</w:t>
            </w:r>
          </w:p>
          <w:p w14:paraId="537400DB" w14:textId="0AE1F891" w:rsidR="00DC1878" w:rsidRPr="001C3C36" w:rsidRDefault="00DC1878" w:rsidP="00BC0A56">
            <w:pPr>
              <w:rPr>
                <w:rFonts w:ascii="Sylfaen" w:hAnsi="Sylfaen" w:cs="Times New Roman"/>
                <w:noProof/>
                <w:sz w:val="18"/>
                <w:szCs w:val="18"/>
              </w:rPr>
            </w:pPr>
            <w:r w:rsidRPr="001C3C36">
              <w:rPr>
                <w:rFonts w:ascii="Sylfaen" w:hAnsi="Sylfaen" w:cs="Times New Roman"/>
                <w:noProof/>
                <w:sz w:val="18"/>
                <w:szCs w:val="18"/>
              </w:rPr>
              <w:t>(95%-</w:t>
            </w:r>
            <w:r w:rsidRPr="001C3C36">
              <w:rPr>
                <w:rFonts w:ascii="Sylfaen" w:hAnsi="Sylfaen" w:cs="Sylfaen"/>
                <w:noProof/>
                <w:sz w:val="18"/>
                <w:szCs w:val="18"/>
              </w:rPr>
              <w:t>იანი</w:t>
            </w:r>
            <w:r w:rsidRPr="001C3C36">
              <w:rPr>
                <w:rFonts w:ascii="Sylfaen" w:hAnsi="Sylfaen" w:cs="Times New Roman"/>
                <w:noProof/>
                <w:sz w:val="18"/>
                <w:szCs w:val="18"/>
              </w:rPr>
              <w:t xml:space="preserve"> </w:t>
            </w:r>
            <w:r w:rsidRPr="001C3C36">
              <w:rPr>
                <w:rFonts w:ascii="Sylfaen" w:hAnsi="Sylfaen" w:cs="Sylfaen"/>
                <w:noProof/>
                <w:sz w:val="18"/>
                <w:szCs w:val="18"/>
              </w:rPr>
              <w:t>სანდოობის</w:t>
            </w:r>
            <w:r w:rsidRPr="001C3C36">
              <w:rPr>
                <w:rFonts w:ascii="Sylfaen" w:hAnsi="Sylfaen" w:cs="Times New Roman"/>
                <w:noProof/>
                <w:sz w:val="18"/>
                <w:szCs w:val="18"/>
              </w:rPr>
              <w:t xml:space="preserve"> </w:t>
            </w:r>
            <w:r w:rsidRPr="001C3C36">
              <w:rPr>
                <w:rFonts w:ascii="Sylfaen" w:hAnsi="Sylfaen" w:cs="Sylfaen"/>
                <w:noProof/>
                <w:sz w:val="18"/>
                <w:szCs w:val="18"/>
              </w:rPr>
              <w:t>ინტერვალი</w:t>
            </w:r>
            <w:r w:rsidRPr="001C3C36">
              <w:rPr>
                <w:rFonts w:ascii="Sylfaen" w:hAnsi="Sylfaen" w:cs="Times New Roman"/>
                <w:noProof/>
                <w:sz w:val="18"/>
                <w:szCs w:val="18"/>
              </w:rPr>
              <w:t>)</w:t>
            </w:r>
          </w:p>
        </w:tc>
        <w:tc>
          <w:tcPr>
            <w:tcW w:w="2977" w:type="dxa"/>
          </w:tcPr>
          <w:p w14:paraId="2451BC8F" w14:textId="77777777" w:rsidR="00DC1878" w:rsidRPr="001C3C36" w:rsidRDefault="00DC1878" w:rsidP="00BC0A56">
            <w:pPr>
              <w:jc w:val="center"/>
              <w:rPr>
                <w:rFonts w:ascii="Sylfaen" w:hAnsi="Sylfaen" w:cs="Times New Roman"/>
                <w:noProof/>
                <w:sz w:val="18"/>
                <w:szCs w:val="18"/>
              </w:rPr>
            </w:pPr>
          </w:p>
          <w:p w14:paraId="6EBB7C1C"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94.63</w:t>
            </w:r>
          </w:p>
          <w:p w14:paraId="299526EC"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-1.67</w:t>
            </w:r>
          </w:p>
          <w:p w14:paraId="5A03032D"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-1.68</w:t>
            </w:r>
            <w:r w:rsidRPr="001C3C36">
              <w:rPr>
                <w:rFonts w:ascii="Sylfaen" w:hAnsi="Sylfaen" w:cs="Times New Roman"/>
                <w:noProof/>
                <w:sz w:val="18"/>
                <w:szCs w:val="18"/>
                <w:vertAlign w:val="superscript"/>
              </w:rPr>
              <w:t>*</w:t>
            </w:r>
          </w:p>
          <w:p w14:paraId="409DAE37"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(-2.19, -1.18)</w:t>
            </w:r>
          </w:p>
        </w:tc>
        <w:tc>
          <w:tcPr>
            <w:tcW w:w="2642" w:type="dxa"/>
          </w:tcPr>
          <w:p w14:paraId="7C3137CA" w14:textId="77777777" w:rsidR="00DC1878" w:rsidRPr="001C3C36" w:rsidRDefault="00DC1878" w:rsidP="00BC0A56">
            <w:pPr>
              <w:jc w:val="center"/>
              <w:rPr>
                <w:rFonts w:ascii="Sylfaen" w:hAnsi="Sylfaen" w:cs="Times New Roman"/>
                <w:noProof/>
                <w:sz w:val="18"/>
                <w:szCs w:val="18"/>
              </w:rPr>
            </w:pPr>
          </w:p>
          <w:p w14:paraId="073628FD"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94.21</w:t>
            </w:r>
          </w:p>
          <w:p w14:paraId="43CF14E7"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0.02</w:t>
            </w:r>
          </w:p>
        </w:tc>
      </w:tr>
      <w:tr w:rsidR="00DC1878" w:rsidRPr="001C3C36" w14:paraId="73821C10" w14:textId="77777777" w:rsidTr="00DD48E8">
        <w:tc>
          <w:tcPr>
            <w:tcW w:w="3397" w:type="dxa"/>
          </w:tcPr>
          <w:p w14:paraId="71C9B5A7" w14:textId="5F92CF56" w:rsidR="00DC1878" w:rsidRPr="001C3C36" w:rsidRDefault="00DC1878" w:rsidP="00BC0A56">
            <w:pPr>
              <w:rPr>
                <w:rFonts w:ascii="Sylfaen" w:hAnsi="Sylfaen" w:cs="Times New Roman"/>
                <w:noProof/>
                <w:sz w:val="18"/>
                <w:szCs w:val="18"/>
              </w:rPr>
            </w:pPr>
            <w:r w:rsidRPr="001C3C36">
              <w:rPr>
                <w:rFonts w:ascii="Sylfaen" w:hAnsi="Sylfaen" w:cs="Sylfaen"/>
                <w:b/>
                <w:bCs/>
                <w:noProof/>
                <w:sz w:val="18"/>
                <w:szCs w:val="18"/>
              </w:rPr>
              <w:t>ინსულინის</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საშუალო</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დღიური</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დოზა</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სე</w:t>
            </w:r>
            <w:r w:rsidRPr="001C3C36">
              <w:rPr>
                <w:rFonts w:ascii="Sylfaen" w:hAnsi="Sylfaen" w:cs="Times New Roman"/>
                <w:b/>
                <w:bCs/>
                <w:noProof/>
                <w:sz w:val="18"/>
                <w:szCs w:val="18"/>
              </w:rPr>
              <w:t>)</w:t>
            </w:r>
            <w:r w:rsidRPr="001C3C36">
              <w:rPr>
                <w:rFonts w:ascii="Sylfaen" w:hAnsi="Sylfaen" w:cs="Times New Roman"/>
                <w:b/>
                <w:bCs/>
                <w:noProof/>
                <w:sz w:val="18"/>
                <w:szCs w:val="18"/>
                <w:vertAlign w:val="superscript"/>
              </w:rPr>
              <w:t>1</w:t>
            </w:r>
            <w:r w:rsidRPr="001C3C36">
              <w:rPr>
                <w:rFonts w:ascii="Sylfaen" w:hAnsi="Sylfaen" w:cs="Times New Roman"/>
                <w:b/>
                <w:bCs/>
                <w:noProof/>
                <w:sz w:val="18"/>
                <w:szCs w:val="18"/>
                <w:vertAlign w:val="superscript"/>
              </w:rPr>
              <w:br/>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624AAB8C" w14:textId="77777777" w:rsidR="00DC1878" w:rsidRPr="001C3C36" w:rsidRDefault="00DC1878"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65A3F8A4" w14:textId="77777777" w:rsidR="00DC1878" w:rsidRPr="001C3C36" w:rsidRDefault="00DC1878" w:rsidP="00BC0A56">
            <w:pPr>
              <w:rPr>
                <w:rFonts w:ascii="Sylfaen" w:hAnsi="Sylfaen" w:cs="Times New Roman"/>
                <w:noProof/>
                <w:sz w:val="18"/>
                <w:szCs w:val="18"/>
                <w:vertAlign w:val="superscript"/>
              </w:rPr>
            </w:pPr>
            <w:r w:rsidRPr="001C3C36">
              <w:rPr>
                <w:rFonts w:ascii="Sylfaen" w:hAnsi="Sylfaen" w:cs="Sylfaen"/>
                <w:noProof/>
                <w:sz w:val="18"/>
                <w:szCs w:val="18"/>
              </w:rPr>
              <w:t>პლაცებოსთან შედარებით განსხვავება</w:t>
            </w:r>
            <w:r w:rsidRPr="001C3C36">
              <w:rPr>
                <w:rFonts w:ascii="Sylfaen" w:hAnsi="Sylfaen" w:cs="Sylfaen"/>
                <w:noProof/>
                <w:sz w:val="18"/>
                <w:szCs w:val="18"/>
                <w:vertAlign w:val="superscript"/>
              </w:rPr>
              <w:t>c</w:t>
            </w:r>
          </w:p>
          <w:p w14:paraId="23286595" w14:textId="34C737DD" w:rsidR="00DC1878" w:rsidRPr="001C3C36" w:rsidRDefault="00DC1878" w:rsidP="00BC0A56">
            <w:pPr>
              <w:rPr>
                <w:rFonts w:ascii="Sylfaen" w:hAnsi="Sylfaen" w:cs="Times New Roman"/>
                <w:noProof/>
                <w:sz w:val="18"/>
                <w:szCs w:val="18"/>
              </w:rPr>
            </w:pPr>
            <w:r w:rsidRPr="001C3C36">
              <w:rPr>
                <w:rFonts w:ascii="Sylfaen" w:hAnsi="Sylfaen" w:cs="Sylfaen"/>
                <w:noProof/>
                <w:sz w:val="18"/>
                <w:szCs w:val="18"/>
              </w:rPr>
              <w:t>სუბიექტები</w:t>
            </w:r>
            <w:r w:rsidRPr="001C3C36">
              <w:rPr>
                <w:rFonts w:ascii="Sylfaen" w:hAnsi="Sylfaen" w:cs="Times New Roman"/>
                <w:noProof/>
                <w:sz w:val="18"/>
                <w:szCs w:val="18"/>
              </w:rPr>
              <w:t xml:space="preserve">, </w:t>
            </w:r>
            <w:r w:rsidRPr="001C3C36">
              <w:rPr>
                <w:rFonts w:ascii="Sylfaen" w:hAnsi="Sylfaen" w:cs="Sylfaen"/>
                <w:noProof/>
                <w:sz w:val="18"/>
                <w:szCs w:val="18"/>
              </w:rPr>
              <w:t>რომლებსაც</w:t>
            </w:r>
            <w:r w:rsidRPr="001C3C36">
              <w:rPr>
                <w:rFonts w:ascii="Sylfaen" w:hAnsi="Sylfaen" w:cs="Times New Roman"/>
                <w:noProof/>
                <w:sz w:val="18"/>
                <w:szCs w:val="18"/>
              </w:rPr>
              <w:t xml:space="preserve"> </w:t>
            </w:r>
            <w:r w:rsidRPr="001C3C36">
              <w:rPr>
                <w:rFonts w:ascii="Sylfaen" w:hAnsi="Sylfaen" w:cs="Sylfaen"/>
                <w:noProof/>
                <w:sz w:val="18"/>
                <w:szCs w:val="18"/>
              </w:rPr>
              <w:t>ინსულინის</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 xml:space="preserve"> </w:t>
            </w:r>
            <w:r w:rsidRPr="001C3C36">
              <w:rPr>
                <w:rFonts w:ascii="Sylfaen" w:hAnsi="Sylfaen" w:cs="Sylfaen"/>
                <w:noProof/>
                <w:sz w:val="18"/>
                <w:szCs w:val="18"/>
              </w:rPr>
              <w:t>დღიური</w:t>
            </w:r>
            <w:r w:rsidRPr="001C3C36">
              <w:rPr>
                <w:rFonts w:ascii="Sylfaen" w:hAnsi="Sylfaen" w:cs="Times New Roman"/>
                <w:noProof/>
                <w:sz w:val="18"/>
                <w:szCs w:val="18"/>
              </w:rPr>
              <w:t xml:space="preserve"> </w:t>
            </w:r>
            <w:r w:rsidRPr="001C3C36">
              <w:rPr>
                <w:rFonts w:ascii="Sylfaen" w:hAnsi="Sylfaen" w:cs="Sylfaen"/>
                <w:noProof/>
                <w:sz w:val="18"/>
                <w:szCs w:val="18"/>
              </w:rPr>
              <w:t>დოზა</w:t>
            </w:r>
            <w:r w:rsidRPr="001C3C36">
              <w:rPr>
                <w:rFonts w:ascii="Sylfaen" w:hAnsi="Sylfaen" w:cs="Times New Roman"/>
                <w:noProof/>
                <w:sz w:val="18"/>
                <w:szCs w:val="18"/>
              </w:rPr>
              <w:t xml:space="preserve"> </w:t>
            </w:r>
            <w:r w:rsidRPr="001C3C36">
              <w:rPr>
                <w:rFonts w:ascii="Sylfaen" w:hAnsi="Sylfaen" w:cs="Sylfaen"/>
                <w:noProof/>
                <w:sz w:val="18"/>
                <w:szCs w:val="18"/>
              </w:rPr>
              <w:t>სულ</w:t>
            </w:r>
            <w:r w:rsidRPr="001C3C36">
              <w:rPr>
                <w:rFonts w:ascii="Sylfaen" w:hAnsi="Sylfaen" w:cs="Times New Roman"/>
                <w:noProof/>
                <w:sz w:val="18"/>
                <w:szCs w:val="18"/>
              </w:rPr>
              <w:t xml:space="preserve"> </w:t>
            </w:r>
            <w:r w:rsidRPr="001C3C36">
              <w:rPr>
                <w:rFonts w:ascii="Sylfaen" w:hAnsi="Sylfaen" w:cs="Sylfaen"/>
                <w:noProof/>
                <w:sz w:val="18"/>
                <w:szCs w:val="18"/>
              </w:rPr>
              <w:t>მცირე</w:t>
            </w:r>
            <w:r w:rsidRPr="001C3C36">
              <w:rPr>
                <w:rFonts w:ascii="Sylfaen" w:hAnsi="Sylfaen" w:cs="Times New Roman"/>
                <w:noProof/>
                <w:sz w:val="18"/>
                <w:szCs w:val="18"/>
              </w:rPr>
              <w:t xml:space="preserve"> 10%-</w:t>
            </w:r>
            <w:r w:rsidRPr="001C3C36">
              <w:rPr>
                <w:rFonts w:ascii="Sylfaen" w:hAnsi="Sylfaen" w:cs="Sylfaen"/>
                <w:noProof/>
                <w:sz w:val="18"/>
                <w:szCs w:val="18"/>
              </w:rPr>
              <w:t>ით</w:t>
            </w:r>
            <w:r w:rsidRPr="001C3C36">
              <w:rPr>
                <w:rFonts w:ascii="Sylfaen" w:hAnsi="Sylfaen" w:cs="Times New Roman"/>
                <w:noProof/>
                <w:sz w:val="18"/>
                <w:szCs w:val="18"/>
              </w:rPr>
              <w:t xml:space="preserve"> </w:t>
            </w:r>
            <w:r w:rsidRPr="001C3C36">
              <w:rPr>
                <w:rFonts w:ascii="Sylfaen" w:hAnsi="Sylfaen" w:cs="Sylfaen"/>
                <w:noProof/>
                <w:sz w:val="18"/>
                <w:szCs w:val="18"/>
              </w:rPr>
              <w:t>შეუმცირდათ</w:t>
            </w:r>
            <w:r w:rsidRPr="001C3C36">
              <w:rPr>
                <w:rFonts w:ascii="Sylfaen" w:hAnsi="Sylfaen" w:cs="Times New Roman"/>
                <w:noProof/>
                <w:sz w:val="18"/>
                <w:szCs w:val="18"/>
              </w:rPr>
              <w:t xml:space="preserve"> (%)</w:t>
            </w:r>
          </w:p>
        </w:tc>
        <w:tc>
          <w:tcPr>
            <w:tcW w:w="2977" w:type="dxa"/>
          </w:tcPr>
          <w:p w14:paraId="5FCDC903" w14:textId="77777777" w:rsidR="00DC1878" w:rsidRPr="001C3C36" w:rsidRDefault="00DC1878" w:rsidP="00BC0A56">
            <w:pPr>
              <w:ind w:firstLine="720"/>
              <w:jc w:val="center"/>
              <w:rPr>
                <w:rFonts w:ascii="Sylfaen" w:hAnsi="Sylfaen" w:cs="Times New Roman"/>
                <w:noProof/>
                <w:sz w:val="18"/>
                <w:szCs w:val="18"/>
              </w:rPr>
            </w:pPr>
          </w:p>
          <w:p w14:paraId="73CD8955" w14:textId="77777777" w:rsidR="00DC1878" w:rsidRPr="001C3C36" w:rsidRDefault="00DC1878" w:rsidP="00BC0A56">
            <w:pPr>
              <w:jc w:val="center"/>
              <w:rPr>
                <w:rFonts w:ascii="Sylfaen" w:hAnsi="Sylfaen" w:cs="Times New Roman"/>
                <w:noProof/>
                <w:sz w:val="18"/>
                <w:szCs w:val="18"/>
              </w:rPr>
            </w:pPr>
          </w:p>
          <w:p w14:paraId="74A567A8" w14:textId="4000A52D"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77.96</w:t>
            </w:r>
          </w:p>
          <w:p w14:paraId="088683A2"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-1.16</w:t>
            </w:r>
          </w:p>
          <w:p w14:paraId="2B748B09"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-6.23</w:t>
            </w:r>
            <w:r w:rsidRPr="001C3C36">
              <w:rPr>
                <w:rFonts w:ascii="Sylfaen" w:hAnsi="Sylfaen" w:cs="Times New Roman"/>
                <w:noProof/>
                <w:sz w:val="18"/>
                <w:szCs w:val="18"/>
                <w:vertAlign w:val="superscript"/>
              </w:rPr>
              <w:t>*</w:t>
            </w:r>
          </w:p>
          <w:p w14:paraId="3106A00D"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(-8.84, -3.63)</w:t>
            </w:r>
          </w:p>
          <w:p w14:paraId="6636ED02" w14:textId="77777777" w:rsidR="00DC1878" w:rsidRPr="001C3C36" w:rsidRDefault="00DC1878" w:rsidP="00BC0A56">
            <w:pPr>
              <w:ind w:firstLine="720"/>
              <w:rPr>
                <w:rFonts w:ascii="Sylfaen" w:hAnsi="Sylfaen" w:cs="Times New Roman"/>
                <w:noProof/>
                <w:sz w:val="18"/>
                <w:szCs w:val="18"/>
              </w:rPr>
            </w:pPr>
          </w:p>
          <w:p w14:paraId="642F6135" w14:textId="77777777" w:rsidR="00DC1878" w:rsidRPr="001C3C36" w:rsidRDefault="00DC1878" w:rsidP="00BC0A56">
            <w:pPr>
              <w:ind w:firstLine="720"/>
              <w:rPr>
                <w:rFonts w:ascii="Sylfaen" w:hAnsi="Sylfaen" w:cs="Times New Roman"/>
                <w:noProof/>
                <w:sz w:val="18"/>
                <w:szCs w:val="18"/>
              </w:rPr>
            </w:pPr>
          </w:p>
          <w:p w14:paraId="08B11549" w14:textId="77777777" w:rsidR="00DC1878" w:rsidRPr="001C3C36" w:rsidRDefault="00DC1878" w:rsidP="00BC0A56">
            <w:pPr>
              <w:ind w:firstLine="720"/>
              <w:rPr>
                <w:rFonts w:ascii="Sylfaen" w:hAnsi="Sylfaen" w:cs="Times New Roman"/>
                <w:noProof/>
                <w:sz w:val="18"/>
                <w:szCs w:val="18"/>
              </w:rPr>
            </w:pPr>
            <w:r w:rsidRPr="001C3C36">
              <w:rPr>
                <w:rFonts w:ascii="Sylfaen" w:hAnsi="Sylfaen" w:cs="Times New Roman"/>
                <w:noProof/>
                <w:sz w:val="18"/>
                <w:szCs w:val="18"/>
              </w:rPr>
              <w:t>19.7</w:t>
            </w:r>
            <w:r w:rsidRPr="001C3C36">
              <w:rPr>
                <w:rFonts w:ascii="Sylfaen" w:hAnsi="Sylfaen" w:cs="Times New Roman"/>
                <w:noProof/>
                <w:sz w:val="18"/>
                <w:szCs w:val="18"/>
                <w:vertAlign w:val="superscript"/>
              </w:rPr>
              <w:t>**</w:t>
            </w:r>
          </w:p>
        </w:tc>
        <w:tc>
          <w:tcPr>
            <w:tcW w:w="2642" w:type="dxa"/>
          </w:tcPr>
          <w:p w14:paraId="0C8A3BA2" w14:textId="77777777" w:rsidR="00DC1878" w:rsidRPr="001C3C36" w:rsidRDefault="00DC1878" w:rsidP="00BC0A56">
            <w:pPr>
              <w:jc w:val="center"/>
              <w:rPr>
                <w:rFonts w:ascii="Sylfaen" w:hAnsi="Sylfaen" w:cs="Times New Roman"/>
                <w:noProof/>
                <w:sz w:val="18"/>
                <w:szCs w:val="18"/>
              </w:rPr>
            </w:pPr>
          </w:p>
          <w:p w14:paraId="27DA8758" w14:textId="77777777" w:rsidR="00DC1878" w:rsidRPr="001C3C36" w:rsidRDefault="00DC1878" w:rsidP="00BC0A56">
            <w:pPr>
              <w:jc w:val="center"/>
              <w:rPr>
                <w:rFonts w:ascii="Sylfaen" w:hAnsi="Sylfaen" w:cs="Times New Roman"/>
                <w:noProof/>
                <w:sz w:val="18"/>
                <w:szCs w:val="18"/>
              </w:rPr>
            </w:pPr>
          </w:p>
          <w:p w14:paraId="2E1E6C7A" w14:textId="2F1A87DA"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73.96</w:t>
            </w:r>
          </w:p>
          <w:p w14:paraId="603447C1"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5.08</w:t>
            </w:r>
          </w:p>
          <w:p w14:paraId="50B1A33C" w14:textId="77777777" w:rsidR="00DC1878" w:rsidRPr="001C3C36" w:rsidRDefault="00DC1878" w:rsidP="00BC0A56">
            <w:pPr>
              <w:jc w:val="center"/>
              <w:rPr>
                <w:rFonts w:ascii="Sylfaen" w:hAnsi="Sylfaen" w:cs="Times New Roman"/>
                <w:noProof/>
                <w:sz w:val="18"/>
                <w:szCs w:val="18"/>
              </w:rPr>
            </w:pPr>
          </w:p>
          <w:p w14:paraId="49D012C2" w14:textId="77777777" w:rsidR="00DC1878" w:rsidRPr="001C3C36" w:rsidRDefault="00DC1878" w:rsidP="00BC0A56">
            <w:pPr>
              <w:jc w:val="center"/>
              <w:rPr>
                <w:rFonts w:ascii="Sylfaen" w:hAnsi="Sylfaen" w:cs="Times New Roman"/>
                <w:noProof/>
                <w:sz w:val="18"/>
                <w:szCs w:val="18"/>
              </w:rPr>
            </w:pPr>
          </w:p>
          <w:p w14:paraId="4E6C6DC6" w14:textId="77777777" w:rsidR="00DC1878" w:rsidRPr="001C3C36" w:rsidRDefault="00DC1878" w:rsidP="00BC0A56">
            <w:pPr>
              <w:jc w:val="center"/>
              <w:rPr>
                <w:rFonts w:ascii="Sylfaen" w:hAnsi="Sylfaen" w:cs="Times New Roman"/>
                <w:noProof/>
                <w:sz w:val="18"/>
                <w:szCs w:val="18"/>
              </w:rPr>
            </w:pPr>
          </w:p>
          <w:p w14:paraId="30BC21D8" w14:textId="77777777" w:rsidR="00DC1878" w:rsidRPr="001C3C36" w:rsidRDefault="00DC1878" w:rsidP="00BC0A56">
            <w:pPr>
              <w:jc w:val="center"/>
              <w:rPr>
                <w:rFonts w:ascii="Sylfaen" w:hAnsi="Sylfaen" w:cs="Times New Roman"/>
                <w:noProof/>
                <w:sz w:val="18"/>
                <w:szCs w:val="18"/>
              </w:rPr>
            </w:pPr>
          </w:p>
          <w:p w14:paraId="3C6B17F0" w14:textId="77777777" w:rsidR="00DC1878" w:rsidRPr="001C3C36" w:rsidRDefault="00DC1878" w:rsidP="00BC0A56">
            <w:pPr>
              <w:jc w:val="center"/>
              <w:rPr>
                <w:rFonts w:ascii="Sylfaen" w:hAnsi="Sylfaen" w:cs="Times New Roman"/>
                <w:noProof/>
                <w:sz w:val="18"/>
                <w:szCs w:val="18"/>
              </w:rPr>
            </w:pPr>
            <w:r w:rsidRPr="001C3C36">
              <w:rPr>
                <w:rFonts w:ascii="Sylfaen" w:hAnsi="Sylfaen" w:cs="Times New Roman"/>
                <w:noProof/>
                <w:sz w:val="18"/>
                <w:szCs w:val="18"/>
              </w:rPr>
              <w:t>11.0</w:t>
            </w:r>
          </w:p>
        </w:tc>
      </w:tr>
    </w:tbl>
    <w:p w14:paraId="52235827" w14:textId="77777777" w:rsidR="00DC1878" w:rsidRPr="00850096" w:rsidRDefault="00DC1878" w:rsidP="00FA03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ᵃ</w:t>
      </w:r>
      <w:r w:rsidRPr="00850096">
        <w:rPr>
          <w:rFonts w:ascii="Sylfaen" w:hAnsi="Sylfaen"/>
          <w:noProof/>
          <w:sz w:val="20"/>
          <w:szCs w:val="20"/>
        </w:rPr>
        <w:t> LOCF: ბოლო დაკვირვება (ინსულინის დოზის პირველი გაზრდის თარიღამდე ან გაზრდის თარიღისთვის, საჭიროების შემთხვევაში) გადატანილი წინ.</w:t>
      </w:r>
    </w:p>
    <w:p w14:paraId="30F9B2DA" w14:textId="77777777" w:rsidR="00DC1878" w:rsidRPr="00850096" w:rsidRDefault="00DC1878" w:rsidP="00FA03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ᵇ</w:t>
      </w:r>
      <w:r w:rsidRPr="00850096">
        <w:rPr>
          <w:rFonts w:ascii="Sylfaen" w:hAnsi="Sylfaen"/>
          <w:noProof/>
          <w:sz w:val="20"/>
          <w:szCs w:val="20"/>
        </w:rPr>
        <w:t xml:space="preserve"> ყველა რანდომიზებული სუბიექტი, რომელმაც მოკლევადიანი ორმაგად ბრმა პერიოდის განმავლობაში მიიღო ორმაგად ბრმა კვლევითი სამკურნალო საშუალების სულ მცირე ერთი დოზა.</w:t>
      </w:r>
    </w:p>
    <w:p w14:paraId="764F1123" w14:textId="77777777" w:rsidR="00DC1878" w:rsidRPr="00850096" w:rsidRDefault="00DC1878" w:rsidP="00FA03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ᶜ</w:t>
      </w:r>
      <w:r w:rsidRPr="00850096">
        <w:rPr>
          <w:rFonts w:ascii="Sylfaen" w:hAnsi="Sylfaen"/>
          <w:noProof/>
          <w:sz w:val="20"/>
          <w:szCs w:val="20"/>
        </w:rPr>
        <w:t xml:space="preserve"> უმცირესი კვადრატების საშუალო, კორექტირებული საწყისი მნიშვნელობისა და პერორალური გლუკოზის დონის დამაქვეითებელი სამკურნალო საშუალების არსებობის მიხედვით.</w:t>
      </w:r>
    </w:p>
    <w:p w14:paraId="5251518B" w14:textId="76B0FF1C" w:rsidR="00DC1878" w:rsidRPr="00850096" w:rsidRDefault="00DC1878" w:rsidP="00FA0370">
      <w:pPr>
        <w:spacing w:after="0" w:line="240" w:lineRule="auto"/>
        <w:jc w:val="both"/>
        <w:rPr>
          <w:rFonts w:ascii="Sylfaen" w:hAnsi="Sylfaen"/>
          <w:noProof/>
          <w:sz w:val="20"/>
          <w:szCs w:val="20"/>
        </w:rPr>
      </w:pPr>
      <w:r w:rsidRPr="00850096">
        <w:rPr>
          <w:rFonts w:ascii="Sylfaen" w:hAnsi="Sylfaen"/>
          <w:noProof/>
          <w:sz w:val="20"/>
          <w:szCs w:val="20"/>
        </w:rPr>
        <w:lastRenderedPageBreak/>
        <w:t>*p-მნიშვნელობა &lt; 0,0001 პლაცებოს + ინსულინის ± პერორალური გლუკოზის დონის დამაქვეითებელი სამკურნალო საშუალების (საშუალებების) ჯგუფთან შედარებით.</w:t>
      </w:r>
    </w:p>
    <w:p w14:paraId="14B215A5" w14:textId="77777777" w:rsidR="00DC1878" w:rsidRPr="00850096" w:rsidRDefault="00DC1878" w:rsidP="00FA0370">
      <w:pPr>
        <w:spacing w:after="0" w:line="240" w:lineRule="auto"/>
        <w:jc w:val="both"/>
        <w:rPr>
          <w:rFonts w:ascii="Sylfaen" w:hAnsi="Sylfaen"/>
          <w:noProof/>
          <w:sz w:val="20"/>
          <w:szCs w:val="20"/>
        </w:rPr>
      </w:pPr>
      <w:r w:rsidRPr="00850096">
        <w:rPr>
          <w:rFonts w:ascii="Sylfaen" w:hAnsi="Sylfaen"/>
          <w:noProof/>
          <w:sz w:val="20"/>
          <w:szCs w:val="20"/>
        </w:rPr>
        <w:t>** p-მნიშვნელობა &lt; 0,05 პლაცებოს + ინსულინის ± პერორალური გლუკოზის დონის დამაქვეითებელი სამკურნალო საშუალების (საშუალებების) ჯგუფთან შედარებით.</w:t>
      </w:r>
    </w:p>
    <w:p w14:paraId="0EF50DBF" w14:textId="77777777" w:rsidR="00DC1878" w:rsidRPr="00850096" w:rsidRDefault="00DC1878" w:rsidP="00FA0370">
      <w:pPr>
        <w:spacing w:after="0" w:line="240" w:lineRule="auto"/>
        <w:jc w:val="both"/>
        <w:rPr>
          <w:rFonts w:ascii="Sylfaen" w:hAnsi="Sylfaen"/>
          <w:noProof/>
          <w:sz w:val="20"/>
          <w:szCs w:val="20"/>
        </w:rPr>
      </w:pPr>
      <w:r w:rsidRPr="00850096">
        <w:rPr>
          <w:rFonts w:ascii="Sylfaen" w:hAnsi="Sylfaen"/>
          <w:noProof/>
          <w:sz w:val="20"/>
          <w:szCs w:val="20"/>
        </w:rPr>
        <w:t>¹ ინსულინის სქემის დოზის გაზრდა (მოკლე მოქმედების, საშუალო მოქმედების და ბაზალური ინსულინის ჩათვლით) დასაშვები იყო მხოლოდ იმ შემთხვევაში, თუ სუბიექტები აკმაყოფილებდნენ წინასწარ განსაზღვრულ უზმოზე პლაზმაში გლუკოზის (FPG) მაჩვენებლის კრიტერიუმებს.</w:t>
      </w:r>
    </w:p>
    <w:p w14:paraId="6A1D11B4" w14:textId="77777777" w:rsidR="00DC1878" w:rsidRDefault="00DC1878" w:rsidP="00FA0370">
      <w:pPr>
        <w:spacing w:after="0" w:line="240" w:lineRule="auto"/>
        <w:jc w:val="both"/>
        <w:rPr>
          <w:rFonts w:ascii="Sylfaen" w:hAnsi="Sylfaen"/>
          <w:noProof/>
          <w:sz w:val="20"/>
          <w:szCs w:val="20"/>
        </w:rPr>
      </w:pPr>
      <w:r w:rsidRPr="00850096">
        <w:rPr>
          <w:rFonts w:ascii="Sylfaen" w:hAnsi="Sylfaen"/>
          <w:noProof/>
          <w:sz w:val="20"/>
          <w:szCs w:val="20"/>
        </w:rPr>
        <w:t>² სუბიექტების 50% საწყის ეტაპზე იღებდა მხოლოდ ინსულინს; 50% ინსულინთან ერთად დამატებით იღებდა 1 ან 2 პერორალურ გლუკოზის დონის დამაქვეითებელ სამკურნალო საშუალებას: ამ უკანასკნელი ჯგუფის 80% იღებდა მხოლოდ მეტფორმინს, 12% — მეტფორმინს სულფონილშარდოვანას ჯგუფის პრეპარატთან ერთად, ხოლო დანარჩენი — სხვა პერორალურ გლუკოზის დონის დამაქვეითებელ სამკურნალო საშუალებებს.</w:t>
      </w:r>
    </w:p>
    <w:p w14:paraId="36EEF433" w14:textId="77777777" w:rsidR="00FA0370" w:rsidRPr="00850096" w:rsidRDefault="00FA0370" w:rsidP="00BC0A56">
      <w:pPr>
        <w:spacing w:after="0" w:line="240" w:lineRule="auto"/>
        <w:rPr>
          <w:rFonts w:ascii="Sylfaen" w:hAnsi="Sylfaen"/>
          <w:noProof/>
          <w:sz w:val="20"/>
          <w:szCs w:val="20"/>
        </w:rPr>
      </w:pPr>
    </w:p>
    <w:p w14:paraId="78535EEF" w14:textId="77777777" w:rsidR="00DC1878" w:rsidRPr="00850096" w:rsidRDefault="00DC1878" w:rsidP="00FA0370">
      <w:pPr>
        <w:spacing w:after="0" w:line="240" w:lineRule="auto"/>
        <w:jc w:val="both"/>
        <w:rPr>
          <w:rFonts w:ascii="Sylfaen" w:hAnsi="Sylfaen"/>
          <w:noProof/>
          <w:sz w:val="20"/>
          <w:szCs w:val="20"/>
        </w:rPr>
      </w:pPr>
      <w:r w:rsidRPr="00850096">
        <w:rPr>
          <w:rFonts w:ascii="Sylfaen" w:hAnsi="Sylfaen"/>
          <w:i/>
          <w:iCs/>
          <w:noProof/>
          <w:sz w:val="20"/>
          <w:szCs w:val="20"/>
        </w:rPr>
        <w:t>მეტფორმინთან კომბინაციაში, ადრე არანამკურნალევ პაციენტებში</w:t>
      </w:r>
    </w:p>
    <w:p w14:paraId="316DF7C7" w14:textId="77777777" w:rsidR="00DC1878" w:rsidRPr="00850096" w:rsidRDefault="00DC1878" w:rsidP="00FA0370">
      <w:pPr>
        <w:spacing w:after="0" w:line="240" w:lineRule="auto"/>
        <w:jc w:val="both"/>
        <w:rPr>
          <w:rFonts w:ascii="Sylfaen" w:hAnsi="Sylfaen"/>
          <w:noProof/>
          <w:sz w:val="20"/>
          <w:szCs w:val="20"/>
        </w:rPr>
      </w:pPr>
      <w:r w:rsidRPr="00850096">
        <w:rPr>
          <w:rFonts w:ascii="Sylfaen" w:hAnsi="Sylfaen"/>
          <w:noProof/>
          <w:sz w:val="20"/>
          <w:szCs w:val="20"/>
        </w:rPr>
        <w:t>სულ 1 236 ადრე არანამკურნალევმა პაციენტმა, რომლებსაც აღენიშნებოდათ არასათანადოდ კონტროლირებული მე-2 ტიპის შაქრიანი დიაბეტი (HbA1c ≥ 7,5% და ≤ 12%), მონაწილეობა მიიღო 24-კვირიანი ხანგრძლივობის ორ აქტიურად კონტროლირებად კვლევაში. კვლევების მიზანი იყო დაპაგლიფლოზინის (5 მგ ან 10 მგ) მეტფორმინთან კომბინაციაში გამოყენების ეფექტურობისა და უსაფრთხოების შეფასება ადრე არანამკურნალევ პაციენტებში, თითოეული კომპონენტის ცალკე გამოყენებით მკურნალობასთან შედარებით.</w:t>
      </w:r>
    </w:p>
    <w:p w14:paraId="38CDE122" w14:textId="25198B0C" w:rsidR="00AB3967" w:rsidRDefault="00DC1878"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10 მგ-ის მეტფორმინთან კომბინაციაში (დღეში 2 000 მგ-მდე) გამოყენებამ უზრუნველყო HbA1c-ის სტატისტიკურად მნიშვნელოვანი გაუმჯობესება ცალკეულ კომპონენტებთან შედარებით (ცხრილი 7) და გამოიწვია უზმოზე პლაზმაში გლუკოზის (FPG) დონის უფრო მეტად შემცირება (ცალკეულ კომპონენტებთან შედარებით) და სხეულის წონის უფრო მეტად შემცირება(მეტფორმინთან შედარებით).</w:t>
      </w:r>
    </w:p>
    <w:p w14:paraId="5FF821D3" w14:textId="77777777" w:rsidR="00850096" w:rsidRPr="00850096" w:rsidRDefault="00850096" w:rsidP="00BC0A56">
      <w:pPr>
        <w:spacing w:after="0" w:line="240" w:lineRule="auto"/>
        <w:rPr>
          <w:rFonts w:ascii="Sylfaen" w:hAnsi="Sylfaen"/>
          <w:noProof/>
          <w:sz w:val="20"/>
          <w:szCs w:val="20"/>
        </w:rPr>
      </w:pPr>
    </w:p>
    <w:p w14:paraId="11FA1FF8" w14:textId="6A77A04D" w:rsidR="00AB3967" w:rsidRPr="00850096" w:rsidRDefault="00AB3967" w:rsidP="00FA0370">
      <w:pPr>
        <w:spacing w:after="0" w:line="240" w:lineRule="auto"/>
        <w:jc w:val="both"/>
        <w:rPr>
          <w:rFonts w:ascii="Sylfaen" w:hAnsi="Sylfaen"/>
          <w:b/>
          <w:bCs/>
          <w:noProof/>
          <w:sz w:val="20"/>
          <w:szCs w:val="20"/>
        </w:rPr>
      </w:pPr>
      <w:r w:rsidRPr="00850096">
        <w:rPr>
          <w:rFonts w:ascii="Sylfaen" w:hAnsi="Sylfaen"/>
          <w:b/>
          <w:bCs/>
          <w:noProof/>
          <w:sz w:val="20"/>
          <w:szCs w:val="20"/>
        </w:rPr>
        <w:t xml:space="preserve">ცხრილი </w:t>
      </w:r>
      <w:r w:rsidR="00AE6E7B" w:rsidRPr="00850096">
        <w:rPr>
          <w:rFonts w:ascii="Sylfaen" w:hAnsi="Sylfaen"/>
          <w:b/>
          <w:bCs/>
          <w:noProof/>
          <w:sz w:val="20"/>
          <w:szCs w:val="20"/>
        </w:rPr>
        <w:t>7</w:t>
      </w:r>
      <w:r w:rsidRPr="00850096">
        <w:rPr>
          <w:rFonts w:ascii="Sylfaen" w:hAnsi="Sylfaen"/>
          <w:b/>
          <w:bCs/>
          <w:noProof/>
          <w:sz w:val="20"/>
          <w:szCs w:val="20"/>
        </w:rPr>
        <w:t xml:space="preserve">: </w:t>
      </w:r>
      <w:r w:rsidR="00AE6E7B" w:rsidRPr="00850096">
        <w:rPr>
          <w:rFonts w:ascii="Sylfaen" w:hAnsi="Sylfaen"/>
          <w:b/>
          <w:bCs/>
          <w:noProof/>
          <w:sz w:val="20"/>
          <w:szCs w:val="20"/>
        </w:rPr>
        <w:t>შედეგები 24-ე კვირაზე (LOCF) დაპაგლიფლოზინისა და მეტფორმინის კომბინირებული თერაპიის აქტიური კონტროლით მიმდინარე კვლევაში იმ პაციენტებში, რომლებსაც მანამდე მედიკამენტური მკურნალობა არ ჩატარებიათ.</w:t>
      </w:r>
    </w:p>
    <w:tbl>
      <w:tblPr>
        <w:tblStyle w:val="TableGrid"/>
        <w:tblW w:w="0" w:type="auto"/>
        <w:tblLook w:val="04A0" w:firstRow="1" w:lastRow="0" w:firstColumn="1" w:lastColumn="0" w:noHBand="0" w:noVBand="1"/>
      </w:tblPr>
      <w:tblGrid>
        <w:gridCol w:w="3681"/>
        <w:gridCol w:w="1843"/>
        <w:gridCol w:w="1824"/>
        <w:gridCol w:w="1791"/>
      </w:tblGrid>
      <w:tr w:rsidR="00AE6E7B" w:rsidRPr="001C3C36" w14:paraId="56CCF54A" w14:textId="77777777" w:rsidTr="00DD48E8">
        <w:tc>
          <w:tcPr>
            <w:tcW w:w="3681" w:type="dxa"/>
          </w:tcPr>
          <w:p w14:paraId="4C3D0E48" w14:textId="34FCBB6C" w:rsidR="00AE6E7B" w:rsidRPr="001C3C36" w:rsidRDefault="00AE6E7B" w:rsidP="00BC0A56">
            <w:pPr>
              <w:rPr>
                <w:rFonts w:ascii="Sylfaen" w:hAnsi="Sylfaen" w:cs="Times New Roman"/>
                <w:b/>
                <w:bCs/>
                <w:noProof/>
                <w:sz w:val="18"/>
                <w:szCs w:val="18"/>
              </w:rPr>
            </w:pPr>
            <w:r w:rsidRPr="001C3C36">
              <w:rPr>
                <w:rFonts w:ascii="Sylfaen" w:hAnsi="Sylfaen" w:cs="Times New Roman"/>
                <w:b/>
                <w:bCs/>
                <w:noProof/>
                <w:sz w:val="18"/>
                <w:szCs w:val="18"/>
              </w:rPr>
              <w:t>პარამეტრი</w:t>
            </w:r>
          </w:p>
        </w:tc>
        <w:tc>
          <w:tcPr>
            <w:tcW w:w="1843" w:type="dxa"/>
          </w:tcPr>
          <w:p w14:paraId="7BDA3DB2" w14:textId="3C4C6CB6" w:rsidR="00AE6E7B" w:rsidRPr="001C3C36" w:rsidRDefault="00AE6E7B"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r w:rsidRPr="001C3C36">
              <w:rPr>
                <w:rFonts w:ascii="Sylfaen" w:hAnsi="Sylfaen" w:cs="Times New Roman"/>
                <w:b/>
                <w:bCs/>
                <w:noProof/>
                <w:sz w:val="18"/>
                <w:szCs w:val="18"/>
              </w:rPr>
              <w:t xml:space="preserve"> 10 </w:t>
            </w:r>
            <w:r w:rsidRPr="001C3C36">
              <w:rPr>
                <w:rFonts w:ascii="Sylfaen" w:hAnsi="Sylfaen" w:cs="Sylfaen"/>
                <w:b/>
                <w:bCs/>
                <w:noProof/>
                <w:sz w:val="18"/>
                <w:szCs w:val="18"/>
              </w:rPr>
              <w:t>მგ</w:t>
            </w:r>
            <w:r w:rsidRPr="001C3C36">
              <w:rPr>
                <w:rFonts w:ascii="Sylfaen" w:hAnsi="Sylfaen" w:cs="Times New Roman"/>
                <w:b/>
                <w:bCs/>
                <w:noProof/>
                <w:sz w:val="18"/>
                <w:szCs w:val="18"/>
              </w:rPr>
              <w:t xml:space="preserve"> + </w:t>
            </w:r>
            <w:r w:rsidRPr="001C3C36">
              <w:rPr>
                <w:rFonts w:ascii="Sylfaen" w:hAnsi="Sylfaen" w:cs="Sylfaen"/>
                <w:b/>
                <w:bCs/>
                <w:noProof/>
                <w:sz w:val="18"/>
                <w:szCs w:val="18"/>
              </w:rPr>
              <w:t>მეტფორმინი</w:t>
            </w:r>
          </w:p>
        </w:tc>
        <w:tc>
          <w:tcPr>
            <w:tcW w:w="1701" w:type="dxa"/>
          </w:tcPr>
          <w:p w14:paraId="7E7DCF7E" w14:textId="30E6A4EF" w:rsidR="00AE6E7B" w:rsidRPr="001C3C36" w:rsidRDefault="00AE6E7B"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r w:rsidRPr="001C3C36">
              <w:rPr>
                <w:rFonts w:ascii="Sylfaen" w:hAnsi="Sylfaen" w:cs="Times New Roman"/>
                <w:b/>
                <w:bCs/>
                <w:noProof/>
                <w:sz w:val="18"/>
                <w:szCs w:val="18"/>
              </w:rPr>
              <w:t xml:space="preserve"> 10 </w:t>
            </w:r>
            <w:r w:rsidRPr="001C3C36">
              <w:rPr>
                <w:rFonts w:ascii="Sylfaen" w:hAnsi="Sylfaen" w:cs="Sylfaen"/>
                <w:b/>
                <w:bCs/>
                <w:noProof/>
                <w:sz w:val="18"/>
                <w:szCs w:val="18"/>
              </w:rPr>
              <w:t>მგ</w:t>
            </w:r>
          </w:p>
        </w:tc>
        <w:tc>
          <w:tcPr>
            <w:tcW w:w="1791" w:type="dxa"/>
          </w:tcPr>
          <w:p w14:paraId="3B8E2277" w14:textId="1479A816" w:rsidR="00AE6E7B" w:rsidRPr="001C3C36" w:rsidRDefault="00AE6E7B" w:rsidP="00BC0A56">
            <w:pPr>
              <w:jc w:val="center"/>
              <w:rPr>
                <w:rFonts w:ascii="Sylfaen" w:hAnsi="Sylfaen" w:cs="Times New Roman"/>
                <w:b/>
                <w:bCs/>
                <w:noProof/>
                <w:sz w:val="18"/>
                <w:szCs w:val="18"/>
              </w:rPr>
            </w:pPr>
            <w:r w:rsidRPr="001C3C36">
              <w:rPr>
                <w:rFonts w:ascii="Sylfaen" w:hAnsi="Sylfaen" w:cs="Times New Roman"/>
                <w:b/>
                <w:bCs/>
                <w:noProof/>
                <w:sz w:val="18"/>
                <w:szCs w:val="18"/>
              </w:rPr>
              <w:t>მეტფორმინი</w:t>
            </w:r>
          </w:p>
        </w:tc>
      </w:tr>
      <w:tr w:rsidR="00AE6E7B" w:rsidRPr="001C3C36" w14:paraId="5E9D935E" w14:textId="77777777" w:rsidTr="00DD48E8">
        <w:tc>
          <w:tcPr>
            <w:tcW w:w="3681" w:type="dxa"/>
          </w:tcPr>
          <w:p w14:paraId="0FEAEB5B" w14:textId="77777777" w:rsidR="00AE6E7B" w:rsidRPr="001C3C36" w:rsidRDefault="00AE6E7B" w:rsidP="00BC0A56">
            <w:pPr>
              <w:rPr>
                <w:rFonts w:ascii="Sylfaen" w:hAnsi="Sylfaen" w:cs="Times New Roman"/>
                <w:b/>
                <w:bCs/>
                <w:noProof/>
                <w:sz w:val="18"/>
                <w:szCs w:val="18"/>
              </w:rPr>
            </w:pPr>
            <w:r w:rsidRPr="001C3C36">
              <w:rPr>
                <w:rFonts w:ascii="Sylfaen" w:hAnsi="Sylfaen" w:cs="Times New Roman"/>
                <w:b/>
                <w:bCs/>
                <w:noProof/>
                <w:sz w:val="18"/>
                <w:szCs w:val="18"/>
              </w:rPr>
              <w:t>N</w:t>
            </w:r>
            <w:r w:rsidRPr="001C3C36">
              <w:rPr>
                <w:rFonts w:ascii="Sylfaen" w:hAnsi="Sylfaen" w:cs="Times New Roman"/>
                <w:b/>
                <w:bCs/>
                <w:noProof/>
                <w:sz w:val="18"/>
                <w:szCs w:val="18"/>
                <w:vertAlign w:val="superscript"/>
              </w:rPr>
              <w:t>b</w:t>
            </w:r>
          </w:p>
        </w:tc>
        <w:tc>
          <w:tcPr>
            <w:tcW w:w="1843" w:type="dxa"/>
          </w:tcPr>
          <w:p w14:paraId="4253C2DF" w14:textId="77777777" w:rsidR="00AE6E7B" w:rsidRPr="001C3C36" w:rsidRDefault="00AE6E7B" w:rsidP="00BC0A56">
            <w:pPr>
              <w:ind w:firstLine="720"/>
              <w:jc w:val="center"/>
              <w:rPr>
                <w:rFonts w:ascii="Sylfaen" w:hAnsi="Sylfaen" w:cs="Times New Roman"/>
                <w:noProof/>
                <w:sz w:val="18"/>
                <w:szCs w:val="18"/>
              </w:rPr>
            </w:pPr>
            <w:r w:rsidRPr="001C3C36">
              <w:rPr>
                <w:rFonts w:ascii="Sylfaen" w:hAnsi="Sylfaen" w:cs="Times New Roman"/>
                <w:noProof/>
                <w:sz w:val="18"/>
                <w:szCs w:val="18"/>
              </w:rPr>
              <w:t>211</w:t>
            </w:r>
            <w:r w:rsidRPr="001C3C36">
              <w:rPr>
                <w:rFonts w:ascii="Sylfaen" w:hAnsi="Sylfaen" w:cs="Times New Roman"/>
                <w:noProof/>
                <w:sz w:val="18"/>
                <w:szCs w:val="18"/>
                <w:vertAlign w:val="superscript"/>
              </w:rPr>
              <w:t>b</w:t>
            </w:r>
          </w:p>
        </w:tc>
        <w:tc>
          <w:tcPr>
            <w:tcW w:w="1701" w:type="dxa"/>
          </w:tcPr>
          <w:p w14:paraId="2267C36C" w14:textId="77777777" w:rsidR="00AE6E7B" w:rsidRPr="001C3C36" w:rsidRDefault="00AE6E7B" w:rsidP="00BC0A56">
            <w:pPr>
              <w:jc w:val="center"/>
              <w:rPr>
                <w:rFonts w:ascii="Sylfaen" w:hAnsi="Sylfaen" w:cs="Times New Roman"/>
                <w:b/>
                <w:bCs/>
                <w:noProof/>
                <w:sz w:val="18"/>
                <w:szCs w:val="18"/>
              </w:rPr>
            </w:pPr>
            <w:r w:rsidRPr="001C3C36">
              <w:rPr>
                <w:rFonts w:ascii="Sylfaen" w:hAnsi="Sylfaen" w:cs="Times New Roman"/>
                <w:noProof/>
                <w:sz w:val="18"/>
                <w:szCs w:val="18"/>
              </w:rPr>
              <w:t>219</w:t>
            </w:r>
            <w:r w:rsidRPr="001C3C36">
              <w:rPr>
                <w:rFonts w:ascii="Sylfaen" w:hAnsi="Sylfaen" w:cs="Times New Roman"/>
                <w:noProof/>
                <w:sz w:val="18"/>
                <w:szCs w:val="18"/>
                <w:vertAlign w:val="superscript"/>
              </w:rPr>
              <w:t>b</w:t>
            </w:r>
          </w:p>
        </w:tc>
        <w:tc>
          <w:tcPr>
            <w:tcW w:w="1791" w:type="dxa"/>
          </w:tcPr>
          <w:p w14:paraId="01C0DAFB" w14:textId="77777777" w:rsidR="00AE6E7B" w:rsidRPr="001C3C36" w:rsidRDefault="00AE6E7B" w:rsidP="00BC0A56">
            <w:pPr>
              <w:jc w:val="center"/>
              <w:rPr>
                <w:rFonts w:ascii="Sylfaen" w:hAnsi="Sylfaen" w:cs="Times New Roman"/>
                <w:b/>
                <w:bCs/>
                <w:noProof/>
                <w:sz w:val="18"/>
                <w:szCs w:val="18"/>
              </w:rPr>
            </w:pPr>
            <w:r w:rsidRPr="001C3C36">
              <w:rPr>
                <w:rFonts w:ascii="Sylfaen" w:hAnsi="Sylfaen" w:cs="Times New Roman"/>
                <w:noProof/>
                <w:sz w:val="18"/>
                <w:szCs w:val="18"/>
              </w:rPr>
              <w:t>208</w:t>
            </w:r>
            <w:r w:rsidRPr="001C3C36">
              <w:rPr>
                <w:rFonts w:ascii="Sylfaen" w:hAnsi="Sylfaen" w:cs="Times New Roman"/>
                <w:noProof/>
                <w:sz w:val="18"/>
                <w:szCs w:val="18"/>
                <w:vertAlign w:val="superscript"/>
              </w:rPr>
              <w:t>b</w:t>
            </w:r>
          </w:p>
        </w:tc>
      </w:tr>
      <w:tr w:rsidR="00AE6E7B" w:rsidRPr="001C3C36" w14:paraId="445631D6" w14:textId="77777777" w:rsidTr="00DD48E8">
        <w:tc>
          <w:tcPr>
            <w:tcW w:w="3681" w:type="dxa"/>
          </w:tcPr>
          <w:p w14:paraId="5E2B623A" w14:textId="77777777" w:rsidR="00AE6E7B" w:rsidRPr="001C3C36" w:rsidRDefault="00AE6E7B" w:rsidP="00BC0A56">
            <w:pPr>
              <w:rPr>
                <w:rFonts w:ascii="Sylfaen" w:hAnsi="Sylfaen" w:cs="Times New Roman"/>
                <w:b/>
                <w:bCs/>
                <w:noProof/>
                <w:sz w:val="18"/>
                <w:szCs w:val="18"/>
              </w:rPr>
            </w:pPr>
            <w:r w:rsidRPr="001C3C36">
              <w:rPr>
                <w:rFonts w:ascii="Sylfaen" w:hAnsi="Sylfaen" w:cs="Times New Roman"/>
                <w:b/>
                <w:bCs/>
                <w:noProof/>
                <w:sz w:val="18"/>
                <w:szCs w:val="18"/>
              </w:rPr>
              <w:t>HbA1c (%)</w:t>
            </w:r>
          </w:p>
          <w:p w14:paraId="71DF56B5" w14:textId="77777777" w:rsidR="00AE6E7B" w:rsidRPr="001C3C36" w:rsidRDefault="00AE6E7B"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200E40E3" w14:textId="77777777" w:rsidR="00AE6E7B" w:rsidRPr="001C3C36" w:rsidRDefault="00AE6E7B"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5DDC03ED" w14:textId="69D0B69C" w:rsidR="00AE6E7B" w:rsidRPr="001C3C36" w:rsidRDefault="00AE6E7B" w:rsidP="00BC0A56">
            <w:pPr>
              <w:rPr>
                <w:rFonts w:ascii="Sylfaen" w:hAnsi="Sylfaen" w:cs="Times New Roman"/>
                <w:noProof/>
                <w:sz w:val="18"/>
                <w:szCs w:val="18"/>
                <w:vertAlign w:val="superscript"/>
              </w:rPr>
            </w:pPr>
            <w:r w:rsidRPr="001C3C36">
              <w:rPr>
                <w:rFonts w:ascii="Sylfaen" w:hAnsi="Sylfaen" w:cs="Sylfaen"/>
                <w:noProof/>
                <w:sz w:val="18"/>
                <w:szCs w:val="18"/>
              </w:rPr>
              <w:t>დაპაგლიფლოზინთან შედარებით განსხვავება</w:t>
            </w:r>
            <w:r w:rsidRPr="001C3C36">
              <w:rPr>
                <w:rFonts w:ascii="Sylfaen" w:hAnsi="Sylfaen" w:cs="Sylfaen"/>
                <w:noProof/>
                <w:sz w:val="18"/>
                <w:szCs w:val="18"/>
                <w:vertAlign w:val="superscript"/>
              </w:rPr>
              <w:t>c</w:t>
            </w:r>
          </w:p>
          <w:p w14:paraId="3C827BC0" w14:textId="77777777" w:rsidR="00AE6E7B" w:rsidRPr="001C3C36" w:rsidRDefault="00AE6E7B" w:rsidP="00BC0A56">
            <w:pPr>
              <w:rPr>
                <w:rFonts w:ascii="Sylfaen" w:hAnsi="Sylfaen" w:cs="Times New Roman"/>
                <w:noProof/>
                <w:sz w:val="18"/>
                <w:szCs w:val="18"/>
              </w:rPr>
            </w:pPr>
            <w:r w:rsidRPr="001C3C36">
              <w:rPr>
                <w:rFonts w:ascii="Sylfaen" w:hAnsi="Sylfaen" w:cs="Times New Roman"/>
                <w:noProof/>
                <w:sz w:val="18"/>
                <w:szCs w:val="18"/>
              </w:rPr>
              <w:t>(95%-</w:t>
            </w:r>
            <w:r w:rsidRPr="001C3C36">
              <w:rPr>
                <w:rFonts w:ascii="Sylfaen" w:hAnsi="Sylfaen" w:cs="Sylfaen"/>
                <w:noProof/>
                <w:sz w:val="18"/>
                <w:szCs w:val="18"/>
              </w:rPr>
              <w:t>იანი</w:t>
            </w:r>
            <w:r w:rsidRPr="001C3C36">
              <w:rPr>
                <w:rFonts w:ascii="Sylfaen" w:hAnsi="Sylfaen" w:cs="Times New Roman"/>
                <w:noProof/>
                <w:sz w:val="18"/>
                <w:szCs w:val="18"/>
              </w:rPr>
              <w:t xml:space="preserve"> </w:t>
            </w:r>
            <w:r w:rsidRPr="001C3C36">
              <w:rPr>
                <w:rFonts w:ascii="Sylfaen" w:hAnsi="Sylfaen" w:cs="Sylfaen"/>
                <w:noProof/>
                <w:sz w:val="18"/>
                <w:szCs w:val="18"/>
              </w:rPr>
              <w:t>სანდოობის</w:t>
            </w:r>
            <w:r w:rsidRPr="001C3C36">
              <w:rPr>
                <w:rFonts w:ascii="Sylfaen" w:hAnsi="Sylfaen" w:cs="Times New Roman"/>
                <w:noProof/>
                <w:sz w:val="18"/>
                <w:szCs w:val="18"/>
              </w:rPr>
              <w:t xml:space="preserve"> </w:t>
            </w:r>
            <w:r w:rsidRPr="001C3C36">
              <w:rPr>
                <w:rFonts w:ascii="Sylfaen" w:hAnsi="Sylfaen" w:cs="Sylfaen"/>
                <w:noProof/>
                <w:sz w:val="18"/>
                <w:szCs w:val="18"/>
              </w:rPr>
              <w:t>ინტერვალი</w:t>
            </w:r>
            <w:r w:rsidRPr="001C3C36">
              <w:rPr>
                <w:rFonts w:ascii="Sylfaen" w:hAnsi="Sylfaen" w:cs="Times New Roman"/>
                <w:noProof/>
                <w:sz w:val="18"/>
                <w:szCs w:val="18"/>
              </w:rPr>
              <w:t>)</w:t>
            </w:r>
          </w:p>
          <w:p w14:paraId="324A58F1" w14:textId="7866DF64" w:rsidR="00AE6E7B" w:rsidRPr="001C3C36" w:rsidRDefault="00AE6E7B" w:rsidP="00BC0A56">
            <w:pPr>
              <w:rPr>
                <w:rFonts w:ascii="Sylfaen" w:hAnsi="Sylfaen" w:cs="Times New Roman"/>
                <w:noProof/>
                <w:sz w:val="18"/>
                <w:szCs w:val="18"/>
                <w:vertAlign w:val="superscript"/>
              </w:rPr>
            </w:pPr>
            <w:r w:rsidRPr="001C3C36">
              <w:rPr>
                <w:rFonts w:ascii="Sylfaen" w:hAnsi="Sylfaen" w:cs="Sylfaen"/>
                <w:noProof/>
                <w:sz w:val="18"/>
                <w:szCs w:val="18"/>
              </w:rPr>
              <w:t>მეტფორმინთან შედარებით განსხვავება</w:t>
            </w:r>
            <w:r w:rsidRPr="001C3C36">
              <w:rPr>
                <w:rFonts w:ascii="Sylfaen" w:hAnsi="Sylfaen" w:cs="Sylfaen"/>
                <w:noProof/>
                <w:sz w:val="18"/>
                <w:szCs w:val="18"/>
                <w:vertAlign w:val="superscript"/>
              </w:rPr>
              <w:t>c</w:t>
            </w:r>
          </w:p>
          <w:p w14:paraId="6942EB31" w14:textId="77777777" w:rsidR="00AE6E7B" w:rsidRPr="001C3C36" w:rsidRDefault="00AE6E7B" w:rsidP="00BC0A56">
            <w:pPr>
              <w:rPr>
                <w:rFonts w:ascii="Sylfaen" w:hAnsi="Sylfaen" w:cs="Times New Roman"/>
                <w:noProof/>
                <w:sz w:val="18"/>
                <w:szCs w:val="18"/>
              </w:rPr>
            </w:pPr>
            <w:r w:rsidRPr="001C3C36">
              <w:rPr>
                <w:rFonts w:ascii="Sylfaen" w:hAnsi="Sylfaen" w:cs="Times New Roman"/>
                <w:noProof/>
                <w:sz w:val="18"/>
                <w:szCs w:val="18"/>
              </w:rPr>
              <w:t>(95%-</w:t>
            </w:r>
            <w:r w:rsidRPr="001C3C36">
              <w:rPr>
                <w:rFonts w:ascii="Sylfaen" w:hAnsi="Sylfaen" w:cs="Sylfaen"/>
                <w:noProof/>
                <w:sz w:val="18"/>
                <w:szCs w:val="18"/>
              </w:rPr>
              <w:t>იანი</w:t>
            </w:r>
            <w:r w:rsidRPr="001C3C36">
              <w:rPr>
                <w:rFonts w:ascii="Sylfaen" w:hAnsi="Sylfaen" w:cs="Times New Roman"/>
                <w:noProof/>
                <w:sz w:val="18"/>
                <w:szCs w:val="18"/>
              </w:rPr>
              <w:t xml:space="preserve"> </w:t>
            </w:r>
            <w:r w:rsidRPr="001C3C36">
              <w:rPr>
                <w:rFonts w:ascii="Sylfaen" w:hAnsi="Sylfaen" w:cs="Sylfaen"/>
                <w:noProof/>
                <w:sz w:val="18"/>
                <w:szCs w:val="18"/>
              </w:rPr>
              <w:t>სანდოობის</w:t>
            </w:r>
            <w:r w:rsidRPr="001C3C36">
              <w:rPr>
                <w:rFonts w:ascii="Sylfaen" w:hAnsi="Sylfaen" w:cs="Times New Roman"/>
                <w:noProof/>
                <w:sz w:val="18"/>
                <w:szCs w:val="18"/>
              </w:rPr>
              <w:t xml:space="preserve"> </w:t>
            </w:r>
            <w:r w:rsidRPr="001C3C36">
              <w:rPr>
                <w:rFonts w:ascii="Sylfaen" w:hAnsi="Sylfaen" w:cs="Sylfaen"/>
                <w:noProof/>
                <w:sz w:val="18"/>
                <w:szCs w:val="18"/>
              </w:rPr>
              <w:t>ინტერვალი</w:t>
            </w:r>
            <w:r w:rsidRPr="001C3C36">
              <w:rPr>
                <w:rFonts w:ascii="Sylfaen" w:hAnsi="Sylfaen" w:cs="Times New Roman"/>
                <w:noProof/>
                <w:sz w:val="18"/>
                <w:szCs w:val="18"/>
              </w:rPr>
              <w:t>)</w:t>
            </w:r>
          </w:p>
          <w:p w14:paraId="52F7EA66" w14:textId="401CF75C" w:rsidR="00AE6E7B" w:rsidRPr="001C3C36" w:rsidRDefault="00AE6E7B" w:rsidP="00BC0A56">
            <w:pPr>
              <w:rPr>
                <w:rFonts w:ascii="Sylfaen" w:hAnsi="Sylfaen" w:cs="Times New Roman"/>
                <w:noProof/>
                <w:sz w:val="18"/>
                <w:szCs w:val="18"/>
              </w:rPr>
            </w:pPr>
          </w:p>
        </w:tc>
        <w:tc>
          <w:tcPr>
            <w:tcW w:w="1843" w:type="dxa"/>
          </w:tcPr>
          <w:p w14:paraId="0BE8250C" w14:textId="77777777" w:rsidR="00AE6E7B" w:rsidRPr="001C3C36" w:rsidRDefault="00AE6E7B" w:rsidP="00BC0A56">
            <w:pPr>
              <w:jc w:val="center"/>
              <w:rPr>
                <w:rFonts w:ascii="Sylfaen" w:hAnsi="Sylfaen" w:cs="Times New Roman"/>
                <w:b/>
                <w:bCs/>
                <w:noProof/>
                <w:sz w:val="18"/>
                <w:szCs w:val="18"/>
              </w:rPr>
            </w:pPr>
          </w:p>
          <w:p w14:paraId="63E1F69A" w14:textId="77777777"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9.10</w:t>
            </w:r>
          </w:p>
          <w:p w14:paraId="6EBE6974" w14:textId="77777777"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-1.98</w:t>
            </w:r>
          </w:p>
          <w:p w14:paraId="19E07C7B" w14:textId="77777777"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−0.53</w:t>
            </w:r>
            <w:r w:rsidRPr="001C3C36">
              <w:rPr>
                <w:rFonts w:ascii="Sylfaen" w:hAnsi="Sylfaen" w:cs="Times New Roman"/>
                <w:noProof/>
                <w:sz w:val="18"/>
                <w:szCs w:val="18"/>
                <w:vertAlign w:val="superscript"/>
              </w:rPr>
              <w:t>*</w:t>
            </w:r>
          </w:p>
          <w:p w14:paraId="54143F8B" w14:textId="77777777"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(−0.74, −0.32)</w:t>
            </w:r>
          </w:p>
          <w:p w14:paraId="77529F34" w14:textId="77777777" w:rsidR="00AE6E7B" w:rsidRPr="001C3C36" w:rsidRDefault="00AE6E7B" w:rsidP="00BC0A56">
            <w:pPr>
              <w:jc w:val="center"/>
              <w:rPr>
                <w:rFonts w:ascii="Sylfaen" w:hAnsi="Sylfaen" w:cs="Times New Roman"/>
                <w:noProof/>
                <w:sz w:val="18"/>
                <w:szCs w:val="18"/>
              </w:rPr>
            </w:pPr>
          </w:p>
          <w:p w14:paraId="5638F4F4" w14:textId="77777777" w:rsidR="00AE6E7B" w:rsidRPr="001C3C36" w:rsidRDefault="00AE6E7B" w:rsidP="00BC0A56">
            <w:pPr>
              <w:jc w:val="center"/>
              <w:rPr>
                <w:rFonts w:ascii="Sylfaen" w:hAnsi="Sylfaen" w:cs="Times New Roman"/>
                <w:noProof/>
                <w:sz w:val="18"/>
                <w:szCs w:val="18"/>
              </w:rPr>
            </w:pPr>
          </w:p>
          <w:p w14:paraId="27D68E91" w14:textId="37B2822E"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−0.54</w:t>
            </w:r>
            <w:r w:rsidRPr="001C3C36">
              <w:rPr>
                <w:rFonts w:ascii="Sylfaen" w:hAnsi="Sylfaen" w:cs="Times New Roman"/>
                <w:noProof/>
                <w:sz w:val="18"/>
                <w:szCs w:val="18"/>
                <w:vertAlign w:val="superscript"/>
              </w:rPr>
              <w:t>*</w:t>
            </w:r>
          </w:p>
          <w:p w14:paraId="6D2806B2" w14:textId="77777777"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(−0.75, −0.33)</w:t>
            </w:r>
          </w:p>
        </w:tc>
        <w:tc>
          <w:tcPr>
            <w:tcW w:w="1701" w:type="dxa"/>
          </w:tcPr>
          <w:p w14:paraId="3395D972" w14:textId="77777777" w:rsidR="00AE6E7B" w:rsidRPr="001C3C36" w:rsidRDefault="00AE6E7B" w:rsidP="00BC0A56">
            <w:pPr>
              <w:jc w:val="center"/>
              <w:rPr>
                <w:rFonts w:ascii="Sylfaen" w:hAnsi="Sylfaen" w:cs="Times New Roman"/>
                <w:b/>
                <w:bCs/>
                <w:noProof/>
                <w:sz w:val="18"/>
                <w:szCs w:val="18"/>
              </w:rPr>
            </w:pPr>
          </w:p>
          <w:p w14:paraId="16C3AAC8" w14:textId="77777777"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9.03</w:t>
            </w:r>
          </w:p>
          <w:p w14:paraId="6B7B6F41" w14:textId="77777777"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-1.45</w:t>
            </w:r>
          </w:p>
          <w:p w14:paraId="7967FE15" w14:textId="77777777" w:rsidR="00AE6E7B" w:rsidRPr="001C3C36" w:rsidRDefault="00AE6E7B" w:rsidP="00BC0A56">
            <w:pPr>
              <w:jc w:val="center"/>
              <w:rPr>
                <w:rFonts w:ascii="Sylfaen" w:hAnsi="Sylfaen" w:cs="Times New Roman"/>
                <w:noProof/>
                <w:sz w:val="18"/>
                <w:szCs w:val="18"/>
              </w:rPr>
            </w:pPr>
          </w:p>
          <w:p w14:paraId="258B5402" w14:textId="77777777" w:rsidR="00AE6E7B" w:rsidRPr="001C3C36" w:rsidRDefault="00AE6E7B" w:rsidP="00BC0A56">
            <w:pPr>
              <w:jc w:val="center"/>
              <w:rPr>
                <w:rFonts w:ascii="Sylfaen" w:hAnsi="Sylfaen" w:cs="Times New Roman"/>
                <w:noProof/>
                <w:sz w:val="18"/>
                <w:szCs w:val="18"/>
              </w:rPr>
            </w:pPr>
          </w:p>
          <w:p w14:paraId="1D0EF1D5" w14:textId="77777777" w:rsidR="00AE6E7B" w:rsidRPr="001C3C36" w:rsidRDefault="00AE6E7B" w:rsidP="00BC0A56">
            <w:pPr>
              <w:jc w:val="center"/>
              <w:rPr>
                <w:rFonts w:ascii="Sylfaen" w:hAnsi="Sylfaen" w:cs="Times New Roman"/>
                <w:noProof/>
                <w:sz w:val="18"/>
                <w:szCs w:val="18"/>
              </w:rPr>
            </w:pPr>
          </w:p>
          <w:p w14:paraId="42CF9319" w14:textId="77777777" w:rsidR="00AE6E7B" w:rsidRPr="001C3C36" w:rsidRDefault="00AE6E7B" w:rsidP="00BC0A56">
            <w:pPr>
              <w:jc w:val="center"/>
              <w:rPr>
                <w:rFonts w:ascii="Sylfaen" w:hAnsi="Sylfaen" w:cs="Times New Roman"/>
                <w:noProof/>
                <w:sz w:val="18"/>
                <w:szCs w:val="18"/>
              </w:rPr>
            </w:pPr>
          </w:p>
          <w:p w14:paraId="6D228540" w14:textId="6160349F"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−0.01</w:t>
            </w:r>
          </w:p>
          <w:p w14:paraId="605ECEC0" w14:textId="77777777"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(−0.22, 0.20)</w:t>
            </w:r>
          </w:p>
        </w:tc>
        <w:tc>
          <w:tcPr>
            <w:tcW w:w="1791" w:type="dxa"/>
          </w:tcPr>
          <w:p w14:paraId="302E882C" w14:textId="77777777" w:rsidR="00AE6E7B" w:rsidRPr="001C3C36" w:rsidRDefault="00AE6E7B" w:rsidP="00BC0A56">
            <w:pPr>
              <w:jc w:val="center"/>
              <w:rPr>
                <w:rFonts w:ascii="Sylfaen" w:hAnsi="Sylfaen" w:cs="Times New Roman"/>
                <w:b/>
                <w:bCs/>
                <w:noProof/>
                <w:sz w:val="18"/>
                <w:szCs w:val="18"/>
              </w:rPr>
            </w:pPr>
          </w:p>
          <w:p w14:paraId="042AD375" w14:textId="77777777"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9.03</w:t>
            </w:r>
          </w:p>
          <w:p w14:paraId="79FEF050" w14:textId="77777777" w:rsidR="00AE6E7B" w:rsidRPr="001C3C36" w:rsidRDefault="00AE6E7B" w:rsidP="00BC0A56">
            <w:pPr>
              <w:jc w:val="center"/>
              <w:rPr>
                <w:rFonts w:ascii="Sylfaen" w:hAnsi="Sylfaen" w:cs="Times New Roman"/>
                <w:noProof/>
                <w:sz w:val="18"/>
                <w:szCs w:val="18"/>
              </w:rPr>
            </w:pPr>
            <w:r w:rsidRPr="001C3C36">
              <w:rPr>
                <w:rFonts w:ascii="Sylfaen" w:hAnsi="Sylfaen" w:cs="Times New Roman"/>
                <w:noProof/>
                <w:sz w:val="18"/>
                <w:szCs w:val="18"/>
              </w:rPr>
              <w:t>-1.44</w:t>
            </w:r>
          </w:p>
        </w:tc>
      </w:tr>
    </w:tbl>
    <w:p w14:paraId="5AE77429" w14:textId="77777777" w:rsidR="00AE6E7B" w:rsidRPr="00850096" w:rsidRDefault="00AE6E7B"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ᵃ</w:t>
      </w:r>
      <w:r w:rsidRPr="00850096">
        <w:rPr>
          <w:rFonts w:ascii="Sylfaen" w:hAnsi="Sylfaen"/>
          <w:noProof/>
          <w:sz w:val="20"/>
          <w:szCs w:val="20"/>
        </w:rPr>
        <w:t> LOCF: ბოლო დაკვირვება (გადარჩენისთვის დამატებითი მკურნალობის მიმღები პაციენტებისთვის — დამატებითი მკურნალობის დაწყებამდე) გადატანილი წინ.</w:t>
      </w:r>
    </w:p>
    <w:p w14:paraId="7C6040ED" w14:textId="77777777" w:rsidR="00AE6E7B" w:rsidRPr="00850096" w:rsidRDefault="00AE6E7B"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ᵇ</w:t>
      </w:r>
      <w:r w:rsidRPr="00850096">
        <w:rPr>
          <w:rFonts w:ascii="Sylfaen" w:hAnsi="Sylfaen"/>
          <w:noProof/>
          <w:sz w:val="20"/>
          <w:szCs w:val="20"/>
        </w:rPr>
        <w:t xml:space="preserve"> ყველა რანდომიზებული პაციენტი, რომელმაც მოკლევადიანი ორმაგად ბრმა პერიოდის განმავლობაში მიიღო ორმაგად ბრმა კვლევითი სამკურნალო საშუალების სულ მცირე ერთი დოზა.</w:t>
      </w:r>
    </w:p>
    <w:p w14:paraId="13A7C3DA" w14:textId="77777777" w:rsidR="00AE6E7B" w:rsidRPr="00850096" w:rsidRDefault="00AE6E7B" w:rsidP="00BC0A56">
      <w:pPr>
        <w:spacing w:after="0" w:line="240" w:lineRule="auto"/>
        <w:rPr>
          <w:rFonts w:ascii="Sylfaen" w:hAnsi="Sylfaen"/>
          <w:noProof/>
          <w:sz w:val="20"/>
          <w:szCs w:val="20"/>
        </w:rPr>
      </w:pPr>
      <w:r w:rsidRPr="00850096">
        <w:rPr>
          <w:rFonts w:ascii="Times New Roman" w:hAnsi="Times New Roman" w:cs="Times New Roman"/>
          <w:noProof/>
          <w:sz w:val="20"/>
          <w:szCs w:val="20"/>
        </w:rPr>
        <w:t>ᶜ</w:t>
      </w:r>
      <w:r w:rsidRPr="00850096">
        <w:rPr>
          <w:rFonts w:ascii="Sylfaen" w:hAnsi="Sylfaen"/>
          <w:noProof/>
          <w:sz w:val="20"/>
          <w:szCs w:val="20"/>
        </w:rPr>
        <w:t xml:space="preserve"> უმცირესი კვადრატების საშუალო, კორექტირებული საწყისი მნიშვნელობის მიხედვით.</w:t>
      </w:r>
    </w:p>
    <w:p w14:paraId="6837D28C" w14:textId="4D368D05" w:rsidR="00356FF1" w:rsidRDefault="00AE6E7B" w:rsidP="00BC0A56">
      <w:pPr>
        <w:spacing w:after="0" w:line="240" w:lineRule="auto"/>
        <w:rPr>
          <w:rFonts w:ascii="Sylfaen" w:hAnsi="Sylfaen"/>
          <w:noProof/>
          <w:sz w:val="20"/>
          <w:szCs w:val="20"/>
        </w:rPr>
      </w:pPr>
      <w:r w:rsidRPr="00850096">
        <w:rPr>
          <w:rFonts w:ascii="Sylfaen" w:hAnsi="Sylfaen"/>
          <w:noProof/>
          <w:sz w:val="20"/>
          <w:szCs w:val="20"/>
        </w:rPr>
        <w:t>* p-მნიშვნელობა &lt; 0,0001.</w:t>
      </w:r>
    </w:p>
    <w:p w14:paraId="1298121E" w14:textId="77777777" w:rsidR="00FA0370" w:rsidRPr="00850096" w:rsidRDefault="00FA0370" w:rsidP="00BC0A56">
      <w:pPr>
        <w:spacing w:after="0" w:line="240" w:lineRule="auto"/>
        <w:rPr>
          <w:rFonts w:ascii="Sylfaen" w:hAnsi="Sylfaen"/>
          <w:noProof/>
          <w:sz w:val="20"/>
          <w:szCs w:val="20"/>
        </w:rPr>
      </w:pPr>
    </w:p>
    <w:p w14:paraId="3EDA3AA0" w14:textId="77777777" w:rsidR="00AE6E7B" w:rsidRPr="00850096" w:rsidRDefault="00AE6E7B" w:rsidP="00FA0370">
      <w:pPr>
        <w:spacing w:after="0" w:line="240" w:lineRule="auto"/>
        <w:jc w:val="both"/>
        <w:rPr>
          <w:rFonts w:ascii="Sylfaen" w:hAnsi="Sylfaen"/>
          <w:noProof/>
          <w:sz w:val="20"/>
          <w:szCs w:val="20"/>
        </w:rPr>
      </w:pPr>
      <w:r w:rsidRPr="00850096">
        <w:rPr>
          <w:rFonts w:ascii="Sylfaen" w:hAnsi="Sylfaen"/>
          <w:i/>
          <w:iCs/>
          <w:noProof/>
          <w:sz w:val="20"/>
          <w:szCs w:val="20"/>
        </w:rPr>
        <w:t>კომბინირებული თერაპია გახანგრძლივებული გამოთავისუფლების ეგზენატიდთან</w:t>
      </w:r>
    </w:p>
    <w:p w14:paraId="5507DC26" w14:textId="77777777" w:rsidR="00AE6E7B" w:rsidRPr="00850096" w:rsidRDefault="00AE6E7B" w:rsidP="00FA0370">
      <w:pPr>
        <w:spacing w:after="0" w:line="240" w:lineRule="auto"/>
        <w:jc w:val="both"/>
        <w:rPr>
          <w:rFonts w:ascii="Sylfaen" w:hAnsi="Sylfaen"/>
          <w:noProof/>
          <w:sz w:val="20"/>
          <w:szCs w:val="20"/>
        </w:rPr>
      </w:pPr>
      <w:r w:rsidRPr="00850096">
        <w:rPr>
          <w:rFonts w:ascii="Sylfaen" w:hAnsi="Sylfaen"/>
          <w:noProof/>
          <w:sz w:val="20"/>
          <w:szCs w:val="20"/>
        </w:rPr>
        <w:t xml:space="preserve">28-კვირიან, ორმაგად ბრმა, აქტიური შედარების პრეპარატით კონტროლირებად კვლევაში, დაპაგლიფლოზინისა და გახანგრძლივებული გამოთავისუფლების ეგზენატიდის (GLP-1 </w:t>
      </w:r>
      <w:r w:rsidRPr="00850096">
        <w:rPr>
          <w:rFonts w:ascii="Sylfaen" w:hAnsi="Sylfaen"/>
          <w:noProof/>
          <w:sz w:val="20"/>
          <w:szCs w:val="20"/>
        </w:rPr>
        <w:lastRenderedPageBreak/>
        <w:t>რეცეპტორის აგონისტი) კომბინაცია შედარებული იყო მხოლოდ დაპაგლიფლოზინთან და მხოლოდ გახანგრძლივებული გამოთავისუფლების ეგზენატიდთან იმ პაციენტებში, რომლებსაც მეტფორმინით მონოთერაპიის ფონზე აღენიშნებოდათ გლიკემიის არასათანადო კონტროლი (HbA1c ≥ 8% და ≤ 12%).</w:t>
      </w:r>
    </w:p>
    <w:p w14:paraId="29957758" w14:textId="77777777" w:rsidR="00AE6E7B" w:rsidRPr="00850096" w:rsidRDefault="00AE6E7B" w:rsidP="00FA0370">
      <w:pPr>
        <w:spacing w:after="0" w:line="240" w:lineRule="auto"/>
        <w:jc w:val="both"/>
        <w:rPr>
          <w:rFonts w:ascii="Sylfaen" w:hAnsi="Sylfaen"/>
          <w:noProof/>
          <w:sz w:val="20"/>
          <w:szCs w:val="20"/>
        </w:rPr>
      </w:pPr>
      <w:r w:rsidRPr="00850096">
        <w:rPr>
          <w:rFonts w:ascii="Sylfaen" w:hAnsi="Sylfaen"/>
          <w:noProof/>
          <w:sz w:val="20"/>
          <w:szCs w:val="20"/>
        </w:rPr>
        <w:t>მკურნალობის ყველა ჯგუფში აღინიშნებოდა HbA1c-ის შემცირება საწყის მაჩვენებელთან შედარებით. დაპაგლიფლოზინის 10 მგ-ისა და გახანგრძლივებული გამოთავისუფლების ეგზენატიდის კომბინირებული თერაპიის ჯგუფში HbA1c-ის საწყის მაჩვენებელთან შედარებით შემცირება უფრო გამოხატული იყო, ვიდრე მხოლოდ დაპაგლიფლოზინის და მხოლოდ გახანგრძლივებული გამოთავისუფლების ეგზენატიდის ჯგუფებში (ცხრილი 8).</w:t>
      </w:r>
    </w:p>
    <w:p w14:paraId="2D2D510F" w14:textId="77777777" w:rsidR="005B7A52" w:rsidRPr="00850096" w:rsidRDefault="005B7A52" w:rsidP="00FA0370">
      <w:pPr>
        <w:spacing w:after="0" w:line="240" w:lineRule="auto"/>
        <w:jc w:val="both"/>
        <w:rPr>
          <w:rFonts w:ascii="Sylfaen" w:hAnsi="Sylfaen"/>
          <w:noProof/>
          <w:sz w:val="20"/>
          <w:szCs w:val="20"/>
        </w:rPr>
      </w:pPr>
    </w:p>
    <w:p w14:paraId="7A811DDE" w14:textId="2C79DE06" w:rsidR="00AE6E7B" w:rsidRPr="00850096" w:rsidRDefault="00AE6E7B" w:rsidP="00FA0370">
      <w:pPr>
        <w:spacing w:after="0" w:line="240" w:lineRule="auto"/>
        <w:jc w:val="both"/>
        <w:rPr>
          <w:rFonts w:ascii="Sylfaen" w:hAnsi="Sylfaen"/>
          <w:b/>
          <w:bCs/>
          <w:noProof/>
          <w:sz w:val="20"/>
          <w:szCs w:val="20"/>
        </w:rPr>
      </w:pPr>
      <w:r w:rsidRPr="00850096">
        <w:rPr>
          <w:rFonts w:ascii="Sylfaen" w:hAnsi="Sylfaen"/>
          <w:b/>
          <w:bCs/>
          <w:noProof/>
          <w:sz w:val="20"/>
          <w:szCs w:val="20"/>
        </w:rPr>
        <w:t>ცხრილი 8. დაპაგლიფლოზინისა და გახანგრძლივებული მოქმედების ექსენატიდის კომბინაციის (მეტფორმინთან ერთად) შედარების შედეგები დაპაგლიფლოზინისა და გახანგრძლივებული მოქმედების ექსენატიდის ცალ-ცალკე გამოყენებასთან (28-კვირიანი კვლევა; პაციენტთა ჯგუფი „მკურნალობის განზრახვით“)</w:t>
      </w:r>
    </w:p>
    <w:tbl>
      <w:tblPr>
        <w:tblStyle w:val="TableGrid"/>
        <w:tblW w:w="0" w:type="auto"/>
        <w:tblLook w:val="04A0" w:firstRow="1" w:lastRow="0" w:firstColumn="1" w:lastColumn="0" w:noHBand="0" w:noVBand="1"/>
      </w:tblPr>
      <w:tblGrid>
        <w:gridCol w:w="2812"/>
        <w:gridCol w:w="2649"/>
        <w:gridCol w:w="2312"/>
        <w:gridCol w:w="1906"/>
      </w:tblGrid>
      <w:tr w:rsidR="00F431C1" w:rsidRPr="001C3C36" w14:paraId="4E5418B6" w14:textId="6AAA5183" w:rsidTr="00F431C1">
        <w:trPr>
          <w:trHeight w:val="1124"/>
        </w:trPr>
        <w:tc>
          <w:tcPr>
            <w:tcW w:w="2818" w:type="dxa"/>
          </w:tcPr>
          <w:p w14:paraId="1CF4FE74" w14:textId="77777777" w:rsidR="00F431C1" w:rsidRPr="001C3C36" w:rsidRDefault="00F431C1" w:rsidP="00BC0A56">
            <w:pPr>
              <w:rPr>
                <w:rFonts w:ascii="Sylfaen" w:hAnsi="Sylfaen" w:cs="Times New Roman"/>
                <w:b/>
                <w:bCs/>
                <w:noProof/>
                <w:sz w:val="18"/>
                <w:szCs w:val="18"/>
              </w:rPr>
            </w:pPr>
            <w:r w:rsidRPr="001C3C36">
              <w:rPr>
                <w:rFonts w:ascii="Sylfaen" w:hAnsi="Sylfaen" w:cs="Sylfaen"/>
                <w:b/>
                <w:bCs/>
                <w:noProof/>
                <w:sz w:val="18"/>
                <w:szCs w:val="18"/>
              </w:rPr>
              <w:t>პარამეტრი</w:t>
            </w:r>
          </w:p>
        </w:tc>
        <w:tc>
          <w:tcPr>
            <w:tcW w:w="2653" w:type="dxa"/>
          </w:tcPr>
          <w:p w14:paraId="7DD26CFF" w14:textId="3A850040" w:rsidR="00F431C1" w:rsidRPr="001C3C36" w:rsidRDefault="00F431C1"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r w:rsidRPr="001C3C36">
              <w:rPr>
                <w:rFonts w:ascii="Sylfaen" w:hAnsi="Sylfaen" w:cs="Times New Roman"/>
                <w:b/>
                <w:bCs/>
                <w:noProof/>
                <w:sz w:val="18"/>
                <w:szCs w:val="18"/>
              </w:rPr>
              <w:t xml:space="preserve"> 10 </w:t>
            </w:r>
            <w:r w:rsidRPr="001C3C36">
              <w:rPr>
                <w:rFonts w:ascii="Sylfaen" w:hAnsi="Sylfaen" w:cs="Sylfaen"/>
                <w:b/>
                <w:bCs/>
                <w:noProof/>
                <w:sz w:val="18"/>
                <w:szCs w:val="18"/>
              </w:rPr>
              <w:t>მგ</w:t>
            </w:r>
            <w:r w:rsidRPr="001C3C36">
              <w:rPr>
                <w:rFonts w:ascii="Sylfaen" w:hAnsi="Sylfaen" w:cs="Times New Roman"/>
                <w:b/>
                <w:bCs/>
                <w:noProof/>
                <w:sz w:val="18"/>
                <w:szCs w:val="18"/>
              </w:rPr>
              <w:t xml:space="preserve"> QD + გახანგრძლივებული გამოთავისუფლების ექსენატიდი 2 მგ QW</w:t>
            </w:r>
          </w:p>
        </w:tc>
        <w:tc>
          <w:tcPr>
            <w:tcW w:w="2315" w:type="dxa"/>
          </w:tcPr>
          <w:p w14:paraId="0CAC7012" w14:textId="6B5B3098" w:rsidR="00F431C1" w:rsidRPr="001C3C36" w:rsidRDefault="00F431C1" w:rsidP="00BC0A56">
            <w:pPr>
              <w:jc w:val="center"/>
              <w:rPr>
                <w:rFonts w:ascii="Sylfaen" w:hAnsi="Sylfaen" w:cs="Times New Roman"/>
                <w:noProof/>
                <w:sz w:val="18"/>
                <w:szCs w:val="18"/>
                <w:vertAlign w:val="superscript"/>
              </w:rPr>
            </w:pPr>
            <w:r w:rsidRPr="001C3C36">
              <w:rPr>
                <w:rFonts w:ascii="Sylfaen" w:hAnsi="Sylfaen" w:cs="Sylfaen"/>
                <w:b/>
                <w:bCs/>
                <w:noProof/>
                <w:sz w:val="18"/>
                <w:szCs w:val="18"/>
              </w:rPr>
              <w:t>დაპაგლიფლოზინი</w:t>
            </w:r>
            <w:r w:rsidRPr="001C3C36">
              <w:rPr>
                <w:rFonts w:ascii="Sylfaen" w:hAnsi="Sylfaen" w:cs="Times New Roman"/>
                <w:b/>
                <w:bCs/>
                <w:noProof/>
                <w:sz w:val="18"/>
                <w:szCs w:val="18"/>
              </w:rPr>
              <w:t xml:space="preserve"> 10 </w:t>
            </w:r>
            <w:r w:rsidRPr="001C3C36">
              <w:rPr>
                <w:rFonts w:ascii="Sylfaen" w:hAnsi="Sylfaen" w:cs="Sylfaen"/>
                <w:b/>
                <w:bCs/>
                <w:noProof/>
                <w:sz w:val="18"/>
                <w:szCs w:val="18"/>
              </w:rPr>
              <w:t>მგ</w:t>
            </w:r>
            <w:r w:rsidRPr="001C3C36">
              <w:rPr>
                <w:rFonts w:ascii="Sylfaen" w:hAnsi="Sylfaen" w:cs="Times New Roman"/>
                <w:b/>
                <w:bCs/>
                <w:noProof/>
                <w:sz w:val="18"/>
                <w:szCs w:val="18"/>
              </w:rPr>
              <w:t xml:space="preserve"> QD + </w:t>
            </w:r>
            <w:r w:rsidRPr="001C3C36">
              <w:rPr>
                <w:rFonts w:ascii="Sylfaen" w:hAnsi="Sylfaen" w:cs="Sylfaen"/>
                <w:b/>
                <w:bCs/>
                <w:noProof/>
                <w:sz w:val="18"/>
                <w:szCs w:val="18"/>
              </w:rPr>
              <w:t>პლაცებო</w:t>
            </w:r>
            <w:r w:rsidRPr="001C3C36">
              <w:rPr>
                <w:rFonts w:ascii="Sylfaen" w:hAnsi="Sylfaen" w:cs="Times New Roman"/>
                <w:b/>
                <w:bCs/>
                <w:noProof/>
                <w:sz w:val="18"/>
                <w:szCs w:val="18"/>
              </w:rPr>
              <w:t xml:space="preserve"> QW</w:t>
            </w:r>
          </w:p>
        </w:tc>
        <w:tc>
          <w:tcPr>
            <w:tcW w:w="1893" w:type="dxa"/>
          </w:tcPr>
          <w:p w14:paraId="230603A1" w14:textId="68850A9B" w:rsidR="00F431C1" w:rsidRPr="001C3C36" w:rsidRDefault="00F431C1" w:rsidP="00BC0A56">
            <w:pPr>
              <w:jc w:val="center"/>
              <w:rPr>
                <w:rFonts w:ascii="Sylfaen" w:hAnsi="Sylfaen" w:cs="Sylfaen"/>
                <w:b/>
                <w:bCs/>
                <w:noProof/>
                <w:sz w:val="18"/>
                <w:szCs w:val="18"/>
              </w:rPr>
            </w:pPr>
            <w:r w:rsidRPr="001C3C36">
              <w:rPr>
                <w:rFonts w:ascii="Sylfaen" w:hAnsi="Sylfaen" w:cs="Times New Roman"/>
                <w:b/>
                <w:bCs/>
                <w:noProof/>
                <w:sz w:val="18"/>
                <w:szCs w:val="18"/>
              </w:rPr>
              <w:t>გახანგრძლივებული გამოთავისუფლების ექსენატიდი 2 მგ QW + პლაცებო QD</w:t>
            </w:r>
          </w:p>
        </w:tc>
      </w:tr>
      <w:tr w:rsidR="00F431C1" w:rsidRPr="001C3C36" w14:paraId="78F42D3E" w14:textId="38C606B0" w:rsidTr="00F431C1">
        <w:tc>
          <w:tcPr>
            <w:tcW w:w="2818" w:type="dxa"/>
          </w:tcPr>
          <w:p w14:paraId="0B44E479" w14:textId="77777777" w:rsidR="00F431C1" w:rsidRPr="001C3C36" w:rsidRDefault="00F431C1" w:rsidP="00BC0A56">
            <w:pPr>
              <w:rPr>
                <w:rFonts w:ascii="Sylfaen" w:hAnsi="Sylfaen" w:cs="Times New Roman"/>
                <w:noProof/>
                <w:sz w:val="18"/>
                <w:szCs w:val="18"/>
              </w:rPr>
            </w:pPr>
            <w:r w:rsidRPr="001C3C36">
              <w:rPr>
                <w:rFonts w:ascii="Sylfaen" w:hAnsi="Sylfaen" w:cs="Times New Roman"/>
                <w:b/>
                <w:bCs/>
                <w:noProof/>
                <w:sz w:val="18"/>
                <w:szCs w:val="18"/>
              </w:rPr>
              <w:t>N</w:t>
            </w:r>
            <w:r w:rsidRPr="001C3C36">
              <w:rPr>
                <w:rFonts w:ascii="Sylfaen" w:hAnsi="Sylfaen" w:cs="Times New Roman"/>
                <w:noProof/>
                <w:sz w:val="18"/>
                <w:szCs w:val="18"/>
                <w:vertAlign w:val="superscript"/>
              </w:rPr>
              <w:t>b</w:t>
            </w:r>
          </w:p>
        </w:tc>
        <w:tc>
          <w:tcPr>
            <w:tcW w:w="2653" w:type="dxa"/>
          </w:tcPr>
          <w:p w14:paraId="6CFDAE13" w14:textId="4B133588"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228</w:t>
            </w:r>
          </w:p>
        </w:tc>
        <w:tc>
          <w:tcPr>
            <w:tcW w:w="2315" w:type="dxa"/>
          </w:tcPr>
          <w:p w14:paraId="5B0C10FA" w14:textId="4943B925"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230</w:t>
            </w:r>
          </w:p>
        </w:tc>
        <w:tc>
          <w:tcPr>
            <w:tcW w:w="1893" w:type="dxa"/>
          </w:tcPr>
          <w:p w14:paraId="1FFB678E" w14:textId="08778AA0"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227</w:t>
            </w:r>
          </w:p>
        </w:tc>
      </w:tr>
      <w:tr w:rsidR="00F431C1" w:rsidRPr="001C3C36" w14:paraId="243274B8" w14:textId="0AC06F5B" w:rsidTr="00F431C1">
        <w:tc>
          <w:tcPr>
            <w:tcW w:w="2818" w:type="dxa"/>
          </w:tcPr>
          <w:p w14:paraId="4A78AF57" w14:textId="77777777" w:rsidR="00F431C1" w:rsidRPr="001C3C36" w:rsidRDefault="00F431C1" w:rsidP="00BC0A56">
            <w:pPr>
              <w:rPr>
                <w:rFonts w:ascii="Sylfaen" w:hAnsi="Sylfaen" w:cs="Times New Roman"/>
                <w:b/>
                <w:bCs/>
                <w:noProof/>
                <w:sz w:val="18"/>
                <w:szCs w:val="18"/>
              </w:rPr>
            </w:pPr>
            <w:r w:rsidRPr="001C3C36">
              <w:rPr>
                <w:rFonts w:ascii="Sylfaen" w:hAnsi="Sylfaen" w:cs="Times New Roman"/>
                <w:b/>
                <w:bCs/>
                <w:noProof/>
                <w:sz w:val="18"/>
                <w:szCs w:val="18"/>
              </w:rPr>
              <w:t>HbA1c (%)</w:t>
            </w:r>
          </w:p>
          <w:p w14:paraId="12EB7459" w14:textId="77777777" w:rsidR="00F431C1" w:rsidRPr="001C3C36" w:rsidRDefault="00F431C1"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6DDB48B4" w14:textId="77777777" w:rsidR="00F431C1" w:rsidRPr="001C3C36" w:rsidRDefault="00F431C1"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c</w:t>
            </w:r>
          </w:p>
          <w:p w14:paraId="44ECD639" w14:textId="6843C64C" w:rsidR="00F431C1" w:rsidRPr="001C3C36" w:rsidRDefault="00F431C1" w:rsidP="00BC0A56">
            <w:pPr>
              <w:rPr>
                <w:rFonts w:ascii="Sylfaen" w:hAnsi="Sylfaen" w:cs="Times New Roman"/>
                <w:noProof/>
                <w:sz w:val="18"/>
                <w:szCs w:val="18"/>
              </w:rPr>
            </w:pPr>
            <w:r w:rsidRPr="001C3C36">
              <w:rPr>
                <w:rFonts w:ascii="Sylfaen" w:hAnsi="Sylfaen" w:cs="Sylfaen"/>
                <w:noProof/>
                <w:sz w:val="18"/>
                <w:szCs w:val="18"/>
              </w:rPr>
              <w:t>ცვლილების საშუალო განსხვავება საწყის მნიშვნელობასთან შედარებით კომბინირებულ და ცალკეულ სამკურნალო საშუალებებს შორის (95% CI)</w:t>
            </w:r>
          </w:p>
        </w:tc>
        <w:tc>
          <w:tcPr>
            <w:tcW w:w="2653" w:type="dxa"/>
          </w:tcPr>
          <w:p w14:paraId="4CE3314E" w14:textId="77777777" w:rsidR="00F431C1" w:rsidRPr="001C3C36" w:rsidRDefault="00F431C1" w:rsidP="00BC0A56">
            <w:pPr>
              <w:jc w:val="center"/>
              <w:rPr>
                <w:rFonts w:ascii="Sylfaen" w:hAnsi="Sylfaen" w:cs="Times New Roman"/>
                <w:noProof/>
                <w:sz w:val="18"/>
                <w:szCs w:val="18"/>
              </w:rPr>
            </w:pPr>
          </w:p>
          <w:p w14:paraId="42E76D0E" w14:textId="089EE248"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9.29</w:t>
            </w:r>
          </w:p>
          <w:p w14:paraId="2776A4C3" w14:textId="77777777" w:rsidR="00F431C1" w:rsidRPr="001C3C36" w:rsidRDefault="00F431C1" w:rsidP="00BC0A56">
            <w:pPr>
              <w:jc w:val="center"/>
              <w:rPr>
                <w:rFonts w:ascii="Sylfaen" w:hAnsi="Sylfaen" w:cs="Times New Roman"/>
                <w:noProof/>
                <w:sz w:val="18"/>
                <w:szCs w:val="18"/>
              </w:rPr>
            </w:pPr>
          </w:p>
          <w:p w14:paraId="19EF92B1" w14:textId="6AE5F1D9"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-1.98</w:t>
            </w:r>
          </w:p>
        </w:tc>
        <w:tc>
          <w:tcPr>
            <w:tcW w:w="2315" w:type="dxa"/>
          </w:tcPr>
          <w:p w14:paraId="16DB3D30" w14:textId="77777777" w:rsidR="00F431C1" w:rsidRPr="001C3C36" w:rsidRDefault="00F431C1" w:rsidP="00BC0A56">
            <w:pPr>
              <w:jc w:val="center"/>
              <w:rPr>
                <w:rFonts w:ascii="Sylfaen" w:hAnsi="Sylfaen" w:cs="Times New Roman"/>
                <w:noProof/>
                <w:sz w:val="18"/>
                <w:szCs w:val="18"/>
              </w:rPr>
            </w:pPr>
          </w:p>
          <w:p w14:paraId="73C70658" w14:textId="77F21B65"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9.25</w:t>
            </w:r>
          </w:p>
          <w:p w14:paraId="3162BF91" w14:textId="77777777" w:rsidR="00F431C1" w:rsidRPr="001C3C36" w:rsidRDefault="00F431C1" w:rsidP="00BC0A56">
            <w:pPr>
              <w:jc w:val="center"/>
              <w:rPr>
                <w:rFonts w:ascii="Sylfaen" w:hAnsi="Sylfaen" w:cs="Times New Roman"/>
                <w:noProof/>
                <w:sz w:val="18"/>
                <w:szCs w:val="18"/>
              </w:rPr>
            </w:pPr>
          </w:p>
          <w:p w14:paraId="1EDA1559" w14:textId="77777777"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-1.39</w:t>
            </w:r>
          </w:p>
          <w:p w14:paraId="3A337086" w14:textId="77777777" w:rsidR="00F431C1" w:rsidRPr="001C3C36" w:rsidRDefault="00F431C1" w:rsidP="00BC0A56">
            <w:pPr>
              <w:jc w:val="center"/>
              <w:rPr>
                <w:rFonts w:ascii="Sylfaen" w:hAnsi="Sylfaen" w:cs="Times New Roman"/>
                <w:noProof/>
                <w:sz w:val="18"/>
                <w:szCs w:val="18"/>
              </w:rPr>
            </w:pPr>
          </w:p>
          <w:p w14:paraId="127608E9" w14:textId="77777777" w:rsidR="00F431C1" w:rsidRPr="001C3C36" w:rsidRDefault="00F431C1" w:rsidP="00BC0A56">
            <w:pPr>
              <w:jc w:val="center"/>
              <w:rPr>
                <w:rFonts w:ascii="Sylfaen" w:hAnsi="Sylfaen" w:cs="Times New Roman"/>
                <w:noProof/>
                <w:sz w:val="18"/>
                <w:szCs w:val="18"/>
              </w:rPr>
            </w:pPr>
          </w:p>
          <w:p w14:paraId="1BE00B42" w14:textId="77777777"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-0.59*</w:t>
            </w:r>
          </w:p>
          <w:p w14:paraId="354B48BE" w14:textId="0BAFA231"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(-0.84</w:t>
            </w:r>
            <w:r w:rsidR="00BB1657" w:rsidRPr="001C3C36">
              <w:rPr>
                <w:rFonts w:ascii="Sylfaen" w:hAnsi="Sylfaen" w:cs="Times New Roman"/>
                <w:noProof/>
                <w:sz w:val="18"/>
                <w:szCs w:val="18"/>
              </w:rPr>
              <w:t>, -0.34)</w:t>
            </w:r>
          </w:p>
        </w:tc>
        <w:tc>
          <w:tcPr>
            <w:tcW w:w="1893" w:type="dxa"/>
          </w:tcPr>
          <w:p w14:paraId="4E8AD0C7" w14:textId="77777777" w:rsidR="00F431C1" w:rsidRPr="001C3C36" w:rsidRDefault="00F431C1" w:rsidP="00BC0A56">
            <w:pPr>
              <w:jc w:val="center"/>
              <w:rPr>
                <w:rFonts w:ascii="Sylfaen" w:hAnsi="Sylfaen" w:cs="Times New Roman"/>
                <w:noProof/>
                <w:sz w:val="18"/>
                <w:szCs w:val="18"/>
              </w:rPr>
            </w:pPr>
          </w:p>
          <w:p w14:paraId="27796113" w14:textId="77777777"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9.26</w:t>
            </w:r>
          </w:p>
          <w:p w14:paraId="3BD1B91D" w14:textId="77777777" w:rsidR="00F431C1" w:rsidRPr="001C3C36" w:rsidRDefault="00F431C1" w:rsidP="00BC0A56">
            <w:pPr>
              <w:jc w:val="center"/>
              <w:rPr>
                <w:rFonts w:ascii="Sylfaen" w:hAnsi="Sylfaen" w:cs="Times New Roman"/>
                <w:noProof/>
                <w:sz w:val="18"/>
                <w:szCs w:val="18"/>
              </w:rPr>
            </w:pPr>
          </w:p>
          <w:p w14:paraId="1E3740DA" w14:textId="77777777" w:rsidR="00F431C1" w:rsidRPr="001C3C36" w:rsidRDefault="00F431C1" w:rsidP="00BC0A56">
            <w:pPr>
              <w:jc w:val="center"/>
              <w:rPr>
                <w:rFonts w:ascii="Sylfaen" w:hAnsi="Sylfaen" w:cs="Times New Roman"/>
                <w:noProof/>
                <w:sz w:val="18"/>
                <w:szCs w:val="18"/>
              </w:rPr>
            </w:pPr>
            <w:r w:rsidRPr="001C3C36">
              <w:rPr>
                <w:rFonts w:ascii="Sylfaen" w:hAnsi="Sylfaen" w:cs="Times New Roman"/>
                <w:noProof/>
                <w:sz w:val="18"/>
                <w:szCs w:val="18"/>
              </w:rPr>
              <w:t>-1.60</w:t>
            </w:r>
          </w:p>
          <w:p w14:paraId="79AD045C" w14:textId="77777777" w:rsidR="00BB1657" w:rsidRPr="001C3C36" w:rsidRDefault="00BB1657" w:rsidP="00BC0A56">
            <w:pPr>
              <w:jc w:val="center"/>
              <w:rPr>
                <w:rFonts w:ascii="Sylfaen" w:hAnsi="Sylfaen" w:cs="Times New Roman"/>
                <w:noProof/>
                <w:sz w:val="18"/>
                <w:szCs w:val="18"/>
              </w:rPr>
            </w:pPr>
          </w:p>
          <w:p w14:paraId="2F56AB4E" w14:textId="77777777" w:rsidR="00BB1657" w:rsidRPr="001C3C36" w:rsidRDefault="00BB1657" w:rsidP="00BC0A56">
            <w:pPr>
              <w:jc w:val="center"/>
              <w:rPr>
                <w:rFonts w:ascii="Sylfaen" w:hAnsi="Sylfaen" w:cs="Times New Roman"/>
                <w:noProof/>
                <w:sz w:val="18"/>
                <w:szCs w:val="18"/>
              </w:rPr>
            </w:pPr>
          </w:p>
          <w:p w14:paraId="4A4804D9" w14:textId="77777777" w:rsidR="00BB1657"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-0.38**</w:t>
            </w:r>
          </w:p>
          <w:p w14:paraId="137CB573" w14:textId="19913BC8" w:rsidR="00BB1657"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(0.63, -0.13)</w:t>
            </w:r>
          </w:p>
        </w:tc>
      </w:tr>
      <w:tr w:rsidR="00F431C1" w:rsidRPr="001C3C36" w14:paraId="3059FB50" w14:textId="3249C9E1" w:rsidTr="00F431C1">
        <w:tc>
          <w:tcPr>
            <w:tcW w:w="2818" w:type="dxa"/>
          </w:tcPr>
          <w:p w14:paraId="60C69146" w14:textId="08952B30" w:rsidR="00F431C1" w:rsidRPr="001C3C36" w:rsidRDefault="00BB1657" w:rsidP="00BC0A56">
            <w:pPr>
              <w:rPr>
                <w:rFonts w:ascii="Sylfaen" w:hAnsi="Sylfaen" w:cs="Times New Roman"/>
                <w:noProof/>
                <w:sz w:val="18"/>
                <w:szCs w:val="18"/>
              </w:rPr>
            </w:pPr>
            <w:r w:rsidRPr="001C3C36">
              <w:rPr>
                <w:rFonts w:ascii="Sylfaen" w:hAnsi="Sylfaen" w:cs="Times New Roman"/>
                <w:b/>
                <w:bCs/>
                <w:noProof/>
                <w:sz w:val="18"/>
                <w:szCs w:val="18"/>
              </w:rPr>
              <w:t>პაციენტები (%), რომლებმაც მიაღწიეს HbA1c &lt;7%-ს</w:t>
            </w:r>
          </w:p>
        </w:tc>
        <w:tc>
          <w:tcPr>
            <w:tcW w:w="2653" w:type="dxa"/>
          </w:tcPr>
          <w:p w14:paraId="3CC00B2A" w14:textId="77777777" w:rsidR="00F431C1" w:rsidRPr="001C3C36" w:rsidRDefault="00F431C1" w:rsidP="00BC0A56">
            <w:pPr>
              <w:jc w:val="center"/>
              <w:rPr>
                <w:rFonts w:ascii="Sylfaen" w:hAnsi="Sylfaen" w:cs="Times New Roman"/>
                <w:noProof/>
                <w:sz w:val="18"/>
                <w:szCs w:val="18"/>
              </w:rPr>
            </w:pPr>
          </w:p>
          <w:p w14:paraId="7FBCF3F9" w14:textId="3943045F" w:rsidR="00F431C1"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44.7</w:t>
            </w:r>
          </w:p>
        </w:tc>
        <w:tc>
          <w:tcPr>
            <w:tcW w:w="2315" w:type="dxa"/>
          </w:tcPr>
          <w:p w14:paraId="0EE8A05B" w14:textId="77777777" w:rsidR="00F431C1" w:rsidRPr="001C3C36" w:rsidRDefault="00F431C1" w:rsidP="00BC0A56">
            <w:pPr>
              <w:jc w:val="center"/>
              <w:rPr>
                <w:rFonts w:ascii="Sylfaen" w:hAnsi="Sylfaen" w:cs="Times New Roman"/>
                <w:noProof/>
                <w:sz w:val="18"/>
                <w:szCs w:val="18"/>
              </w:rPr>
            </w:pPr>
          </w:p>
          <w:p w14:paraId="2E6D40C1" w14:textId="151C32E2" w:rsidR="00F431C1"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19.1</w:t>
            </w:r>
          </w:p>
        </w:tc>
        <w:tc>
          <w:tcPr>
            <w:tcW w:w="1893" w:type="dxa"/>
          </w:tcPr>
          <w:p w14:paraId="17A9628B" w14:textId="77777777" w:rsidR="00F431C1" w:rsidRPr="001C3C36" w:rsidRDefault="00F431C1" w:rsidP="00BC0A56">
            <w:pPr>
              <w:jc w:val="center"/>
              <w:rPr>
                <w:rFonts w:ascii="Sylfaen" w:hAnsi="Sylfaen" w:cs="Times New Roman"/>
                <w:noProof/>
                <w:sz w:val="18"/>
                <w:szCs w:val="18"/>
              </w:rPr>
            </w:pPr>
          </w:p>
          <w:p w14:paraId="53D2930E" w14:textId="3EB2F8D2" w:rsidR="00BB1657"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26.9</w:t>
            </w:r>
          </w:p>
        </w:tc>
      </w:tr>
      <w:tr w:rsidR="00F431C1" w:rsidRPr="001C3C36" w14:paraId="74885011" w14:textId="50606384" w:rsidTr="00F431C1">
        <w:tc>
          <w:tcPr>
            <w:tcW w:w="2818" w:type="dxa"/>
          </w:tcPr>
          <w:p w14:paraId="7BE77D83" w14:textId="77777777" w:rsidR="00BB1657" w:rsidRPr="001C3C36" w:rsidRDefault="00BB1657" w:rsidP="00BC0A56">
            <w:pPr>
              <w:rPr>
                <w:rFonts w:ascii="Sylfaen" w:hAnsi="Sylfaen" w:cs="Times New Roman"/>
                <w:b/>
                <w:bCs/>
                <w:noProof/>
                <w:sz w:val="18"/>
                <w:szCs w:val="18"/>
              </w:rPr>
            </w:pPr>
            <w:r w:rsidRPr="001C3C36">
              <w:rPr>
                <w:rFonts w:ascii="Sylfaen" w:hAnsi="Sylfaen" w:cs="Times New Roman"/>
                <w:b/>
                <w:bCs/>
                <w:noProof/>
                <w:sz w:val="18"/>
                <w:szCs w:val="18"/>
              </w:rPr>
              <w:t>სხეულის წონა (კგ)</w:t>
            </w:r>
          </w:p>
          <w:p w14:paraId="7AC709E4" w14:textId="77777777" w:rsidR="00BB1657" w:rsidRPr="001C3C36" w:rsidRDefault="00BB1657"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40D3610C" w14:textId="1952E794" w:rsidR="00BB1657" w:rsidRPr="001C3C36" w:rsidRDefault="00BB1657" w:rsidP="00BC0A56">
            <w:pPr>
              <w:rPr>
                <w:rFonts w:ascii="Sylfaen" w:hAnsi="Sylfaen" w:cs="Times New Roman"/>
                <w:noProof/>
                <w:sz w:val="18"/>
                <w:szCs w:val="18"/>
                <w:vertAlign w:val="superscript"/>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მაჩვენებლიდან</w:t>
            </w:r>
            <w:r w:rsidRPr="001C3C36">
              <w:rPr>
                <w:rFonts w:ascii="Sylfaen" w:hAnsi="Sylfaen" w:cs="Sylfaen"/>
                <w:noProof/>
                <w:sz w:val="18"/>
                <w:szCs w:val="18"/>
                <w:vertAlign w:val="superscript"/>
              </w:rPr>
              <w:t>a</w:t>
            </w:r>
          </w:p>
          <w:p w14:paraId="3D80E081" w14:textId="4FF9A61D" w:rsidR="00F431C1" w:rsidRPr="001C3C36" w:rsidRDefault="00BB1657" w:rsidP="00BC0A56">
            <w:pPr>
              <w:rPr>
                <w:rFonts w:ascii="Sylfaen" w:hAnsi="Sylfaen" w:cs="Times New Roman"/>
                <w:noProof/>
                <w:sz w:val="18"/>
                <w:szCs w:val="18"/>
              </w:rPr>
            </w:pPr>
            <w:r w:rsidRPr="001C3C36">
              <w:rPr>
                <w:rFonts w:ascii="Sylfaen" w:hAnsi="Sylfaen" w:cs="Sylfaen"/>
                <w:noProof/>
                <w:sz w:val="18"/>
                <w:szCs w:val="18"/>
              </w:rPr>
              <w:t>ცვლილების საშუალო განსხვავება საწყის მნიშვნელობასთან შედარებით კომბინირებულ და ცალკეულ სამკურნალო საშუალებებს შორის (95% CI)</w:t>
            </w:r>
          </w:p>
        </w:tc>
        <w:tc>
          <w:tcPr>
            <w:tcW w:w="2653" w:type="dxa"/>
          </w:tcPr>
          <w:p w14:paraId="14318B2F" w14:textId="77777777" w:rsidR="00F431C1" w:rsidRPr="001C3C36" w:rsidRDefault="00F431C1" w:rsidP="00BC0A56">
            <w:pPr>
              <w:ind w:firstLine="720"/>
              <w:jc w:val="center"/>
              <w:rPr>
                <w:rFonts w:ascii="Sylfaen" w:hAnsi="Sylfaen" w:cs="Times New Roman"/>
                <w:noProof/>
                <w:sz w:val="18"/>
                <w:szCs w:val="18"/>
              </w:rPr>
            </w:pPr>
          </w:p>
          <w:p w14:paraId="4BB54724" w14:textId="77777777" w:rsidR="00F431C1" w:rsidRPr="001C3C36" w:rsidRDefault="00F431C1" w:rsidP="00BC0A56">
            <w:pPr>
              <w:jc w:val="center"/>
              <w:rPr>
                <w:rFonts w:ascii="Sylfaen" w:hAnsi="Sylfaen" w:cs="Times New Roman"/>
                <w:noProof/>
                <w:sz w:val="18"/>
                <w:szCs w:val="18"/>
              </w:rPr>
            </w:pPr>
          </w:p>
          <w:p w14:paraId="07AAAB14" w14:textId="77777777" w:rsidR="00F431C1" w:rsidRPr="001C3C36" w:rsidRDefault="00BB1657" w:rsidP="00BC0A56">
            <w:pPr>
              <w:ind w:firstLine="720"/>
              <w:rPr>
                <w:rFonts w:ascii="Sylfaen" w:hAnsi="Sylfaen" w:cs="Times New Roman"/>
                <w:noProof/>
                <w:sz w:val="18"/>
                <w:szCs w:val="18"/>
              </w:rPr>
            </w:pPr>
            <w:r w:rsidRPr="001C3C36">
              <w:rPr>
                <w:rFonts w:ascii="Sylfaen" w:hAnsi="Sylfaen" w:cs="Times New Roman"/>
                <w:noProof/>
                <w:sz w:val="18"/>
                <w:szCs w:val="18"/>
              </w:rPr>
              <w:t>92.13</w:t>
            </w:r>
          </w:p>
          <w:p w14:paraId="15DE0046" w14:textId="77777777" w:rsidR="00BB1657" w:rsidRPr="001C3C36" w:rsidRDefault="00BB1657" w:rsidP="00BC0A56">
            <w:pPr>
              <w:ind w:firstLine="720"/>
              <w:rPr>
                <w:rFonts w:ascii="Sylfaen" w:hAnsi="Sylfaen" w:cs="Times New Roman"/>
                <w:noProof/>
                <w:sz w:val="18"/>
                <w:szCs w:val="18"/>
              </w:rPr>
            </w:pPr>
          </w:p>
          <w:p w14:paraId="75B39E52" w14:textId="1841D73E" w:rsidR="00BB1657" w:rsidRPr="001C3C36" w:rsidRDefault="00BB1657" w:rsidP="00BC0A56">
            <w:pPr>
              <w:ind w:firstLine="720"/>
              <w:rPr>
                <w:rFonts w:ascii="Sylfaen" w:hAnsi="Sylfaen" w:cs="Times New Roman"/>
                <w:noProof/>
                <w:sz w:val="18"/>
                <w:szCs w:val="18"/>
              </w:rPr>
            </w:pPr>
            <w:r w:rsidRPr="001C3C36">
              <w:rPr>
                <w:rFonts w:ascii="Sylfaen" w:hAnsi="Sylfaen" w:cs="Times New Roman"/>
                <w:noProof/>
                <w:sz w:val="18"/>
                <w:szCs w:val="18"/>
              </w:rPr>
              <w:t>-3.55</w:t>
            </w:r>
          </w:p>
          <w:p w14:paraId="5D99A26E" w14:textId="77777777" w:rsidR="00BB1657" w:rsidRPr="001C3C36" w:rsidRDefault="00BB1657" w:rsidP="00BC0A56">
            <w:pPr>
              <w:ind w:firstLine="720"/>
              <w:rPr>
                <w:rFonts w:ascii="Sylfaen" w:hAnsi="Sylfaen" w:cs="Times New Roman"/>
                <w:noProof/>
                <w:sz w:val="18"/>
                <w:szCs w:val="18"/>
              </w:rPr>
            </w:pPr>
          </w:p>
          <w:p w14:paraId="61233321" w14:textId="131F882E" w:rsidR="00BB1657" w:rsidRPr="001C3C36" w:rsidRDefault="00BB1657" w:rsidP="00BC0A56">
            <w:pPr>
              <w:ind w:firstLine="720"/>
              <w:rPr>
                <w:rFonts w:ascii="Sylfaen" w:hAnsi="Sylfaen" w:cs="Times New Roman"/>
                <w:noProof/>
                <w:sz w:val="18"/>
                <w:szCs w:val="18"/>
              </w:rPr>
            </w:pPr>
          </w:p>
        </w:tc>
        <w:tc>
          <w:tcPr>
            <w:tcW w:w="2315" w:type="dxa"/>
          </w:tcPr>
          <w:p w14:paraId="1E6D5839" w14:textId="77777777" w:rsidR="00F431C1" w:rsidRPr="001C3C36" w:rsidRDefault="00F431C1" w:rsidP="00BC0A56">
            <w:pPr>
              <w:jc w:val="center"/>
              <w:rPr>
                <w:rFonts w:ascii="Sylfaen" w:hAnsi="Sylfaen" w:cs="Times New Roman"/>
                <w:noProof/>
                <w:sz w:val="18"/>
                <w:szCs w:val="18"/>
              </w:rPr>
            </w:pPr>
          </w:p>
          <w:p w14:paraId="63DE5760" w14:textId="77777777" w:rsidR="00F431C1" w:rsidRPr="001C3C36" w:rsidRDefault="00F431C1" w:rsidP="00BC0A56">
            <w:pPr>
              <w:jc w:val="center"/>
              <w:rPr>
                <w:rFonts w:ascii="Sylfaen" w:hAnsi="Sylfaen" w:cs="Times New Roman"/>
                <w:noProof/>
                <w:sz w:val="18"/>
                <w:szCs w:val="18"/>
              </w:rPr>
            </w:pPr>
          </w:p>
          <w:p w14:paraId="49DF7BFE" w14:textId="77777777" w:rsidR="00F431C1"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90.87</w:t>
            </w:r>
          </w:p>
          <w:p w14:paraId="51AC1B83" w14:textId="77777777" w:rsidR="00BB1657" w:rsidRPr="001C3C36" w:rsidRDefault="00BB1657" w:rsidP="00BC0A56">
            <w:pPr>
              <w:jc w:val="center"/>
              <w:rPr>
                <w:rFonts w:ascii="Sylfaen" w:hAnsi="Sylfaen" w:cs="Times New Roman"/>
                <w:noProof/>
                <w:sz w:val="18"/>
                <w:szCs w:val="18"/>
              </w:rPr>
            </w:pPr>
          </w:p>
          <w:p w14:paraId="63F23D16" w14:textId="77777777" w:rsidR="00BB1657"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-2.22</w:t>
            </w:r>
          </w:p>
          <w:p w14:paraId="2C102D08" w14:textId="77777777" w:rsidR="00BB1657" w:rsidRPr="001C3C36" w:rsidRDefault="00BB1657" w:rsidP="00BC0A56">
            <w:pPr>
              <w:jc w:val="center"/>
              <w:rPr>
                <w:rFonts w:ascii="Sylfaen" w:hAnsi="Sylfaen" w:cs="Times New Roman"/>
                <w:noProof/>
                <w:sz w:val="18"/>
                <w:szCs w:val="18"/>
              </w:rPr>
            </w:pPr>
          </w:p>
          <w:p w14:paraId="1E8E4960" w14:textId="77777777" w:rsidR="00BB1657" w:rsidRPr="001C3C36" w:rsidRDefault="00BB1657" w:rsidP="00BC0A56">
            <w:pPr>
              <w:jc w:val="center"/>
              <w:rPr>
                <w:rFonts w:ascii="Sylfaen" w:hAnsi="Sylfaen" w:cs="Times New Roman"/>
                <w:noProof/>
                <w:sz w:val="18"/>
                <w:szCs w:val="18"/>
              </w:rPr>
            </w:pPr>
          </w:p>
          <w:p w14:paraId="74F8802A" w14:textId="77777777" w:rsidR="00BB1657"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-1.33*</w:t>
            </w:r>
          </w:p>
          <w:p w14:paraId="1216174B" w14:textId="60ED875C" w:rsidR="00BB1657"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(-2.12, -0.55)</w:t>
            </w:r>
          </w:p>
        </w:tc>
        <w:tc>
          <w:tcPr>
            <w:tcW w:w="1893" w:type="dxa"/>
          </w:tcPr>
          <w:p w14:paraId="083F122B" w14:textId="77777777" w:rsidR="00F431C1" w:rsidRPr="001C3C36" w:rsidRDefault="00F431C1" w:rsidP="00BC0A56">
            <w:pPr>
              <w:jc w:val="center"/>
              <w:rPr>
                <w:rFonts w:ascii="Sylfaen" w:hAnsi="Sylfaen" w:cs="Times New Roman"/>
                <w:noProof/>
                <w:sz w:val="18"/>
                <w:szCs w:val="18"/>
              </w:rPr>
            </w:pPr>
          </w:p>
          <w:p w14:paraId="42C4C790" w14:textId="77777777" w:rsidR="00BB1657" w:rsidRPr="001C3C36" w:rsidRDefault="00BB1657" w:rsidP="00BC0A56">
            <w:pPr>
              <w:jc w:val="center"/>
              <w:rPr>
                <w:rFonts w:ascii="Sylfaen" w:hAnsi="Sylfaen" w:cs="Times New Roman"/>
                <w:noProof/>
                <w:sz w:val="18"/>
                <w:szCs w:val="18"/>
              </w:rPr>
            </w:pPr>
          </w:p>
          <w:p w14:paraId="75FC47DC" w14:textId="77777777" w:rsidR="00BB1657"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89.12</w:t>
            </w:r>
          </w:p>
          <w:p w14:paraId="2A109494" w14:textId="77777777" w:rsidR="00BB1657" w:rsidRPr="001C3C36" w:rsidRDefault="00BB1657" w:rsidP="00BC0A56">
            <w:pPr>
              <w:jc w:val="center"/>
              <w:rPr>
                <w:rFonts w:ascii="Sylfaen" w:hAnsi="Sylfaen" w:cs="Times New Roman"/>
                <w:noProof/>
                <w:sz w:val="18"/>
                <w:szCs w:val="18"/>
              </w:rPr>
            </w:pPr>
          </w:p>
          <w:p w14:paraId="1B928A50" w14:textId="77777777" w:rsidR="00BB1657"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-1.56</w:t>
            </w:r>
          </w:p>
          <w:p w14:paraId="69382928" w14:textId="77777777" w:rsidR="00BB1657" w:rsidRPr="001C3C36" w:rsidRDefault="00BB1657" w:rsidP="00BC0A56">
            <w:pPr>
              <w:jc w:val="center"/>
              <w:rPr>
                <w:rFonts w:ascii="Sylfaen" w:hAnsi="Sylfaen" w:cs="Times New Roman"/>
                <w:noProof/>
                <w:sz w:val="18"/>
                <w:szCs w:val="18"/>
              </w:rPr>
            </w:pPr>
          </w:p>
          <w:p w14:paraId="69F8B94F" w14:textId="77777777" w:rsidR="00BB1657" w:rsidRPr="001C3C36" w:rsidRDefault="00BB1657" w:rsidP="00BC0A56">
            <w:pPr>
              <w:jc w:val="center"/>
              <w:rPr>
                <w:rFonts w:ascii="Sylfaen" w:hAnsi="Sylfaen" w:cs="Times New Roman"/>
                <w:noProof/>
                <w:sz w:val="18"/>
                <w:szCs w:val="18"/>
              </w:rPr>
            </w:pPr>
          </w:p>
          <w:p w14:paraId="7A3D1EB6" w14:textId="77777777" w:rsidR="00BB1657"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-2.00*</w:t>
            </w:r>
          </w:p>
          <w:p w14:paraId="1CD69A38" w14:textId="236CD4C3" w:rsidR="00BB1657" w:rsidRPr="001C3C36" w:rsidRDefault="00BB1657" w:rsidP="00BC0A56">
            <w:pPr>
              <w:jc w:val="center"/>
              <w:rPr>
                <w:rFonts w:ascii="Sylfaen" w:hAnsi="Sylfaen" w:cs="Times New Roman"/>
                <w:noProof/>
                <w:sz w:val="18"/>
                <w:szCs w:val="18"/>
              </w:rPr>
            </w:pPr>
            <w:r w:rsidRPr="001C3C36">
              <w:rPr>
                <w:rFonts w:ascii="Sylfaen" w:hAnsi="Sylfaen" w:cs="Times New Roman"/>
                <w:noProof/>
                <w:sz w:val="18"/>
                <w:szCs w:val="18"/>
              </w:rPr>
              <w:t>(-2.79, -1.20)</w:t>
            </w:r>
          </w:p>
        </w:tc>
      </w:tr>
    </w:tbl>
    <w:p w14:paraId="58EDD2F3" w14:textId="77777777" w:rsidR="00BB1657" w:rsidRPr="00850096" w:rsidRDefault="00BB1657" w:rsidP="00FA0370">
      <w:pPr>
        <w:spacing w:after="0" w:line="240" w:lineRule="auto"/>
        <w:jc w:val="both"/>
        <w:rPr>
          <w:rFonts w:ascii="Sylfaen" w:hAnsi="Sylfaen"/>
          <w:noProof/>
          <w:sz w:val="20"/>
          <w:szCs w:val="20"/>
        </w:rPr>
      </w:pPr>
      <w:r w:rsidRPr="00850096">
        <w:rPr>
          <w:rFonts w:ascii="Sylfaen" w:hAnsi="Sylfaen"/>
          <w:noProof/>
          <w:sz w:val="20"/>
          <w:szCs w:val="20"/>
        </w:rPr>
        <w:t>QD = დღეში ერთხელ; QW = კვირაში ერთხელ; N = პაციენტების რაოდენობა; CI = ნდობის ინტერვალი.</w:t>
      </w:r>
    </w:p>
    <w:p w14:paraId="36C29742" w14:textId="77777777" w:rsidR="00BB1657" w:rsidRPr="00850096" w:rsidRDefault="00BB1657" w:rsidP="00FA0370">
      <w:pPr>
        <w:spacing w:after="0" w:line="240" w:lineRule="auto"/>
        <w:jc w:val="both"/>
        <w:rPr>
          <w:rFonts w:ascii="Sylfaen" w:hAnsi="Sylfaen"/>
          <w:noProof/>
          <w:sz w:val="20"/>
          <w:szCs w:val="20"/>
        </w:rPr>
      </w:pPr>
      <w:r w:rsidRPr="00850096">
        <w:rPr>
          <w:rFonts w:ascii="Times New Roman" w:hAnsi="Times New Roman" w:cs="Times New Roman"/>
          <w:noProof/>
          <w:sz w:val="20"/>
          <w:szCs w:val="20"/>
        </w:rPr>
        <w:t>ᵃ</w:t>
      </w:r>
      <w:r w:rsidRPr="00850096">
        <w:rPr>
          <w:rFonts w:ascii="Sylfaen" w:hAnsi="Sylfaen"/>
          <w:noProof/>
          <w:sz w:val="20"/>
          <w:szCs w:val="20"/>
        </w:rPr>
        <w:t xml:space="preserve"> შესწორებული უმცირესი კვადრატების საშუალო მნიშვნელობები (LS Means) და სამკურნალო ჯგუფებს შორის განსხვავებები საწყის მნიშვნელობასთან შედარებით ცვლილებაში მე-28 კვირას მოდელირებულია განმეორებითი გაზომვების შერეული მოდელის (MMRM) გამოყენებით, რომელიც მოიცავს მკურნალობას, რეგიონს, საწყისი HbA1c-ის სტრატუმს (&lt; 9.0% ან ≥ 9.0%), კვირას და მკურნალობისა და კვირის ურთიერთქმედებას ფიქსირებულ ფაქტორებად, ხოლო საწყის მნიშვნელობას — კოვარიატად.</w:t>
      </w:r>
    </w:p>
    <w:p w14:paraId="623196CA" w14:textId="77777777" w:rsidR="00BB1657" w:rsidRPr="00850096" w:rsidRDefault="00BB1657" w:rsidP="00FA0370">
      <w:pPr>
        <w:spacing w:after="0" w:line="240" w:lineRule="auto"/>
        <w:jc w:val="both"/>
        <w:rPr>
          <w:rFonts w:ascii="Sylfaen" w:hAnsi="Sylfaen"/>
          <w:noProof/>
          <w:sz w:val="20"/>
          <w:szCs w:val="20"/>
        </w:rPr>
      </w:pPr>
      <w:r w:rsidRPr="00850096">
        <w:rPr>
          <w:rFonts w:ascii="Sylfaen" w:hAnsi="Sylfaen"/>
          <w:noProof/>
          <w:sz w:val="20"/>
          <w:szCs w:val="20"/>
        </w:rPr>
        <w:t>*p &lt; 0.001, **p &lt; 0.01.</w:t>
      </w:r>
    </w:p>
    <w:p w14:paraId="2372BF17" w14:textId="77777777" w:rsidR="00BB1657" w:rsidRPr="00850096" w:rsidRDefault="00BB1657" w:rsidP="00FA0370">
      <w:pPr>
        <w:spacing w:after="0" w:line="240" w:lineRule="auto"/>
        <w:jc w:val="both"/>
        <w:rPr>
          <w:rFonts w:ascii="Sylfaen" w:hAnsi="Sylfaen"/>
          <w:noProof/>
          <w:sz w:val="20"/>
          <w:szCs w:val="20"/>
        </w:rPr>
      </w:pPr>
      <w:r w:rsidRPr="00850096">
        <w:rPr>
          <w:rFonts w:ascii="Sylfaen" w:hAnsi="Sylfaen"/>
          <w:noProof/>
          <w:sz w:val="20"/>
          <w:szCs w:val="20"/>
        </w:rPr>
        <w:t>P-მნიშვნელობები ყველა შესწორებულია მრავალჯერადი შედარებისთვის.</w:t>
      </w:r>
    </w:p>
    <w:p w14:paraId="0419AAED" w14:textId="77777777" w:rsidR="00BB1657" w:rsidRDefault="00BB1657" w:rsidP="00FA0370">
      <w:pPr>
        <w:spacing w:after="0" w:line="240" w:lineRule="auto"/>
        <w:jc w:val="both"/>
        <w:rPr>
          <w:rFonts w:ascii="Sylfaen" w:hAnsi="Sylfaen"/>
          <w:noProof/>
          <w:sz w:val="20"/>
          <w:szCs w:val="20"/>
        </w:rPr>
      </w:pPr>
      <w:r w:rsidRPr="00850096">
        <w:rPr>
          <w:rFonts w:ascii="Sylfaen" w:hAnsi="Sylfaen"/>
          <w:noProof/>
          <w:sz w:val="20"/>
          <w:szCs w:val="20"/>
        </w:rPr>
        <w:t>ანალიზში არ არის ჩართული სამაშველო თერაპიის დაწყების შემდეგ და საკვლევი სამკურნალო საშუალების ნაადრევად შეწყვეტის შემდეგ მიღებული გაზომვები.</w:t>
      </w:r>
    </w:p>
    <w:p w14:paraId="4D78DDE3" w14:textId="77777777" w:rsidR="00FA0370" w:rsidRPr="00850096" w:rsidRDefault="00FA0370" w:rsidP="00FA0370">
      <w:pPr>
        <w:spacing w:after="0" w:line="240" w:lineRule="auto"/>
        <w:jc w:val="both"/>
        <w:rPr>
          <w:rFonts w:ascii="Sylfaen" w:hAnsi="Sylfaen"/>
          <w:noProof/>
          <w:sz w:val="20"/>
          <w:szCs w:val="20"/>
        </w:rPr>
      </w:pPr>
    </w:p>
    <w:p w14:paraId="4AAB5BEC"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i/>
          <w:iCs/>
          <w:noProof/>
          <w:sz w:val="20"/>
          <w:szCs w:val="20"/>
        </w:rPr>
        <w:lastRenderedPageBreak/>
        <w:t>უზმოზე პლაზმაში გლუკოზის დონე (Fasting plasma glucose)</w:t>
      </w:r>
    </w:p>
    <w:p w14:paraId="2AF23A83"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დაპაგლიფლოზინით 10 მგ დოზით მონოთერაპიის სახით ან მეტფორმინთან, გლიმეპირიდთან, მეტფორმინთან და სულფონილშარდოვანას პრეპარატთან, სიტაგლიპტინთან (მეტფორმინთან ერთად ან მის გარეშე) ან ინსულინთან დამატებითი თერაპიის სახით მკურნალობამ გამოიწვია უზმოზე პლაზმაში გლუკოზის დონის სტატისტიკურად მნიშვნელოვანი შემცირება — -1.90-დან -1.20 მმოლ/ლ-მდე [-34.2-დან -21.7 მგ/დლ-მდე], პლაცებოსთან შედარებით -0.33-დან 0.21 მმოლ/ლ-მდე [-6.0-დან 3.8 მგ/დლ-მდე]. აღნიშნული ეფექტი გამოვლინდა მკურნალობის 1-ლი კვირისთვის და შენარჩუნდა კვლევებში, რომლებიც გაგრძელდა 104-ე კვირამდე.</w:t>
      </w:r>
    </w:p>
    <w:p w14:paraId="29BB7BE6"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10 მგ-ისა და გახანგრძლივებული გამოთავისუფლების ექსენატიდის კომბინირებულმა თერაპიამ 28-ე კვირას გამოიწვია უზმოზე პლაზმაში გლუკოზის დონის მნიშვნელოვნად უფრო დიდი შემცირება: -3.66 მმოლ/ლ (-65.8 მგ/დლ), დაპაგლიფლოზინის მონოთერაპიასთან შედარებით -2.73 მმოლ/ლ (-49.2 მგ/დლ) (p &lt; 0.001) და ექსენატიდის მონოთერაპიასთან შედარებით -2.54 მმოლ/ლ (-45.8 მგ/დლ) (p &lt; 0.001).</w:t>
      </w:r>
    </w:p>
    <w:p w14:paraId="053BE4DD" w14:textId="40CCCBD6" w:rsidR="006D12F1"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სპეციალურად ჩატარებულ კვლევაში დიაბეტის მქონე პაციენტებში, რომელთა eGFR ≥ 45-დან &lt; 60 მლ/წთ/1.73 მ²-მდე იყო, დაპაგლიფლოზინით მკურნალობამ 24-ე კვირას გამოიწვია უზმოზე პლაზმაში გლუკოზის დონის -1.19 მმოლ/ლ-ით (-21.46 მგ/დლ-ით) შემცირება, პლაცებოსთან შედარებით -0.27 მმოლ/ლ-ით (-4.87 მგ/დლ-ით) (p = 0.001).</w:t>
      </w:r>
    </w:p>
    <w:p w14:paraId="634C9F8E" w14:textId="77777777" w:rsidR="00FA0370" w:rsidRPr="00850096" w:rsidRDefault="00FA0370" w:rsidP="00FA0370">
      <w:pPr>
        <w:spacing w:after="0" w:line="240" w:lineRule="auto"/>
        <w:jc w:val="both"/>
        <w:rPr>
          <w:rFonts w:ascii="Sylfaen" w:hAnsi="Sylfaen"/>
          <w:noProof/>
          <w:sz w:val="20"/>
          <w:szCs w:val="20"/>
        </w:rPr>
      </w:pPr>
    </w:p>
    <w:p w14:paraId="155C50C0" w14:textId="77777777" w:rsidR="006D12F1" w:rsidRPr="00850096" w:rsidRDefault="006D12F1" w:rsidP="00FA0370">
      <w:pPr>
        <w:spacing w:after="0" w:line="240" w:lineRule="auto"/>
        <w:jc w:val="both"/>
        <w:rPr>
          <w:rFonts w:ascii="Sylfaen" w:hAnsi="Sylfaen"/>
          <w:noProof/>
          <w:sz w:val="20"/>
          <w:szCs w:val="20"/>
          <w:u w:val="single"/>
        </w:rPr>
      </w:pPr>
      <w:r w:rsidRPr="00850096">
        <w:rPr>
          <w:rFonts w:ascii="Sylfaen" w:hAnsi="Sylfaen"/>
          <w:i/>
          <w:iCs/>
          <w:noProof/>
          <w:sz w:val="20"/>
          <w:szCs w:val="20"/>
          <w:u w:val="single"/>
        </w:rPr>
        <w:t>ჭამის შემდგომი გლუკოზა (Post-prandial glucose)</w:t>
      </w:r>
    </w:p>
    <w:p w14:paraId="11928555"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დაპაგლიფლოზინით 10 მგ დოზით გლიმეპირიდთან დამატებითი თერაპიის სახით მკურნალობამ გამოიწვია ჭამიდან 2 საათის შემდეგ პლაზმაში გლუკოზის დონის სტატისტიკურად მნიშვნელოვანი შემცირება 24-ე კვირას, რომელიც შენარჩუნდა 48-ე კვირამდე.</w:t>
      </w:r>
    </w:p>
    <w:p w14:paraId="3D11CE78"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დაპაგლიფლოზინით 10 მგ დოზით სიტაგლიპტინთან (მეტფორმინთან ერთად ან მის გარეშე) დამატებითი თერაპიის სახით მკურნალობამ გამოიწვია ჭამიდან 2 საათის შემდეგ პლაზმაში გლუკოზის დონის შემცირება 24-ე კვირას, რომელიც შენარჩუნდა 48-ე კვირამდე.</w:t>
      </w:r>
    </w:p>
    <w:p w14:paraId="35465180" w14:textId="0BB4B47A" w:rsidR="006D12F1"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10 მგ-ისა და გახანგრძლივებული გამოთავისუფლების ექსენატიდის კომბინირებულმა თერაპიამ 28-ე კვირას გამოიწვია ჭამიდან 2 საათის შემდეგ პლაზმაში გლუკოზის დონის მნიშვნელოვნად უფრო დიდი შემცირება, თითოეულ სამკურნალო საშუალებებთან ცალ-ცალკე მკურნალობასთან შედარებით.</w:t>
      </w:r>
    </w:p>
    <w:p w14:paraId="35A68536" w14:textId="77777777" w:rsidR="00FA0370" w:rsidRPr="00850096" w:rsidRDefault="00FA0370" w:rsidP="00BC0A56">
      <w:pPr>
        <w:spacing w:after="0" w:line="240" w:lineRule="auto"/>
        <w:rPr>
          <w:rFonts w:ascii="Sylfaen" w:hAnsi="Sylfaen"/>
          <w:noProof/>
          <w:sz w:val="20"/>
          <w:szCs w:val="20"/>
        </w:rPr>
      </w:pPr>
    </w:p>
    <w:p w14:paraId="05A32920" w14:textId="5AF03DDD" w:rsidR="006D12F1" w:rsidRPr="00850096" w:rsidRDefault="006D12F1" w:rsidP="00BC0A56">
      <w:pPr>
        <w:spacing w:after="0" w:line="240" w:lineRule="auto"/>
        <w:rPr>
          <w:rFonts w:ascii="Sylfaen" w:hAnsi="Sylfaen"/>
          <w:noProof/>
          <w:sz w:val="20"/>
          <w:szCs w:val="20"/>
          <w:u w:val="single"/>
        </w:rPr>
      </w:pPr>
      <w:r w:rsidRPr="00850096">
        <w:rPr>
          <w:rFonts w:ascii="Sylfaen" w:hAnsi="Sylfaen"/>
          <w:i/>
          <w:iCs/>
          <w:noProof/>
          <w:sz w:val="20"/>
          <w:szCs w:val="20"/>
          <w:u w:val="single"/>
        </w:rPr>
        <w:t>სხეულის წონა (Body weight)</w:t>
      </w:r>
    </w:p>
    <w:p w14:paraId="5F6D69B8"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10 მგ-ის მეტფორმინთან, გლიმეპირიდთან, მეტფორმინთან და სულფონილშარდოვანას პრეპარატთან, სიტაგლიპტინთან (მეტფორმინთან ერთად ან მის გარეშე) ან ინსულინთან დამატებითი თერაპიის სახით გამოყენებამ გამოიწვია სხეულის წონის სტატისტიკურად მნიშვნელოვანი შემცირება 24-ე კვირას (p &lt; 0.0001, ცხრილები 4 და 5). ეს ეფექტები შენარჩუნდა ხანგრძლივ კვლევებშიც. 48-ე კვირას დაპაგლიფლოზინისა და სიტაგლიპტინის (მეტფორმინთან ერთად ან მის გარეშე) დამატებითი თერაპიის სახით გამოყენებისას, პლაცებოსთან შედარებით, სხვაობამ შეადგინა -2.22 კგ. 102-ე კვირას დაპაგლიფლოზინისა და მეტფორმინის დამატებითი თერაპიის სახით გამოყენებისას, პლაცებოსთან შედარებით, სხვაობამ შეადგინა -2.14 კგ, ხოლო დაპაგლიფლოზინისა და ინსულინის დამატებითი თერაპიის სახით გამოყენებისას — -2.88 კგ.</w:t>
      </w:r>
    </w:p>
    <w:p w14:paraId="037DA16C"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მეტფორმინთან დამატებითი თერაპიის სახით გამოყენებისას, აქტიური კონტროლით ჩატარებულ არანაკლები ეფექტიანობის კვლევაში, დაპაგლიფლოზინმა გამოიწვია სხეულის წონის სტატისტიკურად მნიშვნელოვანი შემცირება გლიპიზიდთან შედარებით — -4.65 კგ 52-ე კვირას (p &lt; 0.0001, ცხრილი 3), რომელიც შენარჩუნდა 104-ე და 208-ე კვირასაც (-5.06 კგ და -4.38 კგ, შესაბამისად).</w:t>
      </w:r>
    </w:p>
    <w:p w14:paraId="05A65D17"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10 მგ-ისა და გახანგრძლივებული გამოთავისუფლების ექსენატიდის კომბინაციამ აჩვენა სხეულის წონის მნიშვნელოვნად უფრო დიდი შემცირება, თითოეულ სამკურნალო საშუალებებთან ცალ-ცალკე მკურნალობასთან შედარებით (ცხრილი 8).</w:t>
      </w:r>
    </w:p>
    <w:p w14:paraId="75271ECF" w14:textId="2E7C56BB" w:rsidR="006D12F1"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 xml:space="preserve">24-კვირიან კვლევაში, რომელშიც მონაწილეობდა დიაბეტის მქონე 182 პაციენტი და სხეულის შემადგენლობის შესაფასებლად გამოყენებული იყო ორმაგი ენერგიის რენტგენული აბსორბციომეტრია (DXA), დაპაგლიფლოზინის 10 მგ-ისა და მეტფორმინის კომბინაციამ, პლაცებოსა და მეტფორმინის კომბინაციასთან შედარებით, გამოიწვია სხეულის წონისა და სხეულის ცხიმოვანი მასის შემცირება, </w:t>
      </w:r>
      <w:r w:rsidRPr="00850096">
        <w:rPr>
          <w:rFonts w:ascii="Sylfaen" w:hAnsi="Sylfaen"/>
          <w:noProof/>
          <w:sz w:val="20"/>
          <w:szCs w:val="20"/>
        </w:rPr>
        <w:lastRenderedPageBreak/>
        <w:t>რომელიც DXA-ით შეფასდა და არ იყო განპირობებული უცხიმო ქსოვილის ან სითხის დაკარგვით. მაგნიტურ-რეზონანსული ტომოგრაფიის ქვე-კვლევაში, დაპაგლიფლოზინისა და მეტფორმინის კომბინაციით მკურნალობისას, პლაცებოსა და მეტფორმინის კომბინაციასთან შედარებით, ვისცერული ცხიმოვანი ქსოვილის რაოდენობრივი შემცირება აღინიშნა.</w:t>
      </w:r>
    </w:p>
    <w:p w14:paraId="58EDCE7C" w14:textId="77777777" w:rsidR="00FA0370" w:rsidRPr="00850096" w:rsidRDefault="00FA0370" w:rsidP="00FA0370">
      <w:pPr>
        <w:spacing w:after="0" w:line="240" w:lineRule="auto"/>
        <w:jc w:val="both"/>
        <w:rPr>
          <w:rFonts w:ascii="Sylfaen" w:hAnsi="Sylfaen"/>
          <w:noProof/>
          <w:sz w:val="20"/>
          <w:szCs w:val="20"/>
        </w:rPr>
      </w:pPr>
    </w:p>
    <w:p w14:paraId="721ED951" w14:textId="77777777" w:rsidR="006D12F1" w:rsidRPr="00850096" w:rsidRDefault="006D12F1" w:rsidP="00BC0A56">
      <w:pPr>
        <w:spacing w:after="0" w:line="240" w:lineRule="auto"/>
        <w:rPr>
          <w:rFonts w:ascii="Sylfaen" w:hAnsi="Sylfaen"/>
          <w:noProof/>
          <w:sz w:val="20"/>
          <w:szCs w:val="20"/>
          <w:u w:val="single"/>
        </w:rPr>
      </w:pPr>
      <w:r w:rsidRPr="00850096">
        <w:rPr>
          <w:rFonts w:ascii="Sylfaen" w:hAnsi="Sylfaen"/>
          <w:i/>
          <w:iCs/>
          <w:noProof/>
          <w:sz w:val="20"/>
          <w:szCs w:val="20"/>
          <w:u w:val="single"/>
        </w:rPr>
        <w:t>არტერიული წნევა (Blood pressure)</w:t>
      </w:r>
    </w:p>
    <w:p w14:paraId="2483DB2F"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13 პლაცებოთი კონტროლირებადი კვლევის წინასწარ განსაზღვრულ გაერთიანებულ ანალიზში, დაპაგლიფლოზინის 10 მგ-ით მკურნალობამ 24-ე კვირას გამოიწვია სისტოლური არტერიული წნევის საწყის მაჩვენებელთან შედარებით -3,7 მმ ვწყ. სვ.-ით, ხოლო დიასტოლური არტერიული წნევის -1,8 მმ ვწყ. სვ.-ით ცვლილება, პლაცებოს ჯგუფში კი სისტემოლური არტერიული წნევის ცვლილება შეადგენდა -0,5 მმ ვწყ. სვ.-ს, ხოლო დიასტოლური არტერიული წნევის — -0,5 მმ ვწყ. სვ.-ს. მსგავსი შემცირება აღინიშნებოდა 104 კვირამდე.</w:t>
      </w:r>
    </w:p>
    <w:p w14:paraId="717C5D22"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10 მგ-ისა და გახანგრძლივებული გამოთავისუფლების ექსენატიდის კომბინირებულმა თერაპიამ 28-ე კვირას გამოიწვია სისტოლური არტერიული წნევის მნიშვნელოვნად უფრო დიდი შემცირება (-4,3 მმ ვწყ. სვ.), ვიდრე დაპაგლიფლოზინის მონოთერაპიამ (-1,8 მმ ვწყ. სვ.; p &lt; 0,05) და გახანგრძლივებული გამოთავისუფლების ექსენატიდის მონოთერაპიამ (-1,2 მმ ვწყ. სვ.; p &lt; 0,01).</w:t>
      </w:r>
    </w:p>
    <w:p w14:paraId="4B0DD0FF"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12-კვირიანი, პლაცებოთი კონტროლირებადი ორი კვლევის ფარგლებში, სულ 1 062 პაციენტს, რომლებსაც აღენიშნებოდათ არასათანადოდ კონტროლირებული მე-2 ტიპის შაქრიანი დიაბეტი და არტერიული ჰიპერტენზია (მიუხედავად წინასწარ არსებული სტაბილური მკურნალობისა ერთი კვლევის შემთხვევაში აგფ-ინჰიბიტორით (ACE-I) ან ანგიოტენზინ II-ის რეცეპტორების ბლოკატორით (ARB), ხოლო მეორე კვლევის შემთხვევაში — აგფ-ინჰიბიტორით (ACE-I) ან ARB-ით და დამატებით ერთი ანტიჰიპერტენზიული სამკურნალო საშუალებით), დაენიშნა დაპაგლიფლოზინის 10 მგ ან პლაცებოს მკურნალობა. ორივე კვლევაში 12-ე კვირას დაპაგლიფლოზინის 10 მგ-მა ჩვეულებრივ ანტიდიაბეტურ მკურნალობასთან ერთად გამოიწვია HbA1c-ის გაუმჯობესება და პლაცებოთი კორექტირებული სისტოლური არტერიული წნევის საშუალოდ 3,1 და 4,3 მმ ვწყ. სვ.-ით შემცირება, შესაბამისად.</w:t>
      </w:r>
    </w:p>
    <w:p w14:paraId="0B946C76" w14:textId="7318166D" w:rsidR="006D12F1"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სპეციალურად ჩატარებულ კვლევაში დიაბეტის მქონე პაციენტებში, რომელთა eGFR ≥ 45-დან &lt; 60 მლ/წთ/1,73 მ²-მდე იყო, დაპაგლიფლოზინით მკურნალობამ 24-ე კვირას გამოიწვია ჯდომით მდგომარეობაში გაზომილი სისტოლური არტერიული წნევის -4,8 მმ ვწყ. სვ.-ით შემცირება, პლაცებოს შემთხვევაში -1,7 მმ ვწყ. სვ.-ით (p &lt; 0,05).</w:t>
      </w:r>
    </w:p>
    <w:p w14:paraId="4A63B6E9" w14:textId="77777777" w:rsidR="00FA0370" w:rsidRPr="00850096" w:rsidRDefault="00FA0370" w:rsidP="00FA0370">
      <w:pPr>
        <w:spacing w:after="0" w:line="240" w:lineRule="auto"/>
        <w:jc w:val="both"/>
        <w:rPr>
          <w:rFonts w:ascii="Sylfaen" w:hAnsi="Sylfaen"/>
          <w:noProof/>
          <w:sz w:val="20"/>
          <w:szCs w:val="20"/>
        </w:rPr>
      </w:pPr>
    </w:p>
    <w:p w14:paraId="3633D04E" w14:textId="2478B5F8" w:rsidR="006D12F1" w:rsidRPr="00850096" w:rsidRDefault="006D12F1" w:rsidP="00FA0370">
      <w:pPr>
        <w:spacing w:after="0" w:line="240" w:lineRule="auto"/>
        <w:jc w:val="both"/>
        <w:rPr>
          <w:rFonts w:ascii="Sylfaen" w:hAnsi="Sylfaen"/>
          <w:noProof/>
          <w:sz w:val="20"/>
          <w:szCs w:val="20"/>
          <w:u w:val="single"/>
        </w:rPr>
      </w:pPr>
      <w:r w:rsidRPr="00850096">
        <w:rPr>
          <w:rFonts w:ascii="Sylfaen" w:hAnsi="Sylfaen"/>
          <w:noProof/>
          <w:sz w:val="20"/>
          <w:szCs w:val="20"/>
          <w:u w:val="single"/>
        </w:rPr>
        <w:t>გლიკემიის კონტროლი თირკმლის ზომიერი ფუნქციური დარღვევის მქონე პაციენტებში — CKD 3A</w:t>
      </w:r>
    </w:p>
    <w:p w14:paraId="7518391A" w14:textId="77777777" w:rsidR="006D12F1" w:rsidRPr="00850096" w:rsidRDefault="006D12F1" w:rsidP="00FA0370">
      <w:pPr>
        <w:spacing w:after="0" w:line="240" w:lineRule="auto"/>
        <w:jc w:val="both"/>
        <w:rPr>
          <w:rFonts w:ascii="Sylfaen" w:hAnsi="Sylfaen"/>
          <w:noProof/>
          <w:sz w:val="20"/>
          <w:szCs w:val="20"/>
          <w:u w:val="single"/>
        </w:rPr>
      </w:pPr>
      <w:r w:rsidRPr="00850096">
        <w:rPr>
          <w:rFonts w:ascii="Sylfaen" w:hAnsi="Sylfaen"/>
          <w:noProof/>
          <w:sz w:val="20"/>
          <w:szCs w:val="20"/>
          <w:u w:val="single"/>
        </w:rPr>
        <w:t>(eGFR ≥ 45-დან &lt; 60 მლ/წთ/1,73 მ²-მდე)</w:t>
      </w:r>
    </w:p>
    <w:p w14:paraId="3D537F00" w14:textId="77777777" w:rsidR="006D12F1" w:rsidRPr="00850096" w:rsidRDefault="006D12F1"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ეფექტიანობა შეფასდა სპეციალურად ჩატარებულ კვლევაში დიაბეტის მქონე პაციენტებში, რომელთა eGFR ≥ 45-დან &lt; 60 მლ/წთ/1,73 მ²-მდე იყო და რომლებსაც ჩვეულებრივი მკურნალობის ფონზე გლიკემიის არასათანადო კონტროლი აღენიშნებოდათ. დაპაგლიფლოზინით მკურნალობამ პლაცებოსთან შედარებით გამოიწვია HbA1c-ისა და სხეულის წონის შემცირება(ცხრილი 9).</w:t>
      </w:r>
    </w:p>
    <w:p w14:paraId="5261D5B6" w14:textId="4175C86B" w:rsidR="006C447E" w:rsidRPr="00850096" w:rsidRDefault="006C447E" w:rsidP="00FA0370">
      <w:pPr>
        <w:spacing w:after="0" w:line="240" w:lineRule="auto"/>
        <w:jc w:val="both"/>
        <w:rPr>
          <w:rFonts w:ascii="Sylfaen" w:hAnsi="Sylfaen"/>
          <w:b/>
          <w:bCs/>
          <w:noProof/>
          <w:sz w:val="20"/>
          <w:szCs w:val="20"/>
        </w:rPr>
      </w:pPr>
      <w:r w:rsidRPr="00850096">
        <w:rPr>
          <w:rFonts w:ascii="Sylfaen" w:hAnsi="Sylfaen"/>
          <w:b/>
          <w:bCs/>
          <w:noProof/>
          <w:sz w:val="20"/>
          <w:szCs w:val="20"/>
        </w:rPr>
        <w:t>ცხრილი 9. დაპაგლიფლოზინის პლაცებო-კონტროლირებადი კვლევის შედეგები (მე-24 კვირა) დიაბეტის მქონე პაციენტებში, რომელთა eGFR შეადგენს ≥ 45-დან &lt; 60 მლ/წთ/1,73 მ²-მდე.</w:t>
      </w:r>
    </w:p>
    <w:tbl>
      <w:tblPr>
        <w:tblStyle w:val="TableGrid"/>
        <w:tblW w:w="0" w:type="auto"/>
        <w:tblLook w:val="04A0" w:firstRow="1" w:lastRow="0" w:firstColumn="1" w:lastColumn="0" w:noHBand="0" w:noVBand="1"/>
      </w:tblPr>
      <w:tblGrid>
        <w:gridCol w:w="3256"/>
        <w:gridCol w:w="2976"/>
        <w:gridCol w:w="2784"/>
      </w:tblGrid>
      <w:tr w:rsidR="006C447E" w:rsidRPr="001C3C36" w14:paraId="52071B27" w14:textId="77777777" w:rsidTr="00DD48E8">
        <w:tc>
          <w:tcPr>
            <w:tcW w:w="3256" w:type="dxa"/>
          </w:tcPr>
          <w:p w14:paraId="1E2ACB94" w14:textId="77777777" w:rsidR="006C447E" w:rsidRPr="001C3C36" w:rsidRDefault="006C447E" w:rsidP="00BC0A56">
            <w:pPr>
              <w:rPr>
                <w:rFonts w:ascii="Sylfaen" w:hAnsi="Sylfaen" w:cs="Times New Roman"/>
                <w:b/>
                <w:bCs/>
                <w:noProof/>
                <w:sz w:val="18"/>
                <w:szCs w:val="18"/>
              </w:rPr>
            </w:pPr>
          </w:p>
        </w:tc>
        <w:tc>
          <w:tcPr>
            <w:tcW w:w="2976" w:type="dxa"/>
          </w:tcPr>
          <w:p w14:paraId="6AD0A5A2" w14:textId="746E88FE" w:rsidR="006C447E" w:rsidRPr="001C3C36" w:rsidRDefault="006C447E"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r w:rsidRPr="001C3C36">
              <w:rPr>
                <w:rFonts w:ascii="Sylfaen" w:hAnsi="Sylfaen" w:cs="Times New Roman"/>
                <w:b/>
                <w:bCs/>
                <w:noProof/>
                <w:sz w:val="18"/>
                <w:szCs w:val="18"/>
                <w:vertAlign w:val="superscript"/>
              </w:rPr>
              <w:t>a</w:t>
            </w:r>
          </w:p>
          <w:p w14:paraId="616F32E2" w14:textId="7A721324" w:rsidR="006C447E" w:rsidRPr="001C3C36" w:rsidRDefault="006C447E" w:rsidP="00BC0A56">
            <w:pPr>
              <w:jc w:val="center"/>
              <w:rPr>
                <w:rFonts w:ascii="Sylfaen" w:hAnsi="Sylfaen" w:cs="Times New Roman"/>
                <w:b/>
                <w:bCs/>
                <w:noProof/>
                <w:sz w:val="18"/>
                <w:szCs w:val="18"/>
              </w:rPr>
            </w:pPr>
            <w:r w:rsidRPr="001C3C36">
              <w:rPr>
                <w:rFonts w:ascii="Sylfaen" w:hAnsi="Sylfaen" w:cs="Times New Roman"/>
                <w:b/>
                <w:bCs/>
                <w:noProof/>
                <w:sz w:val="18"/>
                <w:szCs w:val="18"/>
              </w:rPr>
              <w:t>10 მგ</w:t>
            </w:r>
          </w:p>
        </w:tc>
        <w:tc>
          <w:tcPr>
            <w:tcW w:w="2784" w:type="dxa"/>
          </w:tcPr>
          <w:p w14:paraId="01FFEBD6" w14:textId="79582D2F" w:rsidR="006C447E" w:rsidRPr="001C3C36" w:rsidRDefault="006C447E" w:rsidP="00BC0A56">
            <w:pPr>
              <w:ind w:firstLine="720"/>
              <w:jc w:val="center"/>
              <w:rPr>
                <w:rFonts w:ascii="Sylfaen" w:hAnsi="Sylfaen" w:cs="Times New Roman"/>
                <w:b/>
                <w:bCs/>
                <w:noProof/>
                <w:sz w:val="18"/>
                <w:szCs w:val="18"/>
              </w:rPr>
            </w:pPr>
            <w:r w:rsidRPr="001C3C36">
              <w:rPr>
                <w:rFonts w:ascii="Sylfaen" w:hAnsi="Sylfaen" w:cs="Times New Roman"/>
                <w:b/>
                <w:bCs/>
                <w:noProof/>
                <w:sz w:val="18"/>
                <w:szCs w:val="18"/>
              </w:rPr>
              <w:t>პლაცებო</w:t>
            </w:r>
            <w:r w:rsidRPr="001C3C36">
              <w:rPr>
                <w:rFonts w:ascii="Sylfaen" w:hAnsi="Sylfaen" w:cs="Times New Roman"/>
                <w:b/>
                <w:bCs/>
                <w:noProof/>
                <w:sz w:val="18"/>
                <w:szCs w:val="18"/>
                <w:vertAlign w:val="superscript"/>
              </w:rPr>
              <w:t>a</w:t>
            </w:r>
          </w:p>
        </w:tc>
      </w:tr>
      <w:tr w:rsidR="006C447E" w:rsidRPr="001C3C36" w14:paraId="77297912" w14:textId="77777777" w:rsidTr="00DD48E8">
        <w:tc>
          <w:tcPr>
            <w:tcW w:w="3256" w:type="dxa"/>
          </w:tcPr>
          <w:p w14:paraId="75A979AA" w14:textId="77777777" w:rsidR="006C447E" w:rsidRPr="001C3C36" w:rsidRDefault="006C447E" w:rsidP="00BC0A56">
            <w:pPr>
              <w:rPr>
                <w:rFonts w:ascii="Sylfaen" w:hAnsi="Sylfaen" w:cs="Times New Roman"/>
                <w:b/>
                <w:bCs/>
                <w:noProof/>
                <w:sz w:val="18"/>
                <w:szCs w:val="18"/>
              </w:rPr>
            </w:pPr>
            <w:r w:rsidRPr="001C3C36">
              <w:rPr>
                <w:rFonts w:ascii="Sylfaen" w:hAnsi="Sylfaen" w:cs="Times New Roman"/>
                <w:b/>
                <w:bCs/>
                <w:noProof/>
                <w:sz w:val="18"/>
                <w:szCs w:val="18"/>
              </w:rPr>
              <w:t>N</w:t>
            </w:r>
            <w:r w:rsidRPr="001C3C36">
              <w:rPr>
                <w:rFonts w:ascii="Sylfaen" w:hAnsi="Sylfaen" w:cs="Times New Roman"/>
                <w:b/>
                <w:bCs/>
                <w:noProof/>
                <w:sz w:val="18"/>
                <w:szCs w:val="18"/>
                <w:vertAlign w:val="superscript"/>
              </w:rPr>
              <w:t>b</w:t>
            </w:r>
          </w:p>
        </w:tc>
        <w:tc>
          <w:tcPr>
            <w:tcW w:w="2976" w:type="dxa"/>
          </w:tcPr>
          <w:p w14:paraId="01AD5F14" w14:textId="77777777" w:rsidR="006C447E" w:rsidRPr="001C3C36" w:rsidRDefault="006C447E" w:rsidP="00BC0A56">
            <w:pPr>
              <w:jc w:val="center"/>
              <w:rPr>
                <w:rFonts w:ascii="Sylfaen" w:hAnsi="Sylfaen" w:cs="Times New Roman"/>
                <w:b/>
                <w:bCs/>
                <w:noProof/>
                <w:sz w:val="18"/>
                <w:szCs w:val="18"/>
              </w:rPr>
            </w:pPr>
            <w:r w:rsidRPr="001C3C36">
              <w:rPr>
                <w:rFonts w:ascii="Sylfaen" w:hAnsi="Sylfaen" w:cs="Times New Roman"/>
                <w:b/>
                <w:bCs/>
                <w:noProof/>
                <w:sz w:val="18"/>
                <w:szCs w:val="18"/>
              </w:rPr>
              <w:t>159</w:t>
            </w:r>
          </w:p>
        </w:tc>
        <w:tc>
          <w:tcPr>
            <w:tcW w:w="2784" w:type="dxa"/>
          </w:tcPr>
          <w:p w14:paraId="73254087" w14:textId="77777777" w:rsidR="006C447E" w:rsidRPr="001C3C36" w:rsidRDefault="006C447E" w:rsidP="00BC0A56">
            <w:pPr>
              <w:jc w:val="center"/>
              <w:rPr>
                <w:rFonts w:ascii="Sylfaen" w:hAnsi="Sylfaen" w:cs="Times New Roman"/>
                <w:b/>
                <w:bCs/>
                <w:noProof/>
                <w:sz w:val="18"/>
                <w:szCs w:val="18"/>
              </w:rPr>
            </w:pPr>
            <w:r w:rsidRPr="001C3C36">
              <w:rPr>
                <w:rFonts w:ascii="Sylfaen" w:hAnsi="Sylfaen" w:cs="Times New Roman"/>
                <w:b/>
                <w:bCs/>
                <w:noProof/>
                <w:sz w:val="18"/>
                <w:szCs w:val="18"/>
              </w:rPr>
              <w:t>161</w:t>
            </w:r>
          </w:p>
        </w:tc>
      </w:tr>
      <w:tr w:rsidR="006C447E" w:rsidRPr="001C3C36" w14:paraId="10CF6571" w14:textId="77777777" w:rsidTr="00DD48E8">
        <w:tc>
          <w:tcPr>
            <w:tcW w:w="3256" w:type="dxa"/>
          </w:tcPr>
          <w:p w14:paraId="0D16AC64" w14:textId="77777777" w:rsidR="006C447E" w:rsidRPr="001C3C36" w:rsidRDefault="006C447E" w:rsidP="00BC0A56">
            <w:pPr>
              <w:rPr>
                <w:rFonts w:ascii="Sylfaen" w:hAnsi="Sylfaen" w:cs="Times New Roman"/>
                <w:b/>
                <w:bCs/>
                <w:noProof/>
                <w:sz w:val="18"/>
                <w:szCs w:val="18"/>
              </w:rPr>
            </w:pPr>
            <w:r w:rsidRPr="001C3C36">
              <w:rPr>
                <w:rFonts w:ascii="Sylfaen" w:hAnsi="Sylfaen" w:cs="Times New Roman"/>
                <w:b/>
                <w:bCs/>
                <w:noProof/>
                <w:sz w:val="18"/>
                <w:szCs w:val="18"/>
              </w:rPr>
              <w:t>HbA1c (%)</w:t>
            </w:r>
          </w:p>
          <w:p w14:paraId="41DB4FCF" w14:textId="77777777" w:rsidR="006C447E" w:rsidRPr="001C3C36" w:rsidRDefault="006C447E"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11568988" w14:textId="77777777" w:rsidR="006C447E" w:rsidRPr="001C3C36" w:rsidRDefault="006C447E" w:rsidP="00BC0A56">
            <w:pPr>
              <w:rPr>
                <w:rFonts w:ascii="Sylfaen" w:hAnsi="Sylfaen" w:cs="Times New Roman"/>
                <w:noProof/>
                <w:sz w:val="18"/>
                <w:szCs w:val="18"/>
              </w:rPr>
            </w:pPr>
            <w:r w:rsidRPr="001C3C36">
              <w:rPr>
                <w:rFonts w:ascii="Sylfaen" w:hAnsi="Sylfaen" w:cs="Sylfaen"/>
                <w:noProof/>
                <w:sz w:val="18"/>
                <w:szCs w:val="18"/>
              </w:rPr>
              <w:t>ცვლილება</w:t>
            </w:r>
            <w:r w:rsidRPr="001C3C36">
              <w:rPr>
                <w:rFonts w:ascii="Sylfaen" w:hAnsi="Sylfaen" w:cs="Times New Roman"/>
                <w:noProof/>
                <w:sz w:val="18"/>
                <w:szCs w:val="18"/>
              </w:rPr>
              <w:t xml:space="preserve"> </w:t>
            </w:r>
            <w:r w:rsidRPr="001C3C36">
              <w:rPr>
                <w:rFonts w:ascii="Sylfaen" w:hAnsi="Sylfaen" w:cs="Sylfaen"/>
                <w:noProof/>
                <w:sz w:val="18"/>
                <w:szCs w:val="18"/>
              </w:rPr>
              <w:t>საწყის</w:t>
            </w:r>
            <w:r w:rsidRPr="001C3C36">
              <w:rPr>
                <w:rFonts w:ascii="Sylfaen" w:hAnsi="Sylfaen" w:cs="Times New Roman"/>
                <w:noProof/>
                <w:sz w:val="18"/>
                <w:szCs w:val="18"/>
              </w:rPr>
              <w:t xml:space="preserve"> </w:t>
            </w:r>
            <w:r w:rsidRPr="001C3C36">
              <w:rPr>
                <w:rFonts w:ascii="Sylfaen" w:hAnsi="Sylfaen" w:cs="Sylfaen"/>
                <w:noProof/>
                <w:sz w:val="18"/>
                <w:szCs w:val="18"/>
              </w:rPr>
              <w:t>დონესთან</w:t>
            </w:r>
            <w:r w:rsidRPr="001C3C36">
              <w:rPr>
                <w:rFonts w:ascii="Sylfaen" w:hAnsi="Sylfaen" w:cs="Times New Roman"/>
                <w:noProof/>
                <w:sz w:val="18"/>
                <w:szCs w:val="18"/>
              </w:rPr>
              <w:t xml:space="preserve"> </w:t>
            </w:r>
            <w:r w:rsidRPr="001C3C36">
              <w:rPr>
                <w:rFonts w:ascii="Sylfaen" w:hAnsi="Sylfaen" w:cs="Sylfaen"/>
                <w:noProof/>
                <w:sz w:val="18"/>
                <w:szCs w:val="18"/>
              </w:rPr>
              <w:t>შედარებით</w:t>
            </w:r>
            <w:r w:rsidRPr="001C3C36">
              <w:rPr>
                <w:rFonts w:ascii="Sylfaen" w:hAnsi="Sylfaen" w:cs="Times New Roman"/>
                <w:noProof/>
                <w:sz w:val="18"/>
                <w:szCs w:val="18"/>
                <w:vertAlign w:val="superscript"/>
              </w:rPr>
              <w:t>b</w:t>
            </w:r>
          </w:p>
          <w:p w14:paraId="3FE6CDD2" w14:textId="77777777" w:rsidR="006C447E" w:rsidRPr="001C3C36" w:rsidRDefault="006C447E" w:rsidP="00BC0A56">
            <w:pPr>
              <w:rPr>
                <w:rFonts w:ascii="Sylfaen" w:hAnsi="Sylfaen" w:cs="Times New Roman"/>
                <w:noProof/>
                <w:sz w:val="18"/>
                <w:szCs w:val="18"/>
              </w:rPr>
            </w:pPr>
            <w:r w:rsidRPr="001C3C36">
              <w:rPr>
                <w:rFonts w:ascii="Sylfaen" w:hAnsi="Sylfaen" w:cs="Sylfaen"/>
                <w:noProof/>
                <w:sz w:val="18"/>
                <w:szCs w:val="18"/>
              </w:rPr>
              <w:t>განსხვავება</w:t>
            </w:r>
            <w:r w:rsidRPr="001C3C36">
              <w:rPr>
                <w:rFonts w:ascii="Sylfaen" w:hAnsi="Sylfaen" w:cs="Times New Roman"/>
                <w:noProof/>
                <w:sz w:val="18"/>
                <w:szCs w:val="18"/>
              </w:rPr>
              <w:t xml:space="preserve"> </w:t>
            </w:r>
            <w:r w:rsidRPr="001C3C36">
              <w:rPr>
                <w:rFonts w:ascii="Sylfaen" w:hAnsi="Sylfaen" w:cs="Sylfaen"/>
                <w:noProof/>
                <w:sz w:val="18"/>
                <w:szCs w:val="18"/>
              </w:rPr>
              <w:t>პლაცებოსთან</w:t>
            </w:r>
            <w:r w:rsidRPr="001C3C36">
              <w:rPr>
                <w:rFonts w:ascii="Sylfaen" w:hAnsi="Sylfaen" w:cs="Times New Roman"/>
                <w:noProof/>
                <w:sz w:val="18"/>
                <w:szCs w:val="18"/>
              </w:rPr>
              <w:t xml:space="preserve"> </w:t>
            </w:r>
            <w:r w:rsidRPr="001C3C36">
              <w:rPr>
                <w:rFonts w:ascii="Sylfaen" w:hAnsi="Sylfaen" w:cs="Sylfaen"/>
                <w:noProof/>
                <w:sz w:val="18"/>
                <w:szCs w:val="18"/>
              </w:rPr>
              <w:t>შედარებით</w:t>
            </w:r>
            <w:r w:rsidRPr="001C3C36">
              <w:rPr>
                <w:rFonts w:ascii="Sylfaen" w:hAnsi="Sylfaen" w:cs="Times New Roman"/>
                <w:noProof/>
                <w:sz w:val="18"/>
                <w:szCs w:val="18"/>
                <w:vertAlign w:val="superscript"/>
              </w:rPr>
              <w:t>b</w:t>
            </w:r>
          </w:p>
          <w:p w14:paraId="32512BE6" w14:textId="1472B999" w:rsidR="006C447E" w:rsidRPr="001C3C36" w:rsidRDefault="006C447E" w:rsidP="00BC0A56">
            <w:pPr>
              <w:rPr>
                <w:rFonts w:ascii="Sylfaen" w:hAnsi="Sylfaen" w:cs="Times New Roman"/>
                <w:noProof/>
                <w:sz w:val="18"/>
                <w:szCs w:val="18"/>
              </w:rPr>
            </w:pPr>
            <w:r w:rsidRPr="001C3C36">
              <w:rPr>
                <w:rFonts w:ascii="Sylfaen" w:hAnsi="Sylfaen" w:cs="Times New Roman"/>
                <w:noProof/>
                <w:sz w:val="18"/>
                <w:szCs w:val="18"/>
              </w:rPr>
              <w:t>(95% CI)</w:t>
            </w:r>
          </w:p>
        </w:tc>
        <w:tc>
          <w:tcPr>
            <w:tcW w:w="2976" w:type="dxa"/>
          </w:tcPr>
          <w:p w14:paraId="6F0DD378" w14:textId="77777777" w:rsidR="006C447E" w:rsidRPr="001C3C36" w:rsidRDefault="006C447E" w:rsidP="00BC0A56">
            <w:pPr>
              <w:jc w:val="center"/>
              <w:rPr>
                <w:rFonts w:ascii="Sylfaen" w:hAnsi="Sylfaen" w:cs="Times New Roman"/>
                <w:noProof/>
                <w:sz w:val="18"/>
                <w:szCs w:val="18"/>
              </w:rPr>
            </w:pPr>
          </w:p>
          <w:p w14:paraId="0076964A" w14:textId="77777777"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8.35</w:t>
            </w:r>
          </w:p>
          <w:p w14:paraId="60703361" w14:textId="77777777"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-0.37</w:t>
            </w:r>
          </w:p>
          <w:p w14:paraId="0A2F9C5F" w14:textId="77777777" w:rsidR="006C447E" w:rsidRPr="001C3C36" w:rsidRDefault="006C447E" w:rsidP="00BC0A56">
            <w:pPr>
              <w:jc w:val="center"/>
              <w:rPr>
                <w:rFonts w:ascii="Sylfaen" w:hAnsi="Sylfaen" w:cs="Times New Roman"/>
                <w:noProof/>
                <w:sz w:val="18"/>
                <w:szCs w:val="18"/>
              </w:rPr>
            </w:pPr>
          </w:p>
          <w:p w14:paraId="7F618F4A" w14:textId="77777777" w:rsidR="006C447E" w:rsidRPr="001C3C36" w:rsidRDefault="006C447E" w:rsidP="00BC0A56">
            <w:pPr>
              <w:jc w:val="center"/>
              <w:rPr>
                <w:rFonts w:ascii="Sylfaen" w:hAnsi="Sylfaen" w:cs="Times New Roman"/>
                <w:noProof/>
                <w:sz w:val="18"/>
                <w:szCs w:val="18"/>
              </w:rPr>
            </w:pPr>
          </w:p>
          <w:p w14:paraId="4B6FE74E" w14:textId="5F8EABCC"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-0.34</w:t>
            </w:r>
            <w:r w:rsidRPr="001C3C36">
              <w:rPr>
                <w:rFonts w:ascii="Sylfaen" w:hAnsi="Sylfaen" w:cs="Times New Roman"/>
                <w:noProof/>
                <w:sz w:val="18"/>
                <w:szCs w:val="18"/>
                <w:vertAlign w:val="superscript"/>
              </w:rPr>
              <w:t>*</w:t>
            </w:r>
          </w:p>
          <w:p w14:paraId="1F098330" w14:textId="77777777"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(-0.53, -0.15)</w:t>
            </w:r>
          </w:p>
        </w:tc>
        <w:tc>
          <w:tcPr>
            <w:tcW w:w="2784" w:type="dxa"/>
          </w:tcPr>
          <w:p w14:paraId="4AFA98D6" w14:textId="77777777" w:rsidR="006C447E" w:rsidRPr="001C3C36" w:rsidRDefault="006C447E" w:rsidP="00BC0A56">
            <w:pPr>
              <w:jc w:val="center"/>
              <w:rPr>
                <w:rFonts w:ascii="Sylfaen" w:hAnsi="Sylfaen" w:cs="Times New Roman"/>
                <w:b/>
                <w:bCs/>
                <w:noProof/>
                <w:sz w:val="18"/>
                <w:szCs w:val="18"/>
              </w:rPr>
            </w:pPr>
          </w:p>
          <w:p w14:paraId="0AC61FC3" w14:textId="77777777"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8.03</w:t>
            </w:r>
          </w:p>
          <w:p w14:paraId="6DBD4365" w14:textId="77777777"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-0.03</w:t>
            </w:r>
          </w:p>
        </w:tc>
      </w:tr>
      <w:tr w:rsidR="006C447E" w:rsidRPr="001C3C36" w14:paraId="445119F9" w14:textId="77777777" w:rsidTr="00DD48E8">
        <w:tc>
          <w:tcPr>
            <w:tcW w:w="3256" w:type="dxa"/>
          </w:tcPr>
          <w:p w14:paraId="48FF2935" w14:textId="77777777" w:rsidR="006C447E" w:rsidRPr="001C3C36" w:rsidRDefault="006C447E" w:rsidP="00BC0A56">
            <w:pPr>
              <w:rPr>
                <w:rFonts w:ascii="Sylfaen" w:hAnsi="Sylfaen" w:cs="Times New Roman"/>
                <w:b/>
                <w:bCs/>
                <w:noProof/>
                <w:sz w:val="18"/>
                <w:szCs w:val="18"/>
              </w:rPr>
            </w:pPr>
            <w:r w:rsidRPr="001C3C36">
              <w:rPr>
                <w:rFonts w:ascii="Sylfaen" w:hAnsi="Sylfaen" w:cs="Times New Roman"/>
                <w:b/>
                <w:bCs/>
                <w:noProof/>
                <w:sz w:val="18"/>
                <w:szCs w:val="18"/>
              </w:rPr>
              <w:t>სხეულის წონა (კგ)</w:t>
            </w:r>
          </w:p>
          <w:p w14:paraId="7FDCB496" w14:textId="77777777" w:rsidR="006C447E" w:rsidRPr="001C3C36" w:rsidRDefault="006C447E" w:rsidP="00BC0A56">
            <w:pPr>
              <w:rPr>
                <w:rFonts w:ascii="Sylfaen" w:hAnsi="Sylfaen" w:cs="Times New Roman"/>
                <w:noProof/>
                <w:sz w:val="18"/>
                <w:szCs w:val="18"/>
              </w:rPr>
            </w:pPr>
            <w:r w:rsidRPr="001C3C36">
              <w:rPr>
                <w:rFonts w:ascii="Sylfaen" w:hAnsi="Sylfaen" w:cs="Sylfaen"/>
                <w:noProof/>
                <w:sz w:val="18"/>
                <w:szCs w:val="18"/>
              </w:rPr>
              <w:t>საწყისი</w:t>
            </w:r>
            <w:r w:rsidRPr="001C3C36">
              <w:rPr>
                <w:rFonts w:ascii="Sylfaen" w:hAnsi="Sylfaen" w:cs="Times New Roman"/>
                <w:noProof/>
                <w:sz w:val="18"/>
                <w:szCs w:val="18"/>
              </w:rPr>
              <w:t xml:space="preserve"> </w:t>
            </w:r>
            <w:r w:rsidRPr="001C3C36">
              <w:rPr>
                <w:rFonts w:ascii="Sylfaen" w:hAnsi="Sylfaen" w:cs="Sylfaen"/>
                <w:noProof/>
                <w:sz w:val="18"/>
                <w:szCs w:val="18"/>
              </w:rPr>
              <w:t>მაჩვენებელი</w:t>
            </w:r>
            <w:r w:rsidRPr="001C3C36">
              <w:rPr>
                <w:rFonts w:ascii="Sylfaen" w:hAnsi="Sylfaen" w:cs="Times New Roman"/>
                <w:noProof/>
                <w:sz w:val="18"/>
                <w:szCs w:val="18"/>
              </w:rPr>
              <w:t xml:space="preserve"> (</w:t>
            </w:r>
            <w:r w:rsidRPr="001C3C36">
              <w:rPr>
                <w:rFonts w:ascii="Sylfaen" w:hAnsi="Sylfaen" w:cs="Sylfaen"/>
                <w:noProof/>
                <w:sz w:val="18"/>
                <w:szCs w:val="18"/>
              </w:rPr>
              <w:t>საშუალო</w:t>
            </w:r>
            <w:r w:rsidRPr="001C3C36">
              <w:rPr>
                <w:rFonts w:ascii="Sylfaen" w:hAnsi="Sylfaen" w:cs="Times New Roman"/>
                <w:noProof/>
                <w:sz w:val="18"/>
                <w:szCs w:val="18"/>
              </w:rPr>
              <w:t>)</w:t>
            </w:r>
          </w:p>
          <w:p w14:paraId="0E876896" w14:textId="77777777" w:rsidR="006C447E" w:rsidRPr="001C3C36" w:rsidRDefault="006C447E" w:rsidP="00BC0A56">
            <w:pPr>
              <w:rPr>
                <w:rFonts w:ascii="Sylfaen" w:hAnsi="Sylfaen" w:cs="Sylfaen"/>
                <w:noProof/>
                <w:sz w:val="18"/>
                <w:szCs w:val="18"/>
              </w:rPr>
            </w:pPr>
            <w:r w:rsidRPr="001C3C36">
              <w:rPr>
                <w:rFonts w:ascii="Sylfaen" w:hAnsi="Sylfaen" w:cs="Sylfaen"/>
                <w:noProof/>
                <w:sz w:val="18"/>
                <w:szCs w:val="18"/>
              </w:rPr>
              <w:t>პროცენტული ცვლილება საწყისიდან</w:t>
            </w:r>
          </w:p>
          <w:p w14:paraId="7BC40ADF" w14:textId="77777777" w:rsidR="006C447E" w:rsidRPr="001C3C36" w:rsidRDefault="006C447E" w:rsidP="00BC0A56">
            <w:pPr>
              <w:rPr>
                <w:rFonts w:ascii="Sylfaen" w:hAnsi="Sylfaen" w:cs="Sylfaen"/>
                <w:noProof/>
                <w:sz w:val="18"/>
                <w:szCs w:val="18"/>
              </w:rPr>
            </w:pPr>
            <w:r w:rsidRPr="001C3C36">
              <w:rPr>
                <w:rFonts w:ascii="Sylfaen" w:hAnsi="Sylfaen" w:cs="Sylfaen"/>
                <w:noProof/>
                <w:sz w:val="18"/>
                <w:szCs w:val="18"/>
              </w:rPr>
              <w:lastRenderedPageBreak/>
              <w:t>განსხვავება პროცენტულ ცვლილებაში პლაცებოსგან</w:t>
            </w:r>
          </w:p>
          <w:p w14:paraId="7E5B2311" w14:textId="59701D58" w:rsidR="006C447E" w:rsidRPr="001C3C36" w:rsidRDefault="006C447E" w:rsidP="00BC0A56">
            <w:pPr>
              <w:rPr>
                <w:rFonts w:ascii="Sylfaen" w:hAnsi="Sylfaen" w:cs="Times New Roman"/>
                <w:noProof/>
                <w:sz w:val="18"/>
                <w:szCs w:val="18"/>
              </w:rPr>
            </w:pPr>
            <w:r w:rsidRPr="001C3C36">
              <w:rPr>
                <w:rFonts w:ascii="Sylfaen" w:hAnsi="Sylfaen" w:cs="Sylfaen"/>
                <w:noProof/>
                <w:sz w:val="18"/>
                <w:szCs w:val="18"/>
              </w:rPr>
              <w:t xml:space="preserve">(95% CI) </w:t>
            </w:r>
          </w:p>
        </w:tc>
        <w:tc>
          <w:tcPr>
            <w:tcW w:w="2976" w:type="dxa"/>
          </w:tcPr>
          <w:p w14:paraId="095D3BBD" w14:textId="77777777" w:rsidR="006C447E" w:rsidRPr="001C3C36" w:rsidRDefault="006C447E" w:rsidP="00BC0A56">
            <w:pPr>
              <w:jc w:val="center"/>
              <w:rPr>
                <w:rFonts w:ascii="Sylfaen" w:hAnsi="Sylfaen" w:cs="Times New Roman"/>
                <w:b/>
                <w:bCs/>
                <w:noProof/>
                <w:sz w:val="18"/>
                <w:szCs w:val="18"/>
              </w:rPr>
            </w:pPr>
          </w:p>
          <w:p w14:paraId="58C97F2D" w14:textId="77777777"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92.51</w:t>
            </w:r>
          </w:p>
          <w:p w14:paraId="4520C00F" w14:textId="77777777"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-3.42</w:t>
            </w:r>
          </w:p>
          <w:p w14:paraId="7626F5AC" w14:textId="77777777" w:rsidR="006C447E" w:rsidRPr="001C3C36" w:rsidRDefault="006C447E" w:rsidP="00BC0A56">
            <w:pPr>
              <w:jc w:val="center"/>
              <w:rPr>
                <w:rFonts w:ascii="Sylfaen" w:hAnsi="Sylfaen" w:cs="Times New Roman"/>
                <w:noProof/>
                <w:sz w:val="18"/>
                <w:szCs w:val="18"/>
              </w:rPr>
            </w:pPr>
          </w:p>
          <w:p w14:paraId="1474C9B5" w14:textId="3D22ABD6"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lastRenderedPageBreak/>
              <w:t>-1.43</w:t>
            </w:r>
            <w:r w:rsidRPr="001C3C36">
              <w:rPr>
                <w:rFonts w:ascii="Sylfaen" w:hAnsi="Sylfaen" w:cs="Times New Roman"/>
                <w:noProof/>
                <w:sz w:val="18"/>
                <w:szCs w:val="18"/>
                <w:vertAlign w:val="superscript"/>
              </w:rPr>
              <w:t>*</w:t>
            </w:r>
          </w:p>
          <w:p w14:paraId="5F6AD874" w14:textId="77777777"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(-2.15, -0.69)</w:t>
            </w:r>
          </w:p>
        </w:tc>
        <w:tc>
          <w:tcPr>
            <w:tcW w:w="2784" w:type="dxa"/>
          </w:tcPr>
          <w:p w14:paraId="20FEC0B8" w14:textId="77777777" w:rsidR="006C447E" w:rsidRPr="001C3C36" w:rsidRDefault="006C447E" w:rsidP="00BC0A56">
            <w:pPr>
              <w:jc w:val="center"/>
              <w:rPr>
                <w:rFonts w:ascii="Sylfaen" w:hAnsi="Sylfaen" w:cs="Times New Roman"/>
                <w:b/>
                <w:bCs/>
                <w:noProof/>
                <w:sz w:val="18"/>
                <w:szCs w:val="18"/>
              </w:rPr>
            </w:pPr>
          </w:p>
          <w:p w14:paraId="68341FDE" w14:textId="77777777"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88.30</w:t>
            </w:r>
          </w:p>
          <w:p w14:paraId="32B77D5D" w14:textId="77777777" w:rsidR="006C447E" w:rsidRPr="001C3C36" w:rsidRDefault="006C447E" w:rsidP="00BC0A56">
            <w:pPr>
              <w:jc w:val="center"/>
              <w:rPr>
                <w:rFonts w:ascii="Sylfaen" w:hAnsi="Sylfaen" w:cs="Times New Roman"/>
                <w:noProof/>
                <w:sz w:val="18"/>
                <w:szCs w:val="18"/>
              </w:rPr>
            </w:pPr>
            <w:r w:rsidRPr="001C3C36">
              <w:rPr>
                <w:rFonts w:ascii="Sylfaen" w:hAnsi="Sylfaen" w:cs="Times New Roman"/>
                <w:noProof/>
                <w:sz w:val="18"/>
                <w:szCs w:val="18"/>
              </w:rPr>
              <w:t>-2.02</w:t>
            </w:r>
          </w:p>
        </w:tc>
      </w:tr>
    </w:tbl>
    <w:p w14:paraId="40F08DE4" w14:textId="1831D6AB" w:rsidR="006C447E" w:rsidRPr="00850096" w:rsidRDefault="006C447E" w:rsidP="00FA0370">
      <w:pPr>
        <w:spacing w:after="0" w:line="240" w:lineRule="auto"/>
        <w:jc w:val="both"/>
        <w:rPr>
          <w:rFonts w:ascii="Sylfaen" w:hAnsi="Sylfaen"/>
          <w:noProof/>
          <w:sz w:val="20"/>
          <w:szCs w:val="20"/>
        </w:rPr>
      </w:pPr>
      <w:r w:rsidRPr="00850096">
        <w:rPr>
          <w:rFonts w:ascii="Sylfaen" w:hAnsi="Sylfaen"/>
          <w:noProof/>
          <w:sz w:val="20"/>
          <w:szCs w:val="20"/>
        </w:rPr>
        <w:t>a. მეტფორმინი ან მეტფორმინის ჰიდროქლორიდი ჩართული იყო ჩვეულებრივ მკურნალობაში პაციენტების 69.4%-ში დაპაგლიფლოზინის ჯგუფში და 64.0%-ში პლაცებოს ჯგუფში.</w:t>
      </w:r>
    </w:p>
    <w:p w14:paraId="6780296F" w14:textId="77777777" w:rsidR="006C447E" w:rsidRPr="00850096" w:rsidRDefault="006C447E" w:rsidP="00FA0370">
      <w:pPr>
        <w:spacing w:after="0" w:line="240" w:lineRule="auto"/>
        <w:jc w:val="both"/>
        <w:rPr>
          <w:rFonts w:ascii="Sylfaen" w:hAnsi="Sylfaen"/>
          <w:noProof/>
          <w:sz w:val="20"/>
          <w:szCs w:val="20"/>
        </w:rPr>
      </w:pPr>
      <w:r w:rsidRPr="00850096">
        <w:rPr>
          <w:rFonts w:ascii="Sylfaen" w:hAnsi="Sylfaen"/>
          <w:noProof/>
          <w:sz w:val="20"/>
          <w:szCs w:val="20"/>
        </w:rPr>
        <w:t>b. უმცირესი კვადრატების საშუალო (Least Squares Mean), საწყისი მნიშვნელობის მიხედვით კორექტირებული.</w:t>
      </w:r>
    </w:p>
    <w:p w14:paraId="3AC27DB6" w14:textId="77777777" w:rsidR="006C447E" w:rsidRPr="00850096" w:rsidRDefault="006C447E" w:rsidP="00FA0370">
      <w:pPr>
        <w:spacing w:after="0" w:line="240" w:lineRule="auto"/>
        <w:jc w:val="both"/>
        <w:rPr>
          <w:rFonts w:ascii="Sylfaen" w:hAnsi="Sylfaen"/>
          <w:noProof/>
          <w:sz w:val="20"/>
          <w:szCs w:val="20"/>
        </w:rPr>
      </w:pPr>
      <w:r w:rsidRPr="00850096">
        <w:rPr>
          <w:rFonts w:ascii="Sylfaen" w:hAnsi="Sylfaen"/>
          <w:noProof/>
          <w:sz w:val="20"/>
          <w:szCs w:val="20"/>
        </w:rPr>
        <w:t>c. მიღებულია უმცირესი კვადრატების საშუალოდან, რომელიც კორექტირებულია საწყისი მნიშვნელობის მიხედვით.</w:t>
      </w:r>
    </w:p>
    <w:p w14:paraId="0939DCEC" w14:textId="5A41BA84" w:rsidR="006C447E" w:rsidRDefault="006C447E" w:rsidP="00FA0370">
      <w:pPr>
        <w:spacing w:after="0" w:line="240" w:lineRule="auto"/>
        <w:jc w:val="both"/>
        <w:rPr>
          <w:rFonts w:ascii="Sylfaen" w:hAnsi="Sylfaen"/>
          <w:noProof/>
          <w:sz w:val="20"/>
          <w:szCs w:val="20"/>
        </w:rPr>
      </w:pPr>
      <w:r w:rsidRPr="00850096">
        <w:rPr>
          <w:rFonts w:ascii="Sylfaen" w:hAnsi="Sylfaen"/>
          <w:noProof/>
          <w:sz w:val="20"/>
          <w:szCs w:val="20"/>
        </w:rPr>
        <w:t>*p &lt; 0.001.</w:t>
      </w:r>
    </w:p>
    <w:p w14:paraId="646CE75E" w14:textId="77777777" w:rsidR="00FA0370" w:rsidRPr="00850096" w:rsidRDefault="00FA0370" w:rsidP="00FA0370">
      <w:pPr>
        <w:spacing w:after="0" w:line="240" w:lineRule="auto"/>
        <w:jc w:val="both"/>
        <w:rPr>
          <w:rFonts w:ascii="Sylfaen" w:hAnsi="Sylfaen"/>
          <w:noProof/>
          <w:sz w:val="20"/>
          <w:szCs w:val="20"/>
        </w:rPr>
      </w:pPr>
    </w:p>
    <w:p w14:paraId="5D89DB42" w14:textId="5B1DF9A1" w:rsidR="006C447E" w:rsidRPr="00850096" w:rsidRDefault="006C447E" w:rsidP="00FA0370">
      <w:pPr>
        <w:spacing w:after="0" w:line="240" w:lineRule="auto"/>
        <w:jc w:val="both"/>
        <w:rPr>
          <w:rFonts w:ascii="Sylfaen" w:hAnsi="Sylfaen"/>
          <w:noProof/>
          <w:sz w:val="20"/>
          <w:szCs w:val="20"/>
          <w:u w:val="single"/>
        </w:rPr>
      </w:pPr>
      <w:r w:rsidRPr="00850096">
        <w:rPr>
          <w:rFonts w:ascii="Sylfaen" w:hAnsi="Sylfaen"/>
          <w:i/>
          <w:iCs/>
          <w:noProof/>
          <w:sz w:val="20"/>
          <w:szCs w:val="20"/>
          <w:u w:val="single"/>
        </w:rPr>
        <w:t>საწყისი HbA1c-ის ≥ 9%-ის მქონე პაციენტები</w:t>
      </w:r>
    </w:p>
    <w:p w14:paraId="08B60E60" w14:textId="269D5177" w:rsidR="006C447E" w:rsidRDefault="006C447E" w:rsidP="00FA0370">
      <w:pPr>
        <w:spacing w:after="0" w:line="240" w:lineRule="auto"/>
        <w:jc w:val="both"/>
        <w:rPr>
          <w:rFonts w:ascii="Sylfaen" w:hAnsi="Sylfaen"/>
          <w:noProof/>
          <w:sz w:val="20"/>
          <w:szCs w:val="20"/>
        </w:rPr>
      </w:pPr>
      <w:r w:rsidRPr="00850096">
        <w:rPr>
          <w:rFonts w:ascii="Sylfaen" w:hAnsi="Sylfaen"/>
          <w:noProof/>
          <w:sz w:val="20"/>
          <w:szCs w:val="20"/>
        </w:rPr>
        <w:t>საწყისი HbA1c-ის ≥ 9.0% მქონე პაციენტებში წინასწარ განსაზღვრულ ანალიზში, დაპაგლიფლოზინით 10 მგ დოზით მკურნალობამ 24-ე კვირაზე გამოიწვია HbA1c-ის სტატისტიკურად მნიშვნელოვანი შემცირება, როგორც მონოთერაპიის სახით (საწყის მაჩვენებელთან შედარებით კორექტირებული საშუალო ცვლილება: −2.04% დაპაგლიფლოზინის 10 მგ ჯგუფში და 0.19% პლაცებოს ჯგუფში), ასევე მეტფორმინთან კომბინაციაში (საწყის მაჩვენებელთან შედარებით კორექტირებული საშუალო ცვლილება: −1.32% დაპაგლიფლოზინის ჯგუფში და −0.53% პლაცებოს ჯგუფში).</w:t>
      </w:r>
    </w:p>
    <w:p w14:paraId="11E5AF82" w14:textId="77777777" w:rsidR="00FA0370" w:rsidRPr="00850096" w:rsidRDefault="00FA0370" w:rsidP="00BC0A56">
      <w:pPr>
        <w:spacing w:after="0" w:line="240" w:lineRule="auto"/>
        <w:rPr>
          <w:rFonts w:ascii="Sylfaen" w:hAnsi="Sylfaen"/>
          <w:noProof/>
          <w:sz w:val="20"/>
          <w:szCs w:val="20"/>
        </w:rPr>
      </w:pPr>
    </w:p>
    <w:p w14:paraId="73A18EF8" w14:textId="77777777" w:rsidR="006C447E" w:rsidRPr="00850096" w:rsidRDefault="006C447E" w:rsidP="00BC0A56">
      <w:pPr>
        <w:spacing w:after="0" w:line="240" w:lineRule="auto"/>
        <w:rPr>
          <w:rFonts w:ascii="Sylfaen" w:hAnsi="Sylfaen"/>
          <w:noProof/>
          <w:sz w:val="20"/>
          <w:szCs w:val="20"/>
          <w:u w:val="single"/>
        </w:rPr>
      </w:pPr>
      <w:r w:rsidRPr="00850096">
        <w:rPr>
          <w:rFonts w:ascii="Sylfaen" w:hAnsi="Sylfaen"/>
          <w:i/>
          <w:iCs/>
          <w:noProof/>
          <w:sz w:val="20"/>
          <w:szCs w:val="20"/>
          <w:u w:val="single"/>
        </w:rPr>
        <w:t>კარდიოვასკულური და თირკმლის შედეგები</w:t>
      </w:r>
    </w:p>
    <w:p w14:paraId="0737545E" w14:textId="77777777" w:rsidR="006B5877" w:rsidRPr="00850096" w:rsidRDefault="006B5877"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გავლენა გულ-სისხლძარღვთა მოვლენებზე (DECLARE) იყო საერთაშორისო, მულტიცენტრული, რანდომიზებული, ორმაგად ბრმა, პლაცებო-კონტროლირებადი კლინიკური კვლევა, რომელიც ჩატარდა დაპაგლიფლოზინის პლაცებოსთან შედარებით გულ-სისხლძარღვთა შედეგებზე ზემოქმედების დასადგენად, მიმდინარე ფონურ თერაპიასთან დამატებისას. ყველა პაციენტს ჰქონდა მე-2 ტიპის შაქრიანი დიაბეტი და ან სულ მცირე ორი დამატებითი გულ-სისხლძარღვთა რისკ-ფაქტორი (ასაკი ≥ 55 წელი მამაკაცებში ან ≥ 60 წელი ქალებში და ერთი ან მეტი დისლიპიდემია, ჰიპერტენზია ან თამბაქოს მოხმარება) ან დადგენილი გულ-სისხლძარღვთა დაავადება.</w:t>
      </w:r>
    </w:p>
    <w:p w14:paraId="6DEBCFFF" w14:textId="20EEE0EB" w:rsidR="006C447E" w:rsidRPr="00850096" w:rsidRDefault="006C447E" w:rsidP="00FA0370">
      <w:pPr>
        <w:spacing w:after="0" w:line="240" w:lineRule="auto"/>
        <w:jc w:val="both"/>
        <w:rPr>
          <w:rFonts w:ascii="Sylfaen" w:hAnsi="Sylfaen"/>
          <w:noProof/>
          <w:sz w:val="20"/>
          <w:szCs w:val="20"/>
        </w:rPr>
      </w:pPr>
      <w:r w:rsidRPr="00850096">
        <w:rPr>
          <w:rFonts w:ascii="Sylfaen" w:hAnsi="Sylfaen"/>
          <w:noProof/>
          <w:sz w:val="20"/>
          <w:szCs w:val="20"/>
        </w:rPr>
        <w:t>17,160 რანდომიზებული პაციენტიდან 6,974-ს (40.6%) ჰქონდა უკვე დადასტურებული კარდიოვასკულური დაავადება, ხოლო 10,186-ს (59.4%) — არა. 8,582 პაციენტი რანდომიზებული იყო დაპაგლიფლოზინის 10 მგ ჯგუფში, ხოლო 8,578 — პლაცებოს ჯგუფში; მათი მეთვალყურეობის მედიანური ხანგრძლივობა იყო 4.2 წელი.</w:t>
      </w:r>
    </w:p>
    <w:p w14:paraId="0A974EF1" w14:textId="77777777" w:rsidR="006C447E" w:rsidRPr="00850096" w:rsidRDefault="006C447E" w:rsidP="00FA0370">
      <w:pPr>
        <w:spacing w:after="0" w:line="240" w:lineRule="auto"/>
        <w:jc w:val="both"/>
        <w:rPr>
          <w:rFonts w:ascii="Sylfaen" w:hAnsi="Sylfaen"/>
          <w:noProof/>
          <w:sz w:val="20"/>
          <w:szCs w:val="20"/>
        </w:rPr>
      </w:pPr>
      <w:r w:rsidRPr="00850096">
        <w:rPr>
          <w:rFonts w:ascii="Sylfaen" w:hAnsi="Sylfaen"/>
          <w:noProof/>
          <w:sz w:val="20"/>
          <w:szCs w:val="20"/>
        </w:rPr>
        <w:t>კვლევის მონაწილეთა საშუალო ასაკი იყო 63.9 წელი, 37.4% ქალი იყო. მთლიანობაში, პაციენტების 22.4%-ს დიაბეტი ჰქონდა ≤5 წლის განმავლობაში, ხოლო დიაბეტის საშუალო ხანგრძლივობა იყო 11.9 წელი. საშუალო HbA1c შეადგენდა 8.3%-ს, ხოლო საშუალო BMI — 32.1 კგ/მ²-ს.</w:t>
      </w:r>
    </w:p>
    <w:p w14:paraId="69BC3D34" w14:textId="1C560E5F" w:rsidR="006C447E" w:rsidRPr="00850096" w:rsidRDefault="006C447E" w:rsidP="00FA0370">
      <w:pPr>
        <w:spacing w:after="0" w:line="240" w:lineRule="auto"/>
        <w:jc w:val="both"/>
        <w:rPr>
          <w:rFonts w:ascii="Sylfaen" w:hAnsi="Sylfaen"/>
          <w:noProof/>
          <w:sz w:val="20"/>
          <w:szCs w:val="20"/>
        </w:rPr>
      </w:pPr>
      <w:r w:rsidRPr="00850096">
        <w:rPr>
          <w:rFonts w:ascii="Sylfaen" w:hAnsi="Sylfaen"/>
          <w:noProof/>
          <w:sz w:val="20"/>
          <w:szCs w:val="20"/>
        </w:rPr>
        <w:t>კვლევის დასაწყისში პაციენტების 10.0%-ს აღენიშნებოდა გულის უკმარისობის ისტორია. საშუალო eGFR იყო 85.2 მლ/წთ/1.73 მ²; პაციენტების 7.4%-ს ჰქონდა eGFR &lt;60 მლ/წთ/1.73 მ², ხოლო 30.3%-ს აღენიშნებოდა მიკრო- ან მაკროალბუმინურია (შარდში ალბუმინის/კრეატინინის თანაფარდობა [UACR] ≥30–≤300 მგ/გ ან &gt;300 მგ/გ).</w:t>
      </w:r>
    </w:p>
    <w:p w14:paraId="7584E2EE" w14:textId="2D0090B9" w:rsidR="006C447E" w:rsidRPr="00850096" w:rsidRDefault="006C447E" w:rsidP="00FA0370">
      <w:pPr>
        <w:spacing w:after="0" w:line="240" w:lineRule="auto"/>
        <w:jc w:val="both"/>
        <w:rPr>
          <w:rFonts w:ascii="Sylfaen" w:hAnsi="Sylfaen"/>
          <w:noProof/>
          <w:sz w:val="20"/>
          <w:szCs w:val="20"/>
        </w:rPr>
      </w:pPr>
      <w:r w:rsidRPr="00850096">
        <w:rPr>
          <w:rFonts w:ascii="Sylfaen" w:hAnsi="Sylfaen"/>
          <w:noProof/>
          <w:sz w:val="20"/>
          <w:szCs w:val="20"/>
        </w:rPr>
        <w:t>პაციენტების უმეტესობა (98%) კვლევის დასაწყისში იღებდა ერთ ან მეტ ანტიდიაბეტურ სამკურნალო საშუალებას, მათ შორის მეტფორმინს (82%), ინსულინს</w:t>
      </w:r>
      <w:r w:rsidR="006B5877" w:rsidRPr="00850096">
        <w:rPr>
          <w:rFonts w:ascii="Sylfaen" w:hAnsi="Sylfaen"/>
          <w:noProof/>
          <w:sz w:val="20"/>
          <w:szCs w:val="20"/>
        </w:rPr>
        <w:t xml:space="preserve"> </w:t>
      </w:r>
      <w:r w:rsidRPr="00850096">
        <w:rPr>
          <w:rFonts w:ascii="Sylfaen" w:hAnsi="Sylfaen"/>
          <w:noProof/>
          <w:sz w:val="20"/>
          <w:szCs w:val="20"/>
        </w:rPr>
        <w:t>(41%) და სულფონილშარდოვანას (43%).</w:t>
      </w:r>
    </w:p>
    <w:p w14:paraId="42376029" w14:textId="7C4B1134" w:rsidR="006B5877" w:rsidRPr="00850096" w:rsidRDefault="006B5877" w:rsidP="00FA0370">
      <w:pPr>
        <w:spacing w:after="0" w:line="240" w:lineRule="auto"/>
        <w:jc w:val="both"/>
        <w:rPr>
          <w:rFonts w:ascii="Sylfaen" w:hAnsi="Sylfaen"/>
          <w:noProof/>
          <w:sz w:val="20"/>
          <w:szCs w:val="20"/>
        </w:rPr>
      </w:pPr>
      <w:r w:rsidRPr="00850096">
        <w:rPr>
          <w:rFonts w:ascii="Sylfaen" w:hAnsi="Sylfaen"/>
          <w:noProof/>
          <w:sz w:val="20"/>
          <w:szCs w:val="20"/>
        </w:rPr>
        <w:t>პირველადი საბოლოო წერტილები იყო გულ-სისხლძარღვთა სიკვდილის, მიოკარდიუმის ინფარქტის ან იშემიური ინსულტის (MACE) ერთობლიობის პირველ მოვლენამდე დრო და გულის უკმარისობის ან გულ-სისხლძარღვთა სიკვდილის ერთობლიობის პირველ მოვლენამდე დრო. მეორადი საბოლოო წერტილები იყო თირკმლის ერთობლივი საბოლოო წერტილი და ყველა მიზეზით გამოწვეული სიკვდილიანობა.</w:t>
      </w:r>
    </w:p>
    <w:p w14:paraId="416CD1E6" w14:textId="77777777" w:rsidR="006B5877" w:rsidRPr="00850096" w:rsidRDefault="006B5877" w:rsidP="00FA0370">
      <w:pPr>
        <w:spacing w:after="0" w:line="240" w:lineRule="auto"/>
        <w:jc w:val="both"/>
        <w:rPr>
          <w:rFonts w:ascii="Sylfaen" w:hAnsi="Sylfaen"/>
          <w:i/>
          <w:iCs/>
          <w:noProof/>
          <w:sz w:val="20"/>
          <w:szCs w:val="20"/>
        </w:rPr>
      </w:pPr>
      <w:r w:rsidRPr="00850096">
        <w:rPr>
          <w:rFonts w:ascii="Sylfaen" w:hAnsi="Sylfaen"/>
          <w:i/>
          <w:iCs/>
          <w:noProof/>
          <w:sz w:val="20"/>
          <w:szCs w:val="20"/>
        </w:rPr>
        <w:t>გულ-სისხლძარღვთა სისტემის მხრივ განვითარებული სერიოზული არასასურველი მოვლენები</w:t>
      </w:r>
    </w:p>
    <w:p w14:paraId="651F4810" w14:textId="66DFE2F6" w:rsidR="006B5877" w:rsidRPr="00850096" w:rsidRDefault="006B5877"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დაპაგლიფლოზინმა (10 მგ) აჩვენა არანაკლები ეფექტიანობა (non-inferiority) პლაცებოსთან შედარებით გულ-სისხლძარღვთა მიზეზით სიკვდილის, მიოკარდიუმის ინფარქტისა და იშემიური ინსულტის კომბინირებული მაჩვენებლის მიმართ (ცალმხრივი p &lt; 0,001).</w:t>
      </w:r>
    </w:p>
    <w:p w14:paraId="268F4D15" w14:textId="77777777" w:rsidR="006B5877" w:rsidRPr="00850096" w:rsidRDefault="006B5877" w:rsidP="00FA0370">
      <w:pPr>
        <w:spacing w:after="0" w:line="240" w:lineRule="auto"/>
        <w:jc w:val="both"/>
        <w:rPr>
          <w:rFonts w:ascii="Sylfaen" w:hAnsi="Sylfaen"/>
          <w:i/>
          <w:iCs/>
          <w:noProof/>
          <w:sz w:val="20"/>
          <w:szCs w:val="20"/>
        </w:rPr>
      </w:pPr>
      <w:r w:rsidRPr="00850096">
        <w:rPr>
          <w:rFonts w:ascii="Sylfaen" w:hAnsi="Sylfaen"/>
          <w:i/>
          <w:iCs/>
          <w:noProof/>
          <w:sz w:val="20"/>
          <w:szCs w:val="20"/>
        </w:rPr>
        <w:t>გულის უკმარისობის ან გულ-სისხლძარღვთა დაავადებებით გამოწვეული სიკვდილი</w:t>
      </w:r>
    </w:p>
    <w:p w14:paraId="628CD806" w14:textId="493E9CBE" w:rsidR="006B5877" w:rsidRPr="00850096" w:rsidRDefault="006B5877" w:rsidP="00FA0370">
      <w:pPr>
        <w:spacing w:after="0" w:line="240" w:lineRule="auto"/>
        <w:jc w:val="both"/>
        <w:rPr>
          <w:rFonts w:ascii="Sylfaen" w:hAnsi="Sylfaen"/>
          <w:noProof/>
          <w:sz w:val="20"/>
          <w:szCs w:val="20"/>
        </w:rPr>
      </w:pPr>
      <w:r w:rsidRPr="00850096">
        <w:rPr>
          <w:rFonts w:ascii="Sylfaen" w:hAnsi="Sylfaen"/>
          <w:noProof/>
          <w:sz w:val="20"/>
          <w:szCs w:val="20"/>
        </w:rPr>
        <w:t xml:space="preserve">დაპაგლიფლოზინის 10 მგ-მა აჩვენა უპირატესობა პლაცებოსთან შედარებით გულის უკმარისობის ან გულ-სისხლძარღვთა დაავადებებით გამოწვეული სიკვდილის პრევენციის თვალსაზრისით (ნახაზი 1). </w:t>
      </w:r>
      <w:r w:rsidRPr="00850096">
        <w:rPr>
          <w:rFonts w:ascii="Sylfaen" w:hAnsi="Sylfaen"/>
          <w:noProof/>
          <w:sz w:val="20"/>
          <w:szCs w:val="20"/>
        </w:rPr>
        <w:lastRenderedPageBreak/>
        <w:t>მკურნალობის ეფექტის განსხვავება განპირობებული იყო გულის უკმარისობის გამო ჰოსპიტალიზაციით, ხოლო გულ-სისხლძარღვთა დაავადებებით გამოწვეული სიკვდილიანობის მაჩვენებელი განსხვავდებოდა (ნახაზი 2).</w:t>
      </w:r>
    </w:p>
    <w:p w14:paraId="3BE02E26" w14:textId="3612E6F0" w:rsidR="006B5877" w:rsidRPr="00850096" w:rsidRDefault="006B5877"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მკურნალობის სარგებელი პლაცებოსთან შედარებით დაფიქსირდა როგორც პაციენტებში, რომლებსაც ჰქონდათ და არ ჰქონდათ დადგენილი გულ-სისხლძარღვთა დაავადება, საწყის ეტაპზე გულის უკმარისობით და მის გარეშე, და თანმიმდევრული იყო ძირითად ქვეჯგუფებში, მათ შორის ასაკი, სქესი, თირკმლის ფუნქცია (eGFR) და რეგიონი.</w:t>
      </w:r>
    </w:p>
    <w:p w14:paraId="1BFC16D0" w14:textId="7F37984A" w:rsidR="006B5877" w:rsidRPr="00850096" w:rsidRDefault="006B5877" w:rsidP="00BC0A56">
      <w:pPr>
        <w:spacing w:after="0" w:line="240" w:lineRule="auto"/>
        <w:rPr>
          <w:rFonts w:ascii="Sylfaen" w:hAnsi="Sylfaen"/>
          <w:b/>
          <w:bCs/>
          <w:noProof/>
          <w:sz w:val="20"/>
          <w:szCs w:val="20"/>
        </w:rPr>
      </w:pPr>
      <w:r w:rsidRPr="00850096">
        <w:rPr>
          <w:rFonts w:ascii="Sylfaen" w:hAnsi="Sylfaen"/>
          <w:b/>
          <w:bCs/>
          <w:noProof/>
          <w:sz w:val="20"/>
          <w:szCs w:val="20"/>
        </w:rPr>
        <w:t>ნახაზი 1: დრო გულის უკმარისობის გამო ჰოსპიტალიზაციის ან გულ-სისხლძარღვთა დაავადებით გამოწვეული სიკვდილის პირველ შემთხვევამდე</w:t>
      </w:r>
    </w:p>
    <w:p w14:paraId="01F0741D" w14:textId="00A32B5F" w:rsidR="006B5877" w:rsidRPr="001C3C36" w:rsidRDefault="006B5877" w:rsidP="00BC0A56">
      <w:pPr>
        <w:spacing w:after="0" w:line="240" w:lineRule="auto"/>
        <w:rPr>
          <w:rFonts w:ascii="Sylfaen" w:hAnsi="Sylfaen"/>
          <w:b/>
          <w:bCs/>
          <w:noProof/>
        </w:rPr>
      </w:pPr>
      <w:r w:rsidRPr="001C3C36">
        <w:rPr>
          <w:rFonts w:ascii="Sylfaen" w:eastAsia="Times New Roman" w:hAnsi="Sylfaen" w:cs="Times New Roman"/>
          <w:noProof/>
        </w:rPr>
        <w:drawing>
          <wp:inline distT="0" distB="0" distL="0" distR="0" wp14:anchorId="0EC37CC9" wp14:editId="3763E2D3">
            <wp:extent cx="4286250" cy="2810819"/>
            <wp:effectExtent l="0" t="0" r="0" b="8890"/>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4345990" cy="2849995"/>
                    </a:xfrm>
                    <a:prstGeom prst="rect">
                      <a:avLst/>
                    </a:prstGeom>
                  </pic:spPr>
                </pic:pic>
              </a:graphicData>
            </a:graphic>
          </wp:inline>
        </w:drawing>
      </w:r>
    </w:p>
    <w:p w14:paraId="38D5D5B4" w14:textId="77777777" w:rsidR="006B5877" w:rsidRDefault="006B5877" w:rsidP="00BC0A56">
      <w:pPr>
        <w:spacing w:after="0" w:line="240" w:lineRule="auto"/>
        <w:rPr>
          <w:rFonts w:ascii="Sylfaen" w:hAnsi="Sylfaen"/>
          <w:noProof/>
          <w:sz w:val="20"/>
          <w:szCs w:val="20"/>
        </w:rPr>
      </w:pPr>
      <w:r w:rsidRPr="00850096">
        <w:rPr>
          <w:rFonts w:ascii="Sylfaen" w:hAnsi="Sylfaen"/>
          <w:noProof/>
          <w:sz w:val="20"/>
          <w:szCs w:val="20"/>
        </w:rPr>
        <w:t>„რისკის ქვეშ მყოფი პაციენტები“ გულისხმობს პაციენტთა რაოდენობას პერიოდის დასაწყისში. HR — რისკის შეფარდება (Hazard ratio); CI — სანდოობის ინტერვალი (Confidence interval).</w:t>
      </w:r>
    </w:p>
    <w:p w14:paraId="6FA88BDE" w14:textId="77777777" w:rsidR="00FA0370" w:rsidRPr="00850096" w:rsidRDefault="00FA0370" w:rsidP="00BC0A56">
      <w:pPr>
        <w:spacing w:after="0" w:line="240" w:lineRule="auto"/>
        <w:rPr>
          <w:rFonts w:ascii="Sylfaen" w:hAnsi="Sylfaen"/>
          <w:noProof/>
          <w:sz w:val="20"/>
          <w:szCs w:val="20"/>
        </w:rPr>
      </w:pPr>
    </w:p>
    <w:p w14:paraId="3E4F5507" w14:textId="0E324A6D" w:rsidR="006B5877" w:rsidRDefault="006B5877" w:rsidP="00FA0370">
      <w:pPr>
        <w:spacing w:after="0" w:line="240" w:lineRule="auto"/>
        <w:jc w:val="both"/>
        <w:rPr>
          <w:rFonts w:ascii="Sylfaen" w:hAnsi="Sylfaen"/>
          <w:noProof/>
          <w:sz w:val="20"/>
          <w:szCs w:val="20"/>
        </w:rPr>
      </w:pPr>
      <w:r w:rsidRPr="00850096">
        <w:rPr>
          <w:rFonts w:ascii="Sylfaen" w:hAnsi="Sylfaen"/>
          <w:noProof/>
          <w:sz w:val="20"/>
          <w:szCs w:val="20"/>
        </w:rPr>
        <w:t>პირველადი და მეორადი საბოლოო წერტილების შედეგები წარმოდგენილია მე-2 ნახაზზე. MACE-ის შემთხვევაში არ დადასტურებულა დაპაგლიფლოზინის უპირატესობა პლაცებოსთან შედარებით (p=0,172). შესაბამისად, თირკმელებთან დაკავშირებული კომბინირებული საბოლოო წერტილი და ნებისმიერი მიზეზით გამოწვეული სიკვდილიანობა არ შეფასებულა დამადასტურებელი ტესტირების პროცედურის ფარგლებში.</w:t>
      </w:r>
    </w:p>
    <w:p w14:paraId="258FF065" w14:textId="77777777" w:rsidR="00FA0370" w:rsidRPr="00850096" w:rsidRDefault="00FA0370" w:rsidP="00FA0370">
      <w:pPr>
        <w:spacing w:after="0" w:line="240" w:lineRule="auto"/>
        <w:jc w:val="both"/>
        <w:rPr>
          <w:rFonts w:ascii="Sylfaen" w:hAnsi="Sylfaen"/>
          <w:noProof/>
          <w:sz w:val="20"/>
          <w:szCs w:val="20"/>
        </w:rPr>
      </w:pPr>
    </w:p>
    <w:p w14:paraId="6A1FD7B5" w14:textId="5582E30B" w:rsidR="006B5877" w:rsidRPr="00850096" w:rsidRDefault="006B5877" w:rsidP="00BC0A56">
      <w:pPr>
        <w:spacing w:after="0" w:line="240" w:lineRule="auto"/>
        <w:rPr>
          <w:rFonts w:ascii="Sylfaen" w:hAnsi="Sylfaen"/>
          <w:noProof/>
          <w:sz w:val="20"/>
          <w:szCs w:val="20"/>
        </w:rPr>
      </w:pPr>
      <w:r w:rsidRPr="00850096">
        <w:rPr>
          <w:rFonts w:ascii="Sylfaen" w:hAnsi="Sylfaen"/>
          <w:b/>
          <w:bCs/>
          <w:noProof/>
          <w:sz w:val="20"/>
          <w:szCs w:val="20"/>
        </w:rPr>
        <w:t>ნახაზი 2: მკურნალობის ეფექტები პირველადი კომბინირებული საბოლოო წერტილებისა და მათი კომპონენტების, ასევე მეორადი საბოლოო წერტილებისა და მათი კომპონენტების მიხედვით.</w:t>
      </w:r>
    </w:p>
    <w:p w14:paraId="3CAE32FD" w14:textId="3726F0C7" w:rsidR="006B5877" w:rsidRPr="001C3C36" w:rsidRDefault="006B5877" w:rsidP="00BC0A56">
      <w:pPr>
        <w:spacing w:after="0" w:line="240" w:lineRule="auto"/>
        <w:rPr>
          <w:rFonts w:ascii="Sylfaen" w:hAnsi="Sylfaen"/>
          <w:noProof/>
        </w:rPr>
      </w:pPr>
      <w:r w:rsidRPr="001C3C36">
        <w:rPr>
          <w:rFonts w:ascii="Sylfaen" w:eastAsia="Times New Roman" w:hAnsi="Sylfaen" w:cs="Times New Roman"/>
          <w:noProof/>
        </w:rPr>
        <w:lastRenderedPageBreak/>
        <w:drawing>
          <wp:inline distT="0" distB="0" distL="0" distR="0" wp14:anchorId="6BEFD9A8" wp14:editId="74B43B52">
            <wp:extent cx="5495925" cy="3018078"/>
            <wp:effectExtent l="0" t="0" r="0" b="1270"/>
            <wp:docPr id="1"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8" cstate="print"/>
                    <a:stretch>
                      <a:fillRect/>
                    </a:stretch>
                  </pic:blipFill>
                  <pic:spPr>
                    <a:xfrm>
                      <a:off x="0" y="0"/>
                      <a:ext cx="5495925" cy="3018078"/>
                    </a:xfrm>
                    <a:prstGeom prst="rect">
                      <a:avLst/>
                    </a:prstGeom>
                  </pic:spPr>
                </pic:pic>
              </a:graphicData>
            </a:graphic>
          </wp:inline>
        </w:drawing>
      </w:r>
    </w:p>
    <w:p w14:paraId="6B88E531" w14:textId="77777777" w:rsidR="006B5877" w:rsidRPr="001C3C36" w:rsidRDefault="006B5877" w:rsidP="00FA0370">
      <w:pPr>
        <w:spacing w:after="0" w:line="240" w:lineRule="auto"/>
        <w:jc w:val="both"/>
        <w:rPr>
          <w:rFonts w:ascii="Sylfaen" w:hAnsi="Sylfaen"/>
          <w:noProof/>
        </w:rPr>
      </w:pPr>
    </w:p>
    <w:p w14:paraId="0BC0932B" w14:textId="77777777" w:rsidR="006B5877" w:rsidRPr="00850096" w:rsidRDefault="006B5877" w:rsidP="00FA0370">
      <w:pPr>
        <w:spacing w:after="0" w:line="240" w:lineRule="auto"/>
        <w:jc w:val="both"/>
        <w:rPr>
          <w:rFonts w:ascii="Sylfaen" w:hAnsi="Sylfaen"/>
          <w:noProof/>
          <w:sz w:val="20"/>
          <w:szCs w:val="20"/>
        </w:rPr>
      </w:pPr>
      <w:r w:rsidRPr="00850096">
        <w:rPr>
          <w:rFonts w:ascii="Sylfaen" w:hAnsi="Sylfaen"/>
          <w:noProof/>
          <w:sz w:val="20"/>
          <w:szCs w:val="20"/>
        </w:rPr>
        <w:t>თირკმელთან დაკავშირებული კომბინირებული საბოლოო წერტილი განისაზღვრება, როგორც: eGFR-ის მდგრადი და დადასტურებული, ≥ 40%-იანი შემცირება &lt;60 მლ/წთ/1,73 მ² დონემდე და/ან თირკმლის ტერმინალური სტადიის დაავადება (დიალიზი ≥ 90 დღის განმავლობაში ან თირკმლის ტრანსპლანტაცია, ან eGFR-ის მდგრადი და დადასტურებული მაჩვენებელი &lt; 15 მლ/წთ/1,73 მ²) და/ან თირკმლის ან გულ-სისხლძარღვთა დაავადებით გამოწვეული სიკვდილი.</w:t>
      </w:r>
    </w:p>
    <w:p w14:paraId="75DA8E57" w14:textId="77777777" w:rsidR="006B5877" w:rsidRPr="00850096" w:rsidRDefault="006B5877" w:rsidP="00FA0370">
      <w:pPr>
        <w:spacing w:after="0" w:line="240" w:lineRule="auto"/>
        <w:jc w:val="both"/>
        <w:rPr>
          <w:rFonts w:ascii="Sylfaen" w:hAnsi="Sylfaen"/>
          <w:noProof/>
          <w:sz w:val="20"/>
          <w:szCs w:val="20"/>
        </w:rPr>
      </w:pPr>
      <w:r w:rsidRPr="00850096">
        <w:rPr>
          <w:rFonts w:ascii="Sylfaen" w:hAnsi="Sylfaen"/>
          <w:noProof/>
          <w:sz w:val="20"/>
          <w:szCs w:val="20"/>
        </w:rPr>
        <w:t>p-მნიშვნელობები ორმხრივია. მეორადი საბოლოო წერტილებისა და ცალკეული კომპონენტებისთვის p-მნიშვნელობები ნომინალურია. პირველ მოვლენამდე პერიოდი გაანალიზდა კოქსის პროპორციული რისკების მოდელის გამოყენებით. ცალკეული კომპონენტებისთვის პირველი მოვლენების რაოდენობა წარმოადგენს თითოეული კომპონენტის შემთხვევაში დაფიქსირებულ პირველ მოვლენათა რეალურ რაოდენობას და არ უტოლდება კომბინირებულ საბოლოო წერტილში შემავალ მოვლენათა ჯამურ რაოდენობას.</w:t>
      </w:r>
    </w:p>
    <w:p w14:paraId="3D00E039" w14:textId="3A5DE4C8" w:rsidR="00A914EF" w:rsidRDefault="006B5877" w:rsidP="00FA0370">
      <w:pPr>
        <w:spacing w:after="0" w:line="240" w:lineRule="auto"/>
        <w:jc w:val="both"/>
        <w:rPr>
          <w:rFonts w:ascii="Sylfaen" w:hAnsi="Sylfaen"/>
          <w:noProof/>
          <w:sz w:val="20"/>
          <w:szCs w:val="20"/>
        </w:rPr>
      </w:pPr>
      <w:r w:rsidRPr="00850096">
        <w:rPr>
          <w:rFonts w:ascii="Sylfaen" w:hAnsi="Sylfaen"/>
          <w:noProof/>
          <w:sz w:val="20"/>
          <w:szCs w:val="20"/>
        </w:rPr>
        <w:t>CI = სანდოობის ინტერვალი.</w:t>
      </w:r>
    </w:p>
    <w:p w14:paraId="6710BF0F" w14:textId="77777777" w:rsidR="00FA0370" w:rsidRPr="00850096" w:rsidRDefault="00FA0370" w:rsidP="00FA0370">
      <w:pPr>
        <w:spacing w:after="0" w:line="240" w:lineRule="auto"/>
        <w:jc w:val="both"/>
        <w:rPr>
          <w:rFonts w:ascii="Sylfaen" w:hAnsi="Sylfaen"/>
          <w:noProof/>
          <w:sz w:val="20"/>
          <w:szCs w:val="20"/>
        </w:rPr>
      </w:pPr>
    </w:p>
    <w:p w14:paraId="01102BAC" w14:textId="77777777" w:rsidR="00A914EF" w:rsidRPr="00850096" w:rsidRDefault="00A914EF" w:rsidP="00FA0370">
      <w:pPr>
        <w:spacing w:after="0" w:line="240" w:lineRule="auto"/>
        <w:jc w:val="both"/>
        <w:rPr>
          <w:rFonts w:ascii="Sylfaen" w:hAnsi="Sylfaen"/>
          <w:i/>
          <w:iCs/>
          <w:noProof/>
          <w:sz w:val="20"/>
          <w:szCs w:val="20"/>
        </w:rPr>
      </w:pPr>
      <w:r w:rsidRPr="00850096">
        <w:rPr>
          <w:rFonts w:ascii="Sylfaen" w:hAnsi="Sylfaen"/>
          <w:i/>
          <w:iCs/>
          <w:noProof/>
          <w:sz w:val="20"/>
          <w:szCs w:val="20"/>
        </w:rPr>
        <w:t>ნეფროპათია</w:t>
      </w:r>
    </w:p>
    <w:p w14:paraId="64681EA7" w14:textId="77777777" w:rsidR="00A914EF" w:rsidRPr="00850096" w:rsidRDefault="00A914EF"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დაპაგლიფლოზინმა შეამცირა ისეთი კომბინირებული მაჩვენებლის შემთხვევათა სიხშირე, რომელიც მოიცავდა eGFR-ის (გლომერულური ფილტრაციის სიჩქარის) დადასტურებულ და მდგრად კლებას, თირკმლის დაავადების ტერმინალურ სტადიას და თირკმლისმიერ ან კარდიოვასკულურ სიკვდილს. ჯგუფებს შორის განსხვავება განპირობებული იყო თირკმელთან დაკავშირებული კომპონენტების — eGFR-ის მდგრადი კლების, თირკმლის დაავადების ტერმინალური სტადიისა და თირკმლისმიერი სიკვდილის — შემთხვევების შემცირებით (ნახაზი 2).</w:t>
      </w:r>
    </w:p>
    <w:p w14:paraId="096CDD37" w14:textId="77777777" w:rsidR="00A914EF" w:rsidRPr="00850096" w:rsidRDefault="00A914EF" w:rsidP="00FA0370">
      <w:pPr>
        <w:spacing w:after="0" w:line="240" w:lineRule="auto"/>
        <w:jc w:val="both"/>
        <w:rPr>
          <w:rFonts w:ascii="Sylfaen" w:hAnsi="Sylfaen"/>
          <w:noProof/>
          <w:sz w:val="20"/>
          <w:szCs w:val="20"/>
        </w:rPr>
      </w:pPr>
      <w:r w:rsidRPr="00850096">
        <w:rPr>
          <w:rFonts w:ascii="Sylfaen" w:hAnsi="Sylfaen"/>
          <w:noProof/>
          <w:sz w:val="20"/>
          <w:szCs w:val="20"/>
        </w:rPr>
        <w:t>ნეფროპათიის (eGFR-ის მდგრადი კლება, თირკმლის დაავადების ტერმინალური სტადია და თირკმლისმიერი სიკვდილი) განვითარებამდე საჭირო დროის მიხედვით, რისკის შეფარდება (HR) დაპაგლიფლოზინის ჯგუფში პლაცებოს ჯგუფთან შედარებით 0,53-ს (95%-იანი სანდოობის ინტერვალი [CI]: 0,43; 0,66) შეადგენდა.</w:t>
      </w:r>
    </w:p>
    <w:p w14:paraId="6EB62C93" w14:textId="3F1E9470" w:rsidR="00F246CA" w:rsidRDefault="00A914EF" w:rsidP="00FA0370">
      <w:pPr>
        <w:spacing w:after="0" w:line="240" w:lineRule="auto"/>
        <w:jc w:val="both"/>
        <w:rPr>
          <w:rFonts w:ascii="Sylfaen" w:hAnsi="Sylfaen"/>
          <w:noProof/>
          <w:sz w:val="20"/>
          <w:szCs w:val="20"/>
        </w:rPr>
      </w:pPr>
      <w:r w:rsidRPr="00850096">
        <w:rPr>
          <w:rFonts w:ascii="Sylfaen" w:hAnsi="Sylfaen"/>
          <w:noProof/>
          <w:sz w:val="20"/>
          <w:szCs w:val="20"/>
        </w:rPr>
        <w:t>გარდა ამისა, პლაცებოსთან შედარებით, დაპაგლიფლოზინმა შეამცირა მდგრადი ალბუმინურიის ახალი შემთხვევების განვითარება (HR 0,79 [95% CI: 0,72; 0,87]) და ხელი შეუწყო მაკროალბუმინურიის უფრო გამოხატულ რეგრესიას (HR 1,82 [95% CI: 1,51; 2,20]).</w:t>
      </w:r>
    </w:p>
    <w:p w14:paraId="7C275E5D" w14:textId="77777777" w:rsidR="00FA0370" w:rsidRPr="00850096" w:rsidRDefault="00FA0370" w:rsidP="00BC0A56">
      <w:pPr>
        <w:spacing w:after="0" w:line="240" w:lineRule="auto"/>
        <w:rPr>
          <w:rFonts w:ascii="Sylfaen" w:hAnsi="Sylfaen"/>
          <w:noProof/>
          <w:sz w:val="20"/>
          <w:szCs w:val="20"/>
        </w:rPr>
      </w:pPr>
    </w:p>
    <w:p w14:paraId="6E41540A" w14:textId="77777777" w:rsidR="00F246CA" w:rsidRPr="00850096" w:rsidRDefault="00F246CA" w:rsidP="00FA0370">
      <w:pPr>
        <w:spacing w:after="0" w:line="240" w:lineRule="auto"/>
        <w:jc w:val="both"/>
        <w:rPr>
          <w:rFonts w:ascii="Sylfaen" w:hAnsi="Sylfaen"/>
          <w:noProof/>
          <w:sz w:val="20"/>
          <w:szCs w:val="20"/>
          <w:u w:val="single"/>
        </w:rPr>
      </w:pPr>
      <w:r w:rsidRPr="00850096">
        <w:rPr>
          <w:rFonts w:ascii="Sylfaen" w:hAnsi="Sylfaen"/>
          <w:noProof/>
          <w:sz w:val="20"/>
          <w:szCs w:val="20"/>
          <w:u w:val="single"/>
        </w:rPr>
        <w:t>გულის უკმარისობა</w:t>
      </w:r>
    </w:p>
    <w:p w14:paraId="5B4205B5" w14:textId="4E427386" w:rsidR="00F246CA" w:rsidRPr="00850096" w:rsidRDefault="00F246CA" w:rsidP="00FA0370">
      <w:pPr>
        <w:spacing w:after="0" w:line="240" w:lineRule="auto"/>
        <w:jc w:val="both"/>
        <w:rPr>
          <w:rFonts w:ascii="Sylfaen" w:hAnsi="Sylfaen"/>
          <w:i/>
          <w:iCs/>
          <w:noProof/>
          <w:sz w:val="20"/>
          <w:szCs w:val="20"/>
          <w:u w:val="single"/>
        </w:rPr>
      </w:pPr>
      <w:r w:rsidRPr="00850096">
        <w:rPr>
          <w:rFonts w:ascii="Sylfaen" w:hAnsi="Sylfaen"/>
          <w:i/>
          <w:iCs/>
          <w:noProof/>
          <w:sz w:val="20"/>
          <w:szCs w:val="20"/>
          <w:u w:val="single"/>
        </w:rPr>
        <w:t>DAPA-HF კვლევა: გულის უკმარისობა შემცირებული განდევნის ფრაქციით (LVEF ≤40%)</w:t>
      </w:r>
    </w:p>
    <w:p w14:paraId="0EE1D72F" w14:textId="77777777" w:rsidR="00F246CA" w:rsidRPr="00850096" w:rsidRDefault="00F246CA" w:rsidP="00FA0370">
      <w:pPr>
        <w:spacing w:after="0" w:line="240" w:lineRule="auto"/>
        <w:jc w:val="both"/>
        <w:rPr>
          <w:rFonts w:ascii="Sylfaen" w:hAnsi="Sylfaen"/>
          <w:noProof/>
          <w:sz w:val="20"/>
          <w:szCs w:val="20"/>
        </w:rPr>
      </w:pPr>
      <w:r w:rsidRPr="00850096">
        <w:rPr>
          <w:rFonts w:ascii="Sylfaen" w:hAnsi="Sylfaen"/>
          <w:noProof/>
          <w:sz w:val="20"/>
          <w:szCs w:val="20"/>
        </w:rPr>
        <w:t>კვლევა „დაპაგლიფლოზინი და გულის უკმარისობის დროს არასასურველი გამოსავლების პრევენცია“ (DAPA-HF) იყო საერთაშორისო, მრავალცენტრიანი, რანდომიზებული, ორმაგად ბრმა, პლაცებო-</w:t>
      </w:r>
      <w:r w:rsidRPr="00850096">
        <w:rPr>
          <w:rFonts w:ascii="Sylfaen" w:hAnsi="Sylfaen"/>
          <w:noProof/>
          <w:sz w:val="20"/>
          <w:szCs w:val="20"/>
        </w:rPr>
        <w:lastRenderedPageBreak/>
        <w:t>კონტროლირებადი კვლევა. მასში მონაწილეობდნენ გულის უკმარისობის მქონე პაციენტები (ნიუ-იორკის გულის ასოციაციის [NYHA] ფუნქციური კლასი II-IV) განდევნის ფრაქციის შემცირებით (მარცხენა პარკუჭის განდევნის ფრაქცია [LVEF] ≤ 40%). კვლევის მიზანი იყო დაპაგლიფლოზინის ეფექტის შეფასება პლაცებოსთან შედარებით (სტანდარტულ თერაპიაზე დამატებისას) გულ-სისხლძარღვთა დაავადებით გამოწვეული სიკვდილიანობისა და გულის უკმარისობის გაუარესების სიხშირეზე.</w:t>
      </w:r>
    </w:p>
    <w:p w14:paraId="0908E52B" w14:textId="77777777" w:rsidR="00F246CA" w:rsidRPr="00850096" w:rsidRDefault="00F246CA" w:rsidP="00FA0370">
      <w:pPr>
        <w:spacing w:after="0" w:line="240" w:lineRule="auto"/>
        <w:jc w:val="both"/>
        <w:rPr>
          <w:rFonts w:ascii="Sylfaen" w:hAnsi="Sylfaen"/>
          <w:noProof/>
          <w:sz w:val="20"/>
          <w:szCs w:val="20"/>
        </w:rPr>
      </w:pPr>
      <w:r w:rsidRPr="00850096">
        <w:rPr>
          <w:rFonts w:ascii="Sylfaen" w:hAnsi="Sylfaen"/>
          <w:noProof/>
          <w:sz w:val="20"/>
          <w:szCs w:val="20"/>
        </w:rPr>
        <w:t>სულ 4 744 პაციენტიდან 2 373 რანდომიზებულ იქნა დაპაგლიფლოზინის (10 მგ) ჯგუფში, ხოლო 2 371 — პლაცებოს ჯგუფში; დაკვირვება გრძელდებოდა საშუალოდ (მედიანური მაჩვენებლით) 18 თვის განმავლობაში. კვლევაში ჩართულ პაციენტთა საშუალო ასაკი 66 წელს შეადგენდა, ხოლო 77% მამაკაცი იყო.</w:t>
      </w:r>
    </w:p>
    <w:p w14:paraId="354C53DA" w14:textId="77777777" w:rsidR="00F246CA" w:rsidRPr="00850096" w:rsidRDefault="00F246CA" w:rsidP="00FA0370">
      <w:pPr>
        <w:spacing w:after="0" w:line="240" w:lineRule="auto"/>
        <w:jc w:val="both"/>
        <w:rPr>
          <w:rFonts w:ascii="Sylfaen" w:hAnsi="Sylfaen"/>
          <w:noProof/>
          <w:sz w:val="20"/>
          <w:szCs w:val="20"/>
        </w:rPr>
      </w:pPr>
      <w:r w:rsidRPr="00850096">
        <w:rPr>
          <w:rFonts w:ascii="Sylfaen" w:hAnsi="Sylfaen"/>
          <w:noProof/>
          <w:sz w:val="20"/>
          <w:szCs w:val="20"/>
        </w:rPr>
        <w:t>საწყის ეტაპზე პაციენტთა 67,5% მიეკუთვნებოდა NYHA-ს II კლასს, 31,6% — III კლასს, ხოლო 0,9% — IV კლასს; LVEF-ის მედიანური მაჩვენებელი 32% იყო. გულის უკმარისობის შემთხვევათა 56% იშემიური ეტიოლოგიის იყო, 36% — არაიშემიური, ხოლო 8% — დაუდგენელი ეტიოლოგიის. თითოეულ სამკურნალო ჯგუფში პაციენტთა 42%-ს ანამნეზში აღენიშნებოდა მე-2 ტიპის შაქრიანი დიაბეტი; დამატებით, თითოეულ ჯგუფში პაციენტთა 3%-ს მე-2 ტიპის შაქრიანი დიაბეტი დაუდგინდა HbA1c-ის მაჩვენებლის საფუძველზე (≥ 6,5%) როგორც კვლევაში ჩართვის, ისე რანდომიზაციის ეტაპზე. პაციენტები იღებდნენ სტანდარტულ თერაპიას; კერძოდ, 94% მკურნალობდა ACE-ინჰიბიტორით, ARB-ით ან ანგიოტენზინის რეცეპტორისა და ნეპრილიზინის ინჰიბიტორით (ARNI, 11%), 96% — ბეტა-ბლოკატორით, 71% — მინერალოკორტიკოიდული რეცეპტორების ანტაგონისტით (MRA), 93% — დიურეტიკით, ხოლო 26%-ს იმპლანტირებული ჰქონდა შესაბამისი მოწყობილობა.</w:t>
      </w:r>
    </w:p>
    <w:p w14:paraId="5B5589E5" w14:textId="133166FB" w:rsidR="00F246CA" w:rsidRDefault="00F246CA" w:rsidP="00FA0370">
      <w:pPr>
        <w:spacing w:after="0" w:line="240" w:lineRule="auto"/>
        <w:jc w:val="both"/>
        <w:rPr>
          <w:rFonts w:ascii="Sylfaen" w:hAnsi="Sylfaen"/>
          <w:noProof/>
          <w:sz w:val="20"/>
          <w:szCs w:val="20"/>
        </w:rPr>
      </w:pPr>
      <w:r w:rsidRPr="00850096">
        <w:rPr>
          <w:rFonts w:ascii="Sylfaen" w:hAnsi="Sylfaen"/>
          <w:noProof/>
          <w:sz w:val="20"/>
          <w:szCs w:val="20"/>
        </w:rPr>
        <w:t>კვლევაში ჩართეს პაციენტები, რომლებსაც ჩართვის მომენტში აღენიშნებოდათ eGFR ≥ 30 მლ/წთ/1,73 მ² მაჩვენებელი. eGFR-ის საშუალო მაჩვენებელი შეადგენდა 66 მლ/წთ/1,73 მ²-ს; პაციენტთა 41%-ს eGFR &lt; 60 მლ/წთ/1,73 მ² ჰქონდა, ხოლო 15%-ს — eGFR &lt; 45 მლ/წთ/1,73 მ².</w:t>
      </w:r>
    </w:p>
    <w:p w14:paraId="20A4BE02" w14:textId="77777777" w:rsidR="00FA0370" w:rsidRPr="00850096" w:rsidRDefault="00FA0370" w:rsidP="00BC0A56">
      <w:pPr>
        <w:spacing w:after="0" w:line="240" w:lineRule="auto"/>
        <w:rPr>
          <w:rFonts w:ascii="Sylfaen" w:hAnsi="Sylfaen"/>
          <w:noProof/>
          <w:sz w:val="20"/>
          <w:szCs w:val="20"/>
        </w:rPr>
      </w:pPr>
    </w:p>
    <w:p w14:paraId="3D6C6A28" w14:textId="77777777" w:rsidR="00F246CA" w:rsidRPr="00850096" w:rsidRDefault="00F246CA" w:rsidP="00FA0370">
      <w:pPr>
        <w:spacing w:after="0" w:line="240" w:lineRule="auto"/>
        <w:jc w:val="both"/>
        <w:rPr>
          <w:rFonts w:ascii="Sylfaen" w:hAnsi="Sylfaen"/>
          <w:i/>
          <w:iCs/>
          <w:noProof/>
          <w:sz w:val="20"/>
          <w:szCs w:val="20"/>
        </w:rPr>
      </w:pPr>
      <w:r w:rsidRPr="00850096">
        <w:rPr>
          <w:rFonts w:ascii="Sylfaen" w:hAnsi="Sylfaen"/>
          <w:i/>
          <w:iCs/>
          <w:noProof/>
          <w:sz w:val="20"/>
          <w:szCs w:val="20"/>
        </w:rPr>
        <w:t>გულ-სისხლძარღვთა სისტემის დაავადებით გამოწვეული სიკვდილი და გულის უკმარისობის გაუარესება</w:t>
      </w:r>
    </w:p>
    <w:p w14:paraId="1321A391" w14:textId="03314AF0" w:rsidR="00F246CA" w:rsidRPr="00850096" w:rsidRDefault="00F246CA"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 პლაცებოზე უფრო ეფექტური აღმოჩნდა გულ-სისხლძარღვთა სისტემის დაავადებით გამოწვეული სიკვდილის, გულის უკმარისობის გამო ჰოსპიტალიზაციისა და გულის უკმარისობის გამო გადაუდებელი ვიზიტისგან შემდგარი კომბინირებული პირველადი გამოსავლის თავიდან აცილების კუთხით (HR 0,74 [95% CI 0,65; 0,85], p &lt; 0,0001). აღნიშნული ეფექტი ადრეულ ეტაპზევე გამოვლინდა და კვლევის მთელი პერიოდის განმავლობაში შენარჩუნდა (ნახაზი 3).</w:t>
      </w:r>
    </w:p>
    <w:p w14:paraId="4C509AD4" w14:textId="77777777" w:rsidR="00F246CA" w:rsidRPr="00850096" w:rsidRDefault="00F246CA" w:rsidP="00BC0A56">
      <w:pPr>
        <w:spacing w:after="0" w:line="240" w:lineRule="auto"/>
        <w:rPr>
          <w:rFonts w:ascii="Sylfaen" w:hAnsi="Sylfaen"/>
          <w:noProof/>
          <w:sz w:val="20"/>
          <w:szCs w:val="20"/>
        </w:rPr>
      </w:pPr>
    </w:p>
    <w:p w14:paraId="7021ED14" w14:textId="355C93B2" w:rsidR="00F246CA" w:rsidRPr="00850096" w:rsidRDefault="00F246CA" w:rsidP="00BC0A56">
      <w:pPr>
        <w:spacing w:after="0" w:line="240" w:lineRule="auto"/>
        <w:rPr>
          <w:rFonts w:ascii="Sylfaen" w:hAnsi="Sylfaen"/>
          <w:b/>
          <w:bCs/>
          <w:noProof/>
          <w:sz w:val="20"/>
          <w:szCs w:val="20"/>
        </w:rPr>
      </w:pPr>
      <w:r w:rsidRPr="00850096">
        <w:rPr>
          <w:rFonts w:ascii="Sylfaen" w:hAnsi="Sylfaen"/>
          <w:b/>
          <w:bCs/>
          <w:noProof/>
          <w:sz w:val="20"/>
          <w:szCs w:val="20"/>
        </w:rPr>
        <w:t>ნახაზი 3: დრო გულ-სისხლძარღვთა მიზეზით სიკვდილის, გულის უკმარისობის გამო ჰოსპიტალიზაციისა და გულის უკმარისობის გამო გადაუდებელი ვიზიტის კომბინირებული მაჩვენებლის პირველ გამოვლენამდე.</w:t>
      </w:r>
    </w:p>
    <w:p w14:paraId="44CAB913" w14:textId="302AED36" w:rsidR="00F246CA" w:rsidRPr="001C3C36" w:rsidRDefault="00F246CA" w:rsidP="00BC0A56">
      <w:pPr>
        <w:spacing w:after="0" w:line="240" w:lineRule="auto"/>
        <w:rPr>
          <w:rFonts w:ascii="Sylfaen" w:hAnsi="Sylfaen"/>
          <w:b/>
          <w:bCs/>
          <w:noProof/>
        </w:rPr>
      </w:pPr>
      <w:r w:rsidRPr="001C3C36">
        <w:rPr>
          <w:rFonts w:ascii="Sylfaen" w:eastAsia="Times New Roman" w:hAnsi="Sylfaen" w:cs="Times New Roman"/>
          <w:noProof/>
        </w:rPr>
        <w:lastRenderedPageBreak/>
        <w:drawing>
          <wp:inline distT="0" distB="0" distL="0" distR="0" wp14:anchorId="79DB0C40" wp14:editId="5A126A6C">
            <wp:extent cx="3705225" cy="3468809"/>
            <wp:effectExtent l="0" t="0" r="0" b="0"/>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9" cstate="print"/>
                    <a:stretch>
                      <a:fillRect/>
                    </a:stretch>
                  </pic:blipFill>
                  <pic:spPr>
                    <a:xfrm>
                      <a:off x="0" y="0"/>
                      <a:ext cx="3753906" cy="3514384"/>
                    </a:xfrm>
                    <a:prstGeom prst="rect">
                      <a:avLst/>
                    </a:prstGeom>
                  </pic:spPr>
                </pic:pic>
              </a:graphicData>
            </a:graphic>
          </wp:inline>
        </w:drawing>
      </w:r>
    </w:p>
    <w:p w14:paraId="66587513" w14:textId="77777777" w:rsidR="007A2F22" w:rsidRPr="00850096" w:rsidRDefault="007A2F22" w:rsidP="00FA0370">
      <w:pPr>
        <w:spacing w:after="0" w:line="240" w:lineRule="auto"/>
        <w:jc w:val="both"/>
        <w:rPr>
          <w:rFonts w:ascii="Sylfaen" w:hAnsi="Sylfaen"/>
          <w:noProof/>
          <w:sz w:val="20"/>
          <w:szCs w:val="20"/>
        </w:rPr>
      </w:pPr>
      <w:r w:rsidRPr="00850096">
        <w:rPr>
          <w:rFonts w:ascii="Sylfaen" w:hAnsi="Sylfaen"/>
          <w:noProof/>
          <w:sz w:val="20"/>
          <w:szCs w:val="20"/>
        </w:rPr>
        <w:t>გადაუდებელი ვიზიტი გულის უკმარისობის გამო განისაზღვრებოდა, როგორც ექიმის მიერ გადაუდებელი, დაუგეგმავი შეფასება, მაგალითად, გადაუდებელი დახმარების განყოფილებაში, რომელიც საჭიროებდა გულის უკმარისობის გაუარესების მკურნალობას (გარდა მხოლოდ პერორალური დიურეტიკის დოზის გაზრდისა).</w:t>
      </w:r>
    </w:p>
    <w:p w14:paraId="6A904652" w14:textId="06A312C2" w:rsidR="007A2F22" w:rsidRPr="00850096" w:rsidRDefault="007A2F22" w:rsidP="00FA0370">
      <w:pPr>
        <w:spacing w:after="0" w:line="240" w:lineRule="auto"/>
        <w:jc w:val="both"/>
        <w:rPr>
          <w:rFonts w:ascii="Sylfaen" w:hAnsi="Sylfaen"/>
          <w:noProof/>
          <w:sz w:val="20"/>
          <w:szCs w:val="20"/>
        </w:rPr>
      </w:pPr>
      <w:r w:rsidRPr="00850096">
        <w:rPr>
          <w:rFonts w:ascii="Sylfaen" w:hAnsi="Sylfaen"/>
          <w:noProof/>
          <w:sz w:val="20"/>
          <w:szCs w:val="20"/>
        </w:rPr>
        <w:t>„რისკის ქვეშ მყოფი პაციენტები“ — ეს არის იმ პაციენტების რაოდენობა, რომლებიც მოცემული პერიოდის დასაწყისში კვლავ იმყოფებოდნენ შესაბამისი მოვლენის განვითარების რისკის ქვეშ.</w:t>
      </w:r>
    </w:p>
    <w:p w14:paraId="3BE6B19F" w14:textId="77777777" w:rsidR="007A2F22" w:rsidRPr="00850096" w:rsidRDefault="007A2F22" w:rsidP="00FA0370">
      <w:pPr>
        <w:spacing w:after="0" w:line="240" w:lineRule="auto"/>
        <w:jc w:val="both"/>
        <w:rPr>
          <w:rFonts w:ascii="Sylfaen" w:hAnsi="Sylfaen"/>
          <w:noProof/>
          <w:sz w:val="20"/>
          <w:szCs w:val="20"/>
        </w:rPr>
      </w:pPr>
      <w:r w:rsidRPr="00850096">
        <w:rPr>
          <w:rFonts w:ascii="Sylfaen" w:hAnsi="Sylfaen"/>
          <w:noProof/>
          <w:sz w:val="20"/>
          <w:szCs w:val="20"/>
        </w:rPr>
        <w:t>პირველადი კომბინირებული საბოლოო მაჩვენებლის სამივე კომპონენტმა ცალ-ცალკე შეიტანა წვლილი მკურნალობის ეფექტში (ნახაზი 4).</w:t>
      </w:r>
    </w:p>
    <w:p w14:paraId="1C3907F1" w14:textId="77777777" w:rsidR="007A2F22" w:rsidRPr="00850096" w:rsidRDefault="007A2F22" w:rsidP="00FA0370">
      <w:pPr>
        <w:spacing w:after="0" w:line="240" w:lineRule="auto"/>
        <w:jc w:val="both"/>
        <w:rPr>
          <w:rFonts w:ascii="Sylfaen" w:hAnsi="Sylfaen"/>
          <w:noProof/>
          <w:sz w:val="20"/>
          <w:szCs w:val="20"/>
        </w:rPr>
      </w:pPr>
      <w:r w:rsidRPr="00850096">
        <w:rPr>
          <w:rFonts w:ascii="Sylfaen" w:hAnsi="Sylfaen"/>
          <w:noProof/>
          <w:sz w:val="20"/>
          <w:szCs w:val="20"/>
        </w:rPr>
        <w:t>გულის უკმარისობის გამო გადაუდებელი ვიზიტების რაოდენობა მცირე იყო.</w:t>
      </w:r>
    </w:p>
    <w:p w14:paraId="2A8AE10B" w14:textId="77777777" w:rsidR="007A2F22" w:rsidRPr="00850096" w:rsidRDefault="007A2F22" w:rsidP="00BC0A56">
      <w:pPr>
        <w:spacing w:after="0" w:line="240" w:lineRule="auto"/>
        <w:rPr>
          <w:rFonts w:ascii="Sylfaen" w:hAnsi="Sylfaen"/>
          <w:noProof/>
          <w:sz w:val="20"/>
          <w:szCs w:val="20"/>
        </w:rPr>
      </w:pPr>
    </w:p>
    <w:p w14:paraId="61A9CF7C" w14:textId="20B1E97F" w:rsidR="007A2F22" w:rsidRPr="00850096" w:rsidRDefault="007A2F22" w:rsidP="00BC0A56">
      <w:pPr>
        <w:spacing w:after="0" w:line="240" w:lineRule="auto"/>
        <w:rPr>
          <w:rFonts w:ascii="Sylfaen" w:hAnsi="Sylfaen"/>
          <w:b/>
          <w:bCs/>
          <w:noProof/>
          <w:sz w:val="20"/>
          <w:szCs w:val="20"/>
        </w:rPr>
      </w:pPr>
      <w:r w:rsidRPr="00850096">
        <w:rPr>
          <w:rFonts w:ascii="Sylfaen" w:hAnsi="Sylfaen"/>
          <w:b/>
          <w:bCs/>
          <w:noProof/>
          <w:sz w:val="20"/>
          <w:szCs w:val="20"/>
        </w:rPr>
        <w:t>ნახაზი 4: მკურნალობის ეფექტი პირველად კომბინირებულ საბოლოო წერტილზე, მის კომპონენტებსა და ნებისმიერი მიზეზით გამოწვეულ სიკვდილიანობაზე.</w:t>
      </w:r>
    </w:p>
    <w:p w14:paraId="096C9E54" w14:textId="1BE403F8" w:rsidR="007A2F22" w:rsidRPr="001C3C36" w:rsidRDefault="007A2F22" w:rsidP="00BC0A56">
      <w:pPr>
        <w:spacing w:after="0" w:line="240" w:lineRule="auto"/>
        <w:rPr>
          <w:rFonts w:ascii="Sylfaen" w:hAnsi="Sylfaen"/>
          <w:b/>
          <w:bCs/>
          <w:noProof/>
        </w:rPr>
      </w:pPr>
      <w:r w:rsidRPr="001C3C36">
        <w:rPr>
          <w:rFonts w:ascii="Sylfaen" w:eastAsia="Times New Roman" w:hAnsi="Sylfaen" w:cs="Times New Roman"/>
          <w:noProof/>
        </w:rPr>
        <w:drawing>
          <wp:inline distT="0" distB="0" distL="0" distR="0" wp14:anchorId="157912EB" wp14:editId="77D30A66">
            <wp:extent cx="3962400" cy="3050857"/>
            <wp:effectExtent l="0" t="0" r="0" b="0"/>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0" cstate="print"/>
                    <a:stretch>
                      <a:fillRect/>
                    </a:stretch>
                  </pic:blipFill>
                  <pic:spPr>
                    <a:xfrm>
                      <a:off x="0" y="0"/>
                      <a:ext cx="4000349" cy="3080076"/>
                    </a:xfrm>
                    <a:prstGeom prst="rect">
                      <a:avLst/>
                    </a:prstGeom>
                  </pic:spPr>
                </pic:pic>
              </a:graphicData>
            </a:graphic>
          </wp:inline>
        </w:drawing>
      </w:r>
    </w:p>
    <w:p w14:paraId="074782B6" w14:textId="77777777" w:rsidR="007A2F22" w:rsidRPr="001C3C36" w:rsidRDefault="007A2F22" w:rsidP="00BC0A56">
      <w:pPr>
        <w:spacing w:after="0" w:line="240" w:lineRule="auto"/>
        <w:rPr>
          <w:rFonts w:ascii="Sylfaen" w:hAnsi="Sylfaen"/>
          <w:b/>
          <w:bCs/>
          <w:noProof/>
        </w:rPr>
      </w:pPr>
    </w:p>
    <w:p w14:paraId="2FBD5363" w14:textId="77777777" w:rsidR="007A2F22" w:rsidRPr="00850096" w:rsidRDefault="007A2F22" w:rsidP="00FA0370">
      <w:pPr>
        <w:spacing w:after="0" w:line="240" w:lineRule="auto"/>
        <w:jc w:val="both"/>
        <w:rPr>
          <w:rFonts w:ascii="Sylfaen" w:hAnsi="Sylfaen"/>
          <w:noProof/>
          <w:sz w:val="20"/>
          <w:szCs w:val="20"/>
        </w:rPr>
      </w:pPr>
      <w:r w:rsidRPr="00850096">
        <w:rPr>
          <w:rFonts w:ascii="Sylfaen" w:hAnsi="Sylfaen"/>
          <w:noProof/>
          <w:sz w:val="20"/>
          <w:szCs w:val="20"/>
        </w:rPr>
        <w:t>გადაუდებელი ვიზიტი გულის უკმარისობის გამო განისაზღვრებოდა, როგორც ექიმის მიერ გადაუდებელი, დაუგეგმავი შეფასება, მაგალითად, გადაუდებელი დახმარების განყოფილებაში, რომელიც საჭიროებდა გულის უკმარისობის გაუარესების მკურნალობას (გარდა მხოლოდ პერორალური დიურეტიკის დოზის გაზრდისა).</w:t>
      </w:r>
    </w:p>
    <w:p w14:paraId="0D34C7AC" w14:textId="77777777" w:rsidR="007A2F22" w:rsidRPr="00850096" w:rsidRDefault="007A2F22" w:rsidP="00FA0370">
      <w:pPr>
        <w:spacing w:after="0" w:line="240" w:lineRule="auto"/>
        <w:jc w:val="both"/>
        <w:rPr>
          <w:rFonts w:ascii="Sylfaen" w:hAnsi="Sylfaen"/>
          <w:noProof/>
          <w:sz w:val="20"/>
          <w:szCs w:val="20"/>
        </w:rPr>
      </w:pPr>
      <w:r w:rsidRPr="00850096">
        <w:rPr>
          <w:rFonts w:ascii="Sylfaen" w:hAnsi="Sylfaen"/>
          <w:noProof/>
          <w:sz w:val="20"/>
          <w:szCs w:val="20"/>
        </w:rPr>
        <w:t>ცალკეული კომპონენტების მიხედვით პირველი მოვლენების რაოდენობა წარმოადგენს თითოეული კომპონენტისთვის რეალურად დაფიქსირებულ პირველ მოვლენათა რაოდენობას და მათი ჯამი არ ემთხვევა კომბინირებულ საბოლოო მაჩვენებელში მოვლენათა საერთო რაოდენობას.</w:t>
      </w:r>
    </w:p>
    <w:p w14:paraId="3CDCC8A2" w14:textId="77777777" w:rsidR="007A2F22" w:rsidRPr="00850096" w:rsidRDefault="007A2F22" w:rsidP="00FA0370">
      <w:pPr>
        <w:spacing w:after="0" w:line="240" w:lineRule="auto"/>
        <w:jc w:val="both"/>
        <w:rPr>
          <w:rFonts w:ascii="Sylfaen" w:hAnsi="Sylfaen"/>
          <w:noProof/>
          <w:sz w:val="20"/>
          <w:szCs w:val="20"/>
        </w:rPr>
      </w:pPr>
      <w:r w:rsidRPr="00850096">
        <w:rPr>
          <w:rFonts w:ascii="Sylfaen" w:hAnsi="Sylfaen"/>
          <w:noProof/>
          <w:sz w:val="20"/>
          <w:szCs w:val="20"/>
        </w:rPr>
        <w:t>მოვლენების სიხშირე წარმოდგენილია როგორც მოვლენის მქონე პაციენტების რაოდენობა 100 პაციენტ-წელზე დაკვირვების პერიოდში. ცალკეული კომპონენტებისა და ნებისმიერი მიზეზით სიკვდილიანობისთვის მოცემული p-მნიშვნელობები ნომინალურია.</w:t>
      </w:r>
    </w:p>
    <w:p w14:paraId="7D09BCB3" w14:textId="77777777" w:rsidR="007A2F22" w:rsidRPr="00850096" w:rsidRDefault="007A2F22"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დაპაგლიფლოზინმა ასევე შეამცირა გულის უკმარისობის გამო ჰოსპიტალიზაციის (პირველი და განმეორებითი შემთხვევები) და კარდიოვასკულური სიკვდილის მოვლენების საერთო რაოდენობა: დაპაგლიფლოზინის ჯგუფში დაფიქსირდა 567 მოვლენა, ხოლო პლაცებოს ჯგუფში — 742 მოვლენა (Rate Ratio 0.75; 95% CI: 0.65–0.88; p=0.0002).</w:t>
      </w:r>
    </w:p>
    <w:p w14:paraId="799914A9" w14:textId="77777777" w:rsidR="007A2F22" w:rsidRPr="00850096" w:rsidRDefault="007A2F22"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მკურნალობის სარგებელი აღინიშნა გულის უკმარისობის მქონე პაციენტებში როგორც ტიპი 2</w:t>
      </w:r>
      <w:r w:rsidRPr="00850096">
        <w:rPr>
          <w:rFonts w:ascii="Sylfaen" w:hAnsi="Sylfaen"/>
          <w:b/>
          <w:bCs/>
          <w:noProof/>
          <w:sz w:val="20"/>
          <w:szCs w:val="20"/>
        </w:rPr>
        <w:t xml:space="preserve"> </w:t>
      </w:r>
      <w:r w:rsidRPr="00850096">
        <w:rPr>
          <w:rFonts w:ascii="Sylfaen" w:hAnsi="Sylfaen"/>
          <w:noProof/>
          <w:sz w:val="20"/>
          <w:szCs w:val="20"/>
        </w:rPr>
        <w:t>შაქრიანი დიაბეტის არსებობისას, ისე მის გარეშე. დაპაგლიფლოზინმა შეამცირა პირველადი კომბინირებული საბოლოო მაჩვენებელი — კარდიოვასკულური სიკვდილისა და გულის უკმარისობის გაუარესების შემთხვევების სიხშირე — დიაბეტის მქონე პაციენტებში HR 0.75-ით (95% CI: 0.63–0.90), ხოლო დიაბეტის არმქონე პაციენტებში HR 0.73-ით (95% CI: 0.60–0.88).</w:t>
      </w:r>
    </w:p>
    <w:p w14:paraId="00BA9E7F" w14:textId="77777777" w:rsidR="007A2F22" w:rsidRPr="00850096" w:rsidRDefault="007A2F22" w:rsidP="00FA0370">
      <w:pPr>
        <w:spacing w:after="0" w:line="240" w:lineRule="auto"/>
        <w:jc w:val="both"/>
        <w:rPr>
          <w:rFonts w:ascii="Sylfaen" w:hAnsi="Sylfaen"/>
          <w:noProof/>
          <w:sz w:val="20"/>
          <w:szCs w:val="20"/>
        </w:rPr>
      </w:pPr>
      <w:r w:rsidRPr="00850096">
        <w:rPr>
          <w:rFonts w:ascii="Sylfaen" w:hAnsi="Sylfaen"/>
          <w:noProof/>
          <w:sz w:val="20"/>
          <w:szCs w:val="20"/>
        </w:rPr>
        <w:t>პირველადი საბოლოო მაჩვენებლის მიმართ დაპაგლიფლოზინის უპირატესობა პლაცებოსთან შედარებით ასევე თანმიმდევრული იყო სხვა მნიშვნელოვან ქვეჯგუფებში, მათ შორის გულის უკმარისობის თანმხლები მკურნალობის, თირკმლის ფუნქციის (eGFR), ასაკის, სქესისა და რეგიონის მიხედვით.</w:t>
      </w:r>
    </w:p>
    <w:p w14:paraId="664590D5" w14:textId="77777777" w:rsidR="007A2F22" w:rsidRPr="00850096" w:rsidRDefault="007A2F22" w:rsidP="00BC0A56">
      <w:pPr>
        <w:spacing w:after="0" w:line="240" w:lineRule="auto"/>
        <w:rPr>
          <w:rFonts w:ascii="Sylfaen" w:hAnsi="Sylfaen"/>
          <w:noProof/>
          <w:sz w:val="20"/>
          <w:szCs w:val="20"/>
        </w:rPr>
      </w:pPr>
    </w:p>
    <w:p w14:paraId="5AED973E" w14:textId="77777777" w:rsidR="00C60099" w:rsidRPr="00850096" w:rsidRDefault="00C60099" w:rsidP="00FA0370">
      <w:pPr>
        <w:spacing w:after="0" w:line="240" w:lineRule="auto"/>
        <w:jc w:val="both"/>
        <w:rPr>
          <w:rFonts w:ascii="Sylfaen" w:hAnsi="Sylfaen"/>
          <w:i/>
          <w:iCs/>
          <w:noProof/>
          <w:sz w:val="20"/>
          <w:szCs w:val="20"/>
        </w:rPr>
      </w:pPr>
      <w:r w:rsidRPr="00850096">
        <w:rPr>
          <w:rFonts w:ascii="Sylfaen" w:hAnsi="Sylfaen"/>
          <w:i/>
          <w:iCs/>
          <w:noProof/>
          <w:sz w:val="20"/>
          <w:szCs w:val="20"/>
        </w:rPr>
        <w:t>პაციენტის მიერ მოხსენებული შედეგები — გულის უკმარისობის სიმპტომები</w:t>
      </w:r>
    </w:p>
    <w:p w14:paraId="67D000DC" w14:textId="77777777" w:rsidR="00C60099" w:rsidRPr="00850096" w:rsidRDefault="00C60099"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გავლენა გულის უკმარისობის სიმპტომებზე შეფასდა Kansas City Cardiomyopathy Questionnaire-ის საერთო სიმპტომების ქულით (KCCQ-TSS). ეს მაჩვენებელი აფასებს გულის უკმარისობის სიმპტომების სიხშირესა და სიმძიმეს, მათ შორის დაღლილობას, პერიფერიულ შეშუპებას, ქოშინსა და ორთოპნოეს. ქულა მერყეობს 0-დან 100-მდე, ხოლო უფრო მაღალი ქულა მიუთითებს ჯანმრთელობის უკეთეს მდგომარეობაზე.</w:t>
      </w:r>
    </w:p>
    <w:p w14:paraId="745B2478" w14:textId="716D8DEB" w:rsidR="00C60099" w:rsidRPr="00850096" w:rsidRDefault="00C60099"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დაპაგლიფლოზინით მკურნალობამ პლაცებოსთან შედარებით გამოიწვია სტატისტიკურად მნიშვნელოვანი და კლინიკურად მნიშვნელოვანი გაუმჯობესება გულის უკმარისობის სიმპტომებში. ეს შეფასდა მე-8 თვეში, საწყის მაჩვენებელთან შედარებით, KCCQ-TSS-ის ცვლილებით</w:t>
      </w:r>
      <w:r w:rsidR="00FA0370">
        <w:rPr>
          <w:rFonts w:ascii="Sylfaen" w:hAnsi="Sylfaen"/>
          <w:noProof/>
          <w:sz w:val="20"/>
          <w:szCs w:val="20"/>
        </w:rPr>
        <w:t xml:space="preserve"> (</w:t>
      </w:r>
      <w:r w:rsidRPr="00850096">
        <w:rPr>
          <w:rFonts w:ascii="Sylfaen" w:hAnsi="Sylfaen"/>
          <w:noProof/>
          <w:sz w:val="20"/>
          <w:szCs w:val="20"/>
        </w:rPr>
        <w:t>მოგების თანაფარდობა (Win Ratio) - 1.18 (95% CI: 1.11–1.26; p &lt; 0.0001).</w:t>
      </w:r>
      <w:r w:rsidR="00FA0370">
        <w:rPr>
          <w:rFonts w:ascii="Sylfaen" w:hAnsi="Sylfaen"/>
          <w:noProof/>
          <w:sz w:val="20"/>
          <w:szCs w:val="20"/>
        </w:rPr>
        <w:t xml:space="preserve"> </w:t>
      </w:r>
      <w:r w:rsidRPr="00850096">
        <w:rPr>
          <w:rFonts w:ascii="Sylfaen" w:hAnsi="Sylfaen"/>
          <w:noProof/>
          <w:sz w:val="20"/>
          <w:szCs w:val="20"/>
        </w:rPr>
        <w:t>შედეგში წვლილი შეიტანა როგორც სიმპტომების სიხშირემ, ისე სიმპტომების საერთო დატვირთვამ. დადებითი ეფექტი გამოვლინდა როგორც გულის უკმარისობის სიმპტომების გაუმჯობესების, ისე მათი გაუარესების პრევენციის თვალსაზრისით.</w:t>
      </w:r>
    </w:p>
    <w:p w14:paraId="57B131E4" w14:textId="2CE8B39C" w:rsidR="006D12F1" w:rsidRDefault="00C60099" w:rsidP="00FA0370">
      <w:pPr>
        <w:spacing w:after="0" w:line="240" w:lineRule="auto"/>
        <w:jc w:val="both"/>
        <w:rPr>
          <w:rFonts w:ascii="Sylfaen" w:hAnsi="Sylfaen"/>
          <w:noProof/>
          <w:sz w:val="20"/>
          <w:szCs w:val="20"/>
        </w:rPr>
      </w:pPr>
      <w:r w:rsidRPr="00850096">
        <w:rPr>
          <w:rFonts w:ascii="Sylfaen" w:hAnsi="Sylfaen"/>
          <w:noProof/>
          <w:sz w:val="20"/>
          <w:szCs w:val="20"/>
        </w:rPr>
        <w:t>რესპონდერების ანალიზში პაციენტების იმ წილის რაოდენობა, რომელთაც მე-8 თვეში KCCQ-TSS-ის მიხედვით ჰქონდათ კლინიკურად მნიშვნელოვანი გაუმჯობესება — განისაზღვრა როგორც საწყის მაჩვენებელთან შედარებით ≥5 ქულით გაუმჯობესება — უფრო მაღალი იყო დაპაგლიფლოზინის ჯგუფში, ვიდრე პლაცებოს ჯგუფში.</w:t>
      </w:r>
      <w:r w:rsidR="00FA0370">
        <w:rPr>
          <w:rFonts w:ascii="Sylfaen" w:hAnsi="Sylfaen"/>
          <w:noProof/>
          <w:sz w:val="20"/>
          <w:szCs w:val="20"/>
        </w:rPr>
        <w:t xml:space="preserve"> </w:t>
      </w:r>
      <w:r w:rsidRPr="00850096">
        <w:rPr>
          <w:rFonts w:ascii="Sylfaen" w:hAnsi="Sylfaen"/>
          <w:noProof/>
          <w:sz w:val="20"/>
          <w:szCs w:val="20"/>
        </w:rPr>
        <w:t>ამასთან, პაციენტების წილი, რომელთაც ჰქონდათ კლინიკურად მნიშვნელოვანი გაუარესება, რომელიც ასევე განისაზღვრა როგორც ≥5 ქულით ცვლილება, უფრო დაბალი იყო დაპაგლიფლოზინის ჯგუფში, ვიდრე პლაცებოს ჯგუფში.</w:t>
      </w:r>
      <w:r w:rsidR="00FA0370">
        <w:rPr>
          <w:rFonts w:ascii="Sylfaen" w:hAnsi="Sylfaen"/>
          <w:noProof/>
          <w:sz w:val="20"/>
          <w:szCs w:val="20"/>
        </w:rPr>
        <w:t xml:space="preserve"> </w:t>
      </w:r>
      <w:r w:rsidRPr="00850096">
        <w:rPr>
          <w:rFonts w:ascii="Sylfaen" w:hAnsi="Sylfaen"/>
          <w:noProof/>
          <w:sz w:val="20"/>
          <w:szCs w:val="20"/>
        </w:rPr>
        <w:t>დაპაგლიფლოზინის სასარგებლო შედეგები შენარჩუნებული იყო მაშინაც, როდესაც გამოყენებული იყო კლინიკურად მნიშვნელოვანი ცვლილების უფრო მკაცრი ზღვრები, რომლებიც უფრო დიდ ცვლილებას მოითხოვდა (ცხრილი 10).</w:t>
      </w:r>
    </w:p>
    <w:p w14:paraId="6F0126F7" w14:textId="77777777" w:rsidR="00FA0370" w:rsidRPr="00E26D2E" w:rsidRDefault="00FA0370" w:rsidP="00FA0370">
      <w:pPr>
        <w:spacing w:after="0" w:line="240" w:lineRule="auto"/>
        <w:jc w:val="both"/>
        <w:rPr>
          <w:rFonts w:ascii="Sylfaen" w:hAnsi="Sylfaen"/>
          <w:noProof/>
          <w:sz w:val="20"/>
          <w:szCs w:val="20"/>
        </w:rPr>
      </w:pPr>
    </w:p>
    <w:p w14:paraId="52CB2C46" w14:textId="5128DCD8" w:rsidR="00C60099" w:rsidRPr="00850096" w:rsidRDefault="00C60099" w:rsidP="00BC0A56">
      <w:pPr>
        <w:spacing w:after="0" w:line="240" w:lineRule="auto"/>
        <w:rPr>
          <w:rFonts w:ascii="Sylfaen" w:hAnsi="Sylfaen"/>
          <w:b/>
          <w:bCs/>
          <w:noProof/>
          <w:sz w:val="20"/>
          <w:szCs w:val="20"/>
        </w:rPr>
      </w:pPr>
      <w:r w:rsidRPr="00850096">
        <w:rPr>
          <w:rFonts w:ascii="Sylfaen" w:hAnsi="Sylfaen"/>
          <w:b/>
          <w:bCs/>
          <w:noProof/>
          <w:sz w:val="20"/>
          <w:szCs w:val="20"/>
        </w:rPr>
        <w:t>ცხრილი 10. იმ პაციენტთა რაოდენობა და პროცენტული წილი, რომლებსაც KCCQ-TSS-ის მიხედვით 8 თვის თავზე კლინიკურად მნიშვნელოვანი გაუმჯობესება და გაუარესება აღენიშნებოდათ.</w:t>
      </w:r>
    </w:p>
    <w:tbl>
      <w:tblPr>
        <w:tblStyle w:val="TableGrid"/>
        <w:tblW w:w="0" w:type="auto"/>
        <w:tblLook w:val="04A0" w:firstRow="1" w:lastRow="0" w:firstColumn="1" w:lastColumn="0" w:noHBand="0" w:noVBand="1"/>
      </w:tblPr>
      <w:tblGrid>
        <w:gridCol w:w="2263"/>
        <w:gridCol w:w="1851"/>
        <w:gridCol w:w="1843"/>
        <w:gridCol w:w="1843"/>
        <w:gridCol w:w="1366"/>
      </w:tblGrid>
      <w:tr w:rsidR="00C60099" w:rsidRPr="001C3C36" w14:paraId="77F8FBDB" w14:textId="77777777" w:rsidTr="001B5E8F">
        <w:tc>
          <w:tcPr>
            <w:tcW w:w="2263" w:type="dxa"/>
          </w:tcPr>
          <w:p w14:paraId="4AE8993C" w14:textId="57EEB914" w:rsidR="00C60099" w:rsidRPr="001C3C36" w:rsidRDefault="00C60099" w:rsidP="00BC0A56">
            <w:pPr>
              <w:rPr>
                <w:rFonts w:ascii="Sylfaen" w:hAnsi="Sylfaen" w:cs="Times New Roman"/>
                <w:b/>
                <w:bCs/>
                <w:noProof/>
                <w:sz w:val="18"/>
                <w:szCs w:val="18"/>
              </w:rPr>
            </w:pPr>
            <w:r w:rsidRPr="001C3C36">
              <w:rPr>
                <w:rFonts w:ascii="Sylfaen" w:hAnsi="Sylfaen" w:cs="Sylfaen"/>
                <w:b/>
                <w:bCs/>
                <w:noProof/>
                <w:sz w:val="18"/>
                <w:szCs w:val="18"/>
              </w:rPr>
              <w:t>საწყისი</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მაჩვენებლიდან</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ცვლილება</w:t>
            </w:r>
            <w:r w:rsidRPr="001C3C36">
              <w:rPr>
                <w:rFonts w:ascii="Sylfaen" w:hAnsi="Sylfaen" w:cs="Times New Roman"/>
                <w:b/>
                <w:bCs/>
                <w:noProof/>
                <w:sz w:val="18"/>
                <w:szCs w:val="18"/>
              </w:rPr>
              <w:t xml:space="preserve"> 8 </w:t>
            </w:r>
            <w:r w:rsidRPr="001C3C36">
              <w:rPr>
                <w:rFonts w:ascii="Sylfaen" w:hAnsi="Sylfaen" w:cs="Sylfaen"/>
                <w:b/>
                <w:bCs/>
                <w:noProof/>
                <w:sz w:val="18"/>
                <w:szCs w:val="18"/>
              </w:rPr>
              <w:t>თვის</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შემდეგ</w:t>
            </w:r>
          </w:p>
        </w:tc>
        <w:tc>
          <w:tcPr>
            <w:tcW w:w="1851" w:type="dxa"/>
          </w:tcPr>
          <w:p w14:paraId="22BCB2ED" w14:textId="3C2900AB" w:rsidR="001B5E8F" w:rsidRPr="001C3C36" w:rsidRDefault="001B5E8F" w:rsidP="00BC0A56">
            <w:pPr>
              <w:jc w:val="center"/>
              <w:rPr>
                <w:rFonts w:ascii="Sylfaen" w:hAnsi="Sylfaen" w:cs="Times New Roman"/>
                <w:b/>
                <w:bCs/>
                <w:noProof/>
                <w:sz w:val="18"/>
                <w:szCs w:val="18"/>
              </w:rPr>
            </w:pPr>
            <w:r w:rsidRPr="001C3C36">
              <w:rPr>
                <w:rFonts w:ascii="Sylfaen" w:hAnsi="Sylfaen" w:cs="Sylfaen"/>
                <w:b/>
                <w:bCs/>
                <w:noProof/>
                <w:sz w:val="18"/>
                <w:szCs w:val="18"/>
              </w:rPr>
              <w:t>დაპაგლიფლოზინი</w:t>
            </w:r>
            <w:r w:rsidRPr="001C3C36">
              <w:rPr>
                <w:rFonts w:ascii="Sylfaen" w:hAnsi="Sylfaen" w:cs="Times New Roman"/>
                <w:b/>
                <w:bCs/>
                <w:noProof/>
                <w:sz w:val="18"/>
                <w:szCs w:val="18"/>
              </w:rPr>
              <w:t xml:space="preserve"> 10 </w:t>
            </w:r>
            <w:r w:rsidRPr="001C3C36">
              <w:rPr>
                <w:rFonts w:ascii="Sylfaen" w:hAnsi="Sylfaen" w:cs="Sylfaen"/>
                <w:b/>
                <w:bCs/>
                <w:noProof/>
                <w:sz w:val="18"/>
                <w:szCs w:val="18"/>
              </w:rPr>
              <w:t>მგ</w:t>
            </w:r>
            <w:r w:rsidRPr="001C3C36">
              <w:rPr>
                <w:rFonts w:ascii="Sylfaen" w:hAnsi="Sylfaen" w:cs="Times New Roman"/>
                <w:b/>
                <w:bCs/>
                <w:noProof/>
                <w:sz w:val="18"/>
                <w:szCs w:val="18"/>
              </w:rPr>
              <w:t> </w:t>
            </w:r>
          </w:p>
          <w:p w14:paraId="498E7DC1" w14:textId="3E000B42" w:rsidR="00C60099" w:rsidRPr="001C3C36" w:rsidRDefault="00C60099" w:rsidP="00BC0A56">
            <w:pPr>
              <w:jc w:val="center"/>
              <w:rPr>
                <w:rFonts w:ascii="Sylfaen" w:hAnsi="Sylfaen" w:cs="Times New Roman"/>
                <w:b/>
                <w:bCs/>
                <w:noProof/>
                <w:sz w:val="18"/>
                <w:szCs w:val="18"/>
              </w:rPr>
            </w:pPr>
            <w:r w:rsidRPr="001C3C36">
              <w:rPr>
                <w:rFonts w:ascii="Sylfaen" w:hAnsi="Sylfaen" w:cs="Times New Roman"/>
                <w:b/>
                <w:bCs/>
                <w:noProof/>
                <w:sz w:val="18"/>
                <w:szCs w:val="18"/>
              </w:rPr>
              <w:t xml:space="preserve">n </w:t>
            </w:r>
            <w:r w:rsidRPr="001C3C36">
              <w:rPr>
                <w:rFonts w:ascii="Sylfaen" w:hAnsi="Sylfaen" w:cs="Times New Roman"/>
                <w:b/>
                <w:bCs/>
                <w:noProof/>
                <w:sz w:val="18"/>
                <w:szCs w:val="18"/>
                <w:vertAlign w:val="superscript"/>
              </w:rPr>
              <w:t>a</w:t>
            </w:r>
            <w:r w:rsidRPr="001C3C36">
              <w:rPr>
                <w:rFonts w:ascii="Sylfaen" w:hAnsi="Sylfaen" w:cs="Times New Roman"/>
                <w:b/>
                <w:bCs/>
                <w:noProof/>
                <w:sz w:val="18"/>
                <w:szCs w:val="18"/>
              </w:rPr>
              <w:t>=2086</w:t>
            </w:r>
          </w:p>
        </w:tc>
        <w:tc>
          <w:tcPr>
            <w:tcW w:w="1843" w:type="dxa"/>
          </w:tcPr>
          <w:p w14:paraId="7A7B36E4" w14:textId="4B9B2E82" w:rsidR="00C60099" w:rsidRPr="001C3C36" w:rsidRDefault="001B5E8F" w:rsidP="00BC0A56">
            <w:pPr>
              <w:jc w:val="center"/>
              <w:rPr>
                <w:rFonts w:ascii="Sylfaen" w:hAnsi="Sylfaen" w:cs="Times New Roman"/>
                <w:b/>
                <w:bCs/>
                <w:noProof/>
                <w:sz w:val="18"/>
                <w:szCs w:val="18"/>
              </w:rPr>
            </w:pPr>
            <w:r w:rsidRPr="001C3C36">
              <w:rPr>
                <w:rFonts w:ascii="Sylfaen" w:hAnsi="Sylfaen" w:cs="Times New Roman"/>
                <w:b/>
                <w:bCs/>
                <w:noProof/>
                <w:sz w:val="18"/>
                <w:szCs w:val="18"/>
              </w:rPr>
              <w:t>პლაცებო</w:t>
            </w:r>
          </w:p>
          <w:p w14:paraId="63F5CA9A" w14:textId="77777777" w:rsidR="00C60099" w:rsidRPr="001C3C36" w:rsidRDefault="00C60099" w:rsidP="00BC0A56">
            <w:pPr>
              <w:jc w:val="center"/>
              <w:rPr>
                <w:rFonts w:ascii="Sylfaen" w:hAnsi="Sylfaen" w:cs="Times New Roman"/>
                <w:b/>
                <w:bCs/>
                <w:noProof/>
                <w:sz w:val="18"/>
                <w:szCs w:val="18"/>
              </w:rPr>
            </w:pPr>
            <w:r w:rsidRPr="001C3C36">
              <w:rPr>
                <w:rFonts w:ascii="Sylfaen" w:hAnsi="Sylfaen" w:cs="Times New Roman"/>
                <w:b/>
                <w:bCs/>
                <w:noProof/>
                <w:sz w:val="18"/>
                <w:szCs w:val="18"/>
              </w:rPr>
              <w:t xml:space="preserve">n </w:t>
            </w:r>
            <w:r w:rsidRPr="001C3C36">
              <w:rPr>
                <w:rFonts w:ascii="Sylfaen" w:hAnsi="Sylfaen" w:cs="Times New Roman"/>
                <w:b/>
                <w:bCs/>
                <w:noProof/>
                <w:sz w:val="18"/>
                <w:szCs w:val="18"/>
                <w:vertAlign w:val="superscript"/>
              </w:rPr>
              <w:t>a</w:t>
            </w:r>
            <w:r w:rsidRPr="001C3C36">
              <w:rPr>
                <w:rFonts w:ascii="Sylfaen" w:hAnsi="Sylfaen" w:cs="Times New Roman"/>
                <w:b/>
                <w:bCs/>
                <w:noProof/>
                <w:sz w:val="18"/>
                <w:szCs w:val="18"/>
              </w:rPr>
              <w:t>=2062</w:t>
            </w:r>
          </w:p>
        </w:tc>
        <w:tc>
          <w:tcPr>
            <w:tcW w:w="3209" w:type="dxa"/>
            <w:gridSpan w:val="2"/>
          </w:tcPr>
          <w:p w14:paraId="676A66DC" w14:textId="77777777" w:rsidR="00C60099" w:rsidRPr="001C3C36" w:rsidRDefault="00C60099" w:rsidP="00BC0A56">
            <w:pPr>
              <w:jc w:val="center"/>
              <w:rPr>
                <w:rFonts w:ascii="Sylfaen" w:hAnsi="Sylfaen" w:cs="Times New Roman"/>
                <w:b/>
                <w:bCs/>
                <w:noProof/>
                <w:sz w:val="18"/>
                <w:szCs w:val="18"/>
              </w:rPr>
            </w:pPr>
          </w:p>
        </w:tc>
      </w:tr>
      <w:tr w:rsidR="00C60099" w:rsidRPr="001C3C36" w14:paraId="3AC13280" w14:textId="77777777" w:rsidTr="001B5E8F">
        <w:tc>
          <w:tcPr>
            <w:tcW w:w="2263" w:type="dxa"/>
          </w:tcPr>
          <w:p w14:paraId="25E2FD04" w14:textId="3F9F015E" w:rsidR="00C60099" w:rsidRPr="001C3C36" w:rsidRDefault="001B5E8F" w:rsidP="00BC0A56">
            <w:pPr>
              <w:rPr>
                <w:rFonts w:ascii="Sylfaen" w:hAnsi="Sylfaen" w:cs="Times New Roman"/>
                <w:b/>
                <w:bCs/>
                <w:noProof/>
                <w:sz w:val="18"/>
                <w:szCs w:val="18"/>
              </w:rPr>
            </w:pPr>
            <w:r w:rsidRPr="001C3C36">
              <w:rPr>
                <w:rFonts w:ascii="Sylfaen" w:hAnsi="Sylfaen" w:cs="Times New Roman"/>
                <w:b/>
                <w:bCs/>
                <w:i/>
                <w:iCs/>
                <w:noProof/>
                <w:sz w:val="18"/>
                <w:szCs w:val="18"/>
              </w:rPr>
              <w:lastRenderedPageBreak/>
              <w:t xml:space="preserve">გამოუმჯობესება </w:t>
            </w:r>
          </w:p>
        </w:tc>
        <w:tc>
          <w:tcPr>
            <w:tcW w:w="1851" w:type="dxa"/>
          </w:tcPr>
          <w:p w14:paraId="1011510E" w14:textId="77777777" w:rsidR="00C60099" w:rsidRPr="001C3C36" w:rsidRDefault="00C60099" w:rsidP="00BC0A56">
            <w:pPr>
              <w:jc w:val="center"/>
              <w:rPr>
                <w:rFonts w:ascii="Sylfaen" w:hAnsi="Sylfaen" w:cs="Times New Roman"/>
                <w:b/>
                <w:bCs/>
                <w:noProof/>
                <w:sz w:val="18"/>
                <w:szCs w:val="18"/>
              </w:rPr>
            </w:pPr>
            <w:r w:rsidRPr="001C3C36">
              <w:rPr>
                <w:rFonts w:ascii="Sylfaen" w:hAnsi="Sylfaen" w:cs="Times New Roman"/>
                <w:b/>
                <w:bCs/>
                <w:noProof/>
                <w:sz w:val="18"/>
                <w:szCs w:val="18"/>
              </w:rPr>
              <w:t>n (%)</w:t>
            </w:r>
          </w:p>
          <w:p w14:paraId="035F4E52" w14:textId="17E2A22A" w:rsidR="00C60099" w:rsidRPr="001C3C36" w:rsidRDefault="001B5E8F" w:rsidP="00BC0A56">
            <w:pPr>
              <w:jc w:val="center"/>
              <w:rPr>
                <w:rFonts w:ascii="Sylfaen" w:hAnsi="Sylfaen" w:cs="Times New Roman"/>
                <w:b/>
                <w:bCs/>
                <w:noProof/>
                <w:sz w:val="18"/>
                <w:szCs w:val="18"/>
              </w:rPr>
            </w:pPr>
            <w:r w:rsidRPr="001C3C36">
              <w:rPr>
                <w:rFonts w:ascii="Sylfaen" w:hAnsi="Sylfaen" w:cs="Sylfaen"/>
                <w:b/>
                <w:bCs/>
                <w:noProof/>
                <w:sz w:val="18"/>
                <w:szCs w:val="18"/>
              </w:rPr>
              <w:t>გაუმჯობესდა</w:t>
            </w:r>
            <w:r w:rsidR="00C60099" w:rsidRPr="001C3C36">
              <w:rPr>
                <w:rFonts w:ascii="Sylfaen" w:hAnsi="Sylfaen" w:cs="Times New Roman"/>
                <w:b/>
                <w:bCs/>
                <w:noProof/>
                <w:sz w:val="18"/>
                <w:szCs w:val="18"/>
              </w:rPr>
              <w:t xml:space="preserve"> </w:t>
            </w:r>
            <w:r w:rsidR="00C60099" w:rsidRPr="001C3C36">
              <w:rPr>
                <w:rFonts w:ascii="Sylfaen" w:hAnsi="Sylfaen" w:cs="Times New Roman"/>
                <w:b/>
                <w:bCs/>
                <w:noProof/>
                <w:sz w:val="18"/>
                <w:szCs w:val="18"/>
                <w:vertAlign w:val="superscript"/>
              </w:rPr>
              <w:t>b</w:t>
            </w:r>
          </w:p>
        </w:tc>
        <w:tc>
          <w:tcPr>
            <w:tcW w:w="1843" w:type="dxa"/>
          </w:tcPr>
          <w:p w14:paraId="7A4C5728" w14:textId="77777777" w:rsidR="00C60099" w:rsidRPr="001C3C36" w:rsidRDefault="00C60099" w:rsidP="00BC0A56">
            <w:pPr>
              <w:jc w:val="center"/>
              <w:rPr>
                <w:rFonts w:ascii="Sylfaen" w:hAnsi="Sylfaen" w:cs="Times New Roman"/>
                <w:b/>
                <w:bCs/>
                <w:noProof/>
                <w:sz w:val="18"/>
                <w:szCs w:val="18"/>
              </w:rPr>
            </w:pPr>
            <w:r w:rsidRPr="001C3C36">
              <w:rPr>
                <w:rFonts w:ascii="Sylfaen" w:hAnsi="Sylfaen" w:cs="Times New Roman"/>
                <w:b/>
                <w:bCs/>
                <w:noProof/>
                <w:sz w:val="18"/>
                <w:szCs w:val="18"/>
              </w:rPr>
              <w:t>n (%)</w:t>
            </w:r>
          </w:p>
          <w:p w14:paraId="5DB8A2A6" w14:textId="4E299CFC" w:rsidR="00C60099" w:rsidRPr="001C3C36" w:rsidRDefault="001B5E8F" w:rsidP="00BC0A56">
            <w:pPr>
              <w:jc w:val="center"/>
              <w:rPr>
                <w:rFonts w:ascii="Sylfaen" w:hAnsi="Sylfaen" w:cs="Times New Roman"/>
                <w:b/>
                <w:bCs/>
                <w:noProof/>
                <w:sz w:val="18"/>
                <w:szCs w:val="18"/>
              </w:rPr>
            </w:pPr>
            <w:r w:rsidRPr="001C3C36">
              <w:rPr>
                <w:rFonts w:ascii="Sylfaen" w:hAnsi="Sylfaen" w:cs="Sylfaen"/>
                <w:b/>
                <w:bCs/>
                <w:noProof/>
                <w:sz w:val="18"/>
                <w:szCs w:val="18"/>
              </w:rPr>
              <w:t>გაუმჯობესდა</w:t>
            </w:r>
            <w:r w:rsidR="00C60099" w:rsidRPr="001C3C36">
              <w:rPr>
                <w:rFonts w:ascii="Sylfaen" w:hAnsi="Sylfaen" w:cs="Times New Roman"/>
                <w:b/>
                <w:bCs/>
                <w:noProof/>
                <w:sz w:val="18"/>
                <w:szCs w:val="18"/>
              </w:rPr>
              <w:t xml:space="preserve">  </w:t>
            </w:r>
            <w:r w:rsidR="00C60099" w:rsidRPr="001C3C36">
              <w:rPr>
                <w:rFonts w:ascii="Sylfaen" w:hAnsi="Sylfaen" w:cs="Times New Roman"/>
                <w:b/>
                <w:bCs/>
                <w:noProof/>
                <w:sz w:val="18"/>
                <w:szCs w:val="18"/>
                <w:vertAlign w:val="superscript"/>
              </w:rPr>
              <w:t>b</w:t>
            </w:r>
          </w:p>
        </w:tc>
        <w:tc>
          <w:tcPr>
            <w:tcW w:w="1843" w:type="dxa"/>
          </w:tcPr>
          <w:p w14:paraId="0F44A3BB" w14:textId="370B2BC6" w:rsidR="00C60099" w:rsidRPr="001C3C36" w:rsidRDefault="001B5E8F" w:rsidP="00BC0A56">
            <w:pPr>
              <w:jc w:val="center"/>
              <w:rPr>
                <w:rFonts w:ascii="Sylfaen" w:hAnsi="Sylfaen" w:cs="Times New Roman"/>
                <w:b/>
                <w:bCs/>
                <w:noProof/>
                <w:sz w:val="18"/>
                <w:szCs w:val="18"/>
              </w:rPr>
            </w:pPr>
            <w:r w:rsidRPr="001C3C36">
              <w:rPr>
                <w:rFonts w:ascii="Sylfaen" w:hAnsi="Sylfaen" w:cs="Sylfaen"/>
                <w:b/>
                <w:bCs/>
                <w:noProof/>
                <w:sz w:val="18"/>
                <w:szCs w:val="18"/>
              </w:rPr>
              <w:t>შანსთა</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ფარდობა</w:t>
            </w:r>
            <w:r w:rsidR="00C60099" w:rsidRPr="001C3C36">
              <w:rPr>
                <w:rFonts w:ascii="Sylfaen" w:hAnsi="Sylfaen" w:cs="Times New Roman"/>
                <w:b/>
                <w:bCs/>
                <w:noProof/>
                <w:sz w:val="18"/>
                <w:szCs w:val="18"/>
              </w:rPr>
              <w:t xml:space="preserve"> </w:t>
            </w:r>
            <w:r w:rsidR="00C60099" w:rsidRPr="001C3C36">
              <w:rPr>
                <w:rFonts w:ascii="Sylfaen" w:hAnsi="Sylfaen" w:cs="Times New Roman"/>
                <w:b/>
                <w:bCs/>
                <w:noProof/>
                <w:sz w:val="18"/>
                <w:szCs w:val="18"/>
                <w:vertAlign w:val="superscript"/>
              </w:rPr>
              <w:t>c</w:t>
            </w:r>
          </w:p>
          <w:p w14:paraId="574A0636" w14:textId="77777777" w:rsidR="00C60099" w:rsidRPr="001C3C36" w:rsidRDefault="00C60099" w:rsidP="00BC0A56">
            <w:pPr>
              <w:jc w:val="center"/>
              <w:rPr>
                <w:rFonts w:ascii="Sylfaen" w:hAnsi="Sylfaen" w:cs="Times New Roman"/>
                <w:b/>
                <w:bCs/>
                <w:noProof/>
                <w:sz w:val="18"/>
                <w:szCs w:val="18"/>
              </w:rPr>
            </w:pPr>
            <w:r w:rsidRPr="001C3C36">
              <w:rPr>
                <w:rFonts w:ascii="Sylfaen" w:hAnsi="Sylfaen" w:cs="Times New Roman"/>
                <w:b/>
                <w:bCs/>
                <w:noProof/>
                <w:sz w:val="18"/>
                <w:szCs w:val="18"/>
              </w:rPr>
              <w:t>(95% CI)</w:t>
            </w:r>
          </w:p>
        </w:tc>
        <w:tc>
          <w:tcPr>
            <w:tcW w:w="1366" w:type="dxa"/>
          </w:tcPr>
          <w:p w14:paraId="4DDD382F" w14:textId="1B821852" w:rsidR="00C60099" w:rsidRPr="001C3C36" w:rsidRDefault="00C60099" w:rsidP="00BC0A56">
            <w:pPr>
              <w:jc w:val="center"/>
              <w:rPr>
                <w:rFonts w:ascii="Sylfaen" w:hAnsi="Sylfaen" w:cs="Times New Roman"/>
                <w:b/>
                <w:bCs/>
                <w:noProof/>
                <w:sz w:val="18"/>
                <w:szCs w:val="18"/>
              </w:rPr>
            </w:pPr>
            <w:r w:rsidRPr="001C3C36">
              <w:rPr>
                <w:rFonts w:ascii="Sylfaen" w:hAnsi="Sylfaen" w:cs="Times New Roman"/>
                <w:b/>
                <w:bCs/>
                <w:noProof/>
                <w:sz w:val="18"/>
                <w:szCs w:val="18"/>
              </w:rPr>
              <w:t>p-</w:t>
            </w:r>
            <w:r w:rsidR="001B5E8F" w:rsidRPr="001C3C36">
              <w:rPr>
                <w:rFonts w:ascii="Sylfaen" w:hAnsi="Sylfaen" w:cs="Times New Roman"/>
                <w:b/>
                <w:bCs/>
                <w:noProof/>
                <w:sz w:val="18"/>
                <w:szCs w:val="18"/>
              </w:rPr>
              <w:t>მნიშვნელობა</w:t>
            </w:r>
            <w:r w:rsidRPr="001C3C36">
              <w:rPr>
                <w:rFonts w:ascii="Sylfaen" w:hAnsi="Sylfaen" w:cs="Times New Roman"/>
                <w:b/>
                <w:bCs/>
                <w:noProof/>
                <w:sz w:val="18"/>
                <w:szCs w:val="18"/>
              </w:rPr>
              <w:t xml:space="preserve"> </w:t>
            </w:r>
            <w:r w:rsidRPr="001C3C36">
              <w:rPr>
                <w:rFonts w:ascii="Sylfaen" w:hAnsi="Sylfaen" w:cs="Times New Roman"/>
                <w:b/>
                <w:bCs/>
                <w:noProof/>
                <w:sz w:val="18"/>
                <w:szCs w:val="18"/>
                <w:vertAlign w:val="superscript"/>
              </w:rPr>
              <w:t>f</w:t>
            </w:r>
          </w:p>
        </w:tc>
      </w:tr>
      <w:tr w:rsidR="00C60099" w:rsidRPr="001C3C36" w14:paraId="75B1E5DA" w14:textId="77777777" w:rsidTr="001B5E8F">
        <w:tc>
          <w:tcPr>
            <w:tcW w:w="2263" w:type="dxa"/>
          </w:tcPr>
          <w:p w14:paraId="20BB20A8" w14:textId="4260D290" w:rsidR="00C60099" w:rsidRPr="001C3C36" w:rsidRDefault="00C60099" w:rsidP="00BC0A56">
            <w:pPr>
              <w:rPr>
                <w:rFonts w:ascii="Sylfaen" w:hAnsi="Sylfaen" w:cs="Times New Roman"/>
                <w:noProof/>
                <w:sz w:val="18"/>
                <w:szCs w:val="18"/>
              </w:rPr>
            </w:pPr>
            <w:r w:rsidRPr="001C3C36">
              <w:rPr>
                <w:rFonts w:ascii="Sylfaen" w:hAnsi="Sylfaen" w:cs="Times New Roman"/>
                <w:noProof/>
                <w:sz w:val="18"/>
                <w:szCs w:val="18"/>
              </w:rPr>
              <w:t xml:space="preserve">≥ 5 </w:t>
            </w:r>
            <w:r w:rsidR="001B5E8F" w:rsidRPr="001C3C36">
              <w:rPr>
                <w:rFonts w:ascii="Sylfaen" w:hAnsi="Sylfaen" w:cs="Times New Roman"/>
                <w:noProof/>
                <w:sz w:val="18"/>
                <w:szCs w:val="18"/>
              </w:rPr>
              <w:t>ქულით</w:t>
            </w:r>
          </w:p>
          <w:p w14:paraId="45E0A3CC" w14:textId="77777777" w:rsidR="00C60099" w:rsidRPr="001C3C36" w:rsidRDefault="00C60099" w:rsidP="00BC0A56">
            <w:pPr>
              <w:rPr>
                <w:rFonts w:ascii="Sylfaen" w:hAnsi="Sylfaen" w:cs="Times New Roman"/>
                <w:noProof/>
                <w:sz w:val="18"/>
                <w:szCs w:val="18"/>
              </w:rPr>
            </w:pPr>
          </w:p>
          <w:p w14:paraId="216E3269" w14:textId="77777777" w:rsidR="001B5E8F" w:rsidRPr="001C3C36" w:rsidRDefault="00C60099" w:rsidP="00BC0A56">
            <w:pPr>
              <w:rPr>
                <w:rFonts w:ascii="Sylfaen" w:hAnsi="Sylfaen" w:cs="Times New Roman"/>
                <w:noProof/>
                <w:sz w:val="18"/>
                <w:szCs w:val="18"/>
              </w:rPr>
            </w:pPr>
            <w:r w:rsidRPr="001C3C36">
              <w:rPr>
                <w:rFonts w:ascii="Sylfaen" w:hAnsi="Sylfaen" w:cs="Times New Roman"/>
                <w:noProof/>
                <w:sz w:val="18"/>
                <w:szCs w:val="18"/>
              </w:rPr>
              <w:t xml:space="preserve">≥ 10 </w:t>
            </w:r>
            <w:r w:rsidR="001B5E8F" w:rsidRPr="001C3C36">
              <w:rPr>
                <w:rFonts w:ascii="Sylfaen" w:hAnsi="Sylfaen" w:cs="Times New Roman"/>
                <w:noProof/>
                <w:sz w:val="18"/>
                <w:szCs w:val="18"/>
              </w:rPr>
              <w:t>ქულით</w:t>
            </w:r>
          </w:p>
          <w:p w14:paraId="40843F72" w14:textId="1B90A84F" w:rsidR="00C60099" w:rsidRPr="001C3C36" w:rsidRDefault="00C60099" w:rsidP="00BC0A56">
            <w:pPr>
              <w:rPr>
                <w:rFonts w:ascii="Sylfaen" w:hAnsi="Sylfaen" w:cs="Times New Roman"/>
                <w:noProof/>
                <w:sz w:val="18"/>
                <w:szCs w:val="18"/>
              </w:rPr>
            </w:pPr>
          </w:p>
          <w:p w14:paraId="6251A048" w14:textId="77777777" w:rsidR="001B5E8F" w:rsidRPr="001C3C36" w:rsidRDefault="00C60099" w:rsidP="00BC0A56">
            <w:pPr>
              <w:rPr>
                <w:rFonts w:ascii="Sylfaen" w:hAnsi="Sylfaen" w:cs="Times New Roman"/>
                <w:noProof/>
                <w:sz w:val="18"/>
                <w:szCs w:val="18"/>
              </w:rPr>
            </w:pPr>
            <w:r w:rsidRPr="001C3C36">
              <w:rPr>
                <w:rFonts w:ascii="Sylfaen" w:hAnsi="Sylfaen" w:cs="Times New Roman"/>
                <w:noProof/>
                <w:sz w:val="18"/>
                <w:szCs w:val="18"/>
              </w:rPr>
              <w:t xml:space="preserve">≥ 15 </w:t>
            </w:r>
            <w:r w:rsidR="001B5E8F" w:rsidRPr="001C3C36">
              <w:rPr>
                <w:rFonts w:ascii="Sylfaen" w:hAnsi="Sylfaen" w:cs="Times New Roman"/>
                <w:noProof/>
                <w:sz w:val="18"/>
                <w:szCs w:val="18"/>
              </w:rPr>
              <w:t>ქულით</w:t>
            </w:r>
          </w:p>
          <w:p w14:paraId="2C82DDA5" w14:textId="707EDB72" w:rsidR="00C60099" w:rsidRPr="001C3C36" w:rsidRDefault="00C60099" w:rsidP="00BC0A56">
            <w:pPr>
              <w:rPr>
                <w:rFonts w:ascii="Sylfaen" w:hAnsi="Sylfaen" w:cs="Times New Roman"/>
                <w:noProof/>
                <w:sz w:val="18"/>
                <w:szCs w:val="18"/>
              </w:rPr>
            </w:pPr>
          </w:p>
        </w:tc>
        <w:tc>
          <w:tcPr>
            <w:tcW w:w="1851" w:type="dxa"/>
          </w:tcPr>
          <w:p w14:paraId="337DC5A1"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933 (44.7)</w:t>
            </w:r>
          </w:p>
          <w:p w14:paraId="7B137E49" w14:textId="77777777" w:rsidR="00C60099" w:rsidRPr="001C3C36" w:rsidRDefault="00C60099" w:rsidP="00BC0A56">
            <w:pPr>
              <w:jc w:val="center"/>
              <w:rPr>
                <w:rFonts w:ascii="Sylfaen" w:hAnsi="Sylfaen" w:cs="Times New Roman"/>
                <w:noProof/>
                <w:sz w:val="18"/>
                <w:szCs w:val="18"/>
              </w:rPr>
            </w:pPr>
          </w:p>
          <w:p w14:paraId="35E0BDB1"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689 (33.0)</w:t>
            </w:r>
          </w:p>
          <w:p w14:paraId="09D9FCDB" w14:textId="77777777" w:rsidR="00C60099" w:rsidRPr="001C3C36" w:rsidRDefault="00C60099" w:rsidP="00BC0A56">
            <w:pPr>
              <w:jc w:val="center"/>
              <w:rPr>
                <w:rFonts w:ascii="Sylfaen" w:hAnsi="Sylfaen" w:cs="Times New Roman"/>
                <w:noProof/>
                <w:sz w:val="18"/>
                <w:szCs w:val="18"/>
              </w:rPr>
            </w:pPr>
          </w:p>
          <w:p w14:paraId="0AC610F7"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474 (22.7)</w:t>
            </w:r>
          </w:p>
        </w:tc>
        <w:tc>
          <w:tcPr>
            <w:tcW w:w="1843" w:type="dxa"/>
          </w:tcPr>
          <w:p w14:paraId="6B857812"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794 (38.5)</w:t>
            </w:r>
          </w:p>
          <w:p w14:paraId="7A5C280C" w14:textId="77777777" w:rsidR="00C60099" w:rsidRPr="001C3C36" w:rsidRDefault="00C60099" w:rsidP="00BC0A56">
            <w:pPr>
              <w:jc w:val="center"/>
              <w:rPr>
                <w:rFonts w:ascii="Sylfaen" w:hAnsi="Sylfaen" w:cs="Times New Roman"/>
                <w:noProof/>
                <w:sz w:val="18"/>
                <w:szCs w:val="18"/>
              </w:rPr>
            </w:pPr>
          </w:p>
          <w:p w14:paraId="3C794893"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579 (28.1)</w:t>
            </w:r>
          </w:p>
          <w:p w14:paraId="13E1FEC1" w14:textId="77777777" w:rsidR="00C60099" w:rsidRPr="001C3C36" w:rsidRDefault="00C60099" w:rsidP="00BC0A56">
            <w:pPr>
              <w:jc w:val="center"/>
              <w:rPr>
                <w:rFonts w:ascii="Sylfaen" w:hAnsi="Sylfaen" w:cs="Times New Roman"/>
                <w:noProof/>
                <w:sz w:val="18"/>
                <w:szCs w:val="18"/>
              </w:rPr>
            </w:pPr>
          </w:p>
          <w:p w14:paraId="5FF6F34D"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406 (19.7)</w:t>
            </w:r>
          </w:p>
        </w:tc>
        <w:tc>
          <w:tcPr>
            <w:tcW w:w="1843" w:type="dxa"/>
          </w:tcPr>
          <w:p w14:paraId="1FE0ABDD"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1.14</w:t>
            </w:r>
          </w:p>
          <w:p w14:paraId="092DFD6D"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(1.06, 1.22)</w:t>
            </w:r>
          </w:p>
          <w:p w14:paraId="446004A8"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1.13</w:t>
            </w:r>
          </w:p>
          <w:p w14:paraId="329F7481"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(1.05, 1.22)</w:t>
            </w:r>
          </w:p>
          <w:p w14:paraId="2A4539AE"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1.10</w:t>
            </w:r>
          </w:p>
          <w:p w14:paraId="3CC28042"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(1.01, 1.19)</w:t>
            </w:r>
          </w:p>
        </w:tc>
        <w:tc>
          <w:tcPr>
            <w:tcW w:w="1366" w:type="dxa"/>
          </w:tcPr>
          <w:p w14:paraId="0CBF38B9"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0.0002</w:t>
            </w:r>
          </w:p>
          <w:p w14:paraId="1EEFD565" w14:textId="77777777" w:rsidR="00C60099" w:rsidRPr="001C3C36" w:rsidRDefault="00C60099" w:rsidP="00BC0A56">
            <w:pPr>
              <w:jc w:val="center"/>
              <w:rPr>
                <w:rFonts w:ascii="Sylfaen" w:hAnsi="Sylfaen" w:cs="Times New Roman"/>
                <w:noProof/>
                <w:sz w:val="18"/>
                <w:szCs w:val="18"/>
              </w:rPr>
            </w:pPr>
          </w:p>
          <w:p w14:paraId="71DA4267"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0.0018</w:t>
            </w:r>
          </w:p>
          <w:p w14:paraId="5D326AE5" w14:textId="77777777" w:rsidR="00C60099" w:rsidRPr="001C3C36" w:rsidRDefault="00C60099" w:rsidP="00BC0A56">
            <w:pPr>
              <w:jc w:val="center"/>
              <w:rPr>
                <w:rFonts w:ascii="Sylfaen" w:hAnsi="Sylfaen" w:cs="Times New Roman"/>
                <w:noProof/>
                <w:sz w:val="18"/>
                <w:szCs w:val="18"/>
              </w:rPr>
            </w:pPr>
          </w:p>
          <w:p w14:paraId="723BA83B"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0.0300</w:t>
            </w:r>
          </w:p>
        </w:tc>
      </w:tr>
      <w:tr w:rsidR="00C60099" w:rsidRPr="001C3C36" w14:paraId="09FC3AD2" w14:textId="77777777" w:rsidTr="001B5E8F">
        <w:tc>
          <w:tcPr>
            <w:tcW w:w="2263" w:type="dxa"/>
          </w:tcPr>
          <w:p w14:paraId="44CBD74D" w14:textId="23F1146B" w:rsidR="00C60099" w:rsidRPr="001C3C36" w:rsidRDefault="001B5E8F" w:rsidP="00BC0A56">
            <w:pPr>
              <w:rPr>
                <w:rFonts w:ascii="Sylfaen" w:hAnsi="Sylfaen" w:cs="Times New Roman"/>
                <w:b/>
                <w:bCs/>
                <w:noProof/>
                <w:sz w:val="18"/>
                <w:szCs w:val="18"/>
              </w:rPr>
            </w:pPr>
            <w:r w:rsidRPr="001C3C36">
              <w:rPr>
                <w:rFonts w:ascii="Sylfaen" w:hAnsi="Sylfaen" w:cs="Times New Roman"/>
                <w:b/>
                <w:bCs/>
                <w:i/>
                <w:iCs/>
                <w:noProof/>
                <w:sz w:val="18"/>
                <w:szCs w:val="18"/>
              </w:rPr>
              <w:t>გაუარესება</w:t>
            </w:r>
          </w:p>
        </w:tc>
        <w:tc>
          <w:tcPr>
            <w:tcW w:w="1851" w:type="dxa"/>
          </w:tcPr>
          <w:p w14:paraId="5B0F8F98" w14:textId="77777777" w:rsidR="00C60099" w:rsidRPr="001C3C36" w:rsidRDefault="00C60099" w:rsidP="00BC0A56">
            <w:pPr>
              <w:jc w:val="center"/>
              <w:rPr>
                <w:rFonts w:ascii="Sylfaen" w:hAnsi="Sylfaen" w:cs="Times New Roman"/>
                <w:b/>
                <w:bCs/>
                <w:noProof/>
                <w:sz w:val="18"/>
                <w:szCs w:val="18"/>
              </w:rPr>
            </w:pPr>
            <w:r w:rsidRPr="001C3C36">
              <w:rPr>
                <w:rFonts w:ascii="Sylfaen" w:hAnsi="Sylfaen" w:cs="Times New Roman"/>
                <w:b/>
                <w:bCs/>
                <w:noProof/>
                <w:sz w:val="18"/>
                <w:szCs w:val="18"/>
              </w:rPr>
              <w:t>n (%)</w:t>
            </w:r>
          </w:p>
          <w:p w14:paraId="7F04A643" w14:textId="3AA6C468" w:rsidR="00C60099" w:rsidRPr="001C3C36" w:rsidRDefault="001B5E8F" w:rsidP="00BC0A56">
            <w:pPr>
              <w:jc w:val="center"/>
              <w:rPr>
                <w:rFonts w:ascii="Sylfaen" w:hAnsi="Sylfaen" w:cs="Times New Roman"/>
                <w:b/>
                <w:bCs/>
                <w:noProof/>
                <w:sz w:val="18"/>
                <w:szCs w:val="18"/>
              </w:rPr>
            </w:pPr>
            <w:r w:rsidRPr="001C3C36">
              <w:rPr>
                <w:rFonts w:ascii="Sylfaen" w:hAnsi="Sylfaen" w:cs="Times New Roman"/>
                <w:b/>
                <w:bCs/>
                <w:noProof/>
                <w:sz w:val="18"/>
                <w:szCs w:val="18"/>
              </w:rPr>
              <w:t>გაუარესდა</w:t>
            </w:r>
            <w:r w:rsidR="00C60099" w:rsidRPr="001C3C36">
              <w:rPr>
                <w:rFonts w:ascii="Sylfaen" w:hAnsi="Sylfaen" w:cs="Times New Roman"/>
                <w:b/>
                <w:bCs/>
                <w:noProof/>
                <w:sz w:val="18"/>
                <w:szCs w:val="18"/>
              </w:rPr>
              <w:t xml:space="preserve"> </w:t>
            </w:r>
            <w:r w:rsidR="00C60099" w:rsidRPr="001C3C36">
              <w:rPr>
                <w:rFonts w:ascii="Sylfaen" w:hAnsi="Sylfaen" w:cs="Times New Roman"/>
                <w:b/>
                <w:bCs/>
                <w:noProof/>
                <w:sz w:val="18"/>
                <w:szCs w:val="18"/>
                <w:vertAlign w:val="superscript"/>
              </w:rPr>
              <w:t>d</w:t>
            </w:r>
          </w:p>
        </w:tc>
        <w:tc>
          <w:tcPr>
            <w:tcW w:w="1843" w:type="dxa"/>
          </w:tcPr>
          <w:p w14:paraId="706B55B1" w14:textId="77777777" w:rsidR="00C60099" w:rsidRPr="001C3C36" w:rsidRDefault="00C60099" w:rsidP="00BC0A56">
            <w:pPr>
              <w:jc w:val="center"/>
              <w:rPr>
                <w:rFonts w:ascii="Sylfaen" w:hAnsi="Sylfaen" w:cs="Times New Roman"/>
                <w:b/>
                <w:bCs/>
                <w:noProof/>
                <w:sz w:val="18"/>
                <w:szCs w:val="18"/>
              </w:rPr>
            </w:pPr>
            <w:r w:rsidRPr="001C3C36">
              <w:rPr>
                <w:rFonts w:ascii="Sylfaen" w:hAnsi="Sylfaen" w:cs="Times New Roman"/>
                <w:b/>
                <w:bCs/>
                <w:noProof/>
                <w:sz w:val="18"/>
                <w:szCs w:val="18"/>
              </w:rPr>
              <w:t>n (%)</w:t>
            </w:r>
          </w:p>
          <w:p w14:paraId="60C36328" w14:textId="781ED03A" w:rsidR="00C60099" w:rsidRPr="001C3C36" w:rsidRDefault="001B5E8F" w:rsidP="00BC0A56">
            <w:pPr>
              <w:jc w:val="center"/>
              <w:rPr>
                <w:rFonts w:ascii="Sylfaen" w:hAnsi="Sylfaen" w:cs="Times New Roman"/>
                <w:b/>
                <w:bCs/>
                <w:noProof/>
                <w:sz w:val="18"/>
                <w:szCs w:val="18"/>
              </w:rPr>
            </w:pPr>
            <w:r w:rsidRPr="001C3C36">
              <w:rPr>
                <w:rFonts w:ascii="Sylfaen" w:hAnsi="Sylfaen" w:cs="Times New Roman"/>
                <w:b/>
                <w:bCs/>
                <w:noProof/>
                <w:sz w:val="18"/>
                <w:szCs w:val="18"/>
              </w:rPr>
              <w:t>გაუარესდა</w:t>
            </w:r>
            <w:r w:rsidR="00C60099" w:rsidRPr="001C3C36">
              <w:rPr>
                <w:rFonts w:ascii="Sylfaen" w:hAnsi="Sylfaen" w:cs="Times New Roman"/>
                <w:b/>
                <w:bCs/>
                <w:noProof/>
                <w:sz w:val="18"/>
                <w:szCs w:val="18"/>
                <w:vertAlign w:val="superscript"/>
              </w:rPr>
              <w:t>d</w:t>
            </w:r>
          </w:p>
        </w:tc>
        <w:tc>
          <w:tcPr>
            <w:tcW w:w="1843" w:type="dxa"/>
          </w:tcPr>
          <w:p w14:paraId="42BFD91C" w14:textId="16688F8F" w:rsidR="00C60099" w:rsidRPr="001C3C36" w:rsidRDefault="001B5E8F" w:rsidP="00BC0A56">
            <w:pPr>
              <w:jc w:val="center"/>
              <w:rPr>
                <w:rFonts w:ascii="Sylfaen" w:hAnsi="Sylfaen" w:cs="Times New Roman"/>
                <w:b/>
                <w:bCs/>
                <w:noProof/>
                <w:sz w:val="18"/>
                <w:szCs w:val="18"/>
              </w:rPr>
            </w:pPr>
            <w:r w:rsidRPr="001C3C36">
              <w:rPr>
                <w:rFonts w:ascii="Sylfaen" w:hAnsi="Sylfaen" w:cs="Sylfaen"/>
                <w:b/>
                <w:bCs/>
                <w:noProof/>
                <w:sz w:val="18"/>
                <w:szCs w:val="18"/>
              </w:rPr>
              <w:t>შანსთა</w:t>
            </w:r>
            <w:r w:rsidRPr="001C3C36">
              <w:rPr>
                <w:rFonts w:ascii="Sylfaen" w:hAnsi="Sylfaen" w:cs="Times New Roman"/>
                <w:b/>
                <w:bCs/>
                <w:noProof/>
                <w:sz w:val="18"/>
                <w:szCs w:val="18"/>
              </w:rPr>
              <w:t xml:space="preserve"> </w:t>
            </w:r>
            <w:r w:rsidRPr="001C3C36">
              <w:rPr>
                <w:rFonts w:ascii="Sylfaen" w:hAnsi="Sylfaen" w:cs="Sylfaen"/>
                <w:b/>
                <w:bCs/>
                <w:noProof/>
                <w:sz w:val="18"/>
                <w:szCs w:val="18"/>
              </w:rPr>
              <w:t>ფარდობა</w:t>
            </w:r>
            <w:r w:rsidRPr="001C3C36">
              <w:rPr>
                <w:rFonts w:ascii="Sylfaen" w:hAnsi="Sylfaen" w:cs="Times New Roman"/>
                <w:b/>
                <w:bCs/>
                <w:noProof/>
                <w:sz w:val="18"/>
                <w:szCs w:val="18"/>
              </w:rPr>
              <w:t xml:space="preserve"> </w:t>
            </w:r>
            <w:r w:rsidR="00C60099" w:rsidRPr="001C3C36">
              <w:rPr>
                <w:rFonts w:ascii="Sylfaen" w:hAnsi="Sylfaen" w:cs="Times New Roman"/>
                <w:b/>
                <w:bCs/>
                <w:noProof/>
                <w:sz w:val="18"/>
                <w:szCs w:val="18"/>
                <w:vertAlign w:val="superscript"/>
              </w:rPr>
              <w:t>e</w:t>
            </w:r>
          </w:p>
          <w:p w14:paraId="54F8F05F" w14:textId="77777777" w:rsidR="00C60099" w:rsidRPr="001C3C36" w:rsidRDefault="00C60099" w:rsidP="00BC0A56">
            <w:pPr>
              <w:jc w:val="center"/>
              <w:rPr>
                <w:rFonts w:ascii="Sylfaen" w:hAnsi="Sylfaen" w:cs="Times New Roman"/>
                <w:b/>
                <w:bCs/>
                <w:noProof/>
                <w:sz w:val="18"/>
                <w:szCs w:val="18"/>
              </w:rPr>
            </w:pPr>
            <w:r w:rsidRPr="001C3C36">
              <w:rPr>
                <w:rFonts w:ascii="Sylfaen" w:hAnsi="Sylfaen" w:cs="Times New Roman"/>
                <w:b/>
                <w:bCs/>
                <w:noProof/>
                <w:sz w:val="18"/>
                <w:szCs w:val="18"/>
              </w:rPr>
              <w:t>(95% CI)</w:t>
            </w:r>
          </w:p>
        </w:tc>
        <w:tc>
          <w:tcPr>
            <w:tcW w:w="1366" w:type="dxa"/>
          </w:tcPr>
          <w:p w14:paraId="6D2A473F" w14:textId="66156EF9" w:rsidR="00C60099" w:rsidRPr="001C3C36" w:rsidRDefault="00C60099" w:rsidP="00BC0A56">
            <w:pPr>
              <w:jc w:val="center"/>
              <w:rPr>
                <w:rFonts w:ascii="Sylfaen" w:hAnsi="Sylfaen" w:cs="Times New Roman"/>
                <w:b/>
                <w:bCs/>
                <w:noProof/>
                <w:sz w:val="18"/>
                <w:szCs w:val="18"/>
              </w:rPr>
            </w:pPr>
            <w:r w:rsidRPr="001C3C36">
              <w:rPr>
                <w:rFonts w:ascii="Sylfaen" w:hAnsi="Sylfaen" w:cs="Times New Roman"/>
                <w:b/>
                <w:bCs/>
                <w:noProof/>
                <w:sz w:val="18"/>
                <w:szCs w:val="18"/>
              </w:rPr>
              <w:t>p-</w:t>
            </w:r>
            <w:r w:rsidR="001B5E8F" w:rsidRPr="001C3C36">
              <w:rPr>
                <w:rFonts w:ascii="Sylfaen" w:hAnsi="Sylfaen" w:cs="Times New Roman"/>
                <w:b/>
                <w:bCs/>
                <w:noProof/>
                <w:sz w:val="18"/>
                <w:szCs w:val="18"/>
              </w:rPr>
              <w:t>მნიშვნელობა</w:t>
            </w:r>
            <w:r w:rsidRPr="001C3C36">
              <w:rPr>
                <w:rFonts w:ascii="Sylfaen" w:hAnsi="Sylfaen" w:cs="Times New Roman"/>
                <w:b/>
                <w:bCs/>
                <w:noProof/>
                <w:sz w:val="18"/>
                <w:szCs w:val="18"/>
              </w:rPr>
              <w:t xml:space="preserve"> </w:t>
            </w:r>
            <w:r w:rsidRPr="001C3C36">
              <w:rPr>
                <w:rFonts w:ascii="Sylfaen" w:hAnsi="Sylfaen" w:cs="Times New Roman"/>
                <w:b/>
                <w:bCs/>
                <w:noProof/>
                <w:sz w:val="18"/>
                <w:szCs w:val="18"/>
                <w:vertAlign w:val="superscript"/>
              </w:rPr>
              <w:t>f</w:t>
            </w:r>
          </w:p>
        </w:tc>
      </w:tr>
      <w:tr w:rsidR="00C60099" w:rsidRPr="001C3C36" w14:paraId="19F34E6C" w14:textId="77777777" w:rsidTr="001B5E8F">
        <w:tc>
          <w:tcPr>
            <w:tcW w:w="2263" w:type="dxa"/>
          </w:tcPr>
          <w:p w14:paraId="2C693261" w14:textId="1541D393" w:rsidR="00C60099" w:rsidRPr="001C3C36" w:rsidRDefault="00C60099" w:rsidP="00BC0A56">
            <w:pPr>
              <w:rPr>
                <w:rFonts w:ascii="Sylfaen" w:hAnsi="Sylfaen" w:cs="Times New Roman"/>
                <w:noProof/>
                <w:sz w:val="18"/>
                <w:szCs w:val="18"/>
              </w:rPr>
            </w:pPr>
            <w:r w:rsidRPr="001C3C36">
              <w:rPr>
                <w:rFonts w:ascii="Sylfaen" w:hAnsi="Sylfaen" w:cs="Times New Roman"/>
                <w:noProof/>
                <w:sz w:val="18"/>
                <w:szCs w:val="18"/>
              </w:rPr>
              <w:t xml:space="preserve">≥ 5 </w:t>
            </w:r>
            <w:r w:rsidR="001B5E8F" w:rsidRPr="001C3C36">
              <w:rPr>
                <w:rFonts w:ascii="Sylfaen" w:hAnsi="Sylfaen" w:cs="Times New Roman"/>
                <w:noProof/>
                <w:sz w:val="18"/>
                <w:szCs w:val="18"/>
              </w:rPr>
              <w:t>ქულით</w:t>
            </w:r>
          </w:p>
          <w:p w14:paraId="5ABE6D88" w14:textId="77777777" w:rsidR="00C60099" w:rsidRPr="001C3C36" w:rsidRDefault="00C60099" w:rsidP="00BC0A56">
            <w:pPr>
              <w:rPr>
                <w:rFonts w:ascii="Sylfaen" w:hAnsi="Sylfaen" w:cs="Times New Roman"/>
                <w:noProof/>
                <w:sz w:val="18"/>
                <w:szCs w:val="18"/>
              </w:rPr>
            </w:pPr>
          </w:p>
          <w:p w14:paraId="567CE062" w14:textId="550E3C76" w:rsidR="00C60099" w:rsidRPr="001C3C36" w:rsidRDefault="00C60099" w:rsidP="00BC0A56">
            <w:pPr>
              <w:rPr>
                <w:rFonts w:ascii="Sylfaen" w:hAnsi="Sylfaen" w:cs="Times New Roman"/>
                <w:noProof/>
                <w:sz w:val="18"/>
                <w:szCs w:val="18"/>
              </w:rPr>
            </w:pPr>
            <w:r w:rsidRPr="001C3C36">
              <w:rPr>
                <w:rFonts w:ascii="Sylfaen" w:hAnsi="Sylfaen" w:cs="Times New Roman"/>
                <w:noProof/>
                <w:sz w:val="18"/>
                <w:szCs w:val="18"/>
              </w:rPr>
              <w:t xml:space="preserve">≥ 10 </w:t>
            </w:r>
            <w:r w:rsidR="001B5E8F" w:rsidRPr="001C3C36">
              <w:rPr>
                <w:rFonts w:ascii="Sylfaen" w:hAnsi="Sylfaen" w:cs="Times New Roman"/>
                <w:noProof/>
                <w:sz w:val="18"/>
                <w:szCs w:val="18"/>
              </w:rPr>
              <w:t>ქულით</w:t>
            </w:r>
          </w:p>
        </w:tc>
        <w:tc>
          <w:tcPr>
            <w:tcW w:w="1851" w:type="dxa"/>
          </w:tcPr>
          <w:p w14:paraId="0FB8F19C"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537 (25.7)</w:t>
            </w:r>
          </w:p>
          <w:p w14:paraId="4519B7A0" w14:textId="77777777" w:rsidR="00C60099" w:rsidRPr="001C3C36" w:rsidRDefault="00C60099" w:rsidP="00BC0A56">
            <w:pPr>
              <w:jc w:val="center"/>
              <w:rPr>
                <w:rFonts w:ascii="Sylfaen" w:hAnsi="Sylfaen" w:cs="Times New Roman"/>
                <w:noProof/>
                <w:sz w:val="18"/>
                <w:szCs w:val="18"/>
              </w:rPr>
            </w:pPr>
          </w:p>
          <w:p w14:paraId="06A659AF"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395 (18.9)</w:t>
            </w:r>
          </w:p>
        </w:tc>
        <w:tc>
          <w:tcPr>
            <w:tcW w:w="1843" w:type="dxa"/>
          </w:tcPr>
          <w:p w14:paraId="36CB38E9"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693 (33.6)</w:t>
            </w:r>
          </w:p>
          <w:p w14:paraId="2D530E2C" w14:textId="77777777" w:rsidR="00C60099" w:rsidRPr="001C3C36" w:rsidRDefault="00C60099" w:rsidP="00BC0A56">
            <w:pPr>
              <w:jc w:val="center"/>
              <w:rPr>
                <w:rFonts w:ascii="Sylfaen" w:hAnsi="Sylfaen" w:cs="Times New Roman"/>
                <w:noProof/>
                <w:sz w:val="18"/>
                <w:szCs w:val="18"/>
              </w:rPr>
            </w:pPr>
          </w:p>
          <w:p w14:paraId="66538B6B"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506 (24.5)</w:t>
            </w:r>
          </w:p>
        </w:tc>
        <w:tc>
          <w:tcPr>
            <w:tcW w:w="1843" w:type="dxa"/>
          </w:tcPr>
          <w:p w14:paraId="2E18751E"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0.84</w:t>
            </w:r>
          </w:p>
          <w:p w14:paraId="7B51D34A"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(0.78, 0.89)</w:t>
            </w:r>
          </w:p>
          <w:p w14:paraId="0D23C475"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0.85</w:t>
            </w:r>
          </w:p>
          <w:p w14:paraId="303478AC"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(0.79, 0.92)</w:t>
            </w:r>
          </w:p>
        </w:tc>
        <w:tc>
          <w:tcPr>
            <w:tcW w:w="1366" w:type="dxa"/>
          </w:tcPr>
          <w:p w14:paraId="680632DA"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&lt;0.0001</w:t>
            </w:r>
          </w:p>
          <w:p w14:paraId="50D9C344" w14:textId="77777777" w:rsidR="00C60099" w:rsidRPr="001C3C36" w:rsidRDefault="00C60099" w:rsidP="00BC0A56">
            <w:pPr>
              <w:jc w:val="center"/>
              <w:rPr>
                <w:rFonts w:ascii="Sylfaen" w:hAnsi="Sylfaen" w:cs="Times New Roman"/>
                <w:noProof/>
                <w:sz w:val="18"/>
                <w:szCs w:val="18"/>
              </w:rPr>
            </w:pPr>
          </w:p>
          <w:p w14:paraId="4D24DB06" w14:textId="77777777" w:rsidR="00C60099" w:rsidRPr="001C3C36" w:rsidRDefault="00C60099" w:rsidP="00BC0A56">
            <w:pPr>
              <w:jc w:val="center"/>
              <w:rPr>
                <w:rFonts w:ascii="Sylfaen" w:hAnsi="Sylfaen" w:cs="Times New Roman"/>
                <w:noProof/>
                <w:sz w:val="18"/>
                <w:szCs w:val="18"/>
              </w:rPr>
            </w:pPr>
            <w:r w:rsidRPr="001C3C36">
              <w:rPr>
                <w:rFonts w:ascii="Sylfaen" w:hAnsi="Sylfaen" w:cs="Times New Roman"/>
                <w:noProof/>
                <w:sz w:val="18"/>
                <w:szCs w:val="18"/>
              </w:rPr>
              <w:t>&lt;0.0001</w:t>
            </w:r>
          </w:p>
        </w:tc>
      </w:tr>
    </w:tbl>
    <w:p w14:paraId="63013C8F" w14:textId="77777777" w:rsidR="001B5E8F" w:rsidRPr="00850096" w:rsidRDefault="001B5E8F" w:rsidP="00BC0A56">
      <w:pPr>
        <w:spacing w:after="0" w:line="240" w:lineRule="auto"/>
        <w:rPr>
          <w:rFonts w:ascii="Sylfaen" w:hAnsi="Sylfaen"/>
          <w:noProof/>
          <w:sz w:val="20"/>
          <w:szCs w:val="20"/>
        </w:rPr>
      </w:pPr>
      <w:r w:rsidRPr="00850096">
        <w:rPr>
          <w:rFonts w:ascii="Sylfaen" w:hAnsi="Sylfaen"/>
          <w:noProof/>
          <w:sz w:val="20"/>
          <w:szCs w:val="20"/>
        </w:rPr>
        <w:t>a. პაციენტების რაოდენობა, რომელთაც მე-8 თვემდე აღენიშნებოდათ KCCQ-TSS-ის შეფასებული მაჩვენებელი ან რომლებიც მე-8 თვემდე გარდაიცვალნენ.</w:t>
      </w:r>
    </w:p>
    <w:p w14:paraId="417D25FF" w14:textId="77777777" w:rsidR="001B5E8F" w:rsidRPr="00850096" w:rsidRDefault="001B5E8F" w:rsidP="00BC0A56">
      <w:pPr>
        <w:spacing w:after="0" w:line="240" w:lineRule="auto"/>
        <w:rPr>
          <w:rFonts w:ascii="Sylfaen" w:hAnsi="Sylfaen"/>
          <w:noProof/>
          <w:sz w:val="20"/>
          <w:szCs w:val="20"/>
        </w:rPr>
      </w:pPr>
      <w:r w:rsidRPr="00850096">
        <w:rPr>
          <w:rFonts w:ascii="Sylfaen" w:hAnsi="Sylfaen"/>
          <w:noProof/>
          <w:sz w:val="20"/>
          <w:szCs w:val="20"/>
        </w:rPr>
        <w:t>b. პაციენტების რაოდენობა, რომელთაც საწყის მაჩვენებელთან შედარებით ჰქონდათ მინიმუმ 5, 10 ან 15 ქულით გაუმჯობესება. პაციენტები, რომლებიც შესაბამისი დროის მომენტამდე გარდაიცვალნენ, ჩაითვალნენ როგორც გაუმჯობესების არმქონე.</w:t>
      </w:r>
    </w:p>
    <w:p w14:paraId="79277EA0" w14:textId="4F922235" w:rsidR="001B5E8F" w:rsidRPr="00850096" w:rsidRDefault="001B5E8F" w:rsidP="00BC0A56">
      <w:pPr>
        <w:spacing w:after="0" w:line="240" w:lineRule="auto"/>
        <w:rPr>
          <w:rFonts w:ascii="Sylfaen" w:hAnsi="Sylfaen"/>
          <w:noProof/>
          <w:sz w:val="20"/>
          <w:szCs w:val="20"/>
        </w:rPr>
      </w:pPr>
      <w:r w:rsidRPr="00850096">
        <w:rPr>
          <w:rFonts w:ascii="Sylfaen" w:hAnsi="Sylfaen"/>
          <w:noProof/>
          <w:sz w:val="20"/>
          <w:szCs w:val="20"/>
        </w:rPr>
        <w:t xml:space="preserve">c. გაუმჯობესების შემთხვევაში, </w:t>
      </w:r>
      <w:r w:rsidR="0064051E" w:rsidRPr="00850096">
        <w:rPr>
          <w:rFonts w:ascii="Sylfaen" w:hAnsi="Sylfaen"/>
          <w:noProof/>
          <w:sz w:val="20"/>
          <w:szCs w:val="20"/>
        </w:rPr>
        <w:t xml:space="preserve">შანსთა ფარდობა </w:t>
      </w:r>
      <w:r w:rsidRPr="00850096">
        <w:rPr>
          <w:rFonts w:ascii="Sylfaen" w:hAnsi="Sylfaen"/>
          <w:noProof/>
          <w:sz w:val="20"/>
          <w:szCs w:val="20"/>
        </w:rPr>
        <w:t>Odds ratio (OR) &gt;1 მიუთითებს დაპაგლიფლოზინი 10 მგ-ის სასარგებლოდ.</w:t>
      </w:r>
    </w:p>
    <w:p w14:paraId="7B31BBE7" w14:textId="77777777" w:rsidR="001B5E8F" w:rsidRPr="00850096" w:rsidRDefault="001B5E8F" w:rsidP="00BC0A56">
      <w:pPr>
        <w:spacing w:after="0" w:line="240" w:lineRule="auto"/>
        <w:rPr>
          <w:rFonts w:ascii="Sylfaen" w:hAnsi="Sylfaen"/>
          <w:noProof/>
          <w:sz w:val="20"/>
          <w:szCs w:val="20"/>
        </w:rPr>
      </w:pPr>
      <w:r w:rsidRPr="00850096">
        <w:rPr>
          <w:rFonts w:ascii="Sylfaen" w:hAnsi="Sylfaen"/>
          <w:noProof/>
          <w:sz w:val="20"/>
          <w:szCs w:val="20"/>
        </w:rPr>
        <w:t>d. პაციენტების რაოდენობა, რომელთაც საწყის მაჩვენებელთან შედარებით ჰქონდათ მინიმუმ 5 ან 10 ქულით გაუარესება. პაციენტები, რომლებიც შესაბამისი დროის მომენტამდე გარდაიცვალნენ, ჩაითვალნენ გაუარესებულებად.</w:t>
      </w:r>
    </w:p>
    <w:p w14:paraId="3E028FD1" w14:textId="43E0CDC1" w:rsidR="001B5E8F" w:rsidRPr="00850096" w:rsidRDefault="001B5E8F" w:rsidP="00BC0A56">
      <w:pPr>
        <w:spacing w:after="0" w:line="240" w:lineRule="auto"/>
        <w:rPr>
          <w:rFonts w:ascii="Sylfaen" w:hAnsi="Sylfaen"/>
          <w:noProof/>
          <w:sz w:val="20"/>
          <w:szCs w:val="20"/>
        </w:rPr>
      </w:pPr>
      <w:r w:rsidRPr="00850096">
        <w:rPr>
          <w:rFonts w:ascii="Sylfaen" w:hAnsi="Sylfaen"/>
          <w:noProof/>
          <w:sz w:val="20"/>
          <w:szCs w:val="20"/>
        </w:rPr>
        <w:t xml:space="preserve">e. გაუარესების შემთხვევაში, </w:t>
      </w:r>
      <w:r w:rsidR="0064051E" w:rsidRPr="00850096">
        <w:rPr>
          <w:rFonts w:ascii="Sylfaen" w:hAnsi="Sylfaen"/>
          <w:noProof/>
          <w:sz w:val="20"/>
          <w:szCs w:val="20"/>
        </w:rPr>
        <w:t>შანსთა ფარდობა</w:t>
      </w:r>
      <w:r w:rsidRPr="00850096">
        <w:rPr>
          <w:rFonts w:ascii="Sylfaen" w:hAnsi="Sylfaen"/>
          <w:noProof/>
          <w:sz w:val="20"/>
          <w:szCs w:val="20"/>
        </w:rPr>
        <w:t xml:space="preserve"> (OR) &lt;1 მიუთითებს დაპაგლიფლოზინი 10 მგ-ის სასარგებლოდ.</w:t>
      </w:r>
    </w:p>
    <w:p w14:paraId="03542B5B" w14:textId="77777777" w:rsidR="001B5E8F" w:rsidRPr="00850096" w:rsidRDefault="001B5E8F" w:rsidP="00BC0A56">
      <w:pPr>
        <w:spacing w:after="0" w:line="240" w:lineRule="auto"/>
        <w:rPr>
          <w:rFonts w:ascii="Sylfaen" w:hAnsi="Sylfaen"/>
          <w:noProof/>
          <w:sz w:val="20"/>
          <w:szCs w:val="20"/>
        </w:rPr>
      </w:pPr>
      <w:r w:rsidRPr="00850096">
        <w:rPr>
          <w:rFonts w:ascii="Sylfaen" w:hAnsi="Sylfaen"/>
          <w:noProof/>
          <w:sz w:val="20"/>
          <w:szCs w:val="20"/>
        </w:rPr>
        <w:t>f. p-მნიშვნელობები ნომინალურია.</w:t>
      </w:r>
    </w:p>
    <w:p w14:paraId="4345DE7E" w14:textId="77777777" w:rsidR="0064051E" w:rsidRPr="00850096" w:rsidRDefault="0064051E" w:rsidP="00BC0A56">
      <w:pPr>
        <w:spacing w:after="0" w:line="240" w:lineRule="auto"/>
        <w:rPr>
          <w:rFonts w:ascii="Sylfaen" w:hAnsi="Sylfaen"/>
          <w:noProof/>
          <w:sz w:val="20"/>
          <w:szCs w:val="20"/>
        </w:rPr>
      </w:pPr>
    </w:p>
    <w:p w14:paraId="3FD3F82B" w14:textId="77777777" w:rsidR="0064051E" w:rsidRPr="00850096" w:rsidRDefault="0064051E" w:rsidP="00BC0A56">
      <w:pPr>
        <w:spacing w:after="0" w:line="240" w:lineRule="auto"/>
        <w:rPr>
          <w:rFonts w:ascii="Sylfaen" w:hAnsi="Sylfaen"/>
          <w:noProof/>
          <w:sz w:val="20"/>
          <w:szCs w:val="20"/>
        </w:rPr>
      </w:pPr>
      <w:r w:rsidRPr="00850096">
        <w:rPr>
          <w:rFonts w:ascii="Sylfaen" w:hAnsi="Sylfaen"/>
          <w:i/>
          <w:iCs/>
          <w:noProof/>
          <w:sz w:val="20"/>
          <w:szCs w:val="20"/>
        </w:rPr>
        <w:t>ნეფროპათია</w:t>
      </w:r>
    </w:p>
    <w:p w14:paraId="542C5F90" w14:textId="77777777" w:rsidR="0064051E" w:rsidRDefault="0064051E" w:rsidP="00FA0370">
      <w:pPr>
        <w:spacing w:after="0" w:line="240" w:lineRule="auto"/>
        <w:jc w:val="both"/>
        <w:rPr>
          <w:rFonts w:ascii="Sylfaen" w:hAnsi="Sylfaen"/>
          <w:noProof/>
          <w:sz w:val="20"/>
          <w:szCs w:val="20"/>
        </w:rPr>
      </w:pPr>
      <w:r w:rsidRPr="00850096">
        <w:rPr>
          <w:rFonts w:ascii="Sylfaen" w:hAnsi="Sylfaen"/>
          <w:noProof/>
          <w:sz w:val="20"/>
          <w:szCs w:val="20"/>
        </w:rPr>
        <w:t>თირკმელებთან დაკავშირებული კომბინირებული საბოლოო წერტილის (eGFR-ის ≥ 50%-ით დადასტურებული და მდგრადი შემცირება, თირკმლის უკმარისობის ტერმინალური სტადია ან თირკმლისმიერი მიზეზით გამოწვეული სიკვდილი) შემთხვევები მცირე რაოდენობით დაფიქსირდა; შემთხვევათა სიხშირე შეადგენდა 1,2%-ს დაპაგლიფლოზინის ჯგუფში და 1,6%-ს — პლაცებოს ჯგუფში.</w:t>
      </w:r>
    </w:p>
    <w:p w14:paraId="407B3556" w14:textId="77777777" w:rsidR="00FA0370" w:rsidRPr="00850096" w:rsidRDefault="00FA0370" w:rsidP="00BC0A56">
      <w:pPr>
        <w:spacing w:after="0" w:line="240" w:lineRule="auto"/>
        <w:rPr>
          <w:rFonts w:ascii="Sylfaen" w:hAnsi="Sylfaen"/>
          <w:noProof/>
          <w:sz w:val="20"/>
          <w:szCs w:val="20"/>
        </w:rPr>
      </w:pPr>
    </w:p>
    <w:p w14:paraId="73ED7ED6" w14:textId="4E499C0C" w:rsidR="0064051E" w:rsidRPr="00850096" w:rsidRDefault="0064051E" w:rsidP="00BC0A56">
      <w:pPr>
        <w:spacing w:after="0" w:line="240" w:lineRule="auto"/>
        <w:rPr>
          <w:rFonts w:ascii="Sylfaen" w:hAnsi="Sylfaen"/>
          <w:noProof/>
          <w:sz w:val="20"/>
          <w:szCs w:val="20"/>
          <w:u w:val="single"/>
        </w:rPr>
      </w:pPr>
      <w:r w:rsidRPr="00850096">
        <w:rPr>
          <w:rFonts w:ascii="Sylfaen" w:hAnsi="Sylfaen"/>
          <w:i/>
          <w:iCs/>
          <w:noProof/>
          <w:sz w:val="20"/>
          <w:szCs w:val="20"/>
          <w:u w:val="single"/>
        </w:rPr>
        <w:t>კვლევა DELIVER: გულის უკმარისობა მარცხენა პარკუჭის განდევნის ფრაქციით &gt;40%</w:t>
      </w:r>
    </w:p>
    <w:p w14:paraId="7927C3A3" w14:textId="362EE5F2" w:rsidR="0064051E" w:rsidRPr="00850096" w:rsidRDefault="0064051E" w:rsidP="00FA0370">
      <w:pPr>
        <w:spacing w:after="0" w:line="240" w:lineRule="auto"/>
        <w:jc w:val="both"/>
        <w:rPr>
          <w:rFonts w:ascii="Sylfaen" w:hAnsi="Sylfaen"/>
          <w:noProof/>
          <w:sz w:val="20"/>
          <w:szCs w:val="20"/>
        </w:rPr>
      </w:pPr>
      <w:r w:rsidRPr="00850096">
        <w:rPr>
          <w:rFonts w:ascii="Sylfaen" w:hAnsi="Sylfaen"/>
          <w:noProof/>
          <w:sz w:val="20"/>
          <w:szCs w:val="20"/>
        </w:rPr>
        <w:t>კვლევა DELIVER (Dapagliflozin Evaluation to Improve the LIVEs of Patients with PReserved Ejection Fraction Heart Failure) იყო საერთაშორისო, მრავალცენტრული, რანდომიზებული, ორმაგად ბრმა, პლაცებოთი კონტროლირებადი კვლევა.</w:t>
      </w:r>
    </w:p>
    <w:p w14:paraId="058933A3" w14:textId="77777777" w:rsidR="0064051E" w:rsidRPr="00850096" w:rsidRDefault="0064051E" w:rsidP="00FA0370">
      <w:pPr>
        <w:spacing w:after="0" w:line="240" w:lineRule="auto"/>
        <w:jc w:val="both"/>
        <w:rPr>
          <w:rFonts w:ascii="Sylfaen" w:hAnsi="Sylfaen"/>
          <w:noProof/>
          <w:sz w:val="20"/>
          <w:szCs w:val="20"/>
        </w:rPr>
      </w:pPr>
      <w:r w:rsidRPr="00850096">
        <w:rPr>
          <w:rFonts w:ascii="Sylfaen" w:hAnsi="Sylfaen"/>
          <w:noProof/>
          <w:sz w:val="20"/>
          <w:szCs w:val="20"/>
        </w:rPr>
        <w:t>კვლევაში მონაწილეობდნენ ≥40 წლის პაციენტები, რომლებსაც ჰქონდათ გულის უკმარისობა (NYHA II–IV კლასი), LVEF &gt;40% და გულის სტრუქტურული დაავადების არსებობის მტკიცებულება. კვლევის მიზანი იყო დაპაგლიფლოზინისა და პლაცებოს შედარება გულ-სისხლძარღვთა მიზეზით სიკვდილისა და გულის უკმარისობის გაუარესების სიხშირის მიხედვით.</w:t>
      </w:r>
    </w:p>
    <w:p w14:paraId="7B8EAB95" w14:textId="77777777" w:rsidR="0064051E" w:rsidRPr="00850096" w:rsidRDefault="0064051E" w:rsidP="00FA0370">
      <w:pPr>
        <w:spacing w:after="0" w:line="240" w:lineRule="auto"/>
        <w:jc w:val="both"/>
        <w:rPr>
          <w:rFonts w:ascii="Sylfaen" w:hAnsi="Sylfaen"/>
          <w:noProof/>
          <w:sz w:val="20"/>
          <w:szCs w:val="20"/>
        </w:rPr>
      </w:pPr>
      <w:r w:rsidRPr="00850096">
        <w:rPr>
          <w:rFonts w:ascii="Sylfaen" w:hAnsi="Sylfaen"/>
          <w:noProof/>
          <w:sz w:val="20"/>
          <w:szCs w:val="20"/>
        </w:rPr>
        <w:t>სულ 6,263 პაციენტიდან, 3,131 რანდომიზებული იყო დაპაგლიფლოზინ 10 მგ-ზე, ხოლო 3,132 — პლაცებოზე. პაციენტებს აკვირდებოდნენ მედიანურად 28 თვის განმავლობაში.</w:t>
      </w:r>
    </w:p>
    <w:p w14:paraId="2B597C40" w14:textId="77777777" w:rsidR="0064051E" w:rsidRPr="00850096" w:rsidRDefault="0064051E" w:rsidP="00FA0370">
      <w:pPr>
        <w:spacing w:after="0" w:line="240" w:lineRule="auto"/>
        <w:jc w:val="both"/>
        <w:rPr>
          <w:rFonts w:ascii="Sylfaen" w:hAnsi="Sylfaen"/>
          <w:noProof/>
          <w:sz w:val="20"/>
          <w:szCs w:val="20"/>
        </w:rPr>
      </w:pPr>
      <w:r w:rsidRPr="00850096">
        <w:rPr>
          <w:rFonts w:ascii="Sylfaen" w:hAnsi="Sylfaen"/>
          <w:noProof/>
          <w:sz w:val="20"/>
          <w:szCs w:val="20"/>
        </w:rPr>
        <w:t>კვლევაში შედიოდა 654 (10%) ქვემწვავე გულის უკმარისობის მქონე პაციენტი — ისინი, ვინც რანდომიზებული იყვნენ გულის უკმარისობის გამო ჰოსპიტალიზაციის პერიოდში ან გაწერიდან 30 დღის განმავლობაში.</w:t>
      </w:r>
    </w:p>
    <w:p w14:paraId="23006650" w14:textId="77777777" w:rsidR="0064051E" w:rsidRPr="00850096" w:rsidRDefault="0064051E" w:rsidP="00FA0370">
      <w:pPr>
        <w:spacing w:after="0" w:line="240" w:lineRule="auto"/>
        <w:jc w:val="both"/>
        <w:rPr>
          <w:rFonts w:ascii="Sylfaen" w:hAnsi="Sylfaen"/>
          <w:noProof/>
          <w:sz w:val="20"/>
          <w:szCs w:val="20"/>
        </w:rPr>
      </w:pPr>
      <w:r w:rsidRPr="00850096">
        <w:rPr>
          <w:rFonts w:ascii="Sylfaen" w:hAnsi="Sylfaen"/>
          <w:noProof/>
          <w:sz w:val="20"/>
          <w:szCs w:val="20"/>
        </w:rPr>
        <w:t>კვლევის მონაწილეების საშუალო ასაკი იყო 72 წელი, ხოლო 56% მამაკაცი.</w:t>
      </w:r>
    </w:p>
    <w:p w14:paraId="6793D836" w14:textId="77777777" w:rsidR="0064051E" w:rsidRPr="00850096" w:rsidRDefault="0064051E" w:rsidP="00FA0370">
      <w:pPr>
        <w:spacing w:after="0" w:line="240" w:lineRule="auto"/>
        <w:jc w:val="both"/>
        <w:rPr>
          <w:rFonts w:ascii="Sylfaen" w:hAnsi="Sylfaen"/>
          <w:noProof/>
          <w:sz w:val="20"/>
          <w:szCs w:val="20"/>
        </w:rPr>
      </w:pPr>
      <w:r w:rsidRPr="00850096">
        <w:rPr>
          <w:rFonts w:ascii="Sylfaen" w:hAnsi="Sylfaen"/>
          <w:noProof/>
          <w:sz w:val="20"/>
          <w:szCs w:val="20"/>
        </w:rPr>
        <w:t xml:space="preserve">საწყის ეტაპზე პაციენტების 75% მიეკუთვნებოდა NYHA-ს II კლასს, 24% — III კლასს, ხოლო 0,3% — IV კლასს. მარცხენა პარკუჭის განდევნის ფრაქციის (LVEF) მედიანური მაჩვენებელი 54%-ს შეადგენდა; პაციენტების 34%-ს აღენიშნებოდა LVEF ≤ 49%, 36%-ს — 50-59%, ხოლო 30%-ს — ≥ 60%. თითოეულ </w:t>
      </w:r>
      <w:r w:rsidRPr="00850096">
        <w:rPr>
          <w:rFonts w:ascii="Sylfaen" w:hAnsi="Sylfaen"/>
          <w:noProof/>
          <w:sz w:val="20"/>
          <w:szCs w:val="20"/>
        </w:rPr>
        <w:lastRenderedPageBreak/>
        <w:t>სამკურნალო ჯგუფში პაციენტების 45%-ს ანამნეზში აღენიშნებოდა მე-2 ტიპის შაქრიანი დიაბეტი. საწყისი თერაპია მოიცავდა ACEi/ARB/ARNI-ს (77%), ბეტა-ბლოკერებს (83%), დიურეტიკებს (98%) და MRA-ს (43%).</w:t>
      </w:r>
    </w:p>
    <w:p w14:paraId="2DDA8927" w14:textId="77777777" w:rsidR="0064051E" w:rsidRPr="00850096" w:rsidRDefault="0064051E" w:rsidP="00FA0370">
      <w:pPr>
        <w:spacing w:after="0" w:line="240" w:lineRule="auto"/>
        <w:jc w:val="both"/>
        <w:rPr>
          <w:rFonts w:ascii="Sylfaen" w:hAnsi="Sylfaen"/>
          <w:noProof/>
          <w:sz w:val="20"/>
          <w:szCs w:val="20"/>
        </w:rPr>
      </w:pPr>
      <w:r w:rsidRPr="00850096">
        <w:rPr>
          <w:rFonts w:ascii="Sylfaen" w:hAnsi="Sylfaen"/>
          <w:noProof/>
          <w:sz w:val="20"/>
          <w:szCs w:val="20"/>
        </w:rPr>
        <w:t>eGFR-ის საშუალო მაჩვენებელი იყო 61 მლ/წთ/1,73 მ²; პაციენტების 49%-ს აღენიშნებოდა eGFR &lt; 60 მლ/წთ/1,73 მ², 23%-ს — eGFR &lt; 45 მლ/წთ/1,73 მ², ხოლო 3%-ს — eGFR &lt; 30 მლ/წთ/1,73 მ².</w:t>
      </w:r>
    </w:p>
    <w:p w14:paraId="40DD5FE2" w14:textId="33CC6879" w:rsidR="0064051E" w:rsidRPr="00850096" w:rsidRDefault="0064051E" w:rsidP="00FA0370">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 აღემატებოდა პლაცებოს პირველადი კომბინირებული საბოლოო წერტილის — გულ-სისხლძარღვთა დაავადებით გამოწვეული სიკვდილის, გულის უკმარისობის გამო ჰოსპიტალიზაციის ან გულის უკმარისობის გამო გადაუდებელი ვიზიტის — სიხშირის შემცირების კუთხით (HR 0,82 [95% CI 0,73, 0,92]; p=0,0008) (ნახაზი 5).</w:t>
      </w:r>
    </w:p>
    <w:p w14:paraId="385C38A8" w14:textId="77777777" w:rsidR="0064051E" w:rsidRPr="00850096" w:rsidRDefault="0064051E" w:rsidP="00BC0A56">
      <w:pPr>
        <w:spacing w:after="0" w:line="240" w:lineRule="auto"/>
        <w:rPr>
          <w:rFonts w:ascii="Sylfaen" w:hAnsi="Sylfaen"/>
          <w:noProof/>
          <w:sz w:val="20"/>
          <w:szCs w:val="20"/>
        </w:rPr>
      </w:pPr>
    </w:p>
    <w:p w14:paraId="39800FBF" w14:textId="73FD1A73" w:rsidR="0064051E" w:rsidRPr="00850096" w:rsidRDefault="00DB4C2A" w:rsidP="00BC0A56">
      <w:pPr>
        <w:spacing w:after="0" w:line="240" w:lineRule="auto"/>
        <w:rPr>
          <w:rFonts w:ascii="Sylfaen" w:hAnsi="Sylfaen"/>
          <w:b/>
          <w:bCs/>
          <w:noProof/>
          <w:sz w:val="20"/>
          <w:szCs w:val="20"/>
        </w:rPr>
      </w:pPr>
      <w:r w:rsidRPr="00850096">
        <w:rPr>
          <w:rFonts w:ascii="Sylfaen" w:hAnsi="Sylfaen"/>
          <w:b/>
          <w:bCs/>
          <w:noProof/>
          <w:sz w:val="20"/>
          <w:szCs w:val="20"/>
        </w:rPr>
        <w:t>ნახაზი 5: დრო გულ-სისხლძარღვთა მიზეზით სიკვდილის, გულის უკმარისობის გამო ჰოსპიტალიზაციისა და გულის უკმარისობის გამო გადაუდებელი ვიზიტის კომბინირებული მაჩვენებლის პირველ გამოვლენამდე.</w:t>
      </w:r>
    </w:p>
    <w:p w14:paraId="4D2E22F8" w14:textId="7E005CCE" w:rsidR="00C272A1" w:rsidRPr="001C3C36" w:rsidRDefault="00C272A1" w:rsidP="00BC0A56">
      <w:pPr>
        <w:spacing w:after="0" w:line="240" w:lineRule="auto"/>
        <w:rPr>
          <w:rFonts w:ascii="Sylfaen" w:hAnsi="Sylfaen"/>
          <w:b/>
          <w:bCs/>
          <w:noProof/>
        </w:rPr>
      </w:pPr>
      <w:r w:rsidRPr="001C3C36">
        <w:rPr>
          <w:rFonts w:ascii="Sylfaen" w:eastAsia="Times New Roman" w:hAnsi="Sylfaen" w:cs="Times New Roman"/>
          <w:noProof/>
        </w:rPr>
        <w:drawing>
          <wp:inline distT="0" distB="0" distL="0" distR="0" wp14:anchorId="6EF54D6F" wp14:editId="32E33304">
            <wp:extent cx="4438650" cy="2375899"/>
            <wp:effectExtent l="0" t="0" r="0" b="5715"/>
            <wp:docPr id="20676352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635277" name=""/>
                    <pic:cNvPicPr/>
                  </pic:nvPicPr>
                  <pic:blipFill>
                    <a:blip r:embed="rId11">
                      <a:clrChange>
                        <a:clrFrom>
                          <a:srgbClr val="FFFFFF"/>
                        </a:clrFrom>
                        <a:clrTo>
                          <a:srgbClr val="FFFFFF">
                            <a:alpha val="0"/>
                          </a:srgbClr>
                        </a:clrTo>
                      </a:clrChange>
                    </a:blip>
                    <a:stretch>
                      <a:fillRect/>
                    </a:stretch>
                  </pic:blipFill>
                  <pic:spPr>
                    <a:xfrm>
                      <a:off x="0" y="0"/>
                      <a:ext cx="4448340" cy="2381086"/>
                    </a:xfrm>
                    <a:prstGeom prst="rect">
                      <a:avLst/>
                    </a:prstGeom>
                  </pic:spPr>
                </pic:pic>
              </a:graphicData>
            </a:graphic>
          </wp:inline>
        </w:drawing>
      </w:r>
    </w:p>
    <w:p w14:paraId="0C5965D2" w14:textId="77777777" w:rsidR="00C272A1" w:rsidRPr="00850096" w:rsidRDefault="00C272A1" w:rsidP="00FA0370">
      <w:pPr>
        <w:spacing w:after="0" w:line="240" w:lineRule="auto"/>
        <w:jc w:val="both"/>
        <w:rPr>
          <w:rFonts w:ascii="Sylfaen" w:hAnsi="Sylfaen"/>
          <w:noProof/>
          <w:sz w:val="20"/>
          <w:szCs w:val="20"/>
        </w:rPr>
      </w:pPr>
      <w:r w:rsidRPr="00850096">
        <w:rPr>
          <w:rFonts w:ascii="Sylfaen" w:hAnsi="Sylfaen"/>
          <w:noProof/>
          <w:sz w:val="20"/>
          <w:szCs w:val="20"/>
        </w:rPr>
        <w:t>გადაუდებელი გულის უკმარისობის ვიზიტი განისაზღვრა, როგორც სასწრაფო, დაუგეგმავი, ექიმის შეფასება, ე.ი. გადაუდებელი დახმარების განყოფილებაში და საჭიროებს მკურნალობას გულის უკმარისობის გაუარესებისთვის (გარდა მხოლოდ ორალური დიურეზულების გაზრდისა). რისკის ქვეშ მყოფი პაციენტები არის რისკის ქვეშ მყოფი პაციენტების რაოდენობა პერიოდის დასაწყისში.</w:t>
      </w:r>
    </w:p>
    <w:p w14:paraId="2F2E9761" w14:textId="77777777" w:rsidR="00E26D2E" w:rsidRDefault="00E26D2E" w:rsidP="00FA0370">
      <w:pPr>
        <w:spacing w:after="0" w:line="240" w:lineRule="auto"/>
        <w:jc w:val="both"/>
        <w:rPr>
          <w:rFonts w:ascii="Sylfaen" w:hAnsi="Sylfaen"/>
          <w:noProof/>
          <w:sz w:val="20"/>
          <w:szCs w:val="20"/>
        </w:rPr>
      </w:pPr>
    </w:p>
    <w:p w14:paraId="5B2F099D" w14:textId="297232EA" w:rsidR="00C272A1" w:rsidRDefault="00C272A1" w:rsidP="00FA0370">
      <w:pPr>
        <w:spacing w:after="0" w:line="240" w:lineRule="auto"/>
        <w:jc w:val="both"/>
        <w:rPr>
          <w:rFonts w:ascii="Sylfaen" w:hAnsi="Sylfaen"/>
          <w:noProof/>
          <w:sz w:val="20"/>
          <w:szCs w:val="20"/>
        </w:rPr>
      </w:pPr>
      <w:r w:rsidRPr="00850096">
        <w:rPr>
          <w:rFonts w:ascii="Sylfaen" w:hAnsi="Sylfaen"/>
          <w:noProof/>
          <w:sz w:val="20"/>
          <w:szCs w:val="20"/>
        </w:rPr>
        <w:t>ნახაზი 6 ასახავს პირველადი კომპოზიტური საბოლოო წერტილის სამი კომპონენტის წვლილს მკურნალობის ეფექტში.</w:t>
      </w:r>
    </w:p>
    <w:p w14:paraId="64ABFBF3" w14:textId="77777777" w:rsidR="00FA0370" w:rsidRPr="00850096" w:rsidRDefault="00FA0370" w:rsidP="00FA0370">
      <w:pPr>
        <w:spacing w:after="0" w:line="240" w:lineRule="auto"/>
        <w:jc w:val="both"/>
        <w:rPr>
          <w:rFonts w:ascii="Sylfaen" w:hAnsi="Sylfaen"/>
          <w:noProof/>
          <w:sz w:val="20"/>
          <w:szCs w:val="20"/>
        </w:rPr>
      </w:pPr>
    </w:p>
    <w:p w14:paraId="6AECBDDB" w14:textId="35211CE8" w:rsidR="00C272A1" w:rsidRPr="00850096" w:rsidRDefault="00C272A1" w:rsidP="00FA0370">
      <w:pPr>
        <w:spacing w:after="0" w:line="240" w:lineRule="auto"/>
        <w:jc w:val="both"/>
        <w:rPr>
          <w:rFonts w:ascii="Sylfaen" w:hAnsi="Sylfaen"/>
          <w:b/>
          <w:bCs/>
          <w:noProof/>
          <w:sz w:val="20"/>
          <w:szCs w:val="20"/>
        </w:rPr>
      </w:pPr>
      <w:r w:rsidRPr="00850096">
        <w:rPr>
          <w:rFonts w:ascii="Sylfaen" w:hAnsi="Sylfaen"/>
          <w:b/>
          <w:bCs/>
          <w:noProof/>
          <w:sz w:val="20"/>
          <w:szCs w:val="20"/>
        </w:rPr>
        <w:t>ნახაზი 6: მკურნალობის ეფექტები პირველადი კომპოზიტური საბოლოო მაჩვენებლისა და მისი კომპონენტების მიხედვით</w:t>
      </w:r>
    </w:p>
    <w:p w14:paraId="34AFEFE3" w14:textId="4EDB4E37" w:rsidR="0064051E" w:rsidRPr="001C3C36" w:rsidRDefault="00C272A1" w:rsidP="00BC0A56">
      <w:pPr>
        <w:spacing w:after="0" w:line="240" w:lineRule="auto"/>
        <w:rPr>
          <w:rFonts w:ascii="Sylfaen" w:hAnsi="Sylfaen"/>
          <w:noProof/>
        </w:rPr>
      </w:pPr>
      <w:r w:rsidRPr="001C3C36">
        <w:rPr>
          <w:rFonts w:ascii="Sylfaen" w:eastAsia="Times New Roman" w:hAnsi="Sylfaen" w:cs="Times New Roman"/>
          <w:noProof/>
        </w:rPr>
        <w:lastRenderedPageBreak/>
        <w:drawing>
          <wp:inline distT="0" distB="0" distL="0" distR="0" wp14:anchorId="4E5463C7" wp14:editId="39A540BE">
            <wp:extent cx="5324475" cy="3037253"/>
            <wp:effectExtent l="0" t="0" r="0" b="0"/>
            <wp:docPr id="486265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265996" name=""/>
                    <pic:cNvPicPr/>
                  </pic:nvPicPr>
                  <pic:blipFill>
                    <a:blip r:embed="rId12">
                      <a:clrChange>
                        <a:clrFrom>
                          <a:srgbClr val="FFFFFF"/>
                        </a:clrFrom>
                        <a:clrTo>
                          <a:srgbClr val="FFFFFF">
                            <a:alpha val="0"/>
                          </a:srgbClr>
                        </a:clrTo>
                      </a:clrChange>
                    </a:blip>
                    <a:stretch>
                      <a:fillRect/>
                    </a:stretch>
                  </pic:blipFill>
                  <pic:spPr>
                    <a:xfrm>
                      <a:off x="0" y="0"/>
                      <a:ext cx="5351203" cy="3052499"/>
                    </a:xfrm>
                    <a:prstGeom prst="rect">
                      <a:avLst/>
                    </a:prstGeom>
                  </pic:spPr>
                </pic:pic>
              </a:graphicData>
            </a:graphic>
          </wp:inline>
        </w:drawing>
      </w:r>
    </w:p>
    <w:p w14:paraId="63842E74"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გადაუდებელი ვიზიტი გულის უკმარისობის გამო განისაზღვრებოდა როგორც ექიმის მიერ ჩატარებული გადაუდებელი, დაუგეგმავი შეფასება, მაგალითად, გადაუდებელი დახმარების განყოფილებაში, რომელიც საჭიროებდა მკურნალობას გულის უკმარისობის გაუარესების გამო (გარდა მხოლოდ პერორალური დიურეტიკის დოზის გაზრდისა).</w:t>
      </w:r>
    </w:p>
    <w:p w14:paraId="60F6F679"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ცალკეული კომპონენტებისთვის პირველი მოვლენების რაოდენობა წარმოადგენს თითოეული კომპონენტის მიხედვით რეალურად გამოვლენილი პირველი მოვლენების რაოდენობას და მათი ჯამი არ ემთხვევა კომპოზიტური საბოლოო მაჩვენებლის მოვლენების საერთო რაოდენობას.</w:t>
      </w:r>
    </w:p>
    <w:p w14:paraId="7D5A7418"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მოვლენების სიხშირე წარმოდგენილია როგორც მოვლენის მქონე პაციენტების რაოდენობა 100 პაციენტ-წელზე დაკვირვების პერიოდში.</w:t>
      </w:r>
    </w:p>
    <w:p w14:paraId="1224AB64"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გულ-სისხლძარღვთა მიზეზით სიკვდილი, რომელიც აქ წარმოდგენილია როგორც პირველადი საბოლოო მაჩვენებლის ერთ-ერთი კომპონენტი, ასევე შეფასდა ფორმალური I ტიპის შეცდომის კონტროლის პირობებში, როგორც მეორეული საბოლოო მაჩვენებელი.</w:t>
      </w:r>
    </w:p>
    <w:p w14:paraId="23CFD9BF"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 პლაცებოსთან შედარებით უფრო ეფექტური იყო გულის უკმარისობის მოვლენების საერთო რაოდენობის (გულის უკმარისობის გამო პირველი და განმეორებითი ჰოსპიტალიზაციები ან გულის უკმარისობის გამო გადაუდებელი ვიზიტები) და გულ-სისხლძარღვთა მიზეზით სიკვდილის შემცირებაში.</w:t>
      </w:r>
    </w:p>
    <w:p w14:paraId="660A9DE4" w14:textId="3C37C816" w:rsidR="00C272A1"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ჯგუფში დაფიქსირდა 815 შემთხვევა, ხოლო პლაცებოს ჯგუფში — 1057 შემთხვევა (სიხშირის შეფარდება: 0,77 [95%-იანი სანდოობის ინტერვალი: 0,67; 0,89]; p=0,0003).</w:t>
      </w:r>
    </w:p>
    <w:p w14:paraId="047210C1" w14:textId="4730A65C"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პირველად საბოლოო წერტილზე დაპაგლიფლოზინის თერაპიული უპირატესობა პლაცებოსთან შედარებით გამოვლინდა პაციენტთა იმ ქვეჯგუფებში, რომლებსაც აღენიშნებოდათ LVEF (მარცხენა პარკუჭის განდევნის ფრაქცია) ≤ 49%, 50–59% და ≥ 60%. ეფექტები ასევე თანმიმდევრული იყო სხვა ძირითად ქვეჯგუფებში, რომლებიც კლასიფიცირებული იყო ისეთი პარამეტრების მიხედვით, როგორიცაა ასაკი, სქესი, NYHA-ს კლასი, NT-proBNP-ის დონე, ქვემწვავე სტატუსი და II ტიპის შაქრიანი დიაბეტის სტატუსი.</w:t>
      </w:r>
    </w:p>
    <w:p w14:paraId="12C77CBB" w14:textId="36452774" w:rsidR="002A63D2" w:rsidRPr="00850096" w:rsidRDefault="002A63D2" w:rsidP="009614B1">
      <w:pPr>
        <w:spacing w:after="0" w:line="240" w:lineRule="auto"/>
        <w:jc w:val="both"/>
        <w:rPr>
          <w:rFonts w:ascii="Sylfaen" w:hAnsi="Sylfaen"/>
          <w:i/>
          <w:iCs/>
          <w:noProof/>
          <w:sz w:val="20"/>
          <w:szCs w:val="20"/>
        </w:rPr>
      </w:pPr>
      <w:r w:rsidRPr="00850096">
        <w:rPr>
          <w:rFonts w:ascii="Sylfaen" w:hAnsi="Sylfaen"/>
          <w:i/>
          <w:iCs/>
          <w:noProof/>
          <w:sz w:val="20"/>
          <w:szCs w:val="20"/>
        </w:rPr>
        <w:t>პაციენტის მიერ შეფასებული შედეგები — გულის უკმარისობის სიმპტომები</w:t>
      </w:r>
    </w:p>
    <w:p w14:paraId="6202742E"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დაპაგლიფლოზინით მკურნალობამ პლაცებოსთან შედარებით სტატისტიკურად მნიშვნელოვანი სარგებელი განაპირობა გულის უკმარისობის სიმპტომების კუთხით; ეს შეფასდა KCCQ-TSS-ის (კანზასის ქალაქის კარდიომიოპათიის კითხვარი — სიმპტომების საერთო ქულა) საწყის მაჩვენებელთან შედარებით მე-8 თვეს მომხდარი ცვლილების საფუძველზე (მოგების შეფარდება [Win Ratio]: 1,11 [95%-იანი სანდოობის ინტერვალი: 1,03; 1,21]; p=0,0086). შედეგებზე გავლენა მოახდინა როგორც სიმპტომების სიხშირემ, ისე სიმპტომების სიმძიმემ.</w:t>
      </w:r>
    </w:p>
    <w:p w14:paraId="292A0654" w14:textId="1D180A36" w:rsidR="002A63D2"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 xml:space="preserve">პასუხის მქონე პაციენტთა ანალიზისას (responder analyses), დაპაგლიფლოზინის ჯგუფში მყოფი პაციენტების 24,1%-ს (პლაცებოს ჯგუფში — 29,1%-ს) აღენიშნებოდა მდგომარეობის ზომიერი გაუარესება </w:t>
      </w:r>
      <w:r w:rsidRPr="00850096">
        <w:rPr>
          <w:rFonts w:ascii="Sylfaen" w:hAnsi="Sylfaen"/>
          <w:noProof/>
          <w:sz w:val="20"/>
          <w:szCs w:val="20"/>
        </w:rPr>
        <w:lastRenderedPageBreak/>
        <w:t>(შანსების ფარდობა: 0,78 [95%-იანი სანდოობის ინტერვალი: 0,64; 0,95]), ხოლო დაპაგლიფლოზინის ჯგუფში მყოფი პაციენტების 13,5%-ს (პლაცებოს ჯგუფში — 18,4%-ს) — მდგომარეობის მნიშვნელოვანი გაუარესება (შანსების ფარდობა: 0,70 [95%-იანი სანდოობის ინტერვალი: 0,55; 0,88]). მკურნალობის ჯგუფებს შორის არ გამოვლენილა განსხვავება იმ პაციენტთა წილში, რომლებსაც აღენიშნებოდათ მდგომარეობის მცირე ან ზომიერი გაუმჯობესება (≥ 13 ქულა) ან მნიშვნელოვანი გაუმჯობესება (≥ 17 ქულა).</w:t>
      </w:r>
    </w:p>
    <w:p w14:paraId="03090A00" w14:textId="77777777" w:rsidR="009614B1" w:rsidRPr="00850096" w:rsidRDefault="009614B1" w:rsidP="009614B1">
      <w:pPr>
        <w:spacing w:after="0" w:line="240" w:lineRule="auto"/>
        <w:jc w:val="both"/>
        <w:rPr>
          <w:rFonts w:ascii="Sylfaen" w:hAnsi="Sylfaen"/>
          <w:noProof/>
          <w:sz w:val="20"/>
          <w:szCs w:val="20"/>
        </w:rPr>
      </w:pPr>
    </w:p>
    <w:p w14:paraId="01DF1B31" w14:textId="77777777" w:rsidR="002A63D2" w:rsidRPr="00850096" w:rsidRDefault="002A63D2" w:rsidP="009614B1">
      <w:pPr>
        <w:spacing w:after="0" w:line="240" w:lineRule="auto"/>
        <w:jc w:val="both"/>
        <w:rPr>
          <w:rFonts w:ascii="Sylfaen" w:hAnsi="Sylfaen"/>
          <w:i/>
          <w:iCs/>
          <w:noProof/>
          <w:sz w:val="20"/>
          <w:szCs w:val="20"/>
          <w:u w:val="single"/>
        </w:rPr>
      </w:pPr>
      <w:r w:rsidRPr="00850096">
        <w:rPr>
          <w:rFonts w:ascii="Sylfaen" w:hAnsi="Sylfaen"/>
          <w:i/>
          <w:iCs/>
          <w:noProof/>
          <w:sz w:val="20"/>
          <w:szCs w:val="20"/>
          <w:u w:val="single"/>
        </w:rPr>
        <w:t>გულის უკმარისობა DAPA-HF და DELIVER კვლევებში</w:t>
      </w:r>
    </w:p>
    <w:p w14:paraId="6722DE65"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DAPA-HF და DELIVER კვლევების გაერთიანებულ ანალიზში, დაპაგლიფლოზინის ეფექტი პლაცებოსთან შედარებით — ისეთ კომბინირებულ საბოლოო წერტილზე, როგორიცაა გულ-სისხლძარღვთა დაავადებით გამოწვეული სიკვდილი, გულის უკმარისობის გამო ჰოსპიტალიზაცია ან გულის უკმარისობის გამო გადაუდებელი ვიზიტი — ხასიათდებოდა რისკის შეფარდებით (HR) 0,78 (95%-იანი სანდოობის ინტერვალი: 0,72; 0,85; p &lt; 0,0001). მკურნალობის ეფექტი თანმიმდევრული იყო მარცხენა პარკუჭის განდევნის ფრაქციის (LVEF) მთელ დიაპაზონში და არ შესუსტებულა LVEF-ის მაჩვენებლის ცვლილების კვალდაკვალ.</w:t>
      </w:r>
    </w:p>
    <w:p w14:paraId="3FBAC05B"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DAPA-HF და DELIVER კვლევების წინასწარ განსაზღვრულ, პაციენტთა მონაცემებზე დაფუძნებულ გაერთიანებულ ანალიზში, პლაცებოსთან შედარებით, დაპაგლიფლოზინმა შეამცირა გულ-სისხლძარღვთა დაავადებით გამოწვეული სიკვდილის რისკი (HR 0,85 [95%-იანი სანდოობის ინტერვალი: 0,75; 0,96]; p=0,0115).</w:t>
      </w:r>
    </w:p>
    <w:p w14:paraId="530B9A8D" w14:textId="7F34E555" w:rsidR="009614B1"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ეფექტის მიღწევაში ორივე კვლევამ შეიტანა წვლილი.</w:t>
      </w:r>
    </w:p>
    <w:p w14:paraId="3040948C" w14:textId="77777777" w:rsidR="002A63D2" w:rsidRPr="00850096" w:rsidRDefault="002A63D2" w:rsidP="00BC0A56">
      <w:pPr>
        <w:spacing w:after="0" w:line="240" w:lineRule="auto"/>
        <w:rPr>
          <w:rFonts w:ascii="Sylfaen" w:hAnsi="Sylfaen"/>
          <w:i/>
          <w:iCs/>
          <w:noProof/>
          <w:sz w:val="20"/>
          <w:szCs w:val="20"/>
          <w:u w:val="single"/>
        </w:rPr>
      </w:pPr>
      <w:r w:rsidRPr="00850096">
        <w:rPr>
          <w:rFonts w:ascii="Sylfaen" w:hAnsi="Sylfaen"/>
          <w:i/>
          <w:iCs/>
          <w:noProof/>
          <w:sz w:val="20"/>
          <w:szCs w:val="20"/>
          <w:u w:val="single"/>
        </w:rPr>
        <w:t>თირკმლის ქრონიკული დაავადება</w:t>
      </w:r>
    </w:p>
    <w:p w14:paraId="388F9627"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კვლევა „დაპაგლიფლოზინის გავლენის შეფასება თირკმლის ფუნქციურ გამოსავალსა და გულ-სისხლძარღვთა დაავადებებით გამოწვეულ სიკვდილიანობაზე თირკმლის ქრონიკული დაავადების მქონე პაციენტებში“ (DAPA-CKD) იყო საერთაშორისო, მრავალცენტრიანი, რანდომიზებული, ორმაგად ბრმა, პლაცებო-კონტროლირებადი კვლევა. მასში მონაწილეობდნენ თირკმლის ქრონიკული დაავადების (CKD) მქონე პაციენტები, რომლებსაც აღენიშნებოდათ eGFR (გლომერულური ფილტრაციის სავარაუდო სიჩქარე) ≥ 25-დან ≤ 75 მლ/წთ/1.73 მ²-მდე დიაპაზონში და ალბუმინურია (UACR ≥ 200-დან ≤ 5000 მგ/გ-მდე). კვლევის მიზანი იყო დაპაგლიფლოზინის ეფექტის შეფასება პლაცებოსთან შედარებით (სტანდარტულ თერაპიაზე დამატებისას) ისეთ კომბინირებულ საბოლოო წერტილზე, როგორიცაა: eGFR-ის ≥ 50%-იანი მდგრადი კლება; თირკმლის ტერმინალური სტადიის დაავადება (ESKD) (განისაზღვრება, როგორც eGFR-ის მდგრადი მაჩვენებელი &lt; 15 მლ/წთ/1.73 მ², ქრონიკული დიალიზი ან თირკმლის ტრანსპლანტაცია); და გულ-სისხლძარღვთა ან თირკმლის დაავადებით გამოწვეული სიკვდილი.</w:t>
      </w:r>
    </w:p>
    <w:p w14:paraId="77802118"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სულ 4 304 პაციენტიდან 2 152 რანდომიზებულ იქნა დაპაგლიფლოზინის (10 მგ) ჯგუფში, ხოლო 2 152 — პლაცებოს ჯგუფში; დაკვირვება გრძელდებოდა მედიანურად 28,5 თვის განმავლობაში. მკურნალობა გრძელდებოდა იმ შემთხვევაშიც, თუ კვლევის მიმდინარეობისას eGFR 25 მლ/წთ/1.73 მ²-ზე დაბალ დონემდე დაიკლებდა; ასევე, მკურნალობის გაგრძელება შესაძლებელი იყო დიალიზის საჭიროების შემთხვევაშიც.</w:t>
      </w:r>
    </w:p>
    <w:p w14:paraId="497F73CC" w14:textId="1CC9F16F"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კვლევაში მონაწილეთა საშუალო ასაკი 61,8 წელს შეადგენდა, ხოლო 66,9% მამაკაცი იყო. საწყის ეტაპზე eGFR-ის საშუალო მაჩვენებელი იყო 43,1 მლ/წთ/1.73 მ², ხოლო UACR-ის მედიანური მაჩვენებელი — 949,3 მგ/გ; პაციენტების 44,1%-ს აღენიშნებოდა eGFR 30-დან &lt; 45 მლ/წთ/1.73 მ²-მდე, ხოლო 14,5%-ს — eGFR &lt; 30 მლ/წთ/1.73 მ². პაციენტების 67,5%-ს ჰქონდა მე-2 ტიპის შაქრიანი დიაბეტი. პაციენტები იღებდნენ სტანდარტულ თერაპიას (SOC); კერძოდ, 97,0%-ს უტარდებოდა მკურნალობა ანგიოტენზინ-გარდამქმნელი ფერმენტის ინჰიბიტორით (ACEi) ან ანგიოტენზინის რეცეპტორების ბლოკატორით (ARB). კვლევა დამოუკიდებელი მონაცემთა მონიტორინგის კომიტეტის რეკომენდაციის საფუძველზე, დაგეგმილ ანალიზამდე ეფექტურობის თვალსაზრისით ნაადრევად შეწყდა. დაპაგლიფლოზინი პლაცებოსთან შედარებით უკეთესი იყო eGFR-ის ≥ 50%-ით მდგრადი შემცირების პირველადი კომპლექსური საბოლოო წერტილის, თირკმლის დაავადების ბოლო სტადიის, გულ-სისხლძარღვთა ან თირკმლისმიერი სიკვდილის პრევენციის თვალსაზრისით. პირველადი კომპლექსური საბოლოო წერტილის პირველ გამოვლენამდე დროის კაპლან-მაიერის დიაგრამის მიხედვით, მკურნალობის ეფექტი აშკარა იყო 4 თვიდან და შენარჩუნდა კვლევის დასრულებამდე (ნახაზი 7).</w:t>
      </w:r>
    </w:p>
    <w:p w14:paraId="51933122" w14:textId="77777777" w:rsidR="002A63D2" w:rsidRPr="00850096" w:rsidRDefault="002A63D2" w:rsidP="00BC0A56">
      <w:pPr>
        <w:spacing w:after="0" w:line="240" w:lineRule="auto"/>
        <w:rPr>
          <w:rFonts w:ascii="Sylfaen" w:hAnsi="Sylfaen"/>
          <w:noProof/>
          <w:sz w:val="20"/>
          <w:szCs w:val="20"/>
        </w:rPr>
      </w:pPr>
    </w:p>
    <w:p w14:paraId="6265DF69" w14:textId="723CE3E5" w:rsidR="002A63D2" w:rsidRPr="00850096" w:rsidRDefault="002A63D2" w:rsidP="00BC0A56">
      <w:pPr>
        <w:spacing w:after="0" w:line="240" w:lineRule="auto"/>
        <w:rPr>
          <w:rFonts w:ascii="Sylfaen" w:hAnsi="Sylfaen"/>
          <w:b/>
          <w:bCs/>
          <w:noProof/>
          <w:sz w:val="20"/>
          <w:szCs w:val="20"/>
        </w:rPr>
      </w:pPr>
      <w:r w:rsidRPr="00850096">
        <w:rPr>
          <w:rFonts w:ascii="Sylfaen" w:hAnsi="Sylfaen"/>
          <w:b/>
          <w:bCs/>
          <w:noProof/>
          <w:sz w:val="20"/>
          <w:szCs w:val="20"/>
        </w:rPr>
        <w:lastRenderedPageBreak/>
        <w:t>ნახაზი 7: დრო პირველადი კომბინირებული საბოლოო წერტილის (eGFR-ის ≥ 50%-იანი მდგრადი შემცირება, თირკმლის ტერმინალური სტადიის დაავადება, გულ-სისხლძარღვოვანი ან თირკმლისმიერი მიზეზით სიკვდილი) პირველ გამოვლენამდე.</w:t>
      </w:r>
    </w:p>
    <w:p w14:paraId="04D42FB7" w14:textId="72B12972" w:rsidR="002A63D2" w:rsidRPr="001C3C36" w:rsidRDefault="002A63D2" w:rsidP="00BC0A56">
      <w:pPr>
        <w:spacing w:after="0" w:line="240" w:lineRule="auto"/>
        <w:rPr>
          <w:rFonts w:ascii="Sylfaen" w:hAnsi="Sylfaen"/>
          <w:b/>
          <w:bCs/>
          <w:noProof/>
        </w:rPr>
      </w:pPr>
      <w:r w:rsidRPr="001C3C36">
        <w:rPr>
          <w:rFonts w:ascii="Sylfaen" w:eastAsia="Times New Roman" w:hAnsi="Sylfaen" w:cs="Times New Roman"/>
          <w:noProof/>
        </w:rPr>
        <w:drawing>
          <wp:inline distT="0" distB="0" distL="0" distR="0" wp14:anchorId="118FE617" wp14:editId="22A96FB2">
            <wp:extent cx="4476750" cy="2676953"/>
            <wp:effectExtent l="0" t="0" r="0" b="9525"/>
            <wp:docPr id="17897912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791280" name=""/>
                    <pic:cNvPicPr/>
                  </pic:nvPicPr>
                  <pic:blipFill>
                    <a:blip r:embed="rId13">
                      <a:clrChange>
                        <a:clrFrom>
                          <a:srgbClr val="FFFFFF"/>
                        </a:clrFrom>
                        <a:clrTo>
                          <a:srgbClr val="FFFFFF">
                            <a:alpha val="0"/>
                          </a:srgbClr>
                        </a:clrTo>
                      </a:clrChange>
                    </a:blip>
                    <a:stretch>
                      <a:fillRect/>
                    </a:stretch>
                  </pic:blipFill>
                  <pic:spPr>
                    <a:xfrm>
                      <a:off x="0" y="0"/>
                      <a:ext cx="4502135" cy="2692132"/>
                    </a:xfrm>
                    <a:prstGeom prst="rect">
                      <a:avLst/>
                    </a:prstGeom>
                  </pic:spPr>
                </pic:pic>
              </a:graphicData>
            </a:graphic>
          </wp:inline>
        </w:drawing>
      </w:r>
    </w:p>
    <w:p w14:paraId="0C390297" w14:textId="77777777" w:rsidR="009614B1" w:rsidRDefault="009614B1" w:rsidP="009614B1">
      <w:pPr>
        <w:spacing w:after="0" w:line="240" w:lineRule="auto"/>
        <w:jc w:val="both"/>
        <w:rPr>
          <w:rFonts w:ascii="Sylfaen" w:hAnsi="Sylfaen"/>
          <w:noProof/>
          <w:sz w:val="20"/>
          <w:szCs w:val="20"/>
        </w:rPr>
      </w:pPr>
    </w:p>
    <w:p w14:paraId="342F03F0" w14:textId="2B4EE1CB"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რისკის ქვეშ მყოფი პაციენტები პერიოდის დასაწყისში რისკის ქვეშ მყოფი პაციენტების რაოდენობაა.</w:t>
      </w:r>
    </w:p>
    <w:p w14:paraId="67B2ED27" w14:textId="69A8BAC9"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პირველადი კომბინირებული საბოლოო წერტილის ოთხივე კომპონენტმა ინდივიდუალურად შეიტანა წვლილი მკურნალობის ეფექტში. დაპაგლიფლოზინმა ასევე შეამცირა eGFR-ის ≥ 50%-ით მდგრადი შემცირების კომბინირებული საბოლოო წერტილის, თირკმლის უკმარისობის ბოლო სტადიის ან თირკმლისმიერი სიკვდილის და გულ-სისხლძარღვთა სიკვდილის და გულის უკმარისობის გამო ჰოსპიტალიზაციის კომბინირებული საბოლოო წერტილის შემთხვევები. დაპაგლიფლოზინით მკურნალობამ გააუმჯობესა ქრონიკული თირკმლის დაავადების მქონე პაციენტებში საერთო გადარჩენადობა ყველა მიზეზით გამოწვეული სიკვდილიანობის მნიშვნელოვანი შემცირებით (ნახაზი 8).</w:t>
      </w:r>
    </w:p>
    <w:p w14:paraId="030A6FD6" w14:textId="77777777" w:rsidR="002A63D2" w:rsidRPr="00850096" w:rsidRDefault="002A63D2" w:rsidP="009614B1">
      <w:pPr>
        <w:spacing w:after="0" w:line="240" w:lineRule="auto"/>
        <w:jc w:val="both"/>
        <w:rPr>
          <w:rFonts w:ascii="Sylfaen" w:hAnsi="Sylfaen"/>
          <w:noProof/>
          <w:sz w:val="20"/>
          <w:szCs w:val="20"/>
        </w:rPr>
      </w:pPr>
    </w:p>
    <w:p w14:paraId="04CF8FA6" w14:textId="3D677846" w:rsidR="002A63D2" w:rsidRPr="00850096" w:rsidRDefault="002A63D2" w:rsidP="009614B1">
      <w:pPr>
        <w:spacing w:after="0" w:line="240" w:lineRule="auto"/>
        <w:jc w:val="both"/>
        <w:rPr>
          <w:rFonts w:ascii="Sylfaen" w:hAnsi="Sylfaen"/>
          <w:b/>
          <w:bCs/>
          <w:noProof/>
          <w:sz w:val="20"/>
          <w:szCs w:val="20"/>
        </w:rPr>
      </w:pPr>
      <w:r w:rsidRPr="00850096">
        <w:rPr>
          <w:rFonts w:ascii="Sylfaen" w:hAnsi="Sylfaen"/>
          <w:b/>
          <w:bCs/>
          <w:noProof/>
          <w:sz w:val="20"/>
          <w:szCs w:val="20"/>
        </w:rPr>
        <w:t>ნახაზი 8: მკურნალობის ეფექტი პირველად და მეორად კომბინირებულ საბოლოო წერტილებზე, მათ ცალკეულ კომპონენტებსა და ნებისმიერი მიზეზით გამოწვეულ სიკვდილიანობაზე.</w:t>
      </w:r>
    </w:p>
    <w:p w14:paraId="18AE7994" w14:textId="787AF389" w:rsidR="002A63D2" w:rsidRPr="001C3C36" w:rsidRDefault="002A63D2" w:rsidP="00BC0A56">
      <w:pPr>
        <w:spacing w:after="0" w:line="240" w:lineRule="auto"/>
        <w:rPr>
          <w:rFonts w:ascii="Sylfaen" w:hAnsi="Sylfaen"/>
          <w:b/>
          <w:bCs/>
          <w:noProof/>
        </w:rPr>
      </w:pPr>
      <w:r w:rsidRPr="001C3C36">
        <w:rPr>
          <w:rFonts w:ascii="Sylfaen" w:hAnsi="Sylfaen" w:cs="Times New Roman"/>
          <w:noProof/>
        </w:rPr>
        <w:lastRenderedPageBreak/>
        <w:drawing>
          <wp:inline distT="0" distB="0" distL="0" distR="0" wp14:anchorId="1FDDC7A2" wp14:editId="01BAB10D">
            <wp:extent cx="4490477" cy="5562600"/>
            <wp:effectExtent l="0" t="0" r="5715" b="0"/>
            <wp:docPr id="98843510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4508604" cy="5585054"/>
                    </a:xfrm>
                    <a:prstGeom prst="rect">
                      <a:avLst/>
                    </a:prstGeom>
                    <a:noFill/>
                    <a:ln>
                      <a:noFill/>
                    </a:ln>
                  </pic:spPr>
                </pic:pic>
              </a:graphicData>
            </a:graphic>
          </wp:inline>
        </w:drawing>
      </w:r>
    </w:p>
    <w:p w14:paraId="0562FD40" w14:textId="77777777" w:rsidR="002A63D2" w:rsidRPr="001C3C36" w:rsidRDefault="002A63D2" w:rsidP="009614B1">
      <w:pPr>
        <w:spacing w:after="0" w:line="240" w:lineRule="auto"/>
        <w:jc w:val="both"/>
        <w:rPr>
          <w:rFonts w:ascii="Sylfaen" w:hAnsi="Sylfaen"/>
          <w:noProof/>
          <w:sz w:val="18"/>
          <w:szCs w:val="18"/>
        </w:rPr>
      </w:pPr>
      <w:r w:rsidRPr="001C3C36">
        <w:rPr>
          <w:rFonts w:ascii="Sylfaen" w:hAnsi="Sylfaen"/>
          <w:noProof/>
          <w:sz w:val="18"/>
          <w:szCs w:val="18"/>
        </w:rPr>
        <w:t>ცალკეული კომპონენტებისთვის „პირველი შემთხვევების“ რაოდენობა წარმოადგენს თითოეული კომპონენტის მიხედვით დაფიქსირებულ პირველად შემთხვევათა რეალურ რაოდენობას და არ უტოლდება კომბინირებული საბოლოო წერტილის (composite endpoint) ფარგლებში არსებულ შემთხვევათა ჯამურ რაოდენობას.</w:t>
      </w:r>
    </w:p>
    <w:p w14:paraId="419A3ED1" w14:textId="77777777" w:rsidR="002A63D2" w:rsidRPr="001C3C36" w:rsidRDefault="002A63D2" w:rsidP="009614B1">
      <w:pPr>
        <w:spacing w:after="0" w:line="240" w:lineRule="auto"/>
        <w:jc w:val="both"/>
        <w:rPr>
          <w:rFonts w:ascii="Sylfaen" w:hAnsi="Sylfaen"/>
          <w:noProof/>
          <w:sz w:val="18"/>
          <w:szCs w:val="18"/>
        </w:rPr>
      </w:pPr>
      <w:r w:rsidRPr="001C3C36">
        <w:rPr>
          <w:rFonts w:ascii="Sylfaen" w:hAnsi="Sylfaen"/>
          <w:noProof/>
          <w:sz w:val="18"/>
          <w:szCs w:val="18"/>
        </w:rPr>
        <w:t>შემთხვევათა სიხშირე წარმოდგენილია როგორც იმ პაციენტთა რაოდენობა, რომლებსაც აღენიშნებოდათ შესაბამისი შემთხვევა, დაკვირვების პერიოდის ყოველ 100 პაციენტ-წელზე გაანგარიშებით.</w:t>
      </w:r>
    </w:p>
    <w:p w14:paraId="5568A51A" w14:textId="77777777" w:rsidR="002A63D2" w:rsidRDefault="002A63D2" w:rsidP="009614B1">
      <w:pPr>
        <w:spacing w:after="0" w:line="240" w:lineRule="auto"/>
        <w:jc w:val="both"/>
        <w:rPr>
          <w:rFonts w:ascii="Sylfaen" w:hAnsi="Sylfaen"/>
          <w:noProof/>
          <w:sz w:val="18"/>
          <w:szCs w:val="18"/>
        </w:rPr>
      </w:pPr>
      <w:r w:rsidRPr="001C3C36">
        <w:rPr>
          <w:rFonts w:ascii="Sylfaen" w:hAnsi="Sylfaen"/>
          <w:noProof/>
          <w:sz w:val="18"/>
          <w:szCs w:val="18"/>
        </w:rPr>
        <w:t>რისკის თანაფარდობის (HR) შეფასებები არ არის წარმოდგენილი იმ ქვეჯგუფებისთვის, სადაც ჯამურად (ორივე ჯგუფის გაერთიანებით) 15-ზე ნაკლები შემთხვევა დაფიქსირდა.</w:t>
      </w:r>
    </w:p>
    <w:p w14:paraId="01BF6EA0" w14:textId="77777777" w:rsidR="009614B1" w:rsidRPr="001C3C36" w:rsidRDefault="009614B1" w:rsidP="009614B1">
      <w:pPr>
        <w:spacing w:after="0" w:line="240" w:lineRule="auto"/>
        <w:jc w:val="both"/>
        <w:rPr>
          <w:rFonts w:ascii="Sylfaen" w:hAnsi="Sylfaen"/>
          <w:noProof/>
          <w:sz w:val="18"/>
          <w:szCs w:val="18"/>
        </w:rPr>
      </w:pPr>
    </w:p>
    <w:p w14:paraId="2A92B3BC" w14:textId="77777777" w:rsidR="002A63D2" w:rsidRPr="00850096"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დაპაგლიფლოზინით მკურნალობის ეფექტიანობა თანმიმდევრული იყო თირკმლის ქრონიკული დაავადების მქონე პაციენტებში, როგორც მე-2 ტიპის შაქრიანი დიაბეტით, ისე მის გარეშე. დაპაგლიფლოზინმა შეამცირა პირველადი კომბინირებული საბოლოო წერტილის (რომელიც მოიცავდა eGFR-ის ≥ 50%-იან მდგრად კლებას, თირკმლის დაავადების ტერმინალურ სტადიაზე გადასვლას ან გულ-სისხლძარღვთა/თირკმლისმიერ სიკვდილს) განვითარების რისკი: HR შეადგენდა 0,64-ს (95% CI: 0,52; 0,79) მე-2 ტიპის შაქრიანი დიაბეტის მქონე პაციენტებში და 0,50-ს (95% CI: 0,35; 0,72) — დიაბეტის არმქონე პაციენტებში.</w:t>
      </w:r>
    </w:p>
    <w:p w14:paraId="0F575229" w14:textId="14F963C8" w:rsidR="00AF7A1A" w:rsidRDefault="002A63D2" w:rsidP="009614B1">
      <w:pPr>
        <w:spacing w:after="0" w:line="240" w:lineRule="auto"/>
        <w:jc w:val="both"/>
        <w:rPr>
          <w:rFonts w:ascii="Sylfaen" w:hAnsi="Sylfaen"/>
          <w:noProof/>
          <w:sz w:val="20"/>
          <w:szCs w:val="20"/>
        </w:rPr>
      </w:pPr>
      <w:r w:rsidRPr="00850096">
        <w:rPr>
          <w:rFonts w:ascii="Sylfaen" w:hAnsi="Sylfaen"/>
          <w:noProof/>
          <w:sz w:val="20"/>
          <w:szCs w:val="20"/>
        </w:rPr>
        <w:t>პირველად საბოლოო წერტილთან მიმართებით პლაცებოსთან შედარებით დაპაგლიფლოზინის ეფექტიანობა ასევე თანმიმდევრული იყო სხვა მნიშვნელოვან ქვეჯგუფებშიც, მათ შორის eGFR-ის, ასაკის, სქესისა და რეგიონის მიხედვით.</w:t>
      </w:r>
    </w:p>
    <w:p w14:paraId="2CBF449D" w14:textId="77777777" w:rsidR="009614B1" w:rsidRPr="00850096" w:rsidRDefault="009614B1" w:rsidP="009614B1">
      <w:pPr>
        <w:spacing w:after="0" w:line="240" w:lineRule="auto"/>
        <w:jc w:val="both"/>
        <w:rPr>
          <w:rFonts w:ascii="Sylfaen" w:hAnsi="Sylfaen"/>
          <w:noProof/>
          <w:sz w:val="20"/>
          <w:szCs w:val="20"/>
        </w:rPr>
      </w:pPr>
    </w:p>
    <w:p w14:paraId="6C2E7E6D" w14:textId="52F67769"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lastRenderedPageBreak/>
        <w:t>პედიატრიული პოპულაცია</w:t>
      </w:r>
    </w:p>
    <w:p w14:paraId="13D7EA52" w14:textId="537E3D09"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მე-2 ტიპის შაქრიანი დიაბეტი</w:t>
      </w:r>
    </w:p>
    <w:p w14:paraId="07CE84F6" w14:textId="77777777" w:rsidR="00AF7A1A" w:rsidRPr="00850096"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t>მე-2 ტიპის შაქრიანი დიაბეტის მქონე 10-დან 24 წლამდე ასაკის ბავშვებსა და მოზარდებში ჩატარებულ კლინიკურ კვლევაში,</w:t>
      </w:r>
    </w:p>
    <w:p w14:paraId="18CF78B5" w14:textId="77777777" w:rsidR="00AF7A1A"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t>პაციენტები რანდომიზაციის გზით გადანაწილდნენ შემდეგ ჯგუფებში: დაპაგლიფლოზინი 10 მგ (39 პაციენტი) და პლაცებო (33 პაციენტი); პრეპარატები ინიშნებოდა მეტფორმინთან, ინსულინთან ან მეტფორმინისა და ინსულინის კომბინაციასთან ერთად. რანდომიზაციის მომენტში პაციენტების 74%-ი 18 წლამდე ასაკის იყო. საწყისი მაჩვენებლიდან 24-ე კვირამდე პერიოდში, პლაცებოსთან შედარებით, დაპაგლიფლოზინის ჯგუფში HbA1c-ის დონის კორექტირებული საშუალო ცვლილება შეადგენდა -0,75%-ს (95%-იანი სანდოობის ინტერვალი: -1,65; 0,15). 18 წლამდე ასაკობრივ ჯგუფში, პლაცებოსთან შედარებით, დაპაგლიფლოზინის ჯგუფში HbA1c-ის დონის კორექტირებული საშუალო ცვლილება იყო -0,59% (95%-იანი სანდოობის ინტერვალი: -1,66; 0,48). 18 წლის და უფროსი ასაკის ჯგუფში HbA1c-ის დონის საშუალო ცვლილება საწყის მაჩვენებელთან შედარებით შეადგენდა -1,52%-ს დაპაგლიფლოზინით ნამკურნალებ ჯგუფში (n=9) და 0,17%-ს პლაცებოთი ნამკურნალებ ჯგუფში (n=6). ეფექტიანობისა და უსაფრთხოების მაჩვენებლები მსგავსი იყო იმ მონაცემებისა, რომლებიც დაპაგლიფლოზინით მკურნალობისას ზრდასრულ პოპულაციაში დაფიქსირდა. უსაფრთხოებისა და ამტანობის პროფილი დადასტურდა კვლევის უსაფრთხოების შემსწავლელ 28-კვირიან გაგრძელებულ ფაზაშიც.</w:t>
      </w:r>
    </w:p>
    <w:p w14:paraId="708E5C69" w14:textId="77777777" w:rsidR="009614B1" w:rsidRPr="00850096" w:rsidRDefault="009614B1" w:rsidP="009614B1">
      <w:pPr>
        <w:spacing w:after="0" w:line="240" w:lineRule="auto"/>
        <w:jc w:val="both"/>
        <w:rPr>
          <w:rFonts w:ascii="Sylfaen" w:hAnsi="Sylfaen"/>
          <w:noProof/>
          <w:sz w:val="20"/>
          <w:szCs w:val="20"/>
        </w:rPr>
      </w:pPr>
    </w:p>
    <w:p w14:paraId="6A567917" w14:textId="77777777"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გულის უკმარისობა და თირკმლის ქრონიკული დაავადება</w:t>
      </w:r>
    </w:p>
    <w:p w14:paraId="139CBAA5" w14:textId="3E75AF0C" w:rsidR="00356FF1"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t>ევროპის წამლების სააგენტომ გააუქმა ვალდებულება დაპაგლიფლოზინით ჩატარებული კვლევების შედეგების წარდგენასთან დაკავშირებით პედიატრიული პოპულაციის ყველა ქვეჯგუფისთვის, გულის ქრონიკული უკმარისობის მქონე პაციენტებში გულ-სისხლძარღვთა გართულებების პრევენციისა და თირკმლის ქრონიკული დაავადების მკურნალობის კუთხით (პედიატრიულ პოპულაციაში გამოყენების შესახებ ინფორმაციისთვის იხილეთ ნაწილი 4.2).</w:t>
      </w:r>
    </w:p>
    <w:p w14:paraId="55D7137F" w14:textId="77777777" w:rsidR="009614B1" w:rsidRPr="00E26D2E" w:rsidRDefault="009614B1" w:rsidP="00BC0A56">
      <w:pPr>
        <w:spacing w:after="0" w:line="240" w:lineRule="auto"/>
        <w:rPr>
          <w:rFonts w:ascii="Sylfaen" w:hAnsi="Sylfaen"/>
          <w:noProof/>
          <w:sz w:val="20"/>
          <w:szCs w:val="20"/>
        </w:rPr>
      </w:pPr>
    </w:p>
    <w:p w14:paraId="661910B1" w14:textId="6B54B2EC" w:rsidR="00B7377C" w:rsidRPr="00850096" w:rsidRDefault="00B7377C" w:rsidP="00BC0A56">
      <w:pPr>
        <w:spacing w:after="0" w:line="240" w:lineRule="auto"/>
        <w:rPr>
          <w:rFonts w:ascii="Sylfaen" w:hAnsi="Sylfaen"/>
          <w:b/>
          <w:bCs/>
          <w:noProof/>
          <w:sz w:val="20"/>
          <w:szCs w:val="20"/>
        </w:rPr>
      </w:pPr>
      <w:r w:rsidRPr="00850096">
        <w:rPr>
          <w:rFonts w:ascii="Sylfaen" w:hAnsi="Sylfaen"/>
          <w:b/>
          <w:bCs/>
          <w:noProof/>
          <w:sz w:val="20"/>
          <w:szCs w:val="20"/>
        </w:rPr>
        <w:t>5.2. ფარმაკოკინეტიკური თვისებები</w:t>
      </w:r>
    </w:p>
    <w:p w14:paraId="3A7B26AA" w14:textId="77777777" w:rsidR="005B7A52" w:rsidRPr="00850096" w:rsidRDefault="005B7A52" w:rsidP="00BC0A56">
      <w:pPr>
        <w:spacing w:after="0" w:line="240" w:lineRule="auto"/>
        <w:rPr>
          <w:rFonts w:ascii="Sylfaen" w:hAnsi="Sylfaen"/>
          <w:noProof/>
          <w:sz w:val="20"/>
          <w:szCs w:val="20"/>
          <w:u w:val="single"/>
        </w:rPr>
      </w:pPr>
      <w:r w:rsidRPr="00850096">
        <w:rPr>
          <w:rFonts w:ascii="Sylfaen" w:hAnsi="Sylfaen"/>
          <w:noProof/>
          <w:sz w:val="20"/>
          <w:szCs w:val="20"/>
          <w:u w:val="single"/>
        </w:rPr>
        <w:t>შეწოვა</w:t>
      </w:r>
    </w:p>
    <w:p w14:paraId="420AFC2E" w14:textId="71046F94" w:rsidR="00AF7A1A" w:rsidRPr="00850096"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t>პერორალურად მიღების შემდეგ დაპაგლიფლოზინი სწრაფად და კარგად შეიწოვება. პლაზმაში დაპაგლიფლოზინის მაქსიმალური კონცენტრაცია (C</w:t>
      </w:r>
      <w:r w:rsidRPr="00850096">
        <w:rPr>
          <w:rFonts w:ascii="Sylfaen" w:hAnsi="Sylfaen"/>
          <w:noProof/>
          <w:sz w:val="20"/>
          <w:szCs w:val="20"/>
          <w:vertAlign w:val="subscript"/>
        </w:rPr>
        <w:t>max</w:t>
      </w:r>
      <w:r w:rsidRPr="00850096">
        <w:rPr>
          <w:rFonts w:ascii="Sylfaen" w:hAnsi="Sylfaen"/>
          <w:noProof/>
          <w:sz w:val="20"/>
          <w:szCs w:val="20"/>
        </w:rPr>
        <w:t>) ჩვეულებრივ მიიღწევა პრეპარატის უზმოზე მიღებიდან 2 საათის განმავლობაში. დაპაგლიფლოზინის 10 მგ დოზის დღეში ერთხელ მიღებისას, წონასწორულ მდგომარეობაში C</w:t>
      </w:r>
      <w:r w:rsidRPr="00850096">
        <w:rPr>
          <w:rFonts w:ascii="Sylfaen" w:hAnsi="Sylfaen"/>
          <w:noProof/>
          <w:sz w:val="20"/>
          <w:szCs w:val="20"/>
          <w:vertAlign w:val="subscript"/>
        </w:rPr>
        <w:t>max</w:t>
      </w:r>
      <w:r w:rsidRPr="00850096">
        <w:rPr>
          <w:rFonts w:ascii="Sylfaen" w:hAnsi="Sylfaen"/>
          <w:noProof/>
          <w:sz w:val="20"/>
          <w:szCs w:val="20"/>
        </w:rPr>
        <w:t>-ისა და AUCτ-ის გეომეტრიული საშუალო მაჩვენებლები შეადგენდა, შესაბამისად, 158 ნგ/მლ-სა და 628 ნგ·სთ/მლ-ს. 10 მგ დოზის მიღების შემდეგ დაპაგლიფლოზინის აბსოლუტური პერორალური ბიოშეღწევადობა 78%-ია. ცხიმებით მდიდარ საკვებთან ერთად მიღებამ შეამცირა დაპაგლიფლოზინის C</w:t>
      </w:r>
      <w:r w:rsidRPr="00850096">
        <w:rPr>
          <w:rFonts w:ascii="Sylfaen" w:hAnsi="Sylfaen"/>
          <w:noProof/>
          <w:sz w:val="20"/>
          <w:szCs w:val="20"/>
          <w:vertAlign w:val="subscript"/>
        </w:rPr>
        <w:t xml:space="preserve">max </w:t>
      </w:r>
      <w:r w:rsidRPr="00850096">
        <w:rPr>
          <w:rFonts w:ascii="Sylfaen" w:hAnsi="Sylfaen"/>
          <w:noProof/>
          <w:sz w:val="20"/>
          <w:szCs w:val="20"/>
        </w:rPr>
        <w:t>50%-მდე და დაახლოებით 1 საათით გაახანგრძლივა T</w:t>
      </w:r>
      <w:r w:rsidRPr="00850096">
        <w:rPr>
          <w:rFonts w:ascii="Sylfaen" w:hAnsi="Sylfaen"/>
          <w:noProof/>
          <w:sz w:val="20"/>
          <w:szCs w:val="20"/>
          <w:vertAlign w:val="subscript"/>
        </w:rPr>
        <w:t>max</w:t>
      </w:r>
      <w:r w:rsidRPr="00850096">
        <w:rPr>
          <w:rFonts w:ascii="Sylfaen" w:hAnsi="Sylfaen"/>
          <w:noProof/>
          <w:sz w:val="20"/>
          <w:szCs w:val="20"/>
        </w:rPr>
        <w:t>, თუმცა არ შეუცვლია AUC უზმოზე მიღების მაჩვენებელთან შედარებით. აღნიშნული ცვლილებები კლინიკურად მნიშვნელოვნად არ მიიჩნევა. შესაბამისად, პრეპარატ დაპაზანის მიღება შესაძლებელია როგორც საკვებთან ერთად, ისე მის გარეშე.</w:t>
      </w:r>
    </w:p>
    <w:p w14:paraId="3A79472E" w14:textId="77777777"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განაწილება</w:t>
      </w:r>
    </w:p>
    <w:p w14:paraId="59AC7AB7" w14:textId="77777777" w:rsidR="00AF7A1A" w:rsidRPr="00850096"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 პლაზმის ცილებს დაახლოებით 91%-ით უკავშირდება. ცილებთან კავშირის ხარისხი არ იცვლებოდა სხვადასხვა დაავადების (მაგ., თირკმლის ან ღვიძლის ფუნქციის დარღვევა) დროს. დაპაგლიფლოზინის განაწილების საშუალო მოცულობა წონასწორულ მდგომარეობაში 118 ლიტრს შეადგენდა.</w:t>
      </w:r>
    </w:p>
    <w:p w14:paraId="48EC9180" w14:textId="77777777"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ბიოტრანსფორმაცია</w:t>
      </w:r>
    </w:p>
    <w:p w14:paraId="3696BF3B" w14:textId="77777777" w:rsidR="00AF7A1A" w:rsidRPr="00850096"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 ინტენსიურად მეტაბოლიზდება; ძირითადად წარმოიქმნება დაპაგლიფლოზინ-3-O-გლუკურონიდი, რომელიც არააქტიური მეტაბოლიტია. დაპაგლიფლოზინ-3-O-გლუკურონიდი და სხვა მეტაბოლიტები გლუკოზის დონის დამწევ ეფექტში მონაწილეობას არ იღებენ. დაპაგლიფლოზინ-3-O-გლუკურონიდის წარმოქმნა ხორციელდება UGT1A9 ფერმენტის (რომელიც ღვიძლსა და თირკმელებშია წარმოდგენილი) მონაწილეობით, ხოლო CYP-ფერმენტების მეშვეობით მიმდინარე მეტაბოლიზმი ადამიანის ორგანიზმში კლირენსის უმნიშვნელო გზას წარმოადგენდა.</w:t>
      </w:r>
    </w:p>
    <w:p w14:paraId="50330B35" w14:textId="77777777" w:rsidR="00AF7A1A" w:rsidRPr="00850096" w:rsidRDefault="00AF7A1A" w:rsidP="00BC0A56">
      <w:pPr>
        <w:spacing w:after="0" w:line="240" w:lineRule="auto"/>
        <w:rPr>
          <w:rFonts w:ascii="Sylfaen" w:hAnsi="Sylfaen"/>
          <w:noProof/>
          <w:sz w:val="20"/>
          <w:szCs w:val="20"/>
          <w:u w:val="single"/>
        </w:rPr>
      </w:pPr>
      <w:r w:rsidRPr="00850096">
        <w:rPr>
          <w:rFonts w:ascii="Sylfaen" w:hAnsi="Sylfaen"/>
          <w:noProof/>
          <w:sz w:val="20"/>
          <w:szCs w:val="20"/>
          <w:u w:val="single"/>
        </w:rPr>
        <w:t>ელიმინაცია</w:t>
      </w:r>
    </w:p>
    <w:p w14:paraId="347CF7AA" w14:textId="5141C2C0" w:rsidR="008941B6"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lastRenderedPageBreak/>
        <w:t>ჯანმრთელ მოხალისეებში დაპაგლიფლოზინის 10 მგ დოზის ერთჯერადი პერორალური მიღების შემდეგ პლაზმიდან მისი ნახევარგამოყოფის პერიოდი (t1/2) საშუალოდ 12,9 საათს შეადგენდა. ინტრავენურად შეყვანილი დაპაგლიფლოზინის სისტემური კლირენსის საშუალო მაჩვენებელი 207 მლ/წთ იყო. დაპაგლიფლოზინი და მისი მეტაბოლიტები ძირითადად შარდით გამოიყოფა; უცვლელი სახით გამოყოფილი დაპაგლიფლოზინის წილი 2%-ზე ნაკლებია. 50 მგ [14C]-დაპაგლიფლოზინის დოზის მიღების შემდეგ აღდგენილ იქნა პრეპარატის 96%: 75% — შარდით, ხოლო 21% — განავლით. განავლით გამოიყო დოზის დაახლოებით 15% უცვლელი სახით (საწყისი პრეპარატის სახით). ხაზოვანება: დაპაგლიფლოზინის ექსპოზიცია იზრდებოდა დოზის ზრდის პროპორციულად 0,1-დან 500 მგ-მდე დიაპაზონში, ხოლო მისი ფარმაკოკინეტიკა არ იცვლებოდა დროთა განმავლობაში 24 კვირამდე პერიოდში ყოველდღიური განმეორებითი მიღებისას.</w:t>
      </w:r>
    </w:p>
    <w:p w14:paraId="0C6E17DE" w14:textId="77777777" w:rsidR="009614B1" w:rsidRPr="00850096" w:rsidRDefault="009614B1" w:rsidP="00BC0A56">
      <w:pPr>
        <w:spacing w:after="0" w:line="240" w:lineRule="auto"/>
        <w:rPr>
          <w:rFonts w:ascii="Sylfaen" w:hAnsi="Sylfaen"/>
          <w:noProof/>
          <w:sz w:val="20"/>
          <w:szCs w:val="20"/>
        </w:rPr>
      </w:pPr>
    </w:p>
    <w:p w14:paraId="663CB11E" w14:textId="148D017A" w:rsidR="00AF7A1A" w:rsidRPr="00850096" w:rsidRDefault="00AF7A1A" w:rsidP="00BC0A56">
      <w:pPr>
        <w:spacing w:after="0" w:line="240" w:lineRule="auto"/>
        <w:rPr>
          <w:rFonts w:ascii="Sylfaen" w:hAnsi="Sylfaen"/>
          <w:noProof/>
          <w:sz w:val="20"/>
          <w:szCs w:val="20"/>
        </w:rPr>
      </w:pPr>
      <w:r w:rsidRPr="00850096">
        <w:rPr>
          <w:rFonts w:ascii="Sylfaen" w:hAnsi="Sylfaen" w:cs="Times New Roman"/>
          <w:noProof/>
          <w:sz w:val="20"/>
          <w:szCs w:val="20"/>
          <w:u w:val="single"/>
        </w:rPr>
        <w:t>განსაკუთრებული პოპულაცია</w:t>
      </w:r>
    </w:p>
    <w:p w14:paraId="1849CDD6" w14:textId="77777777"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თირკმლის ფუნქციის დარღვევა</w:t>
      </w:r>
    </w:p>
    <w:p w14:paraId="626A4AF4" w14:textId="77777777" w:rsidR="00AF7A1A" w:rsidRPr="00850096"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t>წონასწორულ მდგომარეობაში (დაპაგლიფლოზინი 20 მგ დღეში ერთხელ, 7 დღის განმავლობაში), მე-2 ტიპის შაქრიანი დიაბეტისა და თირკმლის ფუნქციის მსუბუქი, საშუალო ან მძიმე ხარისხის დარღვევის მქონე პირებში (რაც განისაზღვრა იოჰექსოლის პლაზმური კლირენსით), დაპაგლიფლოზინის საშუალო სისტემური ექსპოზიცია, შესაბამისად, 32%-ით, 60%-ით და 87%-ით მაღალი იყო, ვიდრე მე-2 ტიპის შაქრიანი დიაბეტისა და თირკმლის ნორმალური ფუნქციის მქონე პირებში. შარდით გლუკოზის 24-საათიანი გამოყოფა წონასწორულ მდგომარეობაში მნიშვნელოვნად იყო დამოკიდებული თირკმლის ფუნქციაზე: გლუკოზის დღიური გამოყოფა შეადგენდა 85, 52, 18 და 11 გ-ს მე-2 ტიპის შაქრიანი დიაბეტისა და, შესაბამისად, თირკმლის ნორმალური ფუნქციის, ან მსუბუქი, საშუალო თუ მძიმე ხარისხის დარღვევის მქონე პირებში. ჰემოდიალიზის გავლენა დაპაგლიფლოზინის ექსპოზიციაზე უცნობია. თირკმლის ფუნქციის დაქვეითების გავლენა სისტემურ ექსპოზიციაზე შეფასდა პოპულაციური ფარმაკოკინეტიკური მოდელის გამოყენებით. წინა შედეგების შესაბამისად, მოდელით პროგნოზირებული AUC (ფართობი კონცენტრაცია-დროის მრუდის ქვეშ) უფრო მაღალი იყო თირკმლის ქრონიკული დაავადების მქონე პაციენტებში, თირკმლის ნორმალური ფუნქციის მქონე პაციენტებთან შედარებით; ამასთან, მნიშვნელოვანი განსხვავება არ აღინიშნებოდა თირკმლის</w:t>
      </w:r>
      <w:r w:rsidRPr="00850096">
        <w:rPr>
          <w:rFonts w:ascii="Sylfaen" w:hAnsi="Sylfaen"/>
          <w:noProof/>
          <w:sz w:val="20"/>
          <w:szCs w:val="20"/>
          <w:u w:val="single"/>
        </w:rPr>
        <w:t xml:space="preserve"> </w:t>
      </w:r>
      <w:r w:rsidRPr="00850096">
        <w:rPr>
          <w:rFonts w:ascii="Sylfaen" w:hAnsi="Sylfaen"/>
          <w:noProof/>
          <w:sz w:val="20"/>
          <w:szCs w:val="20"/>
        </w:rPr>
        <w:t>ქრონიკული დაავადების მქონე პაციენტებს შორის, მე-2 ტიპის შაქრიანი დიაბეტის არსებობის ან არარსებობის მიხედვით.</w:t>
      </w:r>
    </w:p>
    <w:p w14:paraId="22CA6608" w14:textId="77777777"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ღვიძლის ფუნქციის დარღვევა</w:t>
      </w:r>
    </w:p>
    <w:p w14:paraId="49B91041" w14:textId="77777777" w:rsidR="00AF7A1A" w:rsidRPr="00850096"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t>ღვიძლის ფუნქციის მსუბუქი ან საშუალო ხარისხის დარღვევის მქონე პირებში (Child-Pugh-ის კლასიფიკაციის A და B კლასები), დაპაგლიფლოზინის საშუალო C</w:t>
      </w:r>
      <w:r w:rsidRPr="00850096">
        <w:rPr>
          <w:rFonts w:ascii="Sylfaen" w:hAnsi="Sylfaen"/>
          <w:noProof/>
          <w:sz w:val="20"/>
          <w:szCs w:val="20"/>
          <w:vertAlign w:val="subscript"/>
        </w:rPr>
        <w:t>max</w:t>
      </w:r>
      <w:r w:rsidRPr="00850096">
        <w:rPr>
          <w:rFonts w:ascii="Sylfaen" w:hAnsi="Sylfaen"/>
          <w:noProof/>
          <w:sz w:val="20"/>
          <w:szCs w:val="20"/>
        </w:rPr>
        <w:t xml:space="preserve"> და AUC, შესაბამისად, 12%-მდე და 36%-ით მაღალი იყო ჯანმრთელ საკონტროლო პირებთან შედარებით. ეს განსხვავებები კლინიკურად მნიშვნელოვნად არ მიიჩნეოდა. ღვიძლის ფუნქციის მძიმე ხარისხის დარღვევის მქონე პირებში (Child-Pugh-ის კლასიფიკაციის C კლასი) დაპაგლიფლოზინის საშუალო C</w:t>
      </w:r>
      <w:r w:rsidRPr="00850096">
        <w:rPr>
          <w:rFonts w:ascii="Sylfaen" w:hAnsi="Sylfaen"/>
          <w:noProof/>
          <w:sz w:val="20"/>
          <w:szCs w:val="20"/>
          <w:vertAlign w:val="subscript"/>
        </w:rPr>
        <w:t>max</w:t>
      </w:r>
      <w:r w:rsidRPr="00850096">
        <w:rPr>
          <w:rFonts w:ascii="Sylfaen" w:hAnsi="Sylfaen"/>
          <w:noProof/>
          <w:sz w:val="20"/>
          <w:szCs w:val="20"/>
        </w:rPr>
        <w:t xml:space="preserve"> და AUC, შესაბამისად, 40%-ით და 67%-ით მაღალი იყო ჯანმრთელ საკონტროლო პირებთან შედარებით.</w:t>
      </w:r>
    </w:p>
    <w:p w14:paraId="5BB1752A" w14:textId="77777777"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ხანდაზმული ასაკის პირები (≥ 65 წელი)</w:t>
      </w:r>
    </w:p>
    <w:p w14:paraId="41E8A725" w14:textId="77777777" w:rsidR="00AF7A1A" w:rsidRPr="00850096"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t>70 წლამდე ასაკის პირებში მხოლოდ ასაკის გამო ექსპოზიციის კლინიკურად მნიშვნელოვანი ზრდა არ აღინიშნება. თუმცა, მოსალოდნელია ექსპოზიციის ზრდა ასაკთან დაკავშირებული თირკმლის ფუნქციის დაქვეითების გამო. არასაკმარისი მონაცემებია 70 წელზე უფროსი ასაკის პაციენტებში ექსპოზიციის შესახებ დასკვნების გასაკეთებლად.</w:t>
      </w:r>
    </w:p>
    <w:p w14:paraId="15611CF2" w14:textId="77777777"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პედიატრიული პოპულაცია</w:t>
      </w:r>
    </w:p>
    <w:p w14:paraId="13EE5698" w14:textId="77777777" w:rsidR="004A15D1" w:rsidRPr="00850096" w:rsidRDefault="004A15D1" w:rsidP="009614B1">
      <w:pPr>
        <w:spacing w:after="0" w:line="240" w:lineRule="auto"/>
        <w:jc w:val="both"/>
        <w:rPr>
          <w:rFonts w:ascii="Sylfaen" w:hAnsi="Sylfaen"/>
          <w:noProof/>
          <w:sz w:val="20"/>
          <w:szCs w:val="20"/>
        </w:rPr>
      </w:pPr>
      <w:r w:rsidRPr="00850096">
        <w:rPr>
          <w:rFonts w:ascii="Sylfaen" w:hAnsi="Sylfaen"/>
          <w:noProof/>
          <w:sz w:val="20"/>
          <w:szCs w:val="20"/>
        </w:rPr>
        <w:t>10-17 წლის ასაკის, მე-2 ტიპის შაქრიანი დიაბეტის მქონე ბავშვებში ფარმაკოკინეტიკა და ფარმაკოდინამიკა (გლუკოზურია) მსგავსი იყო იმ მაჩვენებლებისა, რომლებიც აღინიშნება მე-2 ტიპის შაქრიანი დიაბეტის მქონე მოზრდილებში.</w:t>
      </w:r>
    </w:p>
    <w:p w14:paraId="5F081A8B" w14:textId="77777777" w:rsidR="004A15D1" w:rsidRPr="00850096" w:rsidRDefault="004A15D1"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სქესი</w:t>
      </w:r>
    </w:p>
    <w:p w14:paraId="6414E060" w14:textId="0FF09D9E" w:rsidR="004A15D1" w:rsidRPr="00850096" w:rsidRDefault="004A15D1" w:rsidP="009614B1">
      <w:pPr>
        <w:spacing w:after="0" w:line="240" w:lineRule="auto"/>
        <w:jc w:val="both"/>
        <w:rPr>
          <w:rFonts w:ascii="Sylfaen" w:hAnsi="Sylfaen"/>
          <w:noProof/>
          <w:sz w:val="20"/>
          <w:szCs w:val="20"/>
        </w:rPr>
      </w:pPr>
      <w:r w:rsidRPr="00850096">
        <w:rPr>
          <w:rFonts w:ascii="Sylfaen" w:hAnsi="Sylfaen"/>
          <w:noProof/>
          <w:sz w:val="20"/>
          <w:szCs w:val="20"/>
        </w:rPr>
        <w:t>ქალებში დაპაგლიფლოზინის AUCss-ის საშუალო მაჩვენებელი, სავარაუდოდ, დაახლოებით 22%-ით უფრო მაღალი იყო, ვიდრე მამაკაცებში.</w:t>
      </w:r>
    </w:p>
    <w:p w14:paraId="0E83BF47" w14:textId="6FDD32AF"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რასა</w:t>
      </w:r>
    </w:p>
    <w:p w14:paraId="6F4DBED6" w14:textId="77777777" w:rsidR="00AF7A1A" w:rsidRPr="00850096"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t>სისტემური ექსპოზიციის მხრივ არ გამოვლენილა კლინიკურად მნიშვნელოვანი განსხვავებები თეთრკანიან, შავკანიან და აზიური წარმოშობის პირებს შორის.</w:t>
      </w:r>
    </w:p>
    <w:p w14:paraId="149F12DA" w14:textId="77777777" w:rsidR="00AF7A1A" w:rsidRPr="00850096" w:rsidRDefault="00AF7A1A"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სხეულის მასა</w:t>
      </w:r>
    </w:p>
    <w:p w14:paraId="2848AA3F" w14:textId="43C92C76" w:rsidR="004A15D1" w:rsidRDefault="00AF7A1A" w:rsidP="009614B1">
      <w:pPr>
        <w:spacing w:after="0" w:line="240" w:lineRule="auto"/>
        <w:jc w:val="both"/>
        <w:rPr>
          <w:rFonts w:ascii="Sylfaen" w:hAnsi="Sylfaen"/>
          <w:noProof/>
          <w:sz w:val="20"/>
          <w:szCs w:val="20"/>
        </w:rPr>
      </w:pPr>
      <w:r w:rsidRPr="00850096">
        <w:rPr>
          <w:rFonts w:ascii="Sylfaen" w:hAnsi="Sylfaen"/>
          <w:noProof/>
          <w:sz w:val="20"/>
          <w:szCs w:val="20"/>
        </w:rPr>
        <w:lastRenderedPageBreak/>
        <w:t>აღმოჩნდა, რომ დაპაგლიფლოზინის ექსპოზიცია მცირდებოდა სხეულის მასის ზრდასთან ერთად. შესაბამისად, დაბალი წონის მქონე პაციენტებში ექსპოზიცია შესაძლოა გარკვეულწილად გაზრდილი, ხოლო მაღალი წონის მქონე პაციენტებში — გარკვეულწილად შემცირებული ყოფილიყო. თუმცა, ექსპოზიციის მხრივ არსებული განსხვავებები კლინიკურად მნიშვნელოვნად არ მიიჩნეოდა.</w:t>
      </w:r>
    </w:p>
    <w:p w14:paraId="00A39CEE" w14:textId="77777777" w:rsidR="009614B1" w:rsidRPr="00850096" w:rsidRDefault="009614B1" w:rsidP="00BC0A56">
      <w:pPr>
        <w:spacing w:after="0" w:line="240" w:lineRule="auto"/>
        <w:rPr>
          <w:rFonts w:ascii="Sylfaen" w:hAnsi="Sylfaen"/>
          <w:noProof/>
          <w:sz w:val="20"/>
          <w:szCs w:val="20"/>
        </w:rPr>
      </w:pPr>
    </w:p>
    <w:p w14:paraId="13D470BB" w14:textId="4C052A30" w:rsidR="00B7377C" w:rsidRPr="00850096" w:rsidRDefault="00B7377C" w:rsidP="00BC0A56">
      <w:pPr>
        <w:spacing w:after="0" w:line="240" w:lineRule="auto"/>
        <w:rPr>
          <w:rFonts w:ascii="Sylfaen" w:hAnsi="Sylfaen"/>
          <w:b/>
          <w:bCs/>
          <w:noProof/>
          <w:sz w:val="20"/>
          <w:szCs w:val="20"/>
        </w:rPr>
      </w:pPr>
      <w:r w:rsidRPr="00850096">
        <w:rPr>
          <w:rFonts w:ascii="Sylfaen" w:hAnsi="Sylfaen"/>
          <w:b/>
          <w:bCs/>
          <w:noProof/>
          <w:sz w:val="20"/>
          <w:szCs w:val="20"/>
        </w:rPr>
        <w:t>5.3. პრეკლინიკური უსაფრთხოების მონაცემები</w:t>
      </w:r>
    </w:p>
    <w:p w14:paraId="37C0ED2A" w14:textId="17BB8130" w:rsidR="004A15D1" w:rsidRDefault="004A15D1" w:rsidP="009614B1">
      <w:pPr>
        <w:spacing w:after="0" w:line="240" w:lineRule="auto"/>
        <w:jc w:val="both"/>
        <w:rPr>
          <w:rFonts w:ascii="Sylfaen" w:hAnsi="Sylfaen"/>
          <w:noProof/>
          <w:sz w:val="20"/>
          <w:szCs w:val="20"/>
        </w:rPr>
      </w:pPr>
      <w:r w:rsidRPr="00850096">
        <w:rPr>
          <w:rFonts w:ascii="Sylfaen" w:hAnsi="Sylfaen"/>
          <w:noProof/>
          <w:sz w:val="20"/>
          <w:szCs w:val="20"/>
        </w:rPr>
        <w:t>უსაფრთხოების ფარმაკოლოგიის, განმეორებითი დოზებით ტოქსიკურობის, გენოტოქსიკურობის, კანცეროგენული პოტენციალისა და ფერტილობის შესახებ ჩატარებული სტანდარტული კვლევების საფუძველზე, არაკლინიკური მონაცემები ადამიანებისთვის რაიმე განსაკუთრებულ რისკს არ აჩვენებს. ორწლიანი კანცეროგენობის კვლევების ფარგლებში, დაპაგლიფლოზინს არ გამოუწვევია სიმსივნეების განვითარება არც თაგვებში და არც ვირთხებში, შესწავლილი დოზებიდან არცერთის შემთხვევაში.</w:t>
      </w:r>
    </w:p>
    <w:p w14:paraId="576E96A7" w14:textId="77777777" w:rsidR="009614B1" w:rsidRPr="00850096" w:rsidRDefault="009614B1" w:rsidP="009614B1">
      <w:pPr>
        <w:spacing w:after="0" w:line="240" w:lineRule="auto"/>
        <w:jc w:val="both"/>
        <w:rPr>
          <w:rFonts w:ascii="Sylfaen" w:hAnsi="Sylfaen"/>
          <w:noProof/>
          <w:sz w:val="20"/>
          <w:szCs w:val="20"/>
        </w:rPr>
      </w:pPr>
    </w:p>
    <w:p w14:paraId="29AC0730" w14:textId="77777777" w:rsidR="004A15D1" w:rsidRPr="00850096" w:rsidRDefault="004A15D1" w:rsidP="009614B1">
      <w:pPr>
        <w:spacing w:after="0" w:line="240" w:lineRule="auto"/>
        <w:jc w:val="both"/>
        <w:rPr>
          <w:rFonts w:ascii="Sylfaen" w:hAnsi="Sylfaen"/>
          <w:noProof/>
          <w:sz w:val="20"/>
          <w:szCs w:val="20"/>
          <w:u w:val="single"/>
        </w:rPr>
      </w:pPr>
      <w:r w:rsidRPr="00850096">
        <w:rPr>
          <w:rFonts w:ascii="Sylfaen" w:hAnsi="Sylfaen"/>
          <w:noProof/>
          <w:sz w:val="20"/>
          <w:szCs w:val="20"/>
          <w:u w:val="single"/>
        </w:rPr>
        <w:t>რეპროდუქციული და განვითარებაზე მოქმედი ტოქსიკურობა</w:t>
      </w:r>
    </w:p>
    <w:p w14:paraId="479C735C" w14:textId="77777777" w:rsidR="004A15D1" w:rsidRPr="00850096" w:rsidRDefault="004A15D1" w:rsidP="009614B1">
      <w:pPr>
        <w:spacing w:after="0" w:line="240" w:lineRule="auto"/>
        <w:jc w:val="both"/>
        <w:rPr>
          <w:rFonts w:ascii="Sylfaen" w:hAnsi="Sylfaen"/>
          <w:noProof/>
          <w:sz w:val="20"/>
          <w:szCs w:val="20"/>
        </w:rPr>
      </w:pPr>
      <w:r w:rsidRPr="00850096">
        <w:rPr>
          <w:rFonts w:ascii="Sylfaen" w:hAnsi="Sylfaen"/>
          <w:noProof/>
          <w:sz w:val="20"/>
          <w:szCs w:val="20"/>
        </w:rPr>
        <w:t>დაპაგლიფლოზინის პირდაპირი მიცემა ძუძუს მოცილების ასაკში მყოფი ვირთაგვების ნაშიერებისთვის, ასევე არაპირდაპირი ზემოქმედება ორსულობის გვიან პერიოდში (ადამიანის თირკმლის მომწიფების პროცესის გათვალისწინებით, ეს პერიოდები შეესაბამება ორსულობის მეორე და მესამე ტრიმესტრებს) და ლაქტაციის დროს, დაკავშირებულია შთამომავლობაში თირკმლის მენჯისა და მილაკების გაფართოების შემთხვევების სიხშირისა და/ან სიმძიმის ზრდასთან.</w:t>
      </w:r>
    </w:p>
    <w:p w14:paraId="58026FBB" w14:textId="77777777" w:rsidR="004A15D1" w:rsidRPr="00850096" w:rsidRDefault="004A15D1" w:rsidP="009614B1">
      <w:pPr>
        <w:spacing w:after="0" w:line="240" w:lineRule="auto"/>
        <w:jc w:val="both"/>
        <w:rPr>
          <w:rFonts w:ascii="Sylfaen" w:hAnsi="Sylfaen"/>
          <w:noProof/>
          <w:sz w:val="20"/>
          <w:szCs w:val="20"/>
        </w:rPr>
      </w:pPr>
      <w:r w:rsidRPr="00850096">
        <w:rPr>
          <w:rFonts w:ascii="Sylfaen" w:hAnsi="Sylfaen"/>
          <w:noProof/>
          <w:sz w:val="20"/>
          <w:szCs w:val="20"/>
        </w:rPr>
        <w:t>ახალგაზრდა ცხოველებზე ჩატარებულ ტოქსიკურობის კვლევაში, როდესაც დაპაგლიფლოზინი პირდაპირ ეძლეოდათ ახალგაზრდა ვირთაგვებს დაბადებიდან 21-ე დღიდან 90-ე დღემდე, ყველა დოზის შემთხვევაში აღინიშნა თირკმლის მენჯისა და მილაკების გაფართოება; ყველაზე დაბალი დოზის გამოყენებისას ნაშიერების ორგანიზმში პრეპარატის ზემოქმედების დონე (ექსპოზიცია) აღემატებოდა ადამიანისთვის რეკომენდებულ მაქსიმალურ დოზას ≥ 15-ჯერ. ეს ცვლილებები დაკავშირებული იყო თირკმლის წონის დოზაზე დამოკიდებულ ზრდასა და თირკმლის მაკროსკოპულ გადიდებასთან, რაც ყველა დოზის შემთხვევაში გამოვლინდა. ახალგაზრდა ცხოველებში აღნიშნული თირკმლის მენჯისა და მილაკების გაფართოება სრულად არ აღდგა (არ გაქრა) დაახლოებით 1-თვიანი აღდგენითი პერიოდის განმავლობაში.</w:t>
      </w:r>
    </w:p>
    <w:p w14:paraId="64F971BB" w14:textId="0F57CB82" w:rsidR="004A15D1" w:rsidRDefault="004A15D1" w:rsidP="009614B1">
      <w:pPr>
        <w:spacing w:after="0" w:line="240" w:lineRule="auto"/>
        <w:jc w:val="both"/>
        <w:rPr>
          <w:rFonts w:ascii="Sylfaen" w:hAnsi="Sylfaen"/>
          <w:noProof/>
          <w:sz w:val="20"/>
          <w:szCs w:val="20"/>
        </w:rPr>
      </w:pPr>
      <w:r w:rsidRPr="00850096">
        <w:rPr>
          <w:rFonts w:ascii="Sylfaen" w:hAnsi="Sylfaen"/>
          <w:noProof/>
          <w:sz w:val="20"/>
          <w:szCs w:val="20"/>
        </w:rPr>
        <w:t>პრენატალური და პოსტნატალური განვითარების ცალკეულ კვლევაში, დედალი ვირთაგვები პრეპარატს იღებდნენ ორსულობის მე-6 დღიდან დაბადებიდან 21-ე დღემდე, ხოლო ნაშიერები მას არაპირდაპირ იღებდნენ საშვილოსნოსშიდა განვითარებისა და ლაქტაციის პერიოდში. (ჩატარდა დამატებითი კვლევა დედის რძესა და ნაშიერების ორგანიზმში დაპაგლიფლოზინის დონის შესაფასებლად). პრეპარატით ნამკურნალები დედების ზრდასრულ შთამომავლობაში აღინიშნა თირკმლის მენჯის გაფართოების შემთხვევების სიხშირის ან სიმძიმის ზრდა, თუმცა მხოლოდ ყველაზე მაღალი დოზის გამოყენებისას (ამ დროს დედისა და ნაშიერის ორგანიზმში დაპაგლიფლოზინის ზემოქმედების დონე შესაბამისად 1 415-ჯერ და 137-ჯერ აღემატებოდა ადამიანისთვის რეკომენდებული მაქსიმალური დოზის შესაბამის მაჩვენებლებს). განვითარებაზე მოქმედი ტოქსიკურობის სხვა გამოვლინებები შემოიფარგლებოდა ნაშიერების სხეულის წონის დოზაზე დამოკიდებული კლებით, რაც დაფიქსირდა მხოლოდ ≥ 15 მგ/კგ/დღე-ღამე დოზების შემთხვევაში (რაც შეესაბამება ნაშიერების ორგანიზმში პრეპარატის ზემოქმედების დონეს, რომელიც ≥ 29-ჯერ აღემატება ადამიანისთვის რეკომენდებული მაქსიმალური დოზის შესაბამის მაჩვენებელს). დედის ორგანიზმზე ტოქსიკური ზემოქმედება გამოვლინდა მხოლოდ ყველაზე მაღალი დოზის გამოყენებისას და შემოიფარგლებოდა სხეულის წონისა და საკვების მიღების დროებითი კლებით. განვითარებაზე მოქმედი ტოქსიკურობის კუთხით კურდღლებში არც დედის ორგანიზმზე და არც განვითარებაზე ტოქსიკური ზემოქმედება არ გამოვლენილა არცერთი გამოცდილი დოზის შემთხვევაში; ყველაზე მაღალი გამოცდილი დოზა შეესაბამება სისტემურ ექსპოზიციას, რომელიც დაახლოებით 1 191-ჯერ აღემატება ადამიანისთვის რეკომენდებულ მაქსიმალურ დოზას. ვირთხებში დაპაგლიფლოზინი არ აღმოჩნდა არც ემბრიოლეტალური და არც ტერატოგენული ისეთი ექსპოზიციის პირობებში, რომელიც ადამიანისთვის რეკომენდებულ მაქსიმალურ დოზას 1 441-ჯერ აღემატებოდა.</w:t>
      </w:r>
    </w:p>
    <w:p w14:paraId="4F1CDBAF" w14:textId="77777777" w:rsidR="009614B1" w:rsidRPr="00850096" w:rsidRDefault="009614B1" w:rsidP="009614B1">
      <w:pPr>
        <w:spacing w:after="0" w:line="240" w:lineRule="auto"/>
        <w:jc w:val="both"/>
        <w:rPr>
          <w:rFonts w:ascii="Sylfaen" w:hAnsi="Sylfaen"/>
          <w:noProof/>
          <w:sz w:val="20"/>
          <w:szCs w:val="20"/>
        </w:rPr>
      </w:pPr>
    </w:p>
    <w:p w14:paraId="69E1C72A" w14:textId="7FF6F655" w:rsidR="00A63952" w:rsidRPr="00850096" w:rsidRDefault="00A63952" w:rsidP="00BC0A56">
      <w:pPr>
        <w:spacing w:after="0" w:line="240" w:lineRule="auto"/>
        <w:rPr>
          <w:rFonts w:ascii="Sylfaen" w:hAnsi="Sylfaen"/>
          <w:b/>
          <w:bCs/>
          <w:noProof/>
          <w:sz w:val="20"/>
          <w:szCs w:val="20"/>
        </w:rPr>
      </w:pPr>
      <w:r w:rsidRPr="00850096">
        <w:rPr>
          <w:rFonts w:ascii="Sylfaen" w:hAnsi="Sylfaen"/>
          <w:b/>
          <w:bCs/>
          <w:noProof/>
          <w:sz w:val="20"/>
          <w:szCs w:val="20"/>
        </w:rPr>
        <w:t>6. ფარმაცევტული დეტალები</w:t>
      </w:r>
    </w:p>
    <w:p w14:paraId="1D4FF71E" w14:textId="3275F2CC" w:rsidR="00A63952" w:rsidRPr="00850096" w:rsidRDefault="00A63952" w:rsidP="00BC0A56">
      <w:pPr>
        <w:spacing w:after="0" w:line="240" w:lineRule="auto"/>
        <w:rPr>
          <w:rFonts w:ascii="Sylfaen" w:hAnsi="Sylfaen"/>
          <w:b/>
          <w:bCs/>
          <w:noProof/>
          <w:sz w:val="20"/>
          <w:szCs w:val="20"/>
        </w:rPr>
      </w:pPr>
      <w:r w:rsidRPr="00850096">
        <w:rPr>
          <w:rFonts w:ascii="Sylfaen" w:hAnsi="Sylfaen"/>
          <w:b/>
          <w:bCs/>
          <w:noProof/>
          <w:sz w:val="20"/>
          <w:szCs w:val="20"/>
        </w:rPr>
        <w:t>6.</w:t>
      </w:r>
      <w:r w:rsidR="00E162E7" w:rsidRPr="00850096">
        <w:rPr>
          <w:rFonts w:ascii="Sylfaen" w:hAnsi="Sylfaen"/>
          <w:b/>
          <w:bCs/>
          <w:noProof/>
          <w:sz w:val="20"/>
          <w:szCs w:val="20"/>
        </w:rPr>
        <w:t>9</w:t>
      </w:r>
      <w:r w:rsidRPr="00850096">
        <w:rPr>
          <w:rFonts w:ascii="Sylfaen" w:hAnsi="Sylfaen"/>
          <w:b/>
          <w:bCs/>
          <w:noProof/>
          <w:sz w:val="20"/>
          <w:szCs w:val="20"/>
        </w:rPr>
        <w:t>. დამხმარე ნივთიერებები</w:t>
      </w:r>
      <w:r w:rsidR="008941B6" w:rsidRPr="00850096">
        <w:rPr>
          <w:rFonts w:ascii="Sylfaen" w:hAnsi="Sylfaen"/>
          <w:b/>
          <w:bCs/>
          <w:noProof/>
          <w:sz w:val="20"/>
          <w:szCs w:val="20"/>
        </w:rPr>
        <w:t>ს სია</w:t>
      </w:r>
    </w:p>
    <w:p w14:paraId="367CB181" w14:textId="77777777" w:rsidR="008941B6" w:rsidRPr="00850096" w:rsidRDefault="008941B6" w:rsidP="00BC0A56">
      <w:pPr>
        <w:spacing w:after="0" w:line="240" w:lineRule="auto"/>
        <w:rPr>
          <w:rFonts w:ascii="Sylfaen" w:hAnsi="Sylfaen"/>
          <w:noProof/>
          <w:sz w:val="20"/>
          <w:szCs w:val="20"/>
          <w:u w:val="single"/>
        </w:rPr>
      </w:pPr>
      <w:r w:rsidRPr="00850096">
        <w:rPr>
          <w:rFonts w:ascii="Sylfaen" w:hAnsi="Sylfaen"/>
          <w:noProof/>
          <w:sz w:val="20"/>
          <w:szCs w:val="20"/>
          <w:u w:val="single"/>
        </w:rPr>
        <w:t>ტაბლეტის ბირთვი</w:t>
      </w:r>
    </w:p>
    <w:p w14:paraId="2ED9805E" w14:textId="77777777" w:rsidR="008941B6" w:rsidRPr="00850096" w:rsidRDefault="008941B6" w:rsidP="00BC0A56">
      <w:pPr>
        <w:spacing w:after="0" w:line="240" w:lineRule="auto"/>
        <w:rPr>
          <w:rFonts w:ascii="Sylfaen" w:hAnsi="Sylfaen"/>
          <w:noProof/>
          <w:sz w:val="20"/>
          <w:szCs w:val="20"/>
        </w:rPr>
      </w:pPr>
    </w:p>
    <w:p w14:paraId="3C4305CA"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მიკროკრისტალური ცელულოზა pH 101</w:t>
      </w:r>
    </w:p>
    <w:p w14:paraId="7241EAAD"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უწყლო ლაქტოზა</w:t>
      </w:r>
    </w:p>
    <w:p w14:paraId="65D4D5F2"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კროსპოვიდონი (ტიპი A)</w:t>
      </w:r>
    </w:p>
    <w:p w14:paraId="3120A2B8"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პოლოქსამერი</w:t>
      </w:r>
    </w:p>
    <w:p w14:paraId="4C0F45B5"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ჰიპრომელოზა</w:t>
      </w:r>
    </w:p>
    <w:p w14:paraId="00F21AEE"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იზოპროპილის სპირტი</w:t>
      </w:r>
    </w:p>
    <w:p w14:paraId="62FFDEB2"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დიქლორმეთანი</w:t>
      </w:r>
    </w:p>
    <w:p w14:paraId="0D0F4263"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კოლოიდური სილიციუმის დიოქსიდი</w:t>
      </w:r>
    </w:p>
    <w:p w14:paraId="1D72883D"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ნატრიუმის სტეარილფუმარატი</w:t>
      </w:r>
    </w:p>
    <w:p w14:paraId="30500FC1" w14:textId="3626EF20" w:rsidR="00E162E7" w:rsidRDefault="00E162E7" w:rsidP="00BC0A56">
      <w:pPr>
        <w:spacing w:after="0" w:line="240" w:lineRule="auto"/>
        <w:rPr>
          <w:rFonts w:ascii="Sylfaen" w:hAnsi="Sylfaen"/>
          <w:noProof/>
          <w:sz w:val="20"/>
          <w:szCs w:val="20"/>
        </w:rPr>
      </w:pPr>
      <w:r w:rsidRPr="00850096">
        <w:rPr>
          <w:rFonts w:ascii="Sylfaen" w:hAnsi="Sylfaen"/>
          <w:noProof/>
          <w:sz w:val="20"/>
          <w:szCs w:val="20"/>
        </w:rPr>
        <w:t>ჰიდროქსილ პროპილ მეთილ ცელულოზა</w:t>
      </w:r>
    </w:p>
    <w:p w14:paraId="1834EEA0" w14:textId="77777777" w:rsidR="009614B1" w:rsidRPr="00E26D2E" w:rsidRDefault="009614B1" w:rsidP="00BC0A56">
      <w:pPr>
        <w:spacing w:after="0" w:line="240" w:lineRule="auto"/>
        <w:rPr>
          <w:rFonts w:ascii="Sylfaen" w:hAnsi="Sylfaen"/>
          <w:noProof/>
          <w:sz w:val="20"/>
          <w:szCs w:val="20"/>
        </w:rPr>
      </w:pPr>
    </w:p>
    <w:p w14:paraId="4BFE7A49" w14:textId="77777777" w:rsidR="008941B6" w:rsidRPr="00850096" w:rsidRDefault="008941B6" w:rsidP="00BC0A56">
      <w:pPr>
        <w:spacing w:after="0" w:line="240" w:lineRule="auto"/>
        <w:rPr>
          <w:rFonts w:ascii="Sylfaen" w:hAnsi="Sylfaen"/>
          <w:noProof/>
          <w:sz w:val="20"/>
          <w:szCs w:val="20"/>
          <w:u w:val="single"/>
        </w:rPr>
      </w:pPr>
      <w:r w:rsidRPr="00850096">
        <w:rPr>
          <w:rFonts w:ascii="Sylfaen" w:hAnsi="Sylfaen"/>
          <w:noProof/>
          <w:sz w:val="20"/>
          <w:szCs w:val="20"/>
          <w:u w:val="single"/>
        </w:rPr>
        <w:t>აპკიანი გარსი</w:t>
      </w:r>
    </w:p>
    <w:p w14:paraId="0735D542"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Opadry II (85F92582) — ყვითელი</w:t>
      </w:r>
    </w:p>
    <w:p w14:paraId="278CBF3E" w14:textId="0EB0819C" w:rsidR="00E162E7" w:rsidRDefault="00E162E7" w:rsidP="00BC0A56">
      <w:pPr>
        <w:spacing w:after="0" w:line="240" w:lineRule="auto"/>
        <w:rPr>
          <w:rFonts w:ascii="Sylfaen" w:hAnsi="Sylfaen"/>
          <w:noProof/>
          <w:sz w:val="20"/>
          <w:szCs w:val="20"/>
        </w:rPr>
      </w:pPr>
      <w:r w:rsidRPr="00850096">
        <w:rPr>
          <w:rFonts w:ascii="Sylfaen" w:hAnsi="Sylfaen"/>
          <w:noProof/>
          <w:sz w:val="20"/>
          <w:szCs w:val="20"/>
        </w:rPr>
        <w:t>გასუფთავებული წყალი</w:t>
      </w:r>
    </w:p>
    <w:p w14:paraId="14E1A926" w14:textId="77777777" w:rsidR="009614B1" w:rsidRPr="00E26D2E" w:rsidRDefault="009614B1" w:rsidP="00BC0A56">
      <w:pPr>
        <w:spacing w:after="0" w:line="240" w:lineRule="auto"/>
        <w:rPr>
          <w:rFonts w:ascii="Sylfaen" w:hAnsi="Sylfaen"/>
          <w:noProof/>
          <w:sz w:val="20"/>
          <w:szCs w:val="20"/>
        </w:rPr>
      </w:pPr>
    </w:p>
    <w:p w14:paraId="14294AB8" w14:textId="1EF1039F" w:rsidR="00CD2612" w:rsidRPr="00850096" w:rsidRDefault="00CD2612" w:rsidP="00BC0A56">
      <w:pPr>
        <w:spacing w:after="0" w:line="240" w:lineRule="auto"/>
        <w:rPr>
          <w:rFonts w:ascii="Sylfaen" w:hAnsi="Sylfaen"/>
          <w:b/>
          <w:bCs/>
          <w:noProof/>
          <w:sz w:val="20"/>
          <w:szCs w:val="20"/>
        </w:rPr>
      </w:pPr>
      <w:r w:rsidRPr="00850096">
        <w:rPr>
          <w:rFonts w:ascii="Sylfaen" w:hAnsi="Sylfaen"/>
          <w:b/>
          <w:bCs/>
          <w:noProof/>
          <w:sz w:val="20"/>
          <w:szCs w:val="20"/>
        </w:rPr>
        <w:t>6.</w:t>
      </w:r>
      <w:r w:rsidR="00E162E7" w:rsidRPr="00850096">
        <w:rPr>
          <w:rFonts w:ascii="Sylfaen" w:hAnsi="Sylfaen"/>
          <w:b/>
          <w:bCs/>
          <w:noProof/>
          <w:sz w:val="20"/>
          <w:szCs w:val="20"/>
        </w:rPr>
        <w:t>10</w:t>
      </w:r>
      <w:r w:rsidRPr="00850096">
        <w:rPr>
          <w:rFonts w:ascii="Sylfaen" w:hAnsi="Sylfaen"/>
          <w:b/>
          <w:bCs/>
          <w:noProof/>
          <w:sz w:val="20"/>
          <w:szCs w:val="20"/>
        </w:rPr>
        <w:t>. შეუთავსებლობა</w:t>
      </w:r>
    </w:p>
    <w:p w14:paraId="2FE81E5F" w14:textId="2468EF20" w:rsidR="00CD2612" w:rsidRDefault="00CD2612" w:rsidP="00BC0A56">
      <w:pPr>
        <w:spacing w:after="0" w:line="240" w:lineRule="auto"/>
        <w:rPr>
          <w:rFonts w:ascii="Sylfaen" w:hAnsi="Sylfaen"/>
          <w:noProof/>
          <w:sz w:val="20"/>
          <w:szCs w:val="20"/>
        </w:rPr>
      </w:pPr>
      <w:r w:rsidRPr="00850096">
        <w:rPr>
          <w:rFonts w:ascii="Sylfaen" w:hAnsi="Sylfaen"/>
          <w:noProof/>
          <w:sz w:val="20"/>
          <w:szCs w:val="20"/>
        </w:rPr>
        <w:t>არ მიესადაგება</w:t>
      </w:r>
    </w:p>
    <w:p w14:paraId="430FEE4F" w14:textId="77777777" w:rsidR="009614B1" w:rsidRPr="00850096" w:rsidRDefault="009614B1" w:rsidP="00BC0A56">
      <w:pPr>
        <w:spacing w:after="0" w:line="240" w:lineRule="auto"/>
        <w:rPr>
          <w:rFonts w:ascii="Sylfaen" w:hAnsi="Sylfaen"/>
          <w:noProof/>
          <w:sz w:val="20"/>
          <w:szCs w:val="20"/>
        </w:rPr>
      </w:pPr>
    </w:p>
    <w:p w14:paraId="54DD4E69" w14:textId="28723202" w:rsidR="00CD2612" w:rsidRPr="00850096" w:rsidRDefault="00CD2612" w:rsidP="00BC0A56">
      <w:pPr>
        <w:spacing w:after="0" w:line="240" w:lineRule="auto"/>
        <w:rPr>
          <w:rFonts w:ascii="Sylfaen" w:hAnsi="Sylfaen"/>
          <w:b/>
          <w:bCs/>
          <w:noProof/>
          <w:sz w:val="20"/>
          <w:szCs w:val="20"/>
        </w:rPr>
      </w:pPr>
      <w:r w:rsidRPr="00850096">
        <w:rPr>
          <w:rFonts w:ascii="Sylfaen" w:hAnsi="Sylfaen"/>
          <w:b/>
          <w:bCs/>
          <w:noProof/>
          <w:sz w:val="20"/>
          <w:szCs w:val="20"/>
        </w:rPr>
        <w:t>6.</w:t>
      </w:r>
      <w:r w:rsidR="00E162E7" w:rsidRPr="00850096">
        <w:rPr>
          <w:rFonts w:ascii="Sylfaen" w:hAnsi="Sylfaen"/>
          <w:b/>
          <w:bCs/>
          <w:noProof/>
          <w:sz w:val="20"/>
          <w:szCs w:val="20"/>
        </w:rPr>
        <w:t>11</w:t>
      </w:r>
      <w:r w:rsidRPr="00850096">
        <w:rPr>
          <w:rFonts w:ascii="Sylfaen" w:hAnsi="Sylfaen"/>
          <w:b/>
          <w:bCs/>
          <w:noProof/>
          <w:sz w:val="20"/>
          <w:szCs w:val="20"/>
        </w:rPr>
        <w:t>. შენახვის ვადა</w:t>
      </w:r>
    </w:p>
    <w:p w14:paraId="62D2FC62" w14:textId="68AA73F7" w:rsidR="00CD2612" w:rsidRDefault="008941B6" w:rsidP="00BC0A56">
      <w:pPr>
        <w:spacing w:after="0" w:line="240" w:lineRule="auto"/>
        <w:rPr>
          <w:rFonts w:ascii="Sylfaen" w:hAnsi="Sylfaen"/>
          <w:noProof/>
          <w:sz w:val="20"/>
          <w:szCs w:val="20"/>
        </w:rPr>
      </w:pPr>
      <w:r w:rsidRPr="00850096">
        <w:rPr>
          <w:rFonts w:ascii="Sylfaen" w:hAnsi="Sylfaen"/>
          <w:noProof/>
          <w:sz w:val="20"/>
          <w:szCs w:val="20"/>
        </w:rPr>
        <w:t>3</w:t>
      </w:r>
      <w:r w:rsidR="00CD2612" w:rsidRPr="00850096">
        <w:rPr>
          <w:rFonts w:ascii="Sylfaen" w:hAnsi="Sylfaen"/>
          <w:noProof/>
          <w:sz w:val="20"/>
          <w:szCs w:val="20"/>
        </w:rPr>
        <w:t xml:space="preserve"> წელი</w:t>
      </w:r>
    </w:p>
    <w:p w14:paraId="1A010757" w14:textId="77777777" w:rsidR="009614B1" w:rsidRPr="00850096" w:rsidRDefault="009614B1" w:rsidP="00BC0A56">
      <w:pPr>
        <w:spacing w:after="0" w:line="240" w:lineRule="auto"/>
        <w:rPr>
          <w:rFonts w:ascii="Sylfaen" w:hAnsi="Sylfaen"/>
          <w:noProof/>
          <w:sz w:val="20"/>
          <w:szCs w:val="20"/>
        </w:rPr>
      </w:pPr>
    </w:p>
    <w:p w14:paraId="6E55B19C" w14:textId="3549CDD6" w:rsidR="00CD2612" w:rsidRPr="00850096" w:rsidRDefault="00CD2612" w:rsidP="00BC0A56">
      <w:pPr>
        <w:spacing w:after="0" w:line="240" w:lineRule="auto"/>
        <w:rPr>
          <w:rFonts w:ascii="Sylfaen" w:hAnsi="Sylfaen"/>
          <w:b/>
          <w:bCs/>
          <w:noProof/>
          <w:sz w:val="20"/>
          <w:szCs w:val="20"/>
        </w:rPr>
      </w:pPr>
      <w:r w:rsidRPr="00850096">
        <w:rPr>
          <w:rFonts w:ascii="Sylfaen" w:hAnsi="Sylfaen"/>
          <w:b/>
          <w:bCs/>
          <w:noProof/>
          <w:sz w:val="20"/>
          <w:szCs w:val="20"/>
        </w:rPr>
        <w:t>6.</w:t>
      </w:r>
      <w:r w:rsidR="00E162E7" w:rsidRPr="00850096">
        <w:rPr>
          <w:rFonts w:ascii="Sylfaen" w:hAnsi="Sylfaen"/>
          <w:b/>
          <w:bCs/>
          <w:noProof/>
          <w:sz w:val="20"/>
          <w:szCs w:val="20"/>
        </w:rPr>
        <w:t>12</w:t>
      </w:r>
      <w:r w:rsidRPr="00850096">
        <w:rPr>
          <w:rFonts w:ascii="Sylfaen" w:hAnsi="Sylfaen"/>
          <w:b/>
          <w:bCs/>
          <w:noProof/>
          <w:sz w:val="20"/>
          <w:szCs w:val="20"/>
        </w:rPr>
        <w:t>. განსაკუთრებული სიფრთხილის ზომები შენახვისას</w:t>
      </w:r>
    </w:p>
    <w:p w14:paraId="4F4A2171" w14:textId="77777777" w:rsidR="00E162E7" w:rsidRPr="00850096" w:rsidRDefault="00E162E7" w:rsidP="00BC0A56">
      <w:pPr>
        <w:spacing w:after="0" w:line="240" w:lineRule="auto"/>
        <w:rPr>
          <w:rFonts w:ascii="Sylfaen" w:hAnsi="Sylfaen"/>
          <w:noProof/>
          <w:sz w:val="20"/>
          <w:szCs w:val="20"/>
        </w:rPr>
      </w:pPr>
      <w:r w:rsidRPr="00850096">
        <w:rPr>
          <w:rFonts w:ascii="Sylfaen" w:hAnsi="Sylfaen"/>
          <w:noProof/>
          <w:sz w:val="20"/>
          <w:szCs w:val="20"/>
        </w:rPr>
        <w:t>შეინახეთ 30°C-ზე დაბალ ტემპერატურაზე. დაიცავით სინათლისგან.</w:t>
      </w:r>
    </w:p>
    <w:p w14:paraId="11179130" w14:textId="6E2FC6A9" w:rsidR="00E162E7" w:rsidRDefault="00E162E7" w:rsidP="00BC0A56">
      <w:pPr>
        <w:spacing w:after="0" w:line="240" w:lineRule="auto"/>
        <w:rPr>
          <w:rFonts w:ascii="Sylfaen" w:hAnsi="Sylfaen"/>
          <w:noProof/>
          <w:sz w:val="20"/>
          <w:szCs w:val="20"/>
        </w:rPr>
      </w:pPr>
      <w:r w:rsidRPr="00850096">
        <w:rPr>
          <w:rFonts w:ascii="Sylfaen" w:hAnsi="Sylfaen"/>
          <w:noProof/>
          <w:sz w:val="20"/>
          <w:szCs w:val="20"/>
        </w:rPr>
        <w:t>შეინახეთ ბავშვებისთვის მიუწვდომელ ადგილას.</w:t>
      </w:r>
    </w:p>
    <w:p w14:paraId="2EFD766F" w14:textId="77777777" w:rsidR="009614B1" w:rsidRPr="00850096" w:rsidRDefault="009614B1" w:rsidP="00BC0A56">
      <w:pPr>
        <w:spacing w:after="0" w:line="240" w:lineRule="auto"/>
        <w:rPr>
          <w:rFonts w:ascii="Sylfaen" w:hAnsi="Sylfaen"/>
          <w:noProof/>
          <w:sz w:val="20"/>
          <w:szCs w:val="20"/>
        </w:rPr>
      </w:pPr>
    </w:p>
    <w:p w14:paraId="15EF607C" w14:textId="74181C0B" w:rsidR="00CD2612" w:rsidRPr="00850096" w:rsidRDefault="00CD2612" w:rsidP="00BC0A56">
      <w:pPr>
        <w:spacing w:after="0" w:line="240" w:lineRule="auto"/>
        <w:rPr>
          <w:rFonts w:ascii="Sylfaen" w:hAnsi="Sylfaen"/>
          <w:b/>
          <w:bCs/>
          <w:noProof/>
          <w:sz w:val="20"/>
          <w:szCs w:val="20"/>
        </w:rPr>
      </w:pPr>
      <w:r w:rsidRPr="00850096">
        <w:rPr>
          <w:rFonts w:ascii="Sylfaen" w:hAnsi="Sylfaen"/>
          <w:b/>
          <w:bCs/>
          <w:noProof/>
          <w:sz w:val="20"/>
          <w:szCs w:val="20"/>
        </w:rPr>
        <w:t>6.</w:t>
      </w:r>
      <w:r w:rsidR="00E162E7" w:rsidRPr="00850096">
        <w:rPr>
          <w:rFonts w:ascii="Sylfaen" w:hAnsi="Sylfaen"/>
          <w:b/>
          <w:bCs/>
          <w:noProof/>
          <w:sz w:val="20"/>
          <w:szCs w:val="20"/>
        </w:rPr>
        <w:t>13</w:t>
      </w:r>
      <w:r w:rsidRPr="00850096">
        <w:rPr>
          <w:rFonts w:ascii="Sylfaen" w:hAnsi="Sylfaen"/>
          <w:b/>
          <w:bCs/>
          <w:noProof/>
          <w:sz w:val="20"/>
          <w:szCs w:val="20"/>
        </w:rPr>
        <w:t>. შეფუთვის შიგთავსი</w:t>
      </w:r>
    </w:p>
    <w:p w14:paraId="224B647C" w14:textId="39E52BDE" w:rsidR="00E162E7" w:rsidRDefault="00E162E7" w:rsidP="00BC0A56">
      <w:pPr>
        <w:spacing w:after="0" w:line="240" w:lineRule="auto"/>
        <w:rPr>
          <w:rFonts w:ascii="Sylfaen" w:hAnsi="Sylfaen"/>
          <w:noProof/>
          <w:sz w:val="20"/>
          <w:szCs w:val="20"/>
        </w:rPr>
      </w:pPr>
      <w:r w:rsidRPr="00850096">
        <w:rPr>
          <w:rFonts w:ascii="Sylfaen" w:hAnsi="Sylfaen"/>
          <w:noProof/>
          <w:sz w:val="20"/>
          <w:szCs w:val="20"/>
        </w:rPr>
        <w:t>10 აპკიანი გარსით დაფარული ტაბლეტი ალუმინის ბლისტერში. მუყაოს კოლოფში მოთავსებულია 3 ასეთი ბლისტერი და გამოყენების ინსტრუქცია.</w:t>
      </w:r>
    </w:p>
    <w:p w14:paraId="64900C15" w14:textId="77777777" w:rsidR="009614B1" w:rsidRPr="00850096" w:rsidRDefault="009614B1" w:rsidP="00BC0A56">
      <w:pPr>
        <w:spacing w:after="0" w:line="240" w:lineRule="auto"/>
        <w:rPr>
          <w:rFonts w:ascii="Sylfaen" w:hAnsi="Sylfaen"/>
          <w:noProof/>
          <w:sz w:val="20"/>
          <w:szCs w:val="20"/>
        </w:rPr>
      </w:pPr>
    </w:p>
    <w:p w14:paraId="07BE4A2B" w14:textId="03F67E5F" w:rsidR="00CD2612" w:rsidRPr="00850096" w:rsidRDefault="00CD2612" w:rsidP="00BC0A56">
      <w:pPr>
        <w:spacing w:after="0" w:line="240" w:lineRule="auto"/>
        <w:rPr>
          <w:rFonts w:ascii="Sylfaen" w:hAnsi="Sylfaen"/>
          <w:b/>
          <w:bCs/>
          <w:noProof/>
          <w:sz w:val="20"/>
          <w:szCs w:val="20"/>
        </w:rPr>
      </w:pPr>
      <w:r w:rsidRPr="00850096">
        <w:rPr>
          <w:rFonts w:ascii="Sylfaen" w:hAnsi="Sylfaen"/>
          <w:b/>
          <w:bCs/>
          <w:noProof/>
          <w:sz w:val="20"/>
          <w:szCs w:val="20"/>
        </w:rPr>
        <w:t>6.6. განსაკუთრებული სიფრთხილის ზომები განადგურებისა და სხვა დამუშავებისას</w:t>
      </w:r>
    </w:p>
    <w:p w14:paraId="142AFA3A" w14:textId="27D0C1D6" w:rsidR="00E162E7" w:rsidRDefault="00E162E7" w:rsidP="00BC0A56">
      <w:pPr>
        <w:spacing w:after="0" w:line="240" w:lineRule="auto"/>
        <w:rPr>
          <w:rFonts w:ascii="Sylfaen" w:hAnsi="Sylfaen"/>
          <w:noProof/>
          <w:sz w:val="20"/>
          <w:szCs w:val="20"/>
        </w:rPr>
      </w:pPr>
      <w:r w:rsidRPr="00850096">
        <w:rPr>
          <w:rFonts w:ascii="Sylfaen" w:hAnsi="Sylfaen"/>
          <w:noProof/>
          <w:sz w:val="20"/>
          <w:szCs w:val="20"/>
        </w:rPr>
        <w:t>ნებისმიერი გამოუყენებელი სამკურნალო საშუალება ან ნარჩენი უნდა განადგურდეს ადგილობრივი მოთხოვნების შესაბამისად.</w:t>
      </w:r>
    </w:p>
    <w:p w14:paraId="1555B2E2" w14:textId="77777777" w:rsidR="009614B1" w:rsidRPr="00850096" w:rsidRDefault="009614B1" w:rsidP="00BC0A56">
      <w:pPr>
        <w:spacing w:after="0" w:line="240" w:lineRule="auto"/>
        <w:rPr>
          <w:rFonts w:ascii="Sylfaen" w:hAnsi="Sylfaen"/>
          <w:noProof/>
          <w:sz w:val="20"/>
          <w:szCs w:val="20"/>
        </w:rPr>
      </w:pPr>
    </w:p>
    <w:p w14:paraId="0B9959AA" w14:textId="3CBF7934" w:rsidR="005E3990" w:rsidRPr="00850096" w:rsidRDefault="005E3990" w:rsidP="00BC0A56">
      <w:pPr>
        <w:spacing w:after="0" w:line="240" w:lineRule="auto"/>
        <w:rPr>
          <w:rFonts w:ascii="Sylfaen" w:hAnsi="Sylfaen"/>
          <w:b/>
          <w:bCs/>
          <w:noProof/>
          <w:sz w:val="20"/>
          <w:szCs w:val="20"/>
        </w:rPr>
      </w:pPr>
      <w:r w:rsidRPr="00850096">
        <w:rPr>
          <w:rFonts w:ascii="Sylfaen" w:hAnsi="Sylfaen"/>
          <w:b/>
          <w:bCs/>
          <w:noProof/>
          <w:sz w:val="20"/>
          <w:szCs w:val="20"/>
        </w:rPr>
        <w:t>7. სავაჭრო ლიცენზიის მფლობელი</w:t>
      </w:r>
    </w:p>
    <w:p w14:paraId="1511986A" w14:textId="77777777" w:rsidR="005E3990" w:rsidRPr="00850096" w:rsidRDefault="005E3990" w:rsidP="00BC0A56">
      <w:pPr>
        <w:spacing w:after="0" w:line="240" w:lineRule="auto"/>
        <w:rPr>
          <w:rFonts w:ascii="Sylfaen" w:hAnsi="Sylfaen"/>
          <w:noProof/>
          <w:sz w:val="20"/>
          <w:szCs w:val="20"/>
        </w:rPr>
      </w:pPr>
      <w:r w:rsidRPr="00850096">
        <w:rPr>
          <w:rFonts w:ascii="Sylfaen" w:hAnsi="Sylfaen"/>
          <w:noProof/>
          <w:sz w:val="20"/>
          <w:szCs w:val="20"/>
        </w:rPr>
        <w:t>Zandra Life Sciences Pvt. Ltd.</w:t>
      </w:r>
    </w:p>
    <w:p w14:paraId="5F10E330" w14:textId="77777777" w:rsidR="005E3990" w:rsidRPr="00850096" w:rsidRDefault="005E3990" w:rsidP="00BC0A56">
      <w:pPr>
        <w:spacing w:after="0" w:line="240" w:lineRule="auto"/>
        <w:rPr>
          <w:rFonts w:ascii="Sylfaen" w:hAnsi="Sylfaen"/>
          <w:noProof/>
          <w:sz w:val="20"/>
          <w:szCs w:val="20"/>
        </w:rPr>
      </w:pPr>
      <w:r w:rsidRPr="00850096">
        <w:rPr>
          <w:rFonts w:ascii="Sylfaen" w:hAnsi="Sylfaen"/>
          <w:noProof/>
          <w:sz w:val="20"/>
          <w:szCs w:val="20"/>
        </w:rPr>
        <w:t>1001, B Wing, O2 Commercial Twin Tower,</w:t>
      </w:r>
    </w:p>
    <w:p w14:paraId="64F462CA" w14:textId="0EA8EE96" w:rsidR="005E3990" w:rsidRDefault="005E3990" w:rsidP="00BC0A56">
      <w:pPr>
        <w:spacing w:after="0" w:line="240" w:lineRule="auto"/>
        <w:rPr>
          <w:rFonts w:ascii="Sylfaen" w:hAnsi="Sylfaen"/>
          <w:noProof/>
          <w:sz w:val="20"/>
          <w:szCs w:val="20"/>
        </w:rPr>
      </w:pPr>
      <w:r w:rsidRPr="00850096">
        <w:rPr>
          <w:rFonts w:ascii="Sylfaen" w:hAnsi="Sylfaen"/>
          <w:noProof/>
          <w:sz w:val="20"/>
          <w:szCs w:val="20"/>
        </w:rPr>
        <w:t>Asha Nagar Road, Mulund West, Mumbai, India.</w:t>
      </w:r>
    </w:p>
    <w:p w14:paraId="3ACD05D4" w14:textId="77777777" w:rsidR="009614B1" w:rsidRPr="00850096" w:rsidRDefault="009614B1" w:rsidP="00BC0A56">
      <w:pPr>
        <w:spacing w:after="0" w:line="240" w:lineRule="auto"/>
        <w:rPr>
          <w:rFonts w:ascii="Sylfaen" w:hAnsi="Sylfaen"/>
          <w:noProof/>
          <w:sz w:val="20"/>
          <w:szCs w:val="20"/>
        </w:rPr>
      </w:pPr>
    </w:p>
    <w:p w14:paraId="0E7ECAE9" w14:textId="0195F9B3" w:rsidR="005E3990" w:rsidRPr="00850096" w:rsidRDefault="005E3990" w:rsidP="00BC0A56">
      <w:pPr>
        <w:spacing w:after="0" w:line="240" w:lineRule="auto"/>
        <w:rPr>
          <w:rFonts w:ascii="Sylfaen" w:hAnsi="Sylfaen"/>
          <w:b/>
          <w:bCs/>
          <w:noProof/>
          <w:sz w:val="20"/>
          <w:szCs w:val="20"/>
        </w:rPr>
      </w:pPr>
      <w:r w:rsidRPr="00850096">
        <w:rPr>
          <w:rFonts w:ascii="Sylfaen" w:hAnsi="Sylfaen"/>
          <w:b/>
          <w:bCs/>
          <w:noProof/>
          <w:sz w:val="20"/>
          <w:szCs w:val="20"/>
        </w:rPr>
        <w:t>8. სავაჭრო ლიცენზიის ნომერი(ები)</w:t>
      </w:r>
    </w:p>
    <w:p w14:paraId="3D83ADD3" w14:textId="01D59AAE" w:rsidR="005E3990" w:rsidRPr="00850096" w:rsidRDefault="005E3990" w:rsidP="00BC0A56">
      <w:pPr>
        <w:spacing w:after="0" w:line="240" w:lineRule="auto"/>
        <w:rPr>
          <w:rFonts w:ascii="Sylfaen" w:hAnsi="Sylfaen"/>
          <w:noProof/>
          <w:sz w:val="20"/>
          <w:szCs w:val="20"/>
        </w:rPr>
      </w:pPr>
      <w:r w:rsidRPr="00850096">
        <w:rPr>
          <w:rFonts w:ascii="Sylfaen" w:hAnsi="Sylfaen"/>
          <w:noProof/>
          <w:sz w:val="20"/>
          <w:szCs w:val="20"/>
        </w:rPr>
        <w:t>--</w:t>
      </w:r>
    </w:p>
    <w:p w14:paraId="7FB05190" w14:textId="77777777" w:rsidR="005E3990" w:rsidRPr="00850096" w:rsidRDefault="005E3990" w:rsidP="00BC0A56">
      <w:pPr>
        <w:spacing w:after="0" w:line="240" w:lineRule="auto"/>
        <w:rPr>
          <w:rFonts w:ascii="Sylfaen" w:hAnsi="Sylfaen"/>
          <w:b/>
          <w:bCs/>
          <w:noProof/>
          <w:sz w:val="20"/>
          <w:szCs w:val="20"/>
        </w:rPr>
      </w:pPr>
      <w:r w:rsidRPr="00850096">
        <w:rPr>
          <w:rFonts w:ascii="Sylfaen" w:hAnsi="Sylfaen"/>
          <w:b/>
          <w:bCs/>
          <w:noProof/>
          <w:sz w:val="20"/>
          <w:szCs w:val="20"/>
        </w:rPr>
        <w:t>9. პირველადი ავტორიზაციის/ავტორიზაციის განახლების თარიღი</w:t>
      </w:r>
    </w:p>
    <w:p w14:paraId="74B6F8C4" w14:textId="64DF347D" w:rsidR="005E3990" w:rsidRPr="00850096" w:rsidRDefault="005E3990" w:rsidP="00BC0A56">
      <w:pPr>
        <w:spacing w:after="0" w:line="240" w:lineRule="auto"/>
        <w:rPr>
          <w:rFonts w:ascii="Sylfaen" w:hAnsi="Sylfaen"/>
          <w:noProof/>
          <w:sz w:val="20"/>
          <w:szCs w:val="20"/>
        </w:rPr>
      </w:pPr>
      <w:r w:rsidRPr="00850096">
        <w:rPr>
          <w:rFonts w:ascii="Sylfaen" w:hAnsi="Sylfaen"/>
          <w:noProof/>
          <w:sz w:val="20"/>
          <w:szCs w:val="20"/>
        </w:rPr>
        <w:t>--</w:t>
      </w:r>
    </w:p>
    <w:p w14:paraId="2A727323" w14:textId="77777777" w:rsidR="005E3990" w:rsidRPr="00850096" w:rsidRDefault="005E3990" w:rsidP="00BC0A56">
      <w:pPr>
        <w:spacing w:after="0" w:line="240" w:lineRule="auto"/>
        <w:rPr>
          <w:rFonts w:ascii="Sylfaen" w:hAnsi="Sylfaen"/>
          <w:b/>
          <w:bCs/>
          <w:noProof/>
          <w:sz w:val="20"/>
          <w:szCs w:val="20"/>
        </w:rPr>
      </w:pPr>
      <w:r w:rsidRPr="00850096">
        <w:rPr>
          <w:rFonts w:ascii="Sylfaen" w:hAnsi="Sylfaen"/>
          <w:b/>
          <w:bCs/>
          <w:noProof/>
          <w:sz w:val="20"/>
          <w:szCs w:val="20"/>
        </w:rPr>
        <w:t>10. ტექსტის გადახედვის თარიღი</w:t>
      </w:r>
    </w:p>
    <w:p w14:paraId="446500AF" w14:textId="5EC80CC5" w:rsidR="009614B1" w:rsidRDefault="005E3990" w:rsidP="009614B1">
      <w:pPr>
        <w:spacing w:after="0" w:line="240" w:lineRule="auto"/>
        <w:rPr>
          <w:rFonts w:ascii="Sylfaen" w:hAnsi="Sylfaen"/>
          <w:noProof/>
          <w:sz w:val="20"/>
          <w:szCs w:val="20"/>
        </w:rPr>
      </w:pPr>
      <w:r w:rsidRPr="00850096">
        <w:rPr>
          <w:rFonts w:ascii="Sylfaen" w:hAnsi="Sylfaen"/>
          <w:noProof/>
          <w:sz w:val="20"/>
          <w:szCs w:val="20"/>
        </w:rPr>
        <w:t xml:space="preserve">2026 წლის </w:t>
      </w:r>
      <w:r w:rsidR="00E162E7" w:rsidRPr="00850096">
        <w:rPr>
          <w:rFonts w:ascii="Sylfaen" w:hAnsi="Sylfaen"/>
          <w:noProof/>
          <w:sz w:val="20"/>
          <w:szCs w:val="20"/>
        </w:rPr>
        <w:t xml:space="preserve">7 </w:t>
      </w:r>
      <w:r w:rsidRPr="00850096">
        <w:rPr>
          <w:rFonts w:ascii="Sylfaen" w:hAnsi="Sylfaen"/>
          <w:noProof/>
          <w:sz w:val="20"/>
          <w:szCs w:val="20"/>
        </w:rPr>
        <w:t>სექტემბერი</w:t>
      </w:r>
    </w:p>
    <w:p w14:paraId="55C45CB7" w14:textId="77777777" w:rsidR="009614B1" w:rsidRDefault="009614B1" w:rsidP="009614B1">
      <w:pPr>
        <w:spacing w:after="0" w:line="240" w:lineRule="auto"/>
        <w:rPr>
          <w:rFonts w:ascii="Sylfaen" w:hAnsi="Sylfaen"/>
          <w:noProof/>
          <w:sz w:val="20"/>
          <w:szCs w:val="20"/>
        </w:rPr>
      </w:pPr>
    </w:p>
    <w:p w14:paraId="197AE5D8" w14:textId="78753AFD" w:rsidR="009614B1" w:rsidRPr="00EA3768" w:rsidRDefault="009614B1" w:rsidP="009614B1">
      <w:pPr>
        <w:tabs>
          <w:tab w:val="left" w:pos="284"/>
          <w:tab w:val="left" w:pos="567"/>
        </w:tabs>
        <w:spacing w:after="0"/>
        <w:jc w:val="both"/>
        <w:rPr>
          <w:rFonts w:ascii="Sylfaen" w:eastAsia="SimSun" w:hAnsi="Sylfaen" w:cs="Times New Roman"/>
          <w:bCs/>
          <w:noProof/>
          <w:sz w:val="20"/>
          <w:szCs w:val="20"/>
          <w:lang w:val="ka-GE" w:eastAsia="ru-RU"/>
        </w:rPr>
      </w:pPr>
      <w:r w:rsidRPr="00EA3768">
        <w:rPr>
          <w:rFonts w:ascii="Sylfaen" w:eastAsia="SimSun" w:hAnsi="Sylfaen" w:cs="Times New Roman"/>
          <w:b/>
          <w:noProof/>
          <w:sz w:val="20"/>
          <w:szCs w:val="20"/>
          <w:lang w:val="ka-GE" w:eastAsia="ru-RU"/>
        </w:rPr>
        <w:t>გაცემის წესი:</w:t>
      </w:r>
    </w:p>
    <w:p w14:paraId="1AD05C6C" w14:textId="77777777" w:rsidR="009614B1" w:rsidRPr="00EA3768" w:rsidRDefault="009614B1" w:rsidP="009614B1">
      <w:pPr>
        <w:tabs>
          <w:tab w:val="left" w:pos="284"/>
          <w:tab w:val="left" w:pos="567"/>
        </w:tabs>
        <w:spacing w:after="0"/>
        <w:jc w:val="both"/>
        <w:rPr>
          <w:rFonts w:ascii="Sylfaen" w:hAnsi="Sylfaen" w:cs="Times New Roman"/>
          <w:i/>
          <w:noProof/>
          <w:sz w:val="20"/>
          <w:szCs w:val="20"/>
        </w:rPr>
      </w:pPr>
      <w:r w:rsidRPr="00EA3768">
        <w:rPr>
          <w:rFonts w:ascii="Sylfaen" w:eastAsia="SimSun" w:hAnsi="Sylfaen" w:cs="Times New Roman"/>
          <w:bCs/>
          <w:noProof/>
          <w:sz w:val="20"/>
          <w:szCs w:val="20"/>
          <w:lang w:val="ka-GE" w:eastAsia="ru-RU"/>
        </w:rPr>
        <w:t>ფარმაცევტული პროდუქტის ჯგუფი II, გაიცემა ფორმა №3 რეცეპტით.</w:t>
      </w:r>
    </w:p>
    <w:p w14:paraId="705A907E" w14:textId="4676639D" w:rsidR="00D40D28" w:rsidRPr="001C3C36" w:rsidRDefault="00500090" w:rsidP="00BC0A56">
      <w:pPr>
        <w:spacing w:after="0" w:line="240" w:lineRule="auto"/>
        <w:rPr>
          <w:rFonts w:ascii="Sylfaen" w:hAnsi="Sylfaen"/>
          <w:noProof/>
        </w:rPr>
      </w:pPr>
      <w:r>
        <w:rPr>
          <w:rFonts w:ascii="Sylfaen" w:hAnsi="Sylfaen"/>
          <w:noProof/>
          <w:lang w:val="ka-GE"/>
        </w:rPr>
        <w:t xml:space="preserve">                                       </w:t>
      </w:r>
    </w:p>
    <w:sectPr w:rsidR="00D40D28" w:rsidRPr="001C3C36" w:rsidSect="00500090">
      <w:footerReference w:type="default" r:id="rId15"/>
      <w:pgSz w:w="12240" w:h="15840"/>
      <w:pgMar w:top="990" w:right="850" w:bottom="72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8F0FF6" w14:textId="77777777" w:rsidR="00AE2B74" w:rsidRDefault="00AE2B74" w:rsidP="00BC0A56">
      <w:pPr>
        <w:spacing w:after="0" w:line="240" w:lineRule="auto"/>
      </w:pPr>
      <w:r>
        <w:separator/>
      </w:r>
    </w:p>
  </w:endnote>
  <w:endnote w:type="continuationSeparator" w:id="0">
    <w:p w14:paraId="3929DFA0" w14:textId="77777777" w:rsidR="00AE2B74" w:rsidRDefault="00AE2B74" w:rsidP="00BC0A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lfaen">
    <w:panose1 w:val="010A0502050306030303"/>
    <w:charset w:val="00"/>
    <w:family w:val="roman"/>
    <w:pitch w:val="variable"/>
    <w:sig w:usb0="04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1764043"/>
      <w:docPartObj>
        <w:docPartGallery w:val="Page Numbers (Bottom of Page)"/>
        <w:docPartUnique/>
      </w:docPartObj>
    </w:sdtPr>
    <w:sdtEndPr>
      <w:rPr>
        <w:noProof/>
      </w:rPr>
    </w:sdtEndPr>
    <w:sdtContent>
      <w:p w14:paraId="3F0783FB" w14:textId="1E240711" w:rsidR="00BC0A56" w:rsidRDefault="00BC0A5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305847" w14:textId="77777777" w:rsidR="00BC0A56" w:rsidRDefault="00BC0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A0A7A9" w14:textId="77777777" w:rsidR="00AE2B74" w:rsidRDefault="00AE2B74" w:rsidP="00BC0A56">
      <w:pPr>
        <w:spacing w:after="0" w:line="240" w:lineRule="auto"/>
      </w:pPr>
      <w:r>
        <w:separator/>
      </w:r>
    </w:p>
  </w:footnote>
  <w:footnote w:type="continuationSeparator" w:id="0">
    <w:p w14:paraId="15748BED" w14:textId="77777777" w:rsidR="00AE2B74" w:rsidRDefault="00AE2B74" w:rsidP="00BC0A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82E0E"/>
    <w:multiLevelType w:val="hybridMultilevel"/>
    <w:tmpl w:val="1324B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225CAC"/>
    <w:multiLevelType w:val="hybridMultilevel"/>
    <w:tmpl w:val="0B4CC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E24688"/>
    <w:multiLevelType w:val="multilevel"/>
    <w:tmpl w:val="3FC86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304FF9"/>
    <w:multiLevelType w:val="hybridMultilevel"/>
    <w:tmpl w:val="1324B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DE2652"/>
    <w:multiLevelType w:val="multilevel"/>
    <w:tmpl w:val="97DA1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A02A87"/>
    <w:multiLevelType w:val="hybridMultilevel"/>
    <w:tmpl w:val="B80C46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81AE8"/>
    <w:multiLevelType w:val="hybridMultilevel"/>
    <w:tmpl w:val="1324B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4A40EF"/>
    <w:multiLevelType w:val="hybridMultilevel"/>
    <w:tmpl w:val="1324B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F40F5B"/>
    <w:multiLevelType w:val="multilevel"/>
    <w:tmpl w:val="B5AAB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213BE4"/>
    <w:multiLevelType w:val="multilevel"/>
    <w:tmpl w:val="AB9CEF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AF6715"/>
    <w:multiLevelType w:val="hybridMultilevel"/>
    <w:tmpl w:val="955EC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DE78AC"/>
    <w:multiLevelType w:val="hybridMultilevel"/>
    <w:tmpl w:val="818EB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392A29"/>
    <w:multiLevelType w:val="hybridMultilevel"/>
    <w:tmpl w:val="50A2B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262892"/>
    <w:multiLevelType w:val="hybridMultilevel"/>
    <w:tmpl w:val="3AC854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A77673"/>
    <w:multiLevelType w:val="multilevel"/>
    <w:tmpl w:val="BB66C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935538"/>
    <w:multiLevelType w:val="hybridMultilevel"/>
    <w:tmpl w:val="35FC84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F023D8"/>
    <w:multiLevelType w:val="hybridMultilevel"/>
    <w:tmpl w:val="F3F228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5D0BB1"/>
    <w:multiLevelType w:val="multilevel"/>
    <w:tmpl w:val="76901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D13530"/>
    <w:multiLevelType w:val="multilevel"/>
    <w:tmpl w:val="7410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1E144A"/>
    <w:multiLevelType w:val="hybridMultilevel"/>
    <w:tmpl w:val="264C7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D96FD5"/>
    <w:multiLevelType w:val="multilevel"/>
    <w:tmpl w:val="FA70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ED4B3D"/>
    <w:multiLevelType w:val="hybridMultilevel"/>
    <w:tmpl w:val="6D9C5618"/>
    <w:lvl w:ilvl="0" w:tplc="BC4C6866">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860063"/>
    <w:multiLevelType w:val="hybridMultilevel"/>
    <w:tmpl w:val="2D30EA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AE000D"/>
    <w:multiLevelType w:val="multilevel"/>
    <w:tmpl w:val="34DE9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283742A"/>
    <w:multiLevelType w:val="hybridMultilevel"/>
    <w:tmpl w:val="E45AE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335878"/>
    <w:multiLevelType w:val="hybridMultilevel"/>
    <w:tmpl w:val="840C3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94F5164"/>
    <w:multiLevelType w:val="hybridMultilevel"/>
    <w:tmpl w:val="8610B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686FA5"/>
    <w:multiLevelType w:val="multilevel"/>
    <w:tmpl w:val="B818F4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B82319"/>
    <w:multiLevelType w:val="hybridMultilevel"/>
    <w:tmpl w:val="7CAC433A"/>
    <w:lvl w:ilvl="0" w:tplc="BC4C6866">
      <w:start w:val="1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11F0C47"/>
    <w:multiLevelType w:val="hybridMultilevel"/>
    <w:tmpl w:val="5E94D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2E051E3"/>
    <w:multiLevelType w:val="hybridMultilevel"/>
    <w:tmpl w:val="6B727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570978"/>
    <w:multiLevelType w:val="hybridMultilevel"/>
    <w:tmpl w:val="1324B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83B39B3"/>
    <w:multiLevelType w:val="hybridMultilevel"/>
    <w:tmpl w:val="95C66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8FF29B6"/>
    <w:multiLevelType w:val="multilevel"/>
    <w:tmpl w:val="ECB0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82674483">
    <w:abstractNumId w:val="24"/>
  </w:num>
  <w:num w:numId="2" w16cid:durableId="1744599406">
    <w:abstractNumId w:val="31"/>
  </w:num>
  <w:num w:numId="3" w16cid:durableId="1164591253">
    <w:abstractNumId w:val="5"/>
  </w:num>
  <w:num w:numId="4" w16cid:durableId="1642270427">
    <w:abstractNumId w:val="7"/>
  </w:num>
  <w:num w:numId="5" w16cid:durableId="2087259077">
    <w:abstractNumId w:val="25"/>
  </w:num>
  <w:num w:numId="6" w16cid:durableId="619801584">
    <w:abstractNumId w:val="26"/>
  </w:num>
  <w:num w:numId="7" w16cid:durableId="597719939">
    <w:abstractNumId w:val="0"/>
  </w:num>
  <w:num w:numId="8" w16cid:durableId="596446109">
    <w:abstractNumId w:val="6"/>
  </w:num>
  <w:num w:numId="9" w16cid:durableId="674116110">
    <w:abstractNumId w:val="16"/>
  </w:num>
  <w:num w:numId="10" w16cid:durableId="173805207">
    <w:abstractNumId w:val="3"/>
  </w:num>
  <w:num w:numId="11" w16cid:durableId="1540438413">
    <w:abstractNumId w:val="10"/>
  </w:num>
  <w:num w:numId="12" w16cid:durableId="1803427478">
    <w:abstractNumId w:val="12"/>
  </w:num>
  <w:num w:numId="13" w16cid:durableId="2071994627">
    <w:abstractNumId w:val="22"/>
  </w:num>
  <w:num w:numId="14" w16cid:durableId="371002124">
    <w:abstractNumId w:val="1"/>
  </w:num>
  <w:num w:numId="15" w16cid:durableId="1574701715">
    <w:abstractNumId w:val="30"/>
  </w:num>
  <w:num w:numId="16" w16cid:durableId="1880623304">
    <w:abstractNumId w:val="11"/>
  </w:num>
  <w:num w:numId="17" w16cid:durableId="991522723">
    <w:abstractNumId w:val="32"/>
  </w:num>
  <w:num w:numId="18" w16cid:durableId="376317910">
    <w:abstractNumId w:val="15"/>
  </w:num>
  <w:num w:numId="19" w16cid:durableId="1177575727">
    <w:abstractNumId w:val="19"/>
  </w:num>
  <w:num w:numId="20" w16cid:durableId="2122410017">
    <w:abstractNumId w:val="29"/>
  </w:num>
  <w:num w:numId="21" w16cid:durableId="418990005">
    <w:abstractNumId w:val="13"/>
  </w:num>
  <w:num w:numId="22" w16cid:durableId="1666976785">
    <w:abstractNumId w:val="2"/>
  </w:num>
  <w:num w:numId="23" w16cid:durableId="1217352477">
    <w:abstractNumId w:val="14"/>
  </w:num>
  <w:num w:numId="24" w16cid:durableId="432407725">
    <w:abstractNumId w:val="21"/>
  </w:num>
  <w:num w:numId="25" w16cid:durableId="2015183409">
    <w:abstractNumId w:val="28"/>
  </w:num>
  <w:num w:numId="26" w16cid:durableId="1752000426">
    <w:abstractNumId w:val="17"/>
  </w:num>
  <w:num w:numId="27" w16cid:durableId="544605179">
    <w:abstractNumId w:val="8"/>
  </w:num>
  <w:num w:numId="28" w16cid:durableId="1755514146">
    <w:abstractNumId w:val="20"/>
  </w:num>
  <w:num w:numId="29" w16cid:durableId="765154085">
    <w:abstractNumId w:val="9"/>
  </w:num>
  <w:num w:numId="30" w16cid:durableId="853498557">
    <w:abstractNumId w:val="23"/>
  </w:num>
  <w:num w:numId="31" w16cid:durableId="1387026933">
    <w:abstractNumId w:val="18"/>
  </w:num>
  <w:num w:numId="32" w16cid:durableId="1275285024">
    <w:abstractNumId w:val="33"/>
  </w:num>
  <w:num w:numId="33" w16cid:durableId="1218590791">
    <w:abstractNumId w:val="27"/>
  </w:num>
  <w:num w:numId="34" w16cid:durableId="18233084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6CA0"/>
    <w:rsid w:val="00014B46"/>
    <w:rsid w:val="00031BC3"/>
    <w:rsid w:val="00037FAB"/>
    <w:rsid w:val="00070506"/>
    <w:rsid w:val="00080CCE"/>
    <w:rsid w:val="000A225B"/>
    <w:rsid w:val="000A551A"/>
    <w:rsid w:val="000B35F3"/>
    <w:rsid w:val="000C3BEA"/>
    <w:rsid w:val="000C5CC5"/>
    <w:rsid w:val="000D6F1F"/>
    <w:rsid w:val="000E2FCA"/>
    <w:rsid w:val="000E7705"/>
    <w:rsid w:val="000F6CA0"/>
    <w:rsid w:val="00123C89"/>
    <w:rsid w:val="001565A9"/>
    <w:rsid w:val="00182071"/>
    <w:rsid w:val="001828A8"/>
    <w:rsid w:val="00193F47"/>
    <w:rsid w:val="001A1617"/>
    <w:rsid w:val="001B5E8F"/>
    <w:rsid w:val="001C3C36"/>
    <w:rsid w:val="001D1F98"/>
    <w:rsid w:val="001D2F18"/>
    <w:rsid w:val="002076B3"/>
    <w:rsid w:val="00212477"/>
    <w:rsid w:val="002132EE"/>
    <w:rsid w:val="00223F44"/>
    <w:rsid w:val="002555F2"/>
    <w:rsid w:val="00296987"/>
    <w:rsid w:val="002A2E20"/>
    <w:rsid w:val="002A63D2"/>
    <w:rsid w:val="002B057E"/>
    <w:rsid w:val="002C1730"/>
    <w:rsid w:val="002D3324"/>
    <w:rsid w:val="003206E8"/>
    <w:rsid w:val="003358F2"/>
    <w:rsid w:val="00337769"/>
    <w:rsid w:val="00345373"/>
    <w:rsid w:val="00356FF1"/>
    <w:rsid w:val="003579CF"/>
    <w:rsid w:val="00377396"/>
    <w:rsid w:val="0038131D"/>
    <w:rsid w:val="003A7819"/>
    <w:rsid w:val="003B3501"/>
    <w:rsid w:val="003C517E"/>
    <w:rsid w:val="003E61FC"/>
    <w:rsid w:val="00453B1E"/>
    <w:rsid w:val="0046626C"/>
    <w:rsid w:val="00487698"/>
    <w:rsid w:val="004901C9"/>
    <w:rsid w:val="004A15D1"/>
    <w:rsid w:val="004B4E6B"/>
    <w:rsid w:val="004E2E43"/>
    <w:rsid w:val="00500090"/>
    <w:rsid w:val="005057F2"/>
    <w:rsid w:val="0051046B"/>
    <w:rsid w:val="00520EA3"/>
    <w:rsid w:val="00534E1F"/>
    <w:rsid w:val="00544A2E"/>
    <w:rsid w:val="005472CF"/>
    <w:rsid w:val="00567559"/>
    <w:rsid w:val="005850E7"/>
    <w:rsid w:val="005B7A52"/>
    <w:rsid w:val="005E3990"/>
    <w:rsid w:val="0061115D"/>
    <w:rsid w:val="0062147E"/>
    <w:rsid w:val="0064051E"/>
    <w:rsid w:val="00654A70"/>
    <w:rsid w:val="00671AF4"/>
    <w:rsid w:val="006909E6"/>
    <w:rsid w:val="00691263"/>
    <w:rsid w:val="006A281E"/>
    <w:rsid w:val="006B051D"/>
    <w:rsid w:val="006B5877"/>
    <w:rsid w:val="006C447E"/>
    <w:rsid w:val="006C44FD"/>
    <w:rsid w:val="006D12F1"/>
    <w:rsid w:val="006D5DD9"/>
    <w:rsid w:val="006E7EA0"/>
    <w:rsid w:val="006F435A"/>
    <w:rsid w:val="006F5D6A"/>
    <w:rsid w:val="00726DEE"/>
    <w:rsid w:val="00744AB6"/>
    <w:rsid w:val="007A2F22"/>
    <w:rsid w:val="007E0710"/>
    <w:rsid w:val="007E2F45"/>
    <w:rsid w:val="007E5EDD"/>
    <w:rsid w:val="007E75BA"/>
    <w:rsid w:val="0080593E"/>
    <w:rsid w:val="00811E8B"/>
    <w:rsid w:val="00816EA6"/>
    <w:rsid w:val="008170F3"/>
    <w:rsid w:val="00850096"/>
    <w:rsid w:val="00872A4D"/>
    <w:rsid w:val="008941B6"/>
    <w:rsid w:val="008D4D3A"/>
    <w:rsid w:val="008F1BDE"/>
    <w:rsid w:val="009029A8"/>
    <w:rsid w:val="00914982"/>
    <w:rsid w:val="009167F3"/>
    <w:rsid w:val="009614B1"/>
    <w:rsid w:val="00966BD2"/>
    <w:rsid w:val="00992A8A"/>
    <w:rsid w:val="009A49E2"/>
    <w:rsid w:val="009D74C2"/>
    <w:rsid w:val="009F2CE2"/>
    <w:rsid w:val="00A00C91"/>
    <w:rsid w:val="00A20109"/>
    <w:rsid w:val="00A475E2"/>
    <w:rsid w:val="00A63952"/>
    <w:rsid w:val="00A81BEB"/>
    <w:rsid w:val="00A84271"/>
    <w:rsid w:val="00A87708"/>
    <w:rsid w:val="00A914EF"/>
    <w:rsid w:val="00AA2CDD"/>
    <w:rsid w:val="00AB2DC0"/>
    <w:rsid w:val="00AB3967"/>
    <w:rsid w:val="00AE2B74"/>
    <w:rsid w:val="00AE315F"/>
    <w:rsid w:val="00AE51DB"/>
    <w:rsid w:val="00AE6E7B"/>
    <w:rsid w:val="00AF0CF4"/>
    <w:rsid w:val="00AF664E"/>
    <w:rsid w:val="00AF7A1A"/>
    <w:rsid w:val="00B27B05"/>
    <w:rsid w:val="00B43061"/>
    <w:rsid w:val="00B43C30"/>
    <w:rsid w:val="00B7377C"/>
    <w:rsid w:val="00B73AB1"/>
    <w:rsid w:val="00B76498"/>
    <w:rsid w:val="00BB1657"/>
    <w:rsid w:val="00BC0A56"/>
    <w:rsid w:val="00BD58A8"/>
    <w:rsid w:val="00C01E43"/>
    <w:rsid w:val="00C272A1"/>
    <w:rsid w:val="00C3547E"/>
    <w:rsid w:val="00C57414"/>
    <w:rsid w:val="00C60099"/>
    <w:rsid w:val="00C66C31"/>
    <w:rsid w:val="00C6726C"/>
    <w:rsid w:val="00C73951"/>
    <w:rsid w:val="00CA64C3"/>
    <w:rsid w:val="00CC25D9"/>
    <w:rsid w:val="00CC40E1"/>
    <w:rsid w:val="00CD2612"/>
    <w:rsid w:val="00CE0EBF"/>
    <w:rsid w:val="00CF3069"/>
    <w:rsid w:val="00CF47AD"/>
    <w:rsid w:val="00D0783E"/>
    <w:rsid w:val="00D40D28"/>
    <w:rsid w:val="00D4135E"/>
    <w:rsid w:val="00D51B06"/>
    <w:rsid w:val="00D54DCE"/>
    <w:rsid w:val="00D80A37"/>
    <w:rsid w:val="00D877F4"/>
    <w:rsid w:val="00DA04DE"/>
    <w:rsid w:val="00DA1482"/>
    <w:rsid w:val="00DB4071"/>
    <w:rsid w:val="00DB4C2A"/>
    <w:rsid w:val="00DB7D01"/>
    <w:rsid w:val="00DC1878"/>
    <w:rsid w:val="00DD1ED6"/>
    <w:rsid w:val="00DE7F9D"/>
    <w:rsid w:val="00E10F44"/>
    <w:rsid w:val="00E162E7"/>
    <w:rsid w:val="00E20D62"/>
    <w:rsid w:val="00E2107A"/>
    <w:rsid w:val="00E26D2E"/>
    <w:rsid w:val="00E272EC"/>
    <w:rsid w:val="00E722D5"/>
    <w:rsid w:val="00EA3768"/>
    <w:rsid w:val="00EA5B47"/>
    <w:rsid w:val="00EB0C4D"/>
    <w:rsid w:val="00EC6FED"/>
    <w:rsid w:val="00EE4DFC"/>
    <w:rsid w:val="00EF5955"/>
    <w:rsid w:val="00F246CA"/>
    <w:rsid w:val="00F431C1"/>
    <w:rsid w:val="00F432AC"/>
    <w:rsid w:val="00F55D3B"/>
    <w:rsid w:val="00F74054"/>
    <w:rsid w:val="00F85503"/>
    <w:rsid w:val="00FA0370"/>
    <w:rsid w:val="00FB1787"/>
    <w:rsid w:val="00FC0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60EC0F"/>
  <w15:chartTrackingRefBased/>
  <w15:docId w15:val="{CC5B0389-E108-44F8-AB17-866A414BB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3C89"/>
    <w:pPr>
      <w:ind w:left="720"/>
      <w:contextualSpacing/>
    </w:pPr>
  </w:style>
  <w:style w:type="table" w:styleId="TableGrid">
    <w:name w:val="Table Grid"/>
    <w:basedOn w:val="TableNormal"/>
    <w:uiPriority w:val="39"/>
    <w:rsid w:val="00A475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555F2"/>
    <w:rPr>
      <w:color w:val="0563C1" w:themeColor="hyperlink"/>
      <w:u w:val="single"/>
    </w:rPr>
  </w:style>
  <w:style w:type="character" w:styleId="UnresolvedMention">
    <w:name w:val="Unresolved Mention"/>
    <w:basedOn w:val="DefaultParagraphFont"/>
    <w:uiPriority w:val="99"/>
    <w:semiHidden/>
    <w:unhideWhenUsed/>
    <w:rsid w:val="002555F2"/>
    <w:rPr>
      <w:color w:val="605E5C"/>
      <w:shd w:val="clear" w:color="auto" w:fill="E1DFDD"/>
    </w:rPr>
  </w:style>
  <w:style w:type="paragraph" w:customStyle="1" w:styleId="Default">
    <w:name w:val="Default"/>
    <w:rsid w:val="00F432AC"/>
    <w:pPr>
      <w:autoSpaceDE w:val="0"/>
      <w:autoSpaceDN w:val="0"/>
      <w:adjustRightInd w:val="0"/>
      <w:spacing w:after="0" w:line="240" w:lineRule="auto"/>
    </w:pPr>
    <w:rPr>
      <w:rFonts w:ascii="Times New Roman" w:hAnsi="Times New Roman" w:cs="Times New Roman"/>
      <w:color w:val="000000"/>
      <w:sz w:val="24"/>
      <w:szCs w:val="24"/>
      <w:lang w:val="en-IN"/>
      <w14:ligatures w14:val="standardContextual"/>
    </w:rPr>
  </w:style>
  <w:style w:type="paragraph" w:customStyle="1" w:styleId="TableParagraph">
    <w:name w:val="Table Paragraph"/>
    <w:basedOn w:val="Normal"/>
    <w:uiPriority w:val="1"/>
    <w:qFormat/>
    <w:rsid w:val="002132EE"/>
    <w:pPr>
      <w:widowControl w:val="0"/>
      <w:spacing w:after="0" w:line="240" w:lineRule="auto"/>
    </w:pPr>
  </w:style>
  <w:style w:type="paragraph" w:styleId="Header">
    <w:name w:val="header"/>
    <w:basedOn w:val="Normal"/>
    <w:link w:val="HeaderChar"/>
    <w:uiPriority w:val="99"/>
    <w:unhideWhenUsed/>
    <w:rsid w:val="00BC0A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0A56"/>
  </w:style>
  <w:style w:type="paragraph" w:styleId="Footer">
    <w:name w:val="footer"/>
    <w:basedOn w:val="Normal"/>
    <w:link w:val="FooterChar"/>
    <w:uiPriority w:val="99"/>
    <w:unhideWhenUsed/>
    <w:rsid w:val="00BC0A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0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53545">
      <w:bodyDiv w:val="1"/>
      <w:marLeft w:val="0"/>
      <w:marRight w:val="0"/>
      <w:marTop w:val="0"/>
      <w:marBottom w:val="0"/>
      <w:divBdr>
        <w:top w:val="none" w:sz="0" w:space="0" w:color="auto"/>
        <w:left w:val="none" w:sz="0" w:space="0" w:color="auto"/>
        <w:bottom w:val="none" w:sz="0" w:space="0" w:color="auto"/>
        <w:right w:val="none" w:sz="0" w:space="0" w:color="auto"/>
      </w:divBdr>
    </w:div>
    <w:div w:id="62916608">
      <w:bodyDiv w:val="1"/>
      <w:marLeft w:val="0"/>
      <w:marRight w:val="0"/>
      <w:marTop w:val="0"/>
      <w:marBottom w:val="0"/>
      <w:divBdr>
        <w:top w:val="none" w:sz="0" w:space="0" w:color="auto"/>
        <w:left w:val="none" w:sz="0" w:space="0" w:color="auto"/>
        <w:bottom w:val="none" w:sz="0" w:space="0" w:color="auto"/>
        <w:right w:val="none" w:sz="0" w:space="0" w:color="auto"/>
      </w:divBdr>
    </w:div>
    <w:div w:id="84689276">
      <w:bodyDiv w:val="1"/>
      <w:marLeft w:val="0"/>
      <w:marRight w:val="0"/>
      <w:marTop w:val="0"/>
      <w:marBottom w:val="0"/>
      <w:divBdr>
        <w:top w:val="none" w:sz="0" w:space="0" w:color="auto"/>
        <w:left w:val="none" w:sz="0" w:space="0" w:color="auto"/>
        <w:bottom w:val="none" w:sz="0" w:space="0" w:color="auto"/>
        <w:right w:val="none" w:sz="0" w:space="0" w:color="auto"/>
      </w:divBdr>
    </w:div>
    <w:div w:id="86659062">
      <w:bodyDiv w:val="1"/>
      <w:marLeft w:val="0"/>
      <w:marRight w:val="0"/>
      <w:marTop w:val="0"/>
      <w:marBottom w:val="0"/>
      <w:divBdr>
        <w:top w:val="none" w:sz="0" w:space="0" w:color="auto"/>
        <w:left w:val="none" w:sz="0" w:space="0" w:color="auto"/>
        <w:bottom w:val="none" w:sz="0" w:space="0" w:color="auto"/>
        <w:right w:val="none" w:sz="0" w:space="0" w:color="auto"/>
      </w:divBdr>
    </w:div>
    <w:div w:id="87652524">
      <w:bodyDiv w:val="1"/>
      <w:marLeft w:val="0"/>
      <w:marRight w:val="0"/>
      <w:marTop w:val="0"/>
      <w:marBottom w:val="0"/>
      <w:divBdr>
        <w:top w:val="none" w:sz="0" w:space="0" w:color="auto"/>
        <w:left w:val="none" w:sz="0" w:space="0" w:color="auto"/>
        <w:bottom w:val="none" w:sz="0" w:space="0" w:color="auto"/>
        <w:right w:val="none" w:sz="0" w:space="0" w:color="auto"/>
      </w:divBdr>
    </w:div>
    <w:div w:id="95173948">
      <w:bodyDiv w:val="1"/>
      <w:marLeft w:val="0"/>
      <w:marRight w:val="0"/>
      <w:marTop w:val="0"/>
      <w:marBottom w:val="0"/>
      <w:divBdr>
        <w:top w:val="none" w:sz="0" w:space="0" w:color="auto"/>
        <w:left w:val="none" w:sz="0" w:space="0" w:color="auto"/>
        <w:bottom w:val="none" w:sz="0" w:space="0" w:color="auto"/>
        <w:right w:val="none" w:sz="0" w:space="0" w:color="auto"/>
      </w:divBdr>
    </w:div>
    <w:div w:id="104692556">
      <w:bodyDiv w:val="1"/>
      <w:marLeft w:val="0"/>
      <w:marRight w:val="0"/>
      <w:marTop w:val="0"/>
      <w:marBottom w:val="0"/>
      <w:divBdr>
        <w:top w:val="none" w:sz="0" w:space="0" w:color="auto"/>
        <w:left w:val="none" w:sz="0" w:space="0" w:color="auto"/>
        <w:bottom w:val="none" w:sz="0" w:space="0" w:color="auto"/>
        <w:right w:val="none" w:sz="0" w:space="0" w:color="auto"/>
      </w:divBdr>
    </w:div>
    <w:div w:id="106855513">
      <w:bodyDiv w:val="1"/>
      <w:marLeft w:val="0"/>
      <w:marRight w:val="0"/>
      <w:marTop w:val="0"/>
      <w:marBottom w:val="0"/>
      <w:divBdr>
        <w:top w:val="none" w:sz="0" w:space="0" w:color="auto"/>
        <w:left w:val="none" w:sz="0" w:space="0" w:color="auto"/>
        <w:bottom w:val="none" w:sz="0" w:space="0" w:color="auto"/>
        <w:right w:val="none" w:sz="0" w:space="0" w:color="auto"/>
      </w:divBdr>
    </w:div>
    <w:div w:id="118836877">
      <w:bodyDiv w:val="1"/>
      <w:marLeft w:val="0"/>
      <w:marRight w:val="0"/>
      <w:marTop w:val="0"/>
      <w:marBottom w:val="0"/>
      <w:divBdr>
        <w:top w:val="none" w:sz="0" w:space="0" w:color="auto"/>
        <w:left w:val="none" w:sz="0" w:space="0" w:color="auto"/>
        <w:bottom w:val="none" w:sz="0" w:space="0" w:color="auto"/>
        <w:right w:val="none" w:sz="0" w:space="0" w:color="auto"/>
      </w:divBdr>
    </w:div>
    <w:div w:id="131994109">
      <w:bodyDiv w:val="1"/>
      <w:marLeft w:val="0"/>
      <w:marRight w:val="0"/>
      <w:marTop w:val="0"/>
      <w:marBottom w:val="0"/>
      <w:divBdr>
        <w:top w:val="none" w:sz="0" w:space="0" w:color="auto"/>
        <w:left w:val="none" w:sz="0" w:space="0" w:color="auto"/>
        <w:bottom w:val="none" w:sz="0" w:space="0" w:color="auto"/>
        <w:right w:val="none" w:sz="0" w:space="0" w:color="auto"/>
      </w:divBdr>
    </w:div>
    <w:div w:id="153685202">
      <w:bodyDiv w:val="1"/>
      <w:marLeft w:val="0"/>
      <w:marRight w:val="0"/>
      <w:marTop w:val="0"/>
      <w:marBottom w:val="0"/>
      <w:divBdr>
        <w:top w:val="none" w:sz="0" w:space="0" w:color="auto"/>
        <w:left w:val="none" w:sz="0" w:space="0" w:color="auto"/>
        <w:bottom w:val="none" w:sz="0" w:space="0" w:color="auto"/>
        <w:right w:val="none" w:sz="0" w:space="0" w:color="auto"/>
      </w:divBdr>
    </w:div>
    <w:div w:id="166554035">
      <w:bodyDiv w:val="1"/>
      <w:marLeft w:val="0"/>
      <w:marRight w:val="0"/>
      <w:marTop w:val="0"/>
      <w:marBottom w:val="0"/>
      <w:divBdr>
        <w:top w:val="none" w:sz="0" w:space="0" w:color="auto"/>
        <w:left w:val="none" w:sz="0" w:space="0" w:color="auto"/>
        <w:bottom w:val="none" w:sz="0" w:space="0" w:color="auto"/>
        <w:right w:val="none" w:sz="0" w:space="0" w:color="auto"/>
      </w:divBdr>
    </w:div>
    <w:div w:id="171534516">
      <w:bodyDiv w:val="1"/>
      <w:marLeft w:val="0"/>
      <w:marRight w:val="0"/>
      <w:marTop w:val="0"/>
      <w:marBottom w:val="0"/>
      <w:divBdr>
        <w:top w:val="none" w:sz="0" w:space="0" w:color="auto"/>
        <w:left w:val="none" w:sz="0" w:space="0" w:color="auto"/>
        <w:bottom w:val="none" w:sz="0" w:space="0" w:color="auto"/>
        <w:right w:val="none" w:sz="0" w:space="0" w:color="auto"/>
      </w:divBdr>
    </w:div>
    <w:div w:id="185023849">
      <w:bodyDiv w:val="1"/>
      <w:marLeft w:val="0"/>
      <w:marRight w:val="0"/>
      <w:marTop w:val="0"/>
      <w:marBottom w:val="0"/>
      <w:divBdr>
        <w:top w:val="none" w:sz="0" w:space="0" w:color="auto"/>
        <w:left w:val="none" w:sz="0" w:space="0" w:color="auto"/>
        <w:bottom w:val="none" w:sz="0" w:space="0" w:color="auto"/>
        <w:right w:val="none" w:sz="0" w:space="0" w:color="auto"/>
      </w:divBdr>
    </w:div>
    <w:div w:id="190803243">
      <w:bodyDiv w:val="1"/>
      <w:marLeft w:val="0"/>
      <w:marRight w:val="0"/>
      <w:marTop w:val="0"/>
      <w:marBottom w:val="0"/>
      <w:divBdr>
        <w:top w:val="none" w:sz="0" w:space="0" w:color="auto"/>
        <w:left w:val="none" w:sz="0" w:space="0" w:color="auto"/>
        <w:bottom w:val="none" w:sz="0" w:space="0" w:color="auto"/>
        <w:right w:val="none" w:sz="0" w:space="0" w:color="auto"/>
      </w:divBdr>
    </w:div>
    <w:div w:id="219366739">
      <w:bodyDiv w:val="1"/>
      <w:marLeft w:val="0"/>
      <w:marRight w:val="0"/>
      <w:marTop w:val="0"/>
      <w:marBottom w:val="0"/>
      <w:divBdr>
        <w:top w:val="none" w:sz="0" w:space="0" w:color="auto"/>
        <w:left w:val="none" w:sz="0" w:space="0" w:color="auto"/>
        <w:bottom w:val="none" w:sz="0" w:space="0" w:color="auto"/>
        <w:right w:val="none" w:sz="0" w:space="0" w:color="auto"/>
      </w:divBdr>
      <w:divsChild>
        <w:div w:id="1446970462">
          <w:marLeft w:val="0"/>
          <w:marRight w:val="0"/>
          <w:marTop w:val="0"/>
          <w:marBottom w:val="0"/>
          <w:divBdr>
            <w:top w:val="none" w:sz="0" w:space="0" w:color="auto"/>
            <w:left w:val="none" w:sz="0" w:space="0" w:color="auto"/>
            <w:bottom w:val="none" w:sz="0" w:space="0" w:color="auto"/>
            <w:right w:val="none" w:sz="0" w:space="0" w:color="auto"/>
          </w:divBdr>
          <w:divsChild>
            <w:div w:id="61383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462349">
      <w:bodyDiv w:val="1"/>
      <w:marLeft w:val="0"/>
      <w:marRight w:val="0"/>
      <w:marTop w:val="0"/>
      <w:marBottom w:val="0"/>
      <w:divBdr>
        <w:top w:val="none" w:sz="0" w:space="0" w:color="auto"/>
        <w:left w:val="none" w:sz="0" w:space="0" w:color="auto"/>
        <w:bottom w:val="none" w:sz="0" w:space="0" w:color="auto"/>
        <w:right w:val="none" w:sz="0" w:space="0" w:color="auto"/>
      </w:divBdr>
      <w:divsChild>
        <w:div w:id="956721743">
          <w:marLeft w:val="0"/>
          <w:marRight w:val="0"/>
          <w:marTop w:val="0"/>
          <w:marBottom w:val="0"/>
          <w:divBdr>
            <w:top w:val="none" w:sz="0" w:space="0" w:color="auto"/>
            <w:left w:val="none" w:sz="0" w:space="0" w:color="auto"/>
            <w:bottom w:val="none" w:sz="0" w:space="0" w:color="auto"/>
            <w:right w:val="none" w:sz="0" w:space="0" w:color="auto"/>
          </w:divBdr>
          <w:divsChild>
            <w:div w:id="69554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196180">
      <w:bodyDiv w:val="1"/>
      <w:marLeft w:val="0"/>
      <w:marRight w:val="0"/>
      <w:marTop w:val="0"/>
      <w:marBottom w:val="0"/>
      <w:divBdr>
        <w:top w:val="none" w:sz="0" w:space="0" w:color="auto"/>
        <w:left w:val="none" w:sz="0" w:space="0" w:color="auto"/>
        <w:bottom w:val="none" w:sz="0" w:space="0" w:color="auto"/>
        <w:right w:val="none" w:sz="0" w:space="0" w:color="auto"/>
      </w:divBdr>
    </w:div>
    <w:div w:id="234514051">
      <w:bodyDiv w:val="1"/>
      <w:marLeft w:val="0"/>
      <w:marRight w:val="0"/>
      <w:marTop w:val="0"/>
      <w:marBottom w:val="0"/>
      <w:divBdr>
        <w:top w:val="none" w:sz="0" w:space="0" w:color="auto"/>
        <w:left w:val="none" w:sz="0" w:space="0" w:color="auto"/>
        <w:bottom w:val="none" w:sz="0" w:space="0" w:color="auto"/>
        <w:right w:val="none" w:sz="0" w:space="0" w:color="auto"/>
      </w:divBdr>
    </w:div>
    <w:div w:id="315958812">
      <w:bodyDiv w:val="1"/>
      <w:marLeft w:val="0"/>
      <w:marRight w:val="0"/>
      <w:marTop w:val="0"/>
      <w:marBottom w:val="0"/>
      <w:divBdr>
        <w:top w:val="none" w:sz="0" w:space="0" w:color="auto"/>
        <w:left w:val="none" w:sz="0" w:space="0" w:color="auto"/>
        <w:bottom w:val="none" w:sz="0" w:space="0" w:color="auto"/>
        <w:right w:val="none" w:sz="0" w:space="0" w:color="auto"/>
      </w:divBdr>
    </w:div>
    <w:div w:id="317029557">
      <w:bodyDiv w:val="1"/>
      <w:marLeft w:val="0"/>
      <w:marRight w:val="0"/>
      <w:marTop w:val="0"/>
      <w:marBottom w:val="0"/>
      <w:divBdr>
        <w:top w:val="none" w:sz="0" w:space="0" w:color="auto"/>
        <w:left w:val="none" w:sz="0" w:space="0" w:color="auto"/>
        <w:bottom w:val="none" w:sz="0" w:space="0" w:color="auto"/>
        <w:right w:val="none" w:sz="0" w:space="0" w:color="auto"/>
      </w:divBdr>
    </w:div>
    <w:div w:id="327486240">
      <w:bodyDiv w:val="1"/>
      <w:marLeft w:val="0"/>
      <w:marRight w:val="0"/>
      <w:marTop w:val="0"/>
      <w:marBottom w:val="0"/>
      <w:divBdr>
        <w:top w:val="none" w:sz="0" w:space="0" w:color="auto"/>
        <w:left w:val="none" w:sz="0" w:space="0" w:color="auto"/>
        <w:bottom w:val="none" w:sz="0" w:space="0" w:color="auto"/>
        <w:right w:val="none" w:sz="0" w:space="0" w:color="auto"/>
      </w:divBdr>
    </w:div>
    <w:div w:id="327489271">
      <w:bodyDiv w:val="1"/>
      <w:marLeft w:val="0"/>
      <w:marRight w:val="0"/>
      <w:marTop w:val="0"/>
      <w:marBottom w:val="0"/>
      <w:divBdr>
        <w:top w:val="none" w:sz="0" w:space="0" w:color="auto"/>
        <w:left w:val="none" w:sz="0" w:space="0" w:color="auto"/>
        <w:bottom w:val="none" w:sz="0" w:space="0" w:color="auto"/>
        <w:right w:val="none" w:sz="0" w:space="0" w:color="auto"/>
      </w:divBdr>
    </w:div>
    <w:div w:id="329523778">
      <w:bodyDiv w:val="1"/>
      <w:marLeft w:val="0"/>
      <w:marRight w:val="0"/>
      <w:marTop w:val="0"/>
      <w:marBottom w:val="0"/>
      <w:divBdr>
        <w:top w:val="none" w:sz="0" w:space="0" w:color="auto"/>
        <w:left w:val="none" w:sz="0" w:space="0" w:color="auto"/>
        <w:bottom w:val="none" w:sz="0" w:space="0" w:color="auto"/>
        <w:right w:val="none" w:sz="0" w:space="0" w:color="auto"/>
      </w:divBdr>
    </w:div>
    <w:div w:id="349382735">
      <w:bodyDiv w:val="1"/>
      <w:marLeft w:val="0"/>
      <w:marRight w:val="0"/>
      <w:marTop w:val="0"/>
      <w:marBottom w:val="0"/>
      <w:divBdr>
        <w:top w:val="none" w:sz="0" w:space="0" w:color="auto"/>
        <w:left w:val="none" w:sz="0" w:space="0" w:color="auto"/>
        <w:bottom w:val="none" w:sz="0" w:space="0" w:color="auto"/>
        <w:right w:val="none" w:sz="0" w:space="0" w:color="auto"/>
      </w:divBdr>
    </w:div>
    <w:div w:id="391537392">
      <w:bodyDiv w:val="1"/>
      <w:marLeft w:val="0"/>
      <w:marRight w:val="0"/>
      <w:marTop w:val="0"/>
      <w:marBottom w:val="0"/>
      <w:divBdr>
        <w:top w:val="none" w:sz="0" w:space="0" w:color="auto"/>
        <w:left w:val="none" w:sz="0" w:space="0" w:color="auto"/>
        <w:bottom w:val="none" w:sz="0" w:space="0" w:color="auto"/>
        <w:right w:val="none" w:sz="0" w:space="0" w:color="auto"/>
      </w:divBdr>
    </w:div>
    <w:div w:id="413935008">
      <w:bodyDiv w:val="1"/>
      <w:marLeft w:val="0"/>
      <w:marRight w:val="0"/>
      <w:marTop w:val="0"/>
      <w:marBottom w:val="0"/>
      <w:divBdr>
        <w:top w:val="none" w:sz="0" w:space="0" w:color="auto"/>
        <w:left w:val="none" w:sz="0" w:space="0" w:color="auto"/>
        <w:bottom w:val="none" w:sz="0" w:space="0" w:color="auto"/>
        <w:right w:val="none" w:sz="0" w:space="0" w:color="auto"/>
      </w:divBdr>
    </w:div>
    <w:div w:id="434401909">
      <w:bodyDiv w:val="1"/>
      <w:marLeft w:val="0"/>
      <w:marRight w:val="0"/>
      <w:marTop w:val="0"/>
      <w:marBottom w:val="0"/>
      <w:divBdr>
        <w:top w:val="none" w:sz="0" w:space="0" w:color="auto"/>
        <w:left w:val="none" w:sz="0" w:space="0" w:color="auto"/>
        <w:bottom w:val="none" w:sz="0" w:space="0" w:color="auto"/>
        <w:right w:val="none" w:sz="0" w:space="0" w:color="auto"/>
      </w:divBdr>
    </w:div>
    <w:div w:id="463230369">
      <w:bodyDiv w:val="1"/>
      <w:marLeft w:val="0"/>
      <w:marRight w:val="0"/>
      <w:marTop w:val="0"/>
      <w:marBottom w:val="0"/>
      <w:divBdr>
        <w:top w:val="none" w:sz="0" w:space="0" w:color="auto"/>
        <w:left w:val="none" w:sz="0" w:space="0" w:color="auto"/>
        <w:bottom w:val="none" w:sz="0" w:space="0" w:color="auto"/>
        <w:right w:val="none" w:sz="0" w:space="0" w:color="auto"/>
      </w:divBdr>
    </w:div>
    <w:div w:id="465125627">
      <w:bodyDiv w:val="1"/>
      <w:marLeft w:val="0"/>
      <w:marRight w:val="0"/>
      <w:marTop w:val="0"/>
      <w:marBottom w:val="0"/>
      <w:divBdr>
        <w:top w:val="none" w:sz="0" w:space="0" w:color="auto"/>
        <w:left w:val="none" w:sz="0" w:space="0" w:color="auto"/>
        <w:bottom w:val="none" w:sz="0" w:space="0" w:color="auto"/>
        <w:right w:val="none" w:sz="0" w:space="0" w:color="auto"/>
      </w:divBdr>
    </w:div>
    <w:div w:id="493451375">
      <w:bodyDiv w:val="1"/>
      <w:marLeft w:val="0"/>
      <w:marRight w:val="0"/>
      <w:marTop w:val="0"/>
      <w:marBottom w:val="0"/>
      <w:divBdr>
        <w:top w:val="none" w:sz="0" w:space="0" w:color="auto"/>
        <w:left w:val="none" w:sz="0" w:space="0" w:color="auto"/>
        <w:bottom w:val="none" w:sz="0" w:space="0" w:color="auto"/>
        <w:right w:val="none" w:sz="0" w:space="0" w:color="auto"/>
      </w:divBdr>
    </w:div>
    <w:div w:id="494496776">
      <w:bodyDiv w:val="1"/>
      <w:marLeft w:val="0"/>
      <w:marRight w:val="0"/>
      <w:marTop w:val="0"/>
      <w:marBottom w:val="0"/>
      <w:divBdr>
        <w:top w:val="none" w:sz="0" w:space="0" w:color="auto"/>
        <w:left w:val="none" w:sz="0" w:space="0" w:color="auto"/>
        <w:bottom w:val="none" w:sz="0" w:space="0" w:color="auto"/>
        <w:right w:val="none" w:sz="0" w:space="0" w:color="auto"/>
      </w:divBdr>
    </w:div>
    <w:div w:id="524753155">
      <w:bodyDiv w:val="1"/>
      <w:marLeft w:val="0"/>
      <w:marRight w:val="0"/>
      <w:marTop w:val="0"/>
      <w:marBottom w:val="0"/>
      <w:divBdr>
        <w:top w:val="none" w:sz="0" w:space="0" w:color="auto"/>
        <w:left w:val="none" w:sz="0" w:space="0" w:color="auto"/>
        <w:bottom w:val="none" w:sz="0" w:space="0" w:color="auto"/>
        <w:right w:val="none" w:sz="0" w:space="0" w:color="auto"/>
      </w:divBdr>
    </w:div>
    <w:div w:id="527642327">
      <w:bodyDiv w:val="1"/>
      <w:marLeft w:val="0"/>
      <w:marRight w:val="0"/>
      <w:marTop w:val="0"/>
      <w:marBottom w:val="0"/>
      <w:divBdr>
        <w:top w:val="none" w:sz="0" w:space="0" w:color="auto"/>
        <w:left w:val="none" w:sz="0" w:space="0" w:color="auto"/>
        <w:bottom w:val="none" w:sz="0" w:space="0" w:color="auto"/>
        <w:right w:val="none" w:sz="0" w:space="0" w:color="auto"/>
      </w:divBdr>
    </w:div>
    <w:div w:id="538663058">
      <w:bodyDiv w:val="1"/>
      <w:marLeft w:val="0"/>
      <w:marRight w:val="0"/>
      <w:marTop w:val="0"/>
      <w:marBottom w:val="0"/>
      <w:divBdr>
        <w:top w:val="none" w:sz="0" w:space="0" w:color="auto"/>
        <w:left w:val="none" w:sz="0" w:space="0" w:color="auto"/>
        <w:bottom w:val="none" w:sz="0" w:space="0" w:color="auto"/>
        <w:right w:val="none" w:sz="0" w:space="0" w:color="auto"/>
      </w:divBdr>
    </w:div>
    <w:div w:id="546528515">
      <w:bodyDiv w:val="1"/>
      <w:marLeft w:val="0"/>
      <w:marRight w:val="0"/>
      <w:marTop w:val="0"/>
      <w:marBottom w:val="0"/>
      <w:divBdr>
        <w:top w:val="none" w:sz="0" w:space="0" w:color="auto"/>
        <w:left w:val="none" w:sz="0" w:space="0" w:color="auto"/>
        <w:bottom w:val="none" w:sz="0" w:space="0" w:color="auto"/>
        <w:right w:val="none" w:sz="0" w:space="0" w:color="auto"/>
      </w:divBdr>
      <w:divsChild>
        <w:div w:id="273906160">
          <w:marLeft w:val="0"/>
          <w:marRight w:val="0"/>
          <w:marTop w:val="0"/>
          <w:marBottom w:val="0"/>
          <w:divBdr>
            <w:top w:val="none" w:sz="0" w:space="0" w:color="auto"/>
            <w:left w:val="none" w:sz="0" w:space="0" w:color="auto"/>
            <w:bottom w:val="none" w:sz="0" w:space="0" w:color="auto"/>
            <w:right w:val="none" w:sz="0" w:space="0" w:color="auto"/>
          </w:divBdr>
          <w:divsChild>
            <w:div w:id="1821966676">
              <w:marLeft w:val="0"/>
              <w:marRight w:val="0"/>
              <w:marTop w:val="0"/>
              <w:marBottom w:val="0"/>
              <w:divBdr>
                <w:top w:val="none" w:sz="0" w:space="0" w:color="auto"/>
                <w:left w:val="none" w:sz="0" w:space="0" w:color="auto"/>
                <w:bottom w:val="none" w:sz="0" w:space="0" w:color="auto"/>
                <w:right w:val="none" w:sz="0" w:space="0" w:color="auto"/>
              </w:divBdr>
            </w:div>
            <w:div w:id="1236821621">
              <w:marLeft w:val="0"/>
              <w:marRight w:val="0"/>
              <w:marTop w:val="100"/>
              <w:marBottom w:val="0"/>
              <w:divBdr>
                <w:top w:val="none" w:sz="0" w:space="0" w:color="auto"/>
                <w:left w:val="none" w:sz="0" w:space="0" w:color="auto"/>
                <w:bottom w:val="none" w:sz="0" w:space="0" w:color="auto"/>
                <w:right w:val="none" w:sz="0" w:space="0" w:color="auto"/>
              </w:divBdr>
              <w:divsChild>
                <w:div w:id="1763992746">
                  <w:marLeft w:val="0"/>
                  <w:marRight w:val="0"/>
                  <w:marTop w:val="0"/>
                  <w:marBottom w:val="0"/>
                  <w:divBdr>
                    <w:top w:val="none" w:sz="0" w:space="0" w:color="auto"/>
                    <w:left w:val="none" w:sz="0" w:space="0" w:color="auto"/>
                    <w:bottom w:val="none" w:sz="0" w:space="0" w:color="auto"/>
                    <w:right w:val="none" w:sz="0" w:space="0" w:color="auto"/>
                  </w:divBdr>
                </w:div>
                <w:div w:id="2090106424">
                  <w:marLeft w:val="0"/>
                  <w:marRight w:val="0"/>
                  <w:marTop w:val="0"/>
                  <w:marBottom w:val="0"/>
                  <w:divBdr>
                    <w:top w:val="none" w:sz="0" w:space="0" w:color="auto"/>
                    <w:left w:val="none" w:sz="0" w:space="0" w:color="auto"/>
                    <w:bottom w:val="none" w:sz="0" w:space="0" w:color="auto"/>
                    <w:right w:val="none" w:sz="0" w:space="0" w:color="auto"/>
                  </w:divBdr>
                </w:div>
              </w:divsChild>
            </w:div>
            <w:div w:id="1740596612">
              <w:marLeft w:val="0"/>
              <w:marRight w:val="0"/>
              <w:marTop w:val="0"/>
              <w:marBottom w:val="0"/>
              <w:divBdr>
                <w:top w:val="none" w:sz="0" w:space="0" w:color="auto"/>
                <w:left w:val="none" w:sz="0" w:space="0" w:color="auto"/>
                <w:bottom w:val="none" w:sz="0" w:space="0" w:color="auto"/>
                <w:right w:val="none" w:sz="0" w:space="0" w:color="auto"/>
              </w:divBdr>
              <w:divsChild>
                <w:div w:id="7454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208846">
          <w:marLeft w:val="0"/>
          <w:marRight w:val="0"/>
          <w:marTop w:val="0"/>
          <w:marBottom w:val="0"/>
          <w:divBdr>
            <w:top w:val="none" w:sz="0" w:space="0" w:color="auto"/>
            <w:left w:val="none" w:sz="0" w:space="0" w:color="auto"/>
            <w:bottom w:val="none" w:sz="0" w:space="0" w:color="auto"/>
            <w:right w:val="none" w:sz="0" w:space="0" w:color="auto"/>
          </w:divBdr>
          <w:divsChild>
            <w:div w:id="89203276">
              <w:marLeft w:val="0"/>
              <w:marRight w:val="0"/>
              <w:marTop w:val="0"/>
              <w:marBottom w:val="0"/>
              <w:divBdr>
                <w:top w:val="none" w:sz="0" w:space="0" w:color="auto"/>
                <w:left w:val="none" w:sz="0" w:space="0" w:color="auto"/>
                <w:bottom w:val="none" w:sz="0" w:space="0" w:color="auto"/>
                <w:right w:val="none" w:sz="0" w:space="0" w:color="auto"/>
              </w:divBdr>
              <w:divsChild>
                <w:div w:id="884219576">
                  <w:marLeft w:val="0"/>
                  <w:marRight w:val="0"/>
                  <w:marTop w:val="0"/>
                  <w:marBottom w:val="0"/>
                  <w:divBdr>
                    <w:top w:val="none" w:sz="0" w:space="0" w:color="auto"/>
                    <w:left w:val="none" w:sz="0" w:space="0" w:color="auto"/>
                    <w:bottom w:val="none" w:sz="0" w:space="0" w:color="auto"/>
                    <w:right w:val="none" w:sz="0" w:space="0" w:color="auto"/>
                  </w:divBdr>
                  <w:divsChild>
                    <w:div w:id="11672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4003642">
      <w:bodyDiv w:val="1"/>
      <w:marLeft w:val="0"/>
      <w:marRight w:val="0"/>
      <w:marTop w:val="0"/>
      <w:marBottom w:val="0"/>
      <w:divBdr>
        <w:top w:val="none" w:sz="0" w:space="0" w:color="auto"/>
        <w:left w:val="none" w:sz="0" w:space="0" w:color="auto"/>
        <w:bottom w:val="none" w:sz="0" w:space="0" w:color="auto"/>
        <w:right w:val="none" w:sz="0" w:space="0" w:color="auto"/>
      </w:divBdr>
    </w:div>
    <w:div w:id="554200817">
      <w:bodyDiv w:val="1"/>
      <w:marLeft w:val="0"/>
      <w:marRight w:val="0"/>
      <w:marTop w:val="0"/>
      <w:marBottom w:val="0"/>
      <w:divBdr>
        <w:top w:val="none" w:sz="0" w:space="0" w:color="auto"/>
        <w:left w:val="none" w:sz="0" w:space="0" w:color="auto"/>
        <w:bottom w:val="none" w:sz="0" w:space="0" w:color="auto"/>
        <w:right w:val="none" w:sz="0" w:space="0" w:color="auto"/>
      </w:divBdr>
    </w:div>
    <w:div w:id="578293052">
      <w:bodyDiv w:val="1"/>
      <w:marLeft w:val="0"/>
      <w:marRight w:val="0"/>
      <w:marTop w:val="0"/>
      <w:marBottom w:val="0"/>
      <w:divBdr>
        <w:top w:val="none" w:sz="0" w:space="0" w:color="auto"/>
        <w:left w:val="none" w:sz="0" w:space="0" w:color="auto"/>
        <w:bottom w:val="none" w:sz="0" w:space="0" w:color="auto"/>
        <w:right w:val="none" w:sz="0" w:space="0" w:color="auto"/>
      </w:divBdr>
    </w:div>
    <w:div w:id="591816527">
      <w:bodyDiv w:val="1"/>
      <w:marLeft w:val="0"/>
      <w:marRight w:val="0"/>
      <w:marTop w:val="0"/>
      <w:marBottom w:val="0"/>
      <w:divBdr>
        <w:top w:val="none" w:sz="0" w:space="0" w:color="auto"/>
        <w:left w:val="none" w:sz="0" w:space="0" w:color="auto"/>
        <w:bottom w:val="none" w:sz="0" w:space="0" w:color="auto"/>
        <w:right w:val="none" w:sz="0" w:space="0" w:color="auto"/>
      </w:divBdr>
    </w:div>
    <w:div w:id="602498155">
      <w:bodyDiv w:val="1"/>
      <w:marLeft w:val="0"/>
      <w:marRight w:val="0"/>
      <w:marTop w:val="0"/>
      <w:marBottom w:val="0"/>
      <w:divBdr>
        <w:top w:val="none" w:sz="0" w:space="0" w:color="auto"/>
        <w:left w:val="none" w:sz="0" w:space="0" w:color="auto"/>
        <w:bottom w:val="none" w:sz="0" w:space="0" w:color="auto"/>
        <w:right w:val="none" w:sz="0" w:space="0" w:color="auto"/>
      </w:divBdr>
    </w:div>
    <w:div w:id="613169835">
      <w:bodyDiv w:val="1"/>
      <w:marLeft w:val="0"/>
      <w:marRight w:val="0"/>
      <w:marTop w:val="0"/>
      <w:marBottom w:val="0"/>
      <w:divBdr>
        <w:top w:val="none" w:sz="0" w:space="0" w:color="auto"/>
        <w:left w:val="none" w:sz="0" w:space="0" w:color="auto"/>
        <w:bottom w:val="none" w:sz="0" w:space="0" w:color="auto"/>
        <w:right w:val="none" w:sz="0" w:space="0" w:color="auto"/>
      </w:divBdr>
    </w:div>
    <w:div w:id="619840573">
      <w:bodyDiv w:val="1"/>
      <w:marLeft w:val="0"/>
      <w:marRight w:val="0"/>
      <w:marTop w:val="0"/>
      <w:marBottom w:val="0"/>
      <w:divBdr>
        <w:top w:val="none" w:sz="0" w:space="0" w:color="auto"/>
        <w:left w:val="none" w:sz="0" w:space="0" w:color="auto"/>
        <w:bottom w:val="none" w:sz="0" w:space="0" w:color="auto"/>
        <w:right w:val="none" w:sz="0" w:space="0" w:color="auto"/>
      </w:divBdr>
    </w:div>
    <w:div w:id="622812254">
      <w:bodyDiv w:val="1"/>
      <w:marLeft w:val="0"/>
      <w:marRight w:val="0"/>
      <w:marTop w:val="0"/>
      <w:marBottom w:val="0"/>
      <w:divBdr>
        <w:top w:val="none" w:sz="0" w:space="0" w:color="auto"/>
        <w:left w:val="none" w:sz="0" w:space="0" w:color="auto"/>
        <w:bottom w:val="none" w:sz="0" w:space="0" w:color="auto"/>
        <w:right w:val="none" w:sz="0" w:space="0" w:color="auto"/>
      </w:divBdr>
    </w:div>
    <w:div w:id="637030136">
      <w:bodyDiv w:val="1"/>
      <w:marLeft w:val="0"/>
      <w:marRight w:val="0"/>
      <w:marTop w:val="0"/>
      <w:marBottom w:val="0"/>
      <w:divBdr>
        <w:top w:val="none" w:sz="0" w:space="0" w:color="auto"/>
        <w:left w:val="none" w:sz="0" w:space="0" w:color="auto"/>
        <w:bottom w:val="none" w:sz="0" w:space="0" w:color="auto"/>
        <w:right w:val="none" w:sz="0" w:space="0" w:color="auto"/>
      </w:divBdr>
    </w:div>
    <w:div w:id="637538475">
      <w:bodyDiv w:val="1"/>
      <w:marLeft w:val="0"/>
      <w:marRight w:val="0"/>
      <w:marTop w:val="0"/>
      <w:marBottom w:val="0"/>
      <w:divBdr>
        <w:top w:val="none" w:sz="0" w:space="0" w:color="auto"/>
        <w:left w:val="none" w:sz="0" w:space="0" w:color="auto"/>
        <w:bottom w:val="none" w:sz="0" w:space="0" w:color="auto"/>
        <w:right w:val="none" w:sz="0" w:space="0" w:color="auto"/>
      </w:divBdr>
    </w:div>
    <w:div w:id="648171955">
      <w:bodyDiv w:val="1"/>
      <w:marLeft w:val="0"/>
      <w:marRight w:val="0"/>
      <w:marTop w:val="0"/>
      <w:marBottom w:val="0"/>
      <w:divBdr>
        <w:top w:val="none" w:sz="0" w:space="0" w:color="auto"/>
        <w:left w:val="none" w:sz="0" w:space="0" w:color="auto"/>
        <w:bottom w:val="none" w:sz="0" w:space="0" w:color="auto"/>
        <w:right w:val="none" w:sz="0" w:space="0" w:color="auto"/>
      </w:divBdr>
    </w:div>
    <w:div w:id="654770633">
      <w:bodyDiv w:val="1"/>
      <w:marLeft w:val="0"/>
      <w:marRight w:val="0"/>
      <w:marTop w:val="0"/>
      <w:marBottom w:val="0"/>
      <w:divBdr>
        <w:top w:val="none" w:sz="0" w:space="0" w:color="auto"/>
        <w:left w:val="none" w:sz="0" w:space="0" w:color="auto"/>
        <w:bottom w:val="none" w:sz="0" w:space="0" w:color="auto"/>
        <w:right w:val="none" w:sz="0" w:space="0" w:color="auto"/>
      </w:divBdr>
      <w:divsChild>
        <w:div w:id="1947611981">
          <w:marLeft w:val="0"/>
          <w:marRight w:val="0"/>
          <w:marTop w:val="0"/>
          <w:marBottom w:val="0"/>
          <w:divBdr>
            <w:top w:val="none" w:sz="0" w:space="0" w:color="auto"/>
            <w:left w:val="none" w:sz="0" w:space="0" w:color="auto"/>
            <w:bottom w:val="none" w:sz="0" w:space="0" w:color="auto"/>
            <w:right w:val="none" w:sz="0" w:space="0" w:color="auto"/>
          </w:divBdr>
          <w:divsChild>
            <w:div w:id="728922627">
              <w:marLeft w:val="0"/>
              <w:marRight w:val="0"/>
              <w:marTop w:val="0"/>
              <w:marBottom w:val="0"/>
              <w:divBdr>
                <w:top w:val="none" w:sz="0" w:space="0" w:color="auto"/>
                <w:left w:val="none" w:sz="0" w:space="0" w:color="auto"/>
                <w:bottom w:val="none" w:sz="0" w:space="0" w:color="auto"/>
                <w:right w:val="none" w:sz="0" w:space="0" w:color="auto"/>
              </w:divBdr>
              <w:divsChild>
                <w:div w:id="74025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4986215">
      <w:bodyDiv w:val="1"/>
      <w:marLeft w:val="0"/>
      <w:marRight w:val="0"/>
      <w:marTop w:val="0"/>
      <w:marBottom w:val="0"/>
      <w:divBdr>
        <w:top w:val="none" w:sz="0" w:space="0" w:color="auto"/>
        <w:left w:val="none" w:sz="0" w:space="0" w:color="auto"/>
        <w:bottom w:val="none" w:sz="0" w:space="0" w:color="auto"/>
        <w:right w:val="none" w:sz="0" w:space="0" w:color="auto"/>
      </w:divBdr>
    </w:div>
    <w:div w:id="688139364">
      <w:bodyDiv w:val="1"/>
      <w:marLeft w:val="0"/>
      <w:marRight w:val="0"/>
      <w:marTop w:val="0"/>
      <w:marBottom w:val="0"/>
      <w:divBdr>
        <w:top w:val="none" w:sz="0" w:space="0" w:color="auto"/>
        <w:left w:val="none" w:sz="0" w:space="0" w:color="auto"/>
        <w:bottom w:val="none" w:sz="0" w:space="0" w:color="auto"/>
        <w:right w:val="none" w:sz="0" w:space="0" w:color="auto"/>
      </w:divBdr>
    </w:div>
    <w:div w:id="690110830">
      <w:bodyDiv w:val="1"/>
      <w:marLeft w:val="0"/>
      <w:marRight w:val="0"/>
      <w:marTop w:val="0"/>
      <w:marBottom w:val="0"/>
      <w:divBdr>
        <w:top w:val="none" w:sz="0" w:space="0" w:color="auto"/>
        <w:left w:val="none" w:sz="0" w:space="0" w:color="auto"/>
        <w:bottom w:val="none" w:sz="0" w:space="0" w:color="auto"/>
        <w:right w:val="none" w:sz="0" w:space="0" w:color="auto"/>
      </w:divBdr>
    </w:div>
    <w:div w:id="696387854">
      <w:bodyDiv w:val="1"/>
      <w:marLeft w:val="0"/>
      <w:marRight w:val="0"/>
      <w:marTop w:val="0"/>
      <w:marBottom w:val="0"/>
      <w:divBdr>
        <w:top w:val="none" w:sz="0" w:space="0" w:color="auto"/>
        <w:left w:val="none" w:sz="0" w:space="0" w:color="auto"/>
        <w:bottom w:val="none" w:sz="0" w:space="0" w:color="auto"/>
        <w:right w:val="none" w:sz="0" w:space="0" w:color="auto"/>
      </w:divBdr>
    </w:div>
    <w:div w:id="721513866">
      <w:bodyDiv w:val="1"/>
      <w:marLeft w:val="0"/>
      <w:marRight w:val="0"/>
      <w:marTop w:val="0"/>
      <w:marBottom w:val="0"/>
      <w:divBdr>
        <w:top w:val="none" w:sz="0" w:space="0" w:color="auto"/>
        <w:left w:val="none" w:sz="0" w:space="0" w:color="auto"/>
        <w:bottom w:val="none" w:sz="0" w:space="0" w:color="auto"/>
        <w:right w:val="none" w:sz="0" w:space="0" w:color="auto"/>
      </w:divBdr>
    </w:div>
    <w:div w:id="740251296">
      <w:bodyDiv w:val="1"/>
      <w:marLeft w:val="0"/>
      <w:marRight w:val="0"/>
      <w:marTop w:val="0"/>
      <w:marBottom w:val="0"/>
      <w:divBdr>
        <w:top w:val="none" w:sz="0" w:space="0" w:color="auto"/>
        <w:left w:val="none" w:sz="0" w:space="0" w:color="auto"/>
        <w:bottom w:val="none" w:sz="0" w:space="0" w:color="auto"/>
        <w:right w:val="none" w:sz="0" w:space="0" w:color="auto"/>
      </w:divBdr>
    </w:div>
    <w:div w:id="781874338">
      <w:bodyDiv w:val="1"/>
      <w:marLeft w:val="0"/>
      <w:marRight w:val="0"/>
      <w:marTop w:val="0"/>
      <w:marBottom w:val="0"/>
      <w:divBdr>
        <w:top w:val="none" w:sz="0" w:space="0" w:color="auto"/>
        <w:left w:val="none" w:sz="0" w:space="0" w:color="auto"/>
        <w:bottom w:val="none" w:sz="0" w:space="0" w:color="auto"/>
        <w:right w:val="none" w:sz="0" w:space="0" w:color="auto"/>
      </w:divBdr>
    </w:div>
    <w:div w:id="781997083">
      <w:bodyDiv w:val="1"/>
      <w:marLeft w:val="0"/>
      <w:marRight w:val="0"/>
      <w:marTop w:val="0"/>
      <w:marBottom w:val="0"/>
      <w:divBdr>
        <w:top w:val="none" w:sz="0" w:space="0" w:color="auto"/>
        <w:left w:val="none" w:sz="0" w:space="0" w:color="auto"/>
        <w:bottom w:val="none" w:sz="0" w:space="0" w:color="auto"/>
        <w:right w:val="none" w:sz="0" w:space="0" w:color="auto"/>
      </w:divBdr>
    </w:div>
    <w:div w:id="791165993">
      <w:bodyDiv w:val="1"/>
      <w:marLeft w:val="0"/>
      <w:marRight w:val="0"/>
      <w:marTop w:val="0"/>
      <w:marBottom w:val="0"/>
      <w:divBdr>
        <w:top w:val="none" w:sz="0" w:space="0" w:color="auto"/>
        <w:left w:val="none" w:sz="0" w:space="0" w:color="auto"/>
        <w:bottom w:val="none" w:sz="0" w:space="0" w:color="auto"/>
        <w:right w:val="none" w:sz="0" w:space="0" w:color="auto"/>
      </w:divBdr>
    </w:div>
    <w:div w:id="826557410">
      <w:bodyDiv w:val="1"/>
      <w:marLeft w:val="0"/>
      <w:marRight w:val="0"/>
      <w:marTop w:val="0"/>
      <w:marBottom w:val="0"/>
      <w:divBdr>
        <w:top w:val="none" w:sz="0" w:space="0" w:color="auto"/>
        <w:left w:val="none" w:sz="0" w:space="0" w:color="auto"/>
        <w:bottom w:val="none" w:sz="0" w:space="0" w:color="auto"/>
        <w:right w:val="none" w:sz="0" w:space="0" w:color="auto"/>
      </w:divBdr>
    </w:div>
    <w:div w:id="885681430">
      <w:bodyDiv w:val="1"/>
      <w:marLeft w:val="0"/>
      <w:marRight w:val="0"/>
      <w:marTop w:val="0"/>
      <w:marBottom w:val="0"/>
      <w:divBdr>
        <w:top w:val="none" w:sz="0" w:space="0" w:color="auto"/>
        <w:left w:val="none" w:sz="0" w:space="0" w:color="auto"/>
        <w:bottom w:val="none" w:sz="0" w:space="0" w:color="auto"/>
        <w:right w:val="none" w:sz="0" w:space="0" w:color="auto"/>
      </w:divBdr>
    </w:div>
    <w:div w:id="895355015">
      <w:bodyDiv w:val="1"/>
      <w:marLeft w:val="0"/>
      <w:marRight w:val="0"/>
      <w:marTop w:val="0"/>
      <w:marBottom w:val="0"/>
      <w:divBdr>
        <w:top w:val="none" w:sz="0" w:space="0" w:color="auto"/>
        <w:left w:val="none" w:sz="0" w:space="0" w:color="auto"/>
        <w:bottom w:val="none" w:sz="0" w:space="0" w:color="auto"/>
        <w:right w:val="none" w:sz="0" w:space="0" w:color="auto"/>
      </w:divBdr>
    </w:div>
    <w:div w:id="906378895">
      <w:bodyDiv w:val="1"/>
      <w:marLeft w:val="0"/>
      <w:marRight w:val="0"/>
      <w:marTop w:val="0"/>
      <w:marBottom w:val="0"/>
      <w:divBdr>
        <w:top w:val="none" w:sz="0" w:space="0" w:color="auto"/>
        <w:left w:val="none" w:sz="0" w:space="0" w:color="auto"/>
        <w:bottom w:val="none" w:sz="0" w:space="0" w:color="auto"/>
        <w:right w:val="none" w:sz="0" w:space="0" w:color="auto"/>
      </w:divBdr>
    </w:div>
    <w:div w:id="933708608">
      <w:bodyDiv w:val="1"/>
      <w:marLeft w:val="0"/>
      <w:marRight w:val="0"/>
      <w:marTop w:val="0"/>
      <w:marBottom w:val="0"/>
      <w:divBdr>
        <w:top w:val="none" w:sz="0" w:space="0" w:color="auto"/>
        <w:left w:val="none" w:sz="0" w:space="0" w:color="auto"/>
        <w:bottom w:val="none" w:sz="0" w:space="0" w:color="auto"/>
        <w:right w:val="none" w:sz="0" w:space="0" w:color="auto"/>
      </w:divBdr>
    </w:div>
    <w:div w:id="945045574">
      <w:bodyDiv w:val="1"/>
      <w:marLeft w:val="0"/>
      <w:marRight w:val="0"/>
      <w:marTop w:val="0"/>
      <w:marBottom w:val="0"/>
      <w:divBdr>
        <w:top w:val="none" w:sz="0" w:space="0" w:color="auto"/>
        <w:left w:val="none" w:sz="0" w:space="0" w:color="auto"/>
        <w:bottom w:val="none" w:sz="0" w:space="0" w:color="auto"/>
        <w:right w:val="none" w:sz="0" w:space="0" w:color="auto"/>
      </w:divBdr>
    </w:div>
    <w:div w:id="959410787">
      <w:bodyDiv w:val="1"/>
      <w:marLeft w:val="0"/>
      <w:marRight w:val="0"/>
      <w:marTop w:val="0"/>
      <w:marBottom w:val="0"/>
      <w:divBdr>
        <w:top w:val="none" w:sz="0" w:space="0" w:color="auto"/>
        <w:left w:val="none" w:sz="0" w:space="0" w:color="auto"/>
        <w:bottom w:val="none" w:sz="0" w:space="0" w:color="auto"/>
        <w:right w:val="none" w:sz="0" w:space="0" w:color="auto"/>
      </w:divBdr>
    </w:div>
    <w:div w:id="968052450">
      <w:bodyDiv w:val="1"/>
      <w:marLeft w:val="0"/>
      <w:marRight w:val="0"/>
      <w:marTop w:val="0"/>
      <w:marBottom w:val="0"/>
      <w:divBdr>
        <w:top w:val="none" w:sz="0" w:space="0" w:color="auto"/>
        <w:left w:val="none" w:sz="0" w:space="0" w:color="auto"/>
        <w:bottom w:val="none" w:sz="0" w:space="0" w:color="auto"/>
        <w:right w:val="none" w:sz="0" w:space="0" w:color="auto"/>
      </w:divBdr>
    </w:div>
    <w:div w:id="988940605">
      <w:bodyDiv w:val="1"/>
      <w:marLeft w:val="0"/>
      <w:marRight w:val="0"/>
      <w:marTop w:val="0"/>
      <w:marBottom w:val="0"/>
      <w:divBdr>
        <w:top w:val="none" w:sz="0" w:space="0" w:color="auto"/>
        <w:left w:val="none" w:sz="0" w:space="0" w:color="auto"/>
        <w:bottom w:val="none" w:sz="0" w:space="0" w:color="auto"/>
        <w:right w:val="none" w:sz="0" w:space="0" w:color="auto"/>
      </w:divBdr>
    </w:div>
    <w:div w:id="1004435020">
      <w:bodyDiv w:val="1"/>
      <w:marLeft w:val="0"/>
      <w:marRight w:val="0"/>
      <w:marTop w:val="0"/>
      <w:marBottom w:val="0"/>
      <w:divBdr>
        <w:top w:val="none" w:sz="0" w:space="0" w:color="auto"/>
        <w:left w:val="none" w:sz="0" w:space="0" w:color="auto"/>
        <w:bottom w:val="none" w:sz="0" w:space="0" w:color="auto"/>
        <w:right w:val="none" w:sz="0" w:space="0" w:color="auto"/>
      </w:divBdr>
    </w:div>
    <w:div w:id="1006442568">
      <w:bodyDiv w:val="1"/>
      <w:marLeft w:val="0"/>
      <w:marRight w:val="0"/>
      <w:marTop w:val="0"/>
      <w:marBottom w:val="0"/>
      <w:divBdr>
        <w:top w:val="none" w:sz="0" w:space="0" w:color="auto"/>
        <w:left w:val="none" w:sz="0" w:space="0" w:color="auto"/>
        <w:bottom w:val="none" w:sz="0" w:space="0" w:color="auto"/>
        <w:right w:val="none" w:sz="0" w:space="0" w:color="auto"/>
      </w:divBdr>
    </w:div>
    <w:div w:id="1009596831">
      <w:bodyDiv w:val="1"/>
      <w:marLeft w:val="0"/>
      <w:marRight w:val="0"/>
      <w:marTop w:val="0"/>
      <w:marBottom w:val="0"/>
      <w:divBdr>
        <w:top w:val="none" w:sz="0" w:space="0" w:color="auto"/>
        <w:left w:val="none" w:sz="0" w:space="0" w:color="auto"/>
        <w:bottom w:val="none" w:sz="0" w:space="0" w:color="auto"/>
        <w:right w:val="none" w:sz="0" w:space="0" w:color="auto"/>
      </w:divBdr>
      <w:divsChild>
        <w:div w:id="1038550467">
          <w:marLeft w:val="0"/>
          <w:marRight w:val="0"/>
          <w:marTop w:val="0"/>
          <w:marBottom w:val="0"/>
          <w:divBdr>
            <w:top w:val="none" w:sz="0" w:space="0" w:color="auto"/>
            <w:left w:val="none" w:sz="0" w:space="0" w:color="auto"/>
            <w:bottom w:val="none" w:sz="0" w:space="0" w:color="auto"/>
            <w:right w:val="none" w:sz="0" w:space="0" w:color="auto"/>
          </w:divBdr>
          <w:divsChild>
            <w:div w:id="951857579">
              <w:marLeft w:val="0"/>
              <w:marRight w:val="0"/>
              <w:marTop w:val="0"/>
              <w:marBottom w:val="0"/>
              <w:divBdr>
                <w:top w:val="none" w:sz="0" w:space="0" w:color="auto"/>
                <w:left w:val="none" w:sz="0" w:space="0" w:color="auto"/>
                <w:bottom w:val="none" w:sz="0" w:space="0" w:color="auto"/>
                <w:right w:val="none" w:sz="0" w:space="0" w:color="auto"/>
              </w:divBdr>
              <w:divsChild>
                <w:div w:id="1528369575">
                  <w:marLeft w:val="0"/>
                  <w:marRight w:val="0"/>
                  <w:marTop w:val="0"/>
                  <w:marBottom w:val="0"/>
                  <w:divBdr>
                    <w:top w:val="none" w:sz="0" w:space="0" w:color="auto"/>
                    <w:left w:val="none" w:sz="0" w:space="0" w:color="auto"/>
                    <w:bottom w:val="none" w:sz="0" w:space="0" w:color="auto"/>
                    <w:right w:val="none" w:sz="0" w:space="0" w:color="auto"/>
                  </w:divBdr>
                </w:div>
              </w:divsChild>
            </w:div>
            <w:div w:id="1849951013">
              <w:marLeft w:val="0"/>
              <w:marRight w:val="0"/>
              <w:marTop w:val="0"/>
              <w:marBottom w:val="0"/>
              <w:divBdr>
                <w:top w:val="none" w:sz="0" w:space="0" w:color="auto"/>
                <w:left w:val="none" w:sz="0" w:space="0" w:color="auto"/>
                <w:bottom w:val="none" w:sz="0" w:space="0" w:color="auto"/>
                <w:right w:val="none" w:sz="0" w:space="0" w:color="auto"/>
              </w:divBdr>
              <w:divsChild>
                <w:div w:id="192436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611679">
          <w:marLeft w:val="0"/>
          <w:marRight w:val="0"/>
          <w:marTop w:val="0"/>
          <w:marBottom w:val="0"/>
          <w:divBdr>
            <w:top w:val="none" w:sz="0" w:space="0" w:color="auto"/>
            <w:left w:val="none" w:sz="0" w:space="0" w:color="auto"/>
            <w:bottom w:val="none" w:sz="0" w:space="0" w:color="auto"/>
            <w:right w:val="none" w:sz="0" w:space="0" w:color="auto"/>
          </w:divBdr>
          <w:divsChild>
            <w:div w:id="1006711212">
              <w:marLeft w:val="0"/>
              <w:marRight w:val="0"/>
              <w:marTop w:val="0"/>
              <w:marBottom w:val="0"/>
              <w:divBdr>
                <w:top w:val="none" w:sz="0" w:space="0" w:color="auto"/>
                <w:left w:val="none" w:sz="0" w:space="0" w:color="auto"/>
                <w:bottom w:val="none" w:sz="0" w:space="0" w:color="auto"/>
                <w:right w:val="none" w:sz="0" w:space="0" w:color="auto"/>
              </w:divBdr>
              <w:divsChild>
                <w:div w:id="932978228">
                  <w:marLeft w:val="0"/>
                  <w:marRight w:val="0"/>
                  <w:marTop w:val="0"/>
                  <w:marBottom w:val="0"/>
                  <w:divBdr>
                    <w:top w:val="none" w:sz="0" w:space="0" w:color="auto"/>
                    <w:left w:val="none" w:sz="0" w:space="0" w:color="auto"/>
                    <w:bottom w:val="none" w:sz="0" w:space="0" w:color="auto"/>
                    <w:right w:val="none" w:sz="0" w:space="0" w:color="auto"/>
                  </w:divBdr>
                  <w:divsChild>
                    <w:div w:id="47286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7867392">
      <w:bodyDiv w:val="1"/>
      <w:marLeft w:val="0"/>
      <w:marRight w:val="0"/>
      <w:marTop w:val="0"/>
      <w:marBottom w:val="0"/>
      <w:divBdr>
        <w:top w:val="none" w:sz="0" w:space="0" w:color="auto"/>
        <w:left w:val="none" w:sz="0" w:space="0" w:color="auto"/>
        <w:bottom w:val="none" w:sz="0" w:space="0" w:color="auto"/>
        <w:right w:val="none" w:sz="0" w:space="0" w:color="auto"/>
      </w:divBdr>
    </w:div>
    <w:div w:id="1104039228">
      <w:bodyDiv w:val="1"/>
      <w:marLeft w:val="0"/>
      <w:marRight w:val="0"/>
      <w:marTop w:val="0"/>
      <w:marBottom w:val="0"/>
      <w:divBdr>
        <w:top w:val="none" w:sz="0" w:space="0" w:color="auto"/>
        <w:left w:val="none" w:sz="0" w:space="0" w:color="auto"/>
        <w:bottom w:val="none" w:sz="0" w:space="0" w:color="auto"/>
        <w:right w:val="none" w:sz="0" w:space="0" w:color="auto"/>
      </w:divBdr>
    </w:div>
    <w:div w:id="1124035415">
      <w:bodyDiv w:val="1"/>
      <w:marLeft w:val="0"/>
      <w:marRight w:val="0"/>
      <w:marTop w:val="0"/>
      <w:marBottom w:val="0"/>
      <w:divBdr>
        <w:top w:val="none" w:sz="0" w:space="0" w:color="auto"/>
        <w:left w:val="none" w:sz="0" w:space="0" w:color="auto"/>
        <w:bottom w:val="none" w:sz="0" w:space="0" w:color="auto"/>
        <w:right w:val="none" w:sz="0" w:space="0" w:color="auto"/>
      </w:divBdr>
    </w:div>
    <w:div w:id="1151480620">
      <w:bodyDiv w:val="1"/>
      <w:marLeft w:val="0"/>
      <w:marRight w:val="0"/>
      <w:marTop w:val="0"/>
      <w:marBottom w:val="0"/>
      <w:divBdr>
        <w:top w:val="none" w:sz="0" w:space="0" w:color="auto"/>
        <w:left w:val="none" w:sz="0" w:space="0" w:color="auto"/>
        <w:bottom w:val="none" w:sz="0" w:space="0" w:color="auto"/>
        <w:right w:val="none" w:sz="0" w:space="0" w:color="auto"/>
      </w:divBdr>
    </w:div>
    <w:div w:id="1159926283">
      <w:bodyDiv w:val="1"/>
      <w:marLeft w:val="0"/>
      <w:marRight w:val="0"/>
      <w:marTop w:val="0"/>
      <w:marBottom w:val="0"/>
      <w:divBdr>
        <w:top w:val="none" w:sz="0" w:space="0" w:color="auto"/>
        <w:left w:val="none" w:sz="0" w:space="0" w:color="auto"/>
        <w:bottom w:val="none" w:sz="0" w:space="0" w:color="auto"/>
        <w:right w:val="none" w:sz="0" w:space="0" w:color="auto"/>
      </w:divBdr>
    </w:div>
    <w:div w:id="1171915145">
      <w:bodyDiv w:val="1"/>
      <w:marLeft w:val="0"/>
      <w:marRight w:val="0"/>
      <w:marTop w:val="0"/>
      <w:marBottom w:val="0"/>
      <w:divBdr>
        <w:top w:val="none" w:sz="0" w:space="0" w:color="auto"/>
        <w:left w:val="none" w:sz="0" w:space="0" w:color="auto"/>
        <w:bottom w:val="none" w:sz="0" w:space="0" w:color="auto"/>
        <w:right w:val="none" w:sz="0" w:space="0" w:color="auto"/>
      </w:divBdr>
    </w:div>
    <w:div w:id="1178890292">
      <w:bodyDiv w:val="1"/>
      <w:marLeft w:val="0"/>
      <w:marRight w:val="0"/>
      <w:marTop w:val="0"/>
      <w:marBottom w:val="0"/>
      <w:divBdr>
        <w:top w:val="none" w:sz="0" w:space="0" w:color="auto"/>
        <w:left w:val="none" w:sz="0" w:space="0" w:color="auto"/>
        <w:bottom w:val="none" w:sz="0" w:space="0" w:color="auto"/>
        <w:right w:val="none" w:sz="0" w:space="0" w:color="auto"/>
      </w:divBdr>
    </w:div>
    <w:div w:id="1196773131">
      <w:bodyDiv w:val="1"/>
      <w:marLeft w:val="0"/>
      <w:marRight w:val="0"/>
      <w:marTop w:val="0"/>
      <w:marBottom w:val="0"/>
      <w:divBdr>
        <w:top w:val="none" w:sz="0" w:space="0" w:color="auto"/>
        <w:left w:val="none" w:sz="0" w:space="0" w:color="auto"/>
        <w:bottom w:val="none" w:sz="0" w:space="0" w:color="auto"/>
        <w:right w:val="none" w:sz="0" w:space="0" w:color="auto"/>
      </w:divBdr>
    </w:div>
    <w:div w:id="1242327826">
      <w:bodyDiv w:val="1"/>
      <w:marLeft w:val="0"/>
      <w:marRight w:val="0"/>
      <w:marTop w:val="0"/>
      <w:marBottom w:val="0"/>
      <w:divBdr>
        <w:top w:val="none" w:sz="0" w:space="0" w:color="auto"/>
        <w:left w:val="none" w:sz="0" w:space="0" w:color="auto"/>
        <w:bottom w:val="none" w:sz="0" w:space="0" w:color="auto"/>
        <w:right w:val="none" w:sz="0" w:space="0" w:color="auto"/>
      </w:divBdr>
    </w:div>
    <w:div w:id="1298032369">
      <w:bodyDiv w:val="1"/>
      <w:marLeft w:val="0"/>
      <w:marRight w:val="0"/>
      <w:marTop w:val="0"/>
      <w:marBottom w:val="0"/>
      <w:divBdr>
        <w:top w:val="none" w:sz="0" w:space="0" w:color="auto"/>
        <w:left w:val="none" w:sz="0" w:space="0" w:color="auto"/>
        <w:bottom w:val="none" w:sz="0" w:space="0" w:color="auto"/>
        <w:right w:val="none" w:sz="0" w:space="0" w:color="auto"/>
      </w:divBdr>
    </w:div>
    <w:div w:id="1317223373">
      <w:bodyDiv w:val="1"/>
      <w:marLeft w:val="0"/>
      <w:marRight w:val="0"/>
      <w:marTop w:val="0"/>
      <w:marBottom w:val="0"/>
      <w:divBdr>
        <w:top w:val="none" w:sz="0" w:space="0" w:color="auto"/>
        <w:left w:val="none" w:sz="0" w:space="0" w:color="auto"/>
        <w:bottom w:val="none" w:sz="0" w:space="0" w:color="auto"/>
        <w:right w:val="none" w:sz="0" w:space="0" w:color="auto"/>
      </w:divBdr>
    </w:div>
    <w:div w:id="1331181383">
      <w:bodyDiv w:val="1"/>
      <w:marLeft w:val="0"/>
      <w:marRight w:val="0"/>
      <w:marTop w:val="0"/>
      <w:marBottom w:val="0"/>
      <w:divBdr>
        <w:top w:val="none" w:sz="0" w:space="0" w:color="auto"/>
        <w:left w:val="none" w:sz="0" w:space="0" w:color="auto"/>
        <w:bottom w:val="none" w:sz="0" w:space="0" w:color="auto"/>
        <w:right w:val="none" w:sz="0" w:space="0" w:color="auto"/>
      </w:divBdr>
    </w:div>
    <w:div w:id="1340155853">
      <w:bodyDiv w:val="1"/>
      <w:marLeft w:val="0"/>
      <w:marRight w:val="0"/>
      <w:marTop w:val="0"/>
      <w:marBottom w:val="0"/>
      <w:divBdr>
        <w:top w:val="none" w:sz="0" w:space="0" w:color="auto"/>
        <w:left w:val="none" w:sz="0" w:space="0" w:color="auto"/>
        <w:bottom w:val="none" w:sz="0" w:space="0" w:color="auto"/>
        <w:right w:val="none" w:sz="0" w:space="0" w:color="auto"/>
      </w:divBdr>
    </w:div>
    <w:div w:id="1349796338">
      <w:bodyDiv w:val="1"/>
      <w:marLeft w:val="0"/>
      <w:marRight w:val="0"/>
      <w:marTop w:val="0"/>
      <w:marBottom w:val="0"/>
      <w:divBdr>
        <w:top w:val="none" w:sz="0" w:space="0" w:color="auto"/>
        <w:left w:val="none" w:sz="0" w:space="0" w:color="auto"/>
        <w:bottom w:val="none" w:sz="0" w:space="0" w:color="auto"/>
        <w:right w:val="none" w:sz="0" w:space="0" w:color="auto"/>
      </w:divBdr>
    </w:div>
    <w:div w:id="1383670315">
      <w:bodyDiv w:val="1"/>
      <w:marLeft w:val="0"/>
      <w:marRight w:val="0"/>
      <w:marTop w:val="0"/>
      <w:marBottom w:val="0"/>
      <w:divBdr>
        <w:top w:val="none" w:sz="0" w:space="0" w:color="auto"/>
        <w:left w:val="none" w:sz="0" w:space="0" w:color="auto"/>
        <w:bottom w:val="none" w:sz="0" w:space="0" w:color="auto"/>
        <w:right w:val="none" w:sz="0" w:space="0" w:color="auto"/>
      </w:divBdr>
    </w:div>
    <w:div w:id="1387683437">
      <w:bodyDiv w:val="1"/>
      <w:marLeft w:val="0"/>
      <w:marRight w:val="0"/>
      <w:marTop w:val="0"/>
      <w:marBottom w:val="0"/>
      <w:divBdr>
        <w:top w:val="none" w:sz="0" w:space="0" w:color="auto"/>
        <w:left w:val="none" w:sz="0" w:space="0" w:color="auto"/>
        <w:bottom w:val="none" w:sz="0" w:space="0" w:color="auto"/>
        <w:right w:val="none" w:sz="0" w:space="0" w:color="auto"/>
      </w:divBdr>
    </w:div>
    <w:div w:id="1395465051">
      <w:bodyDiv w:val="1"/>
      <w:marLeft w:val="0"/>
      <w:marRight w:val="0"/>
      <w:marTop w:val="0"/>
      <w:marBottom w:val="0"/>
      <w:divBdr>
        <w:top w:val="none" w:sz="0" w:space="0" w:color="auto"/>
        <w:left w:val="none" w:sz="0" w:space="0" w:color="auto"/>
        <w:bottom w:val="none" w:sz="0" w:space="0" w:color="auto"/>
        <w:right w:val="none" w:sz="0" w:space="0" w:color="auto"/>
      </w:divBdr>
    </w:div>
    <w:div w:id="1409420254">
      <w:bodyDiv w:val="1"/>
      <w:marLeft w:val="0"/>
      <w:marRight w:val="0"/>
      <w:marTop w:val="0"/>
      <w:marBottom w:val="0"/>
      <w:divBdr>
        <w:top w:val="none" w:sz="0" w:space="0" w:color="auto"/>
        <w:left w:val="none" w:sz="0" w:space="0" w:color="auto"/>
        <w:bottom w:val="none" w:sz="0" w:space="0" w:color="auto"/>
        <w:right w:val="none" w:sz="0" w:space="0" w:color="auto"/>
      </w:divBdr>
    </w:div>
    <w:div w:id="1472670883">
      <w:bodyDiv w:val="1"/>
      <w:marLeft w:val="0"/>
      <w:marRight w:val="0"/>
      <w:marTop w:val="0"/>
      <w:marBottom w:val="0"/>
      <w:divBdr>
        <w:top w:val="none" w:sz="0" w:space="0" w:color="auto"/>
        <w:left w:val="none" w:sz="0" w:space="0" w:color="auto"/>
        <w:bottom w:val="none" w:sz="0" w:space="0" w:color="auto"/>
        <w:right w:val="none" w:sz="0" w:space="0" w:color="auto"/>
      </w:divBdr>
    </w:div>
    <w:div w:id="1486583195">
      <w:bodyDiv w:val="1"/>
      <w:marLeft w:val="0"/>
      <w:marRight w:val="0"/>
      <w:marTop w:val="0"/>
      <w:marBottom w:val="0"/>
      <w:divBdr>
        <w:top w:val="none" w:sz="0" w:space="0" w:color="auto"/>
        <w:left w:val="none" w:sz="0" w:space="0" w:color="auto"/>
        <w:bottom w:val="none" w:sz="0" w:space="0" w:color="auto"/>
        <w:right w:val="none" w:sz="0" w:space="0" w:color="auto"/>
      </w:divBdr>
    </w:div>
    <w:div w:id="1525442356">
      <w:bodyDiv w:val="1"/>
      <w:marLeft w:val="0"/>
      <w:marRight w:val="0"/>
      <w:marTop w:val="0"/>
      <w:marBottom w:val="0"/>
      <w:divBdr>
        <w:top w:val="none" w:sz="0" w:space="0" w:color="auto"/>
        <w:left w:val="none" w:sz="0" w:space="0" w:color="auto"/>
        <w:bottom w:val="none" w:sz="0" w:space="0" w:color="auto"/>
        <w:right w:val="none" w:sz="0" w:space="0" w:color="auto"/>
      </w:divBdr>
    </w:div>
    <w:div w:id="1555118853">
      <w:bodyDiv w:val="1"/>
      <w:marLeft w:val="0"/>
      <w:marRight w:val="0"/>
      <w:marTop w:val="0"/>
      <w:marBottom w:val="0"/>
      <w:divBdr>
        <w:top w:val="none" w:sz="0" w:space="0" w:color="auto"/>
        <w:left w:val="none" w:sz="0" w:space="0" w:color="auto"/>
        <w:bottom w:val="none" w:sz="0" w:space="0" w:color="auto"/>
        <w:right w:val="none" w:sz="0" w:space="0" w:color="auto"/>
      </w:divBdr>
    </w:div>
    <w:div w:id="1577200228">
      <w:bodyDiv w:val="1"/>
      <w:marLeft w:val="0"/>
      <w:marRight w:val="0"/>
      <w:marTop w:val="0"/>
      <w:marBottom w:val="0"/>
      <w:divBdr>
        <w:top w:val="none" w:sz="0" w:space="0" w:color="auto"/>
        <w:left w:val="none" w:sz="0" w:space="0" w:color="auto"/>
        <w:bottom w:val="none" w:sz="0" w:space="0" w:color="auto"/>
        <w:right w:val="none" w:sz="0" w:space="0" w:color="auto"/>
      </w:divBdr>
      <w:divsChild>
        <w:div w:id="255359451">
          <w:marLeft w:val="0"/>
          <w:marRight w:val="0"/>
          <w:marTop w:val="0"/>
          <w:marBottom w:val="0"/>
          <w:divBdr>
            <w:top w:val="none" w:sz="0" w:space="0" w:color="auto"/>
            <w:left w:val="none" w:sz="0" w:space="0" w:color="auto"/>
            <w:bottom w:val="none" w:sz="0" w:space="0" w:color="auto"/>
            <w:right w:val="none" w:sz="0" w:space="0" w:color="auto"/>
          </w:divBdr>
          <w:divsChild>
            <w:div w:id="385884874">
              <w:marLeft w:val="0"/>
              <w:marRight w:val="0"/>
              <w:marTop w:val="0"/>
              <w:marBottom w:val="0"/>
              <w:divBdr>
                <w:top w:val="none" w:sz="0" w:space="0" w:color="auto"/>
                <w:left w:val="none" w:sz="0" w:space="0" w:color="auto"/>
                <w:bottom w:val="none" w:sz="0" w:space="0" w:color="auto"/>
                <w:right w:val="none" w:sz="0" w:space="0" w:color="auto"/>
              </w:divBdr>
              <w:divsChild>
                <w:div w:id="316619227">
                  <w:marLeft w:val="0"/>
                  <w:marRight w:val="0"/>
                  <w:marTop w:val="0"/>
                  <w:marBottom w:val="0"/>
                  <w:divBdr>
                    <w:top w:val="none" w:sz="0" w:space="0" w:color="auto"/>
                    <w:left w:val="none" w:sz="0" w:space="0" w:color="auto"/>
                    <w:bottom w:val="none" w:sz="0" w:space="0" w:color="auto"/>
                    <w:right w:val="none" w:sz="0" w:space="0" w:color="auto"/>
                  </w:divBdr>
                </w:div>
              </w:divsChild>
            </w:div>
            <w:div w:id="1456750537">
              <w:marLeft w:val="0"/>
              <w:marRight w:val="0"/>
              <w:marTop w:val="0"/>
              <w:marBottom w:val="0"/>
              <w:divBdr>
                <w:top w:val="none" w:sz="0" w:space="0" w:color="auto"/>
                <w:left w:val="none" w:sz="0" w:space="0" w:color="auto"/>
                <w:bottom w:val="none" w:sz="0" w:space="0" w:color="auto"/>
                <w:right w:val="none" w:sz="0" w:space="0" w:color="auto"/>
              </w:divBdr>
              <w:divsChild>
                <w:div w:id="67681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2519810">
          <w:marLeft w:val="0"/>
          <w:marRight w:val="0"/>
          <w:marTop w:val="0"/>
          <w:marBottom w:val="0"/>
          <w:divBdr>
            <w:top w:val="none" w:sz="0" w:space="0" w:color="auto"/>
            <w:left w:val="none" w:sz="0" w:space="0" w:color="auto"/>
            <w:bottom w:val="none" w:sz="0" w:space="0" w:color="auto"/>
            <w:right w:val="none" w:sz="0" w:space="0" w:color="auto"/>
          </w:divBdr>
          <w:divsChild>
            <w:div w:id="896630568">
              <w:marLeft w:val="0"/>
              <w:marRight w:val="0"/>
              <w:marTop w:val="0"/>
              <w:marBottom w:val="0"/>
              <w:divBdr>
                <w:top w:val="none" w:sz="0" w:space="0" w:color="auto"/>
                <w:left w:val="none" w:sz="0" w:space="0" w:color="auto"/>
                <w:bottom w:val="none" w:sz="0" w:space="0" w:color="auto"/>
                <w:right w:val="none" w:sz="0" w:space="0" w:color="auto"/>
              </w:divBdr>
              <w:divsChild>
                <w:div w:id="1776560896">
                  <w:marLeft w:val="0"/>
                  <w:marRight w:val="0"/>
                  <w:marTop w:val="0"/>
                  <w:marBottom w:val="0"/>
                  <w:divBdr>
                    <w:top w:val="none" w:sz="0" w:space="0" w:color="auto"/>
                    <w:left w:val="none" w:sz="0" w:space="0" w:color="auto"/>
                    <w:bottom w:val="none" w:sz="0" w:space="0" w:color="auto"/>
                    <w:right w:val="none" w:sz="0" w:space="0" w:color="auto"/>
                  </w:divBdr>
                  <w:divsChild>
                    <w:div w:id="165787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5092828">
      <w:bodyDiv w:val="1"/>
      <w:marLeft w:val="0"/>
      <w:marRight w:val="0"/>
      <w:marTop w:val="0"/>
      <w:marBottom w:val="0"/>
      <w:divBdr>
        <w:top w:val="none" w:sz="0" w:space="0" w:color="auto"/>
        <w:left w:val="none" w:sz="0" w:space="0" w:color="auto"/>
        <w:bottom w:val="none" w:sz="0" w:space="0" w:color="auto"/>
        <w:right w:val="none" w:sz="0" w:space="0" w:color="auto"/>
      </w:divBdr>
      <w:divsChild>
        <w:div w:id="957176581">
          <w:marLeft w:val="0"/>
          <w:marRight w:val="0"/>
          <w:marTop w:val="0"/>
          <w:marBottom w:val="0"/>
          <w:divBdr>
            <w:top w:val="none" w:sz="0" w:space="0" w:color="auto"/>
            <w:left w:val="none" w:sz="0" w:space="0" w:color="auto"/>
            <w:bottom w:val="none" w:sz="0" w:space="0" w:color="auto"/>
            <w:right w:val="none" w:sz="0" w:space="0" w:color="auto"/>
          </w:divBdr>
          <w:divsChild>
            <w:div w:id="66390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82481">
      <w:bodyDiv w:val="1"/>
      <w:marLeft w:val="0"/>
      <w:marRight w:val="0"/>
      <w:marTop w:val="0"/>
      <w:marBottom w:val="0"/>
      <w:divBdr>
        <w:top w:val="none" w:sz="0" w:space="0" w:color="auto"/>
        <w:left w:val="none" w:sz="0" w:space="0" w:color="auto"/>
        <w:bottom w:val="none" w:sz="0" w:space="0" w:color="auto"/>
        <w:right w:val="none" w:sz="0" w:space="0" w:color="auto"/>
      </w:divBdr>
    </w:div>
    <w:div w:id="1618172740">
      <w:bodyDiv w:val="1"/>
      <w:marLeft w:val="0"/>
      <w:marRight w:val="0"/>
      <w:marTop w:val="0"/>
      <w:marBottom w:val="0"/>
      <w:divBdr>
        <w:top w:val="none" w:sz="0" w:space="0" w:color="auto"/>
        <w:left w:val="none" w:sz="0" w:space="0" w:color="auto"/>
        <w:bottom w:val="none" w:sz="0" w:space="0" w:color="auto"/>
        <w:right w:val="none" w:sz="0" w:space="0" w:color="auto"/>
      </w:divBdr>
    </w:div>
    <w:div w:id="1627814375">
      <w:bodyDiv w:val="1"/>
      <w:marLeft w:val="0"/>
      <w:marRight w:val="0"/>
      <w:marTop w:val="0"/>
      <w:marBottom w:val="0"/>
      <w:divBdr>
        <w:top w:val="none" w:sz="0" w:space="0" w:color="auto"/>
        <w:left w:val="none" w:sz="0" w:space="0" w:color="auto"/>
        <w:bottom w:val="none" w:sz="0" w:space="0" w:color="auto"/>
        <w:right w:val="none" w:sz="0" w:space="0" w:color="auto"/>
      </w:divBdr>
    </w:div>
    <w:div w:id="1636064733">
      <w:bodyDiv w:val="1"/>
      <w:marLeft w:val="0"/>
      <w:marRight w:val="0"/>
      <w:marTop w:val="0"/>
      <w:marBottom w:val="0"/>
      <w:divBdr>
        <w:top w:val="none" w:sz="0" w:space="0" w:color="auto"/>
        <w:left w:val="none" w:sz="0" w:space="0" w:color="auto"/>
        <w:bottom w:val="none" w:sz="0" w:space="0" w:color="auto"/>
        <w:right w:val="none" w:sz="0" w:space="0" w:color="auto"/>
      </w:divBdr>
    </w:div>
    <w:div w:id="1641882955">
      <w:bodyDiv w:val="1"/>
      <w:marLeft w:val="0"/>
      <w:marRight w:val="0"/>
      <w:marTop w:val="0"/>
      <w:marBottom w:val="0"/>
      <w:divBdr>
        <w:top w:val="none" w:sz="0" w:space="0" w:color="auto"/>
        <w:left w:val="none" w:sz="0" w:space="0" w:color="auto"/>
        <w:bottom w:val="none" w:sz="0" w:space="0" w:color="auto"/>
        <w:right w:val="none" w:sz="0" w:space="0" w:color="auto"/>
      </w:divBdr>
      <w:divsChild>
        <w:div w:id="1212304902">
          <w:marLeft w:val="0"/>
          <w:marRight w:val="0"/>
          <w:marTop w:val="0"/>
          <w:marBottom w:val="0"/>
          <w:divBdr>
            <w:top w:val="none" w:sz="0" w:space="0" w:color="auto"/>
            <w:left w:val="none" w:sz="0" w:space="0" w:color="auto"/>
            <w:bottom w:val="none" w:sz="0" w:space="0" w:color="auto"/>
            <w:right w:val="none" w:sz="0" w:space="0" w:color="auto"/>
          </w:divBdr>
          <w:divsChild>
            <w:div w:id="2086799025">
              <w:marLeft w:val="0"/>
              <w:marRight w:val="0"/>
              <w:marTop w:val="60"/>
              <w:marBottom w:val="0"/>
              <w:divBdr>
                <w:top w:val="none" w:sz="0" w:space="0" w:color="auto"/>
                <w:left w:val="none" w:sz="0" w:space="0" w:color="auto"/>
                <w:bottom w:val="none" w:sz="0" w:space="0" w:color="auto"/>
                <w:right w:val="none" w:sz="0" w:space="0" w:color="auto"/>
              </w:divBdr>
            </w:div>
          </w:divsChild>
        </w:div>
        <w:div w:id="521549183">
          <w:marLeft w:val="0"/>
          <w:marRight w:val="0"/>
          <w:marTop w:val="0"/>
          <w:marBottom w:val="0"/>
          <w:divBdr>
            <w:top w:val="none" w:sz="0" w:space="0" w:color="auto"/>
            <w:left w:val="none" w:sz="0" w:space="0" w:color="auto"/>
            <w:bottom w:val="none" w:sz="0" w:space="0" w:color="auto"/>
            <w:right w:val="none" w:sz="0" w:space="0" w:color="auto"/>
          </w:divBdr>
          <w:divsChild>
            <w:div w:id="1312758952">
              <w:marLeft w:val="0"/>
              <w:marRight w:val="0"/>
              <w:marTop w:val="0"/>
              <w:marBottom w:val="0"/>
              <w:divBdr>
                <w:top w:val="none" w:sz="0" w:space="0" w:color="auto"/>
                <w:left w:val="none" w:sz="0" w:space="0" w:color="auto"/>
                <w:bottom w:val="none" w:sz="0" w:space="0" w:color="auto"/>
                <w:right w:val="none" w:sz="0" w:space="0" w:color="auto"/>
              </w:divBdr>
            </w:div>
            <w:div w:id="1919636416">
              <w:marLeft w:val="0"/>
              <w:marRight w:val="0"/>
              <w:marTop w:val="0"/>
              <w:marBottom w:val="0"/>
              <w:divBdr>
                <w:top w:val="none" w:sz="0" w:space="0" w:color="auto"/>
                <w:left w:val="none" w:sz="0" w:space="0" w:color="auto"/>
                <w:bottom w:val="none" w:sz="0" w:space="0" w:color="auto"/>
                <w:right w:val="none" w:sz="0" w:space="0" w:color="auto"/>
              </w:divBdr>
              <w:divsChild>
                <w:div w:id="286471842">
                  <w:marLeft w:val="0"/>
                  <w:marRight w:val="0"/>
                  <w:marTop w:val="0"/>
                  <w:marBottom w:val="0"/>
                  <w:divBdr>
                    <w:top w:val="none" w:sz="0" w:space="0" w:color="auto"/>
                    <w:left w:val="none" w:sz="0" w:space="0" w:color="auto"/>
                    <w:bottom w:val="none" w:sz="0" w:space="0" w:color="auto"/>
                    <w:right w:val="none" w:sz="0" w:space="0" w:color="auto"/>
                  </w:divBdr>
                  <w:divsChild>
                    <w:div w:id="1776703992">
                      <w:marLeft w:val="0"/>
                      <w:marRight w:val="0"/>
                      <w:marTop w:val="0"/>
                      <w:marBottom w:val="0"/>
                      <w:divBdr>
                        <w:top w:val="none" w:sz="0" w:space="0" w:color="auto"/>
                        <w:left w:val="none" w:sz="0" w:space="0" w:color="auto"/>
                        <w:bottom w:val="none" w:sz="0" w:space="0" w:color="auto"/>
                        <w:right w:val="none" w:sz="0" w:space="0" w:color="auto"/>
                      </w:divBdr>
                      <w:divsChild>
                        <w:div w:id="19540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489423">
      <w:bodyDiv w:val="1"/>
      <w:marLeft w:val="0"/>
      <w:marRight w:val="0"/>
      <w:marTop w:val="0"/>
      <w:marBottom w:val="0"/>
      <w:divBdr>
        <w:top w:val="none" w:sz="0" w:space="0" w:color="auto"/>
        <w:left w:val="none" w:sz="0" w:space="0" w:color="auto"/>
        <w:bottom w:val="none" w:sz="0" w:space="0" w:color="auto"/>
        <w:right w:val="none" w:sz="0" w:space="0" w:color="auto"/>
      </w:divBdr>
    </w:div>
    <w:div w:id="1657684077">
      <w:bodyDiv w:val="1"/>
      <w:marLeft w:val="0"/>
      <w:marRight w:val="0"/>
      <w:marTop w:val="0"/>
      <w:marBottom w:val="0"/>
      <w:divBdr>
        <w:top w:val="none" w:sz="0" w:space="0" w:color="auto"/>
        <w:left w:val="none" w:sz="0" w:space="0" w:color="auto"/>
        <w:bottom w:val="none" w:sz="0" w:space="0" w:color="auto"/>
        <w:right w:val="none" w:sz="0" w:space="0" w:color="auto"/>
      </w:divBdr>
    </w:div>
    <w:div w:id="1668240546">
      <w:bodyDiv w:val="1"/>
      <w:marLeft w:val="0"/>
      <w:marRight w:val="0"/>
      <w:marTop w:val="0"/>
      <w:marBottom w:val="0"/>
      <w:divBdr>
        <w:top w:val="none" w:sz="0" w:space="0" w:color="auto"/>
        <w:left w:val="none" w:sz="0" w:space="0" w:color="auto"/>
        <w:bottom w:val="none" w:sz="0" w:space="0" w:color="auto"/>
        <w:right w:val="none" w:sz="0" w:space="0" w:color="auto"/>
      </w:divBdr>
    </w:div>
    <w:div w:id="1670525710">
      <w:bodyDiv w:val="1"/>
      <w:marLeft w:val="0"/>
      <w:marRight w:val="0"/>
      <w:marTop w:val="0"/>
      <w:marBottom w:val="0"/>
      <w:divBdr>
        <w:top w:val="none" w:sz="0" w:space="0" w:color="auto"/>
        <w:left w:val="none" w:sz="0" w:space="0" w:color="auto"/>
        <w:bottom w:val="none" w:sz="0" w:space="0" w:color="auto"/>
        <w:right w:val="none" w:sz="0" w:space="0" w:color="auto"/>
      </w:divBdr>
    </w:div>
    <w:div w:id="1670792260">
      <w:bodyDiv w:val="1"/>
      <w:marLeft w:val="0"/>
      <w:marRight w:val="0"/>
      <w:marTop w:val="0"/>
      <w:marBottom w:val="0"/>
      <w:divBdr>
        <w:top w:val="none" w:sz="0" w:space="0" w:color="auto"/>
        <w:left w:val="none" w:sz="0" w:space="0" w:color="auto"/>
        <w:bottom w:val="none" w:sz="0" w:space="0" w:color="auto"/>
        <w:right w:val="none" w:sz="0" w:space="0" w:color="auto"/>
      </w:divBdr>
    </w:div>
    <w:div w:id="1685014305">
      <w:bodyDiv w:val="1"/>
      <w:marLeft w:val="0"/>
      <w:marRight w:val="0"/>
      <w:marTop w:val="0"/>
      <w:marBottom w:val="0"/>
      <w:divBdr>
        <w:top w:val="none" w:sz="0" w:space="0" w:color="auto"/>
        <w:left w:val="none" w:sz="0" w:space="0" w:color="auto"/>
        <w:bottom w:val="none" w:sz="0" w:space="0" w:color="auto"/>
        <w:right w:val="none" w:sz="0" w:space="0" w:color="auto"/>
      </w:divBdr>
    </w:div>
    <w:div w:id="1725060170">
      <w:bodyDiv w:val="1"/>
      <w:marLeft w:val="0"/>
      <w:marRight w:val="0"/>
      <w:marTop w:val="0"/>
      <w:marBottom w:val="0"/>
      <w:divBdr>
        <w:top w:val="none" w:sz="0" w:space="0" w:color="auto"/>
        <w:left w:val="none" w:sz="0" w:space="0" w:color="auto"/>
        <w:bottom w:val="none" w:sz="0" w:space="0" w:color="auto"/>
        <w:right w:val="none" w:sz="0" w:space="0" w:color="auto"/>
      </w:divBdr>
    </w:div>
    <w:div w:id="1726445873">
      <w:bodyDiv w:val="1"/>
      <w:marLeft w:val="0"/>
      <w:marRight w:val="0"/>
      <w:marTop w:val="0"/>
      <w:marBottom w:val="0"/>
      <w:divBdr>
        <w:top w:val="none" w:sz="0" w:space="0" w:color="auto"/>
        <w:left w:val="none" w:sz="0" w:space="0" w:color="auto"/>
        <w:bottom w:val="none" w:sz="0" w:space="0" w:color="auto"/>
        <w:right w:val="none" w:sz="0" w:space="0" w:color="auto"/>
      </w:divBdr>
    </w:div>
    <w:div w:id="1743329290">
      <w:bodyDiv w:val="1"/>
      <w:marLeft w:val="0"/>
      <w:marRight w:val="0"/>
      <w:marTop w:val="0"/>
      <w:marBottom w:val="0"/>
      <w:divBdr>
        <w:top w:val="none" w:sz="0" w:space="0" w:color="auto"/>
        <w:left w:val="none" w:sz="0" w:space="0" w:color="auto"/>
        <w:bottom w:val="none" w:sz="0" w:space="0" w:color="auto"/>
        <w:right w:val="none" w:sz="0" w:space="0" w:color="auto"/>
      </w:divBdr>
    </w:div>
    <w:div w:id="1747993715">
      <w:bodyDiv w:val="1"/>
      <w:marLeft w:val="0"/>
      <w:marRight w:val="0"/>
      <w:marTop w:val="0"/>
      <w:marBottom w:val="0"/>
      <w:divBdr>
        <w:top w:val="none" w:sz="0" w:space="0" w:color="auto"/>
        <w:left w:val="none" w:sz="0" w:space="0" w:color="auto"/>
        <w:bottom w:val="none" w:sz="0" w:space="0" w:color="auto"/>
        <w:right w:val="none" w:sz="0" w:space="0" w:color="auto"/>
      </w:divBdr>
    </w:div>
    <w:div w:id="1760105117">
      <w:bodyDiv w:val="1"/>
      <w:marLeft w:val="0"/>
      <w:marRight w:val="0"/>
      <w:marTop w:val="0"/>
      <w:marBottom w:val="0"/>
      <w:divBdr>
        <w:top w:val="none" w:sz="0" w:space="0" w:color="auto"/>
        <w:left w:val="none" w:sz="0" w:space="0" w:color="auto"/>
        <w:bottom w:val="none" w:sz="0" w:space="0" w:color="auto"/>
        <w:right w:val="none" w:sz="0" w:space="0" w:color="auto"/>
      </w:divBdr>
    </w:div>
    <w:div w:id="1765027712">
      <w:bodyDiv w:val="1"/>
      <w:marLeft w:val="0"/>
      <w:marRight w:val="0"/>
      <w:marTop w:val="0"/>
      <w:marBottom w:val="0"/>
      <w:divBdr>
        <w:top w:val="none" w:sz="0" w:space="0" w:color="auto"/>
        <w:left w:val="none" w:sz="0" w:space="0" w:color="auto"/>
        <w:bottom w:val="none" w:sz="0" w:space="0" w:color="auto"/>
        <w:right w:val="none" w:sz="0" w:space="0" w:color="auto"/>
      </w:divBdr>
    </w:div>
    <w:div w:id="1781297473">
      <w:bodyDiv w:val="1"/>
      <w:marLeft w:val="0"/>
      <w:marRight w:val="0"/>
      <w:marTop w:val="0"/>
      <w:marBottom w:val="0"/>
      <w:divBdr>
        <w:top w:val="none" w:sz="0" w:space="0" w:color="auto"/>
        <w:left w:val="none" w:sz="0" w:space="0" w:color="auto"/>
        <w:bottom w:val="none" w:sz="0" w:space="0" w:color="auto"/>
        <w:right w:val="none" w:sz="0" w:space="0" w:color="auto"/>
      </w:divBdr>
    </w:div>
    <w:div w:id="1808547385">
      <w:bodyDiv w:val="1"/>
      <w:marLeft w:val="0"/>
      <w:marRight w:val="0"/>
      <w:marTop w:val="0"/>
      <w:marBottom w:val="0"/>
      <w:divBdr>
        <w:top w:val="none" w:sz="0" w:space="0" w:color="auto"/>
        <w:left w:val="none" w:sz="0" w:space="0" w:color="auto"/>
        <w:bottom w:val="none" w:sz="0" w:space="0" w:color="auto"/>
        <w:right w:val="none" w:sz="0" w:space="0" w:color="auto"/>
      </w:divBdr>
    </w:div>
    <w:div w:id="1825663988">
      <w:bodyDiv w:val="1"/>
      <w:marLeft w:val="0"/>
      <w:marRight w:val="0"/>
      <w:marTop w:val="0"/>
      <w:marBottom w:val="0"/>
      <w:divBdr>
        <w:top w:val="none" w:sz="0" w:space="0" w:color="auto"/>
        <w:left w:val="none" w:sz="0" w:space="0" w:color="auto"/>
        <w:bottom w:val="none" w:sz="0" w:space="0" w:color="auto"/>
        <w:right w:val="none" w:sz="0" w:space="0" w:color="auto"/>
      </w:divBdr>
    </w:div>
    <w:div w:id="1893494187">
      <w:bodyDiv w:val="1"/>
      <w:marLeft w:val="0"/>
      <w:marRight w:val="0"/>
      <w:marTop w:val="0"/>
      <w:marBottom w:val="0"/>
      <w:divBdr>
        <w:top w:val="none" w:sz="0" w:space="0" w:color="auto"/>
        <w:left w:val="none" w:sz="0" w:space="0" w:color="auto"/>
        <w:bottom w:val="none" w:sz="0" w:space="0" w:color="auto"/>
        <w:right w:val="none" w:sz="0" w:space="0" w:color="auto"/>
      </w:divBdr>
    </w:div>
    <w:div w:id="1953705281">
      <w:bodyDiv w:val="1"/>
      <w:marLeft w:val="0"/>
      <w:marRight w:val="0"/>
      <w:marTop w:val="0"/>
      <w:marBottom w:val="0"/>
      <w:divBdr>
        <w:top w:val="none" w:sz="0" w:space="0" w:color="auto"/>
        <w:left w:val="none" w:sz="0" w:space="0" w:color="auto"/>
        <w:bottom w:val="none" w:sz="0" w:space="0" w:color="auto"/>
        <w:right w:val="none" w:sz="0" w:space="0" w:color="auto"/>
      </w:divBdr>
    </w:div>
    <w:div w:id="1961451562">
      <w:bodyDiv w:val="1"/>
      <w:marLeft w:val="0"/>
      <w:marRight w:val="0"/>
      <w:marTop w:val="0"/>
      <w:marBottom w:val="0"/>
      <w:divBdr>
        <w:top w:val="none" w:sz="0" w:space="0" w:color="auto"/>
        <w:left w:val="none" w:sz="0" w:space="0" w:color="auto"/>
        <w:bottom w:val="none" w:sz="0" w:space="0" w:color="auto"/>
        <w:right w:val="none" w:sz="0" w:space="0" w:color="auto"/>
      </w:divBdr>
    </w:div>
    <w:div w:id="1966354498">
      <w:bodyDiv w:val="1"/>
      <w:marLeft w:val="0"/>
      <w:marRight w:val="0"/>
      <w:marTop w:val="0"/>
      <w:marBottom w:val="0"/>
      <w:divBdr>
        <w:top w:val="none" w:sz="0" w:space="0" w:color="auto"/>
        <w:left w:val="none" w:sz="0" w:space="0" w:color="auto"/>
        <w:bottom w:val="none" w:sz="0" w:space="0" w:color="auto"/>
        <w:right w:val="none" w:sz="0" w:space="0" w:color="auto"/>
      </w:divBdr>
    </w:div>
    <w:div w:id="1975482433">
      <w:bodyDiv w:val="1"/>
      <w:marLeft w:val="0"/>
      <w:marRight w:val="0"/>
      <w:marTop w:val="0"/>
      <w:marBottom w:val="0"/>
      <w:divBdr>
        <w:top w:val="none" w:sz="0" w:space="0" w:color="auto"/>
        <w:left w:val="none" w:sz="0" w:space="0" w:color="auto"/>
        <w:bottom w:val="none" w:sz="0" w:space="0" w:color="auto"/>
        <w:right w:val="none" w:sz="0" w:space="0" w:color="auto"/>
      </w:divBdr>
    </w:div>
    <w:div w:id="2000108996">
      <w:bodyDiv w:val="1"/>
      <w:marLeft w:val="0"/>
      <w:marRight w:val="0"/>
      <w:marTop w:val="0"/>
      <w:marBottom w:val="0"/>
      <w:divBdr>
        <w:top w:val="none" w:sz="0" w:space="0" w:color="auto"/>
        <w:left w:val="none" w:sz="0" w:space="0" w:color="auto"/>
        <w:bottom w:val="none" w:sz="0" w:space="0" w:color="auto"/>
        <w:right w:val="none" w:sz="0" w:space="0" w:color="auto"/>
      </w:divBdr>
    </w:div>
    <w:div w:id="2015104621">
      <w:bodyDiv w:val="1"/>
      <w:marLeft w:val="0"/>
      <w:marRight w:val="0"/>
      <w:marTop w:val="0"/>
      <w:marBottom w:val="0"/>
      <w:divBdr>
        <w:top w:val="none" w:sz="0" w:space="0" w:color="auto"/>
        <w:left w:val="none" w:sz="0" w:space="0" w:color="auto"/>
        <w:bottom w:val="none" w:sz="0" w:space="0" w:color="auto"/>
        <w:right w:val="none" w:sz="0" w:space="0" w:color="auto"/>
      </w:divBdr>
    </w:div>
    <w:div w:id="2021589114">
      <w:bodyDiv w:val="1"/>
      <w:marLeft w:val="0"/>
      <w:marRight w:val="0"/>
      <w:marTop w:val="0"/>
      <w:marBottom w:val="0"/>
      <w:divBdr>
        <w:top w:val="none" w:sz="0" w:space="0" w:color="auto"/>
        <w:left w:val="none" w:sz="0" w:space="0" w:color="auto"/>
        <w:bottom w:val="none" w:sz="0" w:space="0" w:color="auto"/>
        <w:right w:val="none" w:sz="0" w:space="0" w:color="auto"/>
      </w:divBdr>
    </w:div>
    <w:div w:id="2029521113">
      <w:bodyDiv w:val="1"/>
      <w:marLeft w:val="0"/>
      <w:marRight w:val="0"/>
      <w:marTop w:val="0"/>
      <w:marBottom w:val="0"/>
      <w:divBdr>
        <w:top w:val="none" w:sz="0" w:space="0" w:color="auto"/>
        <w:left w:val="none" w:sz="0" w:space="0" w:color="auto"/>
        <w:bottom w:val="none" w:sz="0" w:space="0" w:color="auto"/>
        <w:right w:val="none" w:sz="0" w:space="0" w:color="auto"/>
      </w:divBdr>
    </w:div>
    <w:div w:id="2037389319">
      <w:bodyDiv w:val="1"/>
      <w:marLeft w:val="0"/>
      <w:marRight w:val="0"/>
      <w:marTop w:val="0"/>
      <w:marBottom w:val="0"/>
      <w:divBdr>
        <w:top w:val="none" w:sz="0" w:space="0" w:color="auto"/>
        <w:left w:val="none" w:sz="0" w:space="0" w:color="auto"/>
        <w:bottom w:val="none" w:sz="0" w:space="0" w:color="auto"/>
        <w:right w:val="none" w:sz="0" w:space="0" w:color="auto"/>
      </w:divBdr>
    </w:div>
    <w:div w:id="2059039684">
      <w:bodyDiv w:val="1"/>
      <w:marLeft w:val="0"/>
      <w:marRight w:val="0"/>
      <w:marTop w:val="0"/>
      <w:marBottom w:val="0"/>
      <w:divBdr>
        <w:top w:val="none" w:sz="0" w:space="0" w:color="auto"/>
        <w:left w:val="none" w:sz="0" w:space="0" w:color="auto"/>
        <w:bottom w:val="none" w:sz="0" w:space="0" w:color="auto"/>
        <w:right w:val="none" w:sz="0" w:space="0" w:color="auto"/>
      </w:divBdr>
    </w:div>
    <w:div w:id="2065637365">
      <w:bodyDiv w:val="1"/>
      <w:marLeft w:val="0"/>
      <w:marRight w:val="0"/>
      <w:marTop w:val="0"/>
      <w:marBottom w:val="0"/>
      <w:divBdr>
        <w:top w:val="none" w:sz="0" w:space="0" w:color="auto"/>
        <w:left w:val="none" w:sz="0" w:space="0" w:color="auto"/>
        <w:bottom w:val="none" w:sz="0" w:space="0" w:color="auto"/>
        <w:right w:val="none" w:sz="0" w:space="0" w:color="auto"/>
      </w:divBdr>
    </w:div>
    <w:div w:id="2067025320">
      <w:bodyDiv w:val="1"/>
      <w:marLeft w:val="0"/>
      <w:marRight w:val="0"/>
      <w:marTop w:val="0"/>
      <w:marBottom w:val="0"/>
      <w:divBdr>
        <w:top w:val="none" w:sz="0" w:space="0" w:color="auto"/>
        <w:left w:val="none" w:sz="0" w:space="0" w:color="auto"/>
        <w:bottom w:val="none" w:sz="0" w:space="0" w:color="auto"/>
        <w:right w:val="none" w:sz="0" w:space="0" w:color="auto"/>
      </w:divBdr>
    </w:div>
    <w:div w:id="2071414109">
      <w:bodyDiv w:val="1"/>
      <w:marLeft w:val="0"/>
      <w:marRight w:val="0"/>
      <w:marTop w:val="0"/>
      <w:marBottom w:val="0"/>
      <w:divBdr>
        <w:top w:val="none" w:sz="0" w:space="0" w:color="auto"/>
        <w:left w:val="none" w:sz="0" w:space="0" w:color="auto"/>
        <w:bottom w:val="none" w:sz="0" w:space="0" w:color="auto"/>
        <w:right w:val="none" w:sz="0" w:space="0" w:color="auto"/>
      </w:divBdr>
    </w:div>
    <w:div w:id="2077778187">
      <w:bodyDiv w:val="1"/>
      <w:marLeft w:val="0"/>
      <w:marRight w:val="0"/>
      <w:marTop w:val="0"/>
      <w:marBottom w:val="0"/>
      <w:divBdr>
        <w:top w:val="none" w:sz="0" w:space="0" w:color="auto"/>
        <w:left w:val="none" w:sz="0" w:space="0" w:color="auto"/>
        <w:bottom w:val="none" w:sz="0" w:space="0" w:color="auto"/>
        <w:right w:val="none" w:sz="0" w:space="0" w:color="auto"/>
      </w:divBdr>
    </w:div>
    <w:div w:id="2086150487">
      <w:bodyDiv w:val="1"/>
      <w:marLeft w:val="0"/>
      <w:marRight w:val="0"/>
      <w:marTop w:val="0"/>
      <w:marBottom w:val="0"/>
      <w:divBdr>
        <w:top w:val="none" w:sz="0" w:space="0" w:color="auto"/>
        <w:left w:val="none" w:sz="0" w:space="0" w:color="auto"/>
        <w:bottom w:val="none" w:sz="0" w:space="0" w:color="auto"/>
        <w:right w:val="none" w:sz="0" w:space="0" w:color="auto"/>
      </w:divBdr>
    </w:div>
    <w:div w:id="2093773188">
      <w:bodyDiv w:val="1"/>
      <w:marLeft w:val="0"/>
      <w:marRight w:val="0"/>
      <w:marTop w:val="0"/>
      <w:marBottom w:val="0"/>
      <w:divBdr>
        <w:top w:val="none" w:sz="0" w:space="0" w:color="auto"/>
        <w:left w:val="none" w:sz="0" w:space="0" w:color="auto"/>
        <w:bottom w:val="none" w:sz="0" w:space="0" w:color="auto"/>
        <w:right w:val="none" w:sz="0" w:space="0" w:color="auto"/>
      </w:divBdr>
    </w:div>
    <w:div w:id="2097238918">
      <w:bodyDiv w:val="1"/>
      <w:marLeft w:val="0"/>
      <w:marRight w:val="0"/>
      <w:marTop w:val="0"/>
      <w:marBottom w:val="0"/>
      <w:divBdr>
        <w:top w:val="none" w:sz="0" w:space="0" w:color="auto"/>
        <w:left w:val="none" w:sz="0" w:space="0" w:color="auto"/>
        <w:bottom w:val="none" w:sz="0" w:space="0" w:color="auto"/>
        <w:right w:val="none" w:sz="0" w:space="0" w:color="auto"/>
      </w:divBdr>
    </w:div>
    <w:div w:id="2098013611">
      <w:bodyDiv w:val="1"/>
      <w:marLeft w:val="0"/>
      <w:marRight w:val="0"/>
      <w:marTop w:val="0"/>
      <w:marBottom w:val="0"/>
      <w:divBdr>
        <w:top w:val="none" w:sz="0" w:space="0" w:color="auto"/>
        <w:left w:val="none" w:sz="0" w:space="0" w:color="auto"/>
        <w:bottom w:val="none" w:sz="0" w:space="0" w:color="auto"/>
        <w:right w:val="none" w:sz="0" w:space="0" w:color="auto"/>
      </w:divBdr>
    </w:div>
    <w:div w:id="2114788655">
      <w:bodyDiv w:val="1"/>
      <w:marLeft w:val="0"/>
      <w:marRight w:val="0"/>
      <w:marTop w:val="0"/>
      <w:marBottom w:val="0"/>
      <w:divBdr>
        <w:top w:val="none" w:sz="0" w:space="0" w:color="auto"/>
        <w:left w:val="none" w:sz="0" w:space="0" w:color="auto"/>
        <w:bottom w:val="none" w:sz="0" w:space="0" w:color="auto"/>
        <w:right w:val="none" w:sz="0" w:space="0" w:color="auto"/>
      </w:divBdr>
    </w:div>
    <w:div w:id="2135517595">
      <w:bodyDiv w:val="1"/>
      <w:marLeft w:val="0"/>
      <w:marRight w:val="0"/>
      <w:marTop w:val="0"/>
      <w:marBottom w:val="0"/>
      <w:divBdr>
        <w:top w:val="none" w:sz="0" w:space="0" w:color="auto"/>
        <w:left w:val="none" w:sz="0" w:space="0" w:color="auto"/>
        <w:bottom w:val="none" w:sz="0" w:space="0" w:color="auto"/>
        <w:right w:val="none" w:sz="0" w:space="0" w:color="auto"/>
      </w:divBdr>
    </w:div>
    <w:div w:id="2144690336">
      <w:bodyDiv w:val="1"/>
      <w:marLeft w:val="0"/>
      <w:marRight w:val="0"/>
      <w:marTop w:val="0"/>
      <w:marBottom w:val="0"/>
      <w:divBdr>
        <w:top w:val="none" w:sz="0" w:space="0" w:color="auto"/>
        <w:left w:val="none" w:sz="0" w:space="0" w:color="auto"/>
        <w:bottom w:val="none" w:sz="0" w:space="0" w:color="auto"/>
        <w:right w:val="none" w:sz="0" w:space="0" w:color="auto"/>
      </w:divBdr>
      <w:divsChild>
        <w:div w:id="1329095256">
          <w:marLeft w:val="0"/>
          <w:marRight w:val="0"/>
          <w:marTop w:val="0"/>
          <w:marBottom w:val="0"/>
          <w:divBdr>
            <w:top w:val="none" w:sz="0" w:space="0" w:color="auto"/>
            <w:left w:val="none" w:sz="0" w:space="0" w:color="auto"/>
            <w:bottom w:val="none" w:sz="0" w:space="0" w:color="auto"/>
            <w:right w:val="none" w:sz="0" w:space="0" w:color="auto"/>
          </w:divBdr>
          <w:divsChild>
            <w:div w:id="199637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39</Pages>
  <Words>16433</Words>
  <Characters>93673</Characters>
  <Application>Microsoft Office Word</Application>
  <DocSecurity>0</DocSecurity>
  <Lines>780</Lines>
  <Paragraphs>219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Nino Trokashvili</cp:lastModifiedBy>
  <cp:revision>14</cp:revision>
  <dcterms:created xsi:type="dcterms:W3CDTF">2026-09-16T12:22:00Z</dcterms:created>
  <dcterms:modified xsi:type="dcterms:W3CDTF">2026-10-01T16:18:00Z</dcterms:modified>
</cp:coreProperties>
</file>