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B359" w14:textId="77777777" w:rsidR="00951200" w:rsidRDefault="00951200" w:rsidP="00951200">
      <w:pPr>
        <w:spacing w:after="0" w:line="240" w:lineRule="auto"/>
        <w:jc w:val="center"/>
        <w:rPr>
          <w:rFonts w:ascii="Sylfaen" w:eastAsia="Arial Unicode MS" w:hAnsi="Sylfaen"/>
          <w:b/>
          <w:noProof/>
          <w:lang w:val="ka-GE"/>
        </w:rPr>
      </w:pPr>
      <w:r>
        <w:rPr>
          <w:rFonts w:ascii="Sylfaen" w:eastAsia="Arial Unicode MS" w:hAnsi="Sylfaen"/>
          <w:b/>
          <w:noProof/>
          <w:lang w:val="ka-GE"/>
        </w:rPr>
        <w:t>გამოყენების ინსტრუქცია</w:t>
      </w:r>
    </w:p>
    <w:p w14:paraId="745C0E17" w14:textId="71424930" w:rsidR="00B06C4A" w:rsidRPr="005C4A9D" w:rsidRDefault="00B06C4A" w:rsidP="0078307E">
      <w:pPr>
        <w:spacing w:after="0" w:line="240" w:lineRule="auto"/>
        <w:jc w:val="center"/>
        <w:rPr>
          <w:rFonts w:ascii="Sylfaen" w:eastAsia="Arial Unicode MS" w:hAnsi="Sylfaen"/>
          <w:b/>
          <w:noProof/>
          <w:lang w:val="ka-GE"/>
        </w:rPr>
      </w:pPr>
      <w:r w:rsidRPr="005C4A9D">
        <w:rPr>
          <w:rFonts w:ascii="Sylfaen" w:eastAsia="Arial Unicode MS" w:hAnsi="Sylfaen"/>
          <w:b/>
          <w:noProof/>
          <w:lang w:val="ka-GE"/>
        </w:rPr>
        <w:t>პროდუქტის შემაჯამებელი დახასიათება</w:t>
      </w:r>
    </w:p>
    <w:p w14:paraId="0A95839E" w14:textId="77777777" w:rsidR="00B06C4A" w:rsidRPr="005C4A9D" w:rsidRDefault="00B06C4A" w:rsidP="00382943">
      <w:pPr>
        <w:spacing w:after="0" w:line="240" w:lineRule="auto"/>
        <w:rPr>
          <w:rFonts w:ascii="Sylfaen" w:eastAsia="Arial Unicode MS" w:hAnsi="Sylfaen"/>
          <w:noProof/>
          <w:lang w:val="ka-GE"/>
        </w:rPr>
      </w:pPr>
    </w:p>
    <w:p w14:paraId="24E6F03C"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1. სამკურნალო პროდუქტის დასახელება</w:t>
      </w:r>
    </w:p>
    <w:p w14:paraId="4A9AEB3D" w14:textId="0D90857A"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w:t>
      </w:r>
      <w:r w:rsidR="005C4A9D">
        <w:rPr>
          <w:rFonts w:ascii="Sylfaen" w:eastAsia="Arial Unicode MS" w:hAnsi="Sylfaen"/>
          <w:noProof/>
          <w:lang w:val="ka-GE"/>
        </w:rPr>
        <w:t xml:space="preserve">, </w:t>
      </w:r>
      <w:r w:rsidRPr="005C4A9D">
        <w:rPr>
          <w:rFonts w:ascii="Sylfaen" w:eastAsia="Arial Unicode MS" w:hAnsi="Sylfaen"/>
          <w:noProof/>
          <w:lang w:val="ka-GE"/>
        </w:rPr>
        <w:t xml:space="preserve"> 20 მგ აპკიანი გარსით დაფარული ტაბლეტები.</w:t>
      </w:r>
    </w:p>
    <w:p w14:paraId="16672462" w14:textId="77777777" w:rsidR="002B4115" w:rsidRPr="005C4A9D" w:rsidRDefault="002B4115" w:rsidP="00382943">
      <w:pPr>
        <w:spacing w:after="0" w:line="240" w:lineRule="auto"/>
        <w:jc w:val="both"/>
        <w:rPr>
          <w:rFonts w:ascii="Sylfaen" w:eastAsia="Arial Unicode MS" w:hAnsi="Sylfaen"/>
          <w:noProof/>
          <w:lang w:val="ka-GE"/>
        </w:rPr>
      </w:pPr>
    </w:p>
    <w:p w14:paraId="343F5AE7"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2. ხარისხობრივი და რაოდენობრივი შემადგენლობა</w:t>
      </w:r>
    </w:p>
    <w:p w14:paraId="7D8F1E4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თითოეული ტაბლეტი შეიცავს 20 მგ როზუვასტატინს (კალციუმის როზუვასტატინის სახით). თითოეული ტაბლეტი შეიცავს 96,166 მგ ლაქტოზის მონოჰიდრატს.</w:t>
      </w:r>
    </w:p>
    <w:p w14:paraId="7689FCEF"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დამხმარე ნივთიერებების სრული ჩამონათვალისთვის იხილეთ 6.1 პუნქტი.</w:t>
      </w:r>
    </w:p>
    <w:p w14:paraId="2343B52E" w14:textId="77777777" w:rsidR="005C4A9D" w:rsidRPr="005C4A9D" w:rsidRDefault="005C4A9D" w:rsidP="00382943">
      <w:pPr>
        <w:spacing w:after="0" w:line="240" w:lineRule="auto"/>
        <w:jc w:val="both"/>
        <w:rPr>
          <w:rFonts w:ascii="Sylfaen" w:eastAsia="Arial Unicode MS" w:hAnsi="Sylfaen"/>
          <w:noProof/>
          <w:lang w:val="ka-GE"/>
        </w:rPr>
      </w:pPr>
    </w:p>
    <w:p w14:paraId="26B94700"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3. ფარმაცევტული ფორმა</w:t>
      </w:r>
    </w:p>
    <w:p w14:paraId="2CE58D50"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ყავისფერიდან მუქ ყავისფერამდე, მრგვალი ფორმის, ორმხრივამოზნექილი, აპკიანი გარსით დაფარული ტაბლეტი, ორივე მხრიდან გლუვი.</w:t>
      </w:r>
    </w:p>
    <w:p w14:paraId="7D6B0662" w14:textId="77777777" w:rsidR="00B06C4A" w:rsidRPr="005C4A9D" w:rsidRDefault="00B06C4A" w:rsidP="00382943">
      <w:pPr>
        <w:spacing w:after="0" w:line="240" w:lineRule="auto"/>
        <w:jc w:val="both"/>
        <w:rPr>
          <w:rFonts w:ascii="Sylfaen" w:eastAsia="Arial Unicode MS" w:hAnsi="Sylfaen"/>
          <w:b/>
          <w:bCs/>
          <w:noProof/>
          <w:lang w:val="ka-GE"/>
        </w:rPr>
      </w:pPr>
    </w:p>
    <w:p w14:paraId="5FC25CCF" w14:textId="514AB186" w:rsidR="002A7CB3"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4. კლინიკური მახასიათებლები</w:t>
      </w:r>
    </w:p>
    <w:p w14:paraId="2CCE3904" w14:textId="3E6F5CDF" w:rsidR="002A7CB3"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4.1 თერაპიული ჩვენებები</w:t>
      </w:r>
    </w:p>
    <w:p w14:paraId="3A3D193B"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ჰიპერქოლესტერინემიის მკურნალობა</w:t>
      </w:r>
    </w:p>
    <w:p w14:paraId="54FDCD51"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მოზრდილები, მოზარდები და 6 წლის და უფროსი ასაკის ბავშვები პირველადი ჰიპერქოლესტერინემიით (ტიპი IIa, მათ შორის ჰეტეროზიგოტური ოჯახური ჰიპერქოლესტერინემია) ან შერეული დისლიპიდემიით (ტიპი IIb), როგორც დიეტაზე დამატება, როდესაც დიეტაზე და სხვა არაფარმაკოლოგიურ მკურნალობაზე (მაგ., ვარჯიში, წონის დაკლება) რეაგირება არასაკმარისია.</w:t>
      </w:r>
    </w:p>
    <w:p w14:paraId="75875A57" w14:textId="77777777" w:rsidR="002A7CB3" w:rsidRPr="005C4A9D" w:rsidRDefault="002A7CB3" w:rsidP="00382943">
      <w:pPr>
        <w:spacing w:after="0" w:line="240" w:lineRule="auto"/>
        <w:jc w:val="both"/>
        <w:rPr>
          <w:rFonts w:ascii="Sylfaen" w:eastAsia="Arial Unicode MS" w:hAnsi="Sylfaen"/>
          <w:noProof/>
          <w:lang w:val="ka-GE"/>
        </w:rPr>
      </w:pPr>
    </w:p>
    <w:p w14:paraId="27BA70F2"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მოზრდილები, მოზარდები და 6 წლის ან უფროსი ასაკის ბავშვები ჰომოზიგოტური ოჯახური ჰიპერქოლესტერინემიით, დიეტაზე და სხვა ლიპიდების დონის დამწევი მკურნალობაზე (მაგ., დაბალი სიმკვრივის ლიპოპროტეინების აფერეზი) დამატება ან თუ ასეთი მკურნალობა არ არის მიზანშეწონილი.</w:t>
      </w:r>
    </w:p>
    <w:p w14:paraId="02E501B5" w14:textId="77777777" w:rsidR="002A7CB3" w:rsidRPr="005C4A9D" w:rsidRDefault="002A7CB3" w:rsidP="00382943">
      <w:pPr>
        <w:spacing w:after="0" w:line="240" w:lineRule="auto"/>
        <w:jc w:val="both"/>
        <w:rPr>
          <w:rFonts w:ascii="Sylfaen" w:eastAsia="Arial Unicode MS" w:hAnsi="Sylfaen"/>
          <w:noProof/>
          <w:lang w:val="ka-GE"/>
        </w:rPr>
      </w:pPr>
    </w:p>
    <w:p w14:paraId="368BC98F"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გულ-სისხლძარღვთა მოვლენების პრევენცია</w:t>
      </w:r>
    </w:p>
    <w:p w14:paraId="2BC03E07" w14:textId="52439D6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ძირითადი გულ-სისხლძარღვთა მოვლენების პრევენცია პაციენტებში, რომლებსაც აქვთ პირველი გულ-სისხლძარღვთა მოვლენის მაღალი რისკი (იხ. ნაწილი 5.1), </w:t>
      </w:r>
      <w:r w:rsidR="00BF7988">
        <w:rPr>
          <w:rFonts w:ascii="Sylfaen" w:eastAsia="Arial Unicode MS" w:hAnsi="Sylfaen"/>
          <w:noProof/>
          <w:lang w:val="ka-GE"/>
        </w:rPr>
        <w:t xml:space="preserve">როგორც </w:t>
      </w:r>
      <w:r w:rsidR="00BF7988" w:rsidRPr="005C4A9D">
        <w:rPr>
          <w:rFonts w:ascii="Sylfaen" w:eastAsia="Arial Unicode MS" w:hAnsi="Sylfaen"/>
          <w:noProof/>
          <w:lang w:val="ka-GE"/>
        </w:rPr>
        <w:t>დამატე</w:t>
      </w:r>
      <w:r w:rsidR="00BF7988">
        <w:rPr>
          <w:rFonts w:ascii="Sylfaen" w:eastAsia="Arial Unicode MS" w:hAnsi="Sylfaen"/>
          <w:noProof/>
          <w:lang w:val="ka-GE"/>
        </w:rPr>
        <w:t xml:space="preserve">ბა </w:t>
      </w:r>
      <w:r w:rsidRPr="005C4A9D">
        <w:rPr>
          <w:rFonts w:ascii="Sylfaen" w:eastAsia="Arial Unicode MS" w:hAnsi="Sylfaen"/>
          <w:noProof/>
          <w:lang w:val="ka-GE"/>
        </w:rPr>
        <w:t xml:space="preserve">სხვა რისკ-ფაქტორების კორექციის </w:t>
      </w:r>
      <w:r w:rsidR="00BF7988">
        <w:rPr>
          <w:rFonts w:ascii="Sylfaen" w:eastAsia="Arial Unicode MS" w:hAnsi="Sylfaen"/>
          <w:noProof/>
          <w:lang w:val="ka-GE"/>
        </w:rPr>
        <w:t>მიზნით.</w:t>
      </w:r>
    </w:p>
    <w:p w14:paraId="1294CC37" w14:textId="77777777" w:rsidR="005C4A9D" w:rsidRPr="005C4A9D" w:rsidRDefault="005C4A9D" w:rsidP="00382943">
      <w:pPr>
        <w:spacing w:after="0" w:line="240" w:lineRule="auto"/>
        <w:jc w:val="both"/>
        <w:rPr>
          <w:rFonts w:ascii="Sylfaen" w:eastAsia="Arial Unicode MS" w:hAnsi="Sylfaen"/>
          <w:noProof/>
          <w:lang w:val="ka-GE"/>
        </w:rPr>
      </w:pPr>
    </w:p>
    <w:p w14:paraId="09186C89"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4.2 დოზირება და მიღების წესი</w:t>
      </w:r>
    </w:p>
    <w:p w14:paraId="09087D05"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მკურნალობის დაწყებამდე პაციენტი უნდა გადაიყვანონ სტანდარტულ ქოლესტერინის დამწევ დიეტაზე, რომელიც უნდა გაგრძელდეს მკურნალობის განმავლობაში. დოზა უნდა შეირჩეს ინდივიდუალურად თერაპიის მიზნისა და პაციენტის რეაქციის მიხედვით, მიმდინარე კონსენსუსის სახელმძღვანელო პრინციპების გამოყენებით.</w:t>
      </w:r>
    </w:p>
    <w:p w14:paraId="632A130D" w14:textId="77777777" w:rsidR="002A7CB3" w:rsidRPr="005C4A9D" w:rsidRDefault="002A7CB3" w:rsidP="00382943">
      <w:pPr>
        <w:spacing w:after="0" w:line="240" w:lineRule="auto"/>
        <w:jc w:val="both"/>
        <w:rPr>
          <w:rFonts w:ascii="Sylfaen" w:eastAsia="Arial Unicode MS" w:hAnsi="Sylfaen"/>
          <w:noProof/>
          <w:lang w:val="ka-GE"/>
        </w:rPr>
      </w:pPr>
    </w:p>
    <w:p w14:paraId="25B0D39A"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შეიძლება მიღებულ იქნას დღის ნებისმიერ დროს, საკვებთან ერთად ან მის გარეშე.</w:t>
      </w:r>
    </w:p>
    <w:p w14:paraId="3F5DF8FF" w14:textId="77777777" w:rsidR="002A7CB3" w:rsidRPr="005C4A9D" w:rsidRDefault="002A7CB3" w:rsidP="00382943">
      <w:pPr>
        <w:spacing w:after="0" w:line="240" w:lineRule="auto"/>
        <w:jc w:val="both"/>
        <w:rPr>
          <w:rFonts w:ascii="Sylfaen" w:eastAsia="Arial Unicode MS" w:hAnsi="Sylfaen"/>
          <w:noProof/>
          <w:lang w:val="ka-GE"/>
        </w:rPr>
      </w:pPr>
    </w:p>
    <w:p w14:paraId="0BB289EC"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ჰიპერქოლესტერინემიის მკურნალობა</w:t>
      </w:r>
    </w:p>
    <w:p w14:paraId="5B61E771"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რეკომენდებული საწყისი დოზაა 5 ან 10 მგ პერორალურად, დღეში ერთხელ, როგორც სტატინების ადრე მიღების გარეშე, ასევე სხვა HMG CoA რედუქტაზას ინჰიბიტორიდან გადასულ პაციენტებში. საწყისი დოზის არჩევისას უნდა გაითვალისწინონ პაციენტის ინდივიდუალური ქოლესტერინის დონე და შესაძლო გულ-სისხლძარღვთა რისკი, ასევე გვერდითი რეაქციების პოტენციური რისკი (იხილეთ ქვემოთ). საჭიროების შემთხვევაში, დოზის შემდეგი დონის კორექტირება შესაძლებელია 4 კვირის შემდეგ (იხილეთ ნაწილი 5.1). 40 მგ დოზის მიღებისას გვერდითი რეაქციების გაზრდილი შემთხვევების გათვალისწინებით, უფრო დაბალ დოზებთან შედარებით (იხილეთ ნაწილი 4.8), საბოლოო ტიტრაცია მაქსიმალურ დოზამდე 40 მგ უნდა განიხილებოდეს მხოლოდ იმ პაციენტებში, რომლებსაც აქვთ მძიმე ჰიპერქოლესტერინემია მაღალი გულ-სისხლძარღვთა რისკით (განსაკუთრებით ოჯახური ჰიპერქოლესტერინემიის მქონე პირები), რომლებიც ვერ აღწევენ მკურნალობის მიზანს 20 მგ-ით და </w:t>
      </w:r>
      <w:r w:rsidRPr="005C4A9D">
        <w:rPr>
          <w:rFonts w:ascii="Sylfaen" w:eastAsia="Arial Unicode MS" w:hAnsi="Sylfaen"/>
          <w:noProof/>
          <w:lang w:val="ka-GE"/>
        </w:rPr>
        <w:lastRenderedPageBreak/>
        <w:t>რომლებშიც ჩატარდება რუტინული დაკვირვება (იხილეთ ნაწილი 4.4). 40 მგ დოზით დაწყებისას რეკომენდებულია სპეციალისტის მეთვალყურეობა.</w:t>
      </w:r>
    </w:p>
    <w:p w14:paraId="38CC2EED" w14:textId="77777777" w:rsidR="002A7CB3" w:rsidRPr="005C4A9D" w:rsidRDefault="002A7CB3" w:rsidP="00382943">
      <w:pPr>
        <w:spacing w:after="0" w:line="240" w:lineRule="auto"/>
        <w:jc w:val="both"/>
        <w:rPr>
          <w:rFonts w:ascii="Sylfaen" w:eastAsia="Arial Unicode MS" w:hAnsi="Sylfaen"/>
          <w:noProof/>
          <w:lang w:val="ka-GE"/>
        </w:rPr>
      </w:pPr>
    </w:p>
    <w:p w14:paraId="55F8C98B"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გულ-სისხლძარღვთა მოვლენების პრევენცია</w:t>
      </w:r>
    </w:p>
    <w:p w14:paraId="4458BE20"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გულ-სისხლძარღვთა მოვლენების რისკის შემცირების კვლევაში გამოყენებული დოზა იყო 20 მგ დღეში (იხილეთ ნაწილი 5.1).</w:t>
      </w:r>
    </w:p>
    <w:p w14:paraId="1D1A83A5" w14:textId="77777777" w:rsidR="004F2B53" w:rsidRPr="005C4A9D" w:rsidRDefault="004F2B53" w:rsidP="00382943">
      <w:pPr>
        <w:spacing w:after="0" w:line="240" w:lineRule="auto"/>
        <w:jc w:val="both"/>
        <w:rPr>
          <w:rFonts w:ascii="Sylfaen" w:eastAsia="Arial Unicode MS" w:hAnsi="Sylfaen"/>
          <w:noProof/>
          <w:lang w:val="ka-GE"/>
        </w:rPr>
      </w:pPr>
    </w:p>
    <w:p w14:paraId="1B82A94B"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პედიატრიული პოპულაცია</w:t>
      </w:r>
    </w:p>
    <w:p w14:paraId="504A01B5" w14:textId="77777777" w:rsidR="002A7CB3"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პედიატრიული გამოყენება უნდა განხორციელდეს მხოლოდ სპეციალისტების მიერ. </w:t>
      </w:r>
    </w:p>
    <w:p w14:paraId="7EA569A6" w14:textId="0C31099A" w:rsidR="00B06C4A" w:rsidRPr="002A7CB3" w:rsidRDefault="00B06C4A" w:rsidP="00382943">
      <w:pPr>
        <w:spacing w:after="0" w:line="240" w:lineRule="auto"/>
        <w:jc w:val="both"/>
        <w:rPr>
          <w:rFonts w:ascii="Sylfaen" w:eastAsia="Arial Unicode MS" w:hAnsi="Sylfaen"/>
          <w:i/>
          <w:iCs/>
          <w:noProof/>
          <w:lang w:val="ka-GE"/>
        </w:rPr>
      </w:pPr>
      <w:r w:rsidRPr="002A7CB3">
        <w:rPr>
          <w:rFonts w:ascii="Sylfaen" w:eastAsia="Arial Unicode MS" w:hAnsi="Sylfaen"/>
          <w:i/>
          <w:iCs/>
          <w:noProof/>
          <w:lang w:val="ka-GE"/>
        </w:rPr>
        <w:t>6-დან 17 წლამდე ასაკის ბავშვები და მოზარდები (ტანერის სტადია &lt;II-V)</w:t>
      </w:r>
    </w:p>
    <w:p w14:paraId="2AD3097B" w14:textId="77777777" w:rsidR="00B06C4A" w:rsidRPr="002A7CB3" w:rsidRDefault="00B06C4A" w:rsidP="00382943">
      <w:pPr>
        <w:spacing w:after="0" w:line="240" w:lineRule="auto"/>
        <w:jc w:val="both"/>
        <w:rPr>
          <w:rFonts w:ascii="Sylfaen" w:eastAsia="Arial Unicode MS" w:hAnsi="Sylfaen"/>
          <w:i/>
          <w:iCs/>
          <w:noProof/>
          <w:lang w:val="ka-GE"/>
        </w:rPr>
      </w:pPr>
      <w:r w:rsidRPr="002A7CB3">
        <w:rPr>
          <w:rFonts w:ascii="Sylfaen" w:eastAsia="Arial Unicode MS" w:hAnsi="Sylfaen"/>
          <w:i/>
          <w:iCs/>
          <w:noProof/>
          <w:lang w:val="ka-GE"/>
        </w:rPr>
        <w:t>ჰეტეროზიგოტური ოჯახური ჰიპერქოლესტერინემია</w:t>
      </w:r>
    </w:p>
    <w:p w14:paraId="7D1F770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ჰეტეროზიგოტური ოჯახური ჰიპერქოლესტერინემიის მქონე ბავშვებსა და მოზარდებში ჩვეულებრივი საწყისი დოზაა 5 მგ დღეში.</w:t>
      </w:r>
    </w:p>
    <w:p w14:paraId="3B26C62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6-დან 9 წლამდე ასაკის ბავშვებში ჰეტეროზიგოტური ოჯახური ჰიპერქოლესტერინემიით, ჩვეულებრივი დოზის დიაპაზონი არის 5-10 მგ პერორალურად დღეში ერთხელ. 10 მგ-ზე მეტი დოზების უსაფრთხოება და ეფექტურობა ამ პოპულაციაში არ არის შესწავლილი.</w:t>
      </w:r>
    </w:p>
    <w:p w14:paraId="598C8209"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10-დან 17 წლამდე ასაკის ბავშვებში ჰეტეროზიგოტური ოჯახური ჰიპერქოლესტერინემიით, ჩვეულებრივი დოზის დიაპაზონი არის 5-20 მგ პერორალურად დღეში ერთხელ. 20 მგ-ზე მეტი დოზების უსაფრთხოება და ეფექტურობა ამ პოპულაციაში არ არის შესწავლილი.</w:t>
      </w:r>
    </w:p>
    <w:p w14:paraId="5262E34E" w14:textId="77777777" w:rsidR="002A7CB3"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ტიტრაცია უნდა ჩატარდეს პედიატრიულ პაციენტებში ინდივიდუალური რეაქციისა და ტოლერანტობის მიხედვით, პედიატრიული მკურნალობის რეკომენდაციების შესაბამისად (იხ. ნაწილი 4.4). როზუვასტატინით მკურნალობის დაწყებამდე ბავშვებს და მოზარდებს უნდა დაენიშნოთ სტანდარტული ქოლესტერინის დონის დამწევი დიეტა; ეს დიეტა უნდა გაგრძელდეს როზუვასტატინით მკურნალობის დროს. </w:t>
      </w:r>
    </w:p>
    <w:p w14:paraId="7E657220" w14:textId="42304F66" w:rsidR="00B06C4A" w:rsidRPr="002A7CB3" w:rsidRDefault="00B06C4A" w:rsidP="00382943">
      <w:pPr>
        <w:spacing w:after="0" w:line="240" w:lineRule="auto"/>
        <w:jc w:val="both"/>
        <w:rPr>
          <w:rFonts w:ascii="Sylfaen" w:eastAsia="Arial Unicode MS" w:hAnsi="Sylfaen"/>
          <w:i/>
          <w:iCs/>
          <w:noProof/>
          <w:lang w:val="ka-GE"/>
        </w:rPr>
      </w:pPr>
      <w:r w:rsidRPr="002A7CB3">
        <w:rPr>
          <w:rFonts w:ascii="Sylfaen" w:eastAsia="Arial Unicode MS" w:hAnsi="Sylfaen"/>
          <w:i/>
          <w:iCs/>
          <w:noProof/>
          <w:lang w:val="ka-GE"/>
        </w:rPr>
        <w:t>ჰომოზიგოტური ოჯახური ჰიპერქოლესტერინემია</w:t>
      </w:r>
    </w:p>
    <w:p w14:paraId="14D8342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6-დან 17 წლამდე ასაკის ბავშვებში, რომლებსაც აღენიშნებათ ჰომოზიგოტური ოჯახური ჰიპერქოლესტერინემია, რეკომენდებული მაქსიმალური დოზაა 20 მგ დღეში ერთხელ.</w:t>
      </w:r>
    </w:p>
    <w:p w14:paraId="45569A9C"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რეკომენდებულია საწყისი დოზა 5-დან 10 მგ-მდე დღეში ერთხელ, ასაკის, წონის და სტატინების წინა გამოყენების მიხედვით. ტიტრაცია მაქსიმალურ 20 მგ დღეში ერთხელ დოზამდე, უნდა მოხდეს პედიატრიულ პაციენტებში ინდივიდუალური რეაქციისა და ტოლერანტობის მიხედვით, პედიატრიული მკურნალობის რეკომენდაციების შესაბამისად (იხ. ნაწილი 4.4). როზუვასტატინით მკურნალობის დაწყებამდე ბავშვებს და მოზარდებს უნდა დაენიშნოთ სტანდარტული ქოლესტერინის დამწევი დიეტა; ეს დიეტა უნდა გაგრძელდეს როზუვასტატინით მკურნალობის დროსაც.</w:t>
      </w:r>
    </w:p>
    <w:p w14:paraId="26761A9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ამ პოპულაციაში 20 მგ-ის გარდა სხვა დოზების გამოყენების გამოცდილება შეზღუდულია.</w:t>
      </w:r>
    </w:p>
    <w:p w14:paraId="1BE76E2C"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40 მგ ტაბლეტი არ არის შესაფერისი პედიატრიულ პაციენტებში გამოსაყენებლად.</w:t>
      </w:r>
    </w:p>
    <w:p w14:paraId="187A5ADD" w14:textId="77777777" w:rsidR="00B06C4A" w:rsidRPr="00C41412" w:rsidRDefault="00B06C4A" w:rsidP="00382943">
      <w:pPr>
        <w:spacing w:after="0" w:line="240" w:lineRule="auto"/>
        <w:jc w:val="both"/>
        <w:rPr>
          <w:rFonts w:ascii="Sylfaen" w:eastAsia="Arial Unicode MS" w:hAnsi="Sylfaen"/>
          <w:i/>
          <w:iCs/>
          <w:noProof/>
          <w:lang w:val="ka-GE"/>
        </w:rPr>
      </w:pPr>
      <w:r w:rsidRPr="00C41412">
        <w:rPr>
          <w:rFonts w:ascii="Sylfaen" w:eastAsia="Arial Unicode MS" w:hAnsi="Sylfaen"/>
          <w:i/>
          <w:iCs/>
          <w:noProof/>
          <w:lang w:val="ka-GE"/>
        </w:rPr>
        <w:t>6 წლამდე ასაკის ბავშვები</w:t>
      </w:r>
    </w:p>
    <w:p w14:paraId="28FC91B3"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6 წლამდე ასაკის ბავშვებში გამოყენების უსაფრთხოება და ეფექტურობა არ არის შესწავლილი. ამიტომ, სიროსტინი 20 არ არის რეკომენდებული 6 წლამდე ასაკის ბავშვებში გამოსაყენებლად.</w:t>
      </w:r>
    </w:p>
    <w:p w14:paraId="31B89408" w14:textId="77777777" w:rsidR="004F2B53" w:rsidRPr="005C4A9D" w:rsidRDefault="004F2B53" w:rsidP="00382943">
      <w:pPr>
        <w:spacing w:after="0" w:line="240" w:lineRule="auto"/>
        <w:jc w:val="both"/>
        <w:rPr>
          <w:rFonts w:ascii="Sylfaen" w:eastAsia="Arial Unicode MS" w:hAnsi="Sylfaen"/>
          <w:noProof/>
          <w:lang w:val="ka-GE"/>
        </w:rPr>
      </w:pPr>
    </w:p>
    <w:p w14:paraId="7C6E4974"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გამოყენება ხანდაზმულებში</w:t>
      </w:r>
    </w:p>
    <w:p w14:paraId="2E04E7A5"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70 წელზე უფროსი ასაკის პაციენტებში რეკომენდებულია 5 მგ საწყისი დოზა (იხ. ნაწილი 4.4). ასაკის მიხედვით დოზის სხვა კორექცია საჭირო არ არის.</w:t>
      </w:r>
    </w:p>
    <w:p w14:paraId="400B2342" w14:textId="77777777" w:rsidR="004F2B53" w:rsidRPr="005C4A9D" w:rsidRDefault="004F2B53" w:rsidP="00382943">
      <w:pPr>
        <w:spacing w:after="0" w:line="240" w:lineRule="auto"/>
        <w:jc w:val="both"/>
        <w:rPr>
          <w:rFonts w:ascii="Sylfaen" w:eastAsia="Arial Unicode MS" w:hAnsi="Sylfaen"/>
          <w:noProof/>
          <w:lang w:val="ka-GE"/>
        </w:rPr>
      </w:pPr>
    </w:p>
    <w:p w14:paraId="0D376C34"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დოზირება თირკმლის უკმარისობის მქონე პაციენტებში</w:t>
      </w:r>
    </w:p>
    <w:p w14:paraId="223EB067"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თირკმლის მსუბუქი და საშუალო უკმარისობის მქონე პაციენტებში დოზის კორექცია საჭირო არ არის. თირკმლის საშუალო უკმარისობის მქონე პაციენტებში რეკომენდებული საწყისი დოზაა 5 მგ (კრეატინინის კლირენსი &lt;60 მლ/წთ). 40 მგ დოზა უკუნაჩვენებია თირკმლის საშუალო უკმარისობის  მქონე პაციენტებში. სიროსტინი 20-ის გამოყენება თირკმლის მძიმე უკმარისობის მქონე პაციენტებში უკუნაჩვენებია ყველა დოზისთვის (იხ. ნაწილები 4.3 და 5.2).</w:t>
      </w:r>
    </w:p>
    <w:p w14:paraId="700133E2" w14:textId="77777777" w:rsidR="004F2B53" w:rsidRPr="005C4A9D" w:rsidRDefault="004F2B53" w:rsidP="00382943">
      <w:pPr>
        <w:spacing w:after="0" w:line="240" w:lineRule="auto"/>
        <w:jc w:val="both"/>
        <w:rPr>
          <w:rFonts w:ascii="Sylfaen" w:eastAsia="Arial Unicode MS" w:hAnsi="Sylfaen"/>
          <w:noProof/>
          <w:lang w:val="ka-GE"/>
        </w:rPr>
      </w:pPr>
    </w:p>
    <w:p w14:paraId="5A022B05"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დოზირება ღვიძლის უკმარისობის მქონე პაციენტებში</w:t>
      </w:r>
    </w:p>
    <w:p w14:paraId="20394339"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lastRenderedPageBreak/>
        <w:t>როზუვასტატინის სისტემური ზემოქმედების ზრდა არ დაფიქსირებულა ჩაილდ-პიუს 7 ან უფრო დაბალი ქულის მქონე სუბიექტებში. თუმცა, სისტემური ზემოქმედების გაზრდა დაფიქსირდა ჩაილდ-პიუს 8 და 9 ქულის მქონე სუბიექტებში (იხ. ნაწილი 5.2). ამ პაციენტებში უნდა განიხილებოდეს თირკმლის ფუნქციის შეფასება (იხ. ნაწილი 4.4). არ არსებობს გამოცდილება ჩაილდ-პიუს 9-ზე მეტი ქულის მქონე სუბიექტებში. სიროსტინი 20 უკუნაჩვენებია ღვიძლის აქტიური დაავადების მქონე პაციენტებში (იხ. ნაწილი 4.3).</w:t>
      </w:r>
    </w:p>
    <w:p w14:paraId="4C080892" w14:textId="77777777" w:rsidR="004F2B53" w:rsidRPr="005C4A9D" w:rsidRDefault="004F2B53" w:rsidP="00382943">
      <w:pPr>
        <w:spacing w:after="0" w:line="240" w:lineRule="auto"/>
        <w:jc w:val="both"/>
        <w:rPr>
          <w:rFonts w:ascii="Sylfaen" w:eastAsia="Arial Unicode MS" w:hAnsi="Sylfaen"/>
          <w:noProof/>
          <w:lang w:val="ka-GE"/>
        </w:rPr>
      </w:pPr>
    </w:p>
    <w:p w14:paraId="4FD4A478"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რასა</w:t>
      </w:r>
    </w:p>
    <w:p w14:paraId="2BB6635D"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სისტემური ზემოქმედების გაზრდა დაფიქსირდა აზიელ სუბიექტებში (იხ. ნაწილები 4.3, 4.4 და 5.2). აზიური წარმოშობის პაციენტებისთვის რეკომენდებული საწყისი დოზაა 5 მგ. ამ პაციენტებში 40 მგ დოზა უკუნაჩვენებია.</w:t>
      </w:r>
    </w:p>
    <w:p w14:paraId="35007609" w14:textId="77777777" w:rsidR="004F2B53" w:rsidRPr="005C4A9D" w:rsidRDefault="004F2B53" w:rsidP="00382943">
      <w:pPr>
        <w:spacing w:after="0" w:line="240" w:lineRule="auto"/>
        <w:jc w:val="both"/>
        <w:rPr>
          <w:rFonts w:ascii="Sylfaen" w:eastAsia="Arial Unicode MS" w:hAnsi="Sylfaen"/>
          <w:noProof/>
          <w:lang w:val="ka-GE"/>
        </w:rPr>
      </w:pPr>
    </w:p>
    <w:p w14:paraId="0F0EC37A"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გენეტიკური პოლიმორფიზმები</w:t>
      </w:r>
    </w:p>
    <w:p w14:paraId="446DC6E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როზუვასტატინის ზემოქმედების ზრდასთან ასოცირდება SLCO1B1 (OATP1B1) c.521CC და ABCG2 (BCRP) c.421AA გენოტიპები. პაციენტებისთვის, რომლებსაც აქვთ c.521CC ან c.421AA გენოტიპი, რეკომენდებულია სიროსტინი 20-ის რეკომენდებული დოზის ნახევარი და მაქსიმალური დღიური დოზა 20 მგ (იხ. ნაწილები 4.4, 4.5 და 5.2).</w:t>
      </w:r>
    </w:p>
    <w:p w14:paraId="4273A258" w14:textId="77777777" w:rsidR="00B06C4A" w:rsidRPr="005C4A9D" w:rsidRDefault="00B06C4A" w:rsidP="00382943">
      <w:pPr>
        <w:spacing w:after="0" w:line="240" w:lineRule="auto"/>
        <w:jc w:val="both"/>
        <w:rPr>
          <w:rFonts w:ascii="Sylfaen" w:eastAsia="Arial Unicode MS" w:hAnsi="Sylfaen"/>
          <w:noProof/>
          <w:lang w:val="ka-GE"/>
        </w:rPr>
      </w:pPr>
    </w:p>
    <w:p w14:paraId="6927E66E"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დოზირება მიოპათიისადმი წინასწარი მიდრეკილების მქონე პაციენტებში</w:t>
      </w:r>
    </w:p>
    <w:p w14:paraId="3ABFE95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რეკომენდებული საწყისი დოზაა 5 მგ მიოპათიისადმი წინასწარი მიდრეკილების მქონე პაციენტებში (იხ. ნაწილი 4.4).</w:t>
      </w:r>
    </w:p>
    <w:p w14:paraId="6F67B79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40 მგ დოზა უკუნაჩვენებია ამ პაციენტთაგან ზოგიერთში (იხ. ნაწილი 4.3).</w:t>
      </w:r>
    </w:p>
    <w:p w14:paraId="78FA5DBD" w14:textId="77777777" w:rsidR="00B06C4A" w:rsidRPr="005C4A9D" w:rsidRDefault="00B06C4A" w:rsidP="00382943">
      <w:pPr>
        <w:spacing w:after="0" w:line="240" w:lineRule="auto"/>
        <w:jc w:val="both"/>
        <w:rPr>
          <w:rFonts w:ascii="Sylfaen" w:eastAsia="Arial Unicode MS" w:hAnsi="Sylfaen"/>
          <w:b/>
          <w:noProof/>
          <w:lang w:val="ka-GE"/>
        </w:rPr>
      </w:pPr>
    </w:p>
    <w:p w14:paraId="37EB05AF"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თანმხლები თერაპია</w:t>
      </w:r>
    </w:p>
    <w:p w14:paraId="4E45E550" w14:textId="4951E43D"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როზუვასტატინი არის სხვადასხვა ტრანსპორტიორი ცილების სუბსტრატი (მაგ. OATP1B1 და BCRP). მიოპათიის (მათ შორის რაბდომიოლიზის) რისკი იზრდება, როდესაც სიროსტინი 20 მიიღება გარკვეულ სამკურნალო საშუალებებთან ერთად, რომლებმაც შეიძლება გაზარდონ როზუვასტატინის პლაზმური კონცენტრაცია ამ ტრანსპორტიორ ცილებთან ურთიერთქმედების გამო (მაგ., ციკლოსპორინი, ტიკაგრელორი და პროტეაზას გარკვეული ინჰიბიტორები, მათ შორის რიტონავირის კომბინაციები ატაზანავირთან, ლოპინავირთან და/ან ტიპრანავირთან; იხილეთ ნაწილები 4.4 და 4.5). შესაძლებლობის შემთხვევაში, უნდა განიხილონ ალტერნატიული მედიკამენტები და, საჭიროების შემთხვევაში, განიხილონ სიროსტინი 20-ით თერაპიის დროებით შეწყვეტის საკითხი. იმ შემთხვევებში, როდესაც ამ სამკურნალო საშუალებების სიროსტინი 20-თან ერთად მიღება გარდაუვალია, ყურადღებით უნდა იქნას განხილული სიროსტინი 20-ით ერთდროული მკურნალობის </w:t>
      </w:r>
      <w:r w:rsidR="006732D2">
        <w:rPr>
          <w:rFonts w:ascii="Sylfaen" w:eastAsia="Arial Unicode MS" w:hAnsi="Sylfaen"/>
          <w:noProof/>
          <w:lang w:val="ka-GE"/>
        </w:rPr>
        <w:t xml:space="preserve">და დოზის კორექტირების </w:t>
      </w:r>
      <w:r w:rsidRPr="005C4A9D">
        <w:rPr>
          <w:rFonts w:ascii="Sylfaen" w:eastAsia="Arial Unicode MS" w:hAnsi="Sylfaen"/>
          <w:noProof/>
          <w:lang w:val="ka-GE"/>
        </w:rPr>
        <w:t>სარგებელი და რისკი</w:t>
      </w:r>
      <w:r w:rsidR="00C01AFB">
        <w:rPr>
          <w:rFonts w:ascii="Sylfaen" w:eastAsia="Arial Unicode MS" w:hAnsi="Sylfaen"/>
          <w:noProof/>
          <w:lang w:val="ka-GE"/>
        </w:rPr>
        <w:t xml:space="preserve"> </w:t>
      </w:r>
      <w:r w:rsidRPr="005C4A9D">
        <w:rPr>
          <w:rFonts w:ascii="Sylfaen" w:eastAsia="Arial Unicode MS" w:hAnsi="Sylfaen"/>
          <w:noProof/>
          <w:lang w:val="ka-GE"/>
        </w:rPr>
        <w:t>(იხილეთ ნაწილი 4.5).</w:t>
      </w:r>
    </w:p>
    <w:p w14:paraId="6A7B06A0" w14:textId="77777777" w:rsidR="00B06C4A" w:rsidRPr="005C4A9D" w:rsidRDefault="00B06C4A" w:rsidP="00382943">
      <w:pPr>
        <w:spacing w:after="0" w:line="240" w:lineRule="auto"/>
        <w:jc w:val="both"/>
        <w:rPr>
          <w:rFonts w:ascii="Sylfaen" w:eastAsia="Arial Unicode MS" w:hAnsi="Sylfaen"/>
          <w:noProof/>
          <w:lang w:val="ka-GE"/>
        </w:rPr>
      </w:pPr>
    </w:p>
    <w:p w14:paraId="0CBA1CCB"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4.3 უკუჩვენებები</w:t>
      </w:r>
    </w:p>
    <w:p w14:paraId="5AEF441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უკუნაჩვენებია:</w:t>
      </w:r>
    </w:p>
    <w:p w14:paraId="281487A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რომლებსაც აღენიშნებათ მომატებული მგრძნობელობა როზუვასტატინის ან რომელიმე დამხმარე ნივთიერების მიმართ.</w:t>
      </w:r>
    </w:p>
    <w:p w14:paraId="36A56604"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ღვიძლის აქტიური დაავადებით, მათ შორის შრატის ტრანსამინაზების აუხსნელი, მუდმივი მომატებით და შრატის ტრანსამინაზების ნებისმიერი მომატებით, რომელიც აღემატება ნორმის ზედა ზღვარს (ULN) 3-ჯერ.</w:t>
      </w:r>
    </w:p>
    <w:p w14:paraId="02477874" w14:textId="44E5CE48"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თირკმ</w:t>
      </w:r>
      <w:r w:rsidR="006732D2">
        <w:rPr>
          <w:rFonts w:ascii="Sylfaen" w:eastAsia="Arial Unicode MS" w:hAnsi="Sylfaen"/>
          <w:noProof/>
          <w:lang w:val="ka-GE"/>
        </w:rPr>
        <w:t>ე</w:t>
      </w:r>
      <w:r w:rsidRPr="005C4A9D">
        <w:rPr>
          <w:rFonts w:ascii="Sylfaen" w:eastAsia="Arial Unicode MS" w:hAnsi="Sylfaen"/>
          <w:noProof/>
          <w:lang w:val="ka-GE"/>
        </w:rPr>
        <w:t>ლ</w:t>
      </w:r>
      <w:r w:rsidR="006732D2">
        <w:rPr>
          <w:rFonts w:ascii="Sylfaen" w:eastAsia="Arial Unicode MS" w:hAnsi="Sylfaen"/>
          <w:noProof/>
          <w:lang w:val="ka-GE"/>
        </w:rPr>
        <w:t>ებ</w:t>
      </w:r>
      <w:r w:rsidRPr="005C4A9D">
        <w:rPr>
          <w:rFonts w:ascii="Sylfaen" w:eastAsia="Arial Unicode MS" w:hAnsi="Sylfaen"/>
          <w:noProof/>
          <w:lang w:val="ka-GE"/>
        </w:rPr>
        <w:t>ის მძიმე უკმარისობით (კრეატინინის კლირენსი &lt;30 მლ/წთ).</w:t>
      </w:r>
    </w:p>
    <w:p w14:paraId="0AE4BB2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მიოპათიით.</w:t>
      </w:r>
    </w:p>
    <w:p w14:paraId="03EDA0A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რომლებიც ერთდროულად იღებენ სოფოსბუვირის/ველპატასვირის/ვოქსილაპრევირის კომბინაციას (იხ. ნაწილი 4.5).</w:t>
      </w:r>
    </w:p>
    <w:p w14:paraId="4E39792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პაციენტებში, რომლებიც ერთდროულად იღებენ ციკლოსპორინს.</w:t>
      </w:r>
    </w:p>
    <w:p w14:paraId="0DE8E0B4"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ორსულობისა და ლაქტაციის პერიოდში და რეპროდუქციული ასაკის ქალებში, რომლებიც არ იყენებენ შესაბამის კონტრაცეპციულ ზომებს.</w:t>
      </w:r>
    </w:p>
    <w:p w14:paraId="3A0113A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40 მგ დოზა უკუნაჩვენებია პაციენტებში, რომლებსაც აქვთ მიოპათიის/რაბდომიოლიზის წინასწარი მიდრეკილების ფაქტორები. ასეთი ფაქტორებია:</w:t>
      </w:r>
    </w:p>
    <w:p w14:paraId="565D068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lastRenderedPageBreak/>
        <w:t>- თირკმლის ზომიერი უკმარისობა (კრეატინინის კლირენსი &lt; 60 მლ/წთ)</w:t>
      </w:r>
    </w:p>
    <w:p w14:paraId="49D1313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ჰიპოთირეოზი</w:t>
      </w:r>
    </w:p>
    <w:p w14:paraId="795A6E6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მემკვიდრეობითი კუნთოვანი დარღვევების პირადი ან ოჯახური ისტორია</w:t>
      </w:r>
    </w:p>
    <w:p w14:paraId="1D49B08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კუნთოვანი ტოქსიკურობის წინა ისტორია HMG-CoA რედუქტაზას სხვა ინჰიბიტორის ან ფიბრატის გამოყენებისას</w:t>
      </w:r>
    </w:p>
    <w:p w14:paraId="2F05AF2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ალკოჰოლის ბოროტად გამოყენება</w:t>
      </w:r>
    </w:p>
    <w:p w14:paraId="081DB7B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სიტუაციები, როდესაც შეიძლება მოხდეს პლაზმური დონის მომატება</w:t>
      </w:r>
    </w:p>
    <w:p w14:paraId="771E096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აზიელი პაციენტები</w:t>
      </w:r>
    </w:p>
    <w:p w14:paraId="565B7C0C"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ფიბრატების თანმხლები გამოყენება.</w:t>
      </w:r>
    </w:p>
    <w:p w14:paraId="0EB2CB14"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(იხილეთ ნაწილები 4.4, 4.5 და 5.2)</w:t>
      </w:r>
    </w:p>
    <w:p w14:paraId="33910BEF" w14:textId="77777777" w:rsidR="005C4A9D" w:rsidRPr="005C4A9D" w:rsidRDefault="005C4A9D" w:rsidP="00382943">
      <w:pPr>
        <w:spacing w:after="0" w:line="240" w:lineRule="auto"/>
        <w:jc w:val="both"/>
        <w:rPr>
          <w:rFonts w:ascii="Sylfaen" w:eastAsia="Arial Unicode MS" w:hAnsi="Sylfaen"/>
          <w:noProof/>
          <w:lang w:val="ka-GE"/>
        </w:rPr>
      </w:pPr>
    </w:p>
    <w:p w14:paraId="7C257542"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4.4 განსაკუთრებული გაფრთხილებები და სიფრთხილის ზომები გამოყენებისას</w:t>
      </w:r>
    </w:p>
    <w:p w14:paraId="4410719E" w14:textId="77777777" w:rsidR="00B06C4A" w:rsidRPr="006732D2" w:rsidRDefault="00B06C4A" w:rsidP="00382943">
      <w:pPr>
        <w:spacing w:after="0" w:line="240" w:lineRule="auto"/>
        <w:jc w:val="both"/>
        <w:rPr>
          <w:rFonts w:ascii="Sylfaen" w:eastAsia="Arial Unicode MS" w:hAnsi="Sylfaen"/>
          <w:i/>
          <w:iCs/>
          <w:noProof/>
          <w:lang w:val="ka-GE"/>
        </w:rPr>
      </w:pPr>
      <w:r w:rsidRPr="006732D2">
        <w:rPr>
          <w:rFonts w:ascii="Sylfaen" w:eastAsia="Arial Unicode MS" w:hAnsi="Sylfaen"/>
          <w:i/>
          <w:iCs/>
          <w:noProof/>
          <w:lang w:val="ka-GE"/>
        </w:rPr>
        <w:t>თირკმლის ეფექტები</w:t>
      </w:r>
    </w:p>
    <w:p w14:paraId="45E391F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პროტეინურია, რომელიც გამოვლინდა საზომი ჩხირის ტესტირებით და ძირითადად მილაკოვანი წარმოშობისაა, დაფიქსირდა პაციენტებში, რომლებიც მკურნალობდნენ სიროსტინი 20-ის მაღალი დოზებით, კერძოდ 40 მგ-ით, სადაც ის უმეტეს შემთხვევაში გარდამავალი ან წყვეტილი იყო. პროტეინურია არ არის მწვავე ან პროგრესირებადი თირკმლის დაავადების პროგნოზირების მაჩვენებელი (იხილეთ ნაწილი 4.8). პოსტმარკეტინგული გამოყენებისას თირკმლის სერიოზული მოვლენების შესახებ ინფორმაციის მიღების მაჩვენებელი უფრო მაღალია 40 მგ დოზის მიღებისას. თირკმლის ფუნქციის შეფასება უნდა იქნას გათვალისწინებული 40 მგ დოზით ნამკურნალები პაციენტების რუტინული დაკვირვების დროს.</w:t>
      </w:r>
    </w:p>
    <w:p w14:paraId="46647DB6" w14:textId="77777777" w:rsidR="00B06C4A" w:rsidRPr="00511DFC" w:rsidRDefault="00B06C4A" w:rsidP="00382943">
      <w:pPr>
        <w:spacing w:after="0" w:line="240" w:lineRule="auto"/>
        <w:jc w:val="both"/>
        <w:rPr>
          <w:rFonts w:ascii="Sylfaen" w:eastAsia="Arial Unicode MS" w:hAnsi="Sylfaen"/>
          <w:i/>
          <w:iCs/>
          <w:noProof/>
          <w:lang w:val="ka-GE"/>
        </w:rPr>
      </w:pPr>
      <w:r w:rsidRPr="00511DFC">
        <w:rPr>
          <w:rFonts w:ascii="Sylfaen" w:eastAsia="Arial Unicode MS" w:hAnsi="Sylfaen"/>
          <w:i/>
          <w:iCs/>
          <w:noProof/>
          <w:lang w:val="ka-GE"/>
        </w:rPr>
        <w:t>ჩონჩხის კუნთებზე ზემოქმედება</w:t>
      </w:r>
    </w:p>
    <w:p w14:paraId="1837910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ჩონჩხის კუნთებზე ზემოქმედება, მაგ. მიალგია, მიოპათია და, იშვიათად, რაბდომიოლიზი, დაფიქსირდა სიროსტინი 20-ით ნამკურნალებ პაციენტებში ყველა დოზის და განსაკუთრებით &gt;20 მგ დოზირების დროს. რაბდომიოლიზის ძალიან იშვიათი შემთხვევები დაფიქსირდა ეზეტიმიბის HMG-CoA რედუქტაზას ინჰიბიტორებთან კომბინაციაში გამოყენებისას. ფარმაკოდინამიკური ურთიერთქმედება არ შეიძლება გამოირიცხოს (იხ. ნაწილი 4.5) და სიფრთხილეა საჭირო მათი კომბინირებული გამოყენებისას. როგორც სხვა HMG-CoA რედუქტაზას ინჰიბიტორების შემთხვევაში, სიროსტინი 20-თან დაკავშირებული რაბდომიოლიზის შემთხვევების მაჩვენებელი პოსტმარკეტინგული გამოყენებისას უფრო მაღალია 40 მგ დოზის დროს.</w:t>
      </w:r>
    </w:p>
    <w:p w14:paraId="26C462B6"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კრეატინკინაზას გაზომვა</w:t>
      </w:r>
    </w:p>
    <w:p w14:paraId="570BA26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კრეატინკინაზას (CK) გაზომვა არ უნდა მოხდეს ინტენსიური ვარჯიშის შემდეგ ან CK-ს მომატების სავარაუდო ალტერნატიული მიზეზის არსებობისას, რამაც შეიძლება დაარღვიოს შედეგის ინტერპრეტაცია. თუ CK დონე მნიშვნელოვნად მომატებულია საწყის ეტაპზე (&gt;5xULN), დამადასტურებელი ტესტი უნდა ჩატარდეს 5-7 დღის განმავლობაში. თუ განმეორებითი ტესტით დადასტურდება საწყისი კრეატინფოსფაქტანის დონე &gt;5xULN, მკურნალობა არ უნდა დაიწყოს.</w:t>
      </w:r>
    </w:p>
    <w:p w14:paraId="74632648"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მკურნალობის დაწყებამდე</w:t>
      </w:r>
    </w:p>
    <w:p w14:paraId="1AC08D9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ისევე როგორც სხვა HMG-CoA რედუქტაზას ინჰიბიტორები, სიფრთხილით უნდა დაინიშნოს პაციენტებში, რომლებსაც აქვთ მიოპათიის/რაბდომიოლიზის წინასწარი განწყობის ფაქტორები. ასეთი ფაქტორებია:</w:t>
      </w:r>
    </w:p>
    <w:p w14:paraId="6803E5C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თირკმლის ფუნქციის დარღვევა</w:t>
      </w:r>
    </w:p>
    <w:p w14:paraId="789368B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ჰიპოთირეოზი</w:t>
      </w:r>
    </w:p>
    <w:p w14:paraId="4A25621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მემკვიდრეობითი კუნთოვანი დარღვევების პირადი ან ოჯახური ისტორია</w:t>
      </w:r>
    </w:p>
    <w:p w14:paraId="1730E0F4"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კუნთოვანი ტოქსიკურობის წინა ისტორია სხვა HMG-CoA რედუქტაზას ინჰიბიტორის ან ფიბრატის გამოყენებისას</w:t>
      </w:r>
    </w:p>
    <w:p w14:paraId="4932A6E3"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ალკოჰოლის ბოროტად გამოყენება</w:t>
      </w:r>
    </w:p>
    <w:p w14:paraId="37393FC9"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ასაკი &gt;70 წელი</w:t>
      </w:r>
    </w:p>
    <w:p w14:paraId="2A50DC6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სიტუაციები, როდესაც შეიძლება მოხდეს პლაზმური დონის მომატება (იხ. ნაწილები 4.2, 4.5 და 5.2)</w:t>
      </w:r>
    </w:p>
    <w:p w14:paraId="7B2377A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ფიბრატების თანმხლები გამოყენება.</w:t>
      </w:r>
    </w:p>
    <w:p w14:paraId="1AB37DD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ასეთ პაციენტებში მკურნალობის რისკი უნდა შეფასდეს შესაძლო სარგებელთან მიმართებაში და რეკომენდებულია კლინიკური მონიტორინგი. თუ კრეატინფოსფაქტანის დონე მნიშვნელოვნად მომატებულია საწყის ეტაპზე (&gt;5xULN), მკურნალობა არ უნდა დაიწყოს.</w:t>
      </w:r>
    </w:p>
    <w:p w14:paraId="72EF9850" w14:textId="77777777" w:rsidR="00B06C4A" w:rsidRPr="005C4A9D" w:rsidRDefault="00B06C4A" w:rsidP="00382943">
      <w:pPr>
        <w:spacing w:after="0" w:line="240" w:lineRule="auto"/>
        <w:jc w:val="both"/>
        <w:rPr>
          <w:rFonts w:ascii="Sylfaen" w:eastAsia="Arial Unicode MS" w:hAnsi="Sylfaen"/>
          <w:noProof/>
          <w:lang w:val="ka-GE"/>
        </w:rPr>
      </w:pPr>
    </w:p>
    <w:p w14:paraId="6CB334E3"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მკურნალობის დროს</w:t>
      </w:r>
    </w:p>
    <w:p w14:paraId="673E41A0" w14:textId="27A02C60"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პაციენტებს უნდა სთხოვონ დაუყოვნებლივ გააკეთონ შეტყობინება კუნთების აუხსნელი ტკივილის, სისუსტის ან კრუნჩხვების შესახებ, განსაკუთრებით თუ ეს დაკავშირებულია სისუსტესთან ან ცხელებასთან. ამ პაციენტებში უნდა გაიზომოს კრეატინკინაზას დონე. თერაპია უნდა შეწყდეს, თუ კრეატინკინაზას დონე მნიშვნელოვნად მომატებულია (&gt;5xULN) ან თუ კუნთოვანი სიმპტომები მძიმეა და იწვევს ყოველდღიურ დისკომფორტს (მაშინაც კი, თუ კრეატინკინაზას დონე ≤ 5xULN). თუ სიმპტომები გაქრება და კრეატინკინაზას დონე ნორმალურად დაუბრუნდება, მაშინ უნდა განიხილონ სიროსტინი 20-ის ან HMG-CoA რედუქტაზას ალტერნატიული ინჰიბიტორის ხელახლა დანიშვნის საკითხი, ყველაზე დაბალი დოზით და მკაცრი მონიტორინგით. ასიმპტომურ პაციენტებში კრეატინკინაზას დონის რუტინული მონიტორინგი არ არის საჭირო. სტატინებით, მათ შორის როზუვასტატინით, მკურნალობის დროს ან მის შემდეგ, დაფიქსირებულია იმუნური სისტემით განპირობებული ნეკროზული მიოპათიის (IMNM) ძალიან იშვიათი შემთხვევები. IMNM კლინიკურად ხასიათდება პროქსიმალური კუნთების სისუსტით და შრატის კრეატინკინაზას მომატებით, რომელიც გრძელდება სტატინებით მკურნალობის შეწყვეტის მიუხედავად. რამდენიმე შემთხვევაში, სტატინები იწვევენ de novo-ს ან ამძიმებენ უკვე არსებულ მიასთენიას ან თვალის მიასთენიას (იხ. ნაწილი 4.8). სიმპტომების გამწვავების შემთხვევაში, სიროსტინი 20-ის მიღება უნდა შეწყდეს. აღწერილია რეციდივები იმავე ან სხვა სტატინის (ხელახლა) მიღებისას.</w:t>
      </w:r>
      <w:r w:rsidR="000A4E12">
        <w:rPr>
          <w:rFonts w:ascii="Sylfaen" w:eastAsia="Arial Unicode MS" w:hAnsi="Sylfaen"/>
          <w:noProof/>
          <w:lang w:val="ka-GE"/>
        </w:rPr>
        <w:t xml:space="preserve"> </w:t>
      </w:r>
      <w:r w:rsidRPr="005C4A9D">
        <w:rPr>
          <w:rFonts w:ascii="Sylfaen" w:eastAsia="Arial Unicode MS" w:hAnsi="Sylfaen"/>
          <w:noProof/>
          <w:lang w:val="ka-GE"/>
        </w:rPr>
        <w:t>კლინიკურ კვლევებში, სიროსტინი 20-ის და თანმხლები თერაპიის მიმღები პაციენტების მცირე რაოდენობაში ჩონჩხის კუნთებზე ეფექტების გაძლიერების მტკიცებულება არ დაფიქსირებულა. თუმცა, მიოზიტის და მიოპათიის შემთხვევების ზრდა დაფიქსირდა პაციენტებში, რომლებიც იღებდნენ სხვა HMG-CoA რედუქტაზას ინჰიბიტორებს, ფიბრონის მჟავას წარმოებულებთან ერთად, მათ შორის გემფიბროზილს, ციკლოსპორინს, ნიკოტინის მჟავას, აზოლურ სოკოს საწინააღმდეგო საშუალებებს, პროტეაზას ინჰიბიტორებს და მაკროლიდურ ანტიბიოტიკებს. გემფიბროზილი ზრდის მიოპათიის რისკს, როდესაც ერთდროულად მიიღება ზოგიერთ HMG-CoA რედუქტაზას ინჰიბიტორთან. ამიტომ, სიროსტინი 20-ის და გემფიბროზილის კომბინაცია არ არის რეკომენდებული. სიროსტინი 20-ის ფიბრატებთან ან ნიაცინთან კომბინირებული გამოყენების შედეგად ლიპიდების დონის შემდგომი ცვლილებების სარგებელი ფრთხილად უნდა შეფასდეს ასეთი კომბინაციების პოტენციურ რისკებთან შედარებით. 40 მგ დოზა უკუნაჩვენებია ფიბრატის ერთდროული გამოყენებისას (იხ. პუნქტები 4.5 და 4.8).</w:t>
      </w:r>
    </w:p>
    <w:p w14:paraId="5A688891"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არ უნდა იქნას მიღებული ფუზიდის მჟავას სისტემურ ფორმულებთან ერთად ან ფუზიდის მჟავასთან მკურნალობის შეწყვეტიდან 7 დღის განმავლობაში. პაციენტებში, რომლებშიც   ფუზიდის მჟავას სისტემური გამოყენება აუცილებლად ითვლება, სტატინებით მკურნალობა უნდა შეწყდეს ფუზიდის მჟავასთან მკურნალობის მთელი ხანგრძლივობის განმავლობაში. პაციენტებში, რომლებიც იღებენ ფუზიდის მჟავას და სტატინებს კომბინაციაში, არის რაბდომიოლიზის (მათ შორის ზოგიერთი ფატალური) შემთხვევების შესახებ ცნობები (იხ. პუნქტი 4.5). პაციენტებს უნდა ურჩიონ დაუყოვნებლივ მიმართონ ექიმს, თუ ისინი განიცდიან კუნთების სისუსტის, ტკივილის ან მგრძნობელობის რაიმე სიმპტომს. სტატინებით თერაპია შეიძლება განახლდეს ფუზიდის მჟავას ბოლო დოზის მიღებიდან შვიდი დღის შემდეგ. გამონაკლის შემთხვევებში, როდესაც საჭიროა ფუზიდის მჟავას ხანგრძლივი სისტემური გამოყენება, მაგ. მძიმე ინფექციების სამკურნალოდ, სიროსტინი 20-ისა და ფუზიდის მჟავას ერთდროული მიღების აუცილებლობა უნდა განიხილებოდეს მხოლოდ ინდივიდუალურად და მკაცრი სამედიცინო მეთვალყურეობის ქვეშ.</w:t>
      </w:r>
    </w:p>
    <w:p w14:paraId="677540E8" w14:textId="46D32E00" w:rsidR="004F2B53"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არ უნდა იქნას გამოყენებული არცერთ პაციენტში, რომელსაც აქვს მწვავე, სერიოზული მდგომარეობა, რომელიც მიუთითებს მიოპათიაზე ან მიდრეკილია რაბდომიოლიზის შედეგად თირკმლის უკმარისობის განვითარებისკენ (მაგ. სეფსისი, ჰიპოტენზია, დიდი ქირურგიული ჩარევა, ტრავმა, მძიმე მეტაბოლური, ენდოკრინული და ელექტროლიტური დარღვევები; ან უკონტროლო კრუნჩხვები).</w:t>
      </w:r>
    </w:p>
    <w:p w14:paraId="3928E55E"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კანის მძიმე გვერდითი რეაქციები</w:t>
      </w:r>
    </w:p>
    <w:p w14:paraId="5F54EA95" w14:textId="2E989426"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როზუვასტატინის გამოყენებისას აღწერილია კანის მძიმე გვერდითი რეაქციები, მათ შორის სტივენს-ჯონსონის სინდრომი (SJS) და წამლისმიერი რეაქცია ეოზინოფილიით და სისტემური სიმპტომებით (DRESS), რომლებიც შეიძლება იყოს სიცოცხლისთვის საშიში ან ფატალური (იხ. ნაწილი 4.8). დანიშვნის დროს პაციენტებს უნდა ეცნობოთ კანის მძიმე რეაქციების ნიშნებისა და სიმპტომების შესახებ და უნდა იმყოფებოდნენ მჭიდრო მეთვალყურეობის ქვეშ. თუ გამოვლინდა ამ რეაქციის ნიშნები და სიმპტომები, </w:t>
      </w:r>
      <w:r w:rsidRPr="005C4A9D">
        <w:rPr>
          <w:rFonts w:ascii="Sylfaen" w:eastAsia="Arial Unicode MS" w:hAnsi="Sylfaen"/>
          <w:noProof/>
          <w:lang w:val="ka-GE"/>
        </w:rPr>
        <w:lastRenderedPageBreak/>
        <w:t>სიროსტინი 20-ის მიღება დაუყოვნებლივ უნდა შეწყდეს და განხილულ იქნას ალტერნატიული მკურნალობა. თუ პაციენტს სიროსტინ 20-ის გამოყენებისას განუვითარდა სერიოზული რეაქცია, როგორიცაა SJS ან DRESS, სიროსტინი 20-ით მკურნალობა ამ პაციენტში არასდროს არ უნდა განახლდეს.</w:t>
      </w:r>
    </w:p>
    <w:p w14:paraId="57B8415A" w14:textId="2BA575DB"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ღვიძლის</w:t>
      </w:r>
      <w:r w:rsidR="000A4E12">
        <w:rPr>
          <w:rFonts w:ascii="Sylfaen" w:eastAsia="Arial Unicode MS" w:hAnsi="Sylfaen"/>
          <w:i/>
          <w:iCs/>
          <w:noProof/>
          <w:lang w:val="ka-GE"/>
        </w:rPr>
        <w:t>მიერი</w:t>
      </w:r>
      <w:r w:rsidRPr="000A4E12">
        <w:rPr>
          <w:rFonts w:ascii="Sylfaen" w:eastAsia="Arial Unicode MS" w:hAnsi="Sylfaen"/>
          <w:i/>
          <w:iCs/>
          <w:noProof/>
          <w:lang w:val="ka-GE"/>
        </w:rPr>
        <w:t xml:space="preserve"> ეფექტები</w:t>
      </w:r>
    </w:p>
    <w:p w14:paraId="52AFF0C3"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როგორც სხვა HMG-CoA რედუქტაზას ინჰიბიტორების შემთხვევაში, სიროსტინი 20 სიფრთხილით უნდა იქნას გამოყენებული იმ პაციენტებში, რომლებიც ჭარბი რაოდენობით მოიხმარენ ალკოჰოლს და/ან ანამნეზში აქვთ ღვიძლის დაავადება.</w:t>
      </w:r>
    </w:p>
    <w:p w14:paraId="42B4453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რეკომენდებულია ღვიძლის ფუნქციური ტესტების ჩატარება მკურნალობის დაწყებამდე და მისი დაწყებიდან 3 თვის შემდეგ. სიროსტინი 20-ის მიღება უნდა შეწყდეს ან დოზა უნდა შემცირდეს, თუ შრატის ტრანსამინაზების დონე ნორმის ზედა ზღვარს 3-ჯერ აღემატება. პოსტმარკეტინგული გამოყენებისას ღვიძლის სერიოზული მოვლენების (ძირითადად ღვიძლის ტრანსამინაზების მომატება) შემთხვევების მაჩვენებელი უფრო მაღალია 40 მგ დოზის მიღებისას.</w:t>
      </w:r>
    </w:p>
    <w:p w14:paraId="15C36DC7" w14:textId="05A70E94"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ჰიპოთირეოზით ან ნეფროზული სინდრომით გამოწვეული მეორადი ჰიპერქოლესტერინემიის მქონე პაციენტებში, ძირითადი დაავადება უნდა განიკურნოს სიროსტინი 20-ით თერაპიის დაწყებამდე.</w:t>
      </w:r>
    </w:p>
    <w:p w14:paraId="05571FE6"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რასა</w:t>
      </w:r>
    </w:p>
    <w:p w14:paraId="1D0E5AE9" w14:textId="74E70A32"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ფარმაკოკინეტიკური კვლევები აჩვენებს ექსპოზიციის ზრდას აზიელ სუბიექტებში, კავკასიელებთან შედარებით (იხილეთ ნაწილები 4.2, 4.3 და 5.2).</w:t>
      </w:r>
    </w:p>
    <w:p w14:paraId="4AC2707D"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პროტეაზას ინჰიბიტორები</w:t>
      </w:r>
    </w:p>
    <w:p w14:paraId="768008FA" w14:textId="5E7F1679" w:rsidR="00B06C4A" w:rsidRPr="000A4E12"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როზუვასტატინის სისტემური ზემოქმედების მომატება დაფიქსირდა იმ პაციენტებში, რომლებიც როზუვასტატინს რიტონავირთან ერთად სხვადასხვა პროტეაზას ინჰიბიტორებთან ერთად იღებდნენ. გასათვალისწინებელია როგორც სიროსტინი 20-ის გამოყენებით ლიპიდების შემცირების სარგებელი აივ ინფიცირებულ პაციენტებში, რომლებიც პროტეაზას ინჰიბიტორებს იღებენ, ასევე როზუვასტატინის პლაზმური კონცენტრაციების გაზრდის პოტენციალი სიროსტინი 20-ის დოზის დაწყებისა და ტიტრაციის დროს პროტეაზას ინჰიბიტორებით ნამკურნალებ პაციენტებში. გარკვეულ პროტეაზას ინჰიბიტორებთან ერთად გამოყენება რეკომენდებული არ არის, თუ სიროსტინი 20-ის დოზა არ არის კორექტირებული. (იხილეთ ნაწილები 4.2 და 4.5).</w:t>
      </w:r>
    </w:p>
    <w:p w14:paraId="28E55BCD"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ლაქტოზას აუტანლობა</w:t>
      </w:r>
    </w:p>
    <w:p w14:paraId="46B9CD49" w14:textId="4C8E18F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პაციენტებმა, რომლებსაც აქვთ გალაქტოზის აუტანლობის იშვიათი მემკვიდრეობითი პრობლემები, ლაპ ლაქტაზას დეფიციტი ან გლუკოზა-გალაქტოზას მალაბსორბცია, არ უნდა მიიღონ ეს წამალი.</w:t>
      </w:r>
    </w:p>
    <w:p w14:paraId="61054E00"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ფილტვის ინტერსტიციული დაავადება</w:t>
      </w:r>
    </w:p>
    <w:p w14:paraId="21D690E2" w14:textId="0260A2FC"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ფილტვის ინტერსტიციული დაავადების გამონაკლის შემთხვევებში, ზოგიერთი სტატინის გამოყენებისას, განსაკუთრებით ხანგრძლივი თერაპიის დროს, აღწერილია ფილტვის ინტერსტიციული დაავადების შემთხვევები (იხილეთ ნაწილი 4.8). დამახასიათებელი ნიშნები შეიძლება მოიცავდეს ქოშინს, არაპროდუქტიულ ხველას და ზოგადი ჯანმრთელობის გაუარესებას (დაღლილობა, წონის დაკლება და ცხელება). თუ პაციენტს აქვს ფილტვების ინტერსტიციული დაავადება, სტატინებით თერაპია უნდა შეწყდეს.</w:t>
      </w:r>
    </w:p>
    <w:p w14:paraId="3F80E5A0"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შაქრიანი დიაბეტი</w:t>
      </w:r>
    </w:p>
    <w:p w14:paraId="4EF5F574"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ზოგიერთი მტკიცებულება მიუთითებს, რომ სტატინები, როგორც კლასი, ზრდის სისხლში გლუკოზას და ზოგიერთ პაციენტში, რომლებსაც მომავალში დიაბეტის განვითარების მაღალი რისკი აქვთ, შეიძლება გამოიწვიონ ჰიპერგლიკემიის დონე, სადაც დიაბეტის ფორმალური მკურნალობა მიზანშეწონილია. თუმცა, ეს რისკი აჭარბებს სტატინებით სისხლძარღვოვანი რისკის შემცირებას და ამიტომ არ უნდა იყოს სტატინებით მკურნალობის შეწყვეტის მიზეზი. რისკის ქვეშ მყოფი პაციენტები (უზმოზე გლუკოზა 5.6-დან 6.9 მმოლ/ლ-მდე, BMI &gt;30 კგ/მ2, მომატებული ტრიგლიცერიდები, ჰიპერტენზია) უნდა იყვნენ როგორც კლინიკური, ასევე ბიოქიმიური მონიტორინგის, ქვეშ ეროვნული გაიდლაინების შესაბამისად.</w:t>
      </w:r>
    </w:p>
    <w:p w14:paraId="53022E70" w14:textId="50595C90"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JUPITER კვლევაში, შაქრიანი დიაბეტის საერთო სიხშირე იყო 2.8% როზუვასტატინისთვის და 2.3% პლაცებოსთვის, ძირითადად პაციენტებში, რომელთა უზმოზე გლუკოზა იყო 5.6-დან 6.9 მმოლ/ლ-მდე.</w:t>
      </w:r>
    </w:p>
    <w:p w14:paraId="15BC7274" w14:textId="77777777" w:rsidR="00B06C4A" w:rsidRPr="000A4E12" w:rsidRDefault="00B06C4A" w:rsidP="00382943">
      <w:pPr>
        <w:spacing w:after="0" w:line="240" w:lineRule="auto"/>
        <w:jc w:val="both"/>
        <w:rPr>
          <w:rFonts w:ascii="Sylfaen" w:eastAsia="Arial Unicode MS" w:hAnsi="Sylfaen"/>
          <w:i/>
          <w:iCs/>
          <w:noProof/>
          <w:lang w:val="ka-GE"/>
        </w:rPr>
      </w:pPr>
      <w:r w:rsidRPr="000A4E12">
        <w:rPr>
          <w:rFonts w:ascii="Sylfaen" w:eastAsia="Arial Unicode MS" w:hAnsi="Sylfaen"/>
          <w:i/>
          <w:iCs/>
          <w:noProof/>
          <w:lang w:val="ka-GE"/>
        </w:rPr>
        <w:t>პედიატრიული პოპულაცია</w:t>
      </w:r>
    </w:p>
    <w:p w14:paraId="797F97F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როზუვასტატინის მიმღებ 6-დან 17 წლამდე ასაკის პედიატრიულ პაციენტებში ტანერის სტადიის მიხედვით წრფივი ზრდის (სიმაღლე), წონის, სხეულის მასის ინდექსის (BMI) და სქესობრივი მომწიფების მეორადი მახასიათებლების შეფასება შემოიფარგლება ორწლიანი პერიოდით. </w:t>
      </w:r>
      <w:r w:rsidRPr="005C4A9D">
        <w:rPr>
          <w:rFonts w:ascii="Times New Roman" w:eastAsia="Arial Unicode MS" w:hAnsi="Times New Roman"/>
          <w:noProof/>
          <w:lang w:val="ka-GE"/>
        </w:rPr>
        <w:t>​​</w:t>
      </w:r>
      <w:r w:rsidRPr="005C4A9D">
        <w:rPr>
          <w:rFonts w:ascii="Sylfaen" w:eastAsia="Arial Unicode MS" w:hAnsi="Sylfaen"/>
          <w:noProof/>
          <w:lang w:val="ka-GE"/>
        </w:rPr>
        <w:t>ორწლიანი კვლევითი მკურნალობის შემდეგ, ზრდაზე, წონაზე, BMI-ზე ან სქესობრივ მომწიფებაზე გავლენა არ დაფიქსირებულა (იხ. ნაწილი 5.1).</w:t>
      </w:r>
    </w:p>
    <w:p w14:paraId="2EF5D80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lastRenderedPageBreak/>
        <w:t>როზუვასტატინის მიმღები ბავშვებისა და მოზარდების კლინიკურ კვლევაში 52 კვირის განმავლობაში, კრეატინკინაზას კონცენტრაციის მომატება &gt;10xULN და კუნთების სიმპტომები ვარჯიშის ან გაზრდილი ფიზიკური აქტივობის შემდეგ უფრო ხშირად დაფიქსირდა, ვიდრე მოზრდილებში კლინიკურ კვლევებში დაკვირვებისას (იხ. ნაწილი 4.8).</w:t>
      </w:r>
    </w:p>
    <w:p w14:paraId="286DD479" w14:textId="77777777" w:rsidR="00B06C4A" w:rsidRPr="00551158" w:rsidRDefault="00B06C4A" w:rsidP="00382943">
      <w:pPr>
        <w:spacing w:after="0" w:line="240" w:lineRule="auto"/>
        <w:jc w:val="both"/>
        <w:rPr>
          <w:rFonts w:ascii="Sylfaen" w:eastAsia="Arial Unicode MS" w:hAnsi="Sylfaen"/>
          <w:b/>
          <w:bCs/>
          <w:noProof/>
          <w:lang w:val="ka-GE"/>
        </w:rPr>
      </w:pPr>
    </w:p>
    <w:p w14:paraId="187CDB75" w14:textId="77777777" w:rsidR="00B06C4A" w:rsidRPr="00551158" w:rsidRDefault="00B06C4A" w:rsidP="00382943">
      <w:pPr>
        <w:spacing w:after="0" w:line="240" w:lineRule="auto"/>
        <w:jc w:val="both"/>
        <w:rPr>
          <w:rFonts w:ascii="Sylfaen" w:eastAsia="Arial Unicode MS" w:hAnsi="Sylfaen"/>
          <w:b/>
          <w:bCs/>
          <w:noProof/>
          <w:lang w:val="ka-GE"/>
        </w:rPr>
      </w:pPr>
      <w:r w:rsidRPr="00551158">
        <w:rPr>
          <w:rFonts w:ascii="Sylfaen" w:eastAsia="Arial Unicode MS" w:hAnsi="Sylfaen"/>
          <w:b/>
          <w:bCs/>
          <w:noProof/>
          <w:lang w:val="ka-GE"/>
        </w:rPr>
        <w:t>4.5 ურთიერთქმედება სხვა სამკურნალო საშუალებებთან და ურთიერთქმედების სხვა ფორმები</w:t>
      </w:r>
    </w:p>
    <w:p w14:paraId="08FBE58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ერთდროულად მიღებული მედიკამენტების გავლენა როზუვასტატინზე</w:t>
      </w:r>
    </w:p>
    <w:p w14:paraId="42A06313"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ტრანსპორტული ცილის ინჰიბიტორები:</w:t>
      </w:r>
      <w:r w:rsidRPr="005C4A9D">
        <w:rPr>
          <w:rFonts w:ascii="Sylfaen" w:eastAsia="Arial Unicode MS" w:hAnsi="Sylfaen"/>
          <w:noProof/>
          <w:lang w:val="ka-GE"/>
        </w:rPr>
        <w:t xml:space="preserve"> როზუვასტატინი არის გარკვეული ტრანსპორტიორი ცილების სუბსტრატი, მათ შორის ღვიძლის შთანთქმის ტრანსპორტიორის OATP1B1 და გამოდევნის ტრანსპორტიორის BCRP. სიროსტინი 20-ის იმ სამკურნალო საშუალებებთან ერთად მიღებამ, რომლებიც ამ ტრანსპორტიორი ცილების ინჰიბიტორები არიან, შეიძლება გამოიწვიოს როზუვასტატინის პლაზმური კონცენტრაციების მომატება და მიოპათიის რისკის გაზრდა (იხილეთ პუნქტები 4.2, 4.4 და 4.5, ცხრილი 1).</w:t>
      </w:r>
    </w:p>
    <w:p w14:paraId="1E05A83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ციკლოსპორინი: სიროსტინი 20-ისა და ციკლოსპორინის ერთდროული მკურნალობის დროს, როზუვასტატინის AUC მაჩვენებლები საშუალოდ 7-ჯერ მეტი იყო ჯანმრთელ მოხალისეებში დაფიქსირებულ მაჩვენებლებთან შედარებით (იხილეთ ცხრილი 1). სიროსტინი 20 უკუნაჩვენებია იმ პაციენტებში, რომლებიც ერთდროულად იღებენ ციკლოსპორინს (იხილეთ პუნქტი 4.3). ერთდროულმა მიღებამ გავლენა არ მოახდინა ციკლოსპორინის პლაზმურ კონცენტრაციებზე.</w:t>
      </w:r>
    </w:p>
    <w:p w14:paraId="5A143248" w14:textId="77777777" w:rsidR="00B06C4A" w:rsidRPr="005C4A9D" w:rsidRDefault="00B06C4A" w:rsidP="00382943">
      <w:pPr>
        <w:spacing w:after="0" w:line="240" w:lineRule="auto"/>
        <w:jc w:val="both"/>
        <w:rPr>
          <w:rFonts w:ascii="Sylfaen" w:eastAsia="Arial Unicode MS" w:hAnsi="Sylfaen"/>
          <w:noProof/>
          <w:lang w:val="ka-GE"/>
        </w:rPr>
      </w:pPr>
      <w:r w:rsidRPr="000A4E12">
        <w:rPr>
          <w:rFonts w:ascii="Sylfaen" w:eastAsia="Arial Unicode MS" w:hAnsi="Sylfaen"/>
          <w:b/>
          <w:bCs/>
          <w:noProof/>
          <w:lang w:val="ka-GE"/>
        </w:rPr>
        <w:t>პროტეაზას ინჰიბიტორები:</w:t>
      </w:r>
      <w:r w:rsidRPr="005C4A9D">
        <w:rPr>
          <w:rFonts w:ascii="Sylfaen" w:eastAsia="Arial Unicode MS" w:hAnsi="Sylfaen"/>
          <w:noProof/>
          <w:lang w:val="ka-GE"/>
        </w:rPr>
        <w:t xml:space="preserve"> მიუხედავად იმისა, რომ ურთიერთქმედების ზუსტი მექანიზმი უცნობია, პროტეაზას ინჰიბიტორების ერთდროულმა გამოყენებამ შეიძლება მნიშვნელოვნად გაზარდოს როზუვასტატინის ექსპოზიცია (იხილეთ ცხრილი 1). მაგალითად, ფარმაკოკინეტიკურ კვლევაში, ჯანმრთელ მოხალისეებში 10 მგ როზუვასტატინისა და ორი პროტეაზას ინჰიბიტორის კომბინირებული პროდუქტის (300 მგ ატაზანავირი/100 მგ რიტონავირი) ერთდროული მიღება ასოცირდებოდა როზუვასტატინის AUC და Cmax დაახლოებით სამჯერ და შვიდჯერად ზრდასთან შესაბამისად. სიროსტინი 20-ის და პროტეაზას ინჰიბიტორების ზოგიერთი კომბინაციის ერთდროული გამოყენება შეიძლება განიხილებოდეს სიროსტინი 20-ის დოზის კორექციის ფრთხილად განხილვის შემდეგ, როზუვასტატინის ექსპოზიციის მოსალოდნელი ზრდის საფუძველზე (იხილეთ ნაწილები 4.2, 4.4 და 4.5, ცხრილი 1).</w:t>
      </w:r>
    </w:p>
    <w:p w14:paraId="53D9D33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გემფიბროზილი და სხვა ლიპიდების დამწევი პროდუქტები:</w:t>
      </w:r>
      <w:r w:rsidRPr="005C4A9D">
        <w:rPr>
          <w:rFonts w:ascii="Sylfaen" w:eastAsia="Arial Unicode MS" w:hAnsi="Sylfaen"/>
          <w:noProof/>
          <w:lang w:val="ka-GE"/>
        </w:rPr>
        <w:t xml:space="preserve"> სიროსტინი 20-ის და გემფიბროზილის ერთდროული გამოყენება იწვევს როზუვასტატინის Cmax და AUC-ის 2-ჯერად ზრდას (იხილეთ ნაწილი 4.4).</w:t>
      </w:r>
    </w:p>
    <w:p w14:paraId="6689B841"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ურთიერთქმედების სპეციფიკური კვლევების მონაცემების საფუძველზე, ფენოფიბრატთან ფარმაკოკინეტიკულად მნიშვნელოვანი ურთიერთქმედება არ არის მოსალოდნელი, თუმცა შესაძლოა ფარმაკოდინამიკური ურთიერთქმედება მოხდეს. გემფიბროზილი, ფენოფიბრატი, სხვა ფიბრატები და ნიაცინის (ნიკოტინის მჟავა) ლიპიდების დამწევი დოზები (&gt; ან ტოლია 1 გ/დღეში) ზრდის მიოპათიის რისკს HMG-CoA რედუქტაზას ინჰიბიტორებთან ერთად მიღებისას, სავარაუდოდ იმიტომ, რომ მათ შეუძლიათ მიოპათიის გამოწვევა მხოლოდ მონოთერაპიის დროს. 40 მგ დოზა უკუნაჩვენებია ფიბრატის თანმხლებ გამოყენებასთან ერთად (იხ. ნაწილები 4.3 და 4.4). ამ პაციენტებმა ასევე უნდა დაიწყონ 5 მგ დოზით.</w:t>
      </w:r>
    </w:p>
    <w:p w14:paraId="4C6E816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ეზეტიმიბი:</w:t>
      </w:r>
      <w:r w:rsidRPr="005C4A9D">
        <w:rPr>
          <w:rFonts w:ascii="Sylfaen" w:eastAsia="Arial Unicode MS" w:hAnsi="Sylfaen"/>
          <w:noProof/>
          <w:lang w:val="ka-GE"/>
        </w:rPr>
        <w:t xml:space="preserve"> 10 მგ სიროსტინი 20-ის და 10 მგ ეზეტიმიბის ერთდროულმა გამოყენებამ გამოიწვია როზუვასტატინის AUC-ის 1.2-ჯერ გაზრდა ჰიპერქოლესტერინემიის მქონე პირებში (ცხრილი 1). გვერდითი მოვლენების თვალსაზრისით, სიროსტინი 20-სა და ეზეტიმიბს შორის ფარმაკოდინამიკური ურთიერთქმედება არ არის გამორიცხული (იხ. ნაწილი 4.4).</w:t>
      </w:r>
    </w:p>
    <w:p w14:paraId="466867C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ანტაციდი:</w:t>
      </w:r>
      <w:r w:rsidRPr="005C4A9D">
        <w:rPr>
          <w:rFonts w:ascii="Sylfaen" w:eastAsia="Arial Unicode MS" w:hAnsi="Sylfaen"/>
          <w:noProof/>
          <w:lang w:val="ka-GE"/>
        </w:rPr>
        <w:t xml:space="preserve"> სიროსტინი 20-ის ალუმინის და მაგნიუმის ჰიდროქსიდის შემცველ ანტაციდურ სუსპენზიასთან ერთდროული დოზირებისას როზუვასტატინის პლაზმური კონცენტრაცია დაახლოებით 50%-ით შემცირდა. ეს ეფექტი შემსუბუქდა, როდესაც ანტაციდი სიროსტინ 20-ის მიღებიდან 2 საათის შემდეგ იქნა მიღებული. ამ ურთიერთქმედების კლინიკური მნიშვნელობა შესწავლილი არ არის.</w:t>
      </w:r>
    </w:p>
    <w:p w14:paraId="2E61F8B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ერითრომიცინი:</w:t>
      </w:r>
      <w:r w:rsidRPr="005C4A9D">
        <w:rPr>
          <w:rFonts w:ascii="Sylfaen" w:eastAsia="Arial Unicode MS" w:hAnsi="Sylfaen"/>
          <w:noProof/>
          <w:lang w:val="ka-GE"/>
        </w:rPr>
        <w:t xml:space="preserve"> სიროსტინი 20-ის და ერითრომიცინის ერთდროული გამოყენებისას როზუვასტატინის AUC 20%-ით და Cmax 30%-ით შემცირდა. ეს ურთიერთქმედება შეიძლება გამოწვეული იყოს ერითრომიცინის მიერ გამოწვეული ნაწლავთა მობილურობის გაზრდით.</w:t>
      </w:r>
    </w:p>
    <w:p w14:paraId="73DCAFE6" w14:textId="77777777" w:rsidR="000A4E12"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ტიკაგრელორი:</w:t>
      </w:r>
      <w:r w:rsidRPr="005C4A9D">
        <w:rPr>
          <w:rFonts w:ascii="Sylfaen" w:eastAsia="Arial Unicode MS" w:hAnsi="Sylfaen"/>
          <w:noProof/>
          <w:lang w:val="ka-GE"/>
        </w:rPr>
        <w:t xml:space="preserve"> ნაჩვენებია, რომ ტიკაგრელორი ზრდის როზუვასტატინის კონცენტრაციას, რამაც შეიძლება გამოიწვიოს მიოპათიის რისკის გაზრდა. გასათვალისწინებელია როზუვასტატინის </w:t>
      </w:r>
      <w:r w:rsidRPr="005C4A9D">
        <w:rPr>
          <w:rFonts w:ascii="Sylfaen" w:eastAsia="Arial Unicode MS" w:hAnsi="Sylfaen"/>
          <w:noProof/>
          <w:lang w:val="ka-GE"/>
        </w:rPr>
        <w:lastRenderedPageBreak/>
        <w:t xml:space="preserve">გამოყენებით ძირითადი გვერდითი გულ-სისხლძარღვთა მოვლენების პრევენციის სარგებელი და როზუვასტატინის პლაზმური კონცენტრაციის მატებასთან დაკავშირებული რისკები. </w:t>
      </w:r>
    </w:p>
    <w:p w14:paraId="7F8F3987" w14:textId="71A8CD66" w:rsidR="00B06C4A" w:rsidRPr="005C4A9D" w:rsidRDefault="00B06C4A" w:rsidP="00382943">
      <w:pPr>
        <w:spacing w:after="0" w:line="240" w:lineRule="auto"/>
        <w:jc w:val="both"/>
        <w:rPr>
          <w:rFonts w:ascii="Sylfaen" w:eastAsia="Arial Unicode MS" w:hAnsi="Sylfaen"/>
          <w:noProof/>
          <w:lang w:val="ka-GE"/>
        </w:rPr>
      </w:pPr>
      <w:r w:rsidRPr="000A4E12">
        <w:rPr>
          <w:rFonts w:ascii="Sylfaen" w:eastAsia="Arial Unicode MS" w:hAnsi="Sylfaen"/>
          <w:b/>
          <w:bCs/>
          <w:noProof/>
          <w:lang w:val="ka-GE"/>
        </w:rPr>
        <w:t>ციტოქრომ P450 ფერმენტები:</w:t>
      </w:r>
      <w:r w:rsidRPr="005C4A9D">
        <w:rPr>
          <w:rFonts w:ascii="Sylfaen" w:eastAsia="Arial Unicode MS" w:hAnsi="Sylfaen"/>
          <w:noProof/>
          <w:lang w:val="ka-GE"/>
        </w:rPr>
        <w:t xml:space="preserve"> in vitro და in vivo კვლევების შედეგები აჩვენებს, რომ როზუვასტატინი არ არის ციტოქრომ P450 იზოენზიმების არც ინჰიბიტორი და არც ინდუქტორი. გარდა ამისა, როზუვასტატინი წარმოადგენს ამ იზოენზიმების სუსტ სუბსტრატს. ამიტომ, ციტოქრომ P450-ით განპირობებული მეტაბოლიზმით გამოწვეული წამლისმიერი ურთიერთქმედება მოსალოდნელი არ არის. კლინიკურად მნიშვნელოვანი ურთიერთქმედებები როზუვასტატინსა და ფლუკონაზოლს (CYP2C9 და CYP3A4 ინჰიბიტორი) ან კეტოკონაზოლს (CYP2A6 და CYP3A4 ინჰიბიტორი) შორის არ დაფიქსირებულა.</w:t>
      </w:r>
    </w:p>
    <w:p w14:paraId="349EE0F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ურთიერთქმედება, რომელიც მოითხოვს როზუვასტატინის დოზის კორექციას (იხილეთ აგრეთვე ცხრილი 1):</w:t>
      </w:r>
      <w:r w:rsidRPr="005C4A9D">
        <w:rPr>
          <w:rFonts w:ascii="Sylfaen" w:eastAsia="Arial Unicode MS" w:hAnsi="Sylfaen"/>
          <w:noProof/>
          <w:lang w:val="ka-GE"/>
        </w:rPr>
        <w:t xml:space="preserve"> როდესაც აუცილებელია სიროსტინი 20-ის სხვა სამკურნალო საშუალებებთან ერთად მიღება, რომლებიც, როგორც ცნობილია, ზრდიან როზუვასტატინის ექსპოზიციას, სიროსტინი 20-ის დოზები უნდა კორექტირდეს. დაიწყეთ სიროსტინი 20-ის 5 მგ დღეში ერთხელ დოზით, თუ ექსპოზიციის მოსალოდნელი ზრდა (AUC) დაახლოებით 2-ჯერ ან მეტია. სიროსტინი 20-ის მაქსიმალური დღიური დოზა უნდა დარეგულირდეს ისე, რომ როზუვასტატინის მოსალოდნელი ზემოქმედება სავარაუდოდ არ აჭარბებდეს სიროსტინი 20-ის დღიურ დოზას, რომელიც მიიღება ურთიერთქმედების მქონე სამკურნალო საშუალებების გარეშე, მაგალითად, სიროსტინი 20 მგ დოზა გემფიბროზილთან (1.9-ჯერ გაზრდა) და სიროსტინი 20-ის 10 მგ დოზა რიტონავირ/ატაზანავირთან კომბინაციასთან (3.1-ჯერ გაზრდა).</w:t>
      </w:r>
    </w:p>
    <w:p w14:paraId="17E52F84" w14:textId="7454EF7B" w:rsidR="00B06C4A" w:rsidRPr="005C4A9D" w:rsidRDefault="00B06C4A" w:rsidP="000A4E12">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თუ სამკურნალო პროდუქტი ზრდის როზუვასტატინის AUC-ს 2-ჯერ ნაკლებად, საწყისი დოზა არ უნდა შემცირდეს, მაგრამ სიფრთხილეა საჭირო სიროსტინი 20 მგ-ზე მეტად გაზრდისას.</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5493"/>
        <w:gridCol w:w="2384"/>
        <w:gridCol w:w="2488"/>
      </w:tblGrid>
      <w:tr w:rsidR="00B06C4A" w:rsidRPr="005C4A9D" w14:paraId="53407C0F" w14:textId="77777777" w:rsidTr="00B82067">
        <w:trPr>
          <w:tblCellSpacing w:w="0" w:type="dxa"/>
        </w:trPr>
        <w:tc>
          <w:tcPr>
            <w:tcW w:w="5000" w:type="pct"/>
            <w:gridSpan w:val="3"/>
            <w:tcBorders>
              <w:top w:val="outset" w:sz="6" w:space="0" w:color="auto"/>
              <w:bottom w:val="outset" w:sz="6" w:space="0" w:color="auto"/>
            </w:tcBorders>
          </w:tcPr>
          <w:p w14:paraId="4E5CA55B" w14:textId="77777777" w:rsidR="00B06C4A" w:rsidRPr="005C4A9D" w:rsidRDefault="00B06C4A" w:rsidP="000A4E12">
            <w:pPr>
              <w:spacing w:after="0" w:line="240" w:lineRule="auto"/>
              <w:jc w:val="both"/>
              <w:rPr>
                <w:rFonts w:ascii="Times New Roman" w:hAnsi="Times New Roman"/>
                <w:noProof/>
                <w:lang w:val="ka-GE"/>
              </w:rPr>
            </w:pPr>
            <w:r w:rsidRPr="005C4A9D">
              <w:rPr>
                <w:rFonts w:ascii="Sylfaen" w:hAnsi="Sylfaen" w:cs="Sylfaen"/>
                <w:b/>
                <w:bCs/>
                <w:noProof/>
                <w:lang w:val="ka-GE"/>
              </w:rPr>
              <w:t>ცხრილი</w:t>
            </w:r>
            <w:r w:rsidRPr="005C4A9D">
              <w:rPr>
                <w:rFonts w:ascii="Times New Roman" w:hAnsi="Times New Roman"/>
                <w:b/>
                <w:bCs/>
                <w:noProof/>
                <w:lang w:val="ka-GE"/>
              </w:rPr>
              <w:t xml:space="preserve"> 1. </w:t>
            </w:r>
            <w:r w:rsidRPr="005C4A9D">
              <w:rPr>
                <w:rFonts w:ascii="Sylfaen" w:hAnsi="Sylfaen" w:cs="Sylfaen"/>
                <w:b/>
                <w:bCs/>
                <w:noProof/>
                <w:lang w:val="ka-GE"/>
              </w:rPr>
              <w:t>გამოქვეყნებული</w:t>
            </w:r>
            <w:r w:rsidRPr="005C4A9D">
              <w:rPr>
                <w:rFonts w:ascii="Times New Roman" w:hAnsi="Times New Roman"/>
                <w:b/>
                <w:bCs/>
                <w:noProof/>
                <w:lang w:val="ka-GE"/>
              </w:rPr>
              <w:t xml:space="preserve"> </w:t>
            </w:r>
            <w:r w:rsidRPr="005C4A9D">
              <w:rPr>
                <w:rFonts w:ascii="Sylfaen" w:hAnsi="Sylfaen" w:cs="Sylfaen"/>
                <w:b/>
                <w:bCs/>
                <w:noProof/>
                <w:lang w:val="ka-GE"/>
              </w:rPr>
              <w:t>კლინიკური</w:t>
            </w:r>
            <w:r w:rsidRPr="005C4A9D">
              <w:rPr>
                <w:rFonts w:ascii="Times New Roman" w:hAnsi="Times New Roman"/>
                <w:b/>
                <w:bCs/>
                <w:noProof/>
                <w:lang w:val="ka-GE"/>
              </w:rPr>
              <w:t xml:space="preserve"> </w:t>
            </w:r>
            <w:r w:rsidRPr="005C4A9D">
              <w:rPr>
                <w:rFonts w:ascii="Sylfaen" w:hAnsi="Sylfaen" w:cs="Sylfaen"/>
                <w:b/>
                <w:bCs/>
                <w:noProof/>
                <w:lang w:val="ka-GE"/>
              </w:rPr>
              <w:t>კვლევებიდან</w:t>
            </w:r>
            <w:r w:rsidRPr="005C4A9D">
              <w:rPr>
                <w:rFonts w:ascii="Times New Roman" w:hAnsi="Times New Roman"/>
                <w:b/>
                <w:bCs/>
                <w:noProof/>
                <w:lang w:val="ka-GE"/>
              </w:rPr>
              <w:t xml:space="preserve"> </w:t>
            </w:r>
            <w:r w:rsidRPr="005C4A9D">
              <w:rPr>
                <w:rFonts w:ascii="Sylfaen" w:hAnsi="Sylfaen" w:cs="Sylfaen"/>
                <w:b/>
                <w:bCs/>
                <w:noProof/>
                <w:lang w:val="ka-GE"/>
              </w:rPr>
              <w:t>გამომდინარე</w:t>
            </w:r>
            <w:r w:rsidRPr="005C4A9D">
              <w:rPr>
                <w:rFonts w:ascii="Times New Roman" w:hAnsi="Times New Roman"/>
                <w:b/>
                <w:bCs/>
                <w:noProof/>
                <w:lang w:val="ka-GE"/>
              </w:rPr>
              <w:t xml:space="preserve">, </w:t>
            </w: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w:t>
            </w:r>
            <w:r w:rsidRPr="005C4A9D">
              <w:rPr>
                <w:rFonts w:ascii="Sylfaen" w:hAnsi="Sylfaen" w:cs="Sylfaen"/>
                <w:b/>
                <w:bCs/>
                <w:noProof/>
                <w:lang w:val="ka-GE"/>
              </w:rPr>
              <w:t>ექსპოზიციაზე</w:t>
            </w:r>
            <w:r w:rsidRPr="005C4A9D">
              <w:rPr>
                <w:rFonts w:ascii="Times New Roman" w:hAnsi="Times New Roman"/>
                <w:b/>
                <w:bCs/>
                <w:noProof/>
                <w:lang w:val="ka-GE"/>
              </w:rPr>
              <w:t xml:space="preserve"> (AUC; </w:t>
            </w:r>
            <w:r w:rsidRPr="005C4A9D">
              <w:rPr>
                <w:rFonts w:ascii="Sylfaen" w:hAnsi="Sylfaen" w:cs="Sylfaen"/>
                <w:b/>
                <w:bCs/>
                <w:noProof/>
                <w:lang w:val="ka-GE"/>
              </w:rPr>
              <w:t>კლებადი</w:t>
            </w:r>
            <w:r w:rsidRPr="005C4A9D">
              <w:rPr>
                <w:rFonts w:ascii="Times New Roman" w:hAnsi="Times New Roman"/>
                <w:b/>
                <w:bCs/>
                <w:noProof/>
                <w:lang w:val="ka-GE"/>
              </w:rPr>
              <w:t xml:space="preserve"> </w:t>
            </w:r>
            <w:r w:rsidRPr="005C4A9D">
              <w:rPr>
                <w:rFonts w:ascii="Sylfaen" w:hAnsi="Sylfaen" w:cs="Sylfaen"/>
                <w:b/>
                <w:bCs/>
                <w:noProof/>
                <w:lang w:val="ka-GE"/>
              </w:rPr>
              <w:t>სიდიდის</w:t>
            </w:r>
            <w:r w:rsidRPr="005C4A9D">
              <w:rPr>
                <w:rFonts w:ascii="Times New Roman" w:hAnsi="Times New Roman"/>
                <w:b/>
                <w:bCs/>
                <w:noProof/>
                <w:lang w:val="ka-GE"/>
              </w:rPr>
              <w:t xml:space="preserve"> </w:t>
            </w:r>
            <w:r w:rsidRPr="005C4A9D">
              <w:rPr>
                <w:rFonts w:ascii="Sylfaen" w:hAnsi="Sylfaen" w:cs="Sylfaen"/>
                <w:b/>
                <w:bCs/>
                <w:noProof/>
                <w:lang w:val="ka-GE"/>
              </w:rPr>
              <w:t>მიხედვით</w:t>
            </w:r>
            <w:r w:rsidRPr="005C4A9D">
              <w:rPr>
                <w:rFonts w:ascii="Times New Roman" w:hAnsi="Times New Roman"/>
                <w:b/>
                <w:bCs/>
                <w:noProof/>
                <w:lang w:val="ka-GE"/>
              </w:rPr>
              <w:t xml:space="preserve">) </w:t>
            </w:r>
            <w:r w:rsidRPr="005C4A9D">
              <w:rPr>
                <w:rFonts w:ascii="Sylfaen" w:hAnsi="Sylfaen" w:cs="Sylfaen"/>
                <w:b/>
                <w:bCs/>
                <w:noProof/>
                <w:lang w:val="ka-GE"/>
              </w:rPr>
              <w:t>ერთდროულად</w:t>
            </w:r>
            <w:r w:rsidRPr="005C4A9D">
              <w:rPr>
                <w:rFonts w:ascii="Times New Roman" w:hAnsi="Times New Roman"/>
                <w:b/>
                <w:bCs/>
                <w:noProof/>
                <w:lang w:val="ka-GE"/>
              </w:rPr>
              <w:t xml:space="preserve"> </w:t>
            </w:r>
            <w:r w:rsidRPr="005C4A9D">
              <w:rPr>
                <w:rFonts w:ascii="Sylfaen" w:hAnsi="Sylfaen" w:cs="Sylfaen"/>
                <w:b/>
                <w:bCs/>
                <w:noProof/>
                <w:lang w:val="ka-GE"/>
              </w:rPr>
              <w:t>მიღებული</w:t>
            </w:r>
            <w:r w:rsidRPr="005C4A9D">
              <w:rPr>
                <w:rFonts w:ascii="Times New Roman" w:hAnsi="Times New Roman"/>
                <w:b/>
                <w:bCs/>
                <w:noProof/>
                <w:lang w:val="ka-GE"/>
              </w:rPr>
              <w:t xml:space="preserve"> </w:t>
            </w:r>
            <w:r w:rsidRPr="005C4A9D">
              <w:rPr>
                <w:rFonts w:ascii="Sylfaen" w:hAnsi="Sylfaen" w:cs="Sylfaen"/>
                <w:b/>
                <w:bCs/>
                <w:noProof/>
                <w:lang w:val="ka-GE"/>
              </w:rPr>
              <w:t>სამკურნალო</w:t>
            </w:r>
            <w:r w:rsidRPr="005C4A9D">
              <w:rPr>
                <w:rFonts w:ascii="Times New Roman" w:hAnsi="Times New Roman"/>
                <w:b/>
                <w:bCs/>
                <w:noProof/>
                <w:lang w:val="ka-GE"/>
              </w:rPr>
              <w:t xml:space="preserve"> </w:t>
            </w:r>
            <w:r w:rsidRPr="005C4A9D">
              <w:rPr>
                <w:rFonts w:ascii="Sylfaen" w:hAnsi="Sylfaen" w:cs="Sylfaen"/>
                <w:b/>
                <w:bCs/>
                <w:noProof/>
                <w:lang w:val="ka-GE"/>
              </w:rPr>
              <w:t>საშუალებების</w:t>
            </w:r>
            <w:r w:rsidRPr="005C4A9D">
              <w:rPr>
                <w:rFonts w:ascii="Times New Roman" w:hAnsi="Times New Roman"/>
                <w:b/>
                <w:bCs/>
                <w:noProof/>
                <w:lang w:val="ka-GE"/>
              </w:rPr>
              <w:t xml:space="preserve"> </w:t>
            </w:r>
            <w:r w:rsidRPr="005C4A9D">
              <w:rPr>
                <w:rFonts w:ascii="Sylfaen" w:hAnsi="Sylfaen" w:cs="Sylfaen"/>
                <w:b/>
                <w:bCs/>
                <w:noProof/>
                <w:lang w:val="ka-GE"/>
              </w:rPr>
              <w:t>გავლენა</w:t>
            </w:r>
          </w:p>
        </w:tc>
      </w:tr>
      <w:tr w:rsidR="00B06C4A" w:rsidRPr="005C4A9D" w14:paraId="2B23D1CC" w14:textId="77777777" w:rsidTr="00B82067">
        <w:trPr>
          <w:tblCellSpacing w:w="0" w:type="dxa"/>
        </w:trPr>
        <w:tc>
          <w:tcPr>
            <w:tcW w:w="5000" w:type="pct"/>
            <w:gridSpan w:val="3"/>
            <w:tcBorders>
              <w:top w:val="outset" w:sz="6" w:space="0" w:color="auto"/>
              <w:bottom w:val="outset" w:sz="6" w:space="0" w:color="auto"/>
            </w:tcBorders>
          </w:tcPr>
          <w:p w14:paraId="6BE429C8"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AUC-</w:t>
            </w:r>
            <w:r w:rsidRPr="005C4A9D">
              <w:rPr>
                <w:rFonts w:ascii="Sylfaen" w:hAnsi="Sylfaen" w:cs="Sylfaen"/>
                <w:b/>
                <w:bCs/>
                <w:noProof/>
                <w:lang w:val="ka-GE"/>
              </w:rPr>
              <w:t>ს</w:t>
            </w:r>
            <w:r w:rsidRPr="005C4A9D">
              <w:rPr>
                <w:rFonts w:ascii="Times New Roman" w:hAnsi="Times New Roman"/>
                <w:b/>
                <w:bCs/>
                <w:noProof/>
                <w:lang w:val="ka-GE"/>
              </w:rPr>
              <w:t xml:space="preserve"> 2-</w:t>
            </w:r>
            <w:r w:rsidRPr="005C4A9D">
              <w:rPr>
                <w:rFonts w:ascii="Sylfaen" w:hAnsi="Sylfaen" w:cs="Sylfaen"/>
                <w:b/>
                <w:bCs/>
                <w:noProof/>
                <w:lang w:val="ka-GE"/>
              </w:rPr>
              <w:t>ჯერ</w:t>
            </w:r>
            <w:r w:rsidRPr="005C4A9D">
              <w:rPr>
                <w:rFonts w:ascii="Times New Roman" w:hAnsi="Times New Roman"/>
                <w:b/>
                <w:bCs/>
                <w:noProof/>
                <w:lang w:val="ka-GE"/>
              </w:rPr>
              <w:t xml:space="preserve"> </w:t>
            </w:r>
            <w:r w:rsidRPr="005C4A9D">
              <w:rPr>
                <w:rFonts w:ascii="Sylfaen" w:hAnsi="Sylfaen" w:cs="Sylfaen"/>
                <w:b/>
                <w:bCs/>
                <w:noProof/>
                <w:lang w:val="ka-GE"/>
              </w:rPr>
              <w:t>ან</w:t>
            </w:r>
            <w:r w:rsidRPr="005C4A9D">
              <w:rPr>
                <w:rFonts w:ascii="Times New Roman" w:hAnsi="Times New Roman"/>
                <w:b/>
                <w:bCs/>
                <w:noProof/>
                <w:lang w:val="ka-GE"/>
              </w:rPr>
              <w:t xml:space="preserve"> 2-</w:t>
            </w:r>
            <w:r w:rsidRPr="005C4A9D">
              <w:rPr>
                <w:rFonts w:ascii="Sylfaen" w:hAnsi="Sylfaen" w:cs="Sylfaen"/>
                <w:b/>
                <w:bCs/>
                <w:noProof/>
                <w:lang w:val="ka-GE"/>
              </w:rPr>
              <w:t>ჯერ</w:t>
            </w:r>
            <w:r w:rsidRPr="005C4A9D">
              <w:rPr>
                <w:rFonts w:ascii="Times New Roman" w:hAnsi="Times New Roman"/>
                <w:b/>
                <w:bCs/>
                <w:noProof/>
                <w:lang w:val="ka-GE"/>
              </w:rPr>
              <w:t xml:space="preserve"> </w:t>
            </w:r>
            <w:r w:rsidRPr="005C4A9D">
              <w:rPr>
                <w:rFonts w:ascii="Sylfaen" w:hAnsi="Sylfaen" w:cs="Sylfaen"/>
                <w:b/>
                <w:bCs/>
                <w:noProof/>
                <w:lang w:val="ka-GE"/>
              </w:rPr>
              <w:t>მეტად</w:t>
            </w:r>
            <w:r w:rsidRPr="005C4A9D">
              <w:rPr>
                <w:rFonts w:ascii="Times New Roman" w:hAnsi="Times New Roman"/>
                <w:b/>
                <w:bCs/>
                <w:noProof/>
                <w:lang w:val="ka-GE"/>
              </w:rPr>
              <w:t xml:space="preserve"> </w:t>
            </w:r>
            <w:r w:rsidRPr="005C4A9D">
              <w:rPr>
                <w:rFonts w:ascii="Sylfaen" w:hAnsi="Sylfaen" w:cs="Sylfaen"/>
                <w:b/>
                <w:bCs/>
                <w:noProof/>
                <w:lang w:val="ka-GE"/>
              </w:rPr>
              <w:t>გაზრდა</w:t>
            </w:r>
          </w:p>
        </w:tc>
      </w:tr>
      <w:tr w:rsidR="00B06C4A" w:rsidRPr="005C4A9D" w14:paraId="6BD1214D" w14:textId="77777777" w:rsidTr="00B82067">
        <w:trPr>
          <w:tblCellSpacing w:w="0" w:type="dxa"/>
        </w:trPr>
        <w:tc>
          <w:tcPr>
            <w:tcW w:w="2650" w:type="pct"/>
            <w:tcBorders>
              <w:top w:val="outset" w:sz="6" w:space="0" w:color="auto"/>
              <w:bottom w:val="outset" w:sz="6" w:space="0" w:color="auto"/>
              <w:right w:val="outset" w:sz="6" w:space="0" w:color="auto"/>
            </w:tcBorders>
          </w:tcPr>
          <w:p w14:paraId="1834479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ურთიერთქმედების</w:t>
            </w:r>
            <w:r w:rsidRPr="005C4A9D">
              <w:rPr>
                <w:rFonts w:ascii="Times New Roman" w:hAnsi="Times New Roman"/>
                <w:b/>
                <w:bCs/>
                <w:noProof/>
                <w:lang w:val="ka-GE"/>
              </w:rPr>
              <w:t xml:space="preserve"> </w:t>
            </w:r>
            <w:r w:rsidRPr="005C4A9D">
              <w:rPr>
                <w:rFonts w:ascii="Sylfaen" w:hAnsi="Sylfaen" w:cs="Sylfaen"/>
                <w:b/>
                <w:bCs/>
                <w:noProof/>
                <w:lang w:val="ka-GE"/>
              </w:rPr>
              <w:t>მქონე</w:t>
            </w:r>
            <w:r w:rsidRPr="005C4A9D">
              <w:rPr>
                <w:rFonts w:ascii="Times New Roman" w:hAnsi="Times New Roman"/>
                <w:b/>
                <w:bCs/>
                <w:noProof/>
                <w:lang w:val="ka-GE"/>
              </w:rPr>
              <w:t xml:space="preserve"> </w:t>
            </w:r>
            <w:r w:rsidRPr="005C4A9D">
              <w:rPr>
                <w:rFonts w:ascii="Sylfaen" w:hAnsi="Sylfaen" w:cs="Sylfaen"/>
                <w:b/>
                <w:bCs/>
                <w:noProof/>
                <w:lang w:val="ka-GE"/>
              </w:rPr>
              <w:t>წამლების</w:t>
            </w:r>
            <w:r w:rsidRPr="005C4A9D">
              <w:rPr>
                <w:rFonts w:ascii="Times New Roman" w:hAnsi="Times New Roman"/>
                <w:b/>
                <w:bCs/>
                <w:noProof/>
                <w:lang w:val="ka-GE"/>
              </w:rPr>
              <w:t xml:space="preserve"> </w:t>
            </w:r>
            <w:r w:rsidRPr="005C4A9D">
              <w:rPr>
                <w:rFonts w:ascii="Sylfaen" w:hAnsi="Sylfaen" w:cs="Sylfaen"/>
                <w:b/>
                <w:bCs/>
                <w:noProof/>
                <w:lang w:val="ka-GE"/>
              </w:rPr>
              <w:t>დოზირების</w:t>
            </w:r>
            <w:r w:rsidRPr="005C4A9D">
              <w:rPr>
                <w:rFonts w:ascii="Times New Roman" w:hAnsi="Times New Roman"/>
                <w:b/>
                <w:bCs/>
                <w:noProof/>
                <w:lang w:val="ka-GE"/>
              </w:rPr>
              <w:t xml:space="preserve"> </w:t>
            </w:r>
            <w:r w:rsidRPr="005C4A9D">
              <w:rPr>
                <w:rFonts w:ascii="Sylfaen" w:hAnsi="Sylfaen" w:cs="Sylfaen"/>
                <w:b/>
                <w:bCs/>
                <w:noProof/>
                <w:lang w:val="ka-GE"/>
              </w:rPr>
              <w:t>რეჟიმი</w:t>
            </w:r>
          </w:p>
        </w:tc>
        <w:tc>
          <w:tcPr>
            <w:tcW w:w="1150" w:type="pct"/>
            <w:tcBorders>
              <w:top w:val="outset" w:sz="6" w:space="0" w:color="auto"/>
              <w:left w:val="outset" w:sz="6" w:space="0" w:color="auto"/>
              <w:bottom w:val="outset" w:sz="6" w:space="0" w:color="auto"/>
              <w:right w:val="outset" w:sz="6" w:space="0" w:color="auto"/>
            </w:tcBorders>
          </w:tcPr>
          <w:p w14:paraId="28AA51F4"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w:t>
            </w:r>
            <w:r w:rsidRPr="005C4A9D">
              <w:rPr>
                <w:rFonts w:ascii="Sylfaen" w:hAnsi="Sylfaen" w:cs="Sylfaen"/>
                <w:b/>
                <w:bCs/>
                <w:noProof/>
                <w:lang w:val="ka-GE"/>
              </w:rPr>
              <w:t>დოზირების</w:t>
            </w:r>
            <w:r w:rsidRPr="005C4A9D">
              <w:rPr>
                <w:rFonts w:ascii="Times New Roman" w:hAnsi="Times New Roman"/>
                <w:b/>
                <w:bCs/>
                <w:noProof/>
                <w:lang w:val="ka-GE"/>
              </w:rPr>
              <w:t xml:space="preserve"> </w:t>
            </w:r>
            <w:r w:rsidRPr="005C4A9D">
              <w:rPr>
                <w:rFonts w:ascii="Sylfaen" w:hAnsi="Sylfaen" w:cs="Sylfaen"/>
                <w:b/>
                <w:bCs/>
                <w:noProof/>
                <w:lang w:val="ka-GE"/>
              </w:rPr>
              <w:t>რეჟიმი</w:t>
            </w:r>
          </w:p>
        </w:tc>
        <w:tc>
          <w:tcPr>
            <w:tcW w:w="1200" w:type="pct"/>
            <w:tcBorders>
              <w:top w:val="outset" w:sz="6" w:space="0" w:color="auto"/>
              <w:left w:val="outset" w:sz="6" w:space="0" w:color="auto"/>
              <w:bottom w:val="outset" w:sz="6" w:space="0" w:color="auto"/>
            </w:tcBorders>
          </w:tcPr>
          <w:p w14:paraId="2916D409"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AUC-</w:t>
            </w:r>
            <w:r w:rsidRPr="005C4A9D">
              <w:rPr>
                <w:rFonts w:ascii="Sylfaen" w:hAnsi="Sylfaen" w:cs="Sylfaen"/>
                <w:b/>
                <w:bCs/>
                <w:noProof/>
                <w:lang w:val="ka-GE"/>
              </w:rPr>
              <w:t>ს</w:t>
            </w:r>
            <w:r w:rsidRPr="005C4A9D">
              <w:rPr>
                <w:rFonts w:ascii="Times New Roman" w:hAnsi="Times New Roman"/>
                <w:b/>
                <w:bCs/>
                <w:noProof/>
                <w:vertAlign w:val="superscript"/>
                <w:lang w:val="ka-GE"/>
              </w:rPr>
              <w:t>*</w:t>
            </w:r>
            <w:r w:rsidRPr="005C4A9D">
              <w:rPr>
                <w:rFonts w:ascii="Times New Roman" w:hAnsi="Times New Roman"/>
                <w:b/>
                <w:bCs/>
                <w:noProof/>
                <w:lang w:val="ka-GE"/>
              </w:rPr>
              <w:t xml:space="preserve"> </w:t>
            </w:r>
            <w:r w:rsidRPr="005C4A9D">
              <w:rPr>
                <w:rFonts w:ascii="Sylfaen" w:hAnsi="Sylfaen" w:cs="Sylfaen"/>
                <w:b/>
                <w:bCs/>
                <w:noProof/>
                <w:lang w:val="ka-GE"/>
              </w:rPr>
              <w:t>ცვლილება</w:t>
            </w:r>
          </w:p>
        </w:tc>
      </w:tr>
      <w:tr w:rsidR="00B06C4A" w:rsidRPr="005C4A9D" w14:paraId="4A402A12" w14:textId="77777777" w:rsidTr="00B82067">
        <w:trPr>
          <w:tblCellSpacing w:w="0" w:type="dxa"/>
        </w:trPr>
        <w:tc>
          <w:tcPr>
            <w:tcW w:w="2650" w:type="pct"/>
            <w:tcBorders>
              <w:top w:val="outset" w:sz="6" w:space="0" w:color="auto"/>
              <w:bottom w:val="outset" w:sz="6" w:space="0" w:color="auto"/>
              <w:right w:val="outset" w:sz="6" w:space="0" w:color="auto"/>
            </w:tcBorders>
          </w:tcPr>
          <w:p w14:paraId="50F7847A"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სოფოსბუვირი</w:t>
            </w:r>
            <w:r w:rsidRPr="005C4A9D">
              <w:rPr>
                <w:rFonts w:ascii="Times New Roman" w:hAnsi="Times New Roman"/>
                <w:noProof/>
                <w:lang w:val="ka-GE"/>
              </w:rPr>
              <w:t>/</w:t>
            </w:r>
            <w:r w:rsidRPr="005C4A9D">
              <w:rPr>
                <w:rFonts w:ascii="Sylfaen" w:hAnsi="Sylfaen" w:cs="Sylfaen"/>
                <w:noProof/>
                <w:lang w:val="ka-GE"/>
              </w:rPr>
              <w:t>ველპატასვირი</w:t>
            </w:r>
            <w:r w:rsidRPr="005C4A9D">
              <w:rPr>
                <w:rFonts w:ascii="Times New Roman" w:hAnsi="Times New Roman"/>
                <w:noProof/>
                <w:lang w:val="ka-GE"/>
              </w:rPr>
              <w:t>/</w:t>
            </w:r>
            <w:r w:rsidRPr="005C4A9D">
              <w:rPr>
                <w:rFonts w:ascii="Sylfaen" w:hAnsi="Sylfaen" w:cs="Sylfaen"/>
                <w:noProof/>
                <w:lang w:val="ka-GE"/>
              </w:rPr>
              <w:t>ვოქსილაპრევირი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 xml:space="preserve">-100 </w:t>
            </w:r>
            <w:r w:rsidRPr="005C4A9D">
              <w:rPr>
                <w:rFonts w:ascii="Sylfaen" w:hAnsi="Sylfaen" w:cs="Sylfaen"/>
                <w:noProof/>
                <w:lang w:val="ka-GE"/>
              </w:rPr>
              <w:t>მგ</w:t>
            </w:r>
            <w:r w:rsidRPr="005C4A9D">
              <w:rPr>
                <w:rFonts w:ascii="Times New Roman" w:hAnsi="Times New Roman"/>
                <w:noProof/>
                <w:lang w:val="ka-GE"/>
              </w:rPr>
              <w:t xml:space="preserve">-100 </w:t>
            </w:r>
            <w:r w:rsidRPr="005C4A9D">
              <w:rPr>
                <w:rFonts w:ascii="Sylfaen" w:hAnsi="Sylfaen" w:cs="Sylfaen"/>
                <w:noProof/>
                <w:lang w:val="ka-GE"/>
              </w:rPr>
              <w:t>მგ</w:t>
            </w:r>
            <w:r w:rsidRPr="005C4A9D">
              <w:rPr>
                <w:rFonts w:ascii="Times New Roman" w:hAnsi="Times New Roman"/>
                <w:noProof/>
                <w:lang w:val="ka-GE"/>
              </w:rPr>
              <w:t xml:space="preserve">) + </w:t>
            </w:r>
            <w:r w:rsidRPr="005C4A9D">
              <w:rPr>
                <w:rFonts w:ascii="Sylfaen" w:hAnsi="Sylfaen" w:cs="Sylfaen"/>
                <w:noProof/>
                <w:lang w:val="ka-GE"/>
              </w:rPr>
              <w:t>ვოქსილაპრევირი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ერთხელ</w:t>
            </w:r>
            <w:r w:rsidRPr="005C4A9D">
              <w:rPr>
                <w:rFonts w:ascii="Times New Roman" w:hAnsi="Times New Roman"/>
                <w:noProof/>
                <w:lang w:val="ka-GE"/>
              </w:rPr>
              <w:t xml:space="preserve"> 15 </w:t>
            </w:r>
            <w:r w:rsidRPr="005C4A9D">
              <w:rPr>
                <w:rFonts w:ascii="Sylfaen" w:hAnsi="Sylfaen" w:cs="Sylfaen"/>
                <w:noProof/>
                <w:lang w:val="ka-GE"/>
              </w:rPr>
              <w:t>დღის</w:t>
            </w:r>
            <w:r w:rsidRPr="005C4A9D">
              <w:rPr>
                <w:rFonts w:ascii="Times New Roman" w:hAnsi="Times New Roman"/>
                <w:noProof/>
                <w:lang w:val="ka-GE"/>
              </w:rPr>
              <w:t xml:space="preserve"> </w:t>
            </w:r>
            <w:r w:rsidRPr="005C4A9D">
              <w:rPr>
                <w:rFonts w:ascii="Sylfaen" w:hAnsi="Sylfaen" w:cs="Sylfaen"/>
                <w:noProof/>
                <w:lang w:val="ka-GE"/>
              </w:rPr>
              <w:t>განმავლობაში</w:t>
            </w:r>
          </w:p>
        </w:tc>
        <w:tc>
          <w:tcPr>
            <w:tcW w:w="1150" w:type="pct"/>
            <w:tcBorders>
              <w:top w:val="outset" w:sz="6" w:space="0" w:color="auto"/>
              <w:left w:val="outset" w:sz="6" w:space="0" w:color="auto"/>
              <w:bottom w:val="outset" w:sz="6" w:space="0" w:color="auto"/>
              <w:right w:val="outset" w:sz="6" w:space="0" w:color="auto"/>
            </w:tcBorders>
          </w:tcPr>
          <w:p w14:paraId="42A21FC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60A8E40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7.4-</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19559606" w14:textId="77777777" w:rsidTr="00B82067">
        <w:trPr>
          <w:tblCellSpacing w:w="0" w:type="dxa"/>
        </w:trPr>
        <w:tc>
          <w:tcPr>
            <w:tcW w:w="2650" w:type="pct"/>
            <w:tcBorders>
              <w:top w:val="outset" w:sz="6" w:space="0" w:color="auto"/>
              <w:bottom w:val="outset" w:sz="6" w:space="0" w:color="auto"/>
              <w:right w:val="outset" w:sz="6" w:space="0" w:color="auto"/>
            </w:tcBorders>
          </w:tcPr>
          <w:p w14:paraId="1A9ACC5C"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ციკლოსპორინი</w:t>
            </w:r>
            <w:r w:rsidRPr="005C4A9D">
              <w:rPr>
                <w:rFonts w:ascii="Times New Roman" w:hAnsi="Times New Roman"/>
                <w:noProof/>
                <w:lang w:val="ka-GE"/>
              </w:rPr>
              <w:t xml:space="preserve"> 75 </w:t>
            </w:r>
            <w:r w:rsidRPr="005C4A9D">
              <w:rPr>
                <w:rFonts w:ascii="Sylfaen" w:hAnsi="Sylfaen" w:cs="Sylfaen"/>
                <w:noProof/>
                <w:lang w:val="ka-GE"/>
              </w:rPr>
              <w:t>მგ</w:t>
            </w:r>
            <w:r w:rsidRPr="005C4A9D">
              <w:rPr>
                <w:rFonts w:ascii="Times New Roman" w:hAnsi="Times New Roman"/>
                <w:noProof/>
                <w:lang w:val="ka-GE"/>
              </w:rPr>
              <w:t xml:space="preserve"> BID - 200 </w:t>
            </w:r>
            <w:r w:rsidRPr="005C4A9D">
              <w:rPr>
                <w:rFonts w:ascii="Sylfaen" w:hAnsi="Sylfaen" w:cs="Sylfaen"/>
                <w:noProof/>
                <w:lang w:val="ka-GE"/>
              </w:rPr>
              <w:t>მგ</w:t>
            </w:r>
            <w:r w:rsidRPr="005C4A9D">
              <w:rPr>
                <w:rFonts w:ascii="Times New Roman" w:hAnsi="Times New Roman"/>
                <w:noProof/>
                <w:lang w:val="ka-GE"/>
              </w:rPr>
              <w:t xml:space="preserve"> BID, 6 </w:t>
            </w:r>
            <w:r w:rsidRPr="005C4A9D">
              <w:rPr>
                <w:rFonts w:ascii="Sylfaen" w:hAnsi="Sylfaen" w:cs="Sylfaen"/>
                <w:noProof/>
                <w:lang w:val="ka-GE"/>
              </w:rPr>
              <w:t>თვე</w:t>
            </w:r>
          </w:p>
        </w:tc>
        <w:tc>
          <w:tcPr>
            <w:tcW w:w="1150" w:type="pct"/>
            <w:tcBorders>
              <w:top w:val="outset" w:sz="6" w:space="0" w:color="auto"/>
              <w:left w:val="outset" w:sz="6" w:space="0" w:color="auto"/>
              <w:bottom w:val="outset" w:sz="6" w:space="0" w:color="auto"/>
              <w:right w:val="outset" w:sz="6" w:space="0" w:color="auto"/>
            </w:tcBorders>
          </w:tcPr>
          <w:p w14:paraId="3F9E946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OD, 10 </w:t>
            </w:r>
            <w:r w:rsidRPr="005C4A9D">
              <w:rPr>
                <w:rFonts w:ascii="Sylfaen" w:hAnsi="Sylfaen" w:cs="Sylfaen"/>
                <w:noProof/>
                <w:lang w:val="ka-GE"/>
              </w:rPr>
              <w:t>დღე</w:t>
            </w:r>
          </w:p>
        </w:tc>
        <w:tc>
          <w:tcPr>
            <w:tcW w:w="1200" w:type="pct"/>
            <w:tcBorders>
              <w:top w:val="outset" w:sz="6" w:space="0" w:color="auto"/>
              <w:left w:val="outset" w:sz="6" w:space="0" w:color="auto"/>
              <w:bottom w:val="outset" w:sz="6" w:space="0" w:color="auto"/>
            </w:tcBorders>
          </w:tcPr>
          <w:p w14:paraId="41B008F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7.1-</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1D2BCD97" w14:textId="77777777" w:rsidTr="00B82067">
        <w:trPr>
          <w:tblCellSpacing w:w="0" w:type="dxa"/>
        </w:trPr>
        <w:tc>
          <w:tcPr>
            <w:tcW w:w="2650" w:type="pct"/>
            <w:tcBorders>
              <w:top w:val="outset" w:sz="6" w:space="0" w:color="auto"/>
              <w:bottom w:val="outset" w:sz="6" w:space="0" w:color="auto"/>
              <w:right w:val="outset" w:sz="6" w:space="0" w:color="auto"/>
            </w:tcBorders>
          </w:tcPr>
          <w:p w14:paraId="03691BE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დაროლუტამიდი</w:t>
            </w:r>
            <w:r w:rsidRPr="005C4A9D">
              <w:rPr>
                <w:rFonts w:ascii="Times New Roman" w:hAnsi="Times New Roman"/>
                <w:noProof/>
                <w:lang w:val="ka-GE"/>
              </w:rPr>
              <w:t xml:space="preserve"> 600 </w:t>
            </w:r>
            <w:r w:rsidRPr="005C4A9D">
              <w:rPr>
                <w:rFonts w:ascii="Sylfaen" w:hAnsi="Sylfaen" w:cs="Sylfaen"/>
                <w:noProof/>
                <w:lang w:val="ka-GE"/>
              </w:rPr>
              <w:t>მგ</w:t>
            </w:r>
            <w:r w:rsidRPr="005C4A9D">
              <w:rPr>
                <w:rFonts w:ascii="Times New Roman" w:hAnsi="Times New Roman"/>
                <w:noProof/>
                <w:lang w:val="ka-GE"/>
              </w:rPr>
              <w:t xml:space="preserve"> BID, 5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7261325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5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15D4BB8D"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5.2-</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0F9B258C" w14:textId="77777777" w:rsidTr="00B82067">
        <w:trPr>
          <w:tblCellSpacing w:w="0" w:type="dxa"/>
        </w:trPr>
        <w:tc>
          <w:tcPr>
            <w:tcW w:w="2650" w:type="pct"/>
            <w:tcBorders>
              <w:top w:val="outset" w:sz="6" w:space="0" w:color="auto"/>
              <w:bottom w:val="outset" w:sz="6" w:space="0" w:color="auto"/>
              <w:right w:val="outset" w:sz="6" w:space="0" w:color="auto"/>
            </w:tcBorders>
          </w:tcPr>
          <w:p w14:paraId="347AEAA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რეგორაფენიბი</w:t>
            </w:r>
            <w:r w:rsidRPr="005C4A9D">
              <w:rPr>
                <w:rFonts w:ascii="Times New Roman" w:hAnsi="Times New Roman"/>
                <w:noProof/>
                <w:lang w:val="ka-GE"/>
              </w:rPr>
              <w:t xml:space="preserve"> 160 </w:t>
            </w:r>
            <w:r w:rsidRPr="005C4A9D">
              <w:rPr>
                <w:rFonts w:ascii="Sylfaen" w:hAnsi="Sylfaen" w:cs="Sylfaen"/>
                <w:noProof/>
                <w:lang w:val="ka-GE"/>
              </w:rPr>
              <w:t>მგ</w:t>
            </w:r>
            <w:r w:rsidRPr="005C4A9D">
              <w:rPr>
                <w:rFonts w:ascii="Times New Roman" w:hAnsi="Times New Roman"/>
                <w:noProof/>
                <w:lang w:val="ka-GE"/>
              </w:rPr>
              <w:t xml:space="preserve">, OD, 14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6A87F4F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5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7CCE40D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3.8-</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7D1DAD83" w14:textId="77777777" w:rsidTr="00B82067">
        <w:trPr>
          <w:tblCellSpacing w:w="0" w:type="dxa"/>
        </w:trPr>
        <w:tc>
          <w:tcPr>
            <w:tcW w:w="2650" w:type="pct"/>
            <w:tcBorders>
              <w:top w:val="outset" w:sz="6" w:space="0" w:color="auto"/>
              <w:bottom w:val="outset" w:sz="6" w:space="0" w:color="auto"/>
              <w:right w:val="outset" w:sz="6" w:space="0" w:color="auto"/>
            </w:tcBorders>
          </w:tcPr>
          <w:p w14:paraId="4DFC1572"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ატაზანავირი</w:t>
            </w:r>
            <w:r w:rsidRPr="005C4A9D">
              <w:rPr>
                <w:rFonts w:ascii="Times New Roman" w:hAnsi="Times New Roman"/>
                <w:noProof/>
                <w:lang w:val="ka-GE"/>
              </w:rPr>
              <w:t xml:space="preserve"> 300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რიტონავირი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OD, 8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5ACF88F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66C70BD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3.1-</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387E695F" w14:textId="77777777" w:rsidTr="00B82067">
        <w:trPr>
          <w:tblCellSpacing w:w="0" w:type="dxa"/>
        </w:trPr>
        <w:tc>
          <w:tcPr>
            <w:tcW w:w="2650" w:type="pct"/>
            <w:tcBorders>
              <w:top w:val="outset" w:sz="6" w:space="0" w:color="auto"/>
              <w:bottom w:val="outset" w:sz="6" w:space="0" w:color="auto"/>
              <w:right w:val="outset" w:sz="6" w:space="0" w:color="auto"/>
            </w:tcBorders>
          </w:tcPr>
          <w:p w14:paraId="76967133"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ველპატასვირი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OD</w:t>
            </w:r>
          </w:p>
        </w:tc>
        <w:tc>
          <w:tcPr>
            <w:tcW w:w="1150" w:type="pct"/>
            <w:tcBorders>
              <w:top w:val="outset" w:sz="6" w:space="0" w:color="auto"/>
              <w:left w:val="outset" w:sz="6" w:space="0" w:color="auto"/>
              <w:bottom w:val="outset" w:sz="6" w:space="0" w:color="auto"/>
              <w:right w:val="outset" w:sz="6" w:space="0" w:color="auto"/>
            </w:tcBorders>
          </w:tcPr>
          <w:p w14:paraId="0481A00D"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7BE5C33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2.7-</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64CF8749" w14:textId="77777777" w:rsidTr="00B82067">
        <w:trPr>
          <w:tblCellSpacing w:w="0" w:type="dxa"/>
        </w:trPr>
        <w:tc>
          <w:tcPr>
            <w:tcW w:w="2650" w:type="pct"/>
            <w:tcBorders>
              <w:top w:val="outset" w:sz="6" w:space="0" w:color="auto"/>
              <w:bottom w:val="outset" w:sz="6" w:space="0" w:color="auto"/>
              <w:right w:val="outset" w:sz="6" w:space="0" w:color="auto"/>
            </w:tcBorders>
          </w:tcPr>
          <w:p w14:paraId="649D4670"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ომბიტასვირი</w:t>
            </w:r>
            <w:r w:rsidRPr="005C4A9D">
              <w:rPr>
                <w:rFonts w:ascii="Times New Roman" w:hAnsi="Times New Roman"/>
                <w:noProof/>
                <w:lang w:val="ka-GE"/>
              </w:rPr>
              <w:t xml:space="preserve"> 25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პარიტაპრევირი</w:t>
            </w:r>
            <w:r w:rsidRPr="005C4A9D">
              <w:rPr>
                <w:rFonts w:ascii="Times New Roman" w:hAnsi="Times New Roman"/>
                <w:noProof/>
                <w:lang w:val="ka-GE"/>
              </w:rPr>
              <w:t xml:space="preserve"> 150 </w:t>
            </w:r>
            <w:r w:rsidRPr="005C4A9D">
              <w:rPr>
                <w:rFonts w:ascii="Sylfaen" w:hAnsi="Sylfaen" w:cs="Sylfaen"/>
                <w:noProof/>
                <w:lang w:val="ka-GE"/>
              </w:rPr>
              <w:t>მგ</w:t>
            </w:r>
            <w:r w:rsidRPr="005C4A9D">
              <w:rPr>
                <w:rFonts w:ascii="Times New Roman" w:hAnsi="Times New Roman"/>
                <w:noProof/>
                <w:lang w:val="ka-GE"/>
              </w:rPr>
              <w:t>/</w:t>
            </w:r>
          </w:p>
          <w:p w14:paraId="00A42A3B"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რიტონავირი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OD/</w:t>
            </w:r>
            <w:r w:rsidRPr="005C4A9D">
              <w:rPr>
                <w:rFonts w:ascii="Sylfaen" w:hAnsi="Sylfaen" w:cs="Sylfaen"/>
                <w:noProof/>
                <w:lang w:val="ka-GE"/>
              </w:rPr>
              <w:t>დასაბუვირი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 xml:space="preserve"> BID, 14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34F4D05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5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2EEA125F"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2.6-</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3F4DD04D" w14:textId="77777777" w:rsidTr="00B82067">
        <w:trPr>
          <w:tblCellSpacing w:w="0" w:type="dxa"/>
        </w:trPr>
        <w:tc>
          <w:tcPr>
            <w:tcW w:w="2650" w:type="pct"/>
            <w:tcBorders>
              <w:top w:val="outset" w:sz="6" w:space="0" w:color="auto"/>
              <w:bottom w:val="outset" w:sz="6" w:space="0" w:color="auto"/>
              <w:right w:val="outset" w:sz="6" w:space="0" w:color="auto"/>
            </w:tcBorders>
          </w:tcPr>
          <w:p w14:paraId="0885E9A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ტერიფლუნომიდი</w:t>
            </w:r>
          </w:p>
        </w:tc>
        <w:tc>
          <w:tcPr>
            <w:tcW w:w="1150" w:type="pct"/>
            <w:tcBorders>
              <w:top w:val="outset" w:sz="6" w:space="0" w:color="auto"/>
              <w:left w:val="outset" w:sz="6" w:space="0" w:color="auto"/>
              <w:bottom w:val="outset" w:sz="6" w:space="0" w:color="auto"/>
              <w:right w:val="outset" w:sz="6" w:space="0" w:color="auto"/>
            </w:tcBorders>
          </w:tcPr>
          <w:p w14:paraId="14608914"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noProof/>
                <w:lang w:val="ka-GE"/>
              </w:rPr>
              <w:t>მიუწვდომელია</w:t>
            </w:r>
          </w:p>
        </w:tc>
        <w:tc>
          <w:tcPr>
            <w:tcW w:w="1200" w:type="pct"/>
            <w:tcBorders>
              <w:top w:val="outset" w:sz="6" w:space="0" w:color="auto"/>
              <w:left w:val="outset" w:sz="6" w:space="0" w:color="auto"/>
              <w:bottom w:val="outset" w:sz="6" w:space="0" w:color="auto"/>
            </w:tcBorders>
          </w:tcPr>
          <w:p w14:paraId="5677719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2.5-</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1647E994" w14:textId="77777777" w:rsidTr="00B82067">
        <w:trPr>
          <w:tblCellSpacing w:w="0" w:type="dxa"/>
        </w:trPr>
        <w:tc>
          <w:tcPr>
            <w:tcW w:w="2650" w:type="pct"/>
            <w:tcBorders>
              <w:top w:val="outset" w:sz="6" w:space="0" w:color="auto"/>
              <w:bottom w:val="outset" w:sz="6" w:space="0" w:color="auto"/>
              <w:right w:val="outset" w:sz="6" w:space="0" w:color="auto"/>
            </w:tcBorders>
          </w:tcPr>
          <w:p w14:paraId="273CEC05"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გრაზოპრევირი</w:t>
            </w:r>
            <w:r w:rsidRPr="005C4A9D">
              <w:rPr>
                <w:rFonts w:ascii="Times New Roman" w:hAnsi="Times New Roman"/>
                <w:noProof/>
                <w:lang w:val="ka-GE"/>
              </w:rPr>
              <w:t xml:space="preserve"> 200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ელბასვირი</w:t>
            </w:r>
            <w:r w:rsidRPr="005C4A9D">
              <w:rPr>
                <w:rFonts w:ascii="Times New Roman" w:hAnsi="Times New Roman"/>
                <w:noProof/>
                <w:lang w:val="ka-GE"/>
              </w:rPr>
              <w:t xml:space="preserve"> 50 </w:t>
            </w:r>
            <w:r w:rsidRPr="005C4A9D">
              <w:rPr>
                <w:rFonts w:ascii="Sylfaen" w:hAnsi="Sylfaen" w:cs="Sylfaen"/>
                <w:noProof/>
                <w:lang w:val="ka-GE"/>
              </w:rPr>
              <w:t>მგ</w:t>
            </w:r>
            <w:r w:rsidRPr="005C4A9D">
              <w:rPr>
                <w:rFonts w:ascii="Times New Roman" w:hAnsi="Times New Roman"/>
                <w:noProof/>
                <w:lang w:val="ka-GE"/>
              </w:rPr>
              <w:t xml:space="preserve"> OD, 11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673751AF"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5045868F"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2.3-</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1ACF1D78" w14:textId="77777777" w:rsidTr="00B82067">
        <w:trPr>
          <w:tblCellSpacing w:w="0" w:type="dxa"/>
        </w:trPr>
        <w:tc>
          <w:tcPr>
            <w:tcW w:w="2650" w:type="pct"/>
            <w:tcBorders>
              <w:top w:val="outset" w:sz="6" w:space="0" w:color="auto"/>
              <w:bottom w:val="outset" w:sz="6" w:space="0" w:color="auto"/>
              <w:right w:val="outset" w:sz="6" w:space="0" w:color="auto"/>
            </w:tcBorders>
          </w:tcPr>
          <w:p w14:paraId="5FD88D22"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გლეკაპრევირი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პიბრენტასვირი</w:t>
            </w:r>
            <w:r w:rsidRPr="005C4A9D">
              <w:rPr>
                <w:rFonts w:ascii="Times New Roman" w:hAnsi="Times New Roman"/>
                <w:noProof/>
                <w:lang w:val="ka-GE"/>
              </w:rPr>
              <w:t xml:space="preserve"> 120 </w:t>
            </w:r>
            <w:r w:rsidRPr="005C4A9D">
              <w:rPr>
                <w:rFonts w:ascii="Sylfaen" w:hAnsi="Sylfaen" w:cs="Sylfaen"/>
                <w:noProof/>
                <w:lang w:val="ka-GE"/>
              </w:rPr>
              <w:t>მგ</w:t>
            </w:r>
            <w:r w:rsidRPr="005C4A9D">
              <w:rPr>
                <w:rFonts w:ascii="Times New Roman" w:hAnsi="Times New Roman"/>
                <w:noProof/>
                <w:lang w:val="ka-GE"/>
              </w:rPr>
              <w:t xml:space="preserve"> OD, 7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11AB3E4D"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5 </w:t>
            </w:r>
            <w:r w:rsidRPr="005C4A9D">
              <w:rPr>
                <w:rFonts w:ascii="Sylfaen" w:hAnsi="Sylfaen" w:cs="Sylfaen"/>
                <w:noProof/>
                <w:lang w:val="ka-GE"/>
              </w:rPr>
              <w:t>მგ</w:t>
            </w:r>
            <w:r w:rsidRPr="005C4A9D">
              <w:rPr>
                <w:rFonts w:ascii="Times New Roman" w:hAnsi="Times New Roman"/>
                <w:noProof/>
                <w:lang w:val="ka-GE"/>
              </w:rPr>
              <w:t xml:space="preserve"> OD, 7 </w:t>
            </w:r>
            <w:r w:rsidRPr="005C4A9D">
              <w:rPr>
                <w:rFonts w:ascii="Sylfaen" w:hAnsi="Sylfaen" w:cs="Sylfaen"/>
                <w:noProof/>
                <w:lang w:val="ka-GE"/>
              </w:rPr>
              <w:t>დღე</w:t>
            </w:r>
          </w:p>
        </w:tc>
        <w:tc>
          <w:tcPr>
            <w:tcW w:w="1200" w:type="pct"/>
            <w:tcBorders>
              <w:top w:val="outset" w:sz="6" w:space="0" w:color="auto"/>
              <w:left w:val="outset" w:sz="6" w:space="0" w:color="auto"/>
              <w:bottom w:val="outset" w:sz="6" w:space="0" w:color="auto"/>
            </w:tcBorders>
          </w:tcPr>
          <w:p w14:paraId="7181C77E"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2.2-</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0EC2776C" w14:textId="77777777" w:rsidTr="00B82067">
        <w:trPr>
          <w:tblCellSpacing w:w="0" w:type="dxa"/>
        </w:trPr>
        <w:tc>
          <w:tcPr>
            <w:tcW w:w="2650" w:type="pct"/>
            <w:tcBorders>
              <w:top w:val="outset" w:sz="6" w:space="0" w:color="auto"/>
              <w:bottom w:val="outset" w:sz="6" w:space="0" w:color="auto"/>
              <w:right w:val="outset" w:sz="6" w:space="0" w:color="auto"/>
            </w:tcBorders>
          </w:tcPr>
          <w:p w14:paraId="16AA3F44"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ლოპინავირი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რიტონავირი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BID, 17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1C49CFC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20 </w:t>
            </w:r>
            <w:r w:rsidRPr="005C4A9D">
              <w:rPr>
                <w:rFonts w:ascii="Sylfaen" w:hAnsi="Sylfaen" w:cs="Sylfaen"/>
                <w:noProof/>
                <w:lang w:val="ka-GE"/>
              </w:rPr>
              <w:t>მგ</w:t>
            </w:r>
            <w:r w:rsidRPr="005C4A9D">
              <w:rPr>
                <w:rFonts w:ascii="Times New Roman" w:hAnsi="Times New Roman"/>
                <w:noProof/>
                <w:lang w:val="ka-GE"/>
              </w:rPr>
              <w:t xml:space="preserve"> OD, 7 </w:t>
            </w:r>
            <w:r w:rsidRPr="005C4A9D">
              <w:rPr>
                <w:rFonts w:ascii="Sylfaen" w:hAnsi="Sylfaen" w:cs="Sylfaen"/>
                <w:noProof/>
                <w:lang w:val="ka-GE"/>
              </w:rPr>
              <w:t>დღე</w:t>
            </w:r>
          </w:p>
        </w:tc>
        <w:tc>
          <w:tcPr>
            <w:tcW w:w="1200" w:type="pct"/>
            <w:tcBorders>
              <w:top w:val="outset" w:sz="6" w:space="0" w:color="auto"/>
              <w:left w:val="outset" w:sz="6" w:space="0" w:color="auto"/>
              <w:bottom w:val="outset" w:sz="6" w:space="0" w:color="auto"/>
            </w:tcBorders>
          </w:tcPr>
          <w:p w14:paraId="56B5928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2.1-</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4E152D80" w14:textId="77777777" w:rsidTr="00B82067">
        <w:trPr>
          <w:tblCellSpacing w:w="0" w:type="dxa"/>
        </w:trPr>
        <w:tc>
          <w:tcPr>
            <w:tcW w:w="2650" w:type="pct"/>
            <w:tcBorders>
              <w:top w:val="outset" w:sz="6" w:space="0" w:color="auto"/>
              <w:bottom w:val="outset" w:sz="6" w:space="0" w:color="auto"/>
              <w:right w:val="outset" w:sz="6" w:space="0" w:color="auto"/>
            </w:tcBorders>
          </w:tcPr>
          <w:p w14:paraId="556C16D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კაპმატინიბი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 xml:space="preserve"> BID</w:t>
            </w:r>
          </w:p>
        </w:tc>
        <w:tc>
          <w:tcPr>
            <w:tcW w:w="1150" w:type="pct"/>
            <w:tcBorders>
              <w:top w:val="outset" w:sz="6" w:space="0" w:color="auto"/>
              <w:left w:val="outset" w:sz="6" w:space="0" w:color="auto"/>
              <w:bottom w:val="outset" w:sz="6" w:space="0" w:color="auto"/>
              <w:right w:val="outset" w:sz="6" w:space="0" w:color="auto"/>
            </w:tcBorders>
          </w:tcPr>
          <w:p w14:paraId="2EB42CB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lastRenderedPageBreak/>
              <w:t>დოზა</w:t>
            </w:r>
          </w:p>
        </w:tc>
        <w:tc>
          <w:tcPr>
            <w:tcW w:w="1200" w:type="pct"/>
            <w:tcBorders>
              <w:top w:val="outset" w:sz="6" w:space="0" w:color="auto"/>
              <w:left w:val="outset" w:sz="6" w:space="0" w:color="auto"/>
              <w:bottom w:val="outset" w:sz="6" w:space="0" w:color="auto"/>
            </w:tcBorders>
          </w:tcPr>
          <w:p w14:paraId="512330D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lastRenderedPageBreak/>
              <w:t>2.1-</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4057A269" w14:textId="77777777" w:rsidTr="00B82067">
        <w:trPr>
          <w:tblCellSpacing w:w="0" w:type="dxa"/>
        </w:trPr>
        <w:tc>
          <w:tcPr>
            <w:tcW w:w="2650" w:type="pct"/>
            <w:tcBorders>
              <w:top w:val="outset" w:sz="6" w:space="0" w:color="auto"/>
              <w:bottom w:val="outset" w:sz="6" w:space="0" w:color="auto"/>
              <w:right w:val="outset" w:sz="6" w:space="0" w:color="auto"/>
            </w:tcBorders>
          </w:tcPr>
          <w:p w14:paraId="1D7F645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კლოპიდოგრელი</w:t>
            </w:r>
            <w:r w:rsidRPr="005C4A9D">
              <w:rPr>
                <w:rFonts w:ascii="Times New Roman" w:hAnsi="Times New Roman"/>
                <w:noProof/>
                <w:lang w:val="ka-GE"/>
              </w:rPr>
              <w:t xml:space="preserve"> 300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დატვირთვის</w:t>
            </w:r>
            <w:r w:rsidRPr="005C4A9D">
              <w:rPr>
                <w:rFonts w:ascii="Times New Roman" w:hAnsi="Times New Roman"/>
                <w:noProof/>
                <w:lang w:val="ka-GE"/>
              </w:rPr>
              <w:t xml:space="preserve"> </w:t>
            </w:r>
            <w:r w:rsidRPr="005C4A9D">
              <w:rPr>
                <w:rFonts w:ascii="Sylfaen" w:hAnsi="Sylfaen" w:cs="Sylfaen"/>
                <w:noProof/>
                <w:lang w:val="ka-GE"/>
              </w:rPr>
              <w:t>დოზა</w:t>
            </w:r>
            <w:r w:rsidRPr="005C4A9D">
              <w:rPr>
                <w:rFonts w:ascii="Times New Roman" w:hAnsi="Times New Roman"/>
                <w:noProof/>
                <w:lang w:val="ka-GE"/>
              </w:rPr>
              <w:t xml:space="preserve">, </w:t>
            </w:r>
            <w:r w:rsidRPr="005C4A9D">
              <w:rPr>
                <w:rFonts w:ascii="Sylfaen" w:hAnsi="Sylfaen" w:cs="Sylfaen"/>
                <w:noProof/>
                <w:lang w:val="ka-GE"/>
              </w:rPr>
              <w:t>შემდეგ</w:t>
            </w:r>
            <w:r w:rsidRPr="005C4A9D">
              <w:rPr>
                <w:rFonts w:ascii="Times New Roman" w:hAnsi="Times New Roman"/>
                <w:noProof/>
                <w:lang w:val="ka-GE"/>
              </w:rPr>
              <w:t xml:space="preserve"> 75 </w:t>
            </w:r>
            <w:r w:rsidRPr="005C4A9D">
              <w:rPr>
                <w:rFonts w:ascii="Sylfaen" w:hAnsi="Sylfaen" w:cs="Sylfaen"/>
                <w:noProof/>
                <w:lang w:val="ka-GE"/>
              </w:rPr>
              <w:t>მგ</w:t>
            </w:r>
            <w:r w:rsidRPr="005C4A9D">
              <w:rPr>
                <w:rFonts w:ascii="Times New Roman" w:hAnsi="Times New Roman"/>
                <w:noProof/>
                <w:lang w:val="ka-GE"/>
              </w:rPr>
              <w:t xml:space="preserve"> 24 </w:t>
            </w:r>
            <w:r w:rsidRPr="005C4A9D">
              <w:rPr>
                <w:rFonts w:ascii="Sylfaen" w:hAnsi="Sylfaen" w:cs="Sylfaen"/>
                <w:noProof/>
                <w:lang w:val="ka-GE"/>
              </w:rPr>
              <w:t>საათის</w:t>
            </w:r>
            <w:r w:rsidRPr="005C4A9D">
              <w:rPr>
                <w:rFonts w:ascii="Times New Roman" w:hAnsi="Times New Roman"/>
                <w:noProof/>
                <w:lang w:val="ka-GE"/>
              </w:rPr>
              <w:t xml:space="preserve"> </w:t>
            </w:r>
            <w:r w:rsidRPr="005C4A9D">
              <w:rPr>
                <w:rFonts w:ascii="Sylfaen" w:hAnsi="Sylfaen" w:cs="Sylfaen"/>
                <w:noProof/>
                <w:lang w:val="ka-GE"/>
              </w:rPr>
              <w:t>შემდეგ</w:t>
            </w:r>
          </w:p>
        </w:tc>
        <w:tc>
          <w:tcPr>
            <w:tcW w:w="1150" w:type="pct"/>
            <w:tcBorders>
              <w:top w:val="outset" w:sz="6" w:space="0" w:color="auto"/>
              <w:left w:val="outset" w:sz="6" w:space="0" w:color="auto"/>
              <w:bottom w:val="outset" w:sz="6" w:space="0" w:color="auto"/>
              <w:right w:val="outset" w:sz="6" w:space="0" w:color="auto"/>
            </w:tcBorders>
          </w:tcPr>
          <w:p w14:paraId="3B39131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20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179EC0D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w:t>
            </w:r>
            <w:r w:rsidRPr="005C4A9D">
              <w:rPr>
                <w:rFonts w:ascii="Sylfaen" w:hAnsi="Sylfaen" w:cs="Sylfaen"/>
                <w:noProof/>
                <w:lang w:val="ka-GE"/>
              </w:rPr>
              <w:t>ჯერადი</w:t>
            </w:r>
            <w:r w:rsidRPr="005C4A9D">
              <w:rPr>
                <w:rFonts w:ascii="Times New Roman" w:hAnsi="Times New Roman"/>
                <w:noProof/>
                <w:lang w:val="ka-GE"/>
              </w:rPr>
              <w:t xml:space="preserve"> ↑</w:t>
            </w:r>
          </w:p>
        </w:tc>
      </w:tr>
      <w:tr w:rsidR="00B06C4A" w:rsidRPr="005C4A9D" w14:paraId="6965C735" w14:textId="77777777" w:rsidTr="00B82067">
        <w:trPr>
          <w:tblCellSpacing w:w="0" w:type="dxa"/>
        </w:trPr>
        <w:tc>
          <w:tcPr>
            <w:tcW w:w="2650" w:type="pct"/>
            <w:tcBorders>
              <w:top w:val="outset" w:sz="6" w:space="0" w:color="auto"/>
              <w:bottom w:val="outset" w:sz="6" w:space="0" w:color="auto"/>
              <w:right w:val="outset" w:sz="6" w:space="0" w:color="auto"/>
            </w:tcBorders>
          </w:tcPr>
          <w:p w14:paraId="7CFE6E7B"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ფოსტამატინიბი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ორჯერ</w:t>
            </w:r>
          </w:p>
        </w:tc>
        <w:tc>
          <w:tcPr>
            <w:tcW w:w="1150" w:type="pct"/>
            <w:tcBorders>
              <w:top w:val="outset" w:sz="6" w:space="0" w:color="auto"/>
              <w:left w:val="outset" w:sz="6" w:space="0" w:color="auto"/>
              <w:bottom w:val="outset" w:sz="6" w:space="0" w:color="auto"/>
              <w:right w:val="outset" w:sz="6" w:space="0" w:color="auto"/>
            </w:tcBorders>
          </w:tcPr>
          <w:p w14:paraId="47E16ACE"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20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2DCB401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2.0-</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2CF12FE5" w14:textId="77777777" w:rsidTr="00B82067">
        <w:trPr>
          <w:tblCellSpacing w:w="0" w:type="dxa"/>
        </w:trPr>
        <w:tc>
          <w:tcPr>
            <w:tcW w:w="2650" w:type="pct"/>
            <w:tcBorders>
              <w:top w:val="outset" w:sz="6" w:space="0" w:color="auto"/>
              <w:bottom w:val="outset" w:sz="6" w:space="0" w:color="auto"/>
              <w:right w:val="outset" w:sz="6" w:space="0" w:color="auto"/>
            </w:tcBorders>
          </w:tcPr>
          <w:p w14:paraId="00981FD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ფებუქსოსტატი</w:t>
            </w:r>
            <w:r w:rsidRPr="005C4A9D">
              <w:rPr>
                <w:rFonts w:ascii="Times New Roman" w:hAnsi="Times New Roman"/>
                <w:noProof/>
                <w:lang w:val="ka-GE"/>
              </w:rPr>
              <w:t xml:space="preserve"> 120 </w:t>
            </w:r>
            <w:r w:rsidRPr="005C4A9D">
              <w:rPr>
                <w:rFonts w:ascii="Sylfaen" w:hAnsi="Sylfaen" w:cs="Sylfaen"/>
                <w:noProof/>
                <w:lang w:val="ka-GE"/>
              </w:rPr>
              <w:t>მგ</w:t>
            </w:r>
            <w:r w:rsidRPr="005C4A9D">
              <w:rPr>
                <w:rFonts w:ascii="Times New Roman" w:hAnsi="Times New Roman"/>
                <w:noProof/>
                <w:lang w:val="ka-GE"/>
              </w:rPr>
              <w:t xml:space="preserve"> OD</w:t>
            </w:r>
          </w:p>
        </w:tc>
        <w:tc>
          <w:tcPr>
            <w:tcW w:w="1150" w:type="pct"/>
            <w:tcBorders>
              <w:top w:val="outset" w:sz="6" w:space="0" w:color="auto"/>
              <w:left w:val="outset" w:sz="6" w:space="0" w:color="auto"/>
              <w:bottom w:val="outset" w:sz="6" w:space="0" w:color="auto"/>
              <w:right w:val="outset" w:sz="6" w:space="0" w:color="auto"/>
            </w:tcBorders>
          </w:tcPr>
          <w:p w14:paraId="670A179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0937638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1.9-</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4D51ECD5" w14:textId="77777777" w:rsidTr="00B82067">
        <w:trPr>
          <w:tblCellSpacing w:w="0" w:type="dxa"/>
        </w:trPr>
        <w:tc>
          <w:tcPr>
            <w:tcW w:w="2650" w:type="pct"/>
            <w:tcBorders>
              <w:top w:val="outset" w:sz="6" w:space="0" w:color="auto"/>
              <w:bottom w:val="outset" w:sz="6" w:space="0" w:color="auto"/>
              <w:right w:val="outset" w:sz="6" w:space="0" w:color="auto"/>
            </w:tcBorders>
          </w:tcPr>
          <w:p w14:paraId="3BC72A7A"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გემფიბროზილი</w:t>
            </w:r>
            <w:r w:rsidRPr="005C4A9D">
              <w:rPr>
                <w:rFonts w:ascii="Times New Roman" w:hAnsi="Times New Roman"/>
                <w:noProof/>
                <w:lang w:val="ka-GE"/>
              </w:rPr>
              <w:t xml:space="preserve"> 600 </w:t>
            </w:r>
            <w:r w:rsidRPr="005C4A9D">
              <w:rPr>
                <w:rFonts w:ascii="Sylfaen" w:hAnsi="Sylfaen" w:cs="Sylfaen"/>
                <w:noProof/>
                <w:lang w:val="ka-GE"/>
              </w:rPr>
              <w:t>მგ</w:t>
            </w:r>
            <w:r w:rsidRPr="005C4A9D">
              <w:rPr>
                <w:rFonts w:ascii="Times New Roman" w:hAnsi="Times New Roman"/>
                <w:noProof/>
                <w:lang w:val="ka-GE"/>
              </w:rPr>
              <w:t xml:space="preserve"> BID, 7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62B54C5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80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603E33B1"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1.9-</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678C0BD4" w14:textId="77777777" w:rsidTr="00B82067">
        <w:trPr>
          <w:tblCellSpacing w:w="0" w:type="dxa"/>
        </w:trPr>
        <w:tc>
          <w:tcPr>
            <w:tcW w:w="5000" w:type="pct"/>
            <w:gridSpan w:val="3"/>
            <w:tcBorders>
              <w:top w:val="outset" w:sz="6" w:space="0" w:color="auto"/>
              <w:bottom w:val="outset" w:sz="6" w:space="0" w:color="auto"/>
            </w:tcBorders>
          </w:tcPr>
          <w:p w14:paraId="5AF797EB"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AUC-</w:t>
            </w:r>
            <w:r w:rsidRPr="005C4A9D">
              <w:rPr>
                <w:rFonts w:ascii="Sylfaen" w:hAnsi="Sylfaen" w:cs="Sylfaen"/>
                <w:b/>
                <w:bCs/>
                <w:noProof/>
                <w:lang w:val="ka-GE"/>
              </w:rPr>
              <w:t>ის</w:t>
            </w:r>
            <w:r w:rsidRPr="005C4A9D">
              <w:rPr>
                <w:rFonts w:ascii="Times New Roman" w:hAnsi="Times New Roman"/>
                <w:b/>
                <w:bCs/>
                <w:noProof/>
                <w:lang w:val="ka-GE"/>
              </w:rPr>
              <w:t xml:space="preserve"> 2-</w:t>
            </w:r>
            <w:r w:rsidRPr="005C4A9D">
              <w:rPr>
                <w:rFonts w:ascii="Sylfaen" w:hAnsi="Sylfaen" w:cs="Sylfaen"/>
                <w:b/>
                <w:bCs/>
                <w:noProof/>
                <w:lang w:val="ka-GE"/>
              </w:rPr>
              <w:t>ჯერზე</w:t>
            </w:r>
            <w:r w:rsidRPr="005C4A9D">
              <w:rPr>
                <w:rFonts w:ascii="Times New Roman" w:hAnsi="Times New Roman"/>
                <w:b/>
                <w:bCs/>
                <w:noProof/>
                <w:lang w:val="ka-GE"/>
              </w:rPr>
              <w:t xml:space="preserve"> </w:t>
            </w:r>
            <w:r w:rsidRPr="005C4A9D">
              <w:rPr>
                <w:rFonts w:ascii="Sylfaen" w:hAnsi="Sylfaen" w:cs="Sylfaen"/>
                <w:b/>
                <w:bCs/>
                <w:noProof/>
                <w:lang w:val="ka-GE"/>
              </w:rPr>
              <w:t>ნაკლები</w:t>
            </w:r>
            <w:r w:rsidRPr="005C4A9D">
              <w:rPr>
                <w:rFonts w:ascii="Times New Roman" w:hAnsi="Times New Roman"/>
                <w:b/>
                <w:bCs/>
                <w:noProof/>
                <w:lang w:val="ka-GE"/>
              </w:rPr>
              <w:t xml:space="preserve"> </w:t>
            </w:r>
            <w:r w:rsidRPr="005C4A9D">
              <w:rPr>
                <w:rFonts w:ascii="Sylfaen" w:hAnsi="Sylfaen" w:cs="Sylfaen"/>
                <w:b/>
                <w:bCs/>
                <w:noProof/>
                <w:lang w:val="ka-GE"/>
              </w:rPr>
              <w:t>ზრდა</w:t>
            </w:r>
          </w:p>
        </w:tc>
      </w:tr>
      <w:tr w:rsidR="00B06C4A" w:rsidRPr="005C4A9D" w14:paraId="147CFD80" w14:textId="77777777" w:rsidTr="00B82067">
        <w:trPr>
          <w:tblCellSpacing w:w="0" w:type="dxa"/>
        </w:trPr>
        <w:tc>
          <w:tcPr>
            <w:tcW w:w="2650" w:type="pct"/>
            <w:tcBorders>
              <w:top w:val="outset" w:sz="6" w:space="0" w:color="auto"/>
              <w:bottom w:val="outset" w:sz="6" w:space="0" w:color="auto"/>
              <w:right w:val="outset" w:sz="6" w:space="0" w:color="auto"/>
            </w:tcBorders>
          </w:tcPr>
          <w:p w14:paraId="02AEAEB8"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ელთრომბოპაგი</w:t>
            </w:r>
            <w:r w:rsidRPr="005C4A9D">
              <w:rPr>
                <w:rFonts w:ascii="Times New Roman" w:hAnsi="Times New Roman"/>
                <w:noProof/>
                <w:lang w:val="ka-GE"/>
              </w:rPr>
              <w:t xml:space="preserve"> 75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OD,</w:t>
            </w:r>
            <w:r w:rsidRPr="005C4A9D">
              <w:rPr>
                <w:rFonts w:ascii="Times New Roman" w:hAnsi="Times New Roman"/>
                <w:noProof/>
                <w:lang w:val="ka-GE"/>
              </w:rPr>
              <w:t xml:space="preserve"> 5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02716F2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54C13E3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1.6-</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781A9AD9" w14:textId="77777777" w:rsidTr="00B82067">
        <w:trPr>
          <w:tblCellSpacing w:w="0" w:type="dxa"/>
        </w:trPr>
        <w:tc>
          <w:tcPr>
            <w:tcW w:w="2650" w:type="pct"/>
            <w:tcBorders>
              <w:top w:val="outset" w:sz="6" w:space="0" w:color="auto"/>
              <w:bottom w:val="outset" w:sz="6" w:space="0" w:color="auto"/>
              <w:right w:val="outset" w:sz="6" w:space="0" w:color="auto"/>
            </w:tcBorders>
          </w:tcPr>
          <w:p w14:paraId="1A15DFCF"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დარუნავირი</w:t>
            </w:r>
            <w:r w:rsidRPr="005C4A9D">
              <w:rPr>
                <w:rFonts w:ascii="Times New Roman" w:hAnsi="Times New Roman"/>
                <w:noProof/>
                <w:lang w:val="ka-GE"/>
              </w:rPr>
              <w:t xml:space="preserve"> 600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რიტონავირი</w:t>
            </w:r>
            <w:r w:rsidRPr="005C4A9D">
              <w:rPr>
                <w:rFonts w:ascii="Times New Roman" w:hAnsi="Times New Roman"/>
                <w:noProof/>
                <w:lang w:val="ka-GE"/>
              </w:rPr>
              <w:t xml:space="preserve"> 100 </w:t>
            </w:r>
            <w:r w:rsidRPr="005C4A9D">
              <w:rPr>
                <w:rFonts w:ascii="Sylfaen" w:hAnsi="Sylfaen" w:cs="Sylfaen"/>
                <w:noProof/>
                <w:lang w:val="ka-GE"/>
              </w:rPr>
              <w:t>მგ</w:t>
            </w:r>
            <w:r w:rsidRPr="005C4A9D">
              <w:rPr>
                <w:rFonts w:ascii="Times New Roman" w:hAnsi="Times New Roman"/>
                <w:noProof/>
                <w:lang w:val="ka-GE"/>
              </w:rPr>
              <w:t xml:space="preserve"> BID, 7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5437C68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OD, 7 </w:t>
            </w:r>
            <w:r w:rsidRPr="005C4A9D">
              <w:rPr>
                <w:rFonts w:ascii="Sylfaen" w:hAnsi="Sylfaen" w:cs="Sylfaen"/>
                <w:noProof/>
                <w:lang w:val="ka-GE"/>
              </w:rPr>
              <w:t>დღე</w:t>
            </w:r>
          </w:p>
        </w:tc>
        <w:tc>
          <w:tcPr>
            <w:tcW w:w="1200" w:type="pct"/>
            <w:tcBorders>
              <w:top w:val="outset" w:sz="6" w:space="0" w:color="auto"/>
              <w:left w:val="outset" w:sz="6" w:space="0" w:color="auto"/>
              <w:bottom w:val="outset" w:sz="6" w:space="0" w:color="auto"/>
            </w:tcBorders>
          </w:tcPr>
          <w:p w14:paraId="7AC87AC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1.5-</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3641CCD5" w14:textId="77777777" w:rsidTr="00B82067">
        <w:trPr>
          <w:tblCellSpacing w:w="0" w:type="dxa"/>
        </w:trPr>
        <w:tc>
          <w:tcPr>
            <w:tcW w:w="2650" w:type="pct"/>
            <w:tcBorders>
              <w:top w:val="outset" w:sz="6" w:space="0" w:color="auto"/>
              <w:bottom w:val="outset" w:sz="6" w:space="0" w:color="auto"/>
              <w:right w:val="outset" w:sz="6" w:space="0" w:color="auto"/>
            </w:tcBorders>
          </w:tcPr>
          <w:p w14:paraId="2FB37B88"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ტიპრანავირი</w:t>
            </w:r>
            <w:r w:rsidRPr="005C4A9D">
              <w:rPr>
                <w:rFonts w:ascii="Times New Roman" w:hAnsi="Times New Roman"/>
                <w:noProof/>
                <w:lang w:val="ka-GE"/>
              </w:rPr>
              <w:t xml:space="preserve"> 500 </w:t>
            </w:r>
            <w:r w:rsidRPr="005C4A9D">
              <w:rPr>
                <w:rFonts w:ascii="Sylfaen" w:hAnsi="Sylfaen" w:cs="Sylfaen"/>
                <w:noProof/>
                <w:lang w:val="ka-GE"/>
              </w:rPr>
              <w:t>მგ</w:t>
            </w:r>
            <w:r w:rsidRPr="005C4A9D">
              <w:rPr>
                <w:rFonts w:ascii="Times New Roman" w:hAnsi="Times New Roman"/>
                <w:noProof/>
                <w:lang w:val="ka-GE"/>
              </w:rPr>
              <w:t>/</w:t>
            </w:r>
            <w:r w:rsidRPr="005C4A9D">
              <w:rPr>
                <w:rFonts w:ascii="Sylfaen" w:hAnsi="Sylfaen" w:cs="Sylfaen"/>
                <w:noProof/>
                <w:lang w:val="ka-GE"/>
              </w:rPr>
              <w:t>რიტონავირი</w:t>
            </w:r>
            <w:r w:rsidRPr="005C4A9D">
              <w:rPr>
                <w:rFonts w:ascii="Times New Roman" w:hAnsi="Times New Roman"/>
                <w:noProof/>
                <w:lang w:val="ka-GE"/>
              </w:rPr>
              <w:t xml:space="preserve"> 200 </w:t>
            </w:r>
            <w:r w:rsidRPr="005C4A9D">
              <w:rPr>
                <w:rFonts w:ascii="Sylfaen" w:hAnsi="Sylfaen" w:cs="Sylfaen"/>
                <w:noProof/>
                <w:lang w:val="ka-GE"/>
              </w:rPr>
              <w:t xml:space="preserve">მგ BID, </w:t>
            </w:r>
            <w:r w:rsidRPr="005C4A9D">
              <w:rPr>
                <w:rFonts w:ascii="Times New Roman" w:hAnsi="Times New Roman"/>
                <w:noProof/>
                <w:lang w:val="ka-GE"/>
              </w:rPr>
              <w:t xml:space="preserve">11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1396DE4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1DD95941"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1.4-</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2DA5FFB0" w14:textId="77777777" w:rsidTr="00B82067">
        <w:trPr>
          <w:tblCellSpacing w:w="0" w:type="dxa"/>
        </w:trPr>
        <w:tc>
          <w:tcPr>
            <w:tcW w:w="2650" w:type="pct"/>
            <w:tcBorders>
              <w:top w:val="outset" w:sz="6" w:space="0" w:color="auto"/>
              <w:bottom w:val="outset" w:sz="6" w:space="0" w:color="auto"/>
              <w:right w:val="outset" w:sz="6" w:space="0" w:color="auto"/>
            </w:tcBorders>
          </w:tcPr>
          <w:p w14:paraId="155BE664"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დრონედარონი</w:t>
            </w:r>
            <w:r w:rsidRPr="005C4A9D">
              <w:rPr>
                <w:rFonts w:ascii="Times New Roman" w:hAnsi="Times New Roman"/>
                <w:noProof/>
                <w:lang w:val="ka-GE"/>
              </w:rPr>
              <w:t xml:space="preserve"> 400 </w:t>
            </w:r>
            <w:r w:rsidRPr="005C4A9D">
              <w:rPr>
                <w:rFonts w:ascii="Sylfaen" w:hAnsi="Sylfaen" w:cs="Sylfaen"/>
                <w:noProof/>
                <w:lang w:val="ka-GE"/>
              </w:rPr>
              <w:t>მგ</w:t>
            </w:r>
            <w:r w:rsidRPr="005C4A9D">
              <w:rPr>
                <w:rFonts w:ascii="Times New Roman" w:hAnsi="Times New Roman"/>
                <w:noProof/>
                <w:lang w:val="ka-GE"/>
              </w:rPr>
              <w:t xml:space="preserve"> BID</w:t>
            </w:r>
          </w:p>
        </w:tc>
        <w:tc>
          <w:tcPr>
            <w:tcW w:w="1150" w:type="pct"/>
            <w:tcBorders>
              <w:top w:val="outset" w:sz="6" w:space="0" w:color="auto"/>
              <w:left w:val="outset" w:sz="6" w:space="0" w:color="auto"/>
              <w:bottom w:val="outset" w:sz="6" w:space="0" w:color="auto"/>
              <w:right w:val="outset" w:sz="6" w:space="0" w:color="auto"/>
            </w:tcBorders>
          </w:tcPr>
          <w:p w14:paraId="01A24A19"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noProof/>
                <w:lang w:val="ka-GE"/>
              </w:rPr>
              <w:t>მიუწვდომელია</w:t>
            </w:r>
          </w:p>
        </w:tc>
        <w:tc>
          <w:tcPr>
            <w:tcW w:w="1200" w:type="pct"/>
            <w:tcBorders>
              <w:top w:val="outset" w:sz="6" w:space="0" w:color="auto"/>
              <w:left w:val="outset" w:sz="6" w:space="0" w:color="auto"/>
              <w:bottom w:val="outset" w:sz="6" w:space="0" w:color="auto"/>
            </w:tcBorders>
          </w:tcPr>
          <w:p w14:paraId="4A01444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1.4-</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3CCF79CB" w14:textId="77777777" w:rsidTr="00B82067">
        <w:trPr>
          <w:tblCellSpacing w:w="0" w:type="dxa"/>
        </w:trPr>
        <w:tc>
          <w:tcPr>
            <w:tcW w:w="2650" w:type="pct"/>
            <w:tcBorders>
              <w:top w:val="outset" w:sz="6" w:space="0" w:color="auto"/>
              <w:bottom w:val="outset" w:sz="6" w:space="0" w:color="auto"/>
              <w:right w:val="outset" w:sz="6" w:space="0" w:color="auto"/>
            </w:tcBorders>
          </w:tcPr>
          <w:p w14:paraId="544ECD5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იტრაკონაზოლი</w:t>
            </w:r>
            <w:r w:rsidRPr="005C4A9D">
              <w:rPr>
                <w:rFonts w:ascii="Times New Roman" w:hAnsi="Times New Roman"/>
                <w:noProof/>
                <w:lang w:val="ka-GE"/>
              </w:rPr>
              <w:t xml:space="preserve"> 200 </w:t>
            </w:r>
            <w:r w:rsidRPr="005C4A9D">
              <w:rPr>
                <w:rFonts w:ascii="Sylfaen" w:hAnsi="Sylfaen" w:cs="Sylfaen"/>
                <w:noProof/>
                <w:lang w:val="ka-GE"/>
              </w:rPr>
              <w:t>მგ</w:t>
            </w:r>
            <w:r w:rsidRPr="005C4A9D">
              <w:rPr>
                <w:rFonts w:ascii="Times New Roman" w:hAnsi="Times New Roman"/>
                <w:noProof/>
                <w:lang w:val="ka-GE"/>
              </w:rPr>
              <w:t xml:space="preserve"> OD, 5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6E286A9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1F8E9AA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vertAlign w:val="superscript"/>
                <w:lang w:val="ka-GE"/>
              </w:rPr>
              <w:t xml:space="preserve">** </w:t>
            </w:r>
            <w:r w:rsidRPr="005C4A9D">
              <w:rPr>
                <w:rFonts w:ascii="Times New Roman" w:hAnsi="Times New Roman"/>
                <w:noProof/>
                <w:lang w:val="ka-GE"/>
              </w:rPr>
              <w:t>1.4-</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7D1043CF" w14:textId="77777777" w:rsidTr="00B82067">
        <w:trPr>
          <w:tblCellSpacing w:w="0" w:type="dxa"/>
        </w:trPr>
        <w:tc>
          <w:tcPr>
            <w:tcW w:w="2650" w:type="pct"/>
            <w:tcBorders>
              <w:top w:val="outset" w:sz="6" w:space="0" w:color="auto"/>
              <w:bottom w:val="outset" w:sz="6" w:space="0" w:color="auto"/>
              <w:right w:val="outset" w:sz="6" w:space="0" w:color="auto"/>
            </w:tcBorders>
          </w:tcPr>
          <w:p w14:paraId="7E803004"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ეზეტიმიბი</w:t>
            </w:r>
            <w:r w:rsidRPr="005C4A9D">
              <w:rPr>
                <w:rFonts w:ascii="Times New Roman" w:hAnsi="Times New Roman"/>
                <w:noProof/>
                <w:lang w:val="ka-GE"/>
              </w:rPr>
              <w:t xml:space="preserve"> 10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დღეში</w:t>
            </w:r>
            <w:r w:rsidRPr="005C4A9D">
              <w:rPr>
                <w:rFonts w:ascii="Times New Roman" w:hAnsi="Times New Roman"/>
                <w:noProof/>
                <w:lang w:val="ka-GE"/>
              </w:rPr>
              <w:t xml:space="preserve"> OD, 14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16BF106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10 </w:t>
            </w:r>
            <w:r w:rsidRPr="005C4A9D">
              <w:rPr>
                <w:rFonts w:ascii="Sylfaen" w:hAnsi="Sylfaen" w:cs="Sylfaen"/>
                <w:noProof/>
                <w:lang w:val="ka-GE"/>
              </w:rPr>
              <w:t>მგ</w:t>
            </w:r>
            <w:r w:rsidRPr="005C4A9D">
              <w:rPr>
                <w:rFonts w:ascii="Times New Roman" w:hAnsi="Times New Roman"/>
                <w:noProof/>
                <w:lang w:val="ka-GE"/>
              </w:rPr>
              <w:t xml:space="preserve">, OD, 14 </w:t>
            </w:r>
            <w:r w:rsidRPr="005C4A9D">
              <w:rPr>
                <w:rFonts w:ascii="Sylfaen" w:hAnsi="Sylfaen" w:cs="Sylfaen"/>
                <w:noProof/>
                <w:lang w:val="ka-GE"/>
              </w:rPr>
              <w:t>დღე</w:t>
            </w:r>
          </w:p>
        </w:tc>
        <w:tc>
          <w:tcPr>
            <w:tcW w:w="1200" w:type="pct"/>
            <w:tcBorders>
              <w:top w:val="outset" w:sz="6" w:space="0" w:color="auto"/>
              <w:left w:val="outset" w:sz="6" w:space="0" w:color="auto"/>
              <w:bottom w:val="outset" w:sz="6" w:space="0" w:color="auto"/>
            </w:tcBorders>
          </w:tcPr>
          <w:p w14:paraId="3AE4F82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vertAlign w:val="superscript"/>
                <w:lang w:val="ka-GE"/>
              </w:rPr>
              <w:t xml:space="preserve">** </w:t>
            </w:r>
            <w:r w:rsidRPr="005C4A9D">
              <w:rPr>
                <w:rFonts w:ascii="Times New Roman" w:hAnsi="Times New Roman"/>
                <w:noProof/>
                <w:lang w:val="ka-GE"/>
              </w:rPr>
              <w:t>1.2-</w:t>
            </w:r>
            <w:r w:rsidRPr="005C4A9D">
              <w:rPr>
                <w:rFonts w:ascii="Sylfaen" w:hAnsi="Sylfaen" w:cs="Sylfaen"/>
                <w:noProof/>
                <w:lang w:val="ka-GE"/>
              </w:rPr>
              <w:t>ჯერ</w:t>
            </w:r>
            <w:r w:rsidRPr="005C4A9D">
              <w:rPr>
                <w:rFonts w:ascii="Times New Roman" w:hAnsi="Times New Roman"/>
                <w:noProof/>
                <w:lang w:val="ka-GE"/>
              </w:rPr>
              <w:t xml:space="preserve"> ↑</w:t>
            </w:r>
          </w:p>
        </w:tc>
      </w:tr>
      <w:tr w:rsidR="00B06C4A" w:rsidRPr="005C4A9D" w14:paraId="3005D058" w14:textId="77777777" w:rsidTr="00B82067">
        <w:trPr>
          <w:tblCellSpacing w:w="0" w:type="dxa"/>
        </w:trPr>
        <w:tc>
          <w:tcPr>
            <w:tcW w:w="5000" w:type="pct"/>
            <w:gridSpan w:val="3"/>
            <w:tcBorders>
              <w:top w:val="outset" w:sz="6" w:space="0" w:color="auto"/>
              <w:bottom w:val="outset" w:sz="6" w:space="0" w:color="auto"/>
            </w:tcBorders>
          </w:tcPr>
          <w:p w14:paraId="74064805"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როზუვასტატინის</w:t>
            </w:r>
            <w:r w:rsidRPr="005C4A9D">
              <w:rPr>
                <w:rFonts w:ascii="Times New Roman" w:hAnsi="Times New Roman"/>
                <w:b/>
                <w:bCs/>
                <w:noProof/>
                <w:lang w:val="ka-GE"/>
              </w:rPr>
              <w:t xml:space="preserve"> AUC-</w:t>
            </w:r>
            <w:r w:rsidRPr="005C4A9D">
              <w:rPr>
                <w:rFonts w:ascii="Sylfaen" w:hAnsi="Sylfaen" w:cs="Sylfaen"/>
                <w:b/>
                <w:bCs/>
                <w:noProof/>
                <w:lang w:val="ka-GE"/>
              </w:rPr>
              <w:t>ის</w:t>
            </w:r>
            <w:r w:rsidRPr="005C4A9D">
              <w:rPr>
                <w:rFonts w:ascii="Times New Roman" w:hAnsi="Times New Roman"/>
                <w:b/>
                <w:bCs/>
                <w:noProof/>
                <w:lang w:val="ka-GE"/>
              </w:rPr>
              <w:t xml:space="preserve"> </w:t>
            </w:r>
            <w:r w:rsidRPr="005C4A9D">
              <w:rPr>
                <w:rFonts w:ascii="Sylfaen" w:hAnsi="Sylfaen" w:cs="Sylfaen"/>
                <w:b/>
                <w:bCs/>
                <w:noProof/>
                <w:lang w:val="ka-GE"/>
              </w:rPr>
              <w:t>შემცირება</w:t>
            </w:r>
          </w:p>
        </w:tc>
      </w:tr>
      <w:tr w:rsidR="00B06C4A" w:rsidRPr="005C4A9D" w14:paraId="05633575" w14:textId="77777777" w:rsidTr="00B82067">
        <w:trPr>
          <w:tblCellSpacing w:w="0" w:type="dxa"/>
        </w:trPr>
        <w:tc>
          <w:tcPr>
            <w:tcW w:w="2650" w:type="pct"/>
            <w:tcBorders>
              <w:top w:val="outset" w:sz="6" w:space="0" w:color="auto"/>
              <w:bottom w:val="outset" w:sz="6" w:space="0" w:color="auto"/>
              <w:right w:val="outset" w:sz="6" w:space="0" w:color="auto"/>
            </w:tcBorders>
          </w:tcPr>
          <w:p w14:paraId="6A16826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ერითრომიცინი</w:t>
            </w:r>
            <w:r w:rsidRPr="005C4A9D">
              <w:rPr>
                <w:rFonts w:ascii="Times New Roman" w:hAnsi="Times New Roman"/>
                <w:noProof/>
                <w:lang w:val="ka-GE"/>
              </w:rPr>
              <w:t xml:space="preserve"> 500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QID</w:t>
            </w:r>
            <w:r w:rsidRPr="005C4A9D">
              <w:rPr>
                <w:rFonts w:ascii="Times New Roman" w:hAnsi="Times New Roman"/>
                <w:noProof/>
                <w:lang w:val="ka-GE"/>
              </w:rPr>
              <w:t xml:space="preserve">, 7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7C969438"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80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37C1158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20% ↓</w:t>
            </w:r>
          </w:p>
        </w:tc>
      </w:tr>
      <w:tr w:rsidR="00B06C4A" w:rsidRPr="005C4A9D" w14:paraId="2147C3E6" w14:textId="77777777" w:rsidTr="00B82067">
        <w:trPr>
          <w:tblCellSpacing w:w="0" w:type="dxa"/>
        </w:trPr>
        <w:tc>
          <w:tcPr>
            <w:tcW w:w="2650" w:type="pct"/>
            <w:tcBorders>
              <w:top w:val="outset" w:sz="6" w:space="0" w:color="auto"/>
              <w:bottom w:val="outset" w:sz="6" w:space="0" w:color="auto"/>
              <w:right w:val="outset" w:sz="6" w:space="0" w:color="auto"/>
            </w:tcBorders>
          </w:tcPr>
          <w:p w14:paraId="4A068E70"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ბაიკალინი</w:t>
            </w:r>
            <w:r w:rsidRPr="005C4A9D">
              <w:rPr>
                <w:rFonts w:ascii="Times New Roman" w:hAnsi="Times New Roman"/>
                <w:noProof/>
                <w:lang w:val="ka-GE"/>
              </w:rPr>
              <w:t xml:space="preserve"> 50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TID,</w:t>
            </w:r>
            <w:r w:rsidRPr="005C4A9D">
              <w:rPr>
                <w:rFonts w:ascii="Times New Roman" w:hAnsi="Times New Roman"/>
                <w:noProof/>
                <w:lang w:val="ka-GE"/>
              </w:rPr>
              <w:t xml:space="preserve"> 14 </w:t>
            </w:r>
            <w:r w:rsidRPr="005C4A9D">
              <w:rPr>
                <w:rFonts w:ascii="Sylfaen" w:hAnsi="Sylfaen" w:cs="Sylfaen"/>
                <w:noProof/>
                <w:lang w:val="ka-GE"/>
              </w:rPr>
              <w:t>დღე</w:t>
            </w:r>
          </w:p>
        </w:tc>
        <w:tc>
          <w:tcPr>
            <w:tcW w:w="1150" w:type="pct"/>
            <w:tcBorders>
              <w:top w:val="outset" w:sz="6" w:space="0" w:color="auto"/>
              <w:left w:val="outset" w:sz="6" w:space="0" w:color="auto"/>
              <w:bottom w:val="outset" w:sz="6" w:space="0" w:color="auto"/>
              <w:right w:val="outset" w:sz="6" w:space="0" w:color="auto"/>
            </w:tcBorders>
          </w:tcPr>
          <w:p w14:paraId="78933CB8"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 xml:space="preserve">20 </w:t>
            </w:r>
            <w:r w:rsidRPr="005C4A9D">
              <w:rPr>
                <w:rFonts w:ascii="Sylfaen" w:hAnsi="Sylfaen" w:cs="Sylfaen"/>
                <w:noProof/>
                <w:lang w:val="ka-GE"/>
              </w:rPr>
              <w:t>მგ</w:t>
            </w:r>
            <w:r w:rsidRPr="005C4A9D">
              <w:rPr>
                <w:rFonts w:ascii="Times New Roman" w:hAnsi="Times New Roman"/>
                <w:noProof/>
                <w:lang w:val="ka-GE"/>
              </w:rPr>
              <w:t xml:space="preserve">, </w:t>
            </w:r>
            <w:r w:rsidRPr="005C4A9D">
              <w:rPr>
                <w:rFonts w:ascii="Sylfaen" w:hAnsi="Sylfaen" w:cs="Sylfaen"/>
                <w:noProof/>
                <w:lang w:val="ka-GE"/>
              </w:rPr>
              <w:t>ერთჯერადი</w:t>
            </w:r>
            <w:r w:rsidRPr="005C4A9D">
              <w:rPr>
                <w:rFonts w:ascii="Times New Roman" w:hAnsi="Times New Roman"/>
                <w:noProof/>
                <w:lang w:val="ka-GE"/>
              </w:rPr>
              <w:t xml:space="preserve"> </w:t>
            </w:r>
            <w:r w:rsidRPr="005C4A9D">
              <w:rPr>
                <w:rFonts w:ascii="Sylfaen" w:hAnsi="Sylfaen" w:cs="Sylfaen"/>
                <w:noProof/>
                <w:lang w:val="ka-GE"/>
              </w:rPr>
              <w:t>დოზა</w:t>
            </w:r>
          </w:p>
        </w:tc>
        <w:tc>
          <w:tcPr>
            <w:tcW w:w="1200" w:type="pct"/>
            <w:tcBorders>
              <w:top w:val="outset" w:sz="6" w:space="0" w:color="auto"/>
              <w:left w:val="outset" w:sz="6" w:space="0" w:color="auto"/>
              <w:bottom w:val="outset" w:sz="6" w:space="0" w:color="auto"/>
            </w:tcBorders>
          </w:tcPr>
          <w:p w14:paraId="438D5D7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47% ↓</w:t>
            </w:r>
          </w:p>
        </w:tc>
      </w:tr>
      <w:tr w:rsidR="00B06C4A" w:rsidRPr="005C4A9D" w14:paraId="0B2FD2FE" w14:textId="77777777" w:rsidTr="00B82067">
        <w:trPr>
          <w:tblCellSpacing w:w="0" w:type="dxa"/>
        </w:trPr>
        <w:tc>
          <w:tcPr>
            <w:tcW w:w="5000" w:type="pct"/>
            <w:gridSpan w:val="3"/>
            <w:tcBorders>
              <w:top w:val="outset" w:sz="6" w:space="0" w:color="auto"/>
              <w:bottom w:val="outset" w:sz="6" w:space="0" w:color="auto"/>
            </w:tcBorders>
          </w:tcPr>
          <w:p w14:paraId="59331955" w14:textId="77777777" w:rsidR="00B06C4A" w:rsidRPr="005C4A9D" w:rsidRDefault="00B06C4A" w:rsidP="00382943">
            <w:pPr>
              <w:spacing w:after="0" w:line="240" w:lineRule="auto"/>
              <w:rPr>
                <w:rFonts w:ascii="Times New Roman" w:hAnsi="Times New Roman"/>
                <w:noProof/>
                <w:lang w:val="ka-GE"/>
              </w:rPr>
            </w:pPr>
            <w:r w:rsidRPr="005C4A9D">
              <w:rPr>
                <w:rFonts w:ascii="Times New Roman" w:hAnsi="Times New Roman"/>
                <w:noProof/>
                <w:vertAlign w:val="superscript"/>
                <w:lang w:val="ka-GE"/>
              </w:rPr>
              <w:t xml:space="preserve">* </w:t>
            </w:r>
            <w:r w:rsidRPr="005C4A9D">
              <w:rPr>
                <w:rFonts w:ascii="Times New Roman" w:hAnsi="Times New Roman"/>
                <w:noProof/>
                <w:lang w:val="ka-GE"/>
              </w:rPr>
              <w:t>x-</w:t>
            </w:r>
            <w:r w:rsidRPr="005C4A9D">
              <w:rPr>
                <w:rFonts w:ascii="Sylfaen" w:hAnsi="Sylfaen" w:cs="Sylfaen"/>
                <w:noProof/>
                <w:lang w:val="ka-GE"/>
              </w:rPr>
              <w:t>ჯერადი</w:t>
            </w:r>
            <w:r w:rsidRPr="005C4A9D">
              <w:rPr>
                <w:rFonts w:ascii="Times New Roman" w:hAnsi="Times New Roman"/>
                <w:noProof/>
                <w:lang w:val="ka-GE"/>
              </w:rPr>
              <w:t xml:space="preserve"> </w:t>
            </w:r>
            <w:r w:rsidRPr="005C4A9D">
              <w:rPr>
                <w:rFonts w:ascii="Sylfaen" w:hAnsi="Sylfaen" w:cs="Sylfaen"/>
                <w:noProof/>
                <w:lang w:val="ka-GE"/>
              </w:rPr>
              <w:t>ცვლილების</w:t>
            </w:r>
            <w:r w:rsidRPr="005C4A9D">
              <w:rPr>
                <w:rFonts w:ascii="Times New Roman" w:hAnsi="Times New Roman"/>
                <w:noProof/>
                <w:lang w:val="ka-GE"/>
              </w:rPr>
              <w:t xml:space="preserve"> </w:t>
            </w:r>
            <w:r w:rsidRPr="005C4A9D">
              <w:rPr>
                <w:rFonts w:ascii="Sylfaen" w:hAnsi="Sylfaen" w:cs="Sylfaen"/>
                <w:noProof/>
                <w:lang w:val="ka-GE"/>
              </w:rPr>
              <w:t>სახით</w:t>
            </w:r>
            <w:r w:rsidRPr="005C4A9D">
              <w:rPr>
                <w:rFonts w:ascii="Times New Roman" w:hAnsi="Times New Roman"/>
                <w:noProof/>
                <w:lang w:val="ka-GE"/>
              </w:rPr>
              <w:t xml:space="preserve"> </w:t>
            </w:r>
            <w:r w:rsidRPr="005C4A9D">
              <w:rPr>
                <w:rFonts w:ascii="Sylfaen" w:hAnsi="Sylfaen" w:cs="Sylfaen"/>
                <w:noProof/>
                <w:lang w:val="ka-GE"/>
              </w:rPr>
              <w:t>მოცემული</w:t>
            </w:r>
            <w:r w:rsidRPr="005C4A9D">
              <w:rPr>
                <w:rFonts w:ascii="Times New Roman" w:hAnsi="Times New Roman"/>
                <w:noProof/>
                <w:lang w:val="ka-GE"/>
              </w:rPr>
              <w:t xml:space="preserve"> </w:t>
            </w:r>
            <w:r w:rsidRPr="005C4A9D">
              <w:rPr>
                <w:rFonts w:ascii="Sylfaen" w:hAnsi="Sylfaen" w:cs="Sylfaen"/>
                <w:noProof/>
                <w:lang w:val="ka-GE"/>
              </w:rPr>
              <w:t>მონაცემები</w:t>
            </w:r>
            <w:r w:rsidRPr="005C4A9D">
              <w:rPr>
                <w:rFonts w:ascii="Times New Roman" w:hAnsi="Times New Roman"/>
                <w:noProof/>
                <w:lang w:val="ka-GE"/>
              </w:rPr>
              <w:t xml:space="preserve"> </w:t>
            </w:r>
            <w:r w:rsidRPr="005C4A9D">
              <w:rPr>
                <w:rFonts w:ascii="Sylfaen" w:hAnsi="Sylfaen" w:cs="Sylfaen"/>
                <w:noProof/>
                <w:lang w:val="ka-GE"/>
              </w:rPr>
              <w:t>წარმოადგენს</w:t>
            </w:r>
            <w:r w:rsidRPr="005C4A9D">
              <w:rPr>
                <w:rFonts w:ascii="Times New Roman" w:hAnsi="Times New Roman"/>
                <w:noProof/>
                <w:lang w:val="ka-GE"/>
              </w:rPr>
              <w:t xml:space="preserve"> </w:t>
            </w:r>
            <w:r w:rsidRPr="005C4A9D">
              <w:rPr>
                <w:rFonts w:ascii="Sylfaen" w:hAnsi="Sylfaen" w:cs="Sylfaen"/>
                <w:noProof/>
                <w:lang w:val="ka-GE"/>
              </w:rPr>
              <w:t>როზუვასტატინის</w:t>
            </w:r>
            <w:r w:rsidRPr="005C4A9D">
              <w:rPr>
                <w:rFonts w:ascii="Times New Roman" w:hAnsi="Times New Roman"/>
                <w:noProof/>
                <w:lang w:val="ka-GE"/>
              </w:rPr>
              <w:t xml:space="preserve"> </w:t>
            </w:r>
            <w:r w:rsidRPr="005C4A9D">
              <w:rPr>
                <w:rFonts w:ascii="Sylfaen" w:hAnsi="Sylfaen" w:cs="Sylfaen"/>
                <w:noProof/>
                <w:lang w:val="ka-GE"/>
              </w:rPr>
              <w:t>ერთდროულ</w:t>
            </w:r>
            <w:r w:rsidRPr="005C4A9D">
              <w:rPr>
                <w:rFonts w:ascii="Times New Roman" w:hAnsi="Times New Roman"/>
                <w:noProof/>
                <w:lang w:val="ka-GE"/>
              </w:rPr>
              <w:t xml:space="preserve"> </w:t>
            </w:r>
            <w:r w:rsidRPr="005C4A9D">
              <w:rPr>
                <w:rFonts w:ascii="Sylfaen" w:hAnsi="Sylfaen" w:cs="Sylfaen"/>
                <w:noProof/>
                <w:lang w:val="ka-GE"/>
              </w:rPr>
              <w:t>მიღებასა</w:t>
            </w:r>
            <w:r w:rsidRPr="005C4A9D">
              <w:rPr>
                <w:rFonts w:ascii="Times New Roman" w:hAnsi="Times New Roman"/>
                <w:noProof/>
                <w:lang w:val="ka-GE"/>
              </w:rPr>
              <w:t xml:space="preserve"> </w:t>
            </w:r>
            <w:r w:rsidRPr="005C4A9D">
              <w:rPr>
                <w:rFonts w:ascii="Sylfaen" w:hAnsi="Sylfaen" w:cs="Sylfaen"/>
                <w:noProof/>
                <w:lang w:val="ka-GE"/>
              </w:rPr>
              <w:t>და</w:t>
            </w:r>
            <w:r w:rsidRPr="005C4A9D">
              <w:rPr>
                <w:rFonts w:ascii="Times New Roman" w:hAnsi="Times New Roman"/>
                <w:noProof/>
                <w:lang w:val="ka-GE"/>
              </w:rPr>
              <w:t xml:space="preserve"> </w:t>
            </w:r>
            <w:r w:rsidRPr="005C4A9D">
              <w:rPr>
                <w:rFonts w:ascii="Sylfaen" w:hAnsi="Sylfaen" w:cs="Sylfaen"/>
                <w:noProof/>
                <w:lang w:val="ka-GE"/>
              </w:rPr>
              <w:t>ცალკე მიღებას</w:t>
            </w:r>
            <w:r w:rsidRPr="005C4A9D">
              <w:rPr>
                <w:rFonts w:ascii="Times New Roman" w:hAnsi="Times New Roman"/>
                <w:noProof/>
                <w:lang w:val="ka-GE"/>
              </w:rPr>
              <w:t xml:space="preserve"> </w:t>
            </w:r>
            <w:r w:rsidRPr="005C4A9D">
              <w:rPr>
                <w:rFonts w:ascii="Sylfaen" w:hAnsi="Sylfaen" w:cs="Sylfaen"/>
                <w:noProof/>
                <w:lang w:val="ka-GE"/>
              </w:rPr>
              <w:t>შორის</w:t>
            </w:r>
            <w:r w:rsidRPr="005C4A9D">
              <w:rPr>
                <w:rFonts w:ascii="Times New Roman" w:hAnsi="Times New Roman"/>
                <w:noProof/>
                <w:lang w:val="ka-GE"/>
              </w:rPr>
              <w:t xml:space="preserve"> </w:t>
            </w:r>
            <w:r w:rsidRPr="005C4A9D">
              <w:rPr>
                <w:rFonts w:ascii="Sylfaen" w:hAnsi="Sylfaen" w:cs="Sylfaen"/>
                <w:noProof/>
                <w:lang w:val="ka-GE"/>
              </w:rPr>
              <w:t>მარტივ</w:t>
            </w:r>
            <w:r w:rsidRPr="005C4A9D">
              <w:rPr>
                <w:rFonts w:ascii="Times New Roman" w:hAnsi="Times New Roman"/>
                <w:noProof/>
                <w:lang w:val="ka-GE"/>
              </w:rPr>
              <w:t xml:space="preserve"> </w:t>
            </w:r>
            <w:r w:rsidRPr="005C4A9D">
              <w:rPr>
                <w:rFonts w:ascii="Sylfaen" w:hAnsi="Sylfaen" w:cs="Sylfaen"/>
                <w:noProof/>
                <w:lang w:val="ka-GE"/>
              </w:rPr>
              <w:t>თანაფარდობას</w:t>
            </w:r>
            <w:r w:rsidRPr="005C4A9D">
              <w:rPr>
                <w:rFonts w:ascii="Times New Roman" w:hAnsi="Times New Roman"/>
                <w:noProof/>
                <w:lang w:val="ka-GE"/>
              </w:rPr>
              <w:t xml:space="preserve">. </w:t>
            </w:r>
            <w:r w:rsidRPr="005C4A9D">
              <w:rPr>
                <w:rFonts w:ascii="Sylfaen" w:hAnsi="Sylfaen" w:cs="Sylfaen"/>
                <w:noProof/>
                <w:lang w:val="ka-GE"/>
              </w:rPr>
              <w:t>პროცენტული</w:t>
            </w:r>
            <w:r w:rsidRPr="005C4A9D">
              <w:rPr>
                <w:rFonts w:ascii="Times New Roman" w:hAnsi="Times New Roman"/>
                <w:noProof/>
                <w:lang w:val="ka-GE"/>
              </w:rPr>
              <w:t xml:space="preserve"> </w:t>
            </w:r>
            <w:r w:rsidRPr="005C4A9D">
              <w:rPr>
                <w:rFonts w:ascii="Sylfaen" w:hAnsi="Sylfaen" w:cs="Sylfaen"/>
                <w:noProof/>
                <w:lang w:val="ka-GE"/>
              </w:rPr>
              <w:t>ცვლილების</w:t>
            </w:r>
            <w:r w:rsidRPr="005C4A9D">
              <w:rPr>
                <w:rFonts w:ascii="Times New Roman" w:hAnsi="Times New Roman"/>
                <w:noProof/>
                <w:lang w:val="ka-GE"/>
              </w:rPr>
              <w:t xml:space="preserve"> </w:t>
            </w:r>
            <w:r w:rsidRPr="005C4A9D">
              <w:rPr>
                <w:rFonts w:ascii="Sylfaen" w:hAnsi="Sylfaen" w:cs="Sylfaen"/>
                <w:noProof/>
                <w:lang w:val="ka-GE"/>
              </w:rPr>
              <w:t>სახით</w:t>
            </w:r>
            <w:r w:rsidRPr="005C4A9D">
              <w:rPr>
                <w:rFonts w:ascii="Times New Roman" w:hAnsi="Times New Roman"/>
                <w:noProof/>
                <w:lang w:val="ka-GE"/>
              </w:rPr>
              <w:t xml:space="preserve"> </w:t>
            </w:r>
            <w:r w:rsidRPr="005C4A9D">
              <w:rPr>
                <w:rFonts w:ascii="Sylfaen" w:hAnsi="Sylfaen" w:cs="Sylfaen"/>
                <w:noProof/>
                <w:lang w:val="ka-GE"/>
              </w:rPr>
              <w:t>მოცემული</w:t>
            </w:r>
            <w:r w:rsidRPr="005C4A9D">
              <w:rPr>
                <w:rFonts w:ascii="Times New Roman" w:hAnsi="Times New Roman"/>
                <w:noProof/>
                <w:lang w:val="ka-GE"/>
              </w:rPr>
              <w:t xml:space="preserve"> </w:t>
            </w:r>
            <w:r w:rsidRPr="005C4A9D">
              <w:rPr>
                <w:rFonts w:ascii="Sylfaen" w:hAnsi="Sylfaen" w:cs="Sylfaen"/>
                <w:noProof/>
                <w:lang w:val="ka-GE"/>
              </w:rPr>
              <w:t>მონაცემები</w:t>
            </w:r>
            <w:r w:rsidRPr="005C4A9D">
              <w:rPr>
                <w:rFonts w:ascii="Times New Roman" w:hAnsi="Times New Roman"/>
                <w:noProof/>
                <w:lang w:val="ka-GE"/>
              </w:rPr>
              <w:t xml:space="preserve"> </w:t>
            </w:r>
            <w:r w:rsidRPr="005C4A9D">
              <w:rPr>
                <w:rFonts w:ascii="Sylfaen" w:hAnsi="Sylfaen" w:cs="Sylfaen"/>
                <w:noProof/>
                <w:lang w:val="ka-GE"/>
              </w:rPr>
              <w:t>წარმოადგენს</w:t>
            </w:r>
            <w:r w:rsidRPr="005C4A9D">
              <w:rPr>
                <w:rFonts w:ascii="Times New Roman" w:hAnsi="Times New Roman"/>
                <w:noProof/>
                <w:lang w:val="ka-GE"/>
              </w:rPr>
              <w:t xml:space="preserve"> </w:t>
            </w:r>
            <w:r w:rsidRPr="005C4A9D">
              <w:rPr>
                <w:rFonts w:ascii="Sylfaen" w:hAnsi="Sylfaen" w:cs="Sylfaen"/>
                <w:noProof/>
                <w:lang w:val="ka-GE"/>
              </w:rPr>
              <w:t>როზუვასტატინის</w:t>
            </w:r>
            <w:r w:rsidRPr="005C4A9D">
              <w:rPr>
                <w:rFonts w:ascii="Times New Roman" w:hAnsi="Times New Roman"/>
                <w:noProof/>
                <w:lang w:val="ka-GE"/>
              </w:rPr>
              <w:t xml:space="preserve"> </w:t>
            </w:r>
            <w:r w:rsidRPr="005C4A9D">
              <w:rPr>
                <w:rFonts w:ascii="Sylfaen" w:hAnsi="Sylfaen" w:cs="Sylfaen"/>
                <w:noProof/>
                <w:lang w:val="ka-GE"/>
              </w:rPr>
              <w:t>მხოლოდ</w:t>
            </w:r>
            <w:r w:rsidRPr="005C4A9D">
              <w:rPr>
                <w:rFonts w:ascii="Times New Roman" w:hAnsi="Times New Roman"/>
                <w:noProof/>
                <w:lang w:val="ka-GE"/>
              </w:rPr>
              <w:t xml:space="preserve"> </w:t>
            </w:r>
            <w:r w:rsidRPr="005C4A9D">
              <w:rPr>
                <w:rFonts w:ascii="Sylfaen" w:hAnsi="Sylfaen" w:cs="Sylfaen"/>
                <w:noProof/>
                <w:lang w:val="ka-GE"/>
              </w:rPr>
              <w:t>მიღებასთან</w:t>
            </w:r>
            <w:r w:rsidRPr="005C4A9D">
              <w:rPr>
                <w:rFonts w:ascii="Times New Roman" w:hAnsi="Times New Roman"/>
                <w:noProof/>
                <w:lang w:val="ka-GE"/>
              </w:rPr>
              <w:t xml:space="preserve"> </w:t>
            </w:r>
            <w:r w:rsidRPr="005C4A9D">
              <w:rPr>
                <w:rFonts w:ascii="Sylfaen" w:hAnsi="Sylfaen" w:cs="Sylfaen"/>
                <w:noProof/>
                <w:lang w:val="ka-GE"/>
              </w:rPr>
              <w:t>შედარებით</w:t>
            </w:r>
            <w:r w:rsidRPr="005C4A9D">
              <w:rPr>
                <w:rFonts w:ascii="Times New Roman" w:hAnsi="Times New Roman"/>
                <w:noProof/>
                <w:lang w:val="ka-GE"/>
              </w:rPr>
              <w:t xml:space="preserve"> </w:t>
            </w:r>
            <w:r w:rsidRPr="005C4A9D">
              <w:rPr>
                <w:rFonts w:ascii="Sylfaen" w:hAnsi="Sylfaen" w:cs="Sylfaen"/>
                <w:noProof/>
                <w:lang w:val="ka-GE"/>
              </w:rPr>
              <w:t>პროცენტულ</w:t>
            </w:r>
            <w:r w:rsidRPr="005C4A9D">
              <w:rPr>
                <w:rFonts w:ascii="Times New Roman" w:hAnsi="Times New Roman"/>
                <w:noProof/>
                <w:lang w:val="ka-GE"/>
              </w:rPr>
              <w:t xml:space="preserve"> </w:t>
            </w:r>
            <w:r w:rsidRPr="005C4A9D">
              <w:rPr>
                <w:rFonts w:ascii="Sylfaen" w:hAnsi="Sylfaen" w:cs="Sylfaen"/>
                <w:noProof/>
                <w:lang w:val="ka-GE"/>
              </w:rPr>
              <w:t>სხვაობას</w:t>
            </w:r>
            <w:r w:rsidRPr="005C4A9D">
              <w:rPr>
                <w:rFonts w:ascii="Times New Roman" w:hAnsi="Times New Roman"/>
                <w:noProof/>
                <w:lang w:val="ka-GE"/>
              </w:rPr>
              <w:t>.</w:t>
            </w:r>
          </w:p>
          <w:p w14:paraId="185FB65C"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ზრდა</w:t>
            </w:r>
            <w:r w:rsidRPr="005C4A9D">
              <w:rPr>
                <w:rFonts w:ascii="Times New Roman" w:hAnsi="Times New Roman"/>
                <w:noProof/>
                <w:lang w:val="ka-GE"/>
              </w:rPr>
              <w:t xml:space="preserve"> </w:t>
            </w:r>
            <w:r w:rsidRPr="005C4A9D">
              <w:rPr>
                <w:rFonts w:ascii="Sylfaen" w:hAnsi="Sylfaen" w:cs="Sylfaen"/>
                <w:noProof/>
                <w:lang w:val="ka-GE"/>
              </w:rPr>
              <w:t>მითითებულია</w:t>
            </w:r>
            <w:r w:rsidRPr="005C4A9D">
              <w:rPr>
                <w:rFonts w:ascii="Times New Roman" w:hAnsi="Times New Roman"/>
                <w:noProof/>
                <w:lang w:val="ka-GE"/>
              </w:rPr>
              <w:t xml:space="preserve"> </w:t>
            </w:r>
            <w:r w:rsidRPr="005C4A9D">
              <w:rPr>
                <w:rFonts w:ascii="Sylfaen" w:hAnsi="Sylfaen" w:cs="Sylfaen"/>
                <w:noProof/>
                <w:lang w:val="ka-GE"/>
              </w:rPr>
              <w:t>როგორც</w:t>
            </w:r>
            <w:r w:rsidRPr="005C4A9D">
              <w:rPr>
                <w:rFonts w:ascii="Times New Roman" w:hAnsi="Times New Roman"/>
                <w:noProof/>
                <w:lang w:val="ka-GE"/>
              </w:rPr>
              <w:t xml:space="preserve"> „↑“, </w:t>
            </w:r>
            <w:r w:rsidRPr="005C4A9D">
              <w:rPr>
                <w:rFonts w:ascii="Sylfaen" w:hAnsi="Sylfaen" w:cs="Sylfaen"/>
                <w:noProof/>
                <w:lang w:val="ka-GE"/>
              </w:rPr>
              <w:t>შემცირება</w:t>
            </w:r>
            <w:r w:rsidRPr="005C4A9D">
              <w:rPr>
                <w:rFonts w:ascii="Times New Roman" w:hAnsi="Times New Roman"/>
                <w:noProof/>
                <w:lang w:val="ka-GE"/>
              </w:rPr>
              <w:t xml:space="preserve"> </w:t>
            </w:r>
            <w:r w:rsidRPr="005C4A9D">
              <w:rPr>
                <w:rFonts w:ascii="Sylfaen" w:hAnsi="Sylfaen" w:cs="Sylfaen"/>
                <w:noProof/>
                <w:lang w:val="ka-GE"/>
              </w:rPr>
              <w:t>კი</w:t>
            </w:r>
            <w:r w:rsidRPr="005C4A9D">
              <w:rPr>
                <w:rFonts w:ascii="Times New Roman" w:hAnsi="Times New Roman"/>
                <w:noProof/>
                <w:lang w:val="ka-GE"/>
              </w:rPr>
              <w:t xml:space="preserve"> </w:t>
            </w:r>
            <w:r w:rsidRPr="005C4A9D">
              <w:rPr>
                <w:rFonts w:ascii="Sylfaen" w:hAnsi="Sylfaen" w:cs="Sylfaen"/>
                <w:noProof/>
                <w:lang w:val="ka-GE"/>
              </w:rPr>
              <w:t>როგორც</w:t>
            </w:r>
            <w:r w:rsidRPr="005C4A9D">
              <w:rPr>
                <w:rFonts w:ascii="Times New Roman" w:hAnsi="Times New Roman"/>
                <w:noProof/>
                <w:lang w:val="ka-GE"/>
              </w:rPr>
              <w:t xml:space="preserve"> „↓“.</w:t>
            </w:r>
          </w:p>
          <w:p w14:paraId="2AE3B127" w14:textId="77777777" w:rsidR="00B06C4A" w:rsidRPr="005C4A9D" w:rsidRDefault="00B06C4A" w:rsidP="00382943">
            <w:pPr>
              <w:spacing w:after="0" w:line="240" w:lineRule="auto"/>
              <w:rPr>
                <w:rFonts w:ascii="Times New Roman" w:hAnsi="Times New Roman"/>
                <w:noProof/>
                <w:lang w:val="ka-GE"/>
              </w:rPr>
            </w:pPr>
            <w:r w:rsidRPr="005C4A9D">
              <w:rPr>
                <w:rFonts w:ascii="Times New Roman" w:hAnsi="Times New Roman"/>
                <w:noProof/>
                <w:vertAlign w:val="superscript"/>
                <w:lang w:val="ka-GE"/>
              </w:rPr>
              <w:t xml:space="preserve">** </w:t>
            </w:r>
            <w:r w:rsidRPr="005C4A9D">
              <w:rPr>
                <w:rFonts w:ascii="Sylfaen" w:hAnsi="Sylfaen" w:cs="Sylfaen"/>
                <w:noProof/>
                <w:lang w:val="ka-GE"/>
              </w:rPr>
              <w:t>სიროსტინი</w:t>
            </w:r>
            <w:r w:rsidRPr="005C4A9D">
              <w:rPr>
                <w:rFonts w:ascii="Times New Roman" w:hAnsi="Times New Roman"/>
                <w:noProof/>
                <w:lang w:val="ka-GE"/>
              </w:rPr>
              <w:t xml:space="preserve"> </w:t>
            </w:r>
            <w:r w:rsidRPr="005C4A9D">
              <w:rPr>
                <w:rFonts w:ascii="Sylfaen" w:hAnsi="Sylfaen"/>
                <w:noProof/>
                <w:lang w:val="ka-GE"/>
              </w:rPr>
              <w:t>2</w:t>
            </w:r>
            <w:r w:rsidRPr="005C4A9D">
              <w:rPr>
                <w:rFonts w:ascii="Times New Roman" w:hAnsi="Times New Roman"/>
                <w:noProof/>
                <w:lang w:val="ka-GE"/>
              </w:rPr>
              <w:t>0-</w:t>
            </w:r>
            <w:r w:rsidRPr="005C4A9D">
              <w:rPr>
                <w:rFonts w:ascii="Sylfaen" w:hAnsi="Sylfaen" w:cs="Sylfaen"/>
                <w:noProof/>
                <w:lang w:val="ka-GE"/>
              </w:rPr>
              <w:t>ის</w:t>
            </w:r>
            <w:r w:rsidRPr="005C4A9D">
              <w:rPr>
                <w:rFonts w:ascii="Times New Roman" w:hAnsi="Times New Roman"/>
                <w:noProof/>
                <w:lang w:val="ka-GE"/>
              </w:rPr>
              <w:t xml:space="preserve"> </w:t>
            </w:r>
            <w:r w:rsidRPr="005C4A9D">
              <w:rPr>
                <w:rFonts w:ascii="Sylfaen" w:hAnsi="Sylfaen" w:cs="Sylfaen"/>
                <w:noProof/>
                <w:lang w:val="ka-GE"/>
              </w:rPr>
              <w:t>სხვადასხვა</w:t>
            </w:r>
            <w:r w:rsidRPr="005C4A9D">
              <w:rPr>
                <w:rFonts w:ascii="Times New Roman" w:hAnsi="Times New Roman"/>
                <w:noProof/>
                <w:lang w:val="ka-GE"/>
              </w:rPr>
              <w:t xml:space="preserve"> </w:t>
            </w:r>
            <w:r w:rsidRPr="005C4A9D">
              <w:rPr>
                <w:rFonts w:ascii="Sylfaen" w:hAnsi="Sylfaen" w:cs="Sylfaen"/>
                <w:noProof/>
                <w:lang w:val="ka-GE"/>
              </w:rPr>
              <w:t>დოზირებისას</w:t>
            </w:r>
            <w:r w:rsidRPr="005C4A9D">
              <w:rPr>
                <w:rFonts w:ascii="Times New Roman" w:hAnsi="Times New Roman"/>
                <w:noProof/>
                <w:lang w:val="ka-GE"/>
              </w:rPr>
              <w:t xml:space="preserve"> </w:t>
            </w:r>
            <w:r w:rsidRPr="005C4A9D">
              <w:rPr>
                <w:rFonts w:ascii="Sylfaen" w:hAnsi="Sylfaen" w:cs="Sylfaen"/>
                <w:noProof/>
                <w:lang w:val="ka-GE"/>
              </w:rPr>
              <w:t>ჩატარდა</w:t>
            </w:r>
            <w:r w:rsidRPr="005C4A9D">
              <w:rPr>
                <w:rFonts w:ascii="Times New Roman" w:hAnsi="Times New Roman"/>
                <w:noProof/>
                <w:lang w:val="ka-GE"/>
              </w:rPr>
              <w:t xml:space="preserve"> </w:t>
            </w:r>
            <w:r w:rsidRPr="005C4A9D">
              <w:rPr>
                <w:rFonts w:ascii="Sylfaen" w:hAnsi="Sylfaen" w:cs="Sylfaen"/>
                <w:noProof/>
                <w:lang w:val="ka-GE"/>
              </w:rPr>
              <w:t>ურთიერთქმედების</w:t>
            </w:r>
            <w:r w:rsidRPr="005C4A9D">
              <w:rPr>
                <w:rFonts w:ascii="Times New Roman" w:hAnsi="Times New Roman"/>
                <w:noProof/>
                <w:lang w:val="ka-GE"/>
              </w:rPr>
              <w:t xml:space="preserve"> </w:t>
            </w:r>
            <w:r w:rsidRPr="005C4A9D">
              <w:rPr>
                <w:rFonts w:ascii="Sylfaen" w:hAnsi="Sylfaen" w:cs="Sylfaen"/>
                <w:noProof/>
                <w:lang w:val="ka-GE"/>
              </w:rPr>
              <w:t>რამდენიმე</w:t>
            </w:r>
            <w:r w:rsidRPr="005C4A9D">
              <w:rPr>
                <w:rFonts w:ascii="Times New Roman" w:hAnsi="Times New Roman"/>
                <w:noProof/>
                <w:lang w:val="ka-GE"/>
              </w:rPr>
              <w:t xml:space="preserve"> </w:t>
            </w:r>
            <w:r w:rsidRPr="005C4A9D">
              <w:rPr>
                <w:rFonts w:ascii="Sylfaen" w:hAnsi="Sylfaen" w:cs="Sylfaen"/>
                <w:noProof/>
                <w:lang w:val="ka-GE"/>
              </w:rPr>
              <w:t>კვლევა</w:t>
            </w:r>
            <w:r w:rsidRPr="005C4A9D">
              <w:rPr>
                <w:rFonts w:ascii="Times New Roman" w:hAnsi="Times New Roman"/>
                <w:noProof/>
                <w:lang w:val="ka-GE"/>
              </w:rPr>
              <w:t xml:space="preserve">, </w:t>
            </w:r>
            <w:r w:rsidRPr="005C4A9D">
              <w:rPr>
                <w:rFonts w:ascii="Sylfaen" w:hAnsi="Sylfaen" w:cs="Sylfaen"/>
                <w:noProof/>
                <w:lang w:val="ka-GE"/>
              </w:rPr>
              <w:t>ცხრილში</w:t>
            </w:r>
            <w:r w:rsidRPr="005C4A9D">
              <w:rPr>
                <w:rFonts w:ascii="Times New Roman" w:hAnsi="Times New Roman"/>
                <w:noProof/>
                <w:lang w:val="ka-GE"/>
              </w:rPr>
              <w:t xml:space="preserve"> </w:t>
            </w:r>
            <w:r w:rsidRPr="005C4A9D">
              <w:rPr>
                <w:rFonts w:ascii="Sylfaen" w:hAnsi="Sylfaen" w:cs="Sylfaen"/>
                <w:noProof/>
                <w:lang w:val="ka-GE"/>
              </w:rPr>
              <w:t>ნაჩვენებია</w:t>
            </w:r>
            <w:r w:rsidRPr="005C4A9D">
              <w:rPr>
                <w:rFonts w:ascii="Times New Roman" w:hAnsi="Times New Roman"/>
                <w:noProof/>
                <w:lang w:val="ka-GE"/>
              </w:rPr>
              <w:t xml:space="preserve"> </w:t>
            </w:r>
            <w:r w:rsidRPr="005C4A9D">
              <w:rPr>
                <w:rFonts w:ascii="Sylfaen" w:hAnsi="Sylfaen" w:cs="Sylfaen"/>
                <w:noProof/>
                <w:lang w:val="ka-GE"/>
              </w:rPr>
              <w:t>ყველაზე</w:t>
            </w:r>
            <w:r w:rsidRPr="005C4A9D">
              <w:rPr>
                <w:rFonts w:ascii="Times New Roman" w:hAnsi="Times New Roman"/>
                <w:noProof/>
                <w:lang w:val="ka-GE"/>
              </w:rPr>
              <w:t xml:space="preserve"> </w:t>
            </w:r>
            <w:r w:rsidRPr="005C4A9D">
              <w:rPr>
                <w:rFonts w:ascii="Sylfaen" w:hAnsi="Sylfaen" w:cs="Sylfaen"/>
                <w:noProof/>
                <w:lang w:val="ka-GE"/>
              </w:rPr>
              <w:t>მნიშვნელოვანი</w:t>
            </w:r>
            <w:r w:rsidRPr="005C4A9D">
              <w:rPr>
                <w:rFonts w:ascii="Times New Roman" w:hAnsi="Times New Roman"/>
                <w:noProof/>
                <w:lang w:val="ka-GE"/>
              </w:rPr>
              <w:t xml:space="preserve"> </w:t>
            </w:r>
            <w:r w:rsidRPr="005C4A9D">
              <w:rPr>
                <w:rFonts w:ascii="Sylfaen" w:hAnsi="Sylfaen" w:cs="Sylfaen"/>
                <w:noProof/>
                <w:lang w:val="ka-GE"/>
              </w:rPr>
              <w:t>თანაფარდობა</w:t>
            </w:r>
            <w:r w:rsidRPr="005C4A9D">
              <w:rPr>
                <w:rFonts w:ascii="Times New Roman" w:hAnsi="Times New Roman"/>
                <w:noProof/>
                <w:lang w:val="ka-GE"/>
              </w:rPr>
              <w:t>.</w:t>
            </w:r>
          </w:p>
          <w:p w14:paraId="7C0FF4D0" w14:textId="77777777" w:rsidR="00B06C4A" w:rsidRPr="005C4A9D" w:rsidRDefault="00B06C4A" w:rsidP="00382943">
            <w:pPr>
              <w:spacing w:after="0" w:line="240" w:lineRule="auto"/>
              <w:rPr>
                <w:rFonts w:ascii="Times New Roman" w:hAnsi="Times New Roman"/>
                <w:noProof/>
                <w:lang w:val="ka-GE"/>
              </w:rPr>
            </w:pPr>
            <w:r w:rsidRPr="005C4A9D">
              <w:rPr>
                <w:rFonts w:ascii="Times New Roman" w:hAnsi="Times New Roman"/>
                <w:noProof/>
                <w:lang w:val="ka-GE"/>
              </w:rPr>
              <w:t xml:space="preserve">AUC = </w:t>
            </w:r>
            <w:r w:rsidRPr="005C4A9D">
              <w:rPr>
                <w:rFonts w:ascii="Sylfaen" w:hAnsi="Sylfaen" w:cs="Sylfaen"/>
                <w:noProof/>
                <w:lang w:val="ka-GE"/>
              </w:rPr>
              <w:t>მრუდის</w:t>
            </w:r>
            <w:r w:rsidRPr="005C4A9D">
              <w:rPr>
                <w:rFonts w:ascii="Times New Roman" w:hAnsi="Times New Roman"/>
                <w:noProof/>
                <w:lang w:val="ka-GE"/>
              </w:rPr>
              <w:t xml:space="preserve"> </w:t>
            </w:r>
            <w:r w:rsidRPr="005C4A9D">
              <w:rPr>
                <w:rFonts w:ascii="Sylfaen" w:hAnsi="Sylfaen" w:cs="Sylfaen"/>
                <w:noProof/>
                <w:lang w:val="ka-GE"/>
              </w:rPr>
              <w:t>ქვეშ</w:t>
            </w:r>
            <w:r w:rsidRPr="005C4A9D">
              <w:rPr>
                <w:rFonts w:ascii="Times New Roman" w:hAnsi="Times New Roman"/>
                <w:noProof/>
                <w:lang w:val="ka-GE"/>
              </w:rPr>
              <w:t xml:space="preserve"> </w:t>
            </w:r>
            <w:r w:rsidRPr="005C4A9D">
              <w:rPr>
                <w:rFonts w:ascii="Sylfaen" w:hAnsi="Sylfaen" w:cs="Sylfaen"/>
                <w:noProof/>
                <w:lang w:val="ka-GE"/>
              </w:rPr>
              <w:t>არსებული</w:t>
            </w:r>
            <w:r w:rsidRPr="005C4A9D">
              <w:rPr>
                <w:rFonts w:ascii="Times New Roman" w:hAnsi="Times New Roman"/>
                <w:noProof/>
                <w:lang w:val="ka-GE"/>
              </w:rPr>
              <w:t xml:space="preserve"> </w:t>
            </w:r>
            <w:r w:rsidRPr="005C4A9D">
              <w:rPr>
                <w:rFonts w:ascii="Sylfaen" w:hAnsi="Sylfaen" w:cs="Sylfaen"/>
                <w:noProof/>
                <w:lang w:val="ka-GE"/>
              </w:rPr>
              <w:t>ფართობი</w:t>
            </w:r>
            <w:r w:rsidRPr="005C4A9D">
              <w:rPr>
                <w:rFonts w:ascii="Times New Roman" w:hAnsi="Times New Roman"/>
                <w:noProof/>
                <w:lang w:val="ka-GE"/>
              </w:rPr>
              <w:t xml:space="preserve">; OD =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ერთხელ</w:t>
            </w:r>
            <w:r w:rsidRPr="005C4A9D">
              <w:rPr>
                <w:rFonts w:ascii="Times New Roman" w:hAnsi="Times New Roman"/>
                <w:noProof/>
                <w:lang w:val="ka-GE"/>
              </w:rPr>
              <w:t xml:space="preserve">; BID =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ორჯერ</w:t>
            </w:r>
            <w:r w:rsidRPr="005C4A9D">
              <w:rPr>
                <w:rFonts w:ascii="Times New Roman" w:hAnsi="Times New Roman"/>
                <w:noProof/>
                <w:lang w:val="ka-GE"/>
              </w:rPr>
              <w:t xml:space="preserve">; TID =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სამჯერ</w:t>
            </w:r>
            <w:r w:rsidRPr="005C4A9D">
              <w:rPr>
                <w:rFonts w:ascii="Times New Roman" w:hAnsi="Times New Roman"/>
                <w:noProof/>
                <w:lang w:val="ka-GE"/>
              </w:rPr>
              <w:t xml:space="preserve">; QID = </w:t>
            </w:r>
            <w:r w:rsidRPr="005C4A9D">
              <w:rPr>
                <w:rFonts w:ascii="Sylfaen" w:hAnsi="Sylfaen" w:cs="Sylfaen"/>
                <w:noProof/>
                <w:lang w:val="ka-GE"/>
              </w:rPr>
              <w:t>დღეში</w:t>
            </w:r>
            <w:r w:rsidRPr="005C4A9D">
              <w:rPr>
                <w:rFonts w:ascii="Times New Roman" w:hAnsi="Times New Roman"/>
                <w:noProof/>
                <w:lang w:val="ka-GE"/>
              </w:rPr>
              <w:t xml:space="preserve"> </w:t>
            </w:r>
            <w:r w:rsidRPr="005C4A9D">
              <w:rPr>
                <w:rFonts w:ascii="Sylfaen" w:hAnsi="Sylfaen" w:cs="Sylfaen"/>
                <w:noProof/>
                <w:lang w:val="ka-GE"/>
              </w:rPr>
              <w:t>ოთხჯერ</w:t>
            </w:r>
            <w:r w:rsidRPr="005C4A9D">
              <w:rPr>
                <w:rFonts w:ascii="Times New Roman" w:hAnsi="Times New Roman"/>
                <w:noProof/>
                <w:lang w:val="ka-GE"/>
              </w:rPr>
              <w:t xml:space="preserve">; QOD = </w:t>
            </w:r>
            <w:r w:rsidRPr="005C4A9D">
              <w:rPr>
                <w:rFonts w:ascii="Sylfaen" w:hAnsi="Sylfaen" w:cs="Sylfaen"/>
                <w:noProof/>
                <w:lang w:val="ka-GE"/>
              </w:rPr>
              <w:t>დღეგამოშვებით</w:t>
            </w:r>
            <w:r w:rsidRPr="005C4A9D">
              <w:rPr>
                <w:rFonts w:ascii="Times New Roman" w:hAnsi="Times New Roman"/>
                <w:noProof/>
                <w:lang w:val="ka-GE"/>
              </w:rPr>
              <w:t>.</w:t>
            </w:r>
          </w:p>
        </w:tc>
      </w:tr>
    </w:tbl>
    <w:p w14:paraId="44BDFE77" w14:textId="77777777" w:rsidR="00B06C4A" w:rsidRPr="005C4A9D" w:rsidRDefault="00B06C4A" w:rsidP="00382943">
      <w:pPr>
        <w:spacing w:after="0" w:line="240" w:lineRule="auto"/>
        <w:rPr>
          <w:rFonts w:ascii="Sylfaen" w:eastAsia="Arial Unicode MS" w:hAnsi="Sylfaen"/>
          <w:noProof/>
          <w:lang w:val="ka-GE"/>
        </w:rPr>
      </w:pPr>
    </w:p>
    <w:p w14:paraId="47D7EACE"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შემდეგ სამედიცინო პროდუქტებს/კომბინაციებს არ მოუხდენიათ კლინიკურად მნიშვნელოვანი გავლენა როზუვასტატინის AUC თანაფარდობაზე ერთდროული მიღებისას:</w:t>
      </w:r>
    </w:p>
    <w:p w14:paraId="4157B6EE"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ალეგლიტაზარი 0.3 მგ დოზირება 7 დღე; ფენოფიბრატი 67 მგ დოზირება 7 დღე სამჯერ დღეში; ფლუკონაზოლი 200 მგ დოზირება 11 დღე დღეში ერთხელ; ფოსამპრენავირი 700 მგ/რიტონავირი 100 მგ დოზირება 8 დღე დღეში ორჯერ; კეტოკონაზოლი 200 მგ დოზირება 7 დღე დღეში ორჯერ; რიფამპინი 450 მგ დოზირება 7 დღე დღეში ერთხელ; სილიმარინი 140 მგ დოზირება 5 დღე დღეში სამჯერ დღეში.</w:t>
      </w:r>
    </w:p>
    <w:p w14:paraId="06DA292D" w14:textId="6611A3A2"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როზუვასტატინის გავლენა თანმხლებ სამკურნალო პროდუქტებზე</w:t>
      </w:r>
      <w:r w:rsidR="005C65AD">
        <w:rPr>
          <w:rFonts w:ascii="Sylfaen" w:eastAsia="Arial Unicode MS" w:hAnsi="Sylfaen"/>
          <w:noProof/>
          <w:lang w:val="ka-GE"/>
        </w:rPr>
        <w:t>.</w:t>
      </w:r>
    </w:p>
    <w:p w14:paraId="4359FE7E" w14:textId="77777777" w:rsidR="005C65AD" w:rsidRPr="00C12959" w:rsidRDefault="005C65AD" w:rsidP="00382943">
      <w:pPr>
        <w:spacing w:after="0" w:line="240" w:lineRule="auto"/>
        <w:jc w:val="both"/>
        <w:rPr>
          <w:rFonts w:ascii="Sylfaen" w:eastAsia="Arial Unicode MS" w:hAnsi="Sylfaen"/>
          <w:noProof/>
          <w:lang w:val="ka-GE"/>
        </w:rPr>
      </w:pPr>
    </w:p>
    <w:p w14:paraId="7A6A5ED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ვიტამინ K-ს ანტაგონისტები:</w:t>
      </w:r>
      <w:r w:rsidRPr="005C4A9D">
        <w:rPr>
          <w:rFonts w:ascii="Sylfaen" w:eastAsia="Arial Unicode MS" w:hAnsi="Sylfaen"/>
          <w:noProof/>
          <w:lang w:val="ka-GE"/>
        </w:rPr>
        <w:t xml:space="preserve"> როგორც სხვა HMG-CoA რედუქტაზას ინჰიბიტორების შემთხვევაში, სიროსტინი 20-ით მკურნალობის დაწყებამ ან დოზის გაზრდამ პაციენტებში, რომლებიც ერთდროულად მკურნალობენ K ვიტამინის ანტაგონისტებით (მაგ., ვარფარინი ან სხვა კუმარინის ანტიკოაგულანტი) შეიძლება გამოიწვიოს საერთაშორისო ნორმალიზებული თანაფარდობის (INR) ზრდა. სიროსტინი 20-ის </w:t>
      </w:r>
      <w:r w:rsidRPr="005C4A9D">
        <w:rPr>
          <w:rFonts w:ascii="Sylfaen" w:eastAsia="Arial Unicode MS" w:hAnsi="Sylfaen"/>
          <w:noProof/>
          <w:lang w:val="ka-GE"/>
        </w:rPr>
        <w:lastRenderedPageBreak/>
        <w:t>მიღების შეწყვეტამ ან დოზის შემცირებამ შეიძლება გამოიწვიოს INR-ის შემცირება. ასეთ სიტუაციებში სასურველია INR-ის შესაბამისი მონიტორინგი.</w:t>
      </w:r>
    </w:p>
    <w:p w14:paraId="5DC5407C" w14:textId="77777777" w:rsidR="00B06C4A" w:rsidRPr="005C4A9D" w:rsidRDefault="00B06C4A" w:rsidP="00382943">
      <w:pPr>
        <w:spacing w:after="0" w:line="240" w:lineRule="auto"/>
        <w:jc w:val="both"/>
        <w:rPr>
          <w:rFonts w:ascii="Sylfaen" w:eastAsia="Arial Unicode MS" w:hAnsi="Sylfaen"/>
          <w:noProof/>
          <w:lang w:val="ka-GE"/>
        </w:rPr>
      </w:pPr>
    </w:p>
    <w:p w14:paraId="7347C1E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პერორალური კონტრაცეპტივები/ჰორმონჩანაცვლებითი თერაპია (HRT):</w:t>
      </w:r>
      <w:r w:rsidRPr="005C4A9D">
        <w:rPr>
          <w:rFonts w:ascii="Sylfaen" w:eastAsia="Arial Unicode MS" w:hAnsi="Sylfaen"/>
          <w:noProof/>
          <w:lang w:val="ka-GE"/>
        </w:rPr>
        <w:t xml:space="preserve"> სიროსტინი 20-ისა და პერორალური კონტრაცეპტივის ერთდროულმა გამოყენებამ გამოიწვია ეთინილესტრადიოლისა და ნორგესტრელის AUC-ის ზრდა შესაბამისად 26%-ით და 34%-ით. პლაზმაში ეს გაზრდილი დონეები გასათვალისწინებელია პერორალური კონტრაცეპტივების დოზების შერჩევისას. არ არსებობს ფარმაკოკინეტიკური მონაცემები იმ სუბიექტებში, რომლებიც ერთდროულად იღებდნენ სიროსტინი 20-ს და HRT-ს, ამიტომ მსგავსი ეფექტის გამორიცხვა შეუძლებელია. თუმცა, კომბინაცია ფართოდ გამოიყენებოდა ქალებში კლინიკურ კვლევებში და კარგად აიტანებოდა.</w:t>
      </w:r>
    </w:p>
    <w:p w14:paraId="22E72B4A" w14:textId="77777777" w:rsidR="00B06C4A" w:rsidRPr="005C4A9D" w:rsidRDefault="00B06C4A" w:rsidP="00382943">
      <w:pPr>
        <w:spacing w:after="0" w:line="240" w:lineRule="auto"/>
        <w:jc w:val="both"/>
        <w:rPr>
          <w:rFonts w:ascii="Sylfaen" w:eastAsia="Arial Unicode MS" w:hAnsi="Sylfaen"/>
          <w:noProof/>
          <w:lang w:val="ka-GE"/>
        </w:rPr>
      </w:pPr>
    </w:p>
    <w:p w14:paraId="19748456"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სხვა სამკურნალო საშუალებები:</w:t>
      </w:r>
    </w:p>
    <w:p w14:paraId="2605918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დიგოქსინი: ურთიერთქმედების სპეციფიკური კვლევების მონაცემებზე დაყრდნობით, დიგოქსინთან კლინიკურად მნიშვნელოვანი ურთიერთქმედება არ არის მოსალოდნელი.</w:t>
      </w:r>
    </w:p>
    <w:p w14:paraId="3EAD1AB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ფუზიდის მჟავა: როზუვასტატინსა და ფუზიდის მჟავასთან ურთიერთქმედების კვლევები არ ჩატარებულა. მიოპათიის, მათ შორის რაბდომიოლიზის რისკი შეიძლება გაიზარდოს სისტემური ფუზიდის მჟავას სტატინებთან ერთად მიღებისას. ამ ურთიერთქმედების მექანიზმი (ფარმაკოდინამიკურია თუ ფარმაკოკინეტიკური, ან ორივე ერთად) ჯერჯერობით უცნობია. ამ კომბინაციის მიმღებ პაციენტებში რაბდომიოლიზის (მათ შორის ზოგიერთი ფატალური შედეგის) შემთხვევები დაფიქსირდა.</w:t>
      </w:r>
    </w:p>
    <w:p w14:paraId="11E7F36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თუ ფუზიდის მჟავით სისტემური მკურნალობა აუცილებელია, სიროსტინი 20-ით მკურნალობა ფუზიდის მჟავით მკურნალობის მთელი პერიოდის განმავლობაში უნდა შეწყდეს. ასევე იხილეთ ნაწილი 4.4.</w:t>
      </w:r>
    </w:p>
    <w:p w14:paraId="0A7133A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პედიატრიული პოპულაცია:</w:t>
      </w:r>
      <w:r w:rsidRPr="005C4A9D">
        <w:rPr>
          <w:rFonts w:ascii="Sylfaen" w:eastAsia="Arial Unicode MS" w:hAnsi="Sylfaen"/>
          <w:noProof/>
          <w:lang w:val="ka-GE"/>
        </w:rPr>
        <w:t xml:space="preserve"> ურთიერთქმედების კვლევები ჩატარდა მხოლოდ მოზრდილებში. პედიატრიულ პოპულაციაში ურთიერთქმედების ხარისხი უცნობია.</w:t>
      </w:r>
    </w:p>
    <w:p w14:paraId="33D7257F" w14:textId="77777777" w:rsidR="00B06C4A" w:rsidRPr="005C4A9D" w:rsidRDefault="00B06C4A" w:rsidP="00382943">
      <w:pPr>
        <w:spacing w:after="0" w:line="240" w:lineRule="auto"/>
        <w:jc w:val="both"/>
        <w:rPr>
          <w:rFonts w:ascii="Sylfaen" w:eastAsia="Arial Unicode MS" w:hAnsi="Sylfaen"/>
          <w:noProof/>
          <w:lang w:val="ka-GE"/>
        </w:rPr>
      </w:pPr>
    </w:p>
    <w:p w14:paraId="5FC649D5" w14:textId="77777777" w:rsidR="00B06C4A" w:rsidRPr="005C65AD" w:rsidRDefault="00B06C4A" w:rsidP="00382943">
      <w:pPr>
        <w:spacing w:after="0" w:line="240" w:lineRule="auto"/>
        <w:jc w:val="both"/>
        <w:rPr>
          <w:rFonts w:ascii="Sylfaen" w:eastAsia="Arial Unicode MS" w:hAnsi="Sylfaen"/>
          <w:b/>
          <w:bCs/>
          <w:noProof/>
          <w:lang w:val="ka-GE"/>
        </w:rPr>
      </w:pPr>
      <w:r w:rsidRPr="005C65AD">
        <w:rPr>
          <w:rFonts w:ascii="Sylfaen" w:eastAsia="Arial Unicode MS" w:hAnsi="Sylfaen"/>
          <w:b/>
          <w:bCs/>
          <w:noProof/>
          <w:lang w:val="ka-GE"/>
        </w:rPr>
        <w:t>4.6 ფერტილობა, ორსულობა და ლაქტაცია</w:t>
      </w:r>
    </w:p>
    <w:p w14:paraId="550B624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უკუნაჩვენებია ორსულობისა და ლაქტაციის პერიოდში.</w:t>
      </w:r>
    </w:p>
    <w:p w14:paraId="30C5CE81"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რეპროდუქციული პოტენციალის მქონე ქალებმა უნდა გამოიყენონ შესაბამისი კონტრაცეპტული ზომები.</w:t>
      </w:r>
    </w:p>
    <w:p w14:paraId="2F8FF1B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ვინაიდან ქოლესტერინი და ქოლესტერინის ბიოსინთეზის სხვა პროდუქტები აუცილებელია ნაყოფის განვითარებისთვის, HMG-CoA რედუქტაზას ინჰიბირებით გამოწვეული პოტენციური რისკი აღემატება ორსულობის დროს მკურნალობის სარგებელს. ცხოველებზე ჩატარებული კვლევები რეპროდუქციული ტოქსიკურობის შეზღუდულ მტკიცებულებას იძლევა (იხილეთ ნაწილი 5.3). თუ პაციენტი დაორსულდება ამ პროდუქტის გამოყენების დროს, მკურნალობა დაუყოვნებლივ უნდა შეწყდეს.</w:t>
      </w:r>
    </w:p>
    <w:p w14:paraId="4039FFC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 გამოიყოფა ვირთაგვების რძეში. არ არსებობს მონაცემები ადამიანებში რძეში გამოყოფის შესახებ (იხილეთ ნაწილი 4.3).</w:t>
      </w:r>
    </w:p>
    <w:p w14:paraId="0C167BDE" w14:textId="77777777" w:rsidR="00B06C4A" w:rsidRPr="005C4A9D" w:rsidRDefault="00B06C4A" w:rsidP="00382943">
      <w:pPr>
        <w:spacing w:after="0" w:line="240" w:lineRule="auto"/>
        <w:jc w:val="both"/>
        <w:rPr>
          <w:rFonts w:ascii="Sylfaen" w:eastAsia="Arial Unicode MS" w:hAnsi="Sylfaen"/>
          <w:noProof/>
          <w:lang w:val="ka-GE"/>
        </w:rPr>
      </w:pPr>
    </w:p>
    <w:p w14:paraId="559AAFD1"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4.7 ზემოქმედება ავტომობილის მართვისა და მექანიზმებთან მუშაობის უნარზე</w:t>
      </w:r>
    </w:p>
    <w:p w14:paraId="2A57B94C"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კვლევები სიროსტინი 20-ის ეფექტის დასადგენად ავტომობილის მართვისა და მექანიზმების მართვის უნარზე არ ჩატარებულა. თუმცა, მისი ფარმაკოდინამიკური თვისებების გათვალისწინებით, სიროსტინი 20 ნაკლებად სავარაუდოა, რომ გავლენას მოახდენს ამ უნარზე. ავტომობილის მართვის ან მექანიზმებთან მუშაობისას უნდა გაითვალისწინოთ, რომ მკურნალობის დროს შეიძლება განვითარდეს თავბრუსხვევა.</w:t>
      </w:r>
    </w:p>
    <w:p w14:paraId="2A0C8781" w14:textId="77777777" w:rsidR="003E5006" w:rsidRPr="003E5006" w:rsidRDefault="003E5006" w:rsidP="00382943">
      <w:pPr>
        <w:spacing w:after="0" w:line="240" w:lineRule="auto"/>
        <w:jc w:val="both"/>
        <w:rPr>
          <w:rFonts w:ascii="Sylfaen" w:eastAsia="Arial Unicode MS" w:hAnsi="Sylfaen"/>
          <w:b/>
          <w:bCs/>
          <w:noProof/>
          <w:lang w:val="ka-GE"/>
        </w:rPr>
      </w:pPr>
    </w:p>
    <w:p w14:paraId="026C6052"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 xml:space="preserve">4.8 </w:t>
      </w:r>
      <w:r w:rsidRPr="003E5006">
        <w:rPr>
          <w:rFonts w:ascii="Times New Roman" w:eastAsia="Arial Unicode MS" w:hAnsi="Times New Roman"/>
          <w:b/>
          <w:bCs/>
          <w:noProof/>
          <w:lang w:val="ka-GE"/>
        </w:rPr>
        <w:t>​​</w:t>
      </w:r>
      <w:r w:rsidRPr="003E5006">
        <w:rPr>
          <w:rFonts w:ascii="Sylfaen" w:eastAsia="Arial Unicode MS" w:hAnsi="Sylfaen"/>
          <w:b/>
          <w:bCs/>
          <w:noProof/>
          <w:lang w:val="ka-GE"/>
        </w:rPr>
        <w:t>არასასურველი ეფექტები</w:t>
      </w:r>
    </w:p>
    <w:p w14:paraId="12B7D6C0"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20-ით დაფიქსირებული გვერდითი რეაქციები, როგორც წესი, მსუბუქი და გარდამავალია. კონტროლირებად კლინიკურ კვლევებში, სიროსტინი 20-ით ნამკურნალები პაციენტების 4%-ზე ნაკლები შეწყდა გვერდითი რეაქციების გამო.</w:t>
      </w:r>
    </w:p>
    <w:p w14:paraId="31B636A1" w14:textId="77777777" w:rsidR="00B06C4A" w:rsidRPr="005C65AD" w:rsidRDefault="00B06C4A" w:rsidP="00382943">
      <w:pPr>
        <w:spacing w:after="0" w:line="240" w:lineRule="auto"/>
        <w:jc w:val="both"/>
        <w:rPr>
          <w:rFonts w:ascii="Sylfaen" w:eastAsia="Arial Unicode MS" w:hAnsi="Sylfaen"/>
          <w:i/>
          <w:iCs/>
          <w:noProof/>
          <w:lang w:val="ka-GE"/>
        </w:rPr>
      </w:pPr>
      <w:r w:rsidRPr="005C65AD">
        <w:rPr>
          <w:rFonts w:ascii="Sylfaen" w:eastAsia="Arial Unicode MS" w:hAnsi="Sylfaen"/>
          <w:i/>
          <w:iCs/>
          <w:noProof/>
          <w:lang w:val="ka-GE"/>
        </w:rPr>
        <w:t>გვერდითი რეაქციების სია ცხრილის სახით</w:t>
      </w:r>
    </w:p>
    <w:p w14:paraId="365A95C8" w14:textId="0AE50BC0"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კლინიკური კვლევების მონაცემებისა და პოსტმარკეტინგული ვრცელი გამოცდილების საფუძველზე, შემდეგ ცხრილში წარმოდგენილია როზუვასტატინის გვერდითი რეაქციების პროფილი. ქვემოთ ჩამოთვლილი გვერდითი რეაქციები კლასიფიცირებულია სიხშირისა და </w:t>
      </w:r>
      <w:r w:rsidR="005C65AD" w:rsidRPr="005C4A9D">
        <w:rPr>
          <w:rFonts w:ascii="Sylfaen" w:eastAsia="Arial Unicode MS" w:hAnsi="Sylfaen"/>
          <w:noProof/>
          <w:lang w:val="ka-GE"/>
        </w:rPr>
        <w:t>ორგანო</w:t>
      </w:r>
      <w:r w:rsidR="005C65AD">
        <w:rPr>
          <w:rFonts w:ascii="Sylfaen" w:eastAsia="Arial Unicode MS" w:hAnsi="Sylfaen"/>
          <w:noProof/>
          <w:lang w:val="ka-GE"/>
        </w:rPr>
        <w:t xml:space="preserve">თა </w:t>
      </w:r>
      <w:r w:rsidRPr="005C4A9D">
        <w:rPr>
          <w:rFonts w:ascii="Sylfaen" w:eastAsia="Arial Unicode MS" w:hAnsi="Sylfaen"/>
          <w:noProof/>
          <w:lang w:val="ka-GE"/>
        </w:rPr>
        <w:t>სისტემური  კლასის (SOC) მიხედვით.</w:t>
      </w:r>
    </w:p>
    <w:p w14:paraId="4C30E49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lastRenderedPageBreak/>
        <w:t>გვერდითი რეაქციების სიხშირეები დალაგებულია შემდეგი კონვენციის მიხედვით: ხშირი (≥ 1/100-დან &lt;1/10-მდე); არახშირი (≥ 1/1,000-დან &lt;1/100-მდე); იშვიათი (≥ 1/10,000-დან &lt;1/1000-მდე); ძალიან იშვიათი (&lt;1/10,000); უცნობია (არსებული მონაცემებით შეფასება შეუძლებელია).</w:t>
      </w:r>
    </w:p>
    <w:p w14:paraId="0ABE1A8C" w14:textId="77777777" w:rsidR="00B06C4A" w:rsidRPr="005C4A9D" w:rsidRDefault="00B06C4A" w:rsidP="00382943">
      <w:pPr>
        <w:spacing w:after="0" w:line="240" w:lineRule="auto"/>
        <w:rPr>
          <w:rFonts w:ascii="Sylfaen" w:eastAsia="Arial Unicode MS" w:hAnsi="Sylfaen"/>
          <w:noProof/>
          <w:lang w:val="ka-GE"/>
        </w:rPr>
      </w:pPr>
    </w:p>
    <w:p w14:paraId="3A0D2E59" w14:textId="77777777" w:rsidR="00B06C4A" w:rsidRPr="005C4A9D" w:rsidRDefault="00B06C4A" w:rsidP="00382943">
      <w:pPr>
        <w:spacing w:after="0" w:line="240" w:lineRule="auto"/>
        <w:rPr>
          <w:rFonts w:ascii="Sylfaen" w:eastAsia="Arial Unicode MS" w:hAnsi="Sylfaen"/>
          <w:b/>
          <w:noProof/>
          <w:lang w:val="ka-GE"/>
        </w:rPr>
      </w:pPr>
      <w:r w:rsidRPr="005C4A9D">
        <w:rPr>
          <w:rFonts w:ascii="Sylfaen" w:eastAsia="Arial Unicode MS" w:hAnsi="Sylfaen"/>
          <w:b/>
          <w:noProof/>
          <w:lang w:val="ka-GE"/>
        </w:rPr>
        <w:t>ცხრილი 2. გვერდითი მოვლენები კლინიკური კვლევებისა და პოსტმარკეტინგული გამოცდილების მონაცემებით</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963"/>
        <w:gridCol w:w="1423"/>
        <w:gridCol w:w="1142"/>
        <w:gridCol w:w="2171"/>
        <w:gridCol w:w="1773"/>
        <w:gridCol w:w="2238"/>
      </w:tblGrid>
      <w:tr w:rsidR="00B06C4A" w:rsidRPr="005C4A9D" w14:paraId="72BDFF5B" w14:textId="77777777" w:rsidTr="00B82067">
        <w:trPr>
          <w:tblCellSpacing w:w="0" w:type="dxa"/>
        </w:trPr>
        <w:tc>
          <w:tcPr>
            <w:tcW w:w="800" w:type="pct"/>
            <w:tcBorders>
              <w:top w:val="outset" w:sz="6" w:space="0" w:color="auto"/>
              <w:bottom w:val="outset" w:sz="6" w:space="0" w:color="auto"/>
              <w:right w:val="outset" w:sz="6" w:space="0" w:color="auto"/>
            </w:tcBorders>
          </w:tcPr>
          <w:p w14:paraId="26B7DCBB" w14:textId="3A86D244" w:rsidR="00B06C4A" w:rsidRPr="005C4A9D" w:rsidRDefault="005C65AD" w:rsidP="00382943">
            <w:pPr>
              <w:spacing w:after="0" w:line="240" w:lineRule="auto"/>
              <w:rPr>
                <w:rFonts w:ascii="Times New Roman" w:hAnsi="Times New Roman"/>
                <w:noProof/>
                <w:lang w:val="ka-GE"/>
              </w:rPr>
            </w:pPr>
            <w:r>
              <w:rPr>
                <w:rFonts w:ascii="Sylfaen" w:hAnsi="Sylfaen" w:cs="Sylfaen"/>
                <w:b/>
                <w:bCs/>
                <w:noProof/>
                <w:lang w:val="ka-GE"/>
              </w:rPr>
              <w:t xml:space="preserve">ორგანოთა </w:t>
            </w:r>
            <w:r w:rsidR="00B06C4A" w:rsidRPr="005C4A9D">
              <w:rPr>
                <w:rFonts w:ascii="Sylfaen" w:hAnsi="Sylfaen" w:cs="Sylfaen"/>
                <w:b/>
                <w:bCs/>
                <w:noProof/>
                <w:lang w:val="ka-GE"/>
              </w:rPr>
              <w:t>სისტემური</w:t>
            </w:r>
            <w:r w:rsidR="00B06C4A" w:rsidRPr="005C4A9D">
              <w:rPr>
                <w:rFonts w:ascii="Times New Roman" w:hAnsi="Times New Roman"/>
                <w:b/>
                <w:bCs/>
                <w:noProof/>
                <w:lang w:val="ka-GE"/>
              </w:rPr>
              <w:t xml:space="preserve"> </w:t>
            </w:r>
            <w:r w:rsidR="00B06C4A" w:rsidRPr="005C4A9D">
              <w:rPr>
                <w:rFonts w:ascii="Sylfaen" w:hAnsi="Sylfaen" w:cs="Sylfaen"/>
                <w:b/>
                <w:bCs/>
                <w:noProof/>
                <w:lang w:val="ka-GE"/>
              </w:rPr>
              <w:t>კლასი</w:t>
            </w:r>
          </w:p>
        </w:tc>
        <w:tc>
          <w:tcPr>
            <w:tcW w:w="750" w:type="pct"/>
            <w:tcBorders>
              <w:top w:val="outset" w:sz="6" w:space="0" w:color="auto"/>
              <w:left w:val="outset" w:sz="6" w:space="0" w:color="auto"/>
              <w:bottom w:val="outset" w:sz="6" w:space="0" w:color="auto"/>
              <w:right w:val="outset" w:sz="6" w:space="0" w:color="auto"/>
            </w:tcBorders>
          </w:tcPr>
          <w:p w14:paraId="769BC7F3" w14:textId="77777777" w:rsidR="00B06C4A" w:rsidRPr="005C4A9D" w:rsidRDefault="00B06C4A" w:rsidP="00382943">
            <w:pPr>
              <w:spacing w:after="0" w:line="240" w:lineRule="auto"/>
              <w:rPr>
                <w:rFonts w:ascii="Sylfaen" w:hAnsi="Sylfaen"/>
                <w:noProof/>
                <w:lang w:val="ka-GE"/>
              </w:rPr>
            </w:pPr>
            <w:r w:rsidRPr="005C4A9D">
              <w:rPr>
                <w:rFonts w:ascii="Sylfaen" w:hAnsi="Sylfaen" w:cs="Sylfaen"/>
                <w:b/>
                <w:bCs/>
                <w:noProof/>
                <w:lang w:val="ka-GE"/>
              </w:rPr>
              <w:t>ხშირი</w:t>
            </w:r>
          </w:p>
        </w:tc>
        <w:tc>
          <w:tcPr>
            <w:tcW w:w="700" w:type="pct"/>
            <w:tcBorders>
              <w:top w:val="outset" w:sz="6" w:space="0" w:color="auto"/>
              <w:left w:val="outset" w:sz="6" w:space="0" w:color="auto"/>
              <w:bottom w:val="outset" w:sz="6" w:space="0" w:color="auto"/>
              <w:right w:val="outset" w:sz="6" w:space="0" w:color="auto"/>
            </w:tcBorders>
          </w:tcPr>
          <w:p w14:paraId="5152A332" w14:textId="77777777" w:rsidR="00B06C4A" w:rsidRPr="005C4A9D" w:rsidRDefault="00B06C4A" w:rsidP="00382943">
            <w:pPr>
              <w:spacing w:after="0" w:line="240" w:lineRule="auto"/>
              <w:rPr>
                <w:rFonts w:ascii="Sylfaen" w:hAnsi="Sylfaen"/>
                <w:noProof/>
                <w:lang w:val="ka-GE"/>
              </w:rPr>
            </w:pPr>
            <w:r w:rsidRPr="005C4A9D">
              <w:rPr>
                <w:rFonts w:ascii="Sylfaen" w:hAnsi="Sylfaen" w:cs="Sylfaen"/>
                <w:b/>
                <w:bCs/>
                <w:noProof/>
                <w:lang w:val="ka-GE"/>
              </w:rPr>
              <w:t>არახშირი</w:t>
            </w:r>
          </w:p>
        </w:tc>
        <w:tc>
          <w:tcPr>
            <w:tcW w:w="1050" w:type="pct"/>
            <w:tcBorders>
              <w:top w:val="outset" w:sz="6" w:space="0" w:color="auto"/>
              <w:left w:val="outset" w:sz="6" w:space="0" w:color="auto"/>
              <w:bottom w:val="outset" w:sz="6" w:space="0" w:color="auto"/>
              <w:right w:val="outset" w:sz="6" w:space="0" w:color="auto"/>
            </w:tcBorders>
          </w:tcPr>
          <w:p w14:paraId="6A4BA0FC"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იშვიათი</w:t>
            </w:r>
          </w:p>
        </w:tc>
        <w:tc>
          <w:tcPr>
            <w:tcW w:w="900" w:type="pct"/>
            <w:tcBorders>
              <w:top w:val="outset" w:sz="6" w:space="0" w:color="auto"/>
              <w:left w:val="outset" w:sz="6" w:space="0" w:color="auto"/>
              <w:bottom w:val="outset" w:sz="6" w:space="0" w:color="auto"/>
              <w:right w:val="outset" w:sz="6" w:space="0" w:color="auto"/>
            </w:tcBorders>
          </w:tcPr>
          <w:p w14:paraId="726BCBFF"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b/>
                <w:bCs/>
                <w:noProof/>
                <w:lang w:val="ka-GE"/>
              </w:rPr>
              <w:t>ძალიან</w:t>
            </w:r>
            <w:r w:rsidRPr="005C4A9D">
              <w:rPr>
                <w:rFonts w:ascii="Times New Roman" w:hAnsi="Times New Roman"/>
                <w:b/>
                <w:bCs/>
                <w:noProof/>
                <w:lang w:val="ka-GE"/>
              </w:rPr>
              <w:t xml:space="preserve"> </w:t>
            </w:r>
            <w:r w:rsidRPr="005C4A9D">
              <w:rPr>
                <w:rFonts w:ascii="Sylfaen" w:hAnsi="Sylfaen" w:cs="Sylfaen"/>
                <w:b/>
                <w:bCs/>
                <w:noProof/>
                <w:lang w:val="ka-GE"/>
              </w:rPr>
              <w:t>იშვიათი</w:t>
            </w:r>
          </w:p>
        </w:tc>
        <w:tc>
          <w:tcPr>
            <w:tcW w:w="800" w:type="pct"/>
            <w:tcBorders>
              <w:top w:val="outset" w:sz="6" w:space="0" w:color="auto"/>
              <w:left w:val="outset" w:sz="6" w:space="0" w:color="auto"/>
              <w:bottom w:val="outset" w:sz="6" w:space="0" w:color="auto"/>
            </w:tcBorders>
          </w:tcPr>
          <w:p w14:paraId="2C7DD76B" w14:textId="77777777" w:rsidR="00B06C4A" w:rsidRPr="005C4A9D" w:rsidRDefault="00B06C4A" w:rsidP="00382943">
            <w:pPr>
              <w:spacing w:after="0" w:line="240" w:lineRule="auto"/>
              <w:rPr>
                <w:rFonts w:ascii="Sylfaen" w:hAnsi="Sylfaen"/>
                <w:noProof/>
                <w:lang w:val="ka-GE"/>
              </w:rPr>
            </w:pPr>
            <w:r w:rsidRPr="005C4A9D">
              <w:rPr>
                <w:rFonts w:ascii="Sylfaen" w:hAnsi="Sylfaen" w:cs="Sylfaen"/>
                <w:b/>
                <w:bCs/>
                <w:noProof/>
                <w:lang w:val="ka-GE"/>
              </w:rPr>
              <w:t>უცნობი</w:t>
            </w:r>
          </w:p>
        </w:tc>
      </w:tr>
      <w:tr w:rsidR="00B06C4A" w:rsidRPr="005C4A9D" w14:paraId="3C5A8EBE" w14:textId="77777777" w:rsidTr="00B82067">
        <w:trPr>
          <w:tblCellSpacing w:w="0" w:type="dxa"/>
        </w:trPr>
        <w:tc>
          <w:tcPr>
            <w:tcW w:w="800" w:type="pct"/>
            <w:tcBorders>
              <w:top w:val="outset" w:sz="6" w:space="0" w:color="auto"/>
              <w:bottom w:val="outset" w:sz="6" w:space="0" w:color="auto"/>
              <w:right w:val="outset" w:sz="6" w:space="0" w:color="auto"/>
            </w:tcBorders>
          </w:tcPr>
          <w:p w14:paraId="7DFA3DF1" w14:textId="4193E751"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სისხლისა</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ლიმფური</w:t>
            </w:r>
            <w:r w:rsidRPr="005C4A9D">
              <w:rPr>
                <w:rFonts w:ascii="Times New Roman" w:hAnsi="Times New Roman"/>
                <w:i/>
                <w:iCs/>
                <w:noProof/>
                <w:lang w:val="ka-GE"/>
              </w:rPr>
              <w:t xml:space="preserve"> </w:t>
            </w:r>
            <w:r w:rsidRPr="005C4A9D">
              <w:rPr>
                <w:rFonts w:ascii="Sylfaen" w:hAnsi="Sylfaen" w:cs="Sylfaen"/>
                <w:i/>
                <w:iCs/>
                <w:noProof/>
                <w:lang w:val="ka-GE"/>
              </w:rPr>
              <w:t>სისტემის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0427385F"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6FAA44B0"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721A0C45"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თრომბოციტოპენია</w:t>
            </w:r>
          </w:p>
        </w:tc>
        <w:tc>
          <w:tcPr>
            <w:tcW w:w="900" w:type="pct"/>
            <w:tcBorders>
              <w:top w:val="outset" w:sz="6" w:space="0" w:color="auto"/>
              <w:left w:val="outset" w:sz="6" w:space="0" w:color="auto"/>
              <w:bottom w:val="outset" w:sz="6" w:space="0" w:color="auto"/>
              <w:right w:val="outset" w:sz="6" w:space="0" w:color="auto"/>
            </w:tcBorders>
          </w:tcPr>
          <w:p w14:paraId="6C55A87A" w14:textId="77777777" w:rsidR="00B06C4A" w:rsidRPr="005C4A9D" w:rsidRDefault="00B06C4A" w:rsidP="00382943">
            <w:pPr>
              <w:spacing w:after="0" w:line="240" w:lineRule="auto"/>
              <w:rPr>
                <w:rFonts w:ascii="Times New Roman" w:hAnsi="Times New Roman"/>
                <w:noProof/>
                <w:lang w:val="ka-GE"/>
              </w:rPr>
            </w:pPr>
          </w:p>
        </w:tc>
        <w:tc>
          <w:tcPr>
            <w:tcW w:w="800" w:type="pct"/>
            <w:tcBorders>
              <w:top w:val="outset" w:sz="6" w:space="0" w:color="auto"/>
              <w:left w:val="outset" w:sz="6" w:space="0" w:color="auto"/>
              <w:bottom w:val="outset" w:sz="6" w:space="0" w:color="auto"/>
            </w:tcBorders>
          </w:tcPr>
          <w:p w14:paraId="2D2D4270" w14:textId="77777777" w:rsidR="00B06C4A" w:rsidRPr="005C4A9D" w:rsidRDefault="00B06C4A" w:rsidP="00382943">
            <w:pPr>
              <w:spacing w:after="0" w:line="240" w:lineRule="auto"/>
              <w:rPr>
                <w:rFonts w:ascii="Times New Roman" w:hAnsi="Times New Roman"/>
                <w:noProof/>
                <w:sz w:val="20"/>
                <w:szCs w:val="20"/>
                <w:lang w:val="ka-GE"/>
              </w:rPr>
            </w:pPr>
          </w:p>
        </w:tc>
      </w:tr>
      <w:tr w:rsidR="00B06C4A" w:rsidRPr="005C4A9D" w14:paraId="39893B00" w14:textId="77777777" w:rsidTr="00B82067">
        <w:trPr>
          <w:tblCellSpacing w:w="0" w:type="dxa"/>
        </w:trPr>
        <w:tc>
          <w:tcPr>
            <w:tcW w:w="800" w:type="pct"/>
            <w:tcBorders>
              <w:top w:val="outset" w:sz="6" w:space="0" w:color="auto"/>
              <w:bottom w:val="outset" w:sz="6" w:space="0" w:color="auto"/>
              <w:right w:val="outset" w:sz="6" w:space="0" w:color="auto"/>
            </w:tcBorders>
          </w:tcPr>
          <w:p w14:paraId="7922D082" w14:textId="0773D1DD"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იმუნური</w:t>
            </w:r>
            <w:r w:rsidRPr="005C4A9D">
              <w:rPr>
                <w:rFonts w:ascii="Times New Roman" w:hAnsi="Times New Roman"/>
                <w:i/>
                <w:iCs/>
                <w:noProof/>
                <w:lang w:val="ka-GE"/>
              </w:rPr>
              <w:t xml:space="preserve"> </w:t>
            </w:r>
            <w:r w:rsidRPr="005C4A9D">
              <w:rPr>
                <w:rFonts w:ascii="Sylfaen" w:hAnsi="Sylfaen" w:cs="Sylfaen"/>
                <w:i/>
                <w:iCs/>
                <w:noProof/>
                <w:lang w:val="ka-GE"/>
              </w:rPr>
              <w:t>სისტემის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47A601FD"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46A71D01"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14107DE4"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ჰიპერმგრძნობელობის</w:t>
            </w:r>
            <w:r w:rsidRPr="005C4A9D">
              <w:rPr>
                <w:rFonts w:ascii="Times New Roman" w:hAnsi="Times New Roman"/>
                <w:noProof/>
                <w:lang w:val="ka-GE"/>
              </w:rPr>
              <w:t xml:space="preserve"> </w:t>
            </w:r>
            <w:r w:rsidRPr="005C4A9D">
              <w:rPr>
                <w:rFonts w:ascii="Sylfaen" w:hAnsi="Sylfaen" w:cs="Sylfaen"/>
                <w:noProof/>
                <w:lang w:val="ka-GE"/>
              </w:rPr>
              <w:t>რეაქციები</w:t>
            </w:r>
            <w:r w:rsidRPr="005C4A9D">
              <w:rPr>
                <w:rFonts w:ascii="Times New Roman" w:hAnsi="Times New Roman"/>
                <w:noProof/>
                <w:lang w:val="ka-GE"/>
              </w:rPr>
              <w:t xml:space="preserve">, </w:t>
            </w:r>
            <w:r w:rsidRPr="005C4A9D">
              <w:rPr>
                <w:rFonts w:ascii="Sylfaen" w:hAnsi="Sylfaen" w:cs="Sylfaen"/>
                <w:noProof/>
                <w:lang w:val="ka-GE"/>
              </w:rPr>
              <w:t>მათ</w:t>
            </w:r>
            <w:r w:rsidRPr="005C4A9D">
              <w:rPr>
                <w:rFonts w:ascii="Times New Roman" w:hAnsi="Times New Roman"/>
                <w:noProof/>
                <w:lang w:val="ka-GE"/>
              </w:rPr>
              <w:t xml:space="preserve"> </w:t>
            </w:r>
            <w:r w:rsidRPr="005C4A9D">
              <w:rPr>
                <w:rFonts w:ascii="Sylfaen" w:hAnsi="Sylfaen" w:cs="Sylfaen"/>
                <w:noProof/>
                <w:lang w:val="ka-GE"/>
              </w:rPr>
              <w:t>შორის</w:t>
            </w:r>
            <w:r w:rsidRPr="005C4A9D">
              <w:rPr>
                <w:rFonts w:ascii="Times New Roman" w:hAnsi="Times New Roman"/>
                <w:noProof/>
                <w:lang w:val="ka-GE"/>
              </w:rPr>
              <w:t xml:space="preserve"> </w:t>
            </w:r>
            <w:r w:rsidRPr="005C4A9D">
              <w:rPr>
                <w:rFonts w:ascii="Sylfaen" w:hAnsi="Sylfaen" w:cs="Sylfaen"/>
                <w:noProof/>
                <w:lang w:val="ka-GE"/>
              </w:rPr>
              <w:t>ანგიონევროზული</w:t>
            </w:r>
            <w:r w:rsidRPr="005C4A9D">
              <w:rPr>
                <w:rFonts w:ascii="Times New Roman" w:hAnsi="Times New Roman"/>
                <w:noProof/>
                <w:lang w:val="ka-GE"/>
              </w:rPr>
              <w:t xml:space="preserve"> </w:t>
            </w:r>
            <w:r w:rsidRPr="005C4A9D">
              <w:rPr>
                <w:rFonts w:ascii="Sylfaen" w:hAnsi="Sylfaen" w:cs="Sylfaen"/>
                <w:noProof/>
                <w:lang w:val="ka-GE"/>
              </w:rPr>
              <w:t>შეშუპება</w:t>
            </w:r>
          </w:p>
        </w:tc>
        <w:tc>
          <w:tcPr>
            <w:tcW w:w="900" w:type="pct"/>
            <w:tcBorders>
              <w:top w:val="outset" w:sz="6" w:space="0" w:color="auto"/>
              <w:left w:val="outset" w:sz="6" w:space="0" w:color="auto"/>
              <w:bottom w:val="outset" w:sz="6" w:space="0" w:color="auto"/>
              <w:right w:val="outset" w:sz="6" w:space="0" w:color="auto"/>
            </w:tcBorders>
          </w:tcPr>
          <w:p w14:paraId="57BA5517" w14:textId="77777777" w:rsidR="00B06C4A" w:rsidRPr="005C4A9D" w:rsidRDefault="00B06C4A" w:rsidP="00382943">
            <w:pPr>
              <w:spacing w:after="0" w:line="240" w:lineRule="auto"/>
              <w:rPr>
                <w:rFonts w:ascii="Times New Roman" w:hAnsi="Times New Roman"/>
                <w:noProof/>
                <w:lang w:val="ka-GE"/>
              </w:rPr>
            </w:pPr>
          </w:p>
        </w:tc>
        <w:tc>
          <w:tcPr>
            <w:tcW w:w="800" w:type="pct"/>
            <w:tcBorders>
              <w:top w:val="outset" w:sz="6" w:space="0" w:color="auto"/>
              <w:left w:val="outset" w:sz="6" w:space="0" w:color="auto"/>
              <w:bottom w:val="outset" w:sz="6" w:space="0" w:color="auto"/>
            </w:tcBorders>
          </w:tcPr>
          <w:p w14:paraId="225F3537" w14:textId="77777777" w:rsidR="00B06C4A" w:rsidRPr="005C4A9D" w:rsidRDefault="00B06C4A" w:rsidP="00382943">
            <w:pPr>
              <w:spacing w:after="0" w:line="240" w:lineRule="auto"/>
              <w:rPr>
                <w:rFonts w:ascii="Times New Roman" w:hAnsi="Times New Roman"/>
                <w:noProof/>
                <w:sz w:val="20"/>
                <w:szCs w:val="20"/>
                <w:lang w:val="ka-GE"/>
              </w:rPr>
            </w:pPr>
          </w:p>
        </w:tc>
      </w:tr>
      <w:tr w:rsidR="00B06C4A" w:rsidRPr="005C4A9D" w14:paraId="4D3E6D3D" w14:textId="77777777" w:rsidTr="00B82067">
        <w:trPr>
          <w:tblCellSpacing w:w="0" w:type="dxa"/>
        </w:trPr>
        <w:tc>
          <w:tcPr>
            <w:tcW w:w="800" w:type="pct"/>
            <w:tcBorders>
              <w:top w:val="outset" w:sz="6" w:space="0" w:color="auto"/>
              <w:bottom w:val="outset" w:sz="6" w:space="0" w:color="auto"/>
              <w:right w:val="outset" w:sz="6" w:space="0" w:color="auto"/>
            </w:tcBorders>
          </w:tcPr>
          <w:p w14:paraId="60A9356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ენდოკრინული</w:t>
            </w:r>
            <w:r w:rsidRPr="005C4A9D">
              <w:rPr>
                <w:rFonts w:ascii="Times New Roman" w:hAnsi="Times New Roman"/>
                <w:i/>
                <w:iCs/>
                <w:noProof/>
                <w:lang w:val="ka-GE"/>
              </w:rPr>
              <w:t xml:space="preserve">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5673B34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შაქრიანი</w:t>
            </w:r>
            <w:r w:rsidRPr="005C4A9D">
              <w:rPr>
                <w:rFonts w:ascii="Times New Roman" w:hAnsi="Times New Roman"/>
                <w:noProof/>
                <w:lang w:val="ka-GE"/>
              </w:rPr>
              <w:t xml:space="preserve"> </w:t>
            </w:r>
            <w:r w:rsidRPr="005C4A9D">
              <w:rPr>
                <w:rFonts w:ascii="Sylfaen" w:hAnsi="Sylfaen" w:cs="Sylfaen"/>
                <w:noProof/>
                <w:lang w:val="ka-GE"/>
              </w:rPr>
              <w:t>დიაბეტი</w:t>
            </w:r>
            <w:r w:rsidRPr="005C4A9D">
              <w:rPr>
                <w:rFonts w:ascii="Times New Roman" w:hAnsi="Times New Roman"/>
                <w:noProof/>
                <w:lang w:val="ka-GE"/>
              </w:rPr>
              <w:t xml:space="preserve"> </w:t>
            </w:r>
            <w:r w:rsidRPr="005C4A9D">
              <w:rPr>
                <w:rFonts w:ascii="Times New Roman" w:hAnsi="Times New Roman"/>
                <w:noProof/>
                <w:vertAlign w:val="superscript"/>
                <w:lang w:val="ka-GE"/>
              </w:rPr>
              <w:t>1</w:t>
            </w:r>
          </w:p>
        </w:tc>
        <w:tc>
          <w:tcPr>
            <w:tcW w:w="700" w:type="pct"/>
            <w:tcBorders>
              <w:top w:val="outset" w:sz="6" w:space="0" w:color="auto"/>
              <w:left w:val="outset" w:sz="6" w:space="0" w:color="auto"/>
              <w:bottom w:val="outset" w:sz="6" w:space="0" w:color="auto"/>
              <w:right w:val="outset" w:sz="6" w:space="0" w:color="auto"/>
            </w:tcBorders>
          </w:tcPr>
          <w:p w14:paraId="2FB15701" w14:textId="77777777" w:rsidR="00B06C4A" w:rsidRPr="005C4A9D" w:rsidRDefault="00B06C4A" w:rsidP="00382943">
            <w:pPr>
              <w:spacing w:after="0" w:line="240" w:lineRule="auto"/>
              <w:rPr>
                <w:rFonts w:ascii="Times New Roman" w:hAnsi="Times New Roman"/>
                <w:noProof/>
                <w:lang w:val="ka-GE"/>
              </w:rPr>
            </w:pPr>
          </w:p>
        </w:tc>
        <w:tc>
          <w:tcPr>
            <w:tcW w:w="1050" w:type="pct"/>
            <w:tcBorders>
              <w:top w:val="outset" w:sz="6" w:space="0" w:color="auto"/>
              <w:left w:val="outset" w:sz="6" w:space="0" w:color="auto"/>
              <w:bottom w:val="outset" w:sz="6" w:space="0" w:color="auto"/>
              <w:right w:val="outset" w:sz="6" w:space="0" w:color="auto"/>
            </w:tcBorders>
          </w:tcPr>
          <w:p w14:paraId="41637B48"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207D62A8"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053E9749" w14:textId="77777777" w:rsidR="00B06C4A" w:rsidRPr="005C4A9D" w:rsidRDefault="00B06C4A" w:rsidP="00382943">
            <w:pPr>
              <w:spacing w:after="0" w:line="240" w:lineRule="auto"/>
              <w:rPr>
                <w:rFonts w:ascii="Times New Roman" w:hAnsi="Times New Roman"/>
                <w:noProof/>
                <w:sz w:val="20"/>
                <w:szCs w:val="20"/>
                <w:lang w:val="ka-GE"/>
              </w:rPr>
            </w:pPr>
          </w:p>
        </w:tc>
      </w:tr>
      <w:tr w:rsidR="00B06C4A" w:rsidRPr="005C4A9D" w14:paraId="5241126B" w14:textId="77777777" w:rsidTr="00B82067">
        <w:trPr>
          <w:tblCellSpacing w:w="0" w:type="dxa"/>
        </w:trPr>
        <w:tc>
          <w:tcPr>
            <w:tcW w:w="800" w:type="pct"/>
            <w:tcBorders>
              <w:top w:val="outset" w:sz="6" w:space="0" w:color="auto"/>
              <w:bottom w:val="outset" w:sz="6" w:space="0" w:color="auto"/>
              <w:right w:val="outset" w:sz="6" w:space="0" w:color="auto"/>
            </w:tcBorders>
          </w:tcPr>
          <w:p w14:paraId="6EF18CF5"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ფსიქიატრიული</w:t>
            </w:r>
            <w:r w:rsidRPr="005C4A9D">
              <w:rPr>
                <w:rFonts w:ascii="Times New Roman" w:hAnsi="Times New Roman"/>
                <w:i/>
                <w:iCs/>
                <w:noProof/>
                <w:lang w:val="ka-GE"/>
              </w:rPr>
              <w:t xml:space="preserve">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43B97E00"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3E23AE87"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79EB336D"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4F20DA40"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3A61BA9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დეპრესია</w:t>
            </w:r>
          </w:p>
        </w:tc>
      </w:tr>
      <w:tr w:rsidR="00B06C4A" w:rsidRPr="005C4A9D" w14:paraId="7DD6884B" w14:textId="77777777" w:rsidTr="00B82067">
        <w:trPr>
          <w:tblCellSpacing w:w="0" w:type="dxa"/>
        </w:trPr>
        <w:tc>
          <w:tcPr>
            <w:tcW w:w="800" w:type="pct"/>
            <w:tcBorders>
              <w:top w:val="outset" w:sz="6" w:space="0" w:color="auto"/>
              <w:bottom w:val="outset" w:sz="6" w:space="0" w:color="auto"/>
              <w:right w:val="outset" w:sz="6" w:space="0" w:color="auto"/>
            </w:tcBorders>
          </w:tcPr>
          <w:p w14:paraId="256C769A" w14:textId="0935FD5C"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ნერვული</w:t>
            </w:r>
            <w:r w:rsidRPr="005C4A9D">
              <w:rPr>
                <w:rFonts w:ascii="Times New Roman" w:hAnsi="Times New Roman"/>
                <w:i/>
                <w:iCs/>
                <w:noProof/>
                <w:lang w:val="ka-GE"/>
              </w:rPr>
              <w:t xml:space="preserve"> </w:t>
            </w:r>
            <w:r w:rsidRPr="005C4A9D">
              <w:rPr>
                <w:rFonts w:ascii="Sylfaen" w:hAnsi="Sylfaen" w:cs="Sylfaen"/>
                <w:i/>
                <w:iCs/>
                <w:noProof/>
                <w:lang w:val="ka-GE"/>
              </w:rPr>
              <w:t>სისტემის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4D0EC2B8"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თავის</w:t>
            </w:r>
            <w:r w:rsidRPr="005C4A9D">
              <w:rPr>
                <w:rFonts w:ascii="Times New Roman" w:hAnsi="Times New Roman"/>
                <w:noProof/>
                <w:lang w:val="ka-GE"/>
              </w:rPr>
              <w:t xml:space="preserve"> </w:t>
            </w:r>
            <w:r w:rsidRPr="005C4A9D">
              <w:rPr>
                <w:rFonts w:ascii="Sylfaen" w:hAnsi="Sylfaen" w:cs="Sylfaen"/>
                <w:noProof/>
                <w:lang w:val="ka-GE"/>
              </w:rPr>
              <w:t>ტკივილი</w:t>
            </w:r>
          </w:p>
          <w:p w14:paraId="4A50DF5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თავბრუსხვევა</w:t>
            </w:r>
          </w:p>
        </w:tc>
        <w:tc>
          <w:tcPr>
            <w:tcW w:w="700" w:type="pct"/>
            <w:tcBorders>
              <w:top w:val="outset" w:sz="6" w:space="0" w:color="auto"/>
              <w:left w:val="outset" w:sz="6" w:space="0" w:color="auto"/>
              <w:bottom w:val="outset" w:sz="6" w:space="0" w:color="auto"/>
              <w:right w:val="outset" w:sz="6" w:space="0" w:color="auto"/>
            </w:tcBorders>
          </w:tcPr>
          <w:p w14:paraId="1B94E5EC" w14:textId="77777777" w:rsidR="00B06C4A" w:rsidRPr="005C4A9D" w:rsidRDefault="00B06C4A" w:rsidP="00382943">
            <w:pPr>
              <w:spacing w:after="0" w:line="240" w:lineRule="auto"/>
              <w:rPr>
                <w:rFonts w:ascii="Times New Roman" w:hAnsi="Times New Roman"/>
                <w:noProof/>
                <w:lang w:val="ka-GE"/>
              </w:rPr>
            </w:pPr>
          </w:p>
        </w:tc>
        <w:tc>
          <w:tcPr>
            <w:tcW w:w="1050" w:type="pct"/>
            <w:tcBorders>
              <w:top w:val="outset" w:sz="6" w:space="0" w:color="auto"/>
              <w:left w:val="outset" w:sz="6" w:space="0" w:color="auto"/>
              <w:bottom w:val="outset" w:sz="6" w:space="0" w:color="auto"/>
              <w:right w:val="outset" w:sz="6" w:space="0" w:color="auto"/>
            </w:tcBorders>
          </w:tcPr>
          <w:p w14:paraId="3A4555FE"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1100C12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პოლინეიროპათია</w:t>
            </w:r>
          </w:p>
          <w:p w14:paraId="64FE9A68"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მეხსიერების</w:t>
            </w:r>
            <w:r w:rsidRPr="005C4A9D">
              <w:rPr>
                <w:rFonts w:ascii="Times New Roman" w:hAnsi="Times New Roman"/>
                <w:noProof/>
                <w:lang w:val="ka-GE"/>
              </w:rPr>
              <w:t xml:space="preserve"> </w:t>
            </w:r>
            <w:r w:rsidRPr="005C4A9D">
              <w:rPr>
                <w:rFonts w:ascii="Sylfaen" w:hAnsi="Sylfaen" w:cs="Sylfaen"/>
                <w:noProof/>
                <w:lang w:val="ka-GE"/>
              </w:rPr>
              <w:t>დაკარგვა</w:t>
            </w:r>
          </w:p>
        </w:tc>
        <w:tc>
          <w:tcPr>
            <w:tcW w:w="800" w:type="pct"/>
            <w:tcBorders>
              <w:top w:val="outset" w:sz="6" w:space="0" w:color="auto"/>
              <w:left w:val="outset" w:sz="6" w:space="0" w:color="auto"/>
              <w:bottom w:val="outset" w:sz="6" w:space="0" w:color="auto"/>
            </w:tcBorders>
          </w:tcPr>
          <w:p w14:paraId="16766C30"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პერიფერიული</w:t>
            </w:r>
            <w:r w:rsidRPr="005C4A9D">
              <w:rPr>
                <w:rFonts w:ascii="Times New Roman" w:hAnsi="Times New Roman"/>
                <w:noProof/>
                <w:lang w:val="ka-GE"/>
              </w:rPr>
              <w:t xml:space="preserve"> </w:t>
            </w:r>
            <w:r w:rsidRPr="005C4A9D">
              <w:rPr>
                <w:rFonts w:ascii="Sylfaen" w:hAnsi="Sylfaen" w:cs="Sylfaen"/>
                <w:noProof/>
                <w:lang w:val="ka-GE"/>
              </w:rPr>
              <w:t>ნეიროპათია</w:t>
            </w:r>
          </w:p>
          <w:p w14:paraId="58213033"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ძილის</w:t>
            </w:r>
            <w:r w:rsidRPr="005C4A9D">
              <w:rPr>
                <w:rFonts w:ascii="Times New Roman" w:hAnsi="Times New Roman"/>
                <w:noProof/>
                <w:lang w:val="ka-GE"/>
              </w:rPr>
              <w:t xml:space="preserve"> </w:t>
            </w:r>
            <w:r w:rsidRPr="005C4A9D">
              <w:rPr>
                <w:rFonts w:ascii="Sylfaen" w:hAnsi="Sylfaen" w:cs="Sylfaen"/>
                <w:noProof/>
                <w:lang w:val="ka-GE"/>
              </w:rPr>
              <w:t>დარღვევები</w:t>
            </w:r>
            <w:r w:rsidRPr="005C4A9D">
              <w:rPr>
                <w:rFonts w:ascii="Times New Roman" w:hAnsi="Times New Roman"/>
                <w:noProof/>
                <w:lang w:val="ka-GE"/>
              </w:rPr>
              <w:t xml:space="preserve"> (</w:t>
            </w:r>
            <w:r w:rsidRPr="005C4A9D">
              <w:rPr>
                <w:rFonts w:ascii="Sylfaen" w:hAnsi="Sylfaen" w:cs="Sylfaen"/>
                <w:noProof/>
                <w:lang w:val="ka-GE"/>
              </w:rPr>
              <w:t>მათ</w:t>
            </w:r>
            <w:r w:rsidRPr="005C4A9D">
              <w:rPr>
                <w:rFonts w:ascii="Times New Roman" w:hAnsi="Times New Roman"/>
                <w:noProof/>
                <w:lang w:val="ka-GE"/>
              </w:rPr>
              <w:t xml:space="preserve"> </w:t>
            </w:r>
            <w:r w:rsidRPr="005C4A9D">
              <w:rPr>
                <w:rFonts w:ascii="Sylfaen" w:hAnsi="Sylfaen" w:cs="Sylfaen"/>
                <w:noProof/>
                <w:lang w:val="ka-GE"/>
              </w:rPr>
              <w:t>შორის</w:t>
            </w:r>
            <w:r w:rsidRPr="005C4A9D">
              <w:rPr>
                <w:rFonts w:ascii="Times New Roman" w:hAnsi="Times New Roman"/>
                <w:noProof/>
                <w:lang w:val="ka-GE"/>
              </w:rPr>
              <w:t xml:space="preserve"> </w:t>
            </w:r>
            <w:r w:rsidRPr="005C4A9D">
              <w:rPr>
                <w:rFonts w:ascii="Sylfaen" w:hAnsi="Sylfaen" w:cs="Sylfaen"/>
                <w:noProof/>
                <w:lang w:val="ka-GE"/>
              </w:rPr>
              <w:t>უძილობა</w:t>
            </w:r>
            <w:r w:rsidRPr="005C4A9D">
              <w:rPr>
                <w:rFonts w:ascii="Times New Roman" w:hAnsi="Times New Roman"/>
                <w:noProof/>
                <w:lang w:val="ka-GE"/>
              </w:rPr>
              <w:t xml:space="preserve"> </w:t>
            </w:r>
            <w:r w:rsidRPr="005C4A9D">
              <w:rPr>
                <w:rFonts w:ascii="Sylfaen" w:hAnsi="Sylfaen" w:cs="Sylfaen"/>
                <w:noProof/>
                <w:lang w:val="ka-GE"/>
              </w:rPr>
              <w:t>და</w:t>
            </w:r>
            <w:r w:rsidRPr="005C4A9D">
              <w:rPr>
                <w:rFonts w:ascii="Times New Roman" w:hAnsi="Times New Roman"/>
                <w:noProof/>
                <w:lang w:val="ka-GE"/>
              </w:rPr>
              <w:t xml:space="preserve"> </w:t>
            </w:r>
            <w:r w:rsidRPr="005C4A9D">
              <w:rPr>
                <w:rFonts w:ascii="Sylfaen" w:hAnsi="Sylfaen" w:cs="Sylfaen"/>
                <w:noProof/>
                <w:lang w:val="ka-GE"/>
              </w:rPr>
              <w:t>კოშმარები</w:t>
            </w:r>
            <w:r w:rsidRPr="005C4A9D">
              <w:rPr>
                <w:rFonts w:ascii="Times New Roman" w:hAnsi="Times New Roman"/>
                <w:noProof/>
                <w:lang w:val="ka-GE"/>
              </w:rPr>
              <w:t>)</w:t>
            </w:r>
          </w:p>
          <w:p w14:paraId="0C42E84D"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მიასთენია</w:t>
            </w:r>
            <w:r w:rsidRPr="005C4A9D">
              <w:rPr>
                <w:rFonts w:ascii="Times New Roman" w:hAnsi="Times New Roman"/>
                <w:noProof/>
                <w:lang w:val="ka-GE"/>
              </w:rPr>
              <w:t xml:space="preserve"> </w:t>
            </w:r>
            <w:r w:rsidRPr="005C4A9D">
              <w:rPr>
                <w:rFonts w:ascii="Sylfaen" w:hAnsi="Sylfaen" w:cs="Sylfaen"/>
                <w:noProof/>
                <w:lang w:val="ka-GE"/>
              </w:rPr>
              <w:t>გრავისი</w:t>
            </w:r>
          </w:p>
        </w:tc>
      </w:tr>
      <w:tr w:rsidR="00B06C4A" w:rsidRPr="005C4A9D" w14:paraId="288B47EB" w14:textId="77777777" w:rsidTr="00B82067">
        <w:trPr>
          <w:tblCellSpacing w:w="0" w:type="dxa"/>
        </w:trPr>
        <w:tc>
          <w:tcPr>
            <w:tcW w:w="800" w:type="pct"/>
            <w:tcBorders>
              <w:top w:val="outset" w:sz="6" w:space="0" w:color="auto"/>
              <w:bottom w:val="outset" w:sz="6" w:space="0" w:color="auto"/>
              <w:right w:val="outset" w:sz="6" w:space="0" w:color="auto"/>
            </w:tcBorders>
          </w:tcPr>
          <w:p w14:paraId="2A379989" w14:textId="153D5B0B"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თვალის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3209F303"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42BC968D"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57E87E9B"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0D4DE2EB"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0007065A"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თვალის</w:t>
            </w:r>
            <w:r w:rsidRPr="005C4A9D">
              <w:rPr>
                <w:rFonts w:ascii="Times New Roman" w:hAnsi="Times New Roman"/>
                <w:noProof/>
                <w:lang w:val="ka-GE"/>
              </w:rPr>
              <w:t xml:space="preserve"> </w:t>
            </w:r>
            <w:r w:rsidRPr="005C4A9D">
              <w:rPr>
                <w:rFonts w:ascii="Sylfaen" w:hAnsi="Sylfaen" w:cs="Sylfaen"/>
                <w:noProof/>
                <w:lang w:val="ka-GE"/>
              </w:rPr>
              <w:t>მიასთენია</w:t>
            </w:r>
          </w:p>
        </w:tc>
      </w:tr>
      <w:tr w:rsidR="00B06C4A" w:rsidRPr="005C4A9D" w14:paraId="22DB3A51" w14:textId="77777777" w:rsidTr="00B82067">
        <w:trPr>
          <w:tblCellSpacing w:w="0" w:type="dxa"/>
        </w:trPr>
        <w:tc>
          <w:tcPr>
            <w:tcW w:w="800" w:type="pct"/>
            <w:tcBorders>
              <w:top w:val="outset" w:sz="6" w:space="0" w:color="auto"/>
              <w:bottom w:val="outset" w:sz="6" w:space="0" w:color="auto"/>
              <w:right w:val="outset" w:sz="6" w:space="0" w:color="auto"/>
            </w:tcBorders>
          </w:tcPr>
          <w:p w14:paraId="0252D612" w14:textId="4BA9585A"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სასუნთქი</w:t>
            </w:r>
            <w:r w:rsidRPr="005C4A9D">
              <w:rPr>
                <w:rFonts w:ascii="Times New Roman" w:hAnsi="Times New Roman"/>
                <w:i/>
                <w:iCs/>
                <w:noProof/>
                <w:lang w:val="ka-GE"/>
              </w:rPr>
              <w:t xml:space="preserve"> </w:t>
            </w:r>
            <w:r w:rsidRPr="005C4A9D">
              <w:rPr>
                <w:rFonts w:ascii="Sylfaen" w:hAnsi="Sylfaen" w:cs="Sylfaen"/>
                <w:i/>
                <w:iCs/>
                <w:noProof/>
                <w:lang w:val="ka-GE"/>
              </w:rPr>
              <w:t>გზების</w:t>
            </w:r>
            <w:r w:rsidRPr="005C4A9D">
              <w:rPr>
                <w:rFonts w:ascii="Times New Roman" w:hAnsi="Times New Roman"/>
                <w:i/>
                <w:iCs/>
                <w:noProof/>
                <w:lang w:val="ka-GE"/>
              </w:rPr>
              <w:t xml:space="preserve">, </w:t>
            </w:r>
            <w:r w:rsidRPr="005C4A9D">
              <w:rPr>
                <w:rFonts w:ascii="Sylfaen" w:hAnsi="Sylfaen" w:cs="Sylfaen"/>
                <w:i/>
                <w:iCs/>
                <w:noProof/>
                <w:lang w:val="ka-GE"/>
              </w:rPr>
              <w:t>გულმკერდის</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შუასაყრის</w:t>
            </w:r>
            <w:r w:rsidRPr="005C4A9D">
              <w:rPr>
                <w:rFonts w:ascii="Times New Roman" w:hAnsi="Times New Roman"/>
                <w:i/>
                <w:iCs/>
                <w:noProof/>
                <w:lang w:val="ka-GE"/>
              </w:rPr>
              <w:t xml:space="preserve"> </w:t>
            </w:r>
            <w:r w:rsidR="00DE78BD">
              <w:rPr>
                <w:rFonts w:ascii="Sylfaen" w:hAnsi="Sylfaen"/>
                <w:i/>
                <w:iCs/>
                <w:noProof/>
                <w:lang w:val="ka-GE"/>
              </w:rPr>
              <w:t xml:space="preserve">ორგანოების 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3EEB2D88"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5F3E8EB4"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7DF56721"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4A8251BA"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0486266A"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ხველა</w:t>
            </w:r>
          </w:p>
          <w:p w14:paraId="297C5BD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ქოშინი</w:t>
            </w:r>
          </w:p>
        </w:tc>
      </w:tr>
      <w:tr w:rsidR="00B06C4A" w:rsidRPr="005C4A9D" w14:paraId="44539B87" w14:textId="77777777" w:rsidTr="00B82067">
        <w:trPr>
          <w:tblCellSpacing w:w="0" w:type="dxa"/>
        </w:trPr>
        <w:tc>
          <w:tcPr>
            <w:tcW w:w="800" w:type="pct"/>
            <w:tcBorders>
              <w:top w:val="outset" w:sz="6" w:space="0" w:color="auto"/>
              <w:bottom w:val="outset" w:sz="6" w:space="0" w:color="auto"/>
              <w:right w:val="outset" w:sz="6" w:space="0" w:color="auto"/>
            </w:tcBorders>
          </w:tcPr>
          <w:p w14:paraId="4F5903A6" w14:textId="6588E32F"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კუჭ</w:t>
            </w:r>
            <w:r w:rsidRPr="005C4A9D">
              <w:rPr>
                <w:rFonts w:ascii="Times New Roman" w:hAnsi="Times New Roman"/>
                <w:i/>
                <w:iCs/>
                <w:noProof/>
                <w:lang w:val="ka-GE"/>
              </w:rPr>
              <w:t>-</w:t>
            </w:r>
            <w:r w:rsidRPr="005C4A9D">
              <w:rPr>
                <w:rFonts w:ascii="Sylfaen" w:hAnsi="Sylfaen" w:cs="Sylfaen"/>
                <w:i/>
                <w:iCs/>
                <w:noProof/>
                <w:lang w:val="ka-GE"/>
              </w:rPr>
              <w:t>ნაწლავის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24EDE96C"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ყაბზობა</w:t>
            </w:r>
          </w:p>
          <w:p w14:paraId="5620A03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გულისრევა</w:t>
            </w:r>
          </w:p>
          <w:p w14:paraId="3CAF1880"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მუცლის</w:t>
            </w:r>
            <w:r w:rsidRPr="005C4A9D">
              <w:rPr>
                <w:rFonts w:ascii="Times New Roman" w:hAnsi="Times New Roman"/>
                <w:noProof/>
                <w:lang w:val="ka-GE"/>
              </w:rPr>
              <w:t xml:space="preserve"> </w:t>
            </w:r>
            <w:r w:rsidRPr="005C4A9D">
              <w:rPr>
                <w:rFonts w:ascii="Sylfaen" w:hAnsi="Sylfaen" w:cs="Sylfaen"/>
                <w:noProof/>
                <w:lang w:val="ka-GE"/>
              </w:rPr>
              <w:t>ტკივილი</w:t>
            </w:r>
          </w:p>
        </w:tc>
        <w:tc>
          <w:tcPr>
            <w:tcW w:w="700" w:type="pct"/>
            <w:tcBorders>
              <w:top w:val="outset" w:sz="6" w:space="0" w:color="auto"/>
              <w:left w:val="outset" w:sz="6" w:space="0" w:color="auto"/>
              <w:bottom w:val="outset" w:sz="6" w:space="0" w:color="auto"/>
              <w:right w:val="outset" w:sz="6" w:space="0" w:color="auto"/>
            </w:tcBorders>
          </w:tcPr>
          <w:p w14:paraId="244BBB05" w14:textId="77777777" w:rsidR="00B06C4A" w:rsidRPr="005C4A9D" w:rsidRDefault="00B06C4A" w:rsidP="00382943">
            <w:pPr>
              <w:spacing w:after="0" w:line="240" w:lineRule="auto"/>
              <w:rPr>
                <w:rFonts w:ascii="Times New Roman" w:hAnsi="Times New Roman"/>
                <w:noProof/>
                <w:lang w:val="ka-GE"/>
              </w:rPr>
            </w:pPr>
          </w:p>
        </w:tc>
        <w:tc>
          <w:tcPr>
            <w:tcW w:w="1050" w:type="pct"/>
            <w:tcBorders>
              <w:top w:val="outset" w:sz="6" w:space="0" w:color="auto"/>
              <w:left w:val="outset" w:sz="6" w:space="0" w:color="auto"/>
              <w:bottom w:val="outset" w:sz="6" w:space="0" w:color="auto"/>
              <w:right w:val="outset" w:sz="6" w:space="0" w:color="auto"/>
            </w:tcBorders>
          </w:tcPr>
          <w:p w14:paraId="0852847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პანკრეატიტი</w:t>
            </w:r>
          </w:p>
        </w:tc>
        <w:tc>
          <w:tcPr>
            <w:tcW w:w="900" w:type="pct"/>
            <w:tcBorders>
              <w:top w:val="outset" w:sz="6" w:space="0" w:color="auto"/>
              <w:left w:val="outset" w:sz="6" w:space="0" w:color="auto"/>
              <w:bottom w:val="outset" w:sz="6" w:space="0" w:color="auto"/>
              <w:right w:val="outset" w:sz="6" w:space="0" w:color="auto"/>
            </w:tcBorders>
          </w:tcPr>
          <w:p w14:paraId="60B06DF2" w14:textId="77777777" w:rsidR="00B06C4A" w:rsidRPr="005C4A9D" w:rsidRDefault="00B06C4A" w:rsidP="00382943">
            <w:pPr>
              <w:spacing w:after="0" w:line="240" w:lineRule="auto"/>
              <w:rPr>
                <w:rFonts w:ascii="Times New Roman" w:hAnsi="Times New Roman"/>
                <w:noProof/>
                <w:lang w:val="ka-GE"/>
              </w:rPr>
            </w:pPr>
          </w:p>
        </w:tc>
        <w:tc>
          <w:tcPr>
            <w:tcW w:w="800" w:type="pct"/>
            <w:tcBorders>
              <w:top w:val="outset" w:sz="6" w:space="0" w:color="auto"/>
              <w:left w:val="outset" w:sz="6" w:space="0" w:color="auto"/>
              <w:bottom w:val="outset" w:sz="6" w:space="0" w:color="auto"/>
            </w:tcBorders>
          </w:tcPr>
          <w:p w14:paraId="6B76B6E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დიარეა</w:t>
            </w:r>
          </w:p>
        </w:tc>
      </w:tr>
      <w:tr w:rsidR="00B06C4A" w:rsidRPr="005C4A9D" w14:paraId="4F5AC1DD" w14:textId="77777777" w:rsidTr="00B82067">
        <w:trPr>
          <w:tblCellSpacing w:w="0" w:type="dxa"/>
        </w:trPr>
        <w:tc>
          <w:tcPr>
            <w:tcW w:w="800" w:type="pct"/>
            <w:tcBorders>
              <w:top w:val="outset" w:sz="6" w:space="0" w:color="auto"/>
              <w:bottom w:val="outset" w:sz="6" w:space="0" w:color="auto"/>
              <w:right w:val="outset" w:sz="6" w:space="0" w:color="auto"/>
            </w:tcBorders>
          </w:tcPr>
          <w:p w14:paraId="56825B30"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ჰეპატობილიარული</w:t>
            </w:r>
            <w:r w:rsidRPr="005C4A9D">
              <w:rPr>
                <w:rFonts w:ascii="Times New Roman" w:hAnsi="Times New Roman"/>
                <w:i/>
                <w:iCs/>
                <w:noProof/>
                <w:lang w:val="ka-GE"/>
              </w:rPr>
              <w:t xml:space="preserve">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61F135C6"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7DA8D800"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5173677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ღვიძლის</w:t>
            </w:r>
            <w:r w:rsidRPr="005C4A9D">
              <w:rPr>
                <w:rFonts w:ascii="Times New Roman" w:hAnsi="Times New Roman"/>
                <w:noProof/>
                <w:lang w:val="ka-GE"/>
              </w:rPr>
              <w:t xml:space="preserve"> </w:t>
            </w:r>
            <w:r w:rsidRPr="005C4A9D">
              <w:rPr>
                <w:rFonts w:ascii="Sylfaen" w:hAnsi="Sylfaen" w:cs="Sylfaen"/>
                <w:noProof/>
                <w:lang w:val="ka-GE"/>
              </w:rPr>
              <w:t>ტრანსამინაზების</w:t>
            </w:r>
            <w:r w:rsidRPr="005C4A9D">
              <w:rPr>
                <w:rFonts w:ascii="Times New Roman" w:hAnsi="Times New Roman"/>
                <w:noProof/>
                <w:lang w:val="ka-GE"/>
              </w:rPr>
              <w:t xml:space="preserve"> </w:t>
            </w:r>
            <w:r w:rsidRPr="005C4A9D">
              <w:rPr>
                <w:rFonts w:ascii="Sylfaen" w:hAnsi="Sylfaen" w:cs="Sylfaen"/>
                <w:noProof/>
                <w:lang w:val="ka-GE"/>
              </w:rPr>
              <w:t>მომატება</w:t>
            </w:r>
          </w:p>
        </w:tc>
        <w:tc>
          <w:tcPr>
            <w:tcW w:w="900" w:type="pct"/>
            <w:tcBorders>
              <w:top w:val="outset" w:sz="6" w:space="0" w:color="auto"/>
              <w:left w:val="outset" w:sz="6" w:space="0" w:color="auto"/>
              <w:bottom w:val="outset" w:sz="6" w:space="0" w:color="auto"/>
              <w:right w:val="outset" w:sz="6" w:space="0" w:color="auto"/>
            </w:tcBorders>
          </w:tcPr>
          <w:p w14:paraId="5356316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სიყვითლე</w:t>
            </w:r>
          </w:p>
          <w:p w14:paraId="2CB2141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ჰეპატიტი</w:t>
            </w:r>
          </w:p>
        </w:tc>
        <w:tc>
          <w:tcPr>
            <w:tcW w:w="800" w:type="pct"/>
            <w:tcBorders>
              <w:top w:val="outset" w:sz="6" w:space="0" w:color="auto"/>
              <w:left w:val="outset" w:sz="6" w:space="0" w:color="auto"/>
              <w:bottom w:val="outset" w:sz="6" w:space="0" w:color="auto"/>
            </w:tcBorders>
          </w:tcPr>
          <w:p w14:paraId="46B95766" w14:textId="77777777" w:rsidR="00B06C4A" w:rsidRPr="005C4A9D" w:rsidRDefault="00B06C4A" w:rsidP="00382943">
            <w:pPr>
              <w:spacing w:after="0" w:line="240" w:lineRule="auto"/>
              <w:rPr>
                <w:rFonts w:ascii="Times New Roman" w:hAnsi="Times New Roman"/>
                <w:noProof/>
                <w:lang w:val="ka-GE"/>
              </w:rPr>
            </w:pPr>
          </w:p>
        </w:tc>
      </w:tr>
      <w:tr w:rsidR="00B06C4A" w:rsidRPr="005C4A9D" w14:paraId="4F91AAE4" w14:textId="77777777" w:rsidTr="00B82067">
        <w:trPr>
          <w:tblCellSpacing w:w="0" w:type="dxa"/>
        </w:trPr>
        <w:tc>
          <w:tcPr>
            <w:tcW w:w="800" w:type="pct"/>
            <w:tcBorders>
              <w:top w:val="outset" w:sz="6" w:space="0" w:color="auto"/>
              <w:bottom w:val="outset" w:sz="6" w:space="0" w:color="auto"/>
              <w:right w:val="outset" w:sz="6" w:space="0" w:color="auto"/>
            </w:tcBorders>
          </w:tcPr>
          <w:p w14:paraId="67CC2502" w14:textId="09A8189B"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კანისა</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კანქვეშა</w:t>
            </w:r>
            <w:r w:rsidRPr="005C4A9D">
              <w:rPr>
                <w:rFonts w:ascii="Times New Roman" w:hAnsi="Times New Roman"/>
                <w:i/>
                <w:iCs/>
                <w:noProof/>
                <w:lang w:val="ka-GE"/>
              </w:rPr>
              <w:t xml:space="preserve"> </w:t>
            </w:r>
            <w:r w:rsidRPr="005C4A9D">
              <w:rPr>
                <w:rFonts w:ascii="Sylfaen" w:hAnsi="Sylfaen" w:cs="Sylfaen"/>
                <w:i/>
                <w:iCs/>
                <w:noProof/>
                <w:lang w:val="ka-GE"/>
              </w:rPr>
              <w:t>ქსოვილის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1DB4A2E2"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35D973D2"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ქავილი</w:t>
            </w:r>
          </w:p>
          <w:p w14:paraId="723D1035"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გამონაყარი</w:t>
            </w:r>
          </w:p>
          <w:p w14:paraId="2BA3C80D"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ჭინჭრის</w:t>
            </w:r>
            <w:r w:rsidRPr="005C4A9D">
              <w:rPr>
                <w:rFonts w:ascii="Times New Roman" w:hAnsi="Times New Roman"/>
                <w:noProof/>
                <w:lang w:val="ka-GE"/>
              </w:rPr>
              <w:t xml:space="preserve"> </w:t>
            </w:r>
            <w:r w:rsidRPr="005C4A9D">
              <w:rPr>
                <w:rFonts w:ascii="Sylfaen" w:hAnsi="Sylfaen" w:cs="Sylfaen"/>
                <w:noProof/>
                <w:lang w:val="ka-GE"/>
              </w:rPr>
              <w:t>ციება</w:t>
            </w:r>
          </w:p>
        </w:tc>
        <w:tc>
          <w:tcPr>
            <w:tcW w:w="1050" w:type="pct"/>
            <w:tcBorders>
              <w:top w:val="outset" w:sz="6" w:space="0" w:color="auto"/>
              <w:left w:val="outset" w:sz="6" w:space="0" w:color="auto"/>
              <w:bottom w:val="outset" w:sz="6" w:space="0" w:color="auto"/>
              <w:right w:val="outset" w:sz="6" w:space="0" w:color="auto"/>
            </w:tcBorders>
          </w:tcPr>
          <w:p w14:paraId="453E6BDF" w14:textId="77777777" w:rsidR="00B06C4A" w:rsidRPr="005C4A9D" w:rsidRDefault="00B06C4A" w:rsidP="00382943">
            <w:pPr>
              <w:spacing w:after="0" w:line="240" w:lineRule="auto"/>
              <w:rPr>
                <w:rFonts w:ascii="Times New Roman" w:hAnsi="Times New Roman"/>
                <w:noProof/>
                <w:lang w:val="ka-GE"/>
              </w:rPr>
            </w:pPr>
          </w:p>
        </w:tc>
        <w:tc>
          <w:tcPr>
            <w:tcW w:w="900" w:type="pct"/>
            <w:tcBorders>
              <w:top w:val="outset" w:sz="6" w:space="0" w:color="auto"/>
              <w:left w:val="outset" w:sz="6" w:space="0" w:color="auto"/>
              <w:bottom w:val="outset" w:sz="6" w:space="0" w:color="auto"/>
              <w:right w:val="outset" w:sz="6" w:space="0" w:color="auto"/>
            </w:tcBorders>
          </w:tcPr>
          <w:p w14:paraId="06BD18FD"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1F74669F"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სტივენს</w:t>
            </w:r>
            <w:r w:rsidRPr="005C4A9D">
              <w:rPr>
                <w:rFonts w:ascii="Times New Roman" w:hAnsi="Times New Roman"/>
                <w:noProof/>
                <w:lang w:val="ka-GE"/>
              </w:rPr>
              <w:t>-</w:t>
            </w:r>
            <w:r w:rsidRPr="005C4A9D">
              <w:rPr>
                <w:rFonts w:ascii="Sylfaen" w:hAnsi="Sylfaen" w:cs="Sylfaen"/>
                <w:noProof/>
                <w:lang w:val="ka-GE"/>
              </w:rPr>
              <w:t>ჯონსონის</w:t>
            </w:r>
            <w:r w:rsidRPr="005C4A9D">
              <w:rPr>
                <w:rFonts w:ascii="Times New Roman" w:hAnsi="Times New Roman"/>
                <w:noProof/>
                <w:lang w:val="ka-GE"/>
              </w:rPr>
              <w:t xml:space="preserve"> </w:t>
            </w:r>
            <w:r w:rsidRPr="005C4A9D">
              <w:rPr>
                <w:rFonts w:ascii="Sylfaen" w:hAnsi="Sylfaen" w:cs="Sylfaen"/>
                <w:noProof/>
                <w:lang w:val="ka-GE"/>
              </w:rPr>
              <w:t>სინდრომი</w:t>
            </w:r>
            <w:r w:rsidRPr="005C4A9D">
              <w:rPr>
                <w:rFonts w:ascii="Times New Roman" w:hAnsi="Times New Roman"/>
                <w:noProof/>
                <w:lang w:val="ka-GE"/>
              </w:rPr>
              <w:t xml:space="preserve">, </w:t>
            </w:r>
            <w:r w:rsidRPr="005C4A9D">
              <w:rPr>
                <w:rFonts w:ascii="Sylfaen" w:hAnsi="Sylfaen" w:cs="Sylfaen"/>
                <w:noProof/>
                <w:lang w:val="ka-GE"/>
              </w:rPr>
              <w:t>წამლისმიერი</w:t>
            </w:r>
            <w:r w:rsidRPr="005C4A9D">
              <w:rPr>
                <w:rFonts w:ascii="Times New Roman" w:hAnsi="Times New Roman"/>
                <w:noProof/>
                <w:lang w:val="ka-GE"/>
              </w:rPr>
              <w:t xml:space="preserve"> </w:t>
            </w:r>
            <w:r w:rsidRPr="005C4A9D">
              <w:rPr>
                <w:rFonts w:ascii="Sylfaen" w:hAnsi="Sylfaen" w:cs="Sylfaen"/>
                <w:noProof/>
                <w:lang w:val="ka-GE"/>
              </w:rPr>
              <w:t>რეაქცია</w:t>
            </w:r>
            <w:r w:rsidRPr="005C4A9D">
              <w:rPr>
                <w:rFonts w:ascii="Times New Roman" w:hAnsi="Times New Roman"/>
                <w:noProof/>
                <w:lang w:val="ka-GE"/>
              </w:rPr>
              <w:t xml:space="preserve"> </w:t>
            </w:r>
            <w:r w:rsidRPr="005C4A9D">
              <w:rPr>
                <w:rFonts w:ascii="Sylfaen" w:hAnsi="Sylfaen" w:cs="Sylfaen"/>
                <w:noProof/>
                <w:lang w:val="ka-GE"/>
              </w:rPr>
              <w:t>ეოზინოფილიით</w:t>
            </w:r>
            <w:r w:rsidRPr="005C4A9D">
              <w:rPr>
                <w:rFonts w:ascii="Times New Roman" w:hAnsi="Times New Roman"/>
                <w:noProof/>
                <w:lang w:val="ka-GE"/>
              </w:rPr>
              <w:t xml:space="preserve"> </w:t>
            </w:r>
            <w:r w:rsidRPr="005C4A9D">
              <w:rPr>
                <w:rFonts w:ascii="Sylfaen" w:hAnsi="Sylfaen" w:cs="Sylfaen"/>
                <w:noProof/>
                <w:lang w:val="ka-GE"/>
              </w:rPr>
              <w:t>და</w:t>
            </w:r>
            <w:r w:rsidRPr="005C4A9D">
              <w:rPr>
                <w:rFonts w:ascii="Times New Roman" w:hAnsi="Times New Roman"/>
                <w:noProof/>
                <w:lang w:val="ka-GE"/>
              </w:rPr>
              <w:t xml:space="preserve"> </w:t>
            </w:r>
            <w:r w:rsidRPr="005C4A9D">
              <w:rPr>
                <w:rFonts w:ascii="Sylfaen" w:hAnsi="Sylfaen" w:cs="Sylfaen"/>
                <w:noProof/>
                <w:lang w:val="ka-GE"/>
              </w:rPr>
              <w:t>სისტემური</w:t>
            </w:r>
            <w:r w:rsidRPr="005C4A9D">
              <w:rPr>
                <w:rFonts w:ascii="Times New Roman" w:hAnsi="Times New Roman"/>
                <w:noProof/>
                <w:lang w:val="ka-GE"/>
              </w:rPr>
              <w:t xml:space="preserve"> </w:t>
            </w:r>
            <w:r w:rsidRPr="005C4A9D">
              <w:rPr>
                <w:rFonts w:ascii="Sylfaen" w:hAnsi="Sylfaen" w:cs="Sylfaen"/>
                <w:noProof/>
                <w:lang w:val="ka-GE"/>
              </w:rPr>
              <w:lastRenderedPageBreak/>
              <w:t>სიმპტომებით</w:t>
            </w:r>
            <w:r w:rsidRPr="005C4A9D">
              <w:rPr>
                <w:rFonts w:ascii="Times New Roman" w:hAnsi="Times New Roman"/>
                <w:noProof/>
                <w:lang w:val="ka-GE"/>
              </w:rPr>
              <w:t xml:space="preserve"> (DRESS)</w:t>
            </w:r>
          </w:p>
        </w:tc>
      </w:tr>
      <w:tr w:rsidR="00B06C4A" w:rsidRPr="005C4A9D" w14:paraId="1CD028DC" w14:textId="77777777" w:rsidTr="00B82067">
        <w:trPr>
          <w:tblCellSpacing w:w="0" w:type="dxa"/>
        </w:trPr>
        <w:tc>
          <w:tcPr>
            <w:tcW w:w="800" w:type="pct"/>
            <w:tcBorders>
              <w:top w:val="outset" w:sz="6" w:space="0" w:color="auto"/>
              <w:bottom w:val="outset" w:sz="6" w:space="0" w:color="auto"/>
              <w:right w:val="outset" w:sz="6" w:space="0" w:color="auto"/>
            </w:tcBorders>
          </w:tcPr>
          <w:p w14:paraId="2255D175" w14:textId="3AA66DE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lastRenderedPageBreak/>
              <w:t>კუნთოვანი</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შემაერთებელი</w:t>
            </w:r>
            <w:r w:rsidRPr="005C4A9D">
              <w:rPr>
                <w:rFonts w:ascii="Times New Roman" w:hAnsi="Times New Roman"/>
                <w:i/>
                <w:iCs/>
                <w:noProof/>
                <w:lang w:val="ka-GE"/>
              </w:rPr>
              <w:t xml:space="preserve"> </w:t>
            </w:r>
            <w:r w:rsidRPr="005C4A9D">
              <w:rPr>
                <w:rFonts w:ascii="Sylfaen" w:hAnsi="Sylfaen" w:cs="Sylfaen"/>
                <w:i/>
                <w:iCs/>
                <w:noProof/>
                <w:lang w:val="ka-GE"/>
              </w:rPr>
              <w:t>ქსოვილის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51514D2B"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მიალგია</w:t>
            </w:r>
          </w:p>
        </w:tc>
        <w:tc>
          <w:tcPr>
            <w:tcW w:w="700" w:type="pct"/>
            <w:tcBorders>
              <w:top w:val="outset" w:sz="6" w:space="0" w:color="auto"/>
              <w:left w:val="outset" w:sz="6" w:space="0" w:color="auto"/>
              <w:bottom w:val="outset" w:sz="6" w:space="0" w:color="auto"/>
              <w:right w:val="outset" w:sz="6" w:space="0" w:color="auto"/>
            </w:tcBorders>
          </w:tcPr>
          <w:p w14:paraId="370A5864" w14:textId="77777777" w:rsidR="00B06C4A" w:rsidRPr="005C4A9D" w:rsidRDefault="00B06C4A" w:rsidP="00382943">
            <w:pPr>
              <w:spacing w:after="0" w:line="240" w:lineRule="auto"/>
              <w:rPr>
                <w:rFonts w:ascii="Times New Roman" w:hAnsi="Times New Roman"/>
                <w:noProof/>
                <w:lang w:val="ka-GE"/>
              </w:rPr>
            </w:pPr>
          </w:p>
        </w:tc>
        <w:tc>
          <w:tcPr>
            <w:tcW w:w="1050" w:type="pct"/>
            <w:tcBorders>
              <w:top w:val="outset" w:sz="6" w:space="0" w:color="auto"/>
              <w:left w:val="outset" w:sz="6" w:space="0" w:color="auto"/>
              <w:bottom w:val="outset" w:sz="6" w:space="0" w:color="auto"/>
              <w:right w:val="outset" w:sz="6" w:space="0" w:color="auto"/>
            </w:tcBorders>
          </w:tcPr>
          <w:p w14:paraId="22EDD224"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მიოპათია</w:t>
            </w:r>
            <w:r w:rsidRPr="005C4A9D">
              <w:rPr>
                <w:rFonts w:ascii="Times New Roman" w:hAnsi="Times New Roman"/>
                <w:noProof/>
                <w:lang w:val="ka-GE"/>
              </w:rPr>
              <w:t xml:space="preserve"> (</w:t>
            </w:r>
            <w:r w:rsidRPr="005C4A9D">
              <w:rPr>
                <w:rFonts w:ascii="Sylfaen" w:hAnsi="Sylfaen" w:cs="Sylfaen"/>
                <w:noProof/>
                <w:lang w:val="ka-GE"/>
              </w:rPr>
              <w:t>მათ</w:t>
            </w:r>
            <w:r w:rsidRPr="005C4A9D">
              <w:rPr>
                <w:rFonts w:ascii="Times New Roman" w:hAnsi="Times New Roman"/>
                <w:noProof/>
                <w:lang w:val="ka-GE"/>
              </w:rPr>
              <w:t xml:space="preserve"> </w:t>
            </w:r>
            <w:r w:rsidRPr="005C4A9D">
              <w:rPr>
                <w:rFonts w:ascii="Sylfaen" w:hAnsi="Sylfaen" w:cs="Sylfaen"/>
                <w:noProof/>
                <w:lang w:val="ka-GE"/>
              </w:rPr>
              <w:t>შორის</w:t>
            </w:r>
            <w:r w:rsidRPr="005C4A9D">
              <w:rPr>
                <w:rFonts w:ascii="Times New Roman" w:hAnsi="Times New Roman"/>
                <w:noProof/>
                <w:lang w:val="ka-GE"/>
              </w:rPr>
              <w:t xml:space="preserve"> </w:t>
            </w:r>
            <w:r w:rsidRPr="005C4A9D">
              <w:rPr>
                <w:rFonts w:ascii="Sylfaen" w:hAnsi="Sylfaen" w:cs="Sylfaen"/>
                <w:noProof/>
                <w:lang w:val="ka-GE"/>
              </w:rPr>
              <w:t>მიოზიტი</w:t>
            </w:r>
            <w:r w:rsidRPr="005C4A9D">
              <w:rPr>
                <w:rFonts w:ascii="Times New Roman" w:hAnsi="Times New Roman"/>
                <w:noProof/>
                <w:lang w:val="ka-GE"/>
              </w:rPr>
              <w:t>)</w:t>
            </w:r>
          </w:p>
          <w:p w14:paraId="18A37271"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რაბდომიოლიზი</w:t>
            </w:r>
          </w:p>
          <w:p w14:paraId="516A17D7"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წითელი</w:t>
            </w:r>
            <w:r w:rsidRPr="005C4A9D">
              <w:rPr>
                <w:rFonts w:ascii="Times New Roman" w:hAnsi="Times New Roman"/>
                <w:noProof/>
                <w:lang w:val="ka-GE"/>
              </w:rPr>
              <w:t xml:space="preserve"> </w:t>
            </w:r>
            <w:r w:rsidRPr="005C4A9D">
              <w:rPr>
                <w:rFonts w:ascii="Sylfaen" w:hAnsi="Sylfaen" w:cs="Sylfaen"/>
                <w:noProof/>
                <w:lang w:val="ka-GE"/>
              </w:rPr>
              <w:t>მგლურას</w:t>
            </w:r>
            <w:r w:rsidRPr="005C4A9D">
              <w:rPr>
                <w:rFonts w:ascii="Times New Roman" w:hAnsi="Times New Roman"/>
                <w:noProof/>
                <w:lang w:val="ka-GE"/>
              </w:rPr>
              <w:t xml:space="preserve"> </w:t>
            </w:r>
            <w:r w:rsidRPr="005C4A9D">
              <w:rPr>
                <w:rFonts w:ascii="Sylfaen" w:hAnsi="Sylfaen" w:cs="Sylfaen"/>
                <w:noProof/>
                <w:lang w:val="ka-GE"/>
              </w:rPr>
              <w:t>მსგავსი</w:t>
            </w:r>
            <w:r w:rsidRPr="005C4A9D">
              <w:rPr>
                <w:rFonts w:ascii="Times New Roman" w:hAnsi="Times New Roman"/>
                <w:noProof/>
                <w:lang w:val="ka-GE"/>
              </w:rPr>
              <w:t xml:space="preserve"> </w:t>
            </w:r>
            <w:r w:rsidRPr="005C4A9D">
              <w:rPr>
                <w:rFonts w:ascii="Sylfaen" w:hAnsi="Sylfaen" w:cs="Sylfaen"/>
                <w:noProof/>
                <w:lang w:val="ka-GE"/>
              </w:rPr>
              <w:t>სინდრომი</w:t>
            </w:r>
          </w:p>
          <w:p w14:paraId="6E21752F"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კუნთების</w:t>
            </w:r>
            <w:r w:rsidRPr="005C4A9D">
              <w:rPr>
                <w:rFonts w:ascii="Times New Roman" w:hAnsi="Times New Roman"/>
                <w:noProof/>
                <w:lang w:val="ka-GE"/>
              </w:rPr>
              <w:t xml:space="preserve"> </w:t>
            </w:r>
            <w:r w:rsidRPr="005C4A9D">
              <w:rPr>
                <w:rFonts w:ascii="Sylfaen" w:hAnsi="Sylfaen" w:cs="Sylfaen"/>
                <w:noProof/>
                <w:lang w:val="ka-GE"/>
              </w:rPr>
              <w:t>გაწყვეტა</w:t>
            </w:r>
          </w:p>
        </w:tc>
        <w:tc>
          <w:tcPr>
            <w:tcW w:w="900" w:type="pct"/>
            <w:tcBorders>
              <w:top w:val="outset" w:sz="6" w:space="0" w:color="auto"/>
              <w:left w:val="outset" w:sz="6" w:space="0" w:color="auto"/>
              <w:bottom w:val="outset" w:sz="6" w:space="0" w:color="auto"/>
              <w:right w:val="outset" w:sz="6" w:space="0" w:color="auto"/>
            </w:tcBorders>
          </w:tcPr>
          <w:p w14:paraId="1499835D"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ართრალგია</w:t>
            </w:r>
          </w:p>
        </w:tc>
        <w:tc>
          <w:tcPr>
            <w:tcW w:w="800" w:type="pct"/>
            <w:tcBorders>
              <w:top w:val="outset" w:sz="6" w:space="0" w:color="auto"/>
              <w:left w:val="outset" w:sz="6" w:space="0" w:color="auto"/>
              <w:bottom w:val="outset" w:sz="6" w:space="0" w:color="auto"/>
            </w:tcBorders>
          </w:tcPr>
          <w:p w14:paraId="605140DA"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მყესების</w:t>
            </w:r>
            <w:r w:rsidRPr="005C4A9D">
              <w:rPr>
                <w:rFonts w:ascii="Times New Roman" w:hAnsi="Times New Roman"/>
                <w:noProof/>
                <w:lang w:val="ka-GE"/>
              </w:rPr>
              <w:t xml:space="preserve"> </w:t>
            </w:r>
            <w:r w:rsidRPr="005C4A9D">
              <w:rPr>
                <w:rFonts w:ascii="Sylfaen" w:hAnsi="Sylfaen" w:cs="Sylfaen"/>
                <w:noProof/>
                <w:lang w:val="ka-GE"/>
              </w:rPr>
              <w:t>დარღვევები</w:t>
            </w:r>
            <w:r w:rsidRPr="005C4A9D">
              <w:rPr>
                <w:rFonts w:ascii="Times New Roman" w:hAnsi="Times New Roman"/>
                <w:noProof/>
                <w:lang w:val="ka-GE"/>
              </w:rPr>
              <w:t xml:space="preserve">, </w:t>
            </w:r>
            <w:r w:rsidRPr="005C4A9D">
              <w:rPr>
                <w:rFonts w:ascii="Sylfaen" w:hAnsi="Sylfaen" w:cs="Sylfaen"/>
                <w:noProof/>
                <w:lang w:val="ka-GE"/>
              </w:rPr>
              <w:t>ზოგჯერ</w:t>
            </w:r>
            <w:r w:rsidRPr="005C4A9D">
              <w:rPr>
                <w:rFonts w:ascii="Times New Roman" w:hAnsi="Times New Roman"/>
                <w:noProof/>
                <w:lang w:val="ka-GE"/>
              </w:rPr>
              <w:t xml:space="preserve"> </w:t>
            </w:r>
            <w:r w:rsidRPr="005C4A9D">
              <w:rPr>
                <w:rFonts w:ascii="Sylfaen" w:hAnsi="Sylfaen" w:cs="Sylfaen"/>
                <w:noProof/>
                <w:lang w:val="ka-GE"/>
              </w:rPr>
              <w:t>გართულებული</w:t>
            </w:r>
            <w:r w:rsidRPr="005C4A9D">
              <w:rPr>
                <w:rFonts w:ascii="Times New Roman" w:hAnsi="Times New Roman"/>
                <w:noProof/>
                <w:lang w:val="ka-GE"/>
              </w:rPr>
              <w:t xml:space="preserve"> </w:t>
            </w:r>
            <w:r w:rsidRPr="005C4A9D">
              <w:rPr>
                <w:rFonts w:ascii="Sylfaen" w:hAnsi="Sylfaen" w:cs="Sylfaen"/>
                <w:noProof/>
                <w:lang w:val="ka-GE"/>
              </w:rPr>
              <w:t>გაწყვეტით</w:t>
            </w:r>
          </w:p>
          <w:p w14:paraId="2831E2A2"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იმუნოგანპირობებული</w:t>
            </w:r>
            <w:r w:rsidRPr="005C4A9D">
              <w:rPr>
                <w:rFonts w:ascii="Times New Roman" w:hAnsi="Times New Roman"/>
                <w:noProof/>
                <w:lang w:val="ka-GE"/>
              </w:rPr>
              <w:t xml:space="preserve"> </w:t>
            </w:r>
            <w:r w:rsidRPr="005C4A9D">
              <w:rPr>
                <w:rFonts w:ascii="Sylfaen" w:hAnsi="Sylfaen" w:cs="Sylfaen"/>
                <w:noProof/>
                <w:lang w:val="ka-GE"/>
              </w:rPr>
              <w:t>ნეკროზული</w:t>
            </w:r>
            <w:r w:rsidRPr="005C4A9D">
              <w:rPr>
                <w:rFonts w:ascii="Times New Roman" w:hAnsi="Times New Roman"/>
                <w:noProof/>
                <w:lang w:val="ka-GE"/>
              </w:rPr>
              <w:t xml:space="preserve"> </w:t>
            </w:r>
            <w:r w:rsidRPr="005C4A9D">
              <w:rPr>
                <w:rFonts w:ascii="Sylfaen" w:hAnsi="Sylfaen" w:cs="Sylfaen"/>
                <w:noProof/>
                <w:lang w:val="ka-GE"/>
              </w:rPr>
              <w:t>მიოპათია</w:t>
            </w:r>
          </w:p>
        </w:tc>
      </w:tr>
      <w:tr w:rsidR="00B06C4A" w:rsidRPr="005C4A9D" w14:paraId="68AFB098" w14:textId="77777777" w:rsidTr="00B82067">
        <w:trPr>
          <w:tblCellSpacing w:w="0" w:type="dxa"/>
        </w:trPr>
        <w:tc>
          <w:tcPr>
            <w:tcW w:w="800" w:type="pct"/>
            <w:tcBorders>
              <w:top w:val="outset" w:sz="6" w:space="0" w:color="auto"/>
              <w:bottom w:val="outset" w:sz="6" w:space="0" w:color="auto"/>
              <w:right w:val="outset" w:sz="6" w:space="0" w:color="auto"/>
            </w:tcBorders>
          </w:tcPr>
          <w:p w14:paraId="78BC48C0" w14:textId="3805E573"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თირკმლის</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შარდსასქესო</w:t>
            </w:r>
            <w:r w:rsidRPr="005C4A9D">
              <w:rPr>
                <w:rFonts w:ascii="Times New Roman" w:hAnsi="Times New Roman"/>
                <w:i/>
                <w:iCs/>
                <w:noProof/>
                <w:lang w:val="ka-GE"/>
              </w:rPr>
              <w:t xml:space="preserve"> </w:t>
            </w:r>
            <w:r w:rsidRPr="005C4A9D">
              <w:rPr>
                <w:rFonts w:ascii="Sylfaen" w:hAnsi="Sylfaen" w:cs="Sylfaen"/>
                <w:i/>
                <w:iCs/>
                <w:noProof/>
                <w:lang w:val="ka-GE"/>
              </w:rPr>
              <w:t>სისტემის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6A3FDCDE"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2F0918E0"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0B0C1641"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69BE7D06"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ჰემატურია</w:t>
            </w:r>
          </w:p>
        </w:tc>
        <w:tc>
          <w:tcPr>
            <w:tcW w:w="800" w:type="pct"/>
            <w:tcBorders>
              <w:top w:val="outset" w:sz="6" w:space="0" w:color="auto"/>
              <w:left w:val="outset" w:sz="6" w:space="0" w:color="auto"/>
              <w:bottom w:val="outset" w:sz="6" w:space="0" w:color="auto"/>
            </w:tcBorders>
          </w:tcPr>
          <w:p w14:paraId="4BCF3EF9" w14:textId="77777777" w:rsidR="00B06C4A" w:rsidRPr="005C4A9D" w:rsidRDefault="00B06C4A" w:rsidP="00382943">
            <w:pPr>
              <w:spacing w:after="0" w:line="240" w:lineRule="auto"/>
              <w:rPr>
                <w:rFonts w:ascii="Times New Roman" w:hAnsi="Times New Roman"/>
                <w:noProof/>
                <w:lang w:val="ka-GE"/>
              </w:rPr>
            </w:pPr>
          </w:p>
        </w:tc>
      </w:tr>
      <w:tr w:rsidR="00B06C4A" w:rsidRPr="005C4A9D" w14:paraId="25FFCB56" w14:textId="77777777" w:rsidTr="00B82067">
        <w:trPr>
          <w:tblCellSpacing w:w="0" w:type="dxa"/>
        </w:trPr>
        <w:tc>
          <w:tcPr>
            <w:tcW w:w="800" w:type="pct"/>
            <w:tcBorders>
              <w:top w:val="outset" w:sz="6" w:space="0" w:color="auto"/>
              <w:bottom w:val="outset" w:sz="6" w:space="0" w:color="auto"/>
              <w:right w:val="outset" w:sz="6" w:space="0" w:color="auto"/>
            </w:tcBorders>
          </w:tcPr>
          <w:p w14:paraId="3716A4C4" w14:textId="6C9E0B9C"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რეპროდუქციული</w:t>
            </w:r>
            <w:r w:rsidRPr="005C4A9D">
              <w:rPr>
                <w:rFonts w:ascii="Times New Roman" w:hAnsi="Times New Roman"/>
                <w:i/>
                <w:iCs/>
                <w:noProof/>
                <w:lang w:val="ka-GE"/>
              </w:rPr>
              <w:t xml:space="preserve"> </w:t>
            </w:r>
            <w:r w:rsidRPr="005C4A9D">
              <w:rPr>
                <w:rFonts w:ascii="Sylfaen" w:hAnsi="Sylfaen" w:cs="Sylfaen"/>
                <w:i/>
                <w:iCs/>
                <w:noProof/>
                <w:lang w:val="ka-GE"/>
              </w:rPr>
              <w:t>სისტემის</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სარძევე</w:t>
            </w:r>
            <w:r w:rsidRPr="005C4A9D">
              <w:rPr>
                <w:rFonts w:ascii="Times New Roman" w:hAnsi="Times New Roman"/>
                <w:i/>
                <w:iCs/>
                <w:noProof/>
                <w:lang w:val="ka-GE"/>
              </w:rPr>
              <w:t xml:space="preserve"> </w:t>
            </w:r>
            <w:r w:rsidRPr="005C4A9D">
              <w:rPr>
                <w:rFonts w:ascii="Sylfaen" w:hAnsi="Sylfaen" w:cs="Sylfaen"/>
                <w:i/>
                <w:iCs/>
                <w:noProof/>
                <w:lang w:val="ka-GE"/>
              </w:rPr>
              <w:t>ჯირკვლ</w:t>
            </w:r>
            <w:r w:rsidR="00DE78BD">
              <w:rPr>
                <w:rFonts w:ascii="Sylfaen" w:hAnsi="Sylfaen" w:cs="Sylfaen"/>
                <w:i/>
                <w:iCs/>
                <w:noProof/>
                <w:lang w:val="ka-GE"/>
              </w:rPr>
              <w:t>ებ</w:t>
            </w:r>
            <w:r w:rsidRPr="005C4A9D">
              <w:rPr>
                <w:rFonts w:ascii="Sylfaen" w:hAnsi="Sylfaen" w:cs="Sylfaen"/>
                <w:i/>
                <w:iCs/>
                <w:noProof/>
                <w:lang w:val="ka-GE"/>
              </w:rPr>
              <w:t>ის</w:t>
            </w:r>
            <w:r w:rsidRPr="005C4A9D">
              <w:rPr>
                <w:rFonts w:ascii="Times New Roman" w:hAnsi="Times New Roman"/>
                <w:i/>
                <w:iCs/>
                <w:noProof/>
                <w:lang w:val="ka-GE"/>
              </w:rPr>
              <w:t xml:space="preserve"> </w:t>
            </w:r>
            <w:r w:rsidR="00DE78BD">
              <w:rPr>
                <w:rFonts w:ascii="Sylfaen" w:hAnsi="Sylfaen"/>
                <w:i/>
                <w:iCs/>
                <w:noProof/>
                <w:lang w:val="ka-GE"/>
              </w:rPr>
              <w:t xml:space="preserve">მხრივ </w:t>
            </w:r>
            <w:r w:rsidRPr="005C4A9D">
              <w:rPr>
                <w:rFonts w:ascii="Sylfaen" w:hAnsi="Sylfaen" w:cs="Sylfaen"/>
                <w:i/>
                <w:iCs/>
                <w:noProof/>
                <w:lang w:val="ka-GE"/>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7ABBBC1B" w14:textId="77777777" w:rsidR="00B06C4A" w:rsidRPr="005C4A9D" w:rsidRDefault="00B06C4A" w:rsidP="00382943">
            <w:pPr>
              <w:spacing w:after="0" w:line="240" w:lineRule="auto"/>
              <w:rPr>
                <w:rFonts w:ascii="Times New Roman" w:hAnsi="Times New Roman"/>
                <w:noProof/>
                <w:lang w:val="ka-GE"/>
              </w:rPr>
            </w:pPr>
          </w:p>
        </w:tc>
        <w:tc>
          <w:tcPr>
            <w:tcW w:w="700" w:type="pct"/>
            <w:tcBorders>
              <w:top w:val="outset" w:sz="6" w:space="0" w:color="auto"/>
              <w:left w:val="outset" w:sz="6" w:space="0" w:color="auto"/>
              <w:bottom w:val="outset" w:sz="6" w:space="0" w:color="auto"/>
              <w:right w:val="outset" w:sz="6" w:space="0" w:color="auto"/>
            </w:tcBorders>
          </w:tcPr>
          <w:p w14:paraId="0F2C4DE6" w14:textId="77777777" w:rsidR="00B06C4A" w:rsidRPr="005C4A9D" w:rsidRDefault="00B06C4A" w:rsidP="00382943">
            <w:pPr>
              <w:spacing w:after="0" w:line="240" w:lineRule="auto"/>
              <w:rPr>
                <w:rFonts w:ascii="Times New Roman" w:hAnsi="Times New Roman"/>
                <w:noProof/>
                <w:sz w:val="20"/>
                <w:szCs w:val="20"/>
                <w:lang w:val="ka-GE"/>
              </w:rPr>
            </w:pPr>
          </w:p>
        </w:tc>
        <w:tc>
          <w:tcPr>
            <w:tcW w:w="1050" w:type="pct"/>
            <w:tcBorders>
              <w:top w:val="outset" w:sz="6" w:space="0" w:color="auto"/>
              <w:left w:val="outset" w:sz="6" w:space="0" w:color="auto"/>
              <w:bottom w:val="outset" w:sz="6" w:space="0" w:color="auto"/>
              <w:right w:val="outset" w:sz="6" w:space="0" w:color="auto"/>
            </w:tcBorders>
          </w:tcPr>
          <w:p w14:paraId="31B52E39"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0EBB06FE"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გინეკომასტია</w:t>
            </w:r>
          </w:p>
        </w:tc>
        <w:tc>
          <w:tcPr>
            <w:tcW w:w="800" w:type="pct"/>
            <w:tcBorders>
              <w:top w:val="outset" w:sz="6" w:space="0" w:color="auto"/>
              <w:left w:val="outset" w:sz="6" w:space="0" w:color="auto"/>
              <w:bottom w:val="outset" w:sz="6" w:space="0" w:color="auto"/>
            </w:tcBorders>
          </w:tcPr>
          <w:p w14:paraId="38080049" w14:textId="77777777" w:rsidR="00B06C4A" w:rsidRPr="005C4A9D" w:rsidRDefault="00B06C4A" w:rsidP="00382943">
            <w:pPr>
              <w:spacing w:after="0" w:line="240" w:lineRule="auto"/>
              <w:rPr>
                <w:rFonts w:ascii="Times New Roman" w:hAnsi="Times New Roman"/>
                <w:noProof/>
                <w:lang w:val="ka-GE"/>
              </w:rPr>
            </w:pPr>
          </w:p>
        </w:tc>
      </w:tr>
      <w:tr w:rsidR="00B06C4A" w:rsidRPr="005C4A9D" w14:paraId="212A0157" w14:textId="77777777" w:rsidTr="00B82067">
        <w:trPr>
          <w:tblCellSpacing w:w="0" w:type="dxa"/>
        </w:trPr>
        <w:tc>
          <w:tcPr>
            <w:tcW w:w="800" w:type="pct"/>
            <w:tcBorders>
              <w:top w:val="outset" w:sz="6" w:space="0" w:color="auto"/>
              <w:bottom w:val="outset" w:sz="6" w:space="0" w:color="auto"/>
              <w:right w:val="outset" w:sz="6" w:space="0" w:color="auto"/>
            </w:tcBorders>
          </w:tcPr>
          <w:p w14:paraId="61285B69"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i/>
                <w:iCs/>
                <w:noProof/>
                <w:lang w:val="ka-GE"/>
              </w:rPr>
              <w:t>ზოგადი</w:t>
            </w:r>
            <w:r w:rsidRPr="005C4A9D">
              <w:rPr>
                <w:rFonts w:ascii="Times New Roman" w:hAnsi="Times New Roman"/>
                <w:i/>
                <w:iCs/>
                <w:noProof/>
                <w:lang w:val="ka-GE"/>
              </w:rPr>
              <w:t xml:space="preserve"> </w:t>
            </w:r>
            <w:r w:rsidRPr="005C4A9D">
              <w:rPr>
                <w:rFonts w:ascii="Sylfaen" w:hAnsi="Sylfaen" w:cs="Sylfaen"/>
                <w:i/>
                <w:iCs/>
                <w:noProof/>
                <w:lang w:val="ka-GE"/>
              </w:rPr>
              <w:t>დარღვევები</w:t>
            </w:r>
            <w:r w:rsidRPr="005C4A9D">
              <w:rPr>
                <w:rFonts w:ascii="Times New Roman" w:hAnsi="Times New Roman"/>
                <w:i/>
                <w:iCs/>
                <w:noProof/>
                <w:lang w:val="ka-GE"/>
              </w:rPr>
              <w:t xml:space="preserve"> </w:t>
            </w:r>
            <w:r w:rsidRPr="005C4A9D">
              <w:rPr>
                <w:rFonts w:ascii="Sylfaen" w:hAnsi="Sylfaen" w:cs="Sylfaen"/>
                <w:i/>
                <w:iCs/>
                <w:noProof/>
                <w:lang w:val="ka-GE"/>
              </w:rPr>
              <w:t>და</w:t>
            </w:r>
            <w:r w:rsidRPr="005C4A9D">
              <w:rPr>
                <w:rFonts w:ascii="Times New Roman" w:hAnsi="Times New Roman"/>
                <w:i/>
                <w:iCs/>
                <w:noProof/>
                <w:lang w:val="ka-GE"/>
              </w:rPr>
              <w:t xml:space="preserve"> </w:t>
            </w:r>
            <w:r w:rsidRPr="005C4A9D">
              <w:rPr>
                <w:rFonts w:ascii="Sylfaen" w:hAnsi="Sylfaen" w:cs="Sylfaen"/>
                <w:i/>
                <w:iCs/>
                <w:noProof/>
                <w:lang w:val="ka-GE"/>
              </w:rPr>
              <w:t>შეყვანის</w:t>
            </w:r>
            <w:r w:rsidRPr="005C4A9D">
              <w:rPr>
                <w:rFonts w:ascii="Times New Roman" w:hAnsi="Times New Roman"/>
                <w:i/>
                <w:iCs/>
                <w:noProof/>
                <w:lang w:val="ka-GE"/>
              </w:rPr>
              <w:t xml:space="preserve"> </w:t>
            </w:r>
            <w:r w:rsidRPr="005C4A9D">
              <w:rPr>
                <w:rFonts w:ascii="Sylfaen" w:hAnsi="Sylfaen" w:cs="Sylfaen"/>
                <w:i/>
                <w:iCs/>
                <w:noProof/>
                <w:lang w:val="ka-GE"/>
              </w:rPr>
              <w:t>ადგილის</w:t>
            </w:r>
            <w:r w:rsidRPr="005C4A9D">
              <w:rPr>
                <w:rFonts w:ascii="Times New Roman" w:hAnsi="Times New Roman"/>
                <w:i/>
                <w:iCs/>
                <w:noProof/>
                <w:lang w:val="ka-GE"/>
              </w:rPr>
              <w:t xml:space="preserve"> </w:t>
            </w:r>
            <w:r w:rsidRPr="005C4A9D">
              <w:rPr>
                <w:rFonts w:ascii="Sylfaen" w:hAnsi="Sylfaen" w:cs="Sylfaen"/>
                <w:i/>
                <w:iCs/>
                <w:noProof/>
                <w:lang w:val="ka-GE"/>
              </w:rPr>
              <w:t>მდგომარეობები</w:t>
            </w:r>
          </w:p>
        </w:tc>
        <w:tc>
          <w:tcPr>
            <w:tcW w:w="750" w:type="pct"/>
            <w:tcBorders>
              <w:top w:val="outset" w:sz="6" w:space="0" w:color="auto"/>
              <w:left w:val="outset" w:sz="6" w:space="0" w:color="auto"/>
              <w:bottom w:val="outset" w:sz="6" w:space="0" w:color="auto"/>
              <w:right w:val="outset" w:sz="6" w:space="0" w:color="auto"/>
            </w:tcBorders>
          </w:tcPr>
          <w:p w14:paraId="6447BBAF"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ასთენია</w:t>
            </w:r>
          </w:p>
        </w:tc>
        <w:tc>
          <w:tcPr>
            <w:tcW w:w="700" w:type="pct"/>
            <w:tcBorders>
              <w:top w:val="outset" w:sz="6" w:space="0" w:color="auto"/>
              <w:left w:val="outset" w:sz="6" w:space="0" w:color="auto"/>
              <w:bottom w:val="outset" w:sz="6" w:space="0" w:color="auto"/>
              <w:right w:val="outset" w:sz="6" w:space="0" w:color="auto"/>
            </w:tcBorders>
          </w:tcPr>
          <w:p w14:paraId="2EF82209" w14:textId="77777777" w:rsidR="00B06C4A" w:rsidRPr="005C4A9D" w:rsidRDefault="00B06C4A" w:rsidP="00382943">
            <w:pPr>
              <w:spacing w:after="0" w:line="240" w:lineRule="auto"/>
              <w:rPr>
                <w:rFonts w:ascii="Times New Roman" w:hAnsi="Times New Roman"/>
                <w:noProof/>
                <w:lang w:val="ka-GE"/>
              </w:rPr>
            </w:pPr>
          </w:p>
        </w:tc>
        <w:tc>
          <w:tcPr>
            <w:tcW w:w="1050" w:type="pct"/>
            <w:tcBorders>
              <w:top w:val="outset" w:sz="6" w:space="0" w:color="auto"/>
              <w:left w:val="outset" w:sz="6" w:space="0" w:color="auto"/>
              <w:bottom w:val="outset" w:sz="6" w:space="0" w:color="auto"/>
              <w:right w:val="outset" w:sz="6" w:space="0" w:color="auto"/>
            </w:tcBorders>
          </w:tcPr>
          <w:p w14:paraId="003E779C" w14:textId="77777777" w:rsidR="00B06C4A" w:rsidRPr="005C4A9D" w:rsidRDefault="00B06C4A" w:rsidP="00382943">
            <w:pPr>
              <w:spacing w:after="0" w:line="240" w:lineRule="auto"/>
              <w:rPr>
                <w:rFonts w:ascii="Times New Roman" w:hAnsi="Times New Roman"/>
                <w:noProof/>
                <w:sz w:val="20"/>
                <w:szCs w:val="20"/>
                <w:lang w:val="ka-GE"/>
              </w:rPr>
            </w:pPr>
          </w:p>
        </w:tc>
        <w:tc>
          <w:tcPr>
            <w:tcW w:w="900" w:type="pct"/>
            <w:tcBorders>
              <w:top w:val="outset" w:sz="6" w:space="0" w:color="auto"/>
              <w:left w:val="outset" w:sz="6" w:space="0" w:color="auto"/>
              <w:bottom w:val="outset" w:sz="6" w:space="0" w:color="auto"/>
              <w:right w:val="outset" w:sz="6" w:space="0" w:color="auto"/>
            </w:tcBorders>
          </w:tcPr>
          <w:p w14:paraId="777F41F5" w14:textId="77777777" w:rsidR="00B06C4A" w:rsidRPr="005C4A9D" w:rsidRDefault="00B06C4A" w:rsidP="00382943">
            <w:pPr>
              <w:spacing w:after="0" w:line="240" w:lineRule="auto"/>
              <w:rPr>
                <w:rFonts w:ascii="Times New Roman" w:hAnsi="Times New Roman"/>
                <w:noProof/>
                <w:sz w:val="20"/>
                <w:szCs w:val="20"/>
                <w:lang w:val="ka-GE"/>
              </w:rPr>
            </w:pPr>
          </w:p>
        </w:tc>
        <w:tc>
          <w:tcPr>
            <w:tcW w:w="800" w:type="pct"/>
            <w:tcBorders>
              <w:top w:val="outset" w:sz="6" w:space="0" w:color="auto"/>
              <w:left w:val="outset" w:sz="6" w:space="0" w:color="auto"/>
              <w:bottom w:val="outset" w:sz="6" w:space="0" w:color="auto"/>
            </w:tcBorders>
          </w:tcPr>
          <w:p w14:paraId="68124D3D" w14:textId="77777777" w:rsidR="00B06C4A" w:rsidRPr="005C4A9D" w:rsidRDefault="00B06C4A" w:rsidP="00382943">
            <w:pPr>
              <w:spacing w:after="0" w:line="240" w:lineRule="auto"/>
              <w:rPr>
                <w:rFonts w:ascii="Times New Roman" w:hAnsi="Times New Roman"/>
                <w:noProof/>
                <w:lang w:val="ka-GE"/>
              </w:rPr>
            </w:pPr>
            <w:r w:rsidRPr="005C4A9D">
              <w:rPr>
                <w:rFonts w:ascii="Sylfaen" w:hAnsi="Sylfaen" w:cs="Sylfaen"/>
                <w:noProof/>
                <w:lang w:val="ka-GE"/>
              </w:rPr>
              <w:t>შეშუპება</w:t>
            </w:r>
          </w:p>
        </w:tc>
      </w:tr>
      <w:tr w:rsidR="00B06C4A" w:rsidRPr="005C4A9D" w14:paraId="161790CA" w14:textId="77777777" w:rsidTr="00B82067">
        <w:trPr>
          <w:tblCellSpacing w:w="0" w:type="dxa"/>
        </w:trPr>
        <w:tc>
          <w:tcPr>
            <w:tcW w:w="4700" w:type="pct"/>
            <w:gridSpan w:val="6"/>
            <w:tcBorders>
              <w:top w:val="outset" w:sz="6" w:space="0" w:color="auto"/>
              <w:bottom w:val="outset" w:sz="6" w:space="0" w:color="auto"/>
            </w:tcBorders>
          </w:tcPr>
          <w:p w14:paraId="63823AD3" w14:textId="77777777" w:rsidR="00B06C4A" w:rsidRPr="005C4A9D" w:rsidRDefault="00B06C4A" w:rsidP="00382943">
            <w:pPr>
              <w:spacing w:after="0" w:line="240" w:lineRule="auto"/>
              <w:rPr>
                <w:rFonts w:ascii="Times New Roman" w:hAnsi="Times New Roman"/>
                <w:noProof/>
                <w:lang w:val="ka-GE"/>
              </w:rPr>
            </w:pPr>
            <w:r w:rsidRPr="005C4A9D">
              <w:rPr>
                <w:rFonts w:ascii="Times New Roman" w:hAnsi="Times New Roman"/>
                <w:noProof/>
                <w:vertAlign w:val="superscript"/>
                <w:lang w:val="ka-GE"/>
              </w:rPr>
              <w:t xml:space="preserve">1 </w:t>
            </w:r>
            <w:r w:rsidRPr="005C4A9D">
              <w:rPr>
                <w:rFonts w:ascii="Sylfaen" w:hAnsi="Sylfaen" w:cs="Sylfaen"/>
                <w:noProof/>
                <w:lang w:val="ka-GE"/>
              </w:rPr>
              <w:t>სიხშირე</w:t>
            </w:r>
            <w:r w:rsidRPr="005C4A9D">
              <w:rPr>
                <w:rFonts w:ascii="Times New Roman" w:hAnsi="Times New Roman"/>
                <w:noProof/>
                <w:lang w:val="ka-GE"/>
              </w:rPr>
              <w:t xml:space="preserve"> </w:t>
            </w:r>
            <w:r w:rsidRPr="005C4A9D">
              <w:rPr>
                <w:rFonts w:ascii="Sylfaen" w:hAnsi="Sylfaen" w:cs="Sylfaen"/>
                <w:noProof/>
                <w:lang w:val="ka-GE"/>
              </w:rPr>
              <w:t>დამოკიდებული</w:t>
            </w:r>
            <w:r w:rsidRPr="005C4A9D">
              <w:rPr>
                <w:rFonts w:ascii="Times New Roman" w:hAnsi="Times New Roman"/>
                <w:noProof/>
                <w:lang w:val="ka-GE"/>
              </w:rPr>
              <w:t xml:space="preserve"> </w:t>
            </w:r>
            <w:r w:rsidRPr="005C4A9D">
              <w:rPr>
                <w:rFonts w:ascii="Sylfaen" w:hAnsi="Sylfaen" w:cs="Sylfaen"/>
                <w:noProof/>
                <w:lang w:val="ka-GE"/>
              </w:rPr>
              <w:t>იქნება</w:t>
            </w:r>
            <w:r w:rsidRPr="005C4A9D">
              <w:rPr>
                <w:rFonts w:ascii="Times New Roman" w:hAnsi="Times New Roman"/>
                <w:noProof/>
                <w:lang w:val="ka-GE"/>
              </w:rPr>
              <w:t xml:space="preserve"> </w:t>
            </w:r>
            <w:r w:rsidRPr="005C4A9D">
              <w:rPr>
                <w:rFonts w:ascii="Sylfaen" w:hAnsi="Sylfaen" w:cs="Sylfaen"/>
                <w:noProof/>
                <w:lang w:val="ka-GE"/>
              </w:rPr>
              <w:t>რისკ</w:t>
            </w:r>
            <w:r w:rsidRPr="005C4A9D">
              <w:rPr>
                <w:rFonts w:ascii="Times New Roman" w:hAnsi="Times New Roman"/>
                <w:noProof/>
                <w:lang w:val="ka-GE"/>
              </w:rPr>
              <w:t>-</w:t>
            </w:r>
            <w:r w:rsidRPr="005C4A9D">
              <w:rPr>
                <w:rFonts w:ascii="Sylfaen" w:hAnsi="Sylfaen" w:cs="Sylfaen"/>
                <w:noProof/>
                <w:lang w:val="ka-GE"/>
              </w:rPr>
              <w:t>ფაქტორების</w:t>
            </w:r>
            <w:r w:rsidRPr="005C4A9D">
              <w:rPr>
                <w:rFonts w:ascii="Times New Roman" w:hAnsi="Times New Roman"/>
                <w:noProof/>
                <w:lang w:val="ka-GE"/>
              </w:rPr>
              <w:t xml:space="preserve"> </w:t>
            </w:r>
            <w:r w:rsidRPr="005C4A9D">
              <w:rPr>
                <w:rFonts w:ascii="Sylfaen" w:hAnsi="Sylfaen" w:cs="Sylfaen"/>
                <w:noProof/>
                <w:lang w:val="ka-GE"/>
              </w:rPr>
              <w:t>არსებობაზე</w:t>
            </w:r>
            <w:r w:rsidRPr="005C4A9D">
              <w:rPr>
                <w:rFonts w:ascii="Times New Roman" w:hAnsi="Times New Roman"/>
                <w:noProof/>
                <w:lang w:val="ka-GE"/>
              </w:rPr>
              <w:t xml:space="preserve"> </w:t>
            </w:r>
            <w:r w:rsidRPr="005C4A9D">
              <w:rPr>
                <w:rFonts w:ascii="Sylfaen" w:hAnsi="Sylfaen" w:cs="Sylfaen"/>
                <w:noProof/>
                <w:lang w:val="ka-GE"/>
              </w:rPr>
              <w:t>ან</w:t>
            </w:r>
            <w:r w:rsidRPr="005C4A9D">
              <w:rPr>
                <w:rFonts w:ascii="Times New Roman" w:hAnsi="Times New Roman"/>
                <w:noProof/>
                <w:lang w:val="ka-GE"/>
              </w:rPr>
              <w:t xml:space="preserve"> </w:t>
            </w:r>
            <w:r w:rsidRPr="005C4A9D">
              <w:rPr>
                <w:rFonts w:ascii="Sylfaen" w:hAnsi="Sylfaen" w:cs="Sylfaen"/>
                <w:noProof/>
                <w:lang w:val="ka-GE"/>
              </w:rPr>
              <w:t>არარსებობაზე</w:t>
            </w:r>
            <w:r w:rsidRPr="005C4A9D">
              <w:rPr>
                <w:rFonts w:ascii="Times New Roman" w:hAnsi="Times New Roman"/>
                <w:noProof/>
                <w:lang w:val="ka-GE"/>
              </w:rPr>
              <w:t xml:space="preserve"> (</w:t>
            </w:r>
            <w:r w:rsidRPr="005C4A9D">
              <w:rPr>
                <w:rFonts w:ascii="Sylfaen" w:hAnsi="Sylfaen" w:cs="Sylfaen"/>
                <w:noProof/>
                <w:lang w:val="ka-GE"/>
              </w:rPr>
              <w:t>სისხლში</w:t>
            </w:r>
            <w:r w:rsidRPr="005C4A9D">
              <w:rPr>
                <w:rFonts w:ascii="Times New Roman" w:hAnsi="Times New Roman"/>
                <w:noProof/>
                <w:lang w:val="ka-GE"/>
              </w:rPr>
              <w:t xml:space="preserve"> </w:t>
            </w:r>
            <w:r w:rsidRPr="005C4A9D">
              <w:rPr>
                <w:rFonts w:ascii="Sylfaen" w:hAnsi="Sylfaen" w:cs="Sylfaen"/>
                <w:noProof/>
                <w:lang w:val="ka-GE"/>
              </w:rPr>
              <w:t>გლუკოზის</w:t>
            </w:r>
            <w:r w:rsidRPr="005C4A9D">
              <w:rPr>
                <w:rFonts w:ascii="Times New Roman" w:hAnsi="Times New Roman"/>
                <w:noProof/>
                <w:lang w:val="ka-GE"/>
              </w:rPr>
              <w:t xml:space="preserve"> </w:t>
            </w:r>
            <w:r w:rsidRPr="005C4A9D">
              <w:rPr>
                <w:rFonts w:ascii="Sylfaen" w:hAnsi="Sylfaen" w:cs="Sylfaen"/>
                <w:noProof/>
                <w:lang w:val="ka-GE"/>
              </w:rPr>
              <w:t>დონე</w:t>
            </w:r>
            <w:r w:rsidRPr="005C4A9D">
              <w:rPr>
                <w:rFonts w:ascii="Times New Roman" w:hAnsi="Times New Roman"/>
                <w:noProof/>
                <w:lang w:val="ka-GE"/>
              </w:rPr>
              <w:t xml:space="preserve"> </w:t>
            </w:r>
            <w:r w:rsidRPr="005C4A9D">
              <w:rPr>
                <w:rFonts w:ascii="Sylfaen" w:hAnsi="Sylfaen" w:cs="Sylfaen"/>
                <w:noProof/>
                <w:lang w:val="ka-GE"/>
              </w:rPr>
              <w:t>უზმოზე</w:t>
            </w:r>
            <w:r w:rsidRPr="005C4A9D">
              <w:rPr>
                <w:rFonts w:ascii="Times New Roman" w:hAnsi="Times New Roman"/>
                <w:noProof/>
                <w:lang w:val="ka-GE"/>
              </w:rPr>
              <w:t xml:space="preserve"> ≥ 5.6 </w:t>
            </w:r>
            <w:r w:rsidRPr="005C4A9D">
              <w:rPr>
                <w:rFonts w:ascii="Sylfaen" w:hAnsi="Sylfaen" w:cs="Sylfaen"/>
                <w:noProof/>
                <w:lang w:val="ka-GE"/>
              </w:rPr>
              <w:t>მმოლ</w:t>
            </w:r>
            <w:r w:rsidRPr="005C4A9D">
              <w:rPr>
                <w:rFonts w:ascii="Times New Roman" w:hAnsi="Times New Roman"/>
                <w:noProof/>
                <w:lang w:val="ka-GE"/>
              </w:rPr>
              <w:t>/</w:t>
            </w:r>
            <w:r w:rsidRPr="005C4A9D">
              <w:rPr>
                <w:rFonts w:ascii="Sylfaen" w:hAnsi="Sylfaen" w:cs="Sylfaen"/>
                <w:noProof/>
                <w:lang w:val="ka-GE"/>
              </w:rPr>
              <w:t>ლ</w:t>
            </w:r>
            <w:r w:rsidRPr="005C4A9D">
              <w:rPr>
                <w:rFonts w:ascii="Times New Roman" w:hAnsi="Times New Roman"/>
                <w:noProof/>
                <w:lang w:val="ka-GE"/>
              </w:rPr>
              <w:t xml:space="preserve">, </w:t>
            </w:r>
            <w:r w:rsidRPr="005C4A9D">
              <w:rPr>
                <w:rFonts w:ascii="Sylfaen" w:hAnsi="Sylfaen" w:cs="Sylfaen"/>
                <w:noProof/>
                <w:lang w:val="ka-GE"/>
              </w:rPr>
              <w:t>სხეულის</w:t>
            </w:r>
            <w:r w:rsidRPr="005C4A9D">
              <w:rPr>
                <w:rFonts w:ascii="Times New Roman" w:hAnsi="Times New Roman"/>
                <w:noProof/>
                <w:lang w:val="ka-GE"/>
              </w:rPr>
              <w:t xml:space="preserve"> </w:t>
            </w:r>
            <w:r w:rsidRPr="005C4A9D">
              <w:rPr>
                <w:rFonts w:ascii="Sylfaen" w:hAnsi="Sylfaen" w:cs="Sylfaen"/>
                <w:noProof/>
                <w:lang w:val="ka-GE"/>
              </w:rPr>
              <w:t>მასის</w:t>
            </w:r>
            <w:r w:rsidRPr="005C4A9D">
              <w:rPr>
                <w:rFonts w:ascii="Times New Roman" w:hAnsi="Times New Roman"/>
                <w:noProof/>
                <w:lang w:val="ka-GE"/>
              </w:rPr>
              <w:t xml:space="preserve"> </w:t>
            </w:r>
            <w:r w:rsidRPr="005C4A9D">
              <w:rPr>
                <w:rFonts w:ascii="Sylfaen" w:hAnsi="Sylfaen" w:cs="Sylfaen"/>
                <w:noProof/>
                <w:lang w:val="ka-GE"/>
              </w:rPr>
              <w:t>ინდექსი</w:t>
            </w:r>
            <w:r w:rsidRPr="005C4A9D">
              <w:rPr>
                <w:rFonts w:ascii="Times New Roman" w:hAnsi="Times New Roman"/>
                <w:noProof/>
                <w:lang w:val="ka-GE"/>
              </w:rPr>
              <w:t xml:space="preserve"> &gt;30 </w:t>
            </w:r>
            <w:r w:rsidRPr="005C4A9D">
              <w:rPr>
                <w:rFonts w:ascii="Sylfaen" w:hAnsi="Sylfaen" w:cs="Sylfaen"/>
                <w:noProof/>
                <w:lang w:val="ka-GE"/>
              </w:rPr>
              <w:t>კგ</w:t>
            </w:r>
            <w:r w:rsidRPr="005C4A9D">
              <w:rPr>
                <w:rFonts w:ascii="Times New Roman" w:hAnsi="Times New Roman"/>
                <w:noProof/>
                <w:lang w:val="ka-GE"/>
              </w:rPr>
              <w:t>/</w:t>
            </w:r>
            <w:r w:rsidRPr="005C4A9D">
              <w:rPr>
                <w:rFonts w:ascii="Sylfaen" w:hAnsi="Sylfaen" w:cs="Sylfaen"/>
                <w:noProof/>
                <w:lang w:val="ka-GE"/>
              </w:rPr>
              <w:t>მ</w:t>
            </w:r>
            <w:r w:rsidRPr="005C4A9D">
              <w:rPr>
                <w:rFonts w:ascii="Times New Roman" w:hAnsi="Times New Roman"/>
                <w:noProof/>
                <w:lang w:val="ka-GE"/>
              </w:rPr>
              <w:t xml:space="preserve">² </w:t>
            </w:r>
            <w:r w:rsidRPr="005C4A9D">
              <w:rPr>
                <w:rFonts w:ascii="Times New Roman" w:hAnsi="Times New Roman"/>
                <w:noProof/>
                <w:vertAlign w:val="superscript"/>
                <w:lang w:val="ka-GE"/>
              </w:rPr>
              <w:t xml:space="preserve">, </w:t>
            </w:r>
            <w:r w:rsidRPr="005C4A9D">
              <w:rPr>
                <w:rFonts w:ascii="Sylfaen" w:hAnsi="Sylfaen" w:cs="Sylfaen"/>
                <w:noProof/>
                <w:lang w:val="ka-GE"/>
              </w:rPr>
              <w:t>ტრიგლიცერიდების</w:t>
            </w:r>
            <w:r w:rsidRPr="005C4A9D">
              <w:rPr>
                <w:rFonts w:ascii="Times New Roman" w:hAnsi="Times New Roman"/>
                <w:noProof/>
                <w:lang w:val="ka-GE"/>
              </w:rPr>
              <w:t xml:space="preserve"> </w:t>
            </w:r>
            <w:r w:rsidRPr="005C4A9D">
              <w:rPr>
                <w:rFonts w:ascii="Sylfaen" w:hAnsi="Sylfaen" w:cs="Sylfaen"/>
                <w:noProof/>
                <w:lang w:val="ka-GE"/>
              </w:rPr>
              <w:t>მომატება</w:t>
            </w:r>
            <w:r w:rsidRPr="005C4A9D">
              <w:rPr>
                <w:rFonts w:ascii="Times New Roman" w:hAnsi="Times New Roman"/>
                <w:noProof/>
                <w:lang w:val="ka-GE"/>
              </w:rPr>
              <w:t xml:space="preserve">, </w:t>
            </w:r>
            <w:r w:rsidRPr="005C4A9D">
              <w:rPr>
                <w:rFonts w:ascii="Sylfaen" w:hAnsi="Sylfaen" w:cs="Sylfaen"/>
                <w:noProof/>
                <w:lang w:val="ka-GE"/>
              </w:rPr>
              <w:t>ჰიპერტენზიის</w:t>
            </w:r>
            <w:r w:rsidRPr="005C4A9D">
              <w:rPr>
                <w:rFonts w:ascii="Times New Roman" w:hAnsi="Times New Roman"/>
                <w:noProof/>
                <w:lang w:val="ka-GE"/>
              </w:rPr>
              <w:t xml:space="preserve"> </w:t>
            </w:r>
            <w:r w:rsidRPr="005C4A9D">
              <w:rPr>
                <w:rFonts w:ascii="Sylfaen" w:hAnsi="Sylfaen" w:cs="Sylfaen"/>
                <w:noProof/>
                <w:lang w:val="ka-GE"/>
              </w:rPr>
              <w:t>ისტორია</w:t>
            </w:r>
            <w:r w:rsidRPr="005C4A9D">
              <w:rPr>
                <w:rFonts w:ascii="Times New Roman" w:hAnsi="Times New Roman"/>
                <w:noProof/>
                <w:lang w:val="ka-GE"/>
              </w:rPr>
              <w:t>).</w:t>
            </w:r>
          </w:p>
        </w:tc>
      </w:tr>
    </w:tbl>
    <w:p w14:paraId="211A4A96" w14:textId="77777777" w:rsidR="00B06C4A" w:rsidRPr="005C4A9D" w:rsidRDefault="00B06C4A" w:rsidP="00382943">
      <w:pPr>
        <w:spacing w:after="0" w:line="240" w:lineRule="auto"/>
        <w:rPr>
          <w:rFonts w:ascii="Sylfaen" w:eastAsia="Arial Unicode MS" w:hAnsi="Sylfaen"/>
          <w:noProof/>
          <w:lang w:val="ka-GE"/>
        </w:rPr>
      </w:pPr>
    </w:p>
    <w:p w14:paraId="08AC0E9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როგორც სხვა HMG-CoA რედუქტაზას ინჰიბიტორების შემთხვევაში, გვერდითი მოვლენების სიხშირე, როგორც წესი, დოზადამოკიდებულია.</w:t>
      </w:r>
    </w:p>
    <w:p w14:paraId="4BB9B11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თირკმლისმიერი ეფექტები:</w:t>
      </w:r>
      <w:r w:rsidRPr="005C4A9D">
        <w:rPr>
          <w:rFonts w:ascii="Sylfaen" w:eastAsia="Arial Unicode MS" w:hAnsi="Sylfaen"/>
          <w:noProof/>
          <w:lang w:val="ka-GE"/>
        </w:rPr>
        <w:t xml:space="preserve"> პროტეინურია, რომელიც გამოვლინდა ტესტ-ჩხირებით და ძირითადად მილაკოვანი წარმოშობისაა, დაფიქსირდა სიროსტინ 20-ით ნამკურნალებ პაციენტებში. შარდის ცილის დონის ცვლილება ნულიდან ან კვალიდან ++ ან მეტამდე დაფიქსირდა პაციენტების &lt;1%-ში 10 და 20 მგ დოზით მკურნალობის გარკვეულ პერიოდში და პაციენტების დაახლოებით 3%-ში, რომლებიც ნამკურნალებნი იყვნენ 40 მგ დოზით. ნულიდან ან კვალიდან +-მდე ცვლილების უმნიშვნელო ზრდა დაფიქსირდა 20 მგ დოზით მკურნალობის დროს. შემთხვევათა უმეტესობაში, პროტეინურია მცირდება ან სპონტანურად ქრება თერაპიის გაგრძელებისას. კლინიკური კვლევებიდან მიღებული მონაცემების მიმოხილვამ და პოსტმარკეტინგულმა გამოცდილებამ დღემდე არ გამოავლინა მიზეზობრივი კავშირი პროტეინურიასა და მწვავე ან პროგრესირებად თირკმლის დაავადებას შორის.</w:t>
      </w:r>
    </w:p>
    <w:p w14:paraId="2DCBBC90"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ჰემატურია დაფიქსირდა პაციენტებში, რომლებიც ნამკურნალებნი იყვნენ სიროსტინი 20-ით და კლინიკური კვლევების მონაცემები აჩვენებს, რომ ეს სიხშირე დაბალია.</w:t>
      </w:r>
    </w:p>
    <w:p w14:paraId="7C0DA7CA" w14:textId="77777777" w:rsidR="00B06C4A" w:rsidRPr="005C4A9D" w:rsidRDefault="00B06C4A" w:rsidP="00382943">
      <w:pPr>
        <w:spacing w:after="0" w:line="240" w:lineRule="auto"/>
        <w:jc w:val="both"/>
        <w:rPr>
          <w:rFonts w:ascii="Sylfaen" w:eastAsia="Arial Unicode MS" w:hAnsi="Sylfaen"/>
          <w:noProof/>
          <w:lang w:val="ka-GE"/>
        </w:rPr>
      </w:pPr>
      <w:r w:rsidRPr="000E0D37">
        <w:rPr>
          <w:rFonts w:ascii="Sylfaen" w:eastAsia="Arial Unicode MS" w:hAnsi="Sylfaen"/>
          <w:b/>
          <w:bCs/>
          <w:noProof/>
          <w:lang w:val="ka-GE"/>
        </w:rPr>
        <w:t>ჩონჩხის კუნთებზე ეფექტები:</w:t>
      </w:r>
      <w:r w:rsidRPr="005C4A9D">
        <w:rPr>
          <w:rFonts w:ascii="Sylfaen" w:eastAsia="Arial Unicode MS" w:hAnsi="Sylfaen"/>
          <w:noProof/>
          <w:lang w:val="ka-GE"/>
        </w:rPr>
        <w:t xml:space="preserve"> გავლენა ჩონჩხის კუნთებზე, მაგ. მიალგია, მიოპათია (მათ შორის მიოზიტი) და იშვიათად, რაბდომიოლიზი მწვავე თირკმლის უკმარისობით და მის გარეშე დაფიქსირდა სიროსტინ 20-ით ნამკურნალებ პაციენტებში ყველა დოზის და განსაკუთრებით &gt;20 მგ დოზირების დროს.</w:t>
      </w:r>
    </w:p>
    <w:p w14:paraId="32EAFB8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როზუვასტატინის მიმღებ პაციენტებში დაფიქსირდა კრეატინფოსფატის დონის დოზადამოკიდებული მატება; შემთხვევათა უმრავლესობა იყო მსუბუქი, უსიმპტომო და გარდამავალი. თუ კრეატინფოსფატის დონე მომატებულია (&gt;5xULN), მკურნალობა უნდა შეწყდეს (იხ. ნაწილი 4.4).</w:t>
      </w:r>
    </w:p>
    <w:p w14:paraId="7BC0295B" w14:textId="77777777" w:rsidR="00B06C4A" w:rsidRPr="005C4A9D" w:rsidRDefault="00B06C4A" w:rsidP="00382943">
      <w:pPr>
        <w:spacing w:after="0" w:line="240" w:lineRule="auto"/>
        <w:jc w:val="both"/>
        <w:rPr>
          <w:rFonts w:ascii="Sylfaen" w:eastAsia="Arial Unicode MS" w:hAnsi="Sylfaen"/>
          <w:noProof/>
          <w:lang w:val="ka-GE"/>
        </w:rPr>
      </w:pPr>
      <w:r w:rsidRPr="000E0D37">
        <w:rPr>
          <w:rFonts w:ascii="Sylfaen" w:eastAsia="Arial Unicode MS" w:hAnsi="Sylfaen"/>
          <w:b/>
          <w:bCs/>
          <w:noProof/>
          <w:lang w:val="ka-GE"/>
        </w:rPr>
        <w:lastRenderedPageBreak/>
        <w:t>ღვიძლის ეფექტები:</w:t>
      </w:r>
      <w:r w:rsidRPr="005C4A9D">
        <w:rPr>
          <w:rFonts w:ascii="Sylfaen" w:eastAsia="Arial Unicode MS" w:hAnsi="Sylfaen"/>
          <w:noProof/>
          <w:lang w:val="ka-GE"/>
        </w:rPr>
        <w:t xml:space="preserve"> როგორც სხვა HMG-CoA რედუქტაზას ინჰიბიტორების შემთხვევაში, ტრანსამინაზების დოზადამოკიდებული მატება დაფიქსირდა როზუვასტატინის მიმღები პაციენტების მცირე რაოდენობაში; შემთხვევათა უმეტესობა იყო მსუბუქი, უსიმპტომო და გარდამავალი.</w:t>
      </w:r>
    </w:p>
    <w:p w14:paraId="15FF748F" w14:textId="77777777" w:rsidR="00B06C4A" w:rsidRPr="000E0D37" w:rsidRDefault="00B06C4A" w:rsidP="00382943">
      <w:pPr>
        <w:spacing w:after="0" w:line="240" w:lineRule="auto"/>
        <w:jc w:val="both"/>
        <w:rPr>
          <w:rFonts w:ascii="Sylfaen" w:eastAsia="Arial Unicode MS" w:hAnsi="Sylfaen"/>
          <w:i/>
          <w:iCs/>
          <w:noProof/>
          <w:lang w:val="ka-GE"/>
        </w:rPr>
      </w:pPr>
      <w:r w:rsidRPr="000E0D37">
        <w:rPr>
          <w:rFonts w:ascii="Sylfaen" w:eastAsia="Arial Unicode MS" w:hAnsi="Sylfaen"/>
          <w:i/>
          <w:iCs/>
          <w:noProof/>
          <w:lang w:val="ka-GE"/>
        </w:rPr>
        <w:t>ზოგიერთი სტატინის გამოყენებისას დაფიქსირდა შემდეგი გვერდითი მოვლენები:</w:t>
      </w:r>
    </w:p>
    <w:p w14:paraId="0427460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სქესობრივი დისფუნქცია.</w:t>
      </w:r>
    </w:p>
    <w:p w14:paraId="71B6373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ფილტვის ინტერსტიციული დაავადების გამონაკლისი შემთხვევები, განსაკუთრებით ხანგრძლივი თერაპიის დროს (იხ. ნაწილი 4.4).</w:t>
      </w:r>
    </w:p>
    <w:p w14:paraId="7671D794"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რაბდომიოლიზის, თირკმლის სერიოზული მოვლენების და ღვიძლის სერიოზული მოვლენების (ძირითადად ღვიძლის ტრანსამინაზების მომატებით) შემთხვევების შესახებ ინფორმაციის მიღების მაჩვენებელი 40 მგ დოზის მიღებისას უფრო მაღალია.</w:t>
      </w:r>
    </w:p>
    <w:p w14:paraId="0868406E" w14:textId="77777777" w:rsidR="00B06C4A" w:rsidRPr="005C4A9D" w:rsidRDefault="00B06C4A" w:rsidP="00382943">
      <w:pPr>
        <w:spacing w:after="0" w:line="240" w:lineRule="auto"/>
        <w:jc w:val="both"/>
        <w:rPr>
          <w:rFonts w:ascii="Sylfaen" w:eastAsia="Arial Unicode MS" w:hAnsi="Sylfaen"/>
          <w:noProof/>
          <w:lang w:val="ka-GE"/>
        </w:rPr>
      </w:pPr>
      <w:r w:rsidRPr="000E0D37">
        <w:rPr>
          <w:rFonts w:ascii="Sylfaen" w:eastAsia="Arial Unicode MS" w:hAnsi="Sylfaen"/>
          <w:b/>
          <w:bCs/>
          <w:noProof/>
          <w:lang w:val="ka-GE"/>
        </w:rPr>
        <w:t>პედიატრიული პოპულაცია:</w:t>
      </w:r>
      <w:r w:rsidRPr="005C4A9D">
        <w:rPr>
          <w:rFonts w:ascii="Sylfaen" w:eastAsia="Arial Unicode MS" w:hAnsi="Sylfaen"/>
          <w:noProof/>
          <w:lang w:val="ka-GE"/>
        </w:rPr>
        <w:t xml:space="preserve"> კრეატინკინაზას &gt;10xULN მომატება და კუნთების სიმპტომები ვარჯიშის ან ფიზიკური აქტივობის გაზრდის შემდეგ უფრო ხშირად დაფიქსირდა ბავშვებსა და მოზარდებში ჩატარებულ 52-კვირიან კლინიკურ კვლევაში, მოზრდილებთან შედარებით (იხილეთ ნაწილი 4.4). სხვა ასპექტებით, როზუვასტატინის უსაფრთხოების პროფილი ბავშვებსა და მოზარდებში მსგავსი იყო მოზრდილებთან შედარებით.</w:t>
      </w:r>
    </w:p>
    <w:p w14:paraId="227C7296"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საეჭვო გვერდითი რეაქციების შესახებ ინფორმაციის მიწოდება</w:t>
      </w:r>
    </w:p>
    <w:p w14:paraId="1B44A7EE"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სამკურნალო პროდუქტის ავტორიზაციის შემდეგ საეჭვო გვერდითი რეაქციების შესახებ ინფორმაციის მიწოდება მნიშვნელოვანია. ეს იძლევა სამკურნალო პროდუქტის სარგებლისა და რისკის ბალანსის მუდმივი მონიტორინგის საშუალებას. ჯანდაცვის სპეციალისტებს მოეთხოვებათ ნებისმიერი საეჭვო გვერდითი რეაქციის შესახებ ინფორმაციის მიწოდება Yellow Card Scheme-ის, ვებგვერდის: www.mhra.gov.uk/yellowcard-ის ან MHRA Yellow Card-ის Google Play-სა და Apple App Store-ში მოძიების გზით.</w:t>
      </w:r>
    </w:p>
    <w:p w14:paraId="33EB1B38" w14:textId="77777777" w:rsidR="00B06C4A" w:rsidRPr="005C4A9D" w:rsidRDefault="00B06C4A" w:rsidP="00382943">
      <w:pPr>
        <w:spacing w:after="0" w:line="240" w:lineRule="auto"/>
        <w:jc w:val="both"/>
        <w:rPr>
          <w:rFonts w:ascii="Sylfaen" w:eastAsia="Arial Unicode MS" w:hAnsi="Sylfaen"/>
          <w:noProof/>
          <w:lang w:val="ka-GE"/>
        </w:rPr>
      </w:pPr>
    </w:p>
    <w:p w14:paraId="5D80114D"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4.9 დოზის გადაჭარბება</w:t>
      </w:r>
    </w:p>
    <w:p w14:paraId="1524AEA3"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დოზის გადაჭარბების შემთხვევაში სპეციფიკური მკურნალობა არ არსებობს. დოზის გადაჭარბების შემთხვევაში, პაციენტს უნდა ჩაუტარდეს სიმპტომური მკურნალობა და საჭიროებისამებრ უნდა იქნას მიღებული დამხმარე ზომები. საჭიროა ღვიძლის ფუნქციის და კრეატინფოსფატის დონის მონიტორინგი. ჰემოდიალიზი ნაკლებად სარგებელს მოიტანს.</w:t>
      </w:r>
    </w:p>
    <w:p w14:paraId="3B4C59C3" w14:textId="77777777" w:rsidR="00B06C4A" w:rsidRPr="003E5006" w:rsidRDefault="00B06C4A" w:rsidP="00382943">
      <w:pPr>
        <w:spacing w:after="0" w:line="240" w:lineRule="auto"/>
        <w:jc w:val="both"/>
        <w:rPr>
          <w:rFonts w:ascii="Sylfaen" w:eastAsia="Arial Unicode MS" w:hAnsi="Sylfaen"/>
          <w:b/>
          <w:bCs/>
          <w:noProof/>
          <w:lang w:val="ka-GE"/>
        </w:rPr>
      </w:pPr>
    </w:p>
    <w:p w14:paraId="7B1C70AB"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5. ფარმაკოლოგიური თვისებები</w:t>
      </w:r>
    </w:p>
    <w:p w14:paraId="0D1B405E"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5.1 ფარმაკოდინამიკური თვისებები</w:t>
      </w:r>
    </w:p>
    <w:p w14:paraId="69810D8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b/>
          <w:noProof/>
          <w:lang w:val="ka-GE"/>
        </w:rPr>
        <w:t>ფარმაკოთერაპიული ჯგუფი:</w:t>
      </w:r>
      <w:r w:rsidRPr="005C4A9D">
        <w:rPr>
          <w:rFonts w:ascii="Sylfaen" w:eastAsia="Arial Unicode MS" w:hAnsi="Sylfaen"/>
          <w:noProof/>
          <w:lang w:val="ka-GE"/>
        </w:rPr>
        <w:t xml:space="preserve"> HMG-CoA რედუქტაზას ინჰიბიტორები</w:t>
      </w:r>
    </w:p>
    <w:p w14:paraId="16F08A13" w14:textId="77777777" w:rsidR="00B06C4A"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ათქ კოდი: C10A A07</w:t>
      </w:r>
    </w:p>
    <w:p w14:paraId="3436F93A" w14:textId="77777777" w:rsidR="003E5006" w:rsidRPr="005C4A9D" w:rsidRDefault="003E5006" w:rsidP="00382943">
      <w:pPr>
        <w:spacing w:after="0" w:line="240" w:lineRule="auto"/>
        <w:jc w:val="both"/>
        <w:rPr>
          <w:rFonts w:ascii="Sylfaen" w:eastAsia="Arial Unicode MS" w:hAnsi="Sylfaen"/>
          <w:b/>
          <w:noProof/>
          <w:lang w:val="ka-GE"/>
        </w:rPr>
      </w:pPr>
    </w:p>
    <w:p w14:paraId="24EDBDD1"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მოქმედების მექანიზმი</w:t>
      </w:r>
    </w:p>
    <w:p w14:paraId="4F97B64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 არის HMG-CoA რედუქტაზას, სიჩქარის შემზღუდავი ფერმენტის, სელექციური და კონკურენტული ინჰიბიტორი, რომელიც გარდაქმნის 3-ჰიდროქსი-3-მეთილგლუტარილ კოენზიმ A-ს მევალონატად, ქოლესტერინის წინამორბედად. როზუვასტატინის მოქმედების ძირითადი ადგილია ღვიძლი, ქოლესტერინის შემცირების სამიზნე ორგანო.</w:t>
      </w:r>
    </w:p>
    <w:p w14:paraId="0A384984"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 ზრდის ღვიძლის დაბალი სიმკვრივის ლიპოპროტეინების რეცეპტორების რაოდენობას უჯრედის ზედაპირზე, აძლიერებს დაბალი სიმკვრივის ლიპოპროტეინების შეწოვას და კატაბოლიზმს და აფერხებს VLDL-ის ღვიძლის სინთეზს, რითაც ამცირებს VLDL და დაბალი სიმკვრივის ლიპოპროტეინების ნაწილაკების საერთო რაოდენობას.</w:t>
      </w:r>
    </w:p>
    <w:p w14:paraId="7D6F827D" w14:textId="77777777" w:rsidR="003E5006" w:rsidRPr="005C4A9D" w:rsidRDefault="003E5006" w:rsidP="00382943">
      <w:pPr>
        <w:spacing w:after="0" w:line="240" w:lineRule="auto"/>
        <w:jc w:val="both"/>
        <w:rPr>
          <w:rFonts w:ascii="Sylfaen" w:eastAsia="Arial Unicode MS" w:hAnsi="Sylfaen"/>
          <w:noProof/>
          <w:lang w:val="ka-GE"/>
        </w:rPr>
      </w:pPr>
    </w:p>
    <w:p w14:paraId="2C68F544"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ფარმაკოდინამიკური ეფექტები</w:t>
      </w:r>
    </w:p>
    <w:p w14:paraId="519600E7"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ამცირებს მომატებულ დაბალი სიმკვრივის ლიპოპროტეინების ქოლესტერინს, საერთო ქოლესტერინს და ტრიგლიცერიდებს და ზრდის მაღალი სიმკვრივის ლიპოპროტეინების ქოლესტერინს. ის ასევე ამცირებს ApoB-ს, არა-HDL-C-ს, VLDL-C-ს, VLDL-TG-ს და ზრდის ApoA-I-ს (იხ. ცხრილი 3). სიროსტინი 20 ასევე ამცირებს LDL-C/HDL-C, საერთო C/HDL-C და არა-HDL-C/HDL-C და ApoB/ApoA-I თანაფარდობას.</w:t>
      </w:r>
    </w:p>
    <w:p w14:paraId="22D1570D" w14:textId="77777777" w:rsidR="000E0D37" w:rsidRPr="005C4A9D" w:rsidRDefault="000E0D37" w:rsidP="00382943">
      <w:pPr>
        <w:spacing w:after="0" w:line="240" w:lineRule="auto"/>
        <w:jc w:val="both"/>
        <w:rPr>
          <w:rFonts w:ascii="Sylfaen" w:eastAsia="Arial Unicode MS" w:hAnsi="Sylfaen"/>
          <w:noProof/>
          <w:lang w:val="ka-GE"/>
        </w:rPr>
      </w:pPr>
    </w:p>
    <w:p w14:paraId="02AD7789" w14:textId="77777777" w:rsidR="00B06C4A" w:rsidRPr="005C4A9D" w:rsidRDefault="00B06C4A" w:rsidP="00382943">
      <w:pPr>
        <w:spacing w:after="0" w:line="240" w:lineRule="auto"/>
        <w:rPr>
          <w:rFonts w:ascii="Sylfaen" w:eastAsia="Arial Unicode MS" w:hAnsi="Sylfaen"/>
          <w:b/>
          <w:noProof/>
          <w:lang w:val="ka-GE"/>
        </w:rPr>
      </w:pPr>
      <w:r w:rsidRPr="005C4A9D">
        <w:rPr>
          <w:rFonts w:ascii="Sylfaen" w:eastAsia="Arial Unicode MS" w:hAnsi="Sylfaen"/>
          <w:b/>
          <w:noProof/>
          <w:lang w:val="ka-GE"/>
        </w:rPr>
        <w:lastRenderedPageBreak/>
        <w:t>ცხრილი 3: დოზაზე რეაგირება პირველადი ჰიპერქოლესტერინემიის მქონე პაციენტებში (ტიპი IIa და IIb) (საწყისი დონის კორექტირებული საშუალო პროცენტული ცვლილება)</w:t>
      </w:r>
    </w:p>
    <w:p w14:paraId="53CF7F89" w14:textId="77777777" w:rsidR="00B06C4A" w:rsidRPr="005C4A9D" w:rsidRDefault="00B06C4A" w:rsidP="00382943">
      <w:pPr>
        <w:spacing w:after="0" w:line="240" w:lineRule="auto"/>
        <w:rPr>
          <w:rFonts w:ascii="Sylfaen" w:eastAsia="Arial Unicode MS" w:hAnsi="Sylfaen"/>
          <w:noProof/>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328"/>
        <w:gridCol w:w="707"/>
        <w:gridCol w:w="1121"/>
        <w:gridCol w:w="1391"/>
        <w:gridCol w:w="1122"/>
        <w:gridCol w:w="708"/>
        <w:gridCol w:w="1640"/>
        <w:gridCol w:w="915"/>
        <w:gridCol w:w="1433"/>
      </w:tblGrid>
      <w:tr w:rsidR="00B06C4A" w:rsidRPr="005C4A9D" w14:paraId="1CA74860" w14:textId="77777777" w:rsidTr="00B82067">
        <w:trPr>
          <w:tblCellSpacing w:w="0" w:type="dxa"/>
        </w:trPr>
        <w:tc>
          <w:tcPr>
            <w:tcW w:w="650" w:type="pct"/>
            <w:tcBorders>
              <w:top w:val="outset" w:sz="6" w:space="0" w:color="auto"/>
              <w:bottom w:val="outset" w:sz="6" w:space="0" w:color="auto"/>
              <w:right w:val="outset" w:sz="6" w:space="0" w:color="auto"/>
            </w:tcBorders>
          </w:tcPr>
          <w:p w14:paraId="5A5C9086"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დოზა</w:t>
            </w:r>
          </w:p>
        </w:tc>
        <w:tc>
          <w:tcPr>
            <w:tcW w:w="350" w:type="pct"/>
            <w:tcBorders>
              <w:top w:val="outset" w:sz="6" w:space="0" w:color="auto"/>
              <w:left w:val="outset" w:sz="6" w:space="0" w:color="auto"/>
              <w:bottom w:val="outset" w:sz="6" w:space="0" w:color="auto"/>
              <w:right w:val="outset" w:sz="6" w:space="0" w:color="auto"/>
            </w:tcBorders>
          </w:tcPr>
          <w:p w14:paraId="2C2148C9" w14:textId="77777777" w:rsidR="00B06C4A" w:rsidRPr="005C4A9D" w:rsidRDefault="00B06C4A" w:rsidP="00382943">
            <w:pPr>
              <w:spacing w:after="0" w:line="240" w:lineRule="auto"/>
              <w:jc w:val="center"/>
              <w:rPr>
                <w:rFonts w:ascii="Sylfaen" w:hAnsi="Sylfaen"/>
                <w:noProof/>
                <w:lang w:val="ka-GE"/>
              </w:rPr>
            </w:pPr>
            <w:r w:rsidRPr="005C4A9D">
              <w:rPr>
                <w:rFonts w:ascii="Sylfaen" w:hAnsi="Sylfaen" w:cs="Sylfaen"/>
                <w:b/>
                <w:bCs/>
                <w:noProof/>
                <w:lang w:val="ka-GE"/>
              </w:rPr>
              <w:t>N</w:t>
            </w:r>
          </w:p>
        </w:tc>
        <w:tc>
          <w:tcPr>
            <w:tcW w:w="550" w:type="pct"/>
            <w:tcBorders>
              <w:top w:val="outset" w:sz="6" w:space="0" w:color="auto"/>
              <w:left w:val="outset" w:sz="6" w:space="0" w:color="auto"/>
              <w:bottom w:val="outset" w:sz="6" w:space="0" w:color="auto"/>
              <w:right w:val="outset" w:sz="6" w:space="0" w:color="auto"/>
            </w:tcBorders>
          </w:tcPr>
          <w:p w14:paraId="13F21446"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b/>
                <w:bCs/>
                <w:noProof/>
                <w:lang w:val="ka-GE"/>
              </w:rPr>
              <w:t>LDL-C</w:t>
            </w:r>
          </w:p>
        </w:tc>
        <w:tc>
          <w:tcPr>
            <w:tcW w:w="600" w:type="pct"/>
            <w:tcBorders>
              <w:top w:val="outset" w:sz="6" w:space="0" w:color="auto"/>
              <w:left w:val="outset" w:sz="6" w:space="0" w:color="auto"/>
              <w:bottom w:val="outset" w:sz="6" w:space="0" w:color="auto"/>
              <w:right w:val="outset" w:sz="6" w:space="0" w:color="auto"/>
            </w:tcBorders>
          </w:tcPr>
          <w:p w14:paraId="49007F52"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ტოტალური</w:t>
            </w:r>
            <w:r w:rsidRPr="005C4A9D">
              <w:rPr>
                <w:rFonts w:ascii="Times New Roman" w:hAnsi="Times New Roman"/>
                <w:b/>
                <w:bCs/>
                <w:noProof/>
                <w:lang w:val="ka-GE"/>
              </w:rPr>
              <w:t>-C</w:t>
            </w:r>
          </w:p>
        </w:tc>
        <w:tc>
          <w:tcPr>
            <w:tcW w:w="550" w:type="pct"/>
            <w:tcBorders>
              <w:top w:val="outset" w:sz="6" w:space="0" w:color="auto"/>
              <w:left w:val="outset" w:sz="6" w:space="0" w:color="auto"/>
              <w:bottom w:val="outset" w:sz="6" w:space="0" w:color="auto"/>
              <w:right w:val="outset" w:sz="6" w:space="0" w:color="auto"/>
            </w:tcBorders>
          </w:tcPr>
          <w:p w14:paraId="332147F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b/>
                <w:bCs/>
                <w:noProof/>
                <w:lang w:val="ka-GE"/>
              </w:rPr>
              <w:t>HDL-C</w:t>
            </w:r>
          </w:p>
        </w:tc>
        <w:tc>
          <w:tcPr>
            <w:tcW w:w="350" w:type="pct"/>
            <w:tcBorders>
              <w:top w:val="outset" w:sz="6" w:space="0" w:color="auto"/>
              <w:left w:val="outset" w:sz="6" w:space="0" w:color="auto"/>
              <w:bottom w:val="outset" w:sz="6" w:space="0" w:color="auto"/>
              <w:right w:val="outset" w:sz="6" w:space="0" w:color="auto"/>
            </w:tcBorders>
          </w:tcPr>
          <w:p w14:paraId="1ED31DD6"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b/>
                <w:bCs/>
                <w:noProof/>
                <w:lang w:val="ka-GE"/>
              </w:rPr>
              <w:t>TG</w:t>
            </w:r>
          </w:p>
        </w:tc>
        <w:tc>
          <w:tcPr>
            <w:tcW w:w="800" w:type="pct"/>
            <w:tcBorders>
              <w:top w:val="outset" w:sz="6" w:space="0" w:color="auto"/>
              <w:left w:val="outset" w:sz="6" w:space="0" w:color="auto"/>
              <w:bottom w:val="outset" w:sz="6" w:space="0" w:color="auto"/>
              <w:right w:val="outset" w:sz="6" w:space="0" w:color="auto"/>
            </w:tcBorders>
          </w:tcPr>
          <w:p w14:paraId="242C5051"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არა</w:t>
            </w:r>
            <w:r w:rsidRPr="005C4A9D">
              <w:rPr>
                <w:rFonts w:ascii="Times New Roman" w:hAnsi="Times New Roman"/>
                <w:b/>
                <w:bCs/>
                <w:noProof/>
                <w:lang w:val="ka-GE"/>
              </w:rPr>
              <w:t>HDL-C</w:t>
            </w:r>
          </w:p>
        </w:tc>
        <w:tc>
          <w:tcPr>
            <w:tcW w:w="450" w:type="pct"/>
            <w:tcBorders>
              <w:top w:val="outset" w:sz="6" w:space="0" w:color="auto"/>
              <w:left w:val="outset" w:sz="6" w:space="0" w:color="auto"/>
              <w:bottom w:val="outset" w:sz="6" w:space="0" w:color="auto"/>
              <w:right w:val="outset" w:sz="6" w:space="0" w:color="auto"/>
            </w:tcBorders>
          </w:tcPr>
          <w:p w14:paraId="53120865" w14:textId="77777777" w:rsidR="00B06C4A" w:rsidRPr="005C4A9D" w:rsidRDefault="00B06C4A" w:rsidP="00382943">
            <w:pPr>
              <w:spacing w:after="0" w:line="240" w:lineRule="auto"/>
              <w:jc w:val="center"/>
              <w:rPr>
                <w:rFonts w:ascii="Sylfaen" w:hAnsi="Sylfaen"/>
                <w:noProof/>
                <w:lang w:val="ka-GE"/>
              </w:rPr>
            </w:pPr>
            <w:r w:rsidRPr="005C4A9D">
              <w:rPr>
                <w:rFonts w:ascii="Sylfaen" w:hAnsi="Sylfaen" w:cs="Sylfaen"/>
                <w:b/>
                <w:bCs/>
                <w:noProof/>
                <w:lang w:val="ka-GE"/>
              </w:rPr>
              <w:t>ApoB</w:t>
            </w:r>
          </w:p>
        </w:tc>
        <w:tc>
          <w:tcPr>
            <w:tcW w:w="700" w:type="pct"/>
            <w:tcBorders>
              <w:top w:val="outset" w:sz="6" w:space="0" w:color="auto"/>
              <w:left w:val="outset" w:sz="6" w:space="0" w:color="auto"/>
              <w:bottom w:val="outset" w:sz="6" w:space="0" w:color="auto"/>
            </w:tcBorders>
          </w:tcPr>
          <w:p w14:paraId="75D8E3C7"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b/>
                <w:bCs/>
                <w:noProof/>
                <w:lang w:val="ka-GE"/>
              </w:rPr>
              <w:t>ApoA-l</w:t>
            </w:r>
          </w:p>
        </w:tc>
      </w:tr>
      <w:tr w:rsidR="00B06C4A" w:rsidRPr="005C4A9D" w14:paraId="0869C5D7" w14:textId="77777777" w:rsidTr="00B82067">
        <w:trPr>
          <w:tblCellSpacing w:w="0" w:type="dxa"/>
        </w:trPr>
        <w:tc>
          <w:tcPr>
            <w:tcW w:w="650" w:type="pct"/>
            <w:tcBorders>
              <w:top w:val="outset" w:sz="6" w:space="0" w:color="auto"/>
              <w:bottom w:val="outset" w:sz="6" w:space="0" w:color="auto"/>
              <w:right w:val="outset" w:sz="6" w:space="0" w:color="auto"/>
            </w:tcBorders>
          </w:tcPr>
          <w:p w14:paraId="589040BF" w14:textId="77777777" w:rsidR="00B06C4A" w:rsidRPr="005C4A9D" w:rsidRDefault="00B06C4A" w:rsidP="00382943">
            <w:pPr>
              <w:spacing w:after="0" w:line="240" w:lineRule="auto"/>
              <w:jc w:val="center"/>
              <w:rPr>
                <w:rFonts w:ascii="Times New Roman" w:hAnsi="Times New Roman"/>
                <w:noProof/>
                <w:lang w:val="ka-GE"/>
              </w:rPr>
            </w:pPr>
            <w:r w:rsidRPr="005C4A9D">
              <w:rPr>
                <w:rFonts w:ascii="Sylfaen" w:hAnsi="Sylfaen" w:cs="Sylfaen"/>
                <w:noProof/>
                <w:lang w:val="ka-GE"/>
              </w:rPr>
              <w:t>პლაცებო</w:t>
            </w:r>
          </w:p>
        </w:tc>
        <w:tc>
          <w:tcPr>
            <w:tcW w:w="350" w:type="pct"/>
            <w:tcBorders>
              <w:top w:val="outset" w:sz="6" w:space="0" w:color="auto"/>
              <w:left w:val="outset" w:sz="6" w:space="0" w:color="auto"/>
              <w:bottom w:val="outset" w:sz="6" w:space="0" w:color="auto"/>
              <w:right w:val="outset" w:sz="6" w:space="0" w:color="auto"/>
            </w:tcBorders>
          </w:tcPr>
          <w:p w14:paraId="3110D03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13</w:t>
            </w:r>
          </w:p>
        </w:tc>
        <w:tc>
          <w:tcPr>
            <w:tcW w:w="550" w:type="pct"/>
            <w:tcBorders>
              <w:top w:val="outset" w:sz="6" w:space="0" w:color="auto"/>
              <w:left w:val="outset" w:sz="6" w:space="0" w:color="auto"/>
              <w:bottom w:val="outset" w:sz="6" w:space="0" w:color="auto"/>
              <w:right w:val="outset" w:sz="6" w:space="0" w:color="auto"/>
            </w:tcBorders>
          </w:tcPr>
          <w:p w14:paraId="6D11300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-7</w:t>
            </w:r>
          </w:p>
        </w:tc>
        <w:tc>
          <w:tcPr>
            <w:tcW w:w="600" w:type="pct"/>
            <w:tcBorders>
              <w:top w:val="outset" w:sz="6" w:space="0" w:color="auto"/>
              <w:left w:val="outset" w:sz="6" w:space="0" w:color="auto"/>
              <w:bottom w:val="outset" w:sz="6" w:space="0" w:color="auto"/>
              <w:right w:val="outset" w:sz="6" w:space="0" w:color="auto"/>
            </w:tcBorders>
          </w:tcPr>
          <w:p w14:paraId="476CC9D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w:t>
            </w:r>
          </w:p>
        </w:tc>
        <w:tc>
          <w:tcPr>
            <w:tcW w:w="550" w:type="pct"/>
            <w:tcBorders>
              <w:top w:val="outset" w:sz="6" w:space="0" w:color="auto"/>
              <w:left w:val="outset" w:sz="6" w:space="0" w:color="auto"/>
              <w:bottom w:val="outset" w:sz="6" w:space="0" w:color="auto"/>
              <w:right w:val="outset" w:sz="6" w:space="0" w:color="auto"/>
            </w:tcBorders>
          </w:tcPr>
          <w:p w14:paraId="338857F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w:t>
            </w:r>
          </w:p>
        </w:tc>
        <w:tc>
          <w:tcPr>
            <w:tcW w:w="350" w:type="pct"/>
            <w:tcBorders>
              <w:top w:val="outset" w:sz="6" w:space="0" w:color="auto"/>
              <w:left w:val="outset" w:sz="6" w:space="0" w:color="auto"/>
              <w:bottom w:val="outset" w:sz="6" w:space="0" w:color="auto"/>
              <w:right w:val="outset" w:sz="6" w:space="0" w:color="auto"/>
            </w:tcBorders>
          </w:tcPr>
          <w:p w14:paraId="10A42356"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w:t>
            </w:r>
          </w:p>
        </w:tc>
        <w:tc>
          <w:tcPr>
            <w:tcW w:w="800" w:type="pct"/>
            <w:tcBorders>
              <w:top w:val="outset" w:sz="6" w:space="0" w:color="auto"/>
              <w:left w:val="outset" w:sz="6" w:space="0" w:color="auto"/>
              <w:bottom w:val="outset" w:sz="6" w:space="0" w:color="auto"/>
              <w:right w:val="outset" w:sz="6" w:space="0" w:color="auto"/>
            </w:tcBorders>
          </w:tcPr>
          <w:p w14:paraId="03EC43F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-7</w:t>
            </w:r>
          </w:p>
        </w:tc>
        <w:tc>
          <w:tcPr>
            <w:tcW w:w="450" w:type="pct"/>
            <w:tcBorders>
              <w:top w:val="outset" w:sz="6" w:space="0" w:color="auto"/>
              <w:left w:val="outset" w:sz="6" w:space="0" w:color="auto"/>
              <w:bottom w:val="outset" w:sz="6" w:space="0" w:color="auto"/>
              <w:right w:val="outset" w:sz="6" w:space="0" w:color="auto"/>
            </w:tcBorders>
          </w:tcPr>
          <w:p w14:paraId="19F8AE5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w:t>
            </w:r>
          </w:p>
        </w:tc>
        <w:tc>
          <w:tcPr>
            <w:tcW w:w="700" w:type="pct"/>
            <w:tcBorders>
              <w:top w:val="outset" w:sz="6" w:space="0" w:color="auto"/>
              <w:left w:val="outset" w:sz="6" w:space="0" w:color="auto"/>
              <w:bottom w:val="outset" w:sz="6" w:space="0" w:color="auto"/>
            </w:tcBorders>
          </w:tcPr>
          <w:p w14:paraId="7444A48E"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0</w:t>
            </w:r>
          </w:p>
        </w:tc>
      </w:tr>
      <w:tr w:rsidR="00B06C4A" w:rsidRPr="005C4A9D" w14:paraId="1B91FFD8" w14:textId="77777777" w:rsidTr="00B82067">
        <w:trPr>
          <w:tblCellSpacing w:w="0" w:type="dxa"/>
        </w:trPr>
        <w:tc>
          <w:tcPr>
            <w:tcW w:w="650" w:type="pct"/>
            <w:tcBorders>
              <w:top w:val="outset" w:sz="6" w:space="0" w:color="auto"/>
              <w:bottom w:val="outset" w:sz="6" w:space="0" w:color="auto"/>
              <w:right w:val="outset" w:sz="6" w:space="0" w:color="auto"/>
            </w:tcBorders>
          </w:tcPr>
          <w:p w14:paraId="5CD76C18"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w:t>
            </w:r>
          </w:p>
        </w:tc>
        <w:tc>
          <w:tcPr>
            <w:tcW w:w="350" w:type="pct"/>
            <w:tcBorders>
              <w:top w:val="outset" w:sz="6" w:space="0" w:color="auto"/>
              <w:left w:val="outset" w:sz="6" w:space="0" w:color="auto"/>
              <w:bottom w:val="outset" w:sz="6" w:space="0" w:color="auto"/>
              <w:right w:val="outset" w:sz="6" w:space="0" w:color="auto"/>
            </w:tcBorders>
          </w:tcPr>
          <w:p w14:paraId="4F5ACE4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17</w:t>
            </w:r>
          </w:p>
        </w:tc>
        <w:tc>
          <w:tcPr>
            <w:tcW w:w="550" w:type="pct"/>
            <w:tcBorders>
              <w:top w:val="outset" w:sz="6" w:space="0" w:color="auto"/>
              <w:left w:val="outset" w:sz="6" w:space="0" w:color="auto"/>
              <w:bottom w:val="outset" w:sz="6" w:space="0" w:color="auto"/>
              <w:right w:val="outset" w:sz="6" w:space="0" w:color="auto"/>
            </w:tcBorders>
          </w:tcPr>
          <w:p w14:paraId="69A75EE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-45</w:t>
            </w:r>
          </w:p>
        </w:tc>
        <w:tc>
          <w:tcPr>
            <w:tcW w:w="600" w:type="pct"/>
            <w:tcBorders>
              <w:top w:val="outset" w:sz="6" w:space="0" w:color="auto"/>
              <w:left w:val="outset" w:sz="6" w:space="0" w:color="auto"/>
              <w:bottom w:val="outset" w:sz="6" w:space="0" w:color="auto"/>
              <w:right w:val="outset" w:sz="6" w:space="0" w:color="auto"/>
            </w:tcBorders>
          </w:tcPr>
          <w:p w14:paraId="54F125E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-33</w:t>
            </w:r>
          </w:p>
        </w:tc>
        <w:tc>
          <w:tcPr>
            <w:tcW w:w="550" w:type="pct"/>
            <w:tcBorders>
              <w:top w:val="outset" w:sz="6" w:space="0" w:color="auto"/>
              <w:left w:val="outset" w:sz="6" w:space="0" w:color="auto"/>
              <w:bottom w:val="outset" w:sz="6" w:space="0" w:color="auto"/>
              <w:right w:val="outset" w:sz="6" w:space="0" w:color="auto"/>
            </w:tcBorders>
          </w:tcPr>
          <w:p w14:paraId="4247E22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13</w:t>
            </w:r>
          </w:p>
        </w:tc>
        <w:tc>
          <w:tcPr>
            <w:tcW w:w="350" w:type="pct"/>
            <w:tcBorders>
              <w:top w:val="outset" w:sz="6" w:space="0" w:color="auto"/>
              <w:left w:val="outset" w:sz="6" w:space="0" w:color="auto"/>
              <w:bottom w:val="outset" w:sz="6" w:space="0" w:color="auto"/>
              <w:right w:val="outset" w:sz="6" w:space="0" w:color="auto"/>
            </w:tcBorders>
          </w:tcPr>
          <w:p w14:paraId="5ABC378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-35</w:t>
            </w:r>
          </w:p>
        </w:tc>
        <w:tc>
          <w:tcPr>
            <w:tcW w:w="800" w:type="pct"/>
            <w:tcBorders>
              <w:top w:val="outset" w:sz="6" w:space="0" w:color="auto"/>
              <w:left w:val="outset" w:sz="6" w:space="0" w:color="auto"/>
              <w:bottom w:val="outset" w:sz="6" w:space="0" w:color="auto"/>
              <w:right w:val="outset" w:sz="6" w:space="0" w:color="auto"/>
            </w:tcBorders>
          </w:tcPr>
          <w:p w14:paraId="01AB20D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-44</w:t>
            </w:r>
          </w:p>
        </w:tc>
        <w:tc>
          <w:tcPr>
            <w:tcW w:w="450" w:type="pct"/>
            <w:tcBorders>
              <w:top w:val="outset" w:sz="6" w:space="0" w:color="auto"/>
              <w:left w:val="outset" w:sz="6" w:space="0" w:color="auto"/>
              <w:bottom w:val="outset" w:sz="6" w:space="0" w:color="auto"/>
              <w:right w:val="outset" w:sz="6" w:space="0" w:color="auto"/>
            </w:tcBorders>
          </w:tcPr>
          <w:p w14:paraId="1D16C58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-38</w:t>
            </w:r>
          </w:p>
        </w:tc>
        <w:tc>
          <w:tcPr>
            <w:tcW w:w="700" w:type="pct"/>
            <w:tcBorders>
              <w:top w:val="outset" w:sz="6" w:space="0" w:color="auto"/>
              <w:left w:val="outset" w:sz="6" w:space="0" w:color="auto"/>
              <w:bottom w:val="outset" w:sz="6" w:space="0" w:color="auto"/>
            </w:tcBorders>
          </w:tcPr>
          <w:p w14:paraId="0DA55A9D"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w:t>
            </w:r>
          </w:p>
        </w:tc>
      </w:tr>
      <w:tr w:rsidR="00B06C4A" w:rsidRPr="005C4A9D" w14:paraId="43855927" w14:textId="77777777" w:rsidTr="00B82067">
        <w:trPr>
          <w:tblCellSpacing w:w="0" w:type="dxa"/>
        </w:trPr>
        <w:tc>
          <w:tcPr>
            <w:tcW w:w="650" w:type="pct"/>
            <w:tcBorders>
              <w:top w:val="outset" w:sz="6" w:space="0" w:color="auto"/>
              <w:bottom w:val="outset" w:sz="6" w:space="0" w:color="auto"/>
              <w:right w:val="outset" w:sz="6" w:space="0" w:color="auto"/>
            </w:tcBorders>
          </w:tcPr>
          <w:p w14:paraId="4B10CDE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10</w:t>
            </w:r>
          </w:p>
        </w:tc>
        <w:tc>
          <w:tcPr>
            <w:tcW w:w="350" w:type="pct"/>
            <w:tcBorders>
              <w:top w:val="outset" w:sz="6" w:space="0" w:color="auto"/>
              <w:left w:val="outset" w:sz="6" w:space="0" w:color="auto"/>
              <w:bottom w:val="outset" w:sz="6" w:space="0" w:color="auto"/>
              <w:right w:val="outset" w:sz="6" w:space="0" w:color="auto"/>
            </w:tcBorders>
          </w:tcPr>
          <w:p w14:paraId="5EB7AE85"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17</w:t>
            </w:r>
          </w:p>
        </w:tc>
        <w:tc>
          <w:tcPr>
            <w:tcW w:w="550" w:type="pct"/>
            <w:tcBorders>
              <w:top w:val="outset" w:sz="6" w:space="0" w:color="auto"/>
              <w:left w:val="outset" w:sz="6" w:space="0" w:color="auto"/>
              <w:bottom w:val="outset" w:sz="6" w:space="0" w:color="auto"/>
              <w:right w:val="outset" w:sz="6" w:space="0" w:color="auto"/>
            </w:tcBorders>
          </w:tcPr>
          <w:p w14:paraId="47AF067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-52</w:t>
            </w:r>
          </w:p>
        </w:tc>
        <w:tc>
          <w:tcPr>
            <w:tcW w:w="600" w:type="pct"/>
            <w:tcBorders>
              <w:top w:val="outset" w:sz="6" w:space="0" w:color="auto"/>
              <w:left w:val="outset" w:sz="6" w:space="0" w:color="auto"/>
              <w:bottom w:val="outset" w:sz="6" w:space="0" w:color="auto"/>
              <w:right w:val="outset" w:sz="6" w:space="0" w:color="auto"/>
            </w:tcBorders>
          </w:tcPr>
          <w:p w14:paraId="209827D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-36</w:t>
            </w:r>
          </w:p>
        </w:tc>
        <w:tc>
          <w:tcPr>
            <w:tcW w:w="550" w:type="pct"/>
            <w:tcBorders>
              <w:top w:val="outset" w:sz="6" w:space="0" w:color="auto"/>
              <w:left w:val="outset" w:sz="6" w:space="0" w:color="auto"/>
              <w:bottom w:val="outset" w:sz="6" w:space="0" w:color="auto"/>
              <w:right w:val="outset" w:sz="6" w:space="0" w:color="auto"/>
            </w:tcBorders>
          </w:tcPr>
          <w:p w14:paraId="083D8C26"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14</w:t>
            </w:r>
          </w:p>
        </w:tc>
        <w:tc>
          <w:tcPr>
            <w:tcW w:w="350" w:type="pct"/>
            <w:tcBorders>
              <w:top w:val="outset" w:sz="6" w:space="0" w:color="auto"/>
              <w:left w:val="outset" w:sz="6" w:space="0" w:color="auto"/>
              <w:bottom w:val="outset" w:sz="6" w:space="0" w:color="auto"/>
              <w:right w:val="outset" w:sz="6" w:space="0" w:color="auto"/>
            </w:tcBorders>
          </w:tcPr>
          <w:p w14:paraId="3C3638E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-10</w:t>
            </w:r>
          </w:p>
        </w:tc>
        <w:tc>
          <w:tcPr>
            <w:tcW w:w="800" w:type="pct"/>
            <w:tcBorders>
              <w:top w:val="outset" w:sz="6" w:space="0" w:color="auto"/>
              <w:left w:val="outset" w:sz="6" w:space="0" w:color="auto"/>
              <w:bottom w:val="outset" w:sz="6" w:space="0" w:color="auto"/>
              <w:right w:val="outset" w:sz="6" w:space="0" w:color="auto"/>
            </w:tcBorders>
          </w:tcPr>
          <w:p w14:paraId="07314751"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-48</w:t>
            </w:r>
          </w:p>
        </w:tc>
        <w:tc>
          <w:tcPr>
            <w:tcW w:w="450" w:type="pct"/>
            <w:tcBorders>
              <w:top w:val="outset" w:sz="6" w:space="0" w:color="auto"/>
              <w:left w:val="outset" w:sz="6" w:space="0" w:color="auto"/>
              <w:bottom w:val="outset" w:sz="6" w:space="0" w:color="auto"/>
              <w:right w:val="outset" w:sz="6" w:space="0" w:color="auto"/>
            </w:tcBorders>
          </w:tcPr>
          <w:p w14:paraId="0889A2A8"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-42</w:t>
            </w:r>
          </w:p>
        </w:tc>
        <w:tc>
          <w:tcPr>
            <w:tcW w:w="700" w:type="pct"/>
            <w:tcBorders>
              <w:top w:val="outset" w:sz="6" w:space="0" w:color="auto"/>
              <w:left w:val="outset" w:sz="6" w:space="0" w:color="auto"/>
              <w:bottom w:val="outset" w:sz="6" w:space="0" w:color="auto"/>
            </w:tcBorders>
          </w:tcPr>
          <w:p w14:paraId="2331AB4C"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w:t>
            </w:r>
          </w:p>
        </w:tc>
      </w:tr>
      <w:tr w:rsidR="00B06C4A" w:rsidRPr="005C4A9D" w14:paraId="4C9BBFA8" w14:textId="77777777" w:rsidTr="00B82067">
        <w:trPr>
          <w:tblCellSpacing w:w="0" w:type="dxa"/>
        </w:trPr>
        <w:tc>
          <w:tcPr>
            <w:tcW w:w="650" w:type="pct"/>
            <w:tcBorders>
              <w:top w:val="outset" w:sz="6" w:space="0" w:color="auto"/>
              <w:bottom w:val="outset" w:sz="6" w:space="0" w:color="auto"/>
              <w:right w:val="outset" w:sz="6" w:space="0" w:color="auto"/>
            </w:tcBorders>
          </w:tcPr>
          <w:p w14:paraId="6DB9FF23"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20</w:t>
            </w:r>
          </w:p>
        </w:tc>
        <w:tc>
          <w:tcPr>
            <w:tcW w:w="350" w:type="pct"/>
            <w:tcBorders>
              <w:top w:val="outset" w:sz="6" w:space="0" w:color="auto"/>
              <w:left w:val="outset" w:sz="6" w:space="0" w:color="auto"/>
              <w:bottom w:val="outset" w:sz="6" w:space="0" w:color="auto"/>
              <w:right w:val="outset" w:sz="6" w:space="0" w:color="auto"/>
            </w:tcBorders>
          </w:tcPr>
          <w:p w14:paraId="137DD6F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17</w:t>
            </w:r>
          </w:p>
        </w:tc>
        <w:tc>
          <w:tcPr>
            <w:tcW w:w="550" w:type="pct"/>
            <w:tcBorders>
              <w:top w:val="outset" w:sz="6" w:space="0" w:color="auto"/>
              <w:left w:val="outset" w:sz="6" w:space="0" w:color="auto"/>
              <w:bottom w:val="outset" w:sz="6" w:space="0" w:color="auto"/>
              <w:right w:val="outset" w:sz="6" w:space="0" w:color="auto"/>
            </w:tcBorders>
          </w:tcPr>
          <w:p w14:paraId="5DAD18FF"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-55</w:t>
            </w:r>
          </w:p>
        </w:tc>
        <w:tc>
          <w:tcPr>
            <w:tcW w:w="600" w:type="pct"/>
            <w:tcBorders>
              <w:top w:val="outset" w:sz="6" w:space="0" w:color="auto"/>
              <w:left w:val="outset" w:sz="6" w:space="0" w:color="auto"/>
              <w:bottom w:val="outset" w:sz="6" w:space="0" w:color="auto"/>
              <w:right w:val="outset" w:sz="6" w:space="0" w:color="auto"/>
            </w:tcBorders>
          </w:tcPr>
          <w:p w14:paraId="54A4E938"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-40</w:t>
            </w:r>
          </w:p>
        </w:tc>
        <w:tc>
          <w:tcPr>
            <w:tcW w:w="550" w:type="pct"/>
            <w:tcBorders>
              <w:top w:val="outset" w:sz="6" w:space="0" w:color="auto"/>
              <w:left w:val="outset" w:sz="6" w:space="0" w:color="auto"/>
              <w:bottom w:val="outset" w:sz="6" w:space="0" w:color="auto"/>
              <w:right w:val="outset" w:sz="6" w:space="0" w:color="auto"/>
            </w:tcBorders>
          </w:tcPr>
          <w:p w14:paraId="5593E97A"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8</w:t>
            </w:r>
          </w:p>
        </w:tc>
        <w:tc>
          <w:tcPr>
            <w:tcW w:w="350" w:type="pct"/>
            <w:tcBorders>
              <w:top w:val="outset" w:sz="6" w:space="0" w:color="auto"/>
              <w:left w:val="outset" w:sz="6" w:space="0" w:color="auto"/>
              <w:bottom w:val="outset" w:sz="6" w:space="0" w:color="auto"/>
              <w:right w:val="outset" w:sz="6" w:space="0" w:color="auto"/>
            </w:tcBorders>
          </w:tcPr>
          <w:p w14:paraId="2670C8E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-23</w:t>
            </w:r>
          </w:p>
        </w:tc>
        <w:tc>
          <w:tcPr>
            <w:tcW w:w="800" w:type="pct"/>
            <w:tcBorders>
              <w:top w:val="outset" w:sz="6" w:space="0" w:color="auto"/>
              <w:left w:val="outset" w:sz="6" w:space="0" w:color="auto"/>
              <w:bottom w:val="outset" w:sz="6" w:space="0" w:color="auto"/>
              <w:right w:val="outset" w:sz="6" w:space="0" w:color="auto"/>
            </w:tcBorders>
          </w:tcPr>
          <w:p w14:paraId="4FD75E9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-51</w:t>
            </w:r>
          </w:p>
        </w:tc>
        <w:tc>
          <w:tcPr>
            <w:tcW w:w="450" w:type="pct"/>
            <w:tcBorders>
              <w:top w:val="outset" w:sz="6" w:space="0" w:color="auto"/>
              <w:left w:val="outset" w:sz="6" w:space="0" w:color="auto"/>
              <w:bottom w:val="outset" w:sz="6" w:space="0" w:color="auto"/>
              <w:right w:val="outset" w:sz="6" w:space="0" w:color="auto"/>
            </w:tcBorders>
          </w:tcPr>
          <w:p w14:paraId="1454B48E"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-46</w:t>
            </w:r>
          </w:p>
        </w:tc>
        <w:tc>
          <w:tcPr>
            <w:tcW w:w="700" w:type="pct"/>
            <w:tcBorders>
              <w:top w:val="outset" w:sz="6" w:space="0" w:color="auto"/>
              <w:left w:val="outset" w:sz="6" w:space="0" w:color="auto"/>
              <w:bottom w:val="outset" w:sz="6" w:space="0" w:color="auto"/>
            </w:tcBorders>
          </w:tcPr>
          <w:p w14:paraId="109F5C11"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w:t>
            </w:r>
          </w:p>
        </w:tc>
      </w:tr>
      <w:tr w:rsidR="00B06C4A" w:rsidRPr="005C4A9D" w14:paraId="3B220BF9" w14:textId="77777777" w:rsidTr="00B82067">
        <w:trPr>
          <w:tblCellSpacing w:w="0" w:type="dxa"/>
        </w:trPr>
        <w:tc>
          <w:tcPr>
            <w:tcW w:w="650" w:type="pct"/>
            <w:tcBorders>
              <w:top w:val="outset" w:sz="6" w:space="0" w:color="auto"/>
              <w:bottom w:val="outset" w:sz="6" w:space="0" w:color="auto"/>
              <w:right w:val="outset" w:sz="6" w:space="0" w:color="auto"/>
            </w:tcBorders>
          </w:tcPr>
          <w:p w14:paraId="0E1474D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40</w:t>
            </w:r>
          </w:p>
        </w:tc>
        <w:tc>
          <w:tcPr>
            <w:tcW w:w="350" w:type="pct"/>
            <w:tcBorders>
              <w:top w:val="outset" w:sz="6" w:space="0" w:color="auto"/>
              <w:left w:val="outset" w:sz="6" w:space="0" w:color="auto"/>
              <w:bottom w:val="outset" w:sz="6" w:space="0" w:color="auto"/>
              <w:right w:val="outset" w:sz="6" w:space="0" w:color="auto"/>
            </w:tcBorders>
          </w:tcPr>
          <w:p w14:paraId="41D20ECD"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18</w:t>
            </w:r>
          </w:p>
        </w:tc>
        <w:tc>
          <w:tcPr>
            <w:tcW w:w="550" w:type="pct"/>
            <w:tcBorders>
              <w:top w:val="outset" w:sz="6" w:space="0" w:color="auto"/>
              <w:left w:val="outset" w:sz="6" w:space="0" w:color="auto"/>
              <w:bottom w:val="outset" w:sz="6" w:space="0" w:color="auto"/>
              <w:right w:val="outset" w:sz="6" w:space="0" w:color="auto"/>
            </w:tcBorders>
          </w:tcPr>
          <w:p w14:paraId="328EB40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-63</w:t>
            </w:r>
          </w:p>
        </w:tc>
        <w:tc>
          <w:tcPr>
            <w:tcW w:w="600" w:type="pct"/>
            <w:tcBorders>
              <w:top w:val="outset" w:sz="6" w:space="0" w:color="auto"/>
              <w:left w:val="outset" w:sz="6" w:space="0" w:color="auto"/>
              <w:bottom w:val="outset" w:sz="6" w:space="0" w:color="auto"/>
              <w:right w:val="outset" w:sz="6" w:space="0" w:color="auto"/>
            </w:tcBorders>
          </w:tcPr>
          <w:p w14:paraId="279C4290"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-46</w:t>
            </w:r>
          </w:p>
        </w:tc>
        <w:tc>
          <w:tcPr>
            <w:tcW w:w="550" w:type="pct"/>
            <w:tcBorders>
              <w:top w:val="outset" w:sz="6" w:space="0" w:color="auto"/>
              <w:left w:val="outset" w:sz="6" w:space="0" w:color="auto"/>
              <w:bottom w:val="outset" w:sz="6" w:space="0" w:color="auto"/>
              <w:right w:val="outset" w:sz="6" w:space="0" w:color="auto"/>
            </w:tcBorders>
          </w:tcPr>
          <w:p w14:paraId="30B24AA2"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10</w:t>
            </w:r>
          </w:p>
        </w:tc>
        <w:tc>
          <w:tcPr>
            <w:tcW w:w="350" w:type="pct"/>
            <w:tcBorders>
              <w:top w:val="outset" w:sz="6" w:space="0" w:color="auto"/>
              <w:left w:val="outset" w:sz="6" w:space="0" w:color="auto"/>
              <w:bottom w:val="outset" w:sz="6" w:space="0" w:color="auto"/>
              <w:right w:val="outset" w:sz="6" w:space="0" w:color="auto"/>
            </w:tcBorders>
          </w:tcPr>
          <w:p w14:paraId="42E5E4CB"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-28</w:t>
            </w:r>
          </w:p>
        </w:tc>
        <w:tc>
          <w:tcPr>
            <w:tcW w:w="800" w:type="pct"/>
            <w:tcBorders>
              <w:top w:val="outset" w:sz="6" w:space="0" w:color="auto"/>
              <w:left w:val="outset" w:sz="6" w:space="0" w:color="auto"/>
              <w:bottom w:val="outset" w:sz="6" w:space="0" w:color="auto"/>
              <w:right w:val="outset" w:sz="6" w:space="0" w:color="auto"/>
            </w:tcBorders>
          </w:tcPr>
          <w:p w14:paraId="08872594"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-60</w:t>
            </w:r>
          </w:p>
        </w:tc>
        <w:tc>
          <w:tcPr>
            <w:tcW w:w="450" w:type="pct"/>
            <w:tcBorders>
              <w:top w:val="outset" w:sz="6" w:space="0" w:color="auto"/>
              <w:left w:val="outset" w:sz="6" w:space="0" w:color="auto"/>
              <w:bottom w:val="outset" w:sz="6" w:space="0" w:color="auto"/>
              <w:right w:val="outset" w:sz="6" w:space="0" w:color="auto"/>
            </w:tcBorders>
          </w:tcPr>
          <w:p w14:paraId="43B94C79"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-54</w:t>
            </w:r>
          </w:p>
        </w:tc>
        <w:tc>
          <w:tcPr>
            <w:tcW w:w="700" w:type="pct"/>
            <w:tcBorders>
              <w:top w:val="outset" w:sz="6" w:space="0" w:color="auto"/>
              <w:left w:val="outset" w:sz="6" w:space="0" w:color="auto"/>
              <w:bottom w:val="outset" w:sz="6" w:space="0" w:color="auto"/>
            </w:tcBorders>
          </w:tcPr>
          <w:p w14:paraId="36B79027" w14:textId="77777777" w:rsidR="00B06C4A" w:rsidRPr="005C4A9D" w:rsidRDefault="00B06C4A" w:rsidP="00382943">
            <w:pPr>
              <w:spacing w:after="0" w:line="240" w:lineRule="auto"/>
              <w:jc w:val="center"/>
              <w:rPr>
                <w:rFonts w:ascii="Times New Roman" w:hAnsi="Times New Roman"/>
                <w:noProof/>
                <w:lang w:val="ka-GE"/>
              </w:rPr>
            </w:pPr>
            <w:r w:rsidRPr="005C4A9D">
              <w:rPr>
                <w:rFonts w:ascii="Times New Roman" w:hAnsi="Times New Roman"/>
                <w:noProof/>
                <w:lang w:val="ka-GE"/>
              </w:rPr>
              <w:t>0</w:t>
            </w:r>
          </w:p>
        </w:tc>
      </w:tr>
    </w:tbl>
    <w:p w14:paraId="24322733" w14:textId="77777777" w:rsidR="00B06C4A" w:rsidRPr="005C4A9D" w:rsidRDefault="00B06C4A" w:rsidP="00382943">
      <w:pPr>
        <w:spacing w:after="0" w:line="240" w:lineRule="auto"/>
        <w:rPr>
          <w:rFonts w:ascii="Sylfaen" w:eastAsia="Arial Unicode MS" w:hAnsi="Sylfaen"/>
          <w:noProof/>
          <w:lang w:val="ka-GE"/>
        </w:rPr>
      </w:pPr>
    </w:p>
    <w:p w14:paraId="33169DE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თერაპიული ეფექტი მიიღწევა მკურნალობის დაწყებიდან 1 კვირის განმავლობაში და მაქსიმალური რეაქციის 90% მიიღწევა 2 კვირაში. მაქსიმალური რეაქციის მიღწევა, როგორც წესი, 4 კვირის განმავლობაში ხდება და ამის შემდეგაც ნარჩუნდება.</w:t>
      </w:r>
    </w:p>
    <w:p w14:paraId="05B4809C" w14:textId="77777777" w:rsidR="00B06C4A" w:rsidRPr="005C4A9D" w:rsidRDefault="00B06C4A" w:rsidP="00382943">
      <w:pPr>
        <w:spacing w:after="0" w:line="240" w:lineRule="auto"/>
        <w:jc w:val="both"/>
        <w:rPr>
          <w:rFonts w:ascii="Sylfaen" w:eastAsia="Arial Unicode MS" w:hAnsi="Sylfaen"/>
          <w:noProof/>
          <w:lang w:val="ka-GE"/>
        </w:rPr>
      </w:pPr>
    </w:p>
    <w:p w14:paraId="78B6A467" w14:textId="77777777" w:rsidR="00B06C4A" w:rsidRPr="005C4A9D" w:rsidRDefault="00B06C4A" w:rsidP="00382943">
      <w:pPr>
        <w:spacing w:after="0" w:line="240" w:lineRule="auto"/>
        <w:jc w:val="both"/>
        <w:rPr>
          <w:rFonts w:ascii="Sylfaen" w:eastAsia="Arial Unicode MS" w:hAnsi="Sylfaen"/>
          <w:b/>
          <w:noProof/>
          <w:lang w:val="ka-GE"/>
        </w:rPr>
      </w:pPr>
      <w:r w:rsidRPr="005C4A9D">
        <w:rPr>
          <w:rFonts w:ascii="Sylfaen" w:eastAsia="Arial Unicode MS" w:hAnsi="Sylfaen"/>
          <w:b/>
          <w:noProof/>
          <w:lang w:val="ka-GE"/>
        </w:rPr>
        <w:t>კლინიკური ეფექტურობა და უსაფრთხოება</w:t>
      </w:r>
    </w:p>
    <w:p w14:paraId="2898AF0F" w14:textId="54054279"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ეფექტურია ჰიპერქოლესტერინემიის მქონე მოზრდილებში, ჰიპერტრიგლიცერიდემიით და მის გარეშე, რასის, სქესის ან ასაკის მიუხედავად, ასევე სპეციალურ პოპულაციებში, როგორიცაა დიაბეტით დაავადებულები ან ოჯახური ჰიპერქოლესტერინემიის მქონე პაციენტები.</w:t>
      </w:r>
    </w:p>
    <w:p w14:paraId="0480AC3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III ფაზის გაერთიანებული მონაცემებიდან გამომდინარე, სიროსტინი 20 ეფექტურია IIa და IIb ტიპის ჰიპერქოლესტერინემიის მქონე პაციენტების უმრავლესობის სამკურნალოდ (საშუალო საწყისი LDL-C დაახლოებით 4.8 მმოლ/ლ) ევროპის ათეროსკლეროზის საზოგადოების (EAS; 1998) აღიარებული სახელმძღვანელოს მიზნების შესაბამისად; 10 მგ-ით ნამკურნალები პაციენტების დაახლოებით 80%-მა მიაღწია EAS-ის მიზნებს LDL-C დონისთვის (&lt;3 მმოლ/ლ).</w:t>
      </w:r>
    </w:p>
    <w:p w14:paraId="575B84AF"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ფართომასშტაბიან კვლევაში, ჰეტეროზიგოტური ოჯახური ჰიპერქოლესტერინემიის მქონე 435 პაციენტს ფორსირებული ტიტრაციის მეთოდით სიროსტინი 20 მგ-დან 80 მგ-მდე მიეცა. ყველა დოზამ აჩვენა სასარგებლო გავლენა ლიპიდურ პარამეტრებზე და მკურნალობის მიზნობრივ მიზნებამდე მიღწევაზე. 40 მგ დღიურ დოზამდე ტიტრაციის შემდეგ (მკურნალობის 12 კვირა), LDL-C შემცირდა 53%-ით. პაციენტების ოცდაცამეტი პროცენტი (33%) LDL-C დონის EAS გაიდლაინებს (&lt;3 მმოლ/ლ) შეასრულა.</w:t>
      </w:r>
    </w:p>
    <w:p w14:paraId="6CFE0B1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ფორსირებული ტიტრაციის, ღია კვლევაში, ჰომოზიგოტური ოჯახური ჰიპერქოლესტერინემიის მქონე 42 პაციენტი (მათ შორის 8 პედიატრიული პაციენტი) შეფასდა სიროსტინი 20 20-40 მგ-ზე მათი რეაქციის მიხედვით. საერთო პოპულაციაში LDL-C-ის საშუალო შემცირება 22% იყო. შეზღუდული რაოდენობის პაციენტების მონაწილეობით ჩატარებულ კლინიკურ კვლევებში, სიროსტინი 20-ს ფენოფიბრატთან კომბინაციაში გამოყენებისას ტრიგლიცერიდების შემცირების და ნიაცინთან კომბინაციაში მაღალი სიმკვრივის ლიპოპროტეინების დონის მატების დამატებითი ეფექტურობა აღენიშნებოდა (იხ. ნაწილი 4.4).</w:t>
      </w:r>
    </w:p>
    <w:p w14:paraId="25D16D0F" w14:textId="77777777" w:rsidR="000E0D37"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მრავალცენტრულ, ორმაგად ბრმა, პლაცებო-კონტროლირებად კლინიკურ კვლევაში (METEOR), 45-დან 70 წლამდე ასაკის 984 პაციენტი, რომლებსაც გულის კორონარული დაავადების დაბალი რისკი ჰქონდათ (განისაზღვრა, როგორც ფრემინგემის რისკი &lt;10% 10 წელზე მეტი ხნის განმავლობაში), საშუალო დაბალი სიმკვრივის ლიპოპროტეინების 4.0 მმოლ/ლ (154.5 მგ/დლ) შემცველობით, მაგრამ სუბკლინიკური ათეროსკლეროზით (გამოვლენილი საძილე არტერიის ინტიმის შუა ნაწილის სისქით), შემთხვევითი შერჩევის პრინციპით შეირჩნენ 40 მგ როზუვასტატინის მიღებაზე დღეში ერთხელ ან პლაცებოზე 2 წლის განმავლობაში. როზუვასტატინმა მნიშვნელოვნად შეანელა მაქსიმალური CIMT-ის პროგრესირების ტემპი 12 საძილე არტერიის ადგილას პლაცებოსთან შედარებით -0.0145 მმ/წელიწადში [95%-იანი სანდოობის ინტერვალი -0.0196, -0.0093; p&lt;0.0001]. როზუვასტატინის შემთხვევაში საწყისი დონიდან ცვლილება იყო -0.0014 მმ/წელიწადში (-0.12%/წელიწადში (არამნიშვნელოვანი)), პლაცებოს შემთხვევაში კი +0.0131 მმ/წელიწადში (1.12%/წელიწადში (p&lt;0.0001)) პროგრესირებასთან შედარებით. CIMT-ის შემცირებასა და გულ-სისხლძარღვთა მოვლენების რისკის შემცირებას შორის პირდაპირი კორელაცია ჯერ არ დადასტურებულა. METEOR-ში შესწავლილი პოპულაცია გულის კორონარული დაავადების დაბალი რისკის მქონეა და არ წარმოადგენს სიროსტინი 20 მგ-ის სამიზნე პოპულაციას. 40 მგ დოზა უნდა </w:t>
      </w:r>
      <w:r w:rsidRPr="005C4A9D">
        <w:rPr>
          <w:rFonts w:ascii="Sylfaen" w:eastAsia="Arial Unicode MS" w:hAnsi="Sylfaen"/>
          <w:noProof/>
          <w:lang w:val="ka-GE"/>
        </w:rPr>
        <w:lastRenderedPageBreak/>
        <w:t xml:space="preserve">დაინიშნოს მხოლოდ მძიმე ჰიპერქოლესტერინემიის მქონე პაციენტებში, რომლებსაც აქვთ მაღალი გულ-სისხლძარღვთა რისკი (იხილეთ ნაწილი 4.2). </w:t>
      </w:r>
    </w:p>
    <w:p w14:paraId="68FC18D7" w14:textId="68D3F100"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კვლევაში „სტატინების გამოყენების დასაბუთება პირველად პრევენციაში: როზუვასტატინის შეფასების ინტერვენციული კვლევა“ (JUPITER), როზუვასტატინის გავლენა ძირითადი ათეროსკლეროზული გულ-სისხლძარღვთა დაავადებების შემთხვევების სიხშირეზე შეფასდა 17,802 მამაკაცში (≥ 50 წელი) და ქალში (≥ 60 წელი).</w:t>
      </w:r>
    </w:p>
    <w:p w14:paraId="2A51E5D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კვლევის მონაწილეები შემთხვევითობის პრინციპით შეირჩნენ პლაცებოზე (n=8901) ან როზუვასტატინზე 20 მგ დღეში ერთხელ (n=8901) და მათზე საშუალოდ 2 წლის განმავლობაში მიმდინარეობდა დაკვირვება.</w:t>
      </w:r>
    </w:p>
    <w:p w14:paraId="22EA6A7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როზუვასტატინის ჯგუფში LDL-ქოლესტერინის კონცენტრაცია პლაცებო ჯგუფთან შედარებით 45%-ით შემცირდა (p&lt;0.001).</w:t>
      </w:r>
    </w:p>
    <w:p w14:paraId="1603A53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ფრამინგჰემის რისკის ქულის მქონე &gt;20%-იანი (1558 სუბიექტი) მაღალი რისკის მქონე სუბიექტების პოსტ-ჰოკ ანალიზში როზუვასტატინით მკურნალობისას პლაცებოსთან შედარებით მნიშვნელოვნად შემცირდა გულ-სისხლძარღვთა დაავადებებით გამოწვეული სიკვდილის, ინსულტის და მიოკარდიუმის ინფარქტის კომბინირებული საბოლოო წერტილი (p=0.028). შემთხვევების მაჩვენებლის აბსოლუტური რისკის შემცირება 1000 პაციენტ-წელზე შეადგენდა 8.8-ს. ამ მაღალი რისკის ჯგუფში საერთო სიკვდილიანობა უცვლელი დარჩა (p=0.193). 65 წელზე უფროსი ასაკის სუბიექტების მოცვის მიზნით, როზუვასტატინით მკურნალობისას მაღალი რისკის მქონე სუბიექტების (სულ 9302 სუბიექტი) პოსტ-ჰოკ ანალიზში პლაცებოსთან შედარებით მნიშვნელოვნად შემცირდა გულ-სისხლძარღვთა დაავადებებით გამოწვეული სიკვდილის, ინსულტის და მიოკარდიუმის ინფარქტის კომბინირებული საბოლოო წერტილი (p=0.0003). შემთხვევების მაჩვენებლის აბსოლუტური რისკის შემცირება 1000 პაციენტ-წელზე 5.1 იყო. ამ მაღალი რისკის ჯგუფში საერთო სიკვდილიანობა უცვლელი დარჩა (p=0.076).</w:t>
      </w:r>
    </w:p>
    <w:p w14:paraId="4E685B9B" w14:textId="77777777" w:rsidR="000E0D37"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 xml:space="preserve">JUPITER კვლევაში, როზუვასტატინის 6.6%-მა და პლაცებოს 6.2%-მა შეწყვიტა კვლევის მედიკამენტის გამოყენება გვერდითი მოვლენის გამო. მკურნალობის შეწყვეტის მიზეზი ყველაზე გავრცელებული გვერდითი მოვლენები იყო: მიალგია (0.3% როზუვასტატინი, 0.2% პლაცებო), მუცლის ტკივილი (0.03% როზუვასტატინი, 0.02% პლაცებო) და გამონაყარი (0.02% როზუვასტატინი, 0.03% პლაცებო). პლაცებოსთან შედარებით მეტი ან ტოლი სიხშირით ყველაზე გავრცელებული გვერდითი მოვლენები იყო საშარდე გზების ინფექცია (8.7% როზუვასტატინი, 8.6% პლაცებო), ნაზოფარინგიტი (7.6% როზუვასტატინი, 7.2% პლაცებო), ზურგის ტკივილი (7.6% როზუვასტატინი, 6.9% პლაცებო) და მიალგია (7.6% როზუვასტატინი, 6.6% პლაცებო). </w:t>
      </w:r>
    </w:p>
    <w:p w14:paraId="026C2D06" w14:textId="77777777" w:rsidR="005F062D" w:rsidRDefault="005F062D" w:rsidP="00382943">
      <w:pPr>
        <w:spacing w:after="0" w:line="240" w:lineRule="auto"/>
        <w:jc w:val="both"/>
        <w:rPr>
          <w:rFonts w:ascii="Sylfaen" w:eastAsia="Arial Unicode MS" w:hAnsi="Sylfaen"/>
          <w:noProof/>
          <w:lang w:val="ka-GE"/>
        </w:rPr>
      </w:pPr>
    </w:p>
    <w:p w14:paraId="24E5C8C2" w14:textId="6E51AD0A" w:rsidR="00B06C4A" w:rsidRPr="000E0D37" w:rsidRDefault="00B06C4A" w:rsidP="00382943">
      <w:pPr>
        <w:spacing w:after="0" w:line="240" w:lineRule="auto"/>
        <w:jc w:val="both"/>
        <w:rPr>
          <w:rFonts w:ascii="Sylfaen" w:eastAsia="Arial Unicode MS" w:hAnsi="Sylfaen"/>
          <w:b/>
          <w:bCs/>
          <w:noProof/>
          <w:lang w:val="ka-GE"/>
        </w:rPr>
      </w:pPr>
      <w:r w:rsidRPr="000E0D37">
        <w:rPr>
          <w:rFonts w:ascii="Sylfaen" w:eastAsia="Arial Unicode MS" w:hAnsi="Sylfaen"/>
          <w:b/>
          <w:bCs/>
          <w:noProof/>
          <w:lang w:val="ka-GE"/>
        </w:rPr>
        <w:t>პედიატრიული პოპულაცია</w:t>
      </w:r>
    </w:p>
    <w:p w14:paraId="1E538089"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ორმაგად ბრმა, რანდომიზებულ, მრავალცენტრიან, პლაცებო-კონტროლირებად, 12-კვირიან კვლევაში (n=176, 97 მამაკაცი და 79 ქალი), რასაც მოჰყვა 40-კვირიანი (n=173, 96 მამაკაცი და 77 ქალი), ღია, როზუვასტატინის დოზის ტიტრაციის ფაზა, 10-დან 17 წლამდე ასაკის პაციენტები (ტანერის სტადია II-V, ქალები მენარქედან მინიმუმ 1 წლის შემდეგ) ჰეტეროზიგოტური ოჯახური ჰიპერქოლესტერინემიით იღებდნენ როზუვასტატინს 5, 10 ან 20 მგ ან პლაცებოს ყოველდღიურად 12 კვირის განმავლობაში და შემდეგ ყველა იღებდა როზუვასტატინს ყოველდღიურად 40 კვირის განმავლობაში. კვლევაში ჩართვისას, პაციენტების დაახლოებით 30% იყო 10-დან 13 წლამდე ასაკის და დაახლოებით 17%, 18%, 40% და 25% იყო ტანერის სტადია II, III, IV და V, შესაბამისად. როზუვასტატინის 5, 10 და 20 მგ მიღებისას LDL-C შემცირდა შესაბამისად 38.3%-ით, 44.6%-ით და 50.0%-ით, პლაცებოს 0.7%-თან შედარებით.</w:t>
      </w:r>
    </w:p>
    <w:p w14:paraId="0476DB3E"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40-კვირიანი, ღია ეტიკეტირების, მიზნის მისაღწევად ტიტრაციის ბოლოს, დღეში ერთხელ მაქსიმუმ 20 მგ დოზით, 173 პაციენტიდან 70-მა (40.5%) მიაღწია LDL-C მიზნობრივ დონეს, რომელიც 2.8 მმოლ/ლ-ზე ნაკლები იყო.</w:t>
      </w:r>
    </w:p>
    <w:p w14:paraId="5EC59A5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კვლევით მკურნალობის 52 კვირის შემდეგ, ზრდაზე, წონაზე, BMI-ზე ან სქესობრივ მომწიფებაზე გავლენა არ დაფიქსირებულა (იხილეთ ნაწილი 4.4). ეს კვლევა (n=176) არ იყო შესაფერისი იშვიათი გვერდითი მოვლენების შესადარებლად.</w:t>
      </w:r>
    </w:p>
    <w:p w14:paraId="5DBEB3A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 ასევე შესწავლილი იყო 2-წლიან ღია ეტიკეტირების, მიზნის მისაღწევად ტიტრაციის კვლევაში, რომელშიც მონაწილეობდა 6-დან 17 წლამდე ასაკის 198 ბავშვი ჰეტეროზიგოტური ოჯახური ჰიპერქოლესტერინემიით (88 მამაკაცი და 110 ქალი, ტანერის სტადია &lt;II-V). ყველა პაციენტისთვის საწყისი დოზა იყო 5 მგ როზუვასტატინი დღეში ერთხელ. 6-დან 9 წლამდე ასაკის პაციენტებს (n=64) შეეძლოთ ტიტრაცია მაქსიმალურ დოზამდე 10 მგ დღეში ერთხელ, ხოლო 10-დან 17 წლამდე ასაკის პაციენტებს (n=134) მაქსიმალურ დოზამდე 20 მგ დღეში ერთხელ.</w:t>
      </w:r>
    </w:p>
    <w:p w14:paraId="77FEE269"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lastRenderedPageBreak/>
        <w:t>როზუვასტატინით 24-თვიანი მკურნალობის შემდეგ, დაბალი სიმკვრივის ლიპოპროტეინების (LDL-C) საბაზისო მაჩვენებლიდან საშუალო პროცენტული შემცირების LS მაჩვენებელი იყო -43% (საწყისი: 236 მგ/დლ, 24-ე თვე: 133 მგ/დლ). თითოეული ასაკობრივი ჯგუფისთვის, LDL-C-ის საშუალო პროცენტული შემცირება საბაზისო მნიშვნელობებთან შედარებით LS საშუალო პროცენტული მაჩვენებლით იყო -43% (საბაზისო: 234 მგ/დლ, 24-ე თვე: 124 მგ/დლ), -45% (საბაზისო: 234 მგ/დლ, 24-ე თვე: 124 მგ/დლ) და -35% (საბაზისო: 241 მგ/დლ, 24-ე თვე: 153 მგ/დლ) შესაბამისად, 6-დან &lt;10 წლამდე, 10-დან &lt;14 წლამდე და 14-დან &lt;18 წლამდე ასაკობრივ ჯგუფებში.</w:t>
      </w:r>
    </w:p>
    <w:p w14:paraId="0840C0B2"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როზუვასტატინმა 5 მგ, 10 მგ და 20 მგ ასევე მიაღწია სტატისტიკურად მნიშვნელოვან საშუალო ცვლილებებს საბაზისო მნიშვნელობიდან შემდეგი მეორადი ლიპიდური და ლიპოპროტეინების ცვლადებისთვის: HDL-C, TC, არა-HDL-C, LDL-C/HDL-C, TC/HDL-C, TG/HDL-C, არა-HDL C/HDL-C, ApoB, ApoB/ApoA-1. ეს ცვლილებები ლიპიდური რეაქციების გაუმჯობესებისკენ იყო მიმართული და 2 წლის განმავლობაში შენარჩუნდა.</w:t>
      </w:r>
    </w:p>
    <w:p w14:paraId="372D2B88"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24-თვიანი მკურნალობის შემდეგ ზრდაზე, წონაზე, სხეულის მასის ინდექსზე ან სქესობრივ მომწიფებაზე გავლენა არ დაფიქსირებულა (იხ. ნაწილი 4.4).</w:t>
      </w:r>
    </w:p>
    <w:p w14:paraId="5AEBC31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როზუვასტატინი შესწავლილი იქნა რანდომიზებულ, ორმაგად ბრმა, პლაცებო-კონტროლირებად, მულტიცენტრულ, ჯვარედინი კვლევის ფარგლებში, 20 მგ დღეში ერთხელ პლაცებოსთან შედარებით, 14 ბავშვსა და მოზარდში (6-დან 17 წლამდე ასაკის), რომლებსაც აღენიშნებოდათ ჰომოზიგოტური ოჯახური ჰიპერქოლესტერინემია. კვლევა მოიცავდა აქტიურ 4-კვირიან დიეტურ შესავალ ფაზას, რომლის დროსაც პაციენტები მკურნალობდნენ როზუვასტატინით 10 მგ, ჯვარედინი ფაზას, რომელიც შედგებოდა 6-კვირიანი მკურნალობის პერიოდისგან როზუვასტატინით 20 მგ, რასაც წინ უძღოდა ან მოჰყვებოდა 6-კვირიანი პლაცებოთი მკურნალობის პერიოდი, და 12-კვირიანი შემანარჩუნებელი ფაზისგან, რომლის დროსაც ყველა პაციენტი მკურნალობდა როზუვასტატინით 20 მგ. პაციენტები, რომლებიც კვლევაში შევიდნენ ეზეტიმიბით ან აფერეზით თერაპიაზე, მკურნალობას მთელი კვლევის განმავლობაში აგრძელებდნენ. როზუვასტატინით 20 მგ-ით 6 კვირის განმავლობაში პლაცებოსთან შედარებით მკურნალობის შემდეგ დაფიქსირდა LDL-C-ის სტატისტიკურად მნიშვნელოვანი (p=0.005) შემცირება (22.3%, 85.4 მგ/დლ ან 2.2 მმოლ/ლ). დაფიქსირდა საერთო-C-ის (20.1%, p=0.003), არა-HDL-C-ის (22.9%, p=0.003) და ApoB-ის (17.1%, p=0.024) სტატისტიკურად მნიშვნელოვანი შემცირება. როზუვასტატინით 20 მგ-ით 6 კვირის განმავლობაში პლაცებოსთან შედარებით მკურნალობის შემდეგ ასევე დაფიქსირდა TG, LDL-C/HDL-C, საერთო-C/HDL-C, არა-HDL-C/HDL-C და ApoB/ApoA-1-ის შემცირება. პლაცებოთი 6 კვირის განმავლობაში მკურნალობის შემდეგ, როზუვასტატინით 20 მგ-ით 6 კვირის განმავლობაში მკურნალობის შემდეგ, LDL-C-ის შემცირება შენარჩუნდა უწყვეტი თერაპიის 12 კვირის განმავლობაში. ერთ პაციენტს 40 მგ დოზით 6 კვირის შემდეგ, დოზის გაზრდის შემდეგ, აღენიშნებოდა LDL-C (8.0%), საერთო-C (6.7%) და არა-HDL-C (7.4%) დონის შემდგომი შემცირება.</w:t>
      </w:r>
    </w:p>
    <w:p w14:paraId="21A83C8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ამ პაციენტებიდან 9-ში, 20 მგ როზუვასტატინით 90 კვირამდე ხანგრძლივი ღია მკურნალობის დროს, LDL-C-ის შემცირება შენარჩუნდა -12.1%-დან -21.3%-მდე დიაპაზონში.</w:t>
      </w:r>
    </w:p>
    <w:p w14:paraId="4E269B20" w14:textId="77777777" w:rsidR="00B06C4A"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7 შეფასებადი ბავშვისა და მოზარდის შემთხვევაში (8-დან 17 წლამდე ასაკის), რომლებიც მონაწილეობდნენ ჰომოზიგოტური ოჯახური ჰიპერქოლესტერინემიის მქონე პაციენტებში ფორსირებული ტიტრაციის ღია კვლევაში (იხ. ზემოთ), LDL-C-ის (21.0%), საერთო-C (19.2%) და არა-HDL-C (21.0%) პროცენტული შემცირება საწყის დონესთან შედარებით 20 მგ როზუვასტატინით 6 კვირის შემდეგ შეესაბამებოდა ზემოთ აღნიშნულ კვლევაში დაფიქსირებულ მაჩვენებელს, რომელიც დაფიქსირდა ჰომოზიგოტური ოჯახური ჰიპერქოლესტერინემიის მქონე ბავშვებსა და მოზარდებში. ევროპის მედიკამენტების სააგენტომ გააუქმა ვალდებულება, წარმოადგინოს როზუვასტატინით ჩატარებული კვლევების შედეგები პედიატრიული პოპულაციის ყველა ქვეჯგუფში ჰომოზიგოტური ოჯახური ჰიპერქოლესტერინემიის, პირველადი კომბინირებული (შერეული) დისლიპიდემიის მკურნალობისა და გულ-სისხლძარღვთა მოვლენების პრევენციის დროს (პედიატრიული გამოყენების შესახებ ინფორმაციისთვის იხილეთ ნაწილი 4.2).</w:t>
      </w:r>
    </w:p>
    <w:p w14:paraId="324752C2" w14:textId="77777777" w:rsidR="005F062D" w:rsidRPr="005C4A9D" w:rsidRDefault="005F062D" w:rsidP="00382943">
      <w:pPr>
        <w:spacing w:after="0" w:line="240" w:lineRule="auto"/>
        <w:jc w:val="both"/>
        <w:rPr>
          <w:rFonts w:ascii="Sylfaen" w:eastAsia="Arial Unicode MS" w:hAnsi="Sylfaen"/>
          <w:noProof/>
          <w:lang w:val="ka-GE"/>
        </w:rPr>
      </w:pPr>
    </w:p>
    <w:p w14:paraId="3A19E82D" w14:textId="77777777" w:rsidR="00B06C4A" w:rsidRPr="005F062D" w:rsidRDefault="00B06C4A" w:rsidP="00382943">
      <w:pPr>
        <w:spacing w:after="0" w:line="240" w:lineRule="auto"/>
        <w:jc w:val="both"/>
        <w:rPr>
          <w:rFonts w:ascii="Sylfaen" w:eastAsia="Arial Unicode MS" w:hAnsi="Sylfaen"/>
          <w:b/>
          <w:bCs/>
          <w:noProof/>
          <w:lang w:val="ka-GE"/>
        </w:rPr>
      </w:pPr>
      <w:r w:rsidRPr="005F062D">
        <w:rPr>
          <w:rFonts w:ascii="Sylfaen" w:eastAsia="Arial Unicode MS" w:hAnsi="Sylfaen"/>
          <w:b/>
          <w:bCs/>
          <w:noProof/>
          <w:lang w:val="ka-GE"/>
        </w:rPr>
        <w:t>5.2 ფარმაკოკინეტიკური თვისებები</w:t>
      </w:r>
    </w:p>
    <w:p w14:paraId="0EECE01D"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შეწოვა:</w:t>
      </w:r>
      <w:r w:rsidRPr="005C4A9D">
        <w:rPr>
          <w:rFonts w:ascii="Sylfaen" w:eastAsia="Arial Unicode MS" w:hAnsi="Sylfaen"/>
          <w:noProof/>
          <w:lang w:val="ka-GE"/>
        </w:rPr>
        <w:t xml:space="preserve"> როზუვასტატინის მაქსიმალური პლაზმური კონცენტრაცია მიიღწევა პერორალური მიღებიდან დაახლოებით 5 საათის შემდეგ. აბსოლუტური ბიოშეღწევადობა დაახლოებით 20%-ია.</w:t>
      </w:r>
    </w:p>
    <w:p w14:paraId="305E833D"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lastRenderedPageBreak/>
        <w:t xml:space="preserve">განაწილება: </w:t>
      </w:r>
      <w:r w:rsidRPr="005C4A9D">
        <w:rPr>
          <w:rFonts w:ascii="Sylfaen" w:eastAsia="Arial Unicode MS" w:hAnsi="Sylfaen"/>
          <w:noProof/>
          <w:lang w:val="ka-GE"/>
        </w:rPr>
        <w:t>როზუვასტატინი ფართოდ შეიწოვება ღვიძლის მიერ, რომელიც ქოლესტერინის სინთეზის და LDL-C კლირენსის ძირითადი ადგილია. როზუვასტატინის განაწილების მოცულობა დაახლოებით 134 ლიტრია. როზუვასტატინის დაახლოებით 90% უკავშირდება პლაზმის ცილებს, ძირითადად ალბუმინს.</w:t>
      </w:r>
    </w:p>
    <w:p w14:paraId="34DD98AC"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მეტაბოლიზმი:</w:t>
      </w:r>
      <w:r w:rsidRPr="005C4A9D">
        <w:rPr>
          <w:rFonts w:ascii="Sylfaen" w:eastAsia="Arial Unicode MS" w:hAnsi="Sylfaen"/>
          <w:noProof/>
          <w:lang w:val="ka-GE"/>
        </w:rPr>
        <w:t xml:space="preserve"> როზუვასტატინი განიცდის შეზღუდულ მეტაბოლიზმს (დაახლოებით 10%). ადამიანის ჰეპატოციტების გამოყენებით ჩატარებული მეტაბოლიზმის in vitro კვლევები მიუთითებს, რომ როზუვასტატინი წარმოადგენს ციტოქრომ P450-ზე დაფუძნებული მეტაბოლიზმის სუსტ სუბსტრატს. CYP2C9 იყო ძირითადი იზოფერმენტი, ხოლო 2C19, 3A4 და 2D6 ნაკლებად მონაწილეობდნენ. ძირითადი მეტაბოლიტები, რომლებიც იდენტიფიცირებულია, არის N-დესმეთილის და ლაქტონის მეტაბოლიტები. N-დესმეთილის მეტაბოლიტი დაახლოებით 50%-ით ნაკლებად აქტიურია, ვიდრე როზუვასტატინი, მაშინ როდესაც ლაქტონის ფორმა კლინიკურად არააქტიურად ითვლება. როზუვასტატინი მოცირკულირე HMG-CoA რედუქტაზას ინჰიბიტორის აქტივობის 90%-ზე მეტს შეადგენს.</w:t>
      </w:r>
    </w:p>
    <w:p w14:paraId="3436CC56"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 xml:space="preserve">გამოყოფა: </w:t>
      </w:r>
      <w:r w:rsidRPr="005C4A9D">
        <w:rPr>
          <w:rFonts w:ascii="Sylfaen" w:eastAsia="Arial Unicode MS" w:hAnsi="Sylfaen"/>
          <w:noProof/>
          <w:lang w:val="ka-GE"/>
        </w:rPr>
        <w:t>როზუვასტატინის დოზის დაახლოებით 90% გამოიყოფა უცვლელი სახით განავალთან ერთად (შეწოვილი და შეუწოვი აქტიური ნივთიერებისგან), ხოლო დარჩენილი ნაწილი გამოიყოფა შარდთან ერთად. დაახლოებით 5% გამოიყოფა უცვლელი სახით შარდთან ერთად. პლაზმიდან ნახევარგამოყოფის პერიოდი დაახლოებით 19 საათია. ნახევარგამოყოფის პერიოდი არ იზრდება მაღალი დოზების მიღებისას. გეომეტრიული საშუალო პლაზმური კლირენსი დაახლოებით 50 ლიტრი/საათია (ვარიაციის კოეფიციენტი 21.7%). სხვა HMG-CoA რედუქტაზას ინჰიბიტორების მსგავსად, როზუვასტატინის ღვიძლისმიერი შეწოვა მოიცავს მემბრანულ ტრანსპორტიორს OATP-C. ეს ტრანსპორტიორი მნიშვნელოვანია როზუვასტატინის ღვიძლისმიერი გამოყოფისთვის.</w:t>
      </w:r>
    </w:p>
    <w:p w14:paraId="3549CE84"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ხაზოვნება:</w:t>
      </w:r>
      <w:r w:rsidRPr="005C4A9D">
        <w:rPr>
          <w:rFonts w:ascii="Sylfaen" w:eastAsia="Arial Unicode MS" w:hAnsi="Sylfaen"/>
          <w:noProof/>
          <w:lang w:val="ka-GE"/>
        </w:rPr>
        <w:t xml:space="preserve"> როზუვასტატინის სისტემური ექსპოზიცია იზრდება დოზის პროპორციულად. დღიური დოზების მრავალჯერადი მიღების შემდეგ ფარმაკოკინეტიკური პარამეტრები არ იცვლება.</w:t>
      </w:r>
    </w:p>
    <w:p w14:paraId="6B847E89" w14:textId="77777777" w:rsidR="00B06C4A" w:rsidRPr="005F062D" w:rsidRDefault="00B06C4A" w:rsidP="00382943">
      <w:pPr>
        <w:spacing w:after="0" w:line="240" w:lineRule="auto"/>
        <w:jc w:val="both"/>
        <w:rPr>
          <w:rFonts w:ascii="Sylfaen" w:eastAsia="Arial Unicode MS" w:hAnsi="Sylfaen"/>
          <w:b/>
          <w:bCs/>
          <w:noProof/>
          <w:lang w:val="ka-GE"/>
        </w:rPr>
      </w:pPr>
      <w:r w:rsidRPr="005F062D">
        <w:rPr>
          <w:rFonts w:ascii="Sylfaen" w:eastAsia="Arial Unicode MS" w:hAnsi="Sylfaen"/>
          <w:b/>
          <w:bCs/>
          <w:noProof/>
          <w:lang w:val="ka-GE"/>
        </w:rPr>
        <w:t>სპეციალური პოპულაციები:</w:t>
      </w:r>
    </w:p>
    <w:p w14:paraId="54F72CC7"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ასაკი და სქესი:</w:t>
      </w:r>
      <w:r w:rsidRPr="005C4A9D">
        <w:rPr>
          <w:rFonts w:ascii="Sylfaen" w:eastAsia="Arial Unicode MS" w:hAnsi="Sylfaen"/>
          <w:noProof/>
          <w:lang w:val="ka-GE"/>
        </w:rPr>
        <w:t xml:space="preserve"> მოზრდილებში როზუვასტატინის ფარმაკოკინეტიკაზე ასაკის ან სქესის კლინიკურად მნიშვნელოვანი გავლენა არ დაფიქსირებულა. ჰეტეროზიგოტური ოჯახური ჰიპერქოლესტერინემიის მქონე ბავშვებსა და მოზარდებში ექსპოზიცია მსგავსი ან უფრო დაბალია, ვიდრე დისლიპიდემიის მქონე ზრდასრულ პაციენტებში (იხილეთ „პედიატრიული პოპულაცია“ ქვემოთ).</w:t>
      </w:r>
    </w:p>
    <w:p w14:paraId="297DB46C"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რასა:</w:t>
      </w:r>
      <w:r w:rsidRPr="005C4A9D">
        <w:rPr>
          <w:rFonts w:ascii="Sylfaen" w:eastAsia="Arial Unicode MS" w:hAnsi="Sylfaen"/>
          <w:noProof/>
          <w:lang w:val="ka-GE"/>
        </w:rPr>
        <w:t xml:space="preserve"> ფარმაკოკინეტიკური კვლევები აჩვენებს საშუალო AUC-ის და Cmax-ის დაახლოებით 2-ჯერ მომატებას აზიელ სუბიექტებში (იაპონელები, ჩინელები, ფილიპინელები, ვიეტნამელები და კორეელები) კავკასიელებთან შედარებით; აზიელ-ინდოელებში საშუალო AUC-ის და Cmax-ის დაახლოებით 1.3-ჯერ მომატებას. პოპულაციური ფარმაკოკინეტიკური ანალიზით არ გამოვლინდა კლინიკურად მნიშვნელოვანი განსხვავებები ფარმაკოკინეტიკაში კავკასიელ და შავკანიან ჯგუფებს შორის.</w:t>
      </w:r>
    </w:p>
    <w:p w14:paraId="4A9EAC96" w14:textId="77777777" w:rsidR="005F062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თირკმლის უკმარისობა:</w:t>
      </w:r>
      <w:r w:rsidRPr="005C4A9D">
        <w:rPr>
          <w:rFonts w:ascii="Sylfaen" w:eastAsia="Arial Unicode MS" w:hAnsi="Sylfaen"/>
          <w:noProof/>
          <w:lang w:val="ka-GE"/>
        </w:rPr>
        <w:t xml:space="preserve"> თირკმლის უკმარისობის სხვადასხვა ხარისხის მქონე სუბიექტებში ჩატარებულ კვლევაში, თირკმლის მსუბუქი და საშუალო დაავადება გავლენას არ ახდენდა როზუვასტატინის ან N-დესმეთილის მეტაბოლიტის პლაზმურ კონცენტრაციაზე. მძიმე უკმარისობის მქონე სუბიექტებში (CrCl &lt;30 მლ/წთ) პლაზმური კონცენტრაცია 3-ჯერ გაიზარდა და N-დესმეთილის მეტაბოლიტის კონცენტრაცია 9-ჯერ გაიზარდა ჯანმრთელ მოხალისეებთან შედარებით. ჰემოდიალიზზე მყოფ სუბიექტებში როზუვასტატინის სტაციონარული პლაზმური კონცენტრაციები დაახლოებით 50%-ით მეტი იყო ჯანმრთელ მოხალისეებთან შედარებით. </w:t>
      </w:r>
    </w:p>
    <w:p w14:paraId="567F5CD0" w14:textId="0B07F069"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ღვიძლის უკმარისობა:</w:t>
      </w:r>
      <w:r w:rsidRPr="005C4A9D">
        <w:rPr>
          <w:rFonts w:ascii="Sylfaen" w:eastAsia="Arial Unicode MS" w:hAnsi="Sylfaen"/>
          <w:noProof/>
          <w:lang w:val="ka-GE"/>
        </w:rPr>
        <w:t xml:space="preserve"> ღვიძლის უკმარისობის სხვადასხვა ხარისხის მქონე სუბიექტებში ჩატარებულ კვლევაში, როზუვასტატინის ზემოქმედების მომატების ნიშნები არ დაფიქსირებულა იმ სუბიექტებში, რომლებსაც ჩაილდ-პიუს შკალა 7 ან უფრო დაბალი ჰქონდათ. თუმცა, ორ სუბიექტს, რომელთა ჩაილდ-პიუს შკალა 8 და 9 იყო, აღენიშნებოდა სისტემური ზემოქმედების მინიმუმ 2-ჯერ გაზრდა ჩაილდ-პიუს შკალის უფრო დაბალი ქულის მქონე სუბიექტებთან შედარებით. არ არსებობს გამოცდილება იმ სუბიექტებში, რომელთა ჩაილდ-პიუს შკალა 9-ზე მეტია.</w:t>
      </w:r>
    </w:p>
    <w:p w14:paraId="6F187FA3" w14:textId="77777777"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t>გენეტიკური პოლიმორფიზმები:</w:t>
      </w:r>
      <w:r w:rsidRPr="005C4A9D">
        <w:rPr>
          <w:rFonts w:ascii="Sylfaen" w:eastAsia="Arial Unicode MS" w:hAnsi="Sylfaen"/>
          <w:noProof/>
          <w:lang w:val="ka-GE"/>
        </w:rPr>
        <w:t xml:space="preserve"> HMG-CoA რედუქტაზას ინჰიბიტორების, მათ შორის როზუვასტატინის, განლაგება მოიცავს SLCO1B1 გენის (OATP1B1) და ABCG2 გენის (BCRP) მიერ კოდირებული OATP1B1 და BCRP ტრანსპორტიორ ცილებს. ამ გენების გარკვეული ვარიანტები, როგორიცაა SLCO1B1 c.521CC და ABCG2 c.421AA, დაკავშირებულია როზუვასტატინის დაახლოებით 1.6-ჯერ უფრო მაღალ ექსპოზიციასთან (AUC) ან 2.4-ჯერ უფრო მაღალ ექსპოზიციასთან, შესაბამისად, SLCO1B1 c.521TT ან ABCG2 c.421CC გენოტიპებთან შედარებით. პაციენტებისთვის, რომლებსაც აქვთ ეს გენოტიპები (SLCO1B1 c.521CC ან ABCG2 c.421AA), რეკომენდებულია სიროსტინი 20-ის უფრო დაბალი დღიური დოზა.</w:t>
      </w:r>
    </w:p>
    <w:p w14:paraId="19E57585" w14:textId="07DBB67D" w:rsidR="00B06C4A" w:rsidRPr="005C4A9D" w:rsidRDefault="00B06C4A" w:rsidP="00382943">
      <w:pPr>
        <w:spacing w:after="0" w:line="240" w:lineRule="auto"/>
        <w:jc w:val="both"/>
        <w:rPr>
          <w:rFonts w:ascii="Sylfaen" w:eastAsia="Arial Unicode MS" w:hAnsi="Sylfaen"/>
          <w:noProof/>
          <w:lang w:val="ka-GE"/>
        </w:rPr>
      </w:pPr>
      <w:r w:rsidRPr="005F062D">
        <w:rPr>
          <w:rFonts w:ascii="Sylfaen" w:eastAsia="Arial Unicode MS" w:hAnsi="Sylfaen"/>
          <w:b/>
          <w:bCs/>
          <w:noProof/>
          <w:lang w:val="ka-GE"/>
        </w:rPr>
        <w:lastRenderedPageBreak/>
        <w:t>პედიატრიული პოპულაცია:</w:t>
      </w:r>
      <w:r w:rsidRPr="005C4A9D">
        <w:rPr>
          <w:rFonts w:ascii="Sylfaen" w:eastAsia="Arial Unicode MS" w:hAnsi="Sylfaen"/>
          <w:noProof/>
          <w:lang w:val="ka-GE"/>
        </w:rPr>
        <w:t xml:space="preserve"> როზუვასტატინის (ტაბლეტების სახით მიცემული) ორ ფარმაკოკინეტიკურ კვლევაში, რომელიც ჩატარდა ჰეტეროზიგოტური ოჯახური ჰიპერქოლესტერინემიის მქონე 10-დან 17 წლამდე </w:t>
      </w:r>
      <w:r w:rsidR="005F062D">
        <w:rPr>
          <w:rFonts w:ascii="Sylfaen" w:eastAsia="Arial Unicode MS" w:hAnsi="Sylfaen"/>
          <w:noProof/>
          <w:lang w:val="ka-GE"/>
        </w:rPr>
        <w:t xml:space="preserve">ან 6-დან 17 წლამდე </w:t>
      </w:r>
      <w:r w:rsidRPr="005C4A9D">
        <w:rPr>
          <w:rFonts w:ascii="Sylfaen" w:eastAsia="Arial Unicode MS" w:hAnsi="Sylfaen"/>
          <w:noProof/>
          <w:lang w:val="ka-GE"/>
        </w:rPr>
        <w:t>ასაკის პედიატრიულ პაციენტებში (სულ 214 პაციენტი), ნაჩვენები იყო, რომ პედიატრიულ პაციენტებში ექსპოზიცია შედარებადი ან უფრო დაბალია, ვიდრე ზრდასრულ პაციენტებში. როზუვასტატინის ექსპოზიცია პროგნოზირებადი იყო დოზისა და დროის მიხედვით 2 წლის განმავლობაში.</w:t>
      </w:r>
    </w:p>
    <w:p w14:paraId="12DA38F9" w14:textId="77777777" w:rsidR="00B06C4A" w:rsidRPr="005C4A9D" w:rsidRDefault="00B06C4A" w:rsidP="00382943">
      <w:pPr>
        <w:spacing w:after="0" w:line="240" w:lineRule="auto"/>
        <w:jc w:val="both"/>
        <w:rPr>
          <w:rFonts w:ascii="Sylfaen" w:eastAsia="Arial Unicode MS" w:hAnsi="Sylfaen"/>
          <w:noProof/>
          <w:lang w:val="ka-GE"/>
        </w:rPr>
      </w:pPr>
    </w:p>
    <w:p w14:paraId="58C87123" w14:textId="77777777" w:rsidR="00B06C4A" w:rsidRPr="003E5006" w:rsidRDefault="00B06C4A" w:rsidP="00382943">
      <w:pPr>
        <w:spacing w:after="0" w:line="240" w:lineRule="auto"/>
        <w:jc w:val="both"/>
        <w:rPr>
          <w:rFonts w:ascii="Sylfaen" w:eastAsia="Arial Unicode MS" w:hAnsi="Sylfaen"/>
          <w:b/>
          <w:bCs/>
          <w:noProof/>
          <w:lang w:val="ka-GE"/>
        </w:rPr>
      </w:pPr>
      <w:r w:rsidRPr="003E5006">
        <w:rPr>
          <w:rFonts w:ascii="Sylfaen" w:eastAsia="Arial Unicode MS" w:hAnsi="Sylfaen"/>
          <w:b/>
          <w:bCs/>
          <w:noProof/>
          <w:lang w:val="ka-GE"/>
        </w:rPr>
        <w:t>5.3 პრეკლინიკური უსაფრთხოების მონაცემები</w:t>
      </w:r>
    </w:p>
    <w:p w14:paraId="1CA92CE6" w14:textId="44845983"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პრეკლინიკური მონაცემები არ ავლენს განსაკუთრებულ საფრთხეს ადამიანებისთვის უსაფრთხოების ფარმაკოლოგიის, გენოტოქსიკურობისა და კანცეროგენულობის პოტენციალის ტრადიციული კვლევების საფუძველზე. hERG-ზე ზემოქმედების სპეციფიკური ტესტები არ არის შეფასებული. გვერდითი რეაქციები, რომლებიც არ დაფიქსირებულა კლინიკურ კვლევებში, მაგრამ დაფიქსირდა ცხოველებში კლინიკური ექსპოზიციის დონის მსგავსი ზემოქმედების დონეზე, იყო შემდეგი: განმეორებითი დოზის ტოქსიკურობის კვლევებში ჰისტოპათოლოგიური ღვიძლის ცვლილებები, რომლებიც სავარაუდოდ გამოწვეულია როზუვასტატინის ფარმაკოლოგიური მოქმედებით, დაფიქსირდა თაგვებში, ვირთ</w:t>
      </w:r>
      <w:r w:rsidR="005F062D">
        <w:rPr>
          <w:rFonts w:ascii="Sylfaen" w:eastAsia="Arial Unicode MS" w:hAnsi="Sylfaen"/>
          <w:noProof/>
          <w:lang w:val="ka-GE"/>
        </w:rPr>
        <w:t>აგვ</w:t>
      </w:r>
      <w:r w:rsidRPr="005C4A9D">
        <w:rPr>
          <w:rFonts w:ascii="Sylfaen" w:eastAsia="Arial Unicode MS" w:hAnsi="Sylfaen"/>
          <w:noProof/>
          <w:lang w:val="ka-GE"/>
        </w:rPr>
        <w:t>ებში და ნაკლებად, ძაღლებში ნაღვლის ბუშტზე ზემოქმედებით, მაგრამ არა მაიმუნებში. გარდა ამისა, სათესლე ჯირკვლების ტოქსიკურობა დაფიქსირდა მაიმუნებსა და ძაღლებში უფრო მაღალი დოზებით. ვირთ</w:t>
      </w:r>
      <w:r w:rsidR="005F062D">
        <w:rPr>
          <w:rFonts w:ascii="Sylfaen" w:eastAsia="Arial Unicode MS" w:hAnsi="Sylfaen"/>
          <w:noProof/>
          <w:lang w:val="ka-GE"/>
        </w:rPr>
        <w:t>აგვ</w:t>
      </w:r>
      <w:r w:rsidRPr="005C4A9D">
        <w:rPr>
          <w:rFonts w:ascii="Sylfaen" w:eastAsia="Arial Unicode MS" w:hAnsi="Sylfaen"/>
          <w:noProof/>
          <w:lang w:val="ka-GE"/>
        </w:rPr>
        <w:t>ებში რეპროდუქციული ტოქსიკურობა აშკარა იყო, დედისთვის ტოქსიკური დოზების მიღებისას დაფიქსირდა ნაშიერების ზომის, ნაშიერების წონის და ლეკვების გადარჩენის შემცირება, სადაც სისტემური ექსპოზიცია რამდენჯერმე აღემატებოდა თერაპიულ ექსპოზიციის დონეს.</w:t>
      </w:r>
    </w:p>
    <w:p w14:paraId="212C3D96" w14:textId="77777777" w:rsidR="00B06C4A" w:rsidRPr="005C4A9D" w:rsidRDefault="00B06C4A" w:rsidP="00382943">
      <w:pPr>
        <w:spacing w:after="0" w:line="240" w:lineRule="auto"/>
        <w:jc w:val="both"/>
        <w:rPr>
          <w:rFonts w:ascii="Sylfaen" w:eastAsia="Arial Unicode MS" w:hAnsi="Sylfaen"/>
          <w:noProof/>
          <w:lang w:val="ka-GE"/>
        </w:rPr>
      </w:pPr>
    </w:p>
    <w:p w14:paraId="394368A7"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 ფარმაცევტული მახასიათებლები</w:t>
      </w:r>
    </w:p>
    <w:p w14:paraId="66DA8BC9" w14:textId="4E45D63D"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6.1 დამხმარე ნივთიერებების სია</w:t>
      </w:r>
    </w:p>
    <w:p w14:paraId="69319E4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მიკროკრისტალური ცელულოზა (112)</w:t>
      </w:r>
    </w:p>
    <w:p w14:paraId="2F92A240"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ლაქტოზის მონოჰიდრატი (Supertab 11SD)</w:t>
      </w:r>
    </w:p>
    <w:p w14:paraId="27674685"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ტრიკალციუმ  ფოსფატი (გრანულირებული)</w:t>
      </w:r>
    </w:p>
    <w:p w14:paraId="40092AEB"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კროსპოვიდონი (კოლიდონი CL-F)</w:t>
      </w:r>
    </w:p>
    <w:p w14:paraId="3AC0419A"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მაგნიუმის სტეარატი</w:t>
      </w:r>
    </w:p>
    <w:p w14:paraId="7CA18EAD"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გასუფთავებული წყალი</w:t>
      </w:r>
    </w:p>
    <w:p w14:paraId="5CEB8BF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Instacoat Universal A05R05396 ყავისფერი</w:t>
      </w:r>
    </w:p>
    <w:p w14:paraId="53656C27"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გასუფთავებული წყალი</w:t>
      </w:r>
    </w:p>
    <w:p w14:paraId="74F303CF" w14:textId="77777777" w:rsidR="00B06C4A" w:rsidRPr="005C4A9D" w:rsidRDefault="00B06C4A" w:rsidP="00382943">
      <w:pPr>
        <w:spacing w:after="0" w:line="240" w:lineRule="auto"/>
        <w:jc w:val="both"/>
        <w:rPr>
          <w:rFonts w:ascii="Sylfaen" w:eastAsia="Arial Unicode MS" w:hAnsi="Sylfaen"/>
          <w:noProof/>
          <w:lang w:val="ka-GE"/>
        </w:rPr>
      </w:pPr>
    </w:p>
    <w:p w14:paraId="29E60EC4"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6.3 ვარგისიანობის ვადა</w:t>
      </w:r>
    </w:p>
    <w:p w14:paraId="79D144B3"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3 წელი.</w:t>
      </w:r>
    </w:p>
    <w:p w14:paraId="0CC7B09D" w14:textId="77777777" w:rsidR="002B4115" w:rsidRPr="005C4A9D" w:rsidRDefault="002B4115" w:rsidP="00382943">
      <w:pPr>
        <w:spacing w:after="0" w:line="240" w:lineRule="auto"/>
        <w:jc w:val="both"/>
        <w:rPr>
          <w:rFonts w:ascii="Sylfaen" w:eastAsia="Arial Unicode MS" w:hAnsi="Sylfaen"/>
          <w:noProof/>
          <w:lang w:val="ka-GE"/>
        </w:rPr>
      </w:pPr>
    </w:p>
    <w:p w14:paraId="6C457C83"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6.4 შენახვის განსაკუთრებული სიფრთხილის ზომები</w:t>
      </w:r>
    </w:p>
    <w:p w14:paraId="40C6A699"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შეინახეთ 30°C-ზე დაბალ ტემპერატურაზე.</w:t>
      </w:r>
    </w:p>
    <w:p w14:paraId="1FF222E9" w14:textId="77777777" w:rsidR="00B06C4A" w:rsidRPr="005C4A9D" w:rsidRDefault="00B06C4A" w:rsidP="00382943">
      <w:pPr>
        <w:spacing w:after="0" w:line="240" w:lineRule="auto"/>
        <w:jc w:val="both"/>
        <w:rPr>
          <w:rFonts w:ascii="Sylfaen" w:eastAsia="Arial Unicode MS" w:hAnsi="Sylfaen"/>
          <w:noProof/>
          <w:lang w:val="ka-GE"/>
        </w:rPr>
      </w:pPr>
    </w:p>
    <w:p w14:paraId="45CE8EFD" w14:textId="7ED7A9CA"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6.5 კონტეინერის ბუნება და შემადგენლობა</w:t>
      </w:r>
    </w:p>
    <w:p w14:paraId="20506B36"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სიროსტინი 20 გამოდის ბლისტერულ შეფუთვაში, რომელიც შეიცავს 30 ტაბლეტს.</w:t>
      </w:r>
    </w:p>
    <w:p w14:paraId="482DAE4A" w14:textId="77777777" w:rsidR="00B06C4A" w:rsidRPr="005C4A9D" w:rsidRDefault="00B06C4A" w:rsidP="00382943">
      <w:pPr>
        <w:spacing w:after="0" w:line="240" w:lineRule="auto"/>
        <w:jc w:val="both"/>
        <w:rPr>
          <w:rFonts w:ascii="Sylfaen" w:eastAsia="Arial Unicode MS" w:hAnsi="Sylfaen"/>
          <w:noProof/>
          <w:lang w:val="ka-GE"/>
        </w:rPr>
      </w:pPr>
    </w:p>
    <w:p w14:paraId="3791FB98" w14:textId="3299B873"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6.6 განადგურების და სხვა დამუშავების განსაკუთრებული სიფრთხილის ზომები</w:t>
      </w:r>
    </w:p>
    <w:p w14:paraId="766DD96C"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Sylfaen" w:eastAsia="Arial Unicode MS" w:hAnsi="Sylfaen"/>
          <w:noProof/>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6F3AF0F4" w14:textId="77777777" w:rsidR="00B06C4A" w:rsidRPr="005C4A9D" w:rsidRDefault="00B06C4A" w:rsidP="00382943">
      <w:pPr>
        <w:spacing w:after="0" w:line="240" w:lineRule="auto"/>
        <w:jc w:val="both"/>
        <w:rPr>
          <w:rFonts w:ascii="Sylfaen" w:eastAsia="Arial Unicode MS" w:hAnsi="Sylfaen"/>
          <w:b/>
          <w:bCs/>
          <w:noProof/>
          <w:lang w:val="ka-GE"/>
        </w:rPr>
      </w:pPr>
    </w:p>
    <w:p w14:paraId="433AB00F"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7. სავაჭრო ლიცენზიის მფლობელი და მწარმოებელი</w:t>
      </w:r>
    </w:p>
    <w:p w14:paraId="3D810D2F" w14:textId="77777777" w:rsidR="00B06C4A" w:rsidRPr="005C4A9D" w:rsidRDefault="00B06C4A" w:rsidP="00382943">
      <w:pPr>
        <w:spacing w:after="0" w:line="240" w:lineRule="auto"/>
        <w:jc w:val="both"/>
        <w:rPr>
          <w:rFonts w:ascii="Sylfaen" w:eastAsia="Arial Unicode MS" w:hAnsi="Sylfaen"/>
          <w:b/>
          <w:bCs/>
          <w:noProof/>
          <w:lang w:val="ka-GE"/>
        </w:rPr>
      </w:pPr>
    </w:p>
    <w:p w14:paraId="1AE3A6D5"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სავაჭრო ლიცენზიის მფლობელი</w:t>
      </w:r>
    </w:p>
    <w:p w14:paraId="2A83FC4B" w14:textId="77777777" w:rsidR="00B06C4A" w:rsidRPr="005C4A9D" w:rsidRDefault="00B06C4A" w:rsidP="00382943">
      <w:pPr>
        <w:shd w:val="clear" w:color="auto" w:fill="FFFFFF"/>
        <w:spacing w:after="0" w:line="240" w:lineRule="auto"/>
        <w:rPr>
          <w:rFonts w:ascii="Times New Roman" w:hAnsi="Times New Roman"/>
          <w:noProof/>
          <w:color w:val="000000"/>
          <w:sz w:val="20"/>
          <w:szCs w:val="20"/>
          <w:lang w:val="ka-GE"/>
        </w:rPr>
      </w:pPr>
      <w:r w:rsidRPr="005C4A9D">
        <w:rPr>
          <w:rFonts w:ascii="Times New Roman" w:hAnsi="Times New Roman"/>
          <w:noProof/>
          <w:color w:val="000000"/>
          <w:sz w:val="20"/>
          <w:szCs w:val="20"/>
          <w:lang w:val="ka-GE"/>
        </w:rPr>
        <w:t>“SYREN HEALTHCARE”,</w:t>
      </w:r>
    </w:p>
    <w:p w14:paraId="24728497" w14:textId="77777777" w:rsidR="00B06C4A" w:rsidRPr="005C4A9D" w:rsidRDefault="00B06C4A" w:rsidP="00382943">
      <w:pPr>
        <w:shd w:val="clear" w:color="auto" w:fill="FFFFFF"/>
        <w:spacing w:after="0" w:line="240" w:lineRule="auto"/>
        <w:rPr>
          <w:rFonts w:ascii="Times New Roman" w:hAnsi="Times New Roman"/>
          <w:noProof/>
          <w:color w:val="000000"/>
          <w:sz w:val="20"/>
          <w:szCs w:val="20"/>
          <w:lang w:val="ka-GE"/>
        </w:rPr>
      </w:pPr>
      <w:r w:rsidRPr="005C4A9D">
        <w:rPr>
          <w:rFonts w:ascii="Times New Roman" w:hAnsi="Times New Roman"/>
          <w:noProof/>
          <w:color w:val="000000"/>
          <w:sz w:val="20"/>
          <w:szCs w:val="20"/>
          <w:lang w:val="ka-GE"/>
        </w:rPr>
        <w:t xml:space="preserve"> 422, Forth Floor, Z-one, Sindhu Bhavan Marg,</w:t>
      </w:r>
    </w:p>
    <w:p w14:paraId="5855694C" w14:textId="77777777" w:rsidR="00B06C4A" w:rsidRPr="005C4A9D" w:rsidRDefault="00B06C4A" w:rsidP="00382943">
      <w:pPr>
        <w:spacing w:after="0" w:line="240" w:lineRule="auto"/>
        <w:jc w:val="both"/>
        <w:rPr>
          <w:rFonts w:ascii="Sylfaen" w:eastAsia="Arial Unicode MS" w:hAnsi="Sylfaen"/>
          <w:noProof/>
          <w:lang w:val="ka-GE"/>
        </w:rPr>
      </w:pPr>
      <w:r w:rsidRPr="005C4A9D">
        <w:rPr>
          <w:rFonts w:ascii="Times New Roman" w:hAnsi="Times New Roman"/>
          <w:noProof/>
          <w:color w:val="000000"/>
          <w:sz w:val="20"/>
          <w:szCs w:val="20"/>
          <w:lang w:val="ka-GE"/>
        </w:rPr>
        <w:t xml:space="preserve"> Bodakdev, Ahmedabad-380054 Gujarat, India</w:t>
      </w:r>
    </w:p>
    <w:p w14:paraId="5FB57DA5" w14:textId="77777777" w:rsidR="00B06C4A" w:rsidRPr="005C4A9D" w:rsidRDefault="00B06C4A" w:rsidP="00382943">
      <w:pPr>
        <w:spacing w:after="0" w:line="240" w:lineRule="auto"/>
        <w:jc w:val="both"/>
        <w:rPr>
          <w:rFonts w:ascii="Sylfaen" w:eastAsia="Arial Unicode MS" w:hAnsi="Sylfaen"/>
          <w:noProof/>
          <w:lang w:val="ka-GE"/>
        </w:rPr>
      </w:pPr>
    </w:p>
    <w:p w14:paraId="50A21881"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მწარმოებელი</w:t>
      </w:r>
    </w:p>
    <w:p w14:paraId="7592E679" w14:textId="77777777" w:rsidR="00B06C4A" w:rsidRPr="005C4A9D" w:rsidRDefault="00B06C4A" w:rsidP="00382943">
      <w:pPr>
        <w:shd w:val="clear" w:color="auto" w:fill="FFFFFF"/>
        <w:spacing w:after="0" w:line="240" w:lineRule="auto"/>
        <w:rPr>
          <w:rFonts w:ascii="Times New Roman" w:hAnsi="Times New Roman"/>
          <w:noProof/>
          <w:color w:val="000000"/>
          <w:sz w:val="20"/>
          <w:szCs w:val="20"/>
          <w:lang w:val="ka-GE"/>
        </w:rPr>
      </w:pPr>
      <w:r w:rsidRPr="005C4A9D">
        <w:rPr>
          <w:rFonts w:ascii="Times New Roman" w:hAnsi="Times New Roman"/>
          <w:noProof/>
          <w:color w:val="000000"/>
          <w:sz w:val="20"/>
          <w:szCs w:val="20"/>
          <w:lang w:val="ka-GE"/>
        </w:rPr>
        <w:lastRenderedPageBreak/>
        <w:t xml:space="preserve">Biomatrix Healthcare Private Limited,  </w:t>
      </w:r>
    </w:p>
    <w:p w14:paraId="1FA0B974" w14:textId="77777777" w:rsidR="00B06C4A" w:rsidRPr="005C4A9D" w:rsidRDefault="00B06C4A" w:rsidP="00382943">
      <w:pPr>
        <w:shd w:val="clear" w:color="auto" w:fill="FFFFFF"/>
        <w:spacing w:after="0" w:line="240" w:lineRule="auto"/>
        <w:rPr>
          <w:rFonts w:ascii="Times New Roman" w:hAnsi="Times New Roman"/>
          <w:noProof/>
          <w:color w:val="000000"/>
          <w:sz w:val="20"/>
          <w:szCs w:val="20"/>
          <w:lang w:val="ka-GE"/>
        </w:rPr>
      </w:pPr>
      <w:r w:rsidRPr="005C4A9D">
        <w:rPr>
          <w:rFonts w:ascii="Times New Roman" w:hAnsi="Times New Roman"/>
          <w:noProof/>
          <w:color w:val="000000"/>
          <w:sz w:val="20"/>
          <w:szCs w:val="20"/>
          <w:lang w:val="ka-GE"/>
        </w:rPr>
        <w:t>Survey No. 624 Sarkhej Bavla Highway,Village Rajoda,</w:t>
      </w:r>
    </w:p>
    <w:p w14:paraId="73F7569A" w14:textId="77777777" w:rsidR="00B06C4A" w:rsidRPr="005C4A9D" w:rsidRDefault="00B06C4A" w:rsidP="00382943">
      <w:pPr>
        <w:spacing w:after="0" w:line="240" w:lineRule="auto"/>
        <w:jc w:val="both"/>
        <w:rPr>
          <w:rFonts w:ascii="Times New Roman" w:eastAsia="Arial Unicode MS" w:hAnsi="Times New Roman"/>
          <w:noProof/>
          <w:lang w:val="ka-GE"/>
        </w:rPr>
      </w:pPr>
      <w:r w:rsidRPr="005C4A9D">
        <w:rPr>
          <w:rFonts w:ascii="Times New Roman" w:hAnsi="Times New Roman"/>
          <w:noProof/>
          <w:color w:val="000000"/>
          <w:sz w:val="20"/>
          <w:szCs w:val="20"/>
          <w:lang w:val="ka-GE"/>
        </w:rPr>
        <w:t>Taluka Bavla, Ahmedabad,382220, India</w:t>
      </w:r>
    </w:p>
    <w:p w14:paraId="72C24C60" w14:textId="77777777" w:rsidR="00B06C4A" w:rsidRPr="005C4A9D" w:rsidRDefault="00B06C4A" w:rsidP="00382943">
      <w:pPr>
        <w:spacing w:after="0" w:line="240" w:lineRule="auto"/>
        <w:jc w:val="both"/>
        <w:rPr>
          <w:rFonts w:ascii="Sylfaen" w:eastAsia="Arial Unicode MS" w:hAnsi="Sylfaen"/>
          <w:noProof/>
          <w:lang w:val="ka-GE"/>
        </w:rPr>
      </w:pPr>
    </w:p>
    <w:p w14:paraId="22F8F796"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8. რეგისტრაციის ნომერი(ები)</w:t>
      </w:r>
    </w:p>
    <w:p w14:paraId="443F00F2" w14:textId="77777777" w:rsidR="00B06C4A" w:rsidRPr="005C4A9D" w:rsidRDefault="00B06C4A" w:rsidP="00382943">
      <w:pPr>
        <w:spacing w:after="0" w:line="240" w:lineRule="auto"/>
        <w:jc w:val="both"/>
        <w:rPr>
          <w:rFonts w:ascii="Sylfaen" w:eastAsia="Arial Unicode MS" w:hAnsi="Sylfaen"/>
          <w:noProof/>
          <w:lang w:val="ka-GE"/>
        </w:rPr>
      </w:pPr>
    </w:p>
    <w:p w14:paraId="40141A62"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9. პირველი რეგისტრაციის/ხელახალი რეგისტრაციის თარიღი</w:t>
      </w:r>
    </w:p>
    <w:p w14:paraId="5E44EC9A" w14:textId="77777777" w:rsidR="00B06C4A" w:rsidRPr="005C4A9D" w:rsidRDefault="00B06C4A" w:rsidP="00382943">
      <w:pPr>
        <w:spacing w:after="0" w:line="240" w:lineRule="auto"/>
        <w:jc w:val="both"/>
        <w:rPr>
          <w:rFonts w:ascii="Sylfaen" w:eastAsia="Arial Unicode MS" w:hAnsi="Sylfaen"/>
          <w:b/>
          <w:bCs/>
          <w:noProof/>
          <w:lang w:val="ka-GE"/>
        </w:rPr>
      </w:pPr>
    </w:p>
    <w:p w14:paraId="1535C955" w14:textId="77777777" w:rsidR="00B06C4A" w:rsidRPr="005C4A9D" w:rsidRDefault="00B06C4A" w:rsidP="00382943">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10. ტექსტის გადახედვის თარიღი</w:t>
      </w:r>
    </w:p>
    <w:p w14:paraId="4B797F3F" w14:textId="77777777" w:rsidR="00B06C4A" w:rsidRPr="005C4A9D" w:rsidRDefault="00B06C4A" w:rsidP="00382943">
      <w:pPr>
        <w:spacing w:after="0" w:line="240" w:lineRule="auto"/>
        <w:jc w:val="both"/>
        <w:rPr>
          <w:rFonts w:ascii="Sylfaen" w:eastAsia="Arial Unicode MS" w:hAnsi="Sylfaen"/>
          <w:b/>
          <w:bCs/>
          <w:noProof/>
          <w:lang w:val="ka-GE"/>
        </w:rPr>
      </w:pPr>
    </w:p>
    <w:p w14:paraId="6883C7B2" w14:textId="39EDFD8E" w:rsidR="00B06C4A" w:rsidRDefault="00B06C4A" w:rsidP="003E5006">
      <w:pPr>
        <w:spacing w:after="0" w:line="240" w:lineRule="auto"/>
        <w:jc w:val="both"/>
        <w:rPr>
          <w:rFonts w:ascii="Sylfaen" w:eastAsia="Arial Unicode MS" w:hAnsi="Sylfaen"/>
          <w:b/>
          <w:bCs/>
          <w:noProof/>
          <w:lang w:val="ka-GE"/>
        </w:rPr>
      </w:pPr>
      <w:r w:rsidRPr="005C4A9D">
        <w:rPr>
          <w:rFonts w:ascii="Sylfaen" w:eastAsia="Arial Unicode MS" w:hAnsi="Sylfaen"/>
          <w:b/>
          <w:bCs/>
          <w:noProof/>
          <w:lang w:val="ka-GE"/>
        </w:rPr>
        <w:t>ეს ჩანართი ბოლოს გადახედილია 04/2026-ში.</w:t>
      </w:r>
    </w:p>
    <w:p w14:paraId="33DE7880" w14:textId="77777777" w:rsidR="005F062D" w:rsidRDefault="005F062D" w:rsidP="003E5006">
      <w:pPr>
        <w:spacing w:after="0" w:line="240" w:lineRule="auto"/>
        <w:jc w:val="both"/>
        <w:rPr>
          <w:rFonts w:ascii="Sylfaen" w:eastAsia="Arial Unicode MS" w:hAnsi="Sylfaen"/>
          <w:b/>
          <w:bCs/>
          <w:noProof/>
          <w:lang w:val="ka-GE"/>
        </w:rPr>
      </w:pPr>
    </w:p>
    <w:p w14:paraId="364F4015" w14:textId="77777777" w:rsidR="005F062D" w:rsidRPr="005F062D" w:rsidRDefault="005F062D" w:rsidP="005F062D">
      <w:pPr>
        <w:spacing w:after="0" w:line="240" w:lineRule="auto"/>
        <w:rPr>
          <w:rFonts w:ascii="Sylfaen" w:eastAsia="Times New Roman" w:hAnsi="Sylfaen"/>
          <w:b/>
          <w:bCs/>
          <w:noProof/>
          <w:lang w:val="ka-GE"/>
        </w:rPr>
      </w:pPr>
      <w:r w:rsidRPr="005F062D">
        <w:rPr>
          <w:rFonts w:ascii="Sylfaen" w:eastAsia="Times New Roman" w:hAnsi="Sylfaen"/>
          <w:b/>
          <w:bCs/>
          <w:noProof/>
          <w:lang w:val="ka-GE"/>
        </w:rPr>
        <w:t>გაცემის წესი:</w:t>
      </w:r>
    </w:p>
    <w:p w14:paraId="195A241F" w14:textId="77777777" w:rsidR="005F062D" w:rsidRPr="005F062D" w:rsidRDefault="005F062D" w:rsidP="005F062D">
      <w:pPr>
        <w:spacing w:after="0" w:line="240" w:lineRule="auto"/>
        <w:rPr>
          <w:rFonts w:eastAsia="Times New Roman"/>
          <w:noProof/>
          <w:lang w:val="ka-GE"/>
        </w:rPr>
      </w:pPr>
      <w:proofErr w:type="spellStart"/>
      <w:r w:rsidRPr="005F062D">
        <w:rPr>
          <w:rFonts w:ascii="Sylfaen" w:eastAsia="SimSun" w:hAnsi="Sylfaen"/>
          <w:bCs/>
          <w:lang w:val="en-US"/>
        </w:rPr>
        <w:t>ფარმაცევტული</w:t>
      </w:r>
      <w:proofErr w:type="spellEnd"/>
      <w:r w:rsidRPr="005F062D">
        <w:rPr>
          <w:rFonts w:ascii="Sylfaen" w:eastAsia="SimSun" w:hAnsi="Sylfaen"/>
          <w:bCs/>
          <w:lang w:val="en-US"/>
        </w:rPr>
        <w:t xml:space="preserve"> </w:t>
      </w:r>
      <w:proofErr w:type="spellStart"/>
      <w:r w:rsidRPr="005F062D">
        <w:rPr>
          <w:rFonts w:ascii="Sylfaen" w:eastAsia="SimSun" w:hAnsi="Sylfaen"/>
          <w:bCs/>
          <w:lang w:val="en-US"/>
        </w:rPr>
        <w:t>პროდუქტის</w:t>
      </w:r>
      <w:proofErr w:type="spellEnd"/>
      <w:r w:rsidRPr="005F062D">
        <w:rPr>
          <w:rFonts w:ascii="Sylfaen" w:eastAsia="SimSun" w:hAnsi="Sylfaen"/>
          <w:bCs/>
          <w:lang w:val="en-US"/>
        </w:rPr>
        <w:t xml:space="preserve"> </w:t>
      </w:r>
      <w:proofErr w:type="spellStart"/>
      <w:r w:rsidRPr="005F062D">
        <w:rPr>
          <w:rFonts w:ascii="Sylfaen" w:eastAsia="SimSun" w:hAnsi="Sylfaen"/>
          <w:bCs/>
          <w:lang w:val="en-US"/>
        </w:rPr>
        <w:t>ჯგუფი</w:t>
      </w:r>
      <w:proofErr w:type="spellEnd"/>
      <w:r w:rsidRPr="005F062D">
        <w:rPr>
          <w:rFonts w:ascii="Sylfaen" w:eastAsia="SimSun" w:hAnsi="Sylfaen"/>
          <w:bCs/>
          <w:lang w:val="en-US"/>
        </w:rPr>
        <w:t xml:space="preserve"> II, </w:t>
      </w:r>
      <w:proofErr w:type="spellStart"/>
      <w:r w:rsidRPr="005F062D">
        <w:rPr>
          <w:rFonts w:ascii="Sylfaen" w:eastAsia="SimSun" w:hAnsi="Sylfaen"/>
          <w:bCs/>
          <w:lang w:val="en-US"/>
        </w:rPr>
        <w:t>გაიცემა</w:t>
      </w:r>
      <w:proofErr w:type="spellEnd"/>
      <w:r w:rsidRPr="005F062D">
        <w:rPr>
          <w:rFonts w:ascii="Sylfaen" w:eastAsia="SimSun" w:hAnsi="Sylfaen"/>
          <w:bCs/>
          <w:lang w:val="en-US"/>
        </w:rPr>
        <w:t xml:space="preserve"> </w:t>
      </w:r>
      <w:proofErr w:type="spellStart"/>
      <w:r w:rsidRPr="005F062D">
        <w:rPr>
          <w:rFonts w:ascii="Sylfaen" w:eastAsia="SimSun" w:hAnsi="Sylfaen"/>
          <w:bCs/>
          <w:lang w:val="en-US"/>
        </w:rPr>
        <w:t>ფორმა</w:t>
      </w:r>
      <w:proofErr w:type="spellEnd"/>
      <w:r w:rsidRPr="005F062D">
        <w:rPr>
          <w:rFonts w:ascii="Sylfaen" w:eastAsia="SimSun" w:hAnsi="Sylfaen"/>
          <w:bCs/>
          <w:lang w:val="en-US"/>
        </w:rPr>
        <w:t xml:space="preserve"> №3 </w:t>
      </w:r>
      <w:proofErr w:type="spellStart"/>
      <w:r w:rsidRPr="005F062D">
        <w:rPr>
          <w:rFonts w:ascii="Sylfaen" w:eastAsia="SimSun" w:hAnsi="Sylfaen"/>
          <w:bCs/>
          <w:lang w:val="en-US"/>
        </w:rPr>
        <w:t>რეცეპტით</w:t>
      </w:r>
      <w:proofErr w:type="spellEnd"/>
      <w:r w:rsidRPr="005F062D">
        <w:rPr>
          <w:rFonts w:ascii="Sylfaen" w:eastAsia="SimSun" w:hAnsi="Sylfaen"/>
          <w:bCs/>
          <w:lang w:val="en-US"/>
        </w:rPr>
        <w:t>.</w:t>
      </w:r>
    </w:p>
    <w:p w14:paraId="355C705C" w14:textId="77777777" w:rsidR="005F062D" w:rsidRPr="003E5006" w:rsidRDefault="005F062D" w:rsidP="003E5006">
      <w:pPr>
        <w:spacing w:after="0" w:line="240" w:lineRule="auto"/>
        <w:jc w:val="both"/>
        <w:rPr>
          <w:rFonts w:ascii="Sylfaen" w:eastAsia="Arial Unicode MS" w:hAnsi="Sylfaen"/>
          <w:b/>
          <w:bCs/>
          <w:noProof/>
          <w:lang w:val="ka-GE"/>
        </w:rPr>
      </w:pPr>
    </w:p>
    <w:sectPr w:rsidR="005F062D" w:rsidRPr="003E5006" w:rsidSect="00172398">
      <w:footerReference w:type="default" r:id="rId7"/>
      <w:pgSz w:w="11906" w:h="16838"/>
      <w:pgMar w:top="360" w:right="566" w:bottom="5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9FE4D" w14:textId="77777777" w:rsidR="00FB584C" w:rsidRDefault="00FB584C" w:rsidP="002D2DC1">
      <w:pPr>
        <w:spacing w:after="0" w:line="240" w:lineRule="auto"/>
      </w:pPr>
      <w:r>
        <w:separator/>
      </w:r>
    </w:p>
  </w:endnote>
  <w:endnote w:type="continuationSeparator" w:id="0">
    <w:p w14:paraId="3C952718" w14:textId="77777777" w:rsidR="00FB584C" w:rsidRDefault="00FB584C" w:rsidP="002D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10BAE" w14:textId="77777777" w:rsidR="000E628E" w:rsidRDefault="000E628E">
    <w:pPr>
      <w:pStyle w:val="Footer"/>
      <w:jc w:val="center"/>
    </w:pPr>
    <w:r>
      <w:fldChar w:fldCharType="begin"/>
    </w:r>
    <w:r>
      <w:instrText xml:space="preserve"> PAGE   \* MERGEFORMAT </w:instrText>
    </w:r>
    <w:r>
      <w:fldChar w:fldCharType="separate"/>
    </w:r>
    <w:r>
      <w:rPr>
        <w:noProof/>
      </w:rPr>
      <w:t>2</w:t>
    </w:r>
    <w:r>
      <w:rPr>
        <w:noProof/>
      </w:rPr>
      <w:fldChar w:fldCharType="end"/>
    </w:r>
  </w:p>
  <w:p w14:paraId="4C9D8A03" w14:textId="77777777" w:rsidR="000E628E" w:rsidRDefault="000E6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1B09F" w14:textId="77777777" w:rsidR="00FB584C" w:rsidRDefault="00FB584C" w:rsidP="002D2DC1">
      <w:pPr>
        <w:spacing w:after="0" w:line="240" w:lineRule="auto"/>
      </w:pPr>
      <w:r>
        <w:separator/>
      </w:r>
    </w:p>
  </w:footnote>
  <w:footnote w:type="continuationSeparator" w:id="0">
    <w:p w14:paraId="3A07427A" w14:textId="77777777" w:rsidR="00FB584C" w:rsidRDefault="00FB584C" w:rsidP="002D2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120" w:hanging="180"/>
      </w:pPr>
      <w:rPr>
        <w:rFonts w:ascii="Times New Roman" w:hAnsi="Times New Roman"/>
        <w:b w:val="0"/>
        <w:i w:val="0"/>
        <w:spacing w:val="0"/>
        <w:w w:val="100"/>
        <w:sz w:val="24"/>
      </w:rPr>
    </w:lvl>
    <w:lvl w:ilvl="1">
      <w:numFmt w:val="bullet"/>
      <w:lvlText w:val="•"/>
      <w:lvlJc w:val="left"/>
      <w:pPr>
        <w:ind w:left="1094" w:hanging="180"/>
      </w:pPr>
    </w:lvl>
    <w:lvl w:ilvl="2">
      <w:numFmt w:val="bullet"/>
      <w:lvlText w:val="•"/>
      <w:lvlJc w:val="left"/>
      <w:pPr>
        <w:ind w:left="2069" w:hanging="180"/>
      </w:pPr>
    </w:lvl>
    <w:lvl w:ilvl="3">
      <w:numFmt w:val="bullet"/>
      <w:lvlText w:val="•"/>
      <w:lvlJc w:val="left"/>
      <w:pPr>
        <w:ind w:left="3043" w:hanging="180"/>
      </w:pPr>
    </w:lvl>
    <w:lvl w:ilvl="4">
      <w:numFmt w:val="bullet"/>
      <w:lvlText w:val="•"/>
      <w:lvlJc w:val="left"/>
      <w:pPr>
        <w:ind w:left="4018" w:hanging="180"/>
      </w:pPr>
    </w:lvl>
    <w:lvl w:ilvl="5">
      <w:numFmt w:val="bullet"/>
      <w:lvlText w:val="•"/>
      <w:lvlJc w:val="left"/>
      <w:pPr>
        <w:ind w:left="4993" w:hanging="180"/>
      </w:pPr>
    </w:lvl>
    <w:lvl w:ilvl="6">
      <w:numFmt w:val="bullet"/>
      <w:lvlText w:val="•"/>
      <w:lvlJc w:val="left"/>
      <w:pPr>
        <w:ind w:left="5967" w:hanging="180"/>
      </w:pPr>
    </w:lvl>
    <w:lvl w:ilvl="7">
      <w:numFmt w:val="bullet"/>
      <w:lvlText w:val="•"/>
      <w:lvlJc w:val="left"/>
      <w:pPr>
        <w:ind w:left="6942" w:hanging="180"/>
      </w:pPr>
    </w:lvl>
    <w:lvl w:ilvl="8">
      <w:numFmt w:val="bullet"/>
      <w:lvlText w:val="•"/>
      <w:lvlJc w:val="left"/>
      <w:pPr>
        <w:ind w:left="7917" w:hanging="180"/>
      </w:pPr>
    </w:lvl>
  </w:abstractNum>
  <w:abstractNum w:abstractNumId="1" w15:restartNumberingAfterBreak="0">
    <w:nsid w:val="00000403"/>
    <w:multiLevelType w:val="multilevel"/>
    <w:tmpl w:val="FFFFFFFF"/>
    <w:lvl w:ilvl="0">
      <w:numFmt w:val="bullet"/>
      <w:lvlText w:val="-"/>
      <w:lvlJc w:val="left"/>
      <w:pPr>
        <w:ind w:left="120" w:hanging="140"/>
      </w:pPr>
      <w:rPr>
        <w:rFonts w:ascii="Times New Roman" w:hAnsi="Times New Roman"/>
        <w:b w:val="0"/>
        <w:i w:val="0"/>
        <w:spacing w:val="0"/>
        <w:w w:val="100"/>
        <w:sz w:val="24"/>
      </w:rPr>
    </w:lvl>
    <w:lvl w:ilvl="1">
      <w:numFmt w:val="bullet"/>
      <w:lvlText w:val="-"/>
      <w:lvlJc w:val="left"/>
      <w:pPr>
        <w:ind w:left="667" w:hanging="140"/>
      </w:pPr>
      <w:rPr>
        <w:rFonts w:ascii="Times New Roman" w:hAnsi="Times New Roman"/>
        <w:b w:val="0"/>
        <w:i w:val="0"/>
        <w:spacing w:val="0"/>
        <w:w w:val="100"/>
        <w:sz w:val="24"/>
      </w:rPr>
    </w:lvl>
    <w:lvl w:ilvl="2">
      <w:numFmt w:val="bullet"/>
      <w:lvlText w:val="•"/>
      <w:lvlJc w:val="left"/>
      <w:pPr>
        <w:ind w:left="800" w:hanging="140"/>
      </w:pPr>
    </w:lvl>
    <w:lvl w:ilvl="3">
      <w:numFmt w:val="bullet"/>
      <w:lvlText w:val="•"/>
      <w:lvlJc w:val="left"/>
      <w:pPr>
        <w:ind w:left="1933" w:hanging="140"/>
      </w:pPr>
    </w:lvl>
    <w:lvl w:ilvl="4">
      <w:numFmt w:val="bullet"/>
      <w:lvlText w:val="•"/>
      <w:lvlJc w:val="left"/>
      <w:pPr>
        <w:ind w:left="3066" w:hanging="140"/>
      </w:pPr>
    </w:lvl>
    <w:lvl w:ilvl="5">
      <w:numFmt w:val="bullet"/>
      <w:lvlText w:val="•"/>
      <w:lvlJc w:val="left"/>
      <w:pPr>
        <w:ind w:left="4199" w:hanging="140"/>
      </w:pPr>
    </w:lvl>
    <w:lvl w:ilvl="6">
      <w:numFmt w:val="bullet"/>
      <w:lvlText w:val="•"/>
      <w:lvlJc w:val="left"/>
      <w:pPr>
        <w:ind w:left="5333" w:hanging="140"/>
      </w:pPr>
    </w:lvl>
    <w:lvl w:ilvl="7">
      <w:numFmt w:val="bullet"/>
      <w:lvlText w:val="•"/>
      <w:lvlJc w:val="left"/>
      <w:pPr>
        <w:ind w:left="6466" w:hanging="140"/>
      </w:pPr>
    </w:lvl>
    <w:lvl w:ilvl="8">
      <w:numFmt w:val="bullet"/>
      <w:lvlText w:val="•"/>
      <w:lvlJc w:val="left"/>
      <w:pPr>
        <w:ind w:left="7599" w:hanging="140"/>
      </w:pPr>
    </w:lvl>
  </w:abstractNum>
  <w:abstractNum w:abstractNumId="2" w15:restartNumberingAfterBreak="0">
    <w:nsid w:val="00000404"/>
    <w:multiLevelType w:val="multilevel"/>
    <w:tmpl w:val="FFFFFFFF"/>
    <w:lvl w:ilvl="0">
      <w:numFmt w:val="bullet"/>
      <w:lvlText w:val="-"/>
      <w:lvlJc w:val="left"/>
      <w:pPr>
        <w:ind w:left="120" w:hanging="216"/>
      </w:pPr>
      <w:rPr>
        <w:rFonts w:ascii="Times New Roman" w:hAnsi="Times New Roman"/>
        <w:b w:val="0"/>
        <w:i w:val="0"/>
        <w:spacing w:val="0"/>
        <w:w w:val="100"/>
        <w:sz w:val="24"/>
      </w:rPr>
    </w:lvl>
    <w:lvl w:ilvl="1">
      <w:numFmt w:val="bullet"/>
      <w:lvlText w:val="•"/>
      <w:lvlJc w:val="left"/>
      <w:pPr>
        <w:ind w:left="1094" w:hanging="216"/>
      </w:pPr>
    </w:lvl>
    <w:lvl w:ilvl="2">
      <w:numFmt w:val="bullet"/>
      <w:lvlText w:val="•"/>
      <w:lvlJc w:val="left"/>
      <w:pPr>
        <w:ind w:left="2069" w:hanging="216"/>
      </w:pPr>
    </w:lvl>
    <w:lvl w:ilvl="3">
      <w:numFmt w:val="bullet"/>
      <w:lvlText w:val="•"/>
      <w:lvlJc w:val="left"/>
      <w:pPr>
        <w:ind w:left="3043" w:hanging="216"/>
      </w:pPr>
    </w:lvl>
    <w:lvl w:ilvl="4">
      <w:numFmt w:val="bullet"/>
      <w:lvlText w:val="•"/>
      <w:lvlJc w:val="left"/>
      <w:pPr>
        <w:ind w:left="4018" w:hanging="216"/>
      </w:pPr>
    </w:lvl>
    <w:lvl w:ilvl="5">
      <w:numFmt w:val="bullet"/>
      <w:lvlText w:val="•"/>
      <w:lvlJc w:val="left"/>
      <w:pPr>
        <w:ind w:left="4993" w:hanging="216"/>
      </w:pPr>
    </w:lvl>
    <w:lvl w:ilvl="6">
      <w:numFmt w:val="bullet"/>
      <w:lvlText w:val="•"/>
      <w:lvlJc w:val="left"/>
      <w:pPr>
        <w:ind w:left="5967" w:hanging="216"/>
      </w:pPr>
    </w:lvl>
    <w:lvl w:ilvl="7">
      <w:numFmt w:val="bullet"/>
      <w:lvlText w:val="•"/>
      <w:lvlJc w:val="left"/>
      <w:pPr>
        <w:ind w:left="6942" w:hanging="216"/>
      </w:pPr>
    </w:lvl>
    <w:lvl w:ilvl="8">
      <w:numFmt w:val="bullet"/>
      <w:lvlText w:val="•"/>
      <w:lvlJc w:val="left"/>
      <w:pPr>
        <w:ind w:left="7917" w:hanging="216"/>
      </w:pPr>
    </w:lvl>
  </w:abstractNum>
  <w:abstractNum w:abstractNumId="3" w15:restartNumberingAfterBreak="0">
    <w:nsid w:val="00000405"/>
    <w:multiLevelType w:val="multilevel"/>
    <w:tmpl w:val="FFFFFFFF"/>
    <w:lvl w:ilvl="0">
      <w:start w:val="2"/>
      <w:numFmt w:val="decimal"/>
      <w:lvlText w:val="%1."/>
      <w:lvlJc w:val="left"/>
      <w:pPr>
        <w:ind w:left="21" w:hanging="240"/>
      </w:pPr>
      <w:rPr>
        <w:rFonts w:ascii="Times New Roman" w:hAnsi="Times New Roman" w:cs="Times New Roman"/>
        <w:b w:val="0"/>
        <w:bCs w:val="0"/>
        <w:i w:val="0"/>
        <w:iCs w:val="0"/>
        <w:spacing w:val="0"/>
        <w:w w:val="100"/>
        <w:sz w:val="24"/>
        <w:szCs w:val="24"/>
      </w:rPr>
    </w:lvl>
    <w:lvl w:ilvl="1">
      <w:numFmt w:val="bullet"/>
      <w:lvlText w:val="•"/>
      <w:lvlJc w:val="left"/>
      <w:pPr>
        <w:ind w:left="324" w:hanging="240"/>
      </w:pPr>
    </w:lvl>
    <w:lvl w:ilvl="2">
      <w:numFmt w:val="bullet"/>
      <w:lvlText w:val="•"/>
      <w:lvlJc w:val="left"/>
      <w:pPr>
        <w:ind w:left="629" w:hanging="240"/>
      </w:pPr>
    </w:lvl>
    <w:lvl w:ilvl="3">
      <w:numFmt w:val="bullet"/>
      <w:lvlText w:val="•"/>
      <w:lvlJc w:val="left"/>
      <w:pPr>
        <w:ind w:left="934" w:hanging="240"/>
      </w:pPr>
    </w:lvl>
    <w:lvl w:ilvl="4">
      <w:numFmt w:val="bullet"/>
      <w:lvlText w:val="•"/>
      <w:lvlJc w:val="left"/>
      <w:pPr>
        <w:ind w:left="1239" w:hanging="240"/>
      </w:pPr>
    </w:lvl>
    <w:lvl w:ilvl="5">
      <w:numFmt w:val="bullet"/>
      <w:lvlText w:val="•"/>
      <w:lvlJc w:val="left"/>
      <w:pPr>
        <w:ind w:left="1544" w:hanging="240"/>
      </w:pPr>
    </w:lvl>
    <w:lvl w:ilvl="6">
      <w:numFmt w:val="bullet"/>
      <w:lvlText w:val="•"/>
      <w:lvlJc w:val="left"/>
      <w:pPr>
        <w:ind w:left="1849" w:hanging="240"/>
      </w:pPr>
    </w:lvl>
    <w:lvl w:ilvl="7">
      <w:numFmt w:val="bullet"/>
      <w:lvlText w:val="•"/>
      <w:lvlJc w:val="left"/>
      <w:pPr>
        <w:ind w:left="2154" w:hanging="240"/>
      </w:pPr>
    </w:lvl>
    <w:lvl w:ilvl="8">
      <w:numFmt w:val="bullet"/>
      <w:lvlText w:val="•"/>
      <w:lvlJc w:val="left"/>
      <w:pPr>
        <w:ind w:left="2459" w:hanging="240"/>
      </w:pPr>
    </w:lvl>
  </w:abstractNum>
  <w:abstractNum w:abstractNumId="4" w15:restartNumberingAfterBreak="0">
    <w:nsid w:val="00000406"/>
    <w:multiLevelType w:val="multilevel"/>
    <w:tmpl w:val="FFFFFFFF"/>
    <w:lvl w:ilvl="0">
      <w:numFmt w:val="bullet"/>
      <w:lvlText w:val="•"/>
      <w:lvlJc w:val="left"/>
      <w:pPr>
        <w:ind w:left="280" w:hanging="144"/>
      </w:pPr>
      <w:rPr>
        <w:rFonts w:ascii="Times New Roman" w:hAnsi="Times New Roman"/>
        <w:b w:val="0"/>
        <w:i w:val="0"/>
        <w:spacing w:val="0"/>
        <w:w w:val="100"/>
        <w:sz w:val="24"/>
      </w:rPr>
    </w:lvl>
    <w:lvl w:ilvl="1">
      <w:numFmt w:val="bullet"/>
      <w:lvlText w:val="•"/>
      <w:lvlJc w:val="left"/>
      <w:pPr>
        <w:ind w:left="1314" w:hanging="144"/>
      </w:pPr>
    </w:lvl>
    <w:lvl w:ilvl="2">
      <w:numFmt w:val="bullet"/>
      <w:lvlText w:val="•"/>
      <w:lvlJc w:val="left"/>
      <w:pPr>
        <w:ind w:left="2349" w:hanging="144"/>
      </w:pPr>
    </w:lvl>
    <w:lvl w:ilvl="3">
      <w:numFmt w:val="bullet"/>
      <w:lvlText w:val="•"/>
      <w:lvlJc w:val="left"/>
      <w:pPr>
        <w:ind w:left="3383" w:hanging="144"/>
      </w:pPr>
    </w:lvl>
    <w:lvl w:ilvl="4">
      <w:numFmt w:val="bullet"/>
      <w:lvlText w:val="•"/>
      <w:lvlJc w:val="left"/>
      <w:pPr>
        <w:ind w:left="4418" w:hanging="144"/>
      </w:pPr>
    </w:lvl>
    <w:lvl w:ilvl="5">
      <w:numFmt w:val="bullet"/>
      <w:lvlText w:val="•"/>
      <w:lvlJc w:val="left"/>
      <w:pPr>
        <w:ind w:left="5453" w:hanging="144"/>
      </w:pPr>
    </w:lvl>
    <w:lvl w:ilvl="6">
      <w:numFmt w:val="bullet"/>
      <w:lvlText w:val="•"/>
      <w:lvlJc w:val="left"/>
      <w:pPr>
        <w:ind w:left="6487" w:hanging="144"/>
      </w:pPr>
    </w:lvl>
    <w:lvl w:ilvl="7">
      <w:numFmt w:val="bullet"/>
      <w:lvlText w:val="•"/>
      <w:lvlJc w:val="left"/>
      <w:pPr>
        <w:ind w:left="7522" w:hanging="144"/>
      </w:pPr>
    </w:lvl>
    <w:lvl w:ilvl="8">
      <w:numFmt w:val="bullet"/>
      <w:lvlText w:val="•"/>
      <w:lvlJc w:val="left"/>
      <w:pPr>
        <w:ind w:left="8557" w:hanging="144"/>
      </w:pPr>
    </w:lvl>
  </w:abstractNum>
  <w:abstractNum w:abstractNumId="5" w15:restartNumberingAfterBreak="0">
    <w:nsid w:val="01583111"/>
    <w:multiLevelType w:val="hybridMultilevel"/>
    <w:tmpl w:val="2B8875B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24A75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064A710B"/>
    <w:multiLevelType w:val="multilevel"/>
    <w:tmpl w:val="5DB458E8"/>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7BB35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8E6D5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0A3A05A6"/>
    <w:multiLevelType w:val="hybridMultilevel"/>
    <w:tmpl w:val="D4AEA13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7476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7C3E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C9490F"/>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Wingdings" w:hAnsi="Wingdings"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15" w15:restartNumberingAfterBreak="0">
    <w:nsid w:val="11A216F9"/>
    <w:multiLevelType w:val="hybridMultilevel"/>
    <w:tmpl w:val="FFFFFFFF"/>
    <w:lvl w:ilvl="0" w:tplc="0419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11FC27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5A06BA"/>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49680F"/>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0" w15:restartNumberingAfterBreak="0">
    <w:nsid w:val="21E626D1"/>
    <w:multiLevelType w:val="hybridMultilevel"/>
    <w:tmpl w:val="C13495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C66571"/>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2C5F73E5"/>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4" w15:restartNumberingAfterBreak="0">
    <w:nsid w:val="309C0AB9"/>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0B6603"/>
    <w:multiLevelType w:val="multilevel"/>
    <w:tmpl w:val="330B6603"/>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6" w15:restartNumberingAfterBreak="0">
    <w:nsid w:val="34C06E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E210C6"/>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35425C24"/>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9" w15:restartNumberingAfterBreak="0">
    <w:nsid w:val="39AB156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0" w15:restartNumberingAfterBreak="0">
    <w:nsid w:val="41157DB7"/>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1" w15:restartNumberingAfterBreak="0">
    <w:nsid w:val="47C17ED4"/>
    <w:multiLevelType w:val="hybridMultilevel"/>
    <w:tmpl w:val="FFFFFFFF"/>
    <w:lvl w:ilvl="0" w:tplc="F00C8EFE">
      <w:numFmt w:val="bullet"/>
      <w:lvlText w:val="-"/>
      <w:lvlJc w:val="left"/>
      <w:pPr>
        <w:ind w:left="720" w:hanging="360"/>
      </w:pPr>
      <w:rPr>
        <w:rFonts w:ascii="Sylfaen" w:eastAsia="Times New Roman" w:hAnsi="Sylfaen"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2" w15:restartNumberingAfterBreak="0">
    <w:nsid w:val="491143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4B0DC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4"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5E6E68"/>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6" w15:restartNumberingAfterBreak="0">
    <w:nsid w:val="58FC0E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6107FC"/>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8" w15:restartNumberingAfterBreak="0">
    <w:nsid w:val="5F452556"/>
    <w:multiLevelType w:val="multilevel"/>
    <w:tmpl w:val="51D8443C"/>
    <w:lvl w:ilvl="0">
      <w:start w:val="1"/>
      <w:numFmt w:val="decimal"/>
      <w:lvlText w:val="%1."/>
      <w:lvlJc w:val="left"/>
      <w:pPr>
        <w:ind w:left="360" w:hanging="360"/>
      </w:pPr>
      <w:rPr>
        <w:rFonts w:cs="Times New Roman"/>
        <w:b/>
      </w:rPr>
    </w:lvl>
    <w:lvl w:ilvl="1">
      <w:start w:val="1"/>
      <w:numFmt w:val="decimal"/>
      <w:isLgl/>
      <w:lvlText w:val="%1.%2"/>
      <w:lvlJc w:val="left"/>
      <w:pPr>
        <w:ind w:left="390" w:hanging="390"/>
      </w:pPr>
      <w:rPr>
        <w:rFonts w:cs="Sylfaen" w:hint="default"/>
        <w:b/>
      </w:rPr>
    </w:lvl>
    <w:lvl w:ilvl="2">
      <w:start w:val="1"/>
      <w:numFmt w:val="decimal"/>
      <w:isLgl/>
      <w:lvlText w:val="%1.%2.%3"/>
      <w:lvlJc w:val="left"/>
      <w:pPr>
        <w:ind w:left="1080" w:hanging="720"/>
      </w:pPr>
      <w:rPr>
        <w:rFonts w:cs="Sylfaen" w:hint="default"/>
      </w:rPr>
    </w:lvl>
    <w:lvl w:ilvl="3">
      <w:start w:val="1"/>
      <w:numFmt w:val="decimal"/>
      <w:isLgl/>
      <w:lvlText w:val="%1.%2.%3.%4"/>
      <w:lvlJc w:val="left"/>
      <w:pPr>
        <w:ind w:left="1080" w:hanging="720"/>
      </w:pPr>
      <w:rPr>
        <w:rFonts w:cs="Sylfaen" w:hint="default"/>
      </w:rPr>
    </w:lvl>
    <w:lvl w:ilvl="4">
      <w:start w:val="1"/>
      <w:numFmt w:val="decimal"/>
      <w:isLgl/>
      <w:lvlText w:val="%1.%2.%3.%4.%5"/>
      <w:lvlJc w:val="left"/>
      <w:pPr>
        <w:ind w:left="1440" w:hanging="1080"/>
      </w:pPr>
      <w:rPr>
        <w:rFonts w:cs="Sylfaen" w:hint="default"/>
      </w:rPr>
    </w:lvl>
    <w:lvl w:ilvl="5">
      <w:start w:val="1"/>
      <w:numFmt w:val="decimal"/>
      <w:isLgl/>
      <w:lvlText w:val="%1.%2.%3.%4.%5.%6"/>
      <w:lvlJc w:val="left"/>
      <w:pPr>
        <w:ind w:left="1440" w:hanging="1080"/>
      </w:pPr>
      <w:rPr>
        <w:rFonts w:cs="Sylfaen" w:hint="default"/>
      </w:rPr>
    </w:lvl>
    <w:lvl w:ilvl="6">
      <w:start w:val="1"/>
      <w:numFmt w:val="decimal"/>
      <w:isLgl/>
      <w:lvlText w:val="%1.%2.%3.%4.%5.%6.%7"/>
      <w:lvlJc w:val="left"/>
      <w:pPr>
        <w:ind w:left="1800" w:hanging="1440"/>
      </w:pPr>
      <w:rPr>
        <w:rFonts w:cs="Sylfaen" w:hint="default"/>
      </w:rPr>
    </w:lvl>
    <w:lvl w:ilvl="7">
      <w:start w:val="1"/>
      <w:numFmt w:val="decimal"/>
      <w:isLgl/>
      <w:lvlText w:val="%1.%2.%3.%4.%5.%6.%7.%8"/>
      <w:lvlJc w:val="left"/>
      <w:pPr>
        <w:ind w:left="1800" w:hanging="1440"/>
      </w:pPr>
      <w:rPr>
        <w:rFonts w:cs="Sylfaen" w:hint="default"/>
      </w:rPr>
    </w:lvl>
    <w:lvl w:ilvl="8">
      <w:start w:val="1"/>
      <w:numFmt w:val="decimal"/>
      <w:isLgl/>
      <w:lvlText w:val="%1.%2.%3.%4.%5.%6.%7.%8.%9"/>
      <w:lvlJc w:val="left"/>
      <w:pPr>
        <w:ind w:left="2160" w:hanging="1800"/>
      </w:pPr>
      <w:rPr>
        <w:rFonts w:cs="Sylfaen" w:hint="default"/>
      </w:rPr>
    </w:lvl>
  </w:abstractNum>
  <w:abstractNum w:abstractNumId="39" w15:restartNumberingAfterBreak="0">
    <w:nsid w:val="608811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020C8C"/>
    <w:multiLevelType w:val="multilevel"/>
    <w:tmpl w:val="FFFFFFFF"/>
    <w:lvl w:ilvl="0">
      <w:start w:val="1"/>
      <w:numFmt w:val="decimal"/>
      <w:lvlText w:val="%1."/>
      <w:lvlJc w:val="left"/>
      <w:pPr>
        <w:ind w:left="17" w:hanging="180"/>
      </w:pPr>
      <w:rPr>
        <w:rFonts w:cs="Times New Roman"/>
        <w:b w:val="0"/>
        <w:bCs w:val="0"/>
        <w:i w:val="0"/>
        <w:iCs w:val="0"/>
        <w:spacing w:val="0"/>
        <w:w w:val="100"/>
        <w:sz w:val="24"/>
        <w:szCs w:val="24"/>
      </w:rPr>
    </w:lvl>
    <w:lvl w:ilvl="1">
      <w:numFmt w:val="bullet"/>
      <w:lvlText w:val="•"/>
      <w:lvlJc w:val="left"/>
      <w:pPr>
        <w:ind w:left="511" w:hanging="180"/>
      </w:pPr>
    </w:lvl>
    <w:lvl w:ilvl="2">
      <w:numFmt w:val="bullet"/>
      <w:lvlText w:val="•"/>
      <w:lvlJc w:val="left"/>
      <w:pPr>
        <w:ind w:left="1002" w:hanging="180"/>
      </w:pPr>
    </w:lvl>
    <w:lvl w:ilvl="3">
      <w:numFmt w:val="bullet"/>
      <w:lvlText w:val="•"/>
      <w:lvlJc w:val="left"/>
      <w:pPr>
        <w:ind w:left="1493" w:hanging="180"/>
      </w:pPr>
    </w:lvl>
    <w:lvl w:ilvl="4">
      <w:numFmt w:val="bullet"/>
      <w:lvlText w:val="•"/>
      <w:lvlJc w:val="left"/>
      <w:pPr>
        <w:ind w:left="1985" w:hanging="180"/>
      </w:pPr>
    </w:lvl>
    <w:lvl w:ilvl="5">
      <w:numFmt w:val="bullet"/>
      <w:lvlText w:val="•"/>
      <w:lvlJc w:val="left"/>
      <w:pPr>
        <w:ind w:left="2476" w:hanging="180"/>
      </w:pPr>
    </w:lvl>
    <w:lvl w:ilvl="6">
      <w:numFmt w:val="bullet"/>
      <w:lvlText w:val="•"/>
      <w:lvlJc w:val="left"/>
      <w:pPr>
        <w:ind w:left="2967" w:hanging="180"/>
      </w:pPr>
    </w:lvl>
    <w:lvl w:ilvl="7">
      <w:numFmt w:val="bullet"/>
      <w:lvlText w:val="•"/>
      <w:lvlJc w:val="left"/>
      <w:pPr>
        <w:ind w:left="3458" w:hanging="180"/>
      </w:pPr>
    </w:lvl>
    <w:lvl w:ilvl="8">
      <w:numFmt w:val="bullet"/>
      <w:lvlText w:val="•"/>
      <w:lvlJc w:val="left"/>
      <w:pPr>
        <w:ind w:left="3950" w:hanging="180"/>
      </w:pPr>
    </w:lvl>
  </w:abstractNum>
  <w:abstractNum w:abstractNumId="42" w15:restartNumberingAfterBreak="0">
    <w:nsid w:val="664817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0504C"/>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4" w15:restartNumberingAfterBreak="0">
    <w:nsid w:val="743868EB"/>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5" w15:restartNumberingAfterBreak="0">
    <w:nsid w:val="749A067F"/>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86C1772"/>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7" w15:restartNumberingAfterBreak="0">
    <w:nsid w:val="7E5F4B0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822692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6307591">
    <w:abstractNumId w:val="38"/>
  </w:num>
  <w:num w:numId="3" w16cid:durableId="1959487369">
    <w:abstractNumId w:val="37"/>
  </w:num>
  <w:num w:numId="4" w16cid:durableId="1032342228">
    <w:abstractNumId w:val="8"/>
  </w:num>
  <w:num w:numId="5" w16cid:durableId="1799254353">
    <w:abstractNumId w:val="20"/>
  </w:num>
  <w:num w:numId="6" w16cid:durableId="625357323">
    <w:abstractNumId w:val="19"/>
  </w:num>
  <w:num w:numId="7" w16cid:durableId="503475054">
    <w:abstractNumId w:val="5"/>
  </w:num>
  <w:num w:numId="8" w16cid:durableId="1708867990">
    <w:abstractNumId w:val="35"/>
  </w:num>
  <w:num w:numId="9" w16cid:durableId="2055957834">
    <w:abstractNumId w:val="27"/>
  </w:num>
  <w:num w:numId="10" w16cid:durableId="580869557">
    <w:abstractNumId w:val="45"/>
  </w:num>
  <w:num w:numId="11" w16cid:durableId="1333920742">
    <w:abstractNumId w:val="11"/>
  </w:num>
  <w:num w:numId="12" w16cid:durableId="604001917">
    <w:abstractNumId w:val="46"/>
  </w:num>
  <w:num w:numId="13" w16cid:durableId="176892436">
    <w:abstractNumId w:val="28"/>
  </w:num>
  <w:num w:numId="14" w16cid:durableId="1067146293">
    <w:abstractNumId w:val="2"/>
  </w:num>
  <w:num w:numId="15" w16cid:durableId="247227037">
    <w:abstractNumId w:val="1"/>
  </w:num>
  <w:num w:numId="16" w16cid:durableId="1478568948">
    <w:abstractNumId w:val="0"/>
  </w:num>
  <w:num w:numId="17" w16cid:durableId="192308379">
    <w:abstractNumId w:val="12"/>
  </w:num>
  <w:num w:numId="18" w16cid:durableId="1911966450">
    <w:abstractNumId w:val="24"/>
  </w:num>
  <w:num w:numId="19" w16cid:durableId="523977726">
    <w:abstractNumId w:val="36"/>
  </w:num>
  <w:num w:numId="20" w16cid:durableId="439448152">
    <w:abstractNumId w:val="32"/>
  </w:num>
  <w:num w:numId="21" w16cid:durableId="955986939">
    <w:abstractNumId w:val="16"/>
  </w:num>
  <w:num w:numId="22" w16cid:durableId="2042129260">
    <w:abstractNumId w:val="6"/>
  </w:num>
  <w:num w:numId="23" w16cid:durableId="1971744270">
    <w:abstractNumId w:val="42"/>
  </w:num>
  <w:num w:numId="24" w16cid:durableId="413161585">
    <w:abstractNumId w:val="13"/>
  </w:num>
  <w:num w:numId="25" w16cid:durableId="1291546958">
    <w:abstractNumId w:val="47"/>
  </w:num>
  <w:num w:numId="26" w16cid:durableId="370035923">
    <w:abstractNumId w:val="29"/>
  </w:num>
  <w:num w:numId="27" w16cid:durableId="641156977">
    <w:abstractNumId w:val="33"/>
  </w:num>
  <w:num w:numId="28" w16cid:durableId="1226917961">
    <w:abstractNumId w:val="22"/>
  </w:num>
  <w:num w:numId="29" w16cid:durableId="1174564468">
    <w:abstractNumId w:val="10"/>
  </w:num>
  <w:num w:numId="30" w16cid:durableId="1944073496">
    <w:abstractNumId w:val="9"/>
  </w:num>
  <w:num w:numId="31" w16cid:durableId="502553455">
    <w:abstractNumId w:val="39"/>
  </w:num>
  <w:num w:numId="32" w16cid:durableId="1686638934">
    <w:abstractNumId w:val="26"/>
  </w:num>
  <w:num w:numId="33" w16cid:durableId="1667392592">
    <w:abstractNumId w:val="30"/>
  </w:num>
  <w:num w:numId="34" w16cid:durableId="2109617244">
    <w:abstractNumId w:val="17"/>
  </w:num>
  <w:num w:numId="35" w16cid:durableId="1310213174">
    <w:abstractNumId w:val="4"/>
  </w:num>
  <w:num w:numId="36" w16cid:durableId="259339557">
    <w:abstractNumId w:val="3"/>
  </w:num>
  <w:num w:numId="37" w16cid:durableId="193076605">
    <w:abstractNumId w:val="14"/>
  </w:num>
  <w:num w:numId="38" w16cid:durableId="1988588111">
    <w:abstractNumId w:val="41"/>
  </w:num>
  <w:num w:numId="39" w16cid:durableId="1064717438">
    <w:abstractNumId w:val="15"/>
  </w:num>
  <w:num w:numId="40" w16cid:durableId="866674036">
    <w:abstractNumId w:val="31"/>
  </w:num>
  <w:num w:numId="41" w16cid:durableId="896817001">
    <w:abstractNumId w:val="44"/>
  </w:num>
  <w:num w:numId="42" w16cid:durableId="1884899925">
    <w:abstractNumId w:val="43"/>
  </w:num>
  <w:num w:numId="43" w16cid:durableId="466626928">
    <w:abstractNumId w:val="23"/>
  </w:num>
  <w:num w:numId="44" w16cid:durableId="225528575">
    <w:abstractNumId w:val="7"/>
  </w:num>
  <w:num w:numId="45" w16cid:durableId="1040133467">
    <w:abstractNumId w:val="21"/>
  </w:num>
  <w:num w:numId="46" w16cid:durableId="1139225292">
    <w:abstractNumId w:val="34"/>
  </w:num>
  <w:num w:numId="47" w16cid:durableId="1858036836">
    <w:abstractNumId w:val="18"/>
  </w:num>
  <w:num w:numId="48" w16cid:durableId="10708055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DC1"/>
    <w:rsid w:val="00001FB1"/>
    <w:rsid w:val="000256FA"/>
    <w:rsid w:val="0003720F"/>
    <w:rsid w:val="00046065"/>
    <w:rsid w:val="00047BD7"/>
    <w:rsid w:val="00056040"/>
    <w:rsid w:val="00056205"/>
    <w:rsid w:val="000573FA"/>
    <w:rsid w:val="00066A52"/>
    <w:rsid w:val="00067BC3"/>
    <w:rsid w:val="00075E93"/>
    <w:rsid w:val="00091CA0"/>
    <w:rsid w:val="00093D73"/>
    <w:rsid w:val="000978A7"/>
    <w:rsid w:val="000A4E12"/>
    <w:rsid w:val="000A7CA7"/>
    <w:rsid w:val="000E0D37"/>
    <w:rsid w:val="000E628E"/>
    <w:rsid w:val="000F23CC"/>
    <w:rsid w:val="000F3464"/>
    <w:rsid w:val="00102395"/>
    <w:rsid w:val="001226B6"/>
    <w:rsid w:val="0012484E"/>
    <w:rsid w:val="0012765D"/>
    <w:rsid w:val="00127A7D"/>
    <w:rsid w:val="001414C6"/>
    <w:rsid w:val="001472FA"/>
    <w:rsid w:val="00151245"/>
    <w:rsid w:val="001704DA"/>
    <w:rsid w:val="00172398"/>
    <w:rsid w:val="00175C8B"/>
    <w:rsid w:val="00183B48"/>
    <w:rsid w:val="00186DC1"/>
    <w:rsid w:val="00187F69"/>
    <w:rsid w:val="001A4E61"/>
    <w:rsid w:val="001A689C"/>
    <w:rsid w:val="001C7301"/>
    <w:rsid w:val="001E2C36"/>
    <w:rsid w:val="001F5907"/>
    <w:rsid w:val="00201291"/>
    <w:rsid w:val="00215E66"/>
    <w:rsid w:val="00222C79"/>
    <w:rsid w:val="00225ACA"/>
    <w:rsid w:val="00225D82"/>
    <w:rsid w:val="002437C6"/>
    <w:rsid w:val="002456E6"/>
    <w:rsid w:val="00247F2A"/>
    <w:rsid w:val="00257409"/>
    <w:rsid w:val="002614D0"/>
    <w:rsid w:val="0026361A"/>
    <w:rsid w:val="00267BB4"/>
    <w:rsid w:val="00270725"/>
    <w:rsid w:val="00270955"/>
    <w:rsid w:val="00274460"/>
    <w:rsid w:val="002810DF"/>
    <w:rsid w:val="0029508E"/>
    <w:rsid w:val="002A1061"/>
    <w:rsid w:val="002A5323"/>
    <w:rsid w:val="002A6DD8"/>
    <w:rsid w:val="002A70E8"/>
    <w:rsid w:val="002A7CB3"/>
    <w:rsid w:val="002B4115"/>
    <w:rsid w:val="002B4A46"/>
    <w:rsid w:val="002D2DC1"/>
    <w:rsid w:val="002E1C7E"/>
    <w:rsid w:val="002E221E"/>
    <w:rsid w:val="002E28B5"/>
    <w:rsid w:val="002F56E2"/>
    <w:rsid w:val="002F7A36"/>
    <w:rsid w:val="00300932"/>
    <w:rsid w:val="00302829"/>
    <w:rsid w:val="00307E9D"/>
    <w:rsid w:val="003116B5"/>
    <w:rsid w:val="00324A10"/>
    <w:rsid w:val="00335F44"/>
    <w:rsid w:val="00337ED1"/>
    <w:rsid w:val="0035545C"/>
    <w:rsid w:val="0035655F"/>
    <w:rsid w:val="00357FB6"/>
    <w:rsid w:val="00366074"/>
    <w:rsid w:val="00370480"/>
    <w:rsid w:val="00380BC9"/>
    <w:rsid w:val="00382943"/>
    <w:rsid w:val="003A291B"/>
    <w:rsid w:val="003B10C4"/>
    <w:rsid w:val="003B1536"/>
    <w:rsid w:val="003B618F"/>
    <w:rsid w:val="003C33EF"/>
    <w:rsid w:val="003D4131"/>
    <w:rsid w:val="003D43F0"/>
    <w:rsid w:val="003D6A3D"/>
    <w:rsid w:val="003E1C93"/>
    <w:rsid w:val="003E5006"/>
    <w:rsid w:val="003E51C8"/>
    <w:rsid w:val="00400CF5"/>
    <w:rsid w:val="004133DE"/>
    <w:rsid w:val="00422BB3"/>
    <w:rsid w:val="0043043A"/>
    <w:rsid w:val="0043400C"/>
    <w:rsid w:val="004551F0"/>
    <w:rsid w:val="0045662F"/>
    <w:rsid w:val="00461AF7"/>
    <w:rsid w:val="00464677"/>
    <w:rsid w:val="00471090"/>
    <w:rsid w:val="004848AD"/>
    <w:rsid w:val="004855E7"/>
    <w:rsid w:val="004910AB"/>
    <w:rsid w:val="004A505E"/>
    <w:rsid w:val="004A62B0"/>
    <w:rsid w:val="004B513D"/>
    <w:rsid w:val="004C0F87"/>
    <w:rsid w:val="004C4145"/>
    <w:rsid w:val="004F102D"/>
    <w:rsid w:val="004F2B53"/>
    <w:rsid w:val="00500061"/>
    <w:rsid w:val="00511DFC"/>
    <w:rsid w:val="005269C6"/>
    <w:rsid w:val="00551158"/>
    <w:rsid w:val="00554DEF"/>
    <w:rsid w:val="0055573D"/>
    <w:rsid w:val="00557265"/>
    <w:rsid w:val="005641E5"/>
    <w:rsid w:val="00566D0F"/>
    <w:rsid w:val="00572AA0"/>
    <w:rsid w:val="00593C1A"/>
    <w:rsid w:val="00597D9A"/>
    <w:rsid w:val="005A2AE6"/>
    <w:rsid w:val="005B123F"/>
    <w:rsid w:val="005B1D8D"/>
    <w:rsid w:val="005C4A9D"/>
    <w:rsid w:val="005C65AD"/>
    <w:rsid w:val="005D21B1"/>
    <w:rsid w:val="005D57C3"/>
    <w:rsid w:val="005E6834"/>
    <w:rsid w:val="005F062D"/>
    <w:rsid w:val="0061754B"/>
    <w:rsid w:val="00624E36"/>
    <w:rsid w:val="00630D8B"/>
    <w:rsid w:val="006340EE"/>
    <w:rsid w:val="006519C1"/>
    <w:rsid w:val="006536E7"/>
    <w:rsid w:val="00654E71"/>
    <w:rsid w:val="00660C7E"/>
    <w:rsid w:val="006726D0"/>
    <w:rsid w:val="006732D2"/>
    <w:rsid w:val="00677417"/>
    <w:rsid w:val="006852F6"/>
    <w:rsid w:val="00695A61"/>
    <w:rsid w:val="006A435E"/>
    <w:rsid w:val="006A4FF6"/>
    <w:rsid w:val="006A5A87"/>
    <w:rsid w:val="006B2CBB"/>
    <w:rsid w:val="006B3659"/>
    <w:rsid w:val="006E01E6"/>
    <w:rsid w:val="006E0D4B"/>
    <w:rsid w:val="006F65B1"/>
    <w:rsid w:val="00703B0D"/>
    <w:rsid w:val="0071227D"/>
    <w:rsid w:val="00720953"/>
    <w:rsid w:val="007320A1"/>
    <w:rsid w:val="007357EB"/>
    <w:rsid w:val="0073717B"/>
    <w:rsid w:val="00742FBE"/>
    <w:rsid w:val="00753BDB"/>
    <w:rsid w:val="00756EF0"/>
    <w:rsid w:val="0076303D"/>
    <w:rsid w:val="00766C61"/>
    <w:rsid w:val="00767841"/>
    <w:rsid w:val="00771855"/>
    <w:rsid w:val="00777D8E"/>
    <w:rsid w:val="0078193C"/>
    <w:rsid w:val="00782D24"/>
    <w:rsid w:val="0078307E"/>
    <w:rsid w:val="00786168"/>
    <w:rsid w:val="00787928"/>
    <w:rsid w:val="00791E43"/>
    <w:rsid w:val="0079375C"/>
    <w:rsid w:val="007964E4"/>
    <w:rsid w:val="007B1B68"/>
    <w:rsid w:val="007B1D60"/>
    <w:rsid w:val="007B45B8"/>
    <w:rsid w:val="007D1069"/>
    <w:rsid w:val="007D1DFA"/>
    <w:rsid w:val="007D5341"/>
    <w:rsid w:val="007E3BC3"/>
    <w:rsid w:val="007E5AA1"/>
    <w:rsid w:val="007F5D42"/>
    <w:rsid w:val="00814516"/>
    <w:rsid w:val="0084083C"/>
    <w:rsid w:val="008435B6"/>
    <w:rsid w:val="0085150E"/>
    <w:rsid w:val="00851F08"/>
    <w:rsid w:val="00855658"/>
    <w:rsid w:val="00876EBF"/>
    <w:rsid w:val="008848D6"/>
    <w:rsid w:val="0088755B"/>
    <w:rsid w:val="008A268D"/>
    <w:rsid w:val="008C39A4"/>
    <w:rsid w:val="008D3B43"/>
    <w:rsid w:val="008D4F5A"/>
    <w:rsid w:val="008E27BF"/>
    <w:rsid w:val="008E27DD"/>
    <w:rsid w:val="008F350B"/>
    <w:rsid w:val="008F62D3"/>
    <w:rsid w:val="00901915"/>
    <w:rsid w:val="0091031E"/>
    <w:rsid w:val="0091197D"/>
    <w:rsid w:val="00912773"/>
    <w:rsid w:val="00925776"/>
    <w:rsid w:val="009303BC"/>
    <w:rsid w:val="00937AAB"/>
    <w:rsid w:val="00945784"/>
    <w:rsid w:val="00951200"/>
    <w:rsid w:val="009533FE"/>
    <w:rsid w:val="00955010"/>
    <w:rsid w:val="00957E2E"/>
    <w:rsid w:val="00966E62"/>
    <w:rsid w:val="00971C93"/>
    <w:rsid w:val="00982372"/>
    <w:rsid w:val="0098390C"/>
    <w:rsid w:val="009907E2"/>
    <w:rsid w:val="00991EF4"/>
    <w:rsid w:val="00993700"/>
    <w:rsid w:val="009A2589"/>
    <w:rsid w:val="009A3CF0"/>
    <w:rsid w:val="009B0689"/>
    <w:rsid w:val="009B1795"/>
    <w:rsid w:val="009E0353"/>
    <w:rsid w:val="009E122F"/>
    <w:rsid w:val="009F302A"/>
    <w:rsid w:val="00A056FC"/>
    <w:rsid w:val="00A1532A"/>
    <w:rsid w:val="00A2075D"/>
    <w:rsid w:val="00A343B6"/>
    <w:rsid w:val="00A4616D"/>
    <w:rsid w:val="00A5242E"/>
    <w:rsid w:val="00A7750F"/>
    <w:rsid w:val="00A80390"/>
    <w:rsid w:val="00A83D8B"/>
    <w:rsid w:val="00A878A0"/>
    <w:rsid w:val="00AC4A25"/>
    <w:rsid w:val="00AD1199"/>
    <w:rsid w:val="00AD7016"/>
    <w:rsid w:val="00AE376B"/>
    <w:rsid w:val="00AE6E40"/>
    <w:rsid w:val="00AF4482"/>
    <w:rsid w:val="00B01AE7"/>
    <w:rsid w:val="00B06C4A"/>
    <w:rsid w:val="00B11525"/>
    <w:rsid w:val="00B16D0E"/>
    <w:rsid w:val="00B17065"/>
    <w:rsid w:val="00B261ED"/>
    <w:rsid w:val="00B31F8C"/>
    <w:rsid w:val="00B33809"/>
    <w:rsid w:val="00B463FD"/>
    <w:rsid w:val="00B61229"/>
    <w:rsid w:val="00B67932"/>
    <w:rsid w:val="00B81194"/>
    <w:rsid w:val="00B82067"/>
    <w:rsid w:val="00B90F32"/>
    <w:rsid w:val="00BB2177"/>
    <w:rsid w:val="00BB3D2C"/>
    <w:rsid w:val="00BC2FF7"/>
    <w:rsid w:val="00BC5647"/>
    <w:rsid w:val="00BC685F"/>
    <w:rsid w:val="00BE06A2"/>
    <w:rsid w:val="00BE1EB2"/>
    <w:rsid w:val="00BE637E"/>
    <w:rsid w:val="00BE6490"/>
    <w:rsid w:val="00BF12E2"/>
    <w:rsid w:val="00BF7988"/>
    <w:rsid w:val="00C011CC"/>
    <w:rsid w:val="00C01869"/>
    <w:rsid w:val="00C01AFB"/>
    <w:rsid w:val="00C01FF5"/>
    <w:rsid w:val="00C0612F"/>
    <w:rsid w:val="00C10807"/>
    <w:rsid w:val="00C12959"/>
    <w:rsid w:val="00C12F8C"/>
    <w:rsid w:val="00C13B92"/>
    <w:rsid w:val="00C22221"/>
    <w:rsid w:val="00C25CFC"/>
    <w:rsid w:val="00C25E6E"/>
    <w:rsid w:val="00C309B6"/>
    <w:rsid w:val="00C330E9"/>
    <w:rsid w:val="00C374EF"/>
    <w:rsid w:val="00C41412"/>
    <w:rsid w:val="00C41D55"/>
    <w:rsid w:val="00C46C03"/>
    <w:rsid w:val="00C57E7D"/>
    <w:rsid w:val="00C63AFD"/>
    <w:rsid w:val="00C67851"/>
    <w:rsid w:val="00C7057E"/>
    <w:rsid w:val="00C754CE"/>
    <w:rsid w:val="00C77423"/>
    <w:rsid w:val="00C823E9"/>
    <w:rsid w:val="00C90AFA"/>
    <w:rsid w:val="00CA42D6"/>
    <w:rsid w:val="00CB0AD6"/>
    <w:rsid w:val="00CC57F0"/>
    <w:rsid w:val="00CE4779"/>
    <w:rsid w:val="00CF19B4"/>
    <w:rsid w:val="00CF21A7"/>
    <w:rsid w:val="00D06AF8"/>
    <w:rsid w:val="00D2096A"/>
    <w:rsid w:val="00D26711"/>
    <w:rsid w:val="00D3211D"/>
    <w:rsid w:val="00D9652E"/>
    <w:rsid w:val="00D96E02"/>
    <w:rsid w:val="00D975D3"/>
    <w:rsid w:val="00DA53D8"/>
    <w:rsid w:val="00DB6BE0"/>
    <w:rsid w:val="00DB7AEB"/>
    <w:rsid w:val="00DC1696"/>
    <w:rsid w:val="00DC2064"/>
    <w:rsid w:val="00DD7DF1"/>
    <w:rsid w:val="00DE0302"/>
    <w:rsid w:val="00DE0345"/>
    <w:rsid w:val="00DE08A3"/>
    <w:rsid w:val="00DE1DBB"/>
    <w:rsid w:val="00DE5F8D"/>
    <w:rsid w:val="00DE7351"/>
    <w:rsid w:val="00DE78BD"/>
    <w:rsid w:val="00DF1D25"/>
    <w:rsid w:val="00DF23A7"/>
    <w:rsid w:val="00E04C1F"/>
    <w:rsid w:val="00E11B5F"/>
    <w:rsid w:val="00E51AC3"/>
    <w:rsid w:val="00E60A27"/>
    <w:rsid w:val="00E74578"/>
    <w:rsid w:val="00E75E68"/>
    <w:rsid w:val="00E84F24"/>
    <w:rsid w:val="00E93E7A"/>
    <w:rsid w:val="00E96811"/>
    <w:rsid w:val="00EA5CBA"/>
    <w:rsid w:val="00EB0E15"/>
    <w:rsid w:val="00EB0F47"/>
    <w:rsid w:val="00EC20A5"/>
    <w:rsid w:val="00ED211D"/>
    <w:rsid w:val="00F061EF"/>
    <w:rsid w:val="00F40B01"/>
    <w:rsid w:val="00F45786"/>
    <w:rsid w:val="00F55239"/>
    <w:rsid w:val="00F76A54"/>
    <w:rsid w:val="00F80A37"/>
    <w:rsid w:val="00F843DF"/>
    <w:rsid w:val="00F91DD0"/>
    <w:rsid w:val="00FA7304"/>
    <w:rsid w:val="00FA74A2"/>
    <w:rsid w:val="00FB584C"/>
    <w:rsid w:val="00FC26F6"/>
    <w:rsid w:val="00FD67FE"/>
    <w:rsid w:val="00FD6A0B"/>
    <w:rsid w:val="00FE2D4C"/>
    <w:rsid w:val="00FF21C4"/>
    <w:rsid w:val="00FF46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7C8E0"/>
  <w15:docId w15:val="{4533D530-D1E6-4DB1-B78A-EF5C3EF9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F8C"/>
    <w:pPr>
      <w:spacing w:after="160" w:line="259" w:lineRule="auto"/>
    </w:pPr>
    <w:rPr>
      <w:sz w:val="22"/>
      <w:szCs w:val="22"/>
      <w:lang w:val="ru-RU" w:eastAsia="en-US"/>
    </w:rPr>
  </w:style>
  <w:style w:type="paragraph" w:styleId="Heading1">
    <w:name w:val="heading 1"/>
    <w:basedOn w:val="Normal"/>
    <w:next w:val="Normal"/>
    <w:link w:val="Heading1Char"/>
    <w:uiPriority w:val="99"/>
    <w:qFormat/>
    <w:rsid w:val="00C7057E"/>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link w:val="Heading2Char"/>
    <w:uiPriority w:val="99"/>
    <w:qFormat/>
    <w:rsid w:val="00C22221"/>
    <w:pPr>
      <w:widowControl w:val="0"/>
      <w:autoSpaceDE w:val="0"/>
      <w:autoSpaceDN w:val="0"/>
      <w:spacing w:after="0" w:line="240" w:lineRule="auto"/>
      <w:ind w:left="156"/>
      <w:outlineLvl w:val="1"/>
    </w:pPr>
    <w:rPr>
      <w:rFonts w:ascii="Times New Roman" w:eastAsia="Times New Roman" w:hAnsi="Times New Roman"/>
      <w:b/>
      <w:bCs/>
      <w:sz w:val="24"/>
      <w:szCs w:val="24"/>
      <w:lang w:val="en-US"/>
    </w:rPr>
  </w:style>
  <w:style w:type="paragraph" w:styleId="Heading3">
    <w:name w:val="heading 3"/>
    <w:basedOn w:val="Normal"/>
    <w:next w:val="Normal"/>
    <w:link w:val="Heading3Char"/>
    <w:uiPriority w:val="99"/>
    <w:qFormat/>
    <w:locked/>
    <w:rsid w:val="00BB3D2C"/>
    <w:pPr>
      <w:keepNext/>
      <w:keepLines/>
      <w:widowControl w:val="0"/>
      <w:autoSpaceDE w:val="0"/>
      <w:autoSpaceDN w:val="0"/>
      <w:adjustRightInd w:val="0"/>
      <w:spacing w:before="160" w:after="80" w:line="240" w:lineRule="auto"/>
      <w:outlineLvl w:val="2"/>
    </w:pPr>
    <w:rPr>
      <w:rFonts w:ascii="Times New Roman" w:eastAsia="Times New Roman" w:hAnsi="Times New Roman"/>
      <w:color w:val="0F4761"/>
      <w:sz w:val="28"/>
      <w:szCs w:val="28"/>
      <w:lang w:val="ka-GE" w:eastAsia="ka-GE"/>
    </w:rPr>
  </w:style>
  <w:style w:type="paragraph" w:styleId="Heading4">
    <w:name w:val="heading 4"/>
    <w:basedOn w:val="Normal"/>
    <w:next w:val="Normal"/>
    <w:link w:val="Heading4Char"/>
    <w:uiPriority w:val="99"/>
    <w:qFormat/>
    <w:locked/>
    <w:rsid w:val="00BB3D2C"/>
    <w:pPr>
      <w:keepNext/>
      <w:keepLines/>
      <w:widowControl w:val="0"/>
      <w:autoSpaceDE w:val="0"/>
      <w:autoSpaceDN w:val="0"/>
      <w:adjustRightInd w:val="0"/>
      <w:spacing w:before="80" w:after="40" w:line="240" w:lineRule="auto"/>
      <w:outlineLvl w:val="3"/>
    </w:pPr>
    <w:rPr>
      <w:rFonts w:ascii="Times New Roman" w:eastAsia="Times New Roman" w:hAnsi="Times New Roman"/>
      <w:i/>
      <w:iCs/>
      <w:color w:val="0F4761"/>
      <w:lang w:val="ka-GE" w:eastAsia="ka-GE"/>
    </w:rPr>
  </w:style>
  <w:style w:type="paragraph" w:styleId="Heading5">
    <w:name w:val="heading 5"/>
    <w:basedOn w:val="Normal"/>
    <w:next w:val="Normal"/>
    <w:link w:val="Heading5Char"/>
    <w:uiPriority w:val="99"/>
    <w:qFormat/>
    <w:locked/>
    <w:rsid w:val="00BB3D2C"/>
    <w:pPr>
      <w:keepNext/>
      <w:keepLines/>
      <w:widowControl w:val="0"/>
      <w:autoSpaceDE w:val="0"/>
      <w:autoSpaceDN w:val="0"/>
      <w:adjustRightInd w:val="0"/>
      <w:spacing w:before="80" w:after="40" w:line="240" w:lineRule="auto"/>
      <w:outlineLvl w:val="4"/>
    </w:pPr>
    <w:rPr>
      <w:rFonts w:ascii="Times New Roman" w:eastAsia="Times New Roman" w:hAnsi="Times New Roman"/>
      <w:color w:val="0F4761"/>
      <w:lang w:val="ka-GE" w:eastAsia="ka-GE"/>
    </w:rPr>
  </w:style>
  <w:style w:type="paragraph" w:styleId="Heading6">
    <w:name w:val="heading 6"/>
    <w:basedOn w:val="Normal"/>
    <w:next w:val="Normal"/>
    <w:link w:val="Heading6Char"/>
    <w:uiPriority w:val="99"/>
    <w:qFormat/>
    <w:locked/>
    <w:rsid w:val="00BB3D2C"/>
    <w:pPr>
      <w:keepNext/>
      <w:keepLines/>
      <w:widowControl w:val="0"/>
      <w:autoSpaceDE w:val="0"/>
      <w:autoSpaceDN w:val="0"/>
      <w:adjustRightInd w:val="0"/>
      <w:spacing w:before="40" w:after="0" w:line="240" w:lineRule="auto"/>
      <w:outlineLvl w:val="5"/>
    </w:pPr>
    <w:rPr>
      <w:rFonts w:ascii="Times New Roman" w:eastAsia="Times New Roman" w:hAnsi="Times New Roman"/>
      <w:i/>
      <w:iCs/>
      <w:color w:val="595959"/>
      <w:lang w:val="ka-GE" w:eastAsia="ka-GE"/>
    </w:rPr>
  </w:style>
  <w:style w:type="paragraph" w:styleId="Heading7">
    <w:name w:val="heading 7"/>
    <w:basedOn w:val="Normal"/>
    <w:next w:val="Normal"/>
    <w:link w:val="Heading7Char"/>
    <w:uiPriority w:val="99"/>
    <w:qFormat/>
    <w:locked/>
    <w:rsid w:val="00BB3D2C"/>
    <w:pPr>
      <w:keepNext/>
      <w:keepLines/>
      <w:widowControl w:val="0"/>
      <w:autoSpaceDE w:val="0"/>
      <w:autoSpaceDN w:val="0"/>
      <w:adjustRightInd w:val="0"/>
      <w:spacing w:before="40" w:after="0" w:line="240" w:lineRule="auto"/>
      <w:outlineLvl w:val="6"/>
    </w:pPr>
    <w:rPr>
      <w:rFonts w:ascii="Times New Roman" w:eastAsia="Times New Roman" w:hAnsi="Times New Roman"/>
      <w:color w:val="595959"/>
      <w:lang w:val="ka-GE" w:eastAsia="ka-GE"/>
    </w:rPr>
  </w:style>
  <w:style w:type="paragraph" w:styleId="Heading8">
    <w:name w:val="heading 8"/>
    <w:basedOn w:val="Normal"/>
    <w:next w:val="Normal"/>
    <w:link w:val="Heading8Char"/>
    <w:uiPriority w:val="99"/>
    <w:qFormat/>
    <w:locked/>
    <w:rsid w:val="00BB3D2C"/>
    <w:pPr>
      <w:keepNext/>
      <w:keepLines/>
      <w:widowControl w:val="0"/>
      <w:autoSpaceDE w:val="0"/>
      <w:autoSpaceDN w:val="0"/>
      <w:adjustRightInd w:val="0"/>
      <w:spacing w:after="0" w:line="240" w:lineRule="auto"/>
      <w:outlineLvl w:val="7"/>
    </w:pPr>
    <w:rPr>
      <w:rFonts w:ascii="Times New Roman" w:eastAsia="Times New Roman" w:hAnsi="Times New Roman"/>
      <w:i/>
      <w:iCs/>
      <w:color w:val="272727"/>
      <w:lang w:val="ka-GE" w:eastAsia="ka-GE"/>
    </w:rPr>
  </w:style>
  <w:style w:type="paragraph" w:styleId="Heading9">
    <w:name w:val="heading 9"/>
    <w:basedOn w:val="Normal"/>
    <w:next w:val="Normal"/>
    <w:link w:val="Heading9Char"/>
    <w:uiPriority w:val="99"/>
    <w:qFormat/>
    <w:locked/>
    <w:rsid w:val="00BB3D2C"/>
    <w:pPr>
      <w:keepNext/>
      <w:keepLines/>
      <w:widowControl w:val="0"/>
      <w:autoSpaceDE w:val="0"/>
      <w:autoSpaceDN w:val="0"/>
      <w:adjustRightInd w:val="0"/>
      <w:spacing w:after="0" w:line="240" w:lineRule="auto"/>
      <w:outlineLvl w:val="8"/>
    </w:pPr>
    <w:rPr>
      <w:rFonts w:ascii="Times New Roman" w:eastAsia="Times New Roman" w:hAnsi="Times New Roman"/>
      <w:color w:val="272727"/>
      <w:lang w:val="ka-GE" w:eastAsia="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57E"/>
    <w:rPr>
      <w:rFonts w:ascii="Calibri Light" w:hAnsi="Calibri Light" w:cs="Times New Roman"/>
      <w:color w:val="2E74B5"/>
      <w:sz w:val="32"/>
      <w:szCs w:val="32"/>
    </w:rPr>
  </w:style>
  <w:style w:type="character" w:customStyle="1" w:styleId="Heading2Char">
    <w:name w:val="Heading 2 Char"/>
    <w:link w:val="Heading2"/>
    <w:uiPriority w:val="99"/>
    <w:locked/>
    <w:rsid w:val="00C22221"/>
    <w:rPr>
      <w:rFonts w:ascii="Times New Roman" w:hAnsi="Times New Roman" w:cs="Times New Roman"/>
      <w:b/>
      <w:bCs/>
      <w:sz w:val="24"/>
      <w:szCs w:val="24"/>
      <w:lang w:val="en-US"/>
    </w:rPr>
  </w:style>
  <w:style w:type="character" w:customStyle="1" w:styleId="Heading3Char">
    <w:name w:val="Heading 3 Char"/>
    <w:link w:val="Heading3"/>
    <w:uiPriority w:val="99"/>
    <w:semiHidden/>
    <w:locked/>
    <w:rsid w:val="00BB3D2C"/>
    <w:rPr>
      <w:rFonts w:eastAsia="Times New Roman" w:cs="Times New Roman"/>
      <w:color w:val="0F4761"/>
      <w:sz w:val="28"/>
      <w:szCs w:val="28"/>
      <w:lang w:val="ka-GE" w:eastAsia="ka-GE" w:bidi="ar-SA"/>
    </w:rPr>
  </w:style>
  <w:style w:type="character" w:customStyle="1" w:styleId="Heading4Char">
    <w:name w:val="Heading 4 Char"/>
    <w:link w:val="Heading4"/>
    <w:uiPriority w:val="99"/>
    <w:semiHidden/>
    <w:locked/>
    <w:rsid w:val="00BB3D2C"/>
    <w:rPr>
      <w:rFonts w:eastAsia="Times New Roman" w:cs="Times New Roman"/>
      <w:i/>
      <w:iCs/>
      <w:color w:val="0F4761"/>
      <w:sz w:val="22"/>
      <w:szCs w:val="22"/>
      <w:lang w:val="ka-GE" w:eastAsia="ka-GE" w:bidi="ar-SA"/>
    </w:rPr>
  </w:style>
  <w:style w:type="character" w:customStyle="1" w:styleId="Heading5Char">
    <w:name w:val="Heading 5 Char"/>
    <w:link w:val="Heading5"/>
    <w:uiPriority w:val="99"/>
    <w:semiHidden/>
    <w:locked/>
    <w:rsid w:val="00BB3D2C"/>
    <w:rPr>
      <w:rFonts w:eastAsia="Times New Roman" w:cs="Times New Roman"/>
      <w:color w:val="0F4761"/>
      <w:sz w:val="22"/>
      <w:szCs w:val="22"/>
      <w:lang w:val="ka-GE" w:eastAsia="ka-GE" w:bidi="ar-SA"/>
    </w:rPr>
  </w:style>
  <w:style w:type="character" w:customStyle="1" w:styleId="Heading6Char">
    <w:name w:val="Heading 6 Char"/>
    <w:link w:val="Heading6"/>
    <w:uiPriority w:val="99"/>
    <w:semiHidden/>
    <w:locked/>
    <w:rsid w:val="00BB3D2C"/>
    <w:rPr>
      <w:rFonts w:eastAsia="Times New Roman" w:cs="Times New Roman"/>
      <w:i/>
      <w:iCs/>
      <w:color w:val="595959"/>
      <w:sz w:val="22"/>
      <w:szCs w:val="22"/>
      <w:lang w:val="ka-GE" w:eastAsia="ka-GE" w:bidi="ar-SA"/>
    </w:rPr>
  </w:style>
  <w:style w:type="character" w:customStyle="1" w:styleId="Heading7Char">
    <w:name w:val="Heading 7 Char"/>
    <w:link w:val="Heading7"/>
    <w:uiPriority w:val="99"/>
    <w:semiHidden/>
    <w:locked/>
    <w:rsid w:val="00BB3D2C"/>
    <w:rPr>
      <w:rFonts w:eastAsia="Times New Roman" w:cs="Times New Roman"/>
      <w:color w:val="595959"/>
      <w:sz w:val="22"/>
      <w:szCs w:val="22"/>
      <w:lang w:val="ka-GE" w:eastAsia="ka-GE" w:bidi="ar-SA"/>
    </w:rPr>
  </w:style>
  <w:style w:type="character" w:customStyle="1" w:styleId="Heading8Char">
    <w:name w:val="Heading 8 Char"/>
    <w:link w:val="Heading8"/>
    <w:uiPriority w:val="99"/>
    <w:semiHidden/>
    <w:locked/>
    <w:rsid w:val="00BB3D2C"/>
    <w:rPr>
      <w:rFonts w:eastAsia="Times New Roman" w:cs="Times New Roman"/>
      <w:i/>
      <w:iCs/>
      <w:color w:val="272727"/>
      <w:sz w:val="22"/>
      <w:szCs w:val="22"/>
      <w:lang w:val="ka-GE" w:eastAsia="ka-GE" w:bidi="ar-SA"/>
    </w:rPr>
  </w:style>
  <w:style w:type="character" w:customStyle="1" w:styleId="Heading9Char">
    <w:name w:val="Heading 9 Char"/>
    <w:link w:val="Heading9"/>
    <w:uiPriority w:val="99"/>
    <w:semiHidden/>
    <w:locked/>
    <w:rsid w:val="00BB3D2C"/>
    <w:rPr>
      <w:rFonts w:eastAsia="Times New Roman" w:cs="Times New Roman"/>
      <w:color w:val="272727"/>
      <w:sz w:val="22"/>
      <w:szCs w:val="22"/>
      <w:lang w:val="ka-GE" w:eastAsia="ka-GE" w:bidi="ar-SA"/>
    </w:rPr>
  </w:style>
  <w:style w:type="paragraph" w:styleId="Header">
    <w:name w:val="header"/>
    <w:basedOn w:val="Normal"/>
    <w:link w:val="HeaderChar"/>
    <w:uiPriority w:val="99"/>
    <w:rsid w:val="002D2DC1"/>
    <w:pPr>
      <w:tabs>
        <w:tab w:val="center" w:pos="4677"/>
        <w:tab w:val="right" w:pos="9355"/>
      </w:tabs>
      <w:spacing w:after="0" w:line="240" w:lineRule="auto"/>
    </w:pPr>
  </w:style>
  <w:style w:type="character" w:customStyle="1" w:styleId="HeaderChar">
    <w:name w:val="Header Char"/>
    <w:link w:val="Header"/>
    <w:uiPriority w:val="99"/>
    <w:locked/>
    <w:rsid w:val="002D2DC1"/>
    <w:rPr>
      <w:rFonts w:cs="Times New Roman"/>
    </w:rPr>
  </w:style>
  <w:style w:type="paragraph" w:styleId="Footer">
    <w:name w:val="footer"/>
    <w:basedOn w:val="Normal"/>
    <w:link w:val="FooterChar"/>
    <w:uiPriority w:val="99"/>
    <w:rsid w:val="002D2DC1"/>
    <w:pPr>
      <w:tabs>
        <w:tab w:val="center" w:pos="4677"/>
        <w:tab w:val="right" w:pos="9355"/>
      </w:tabs>
      <w:spacing w:after="0" w:line="240" w:lineRule="auto"/>
    </w:pPr>
  </w:style>
  <w:style w:type="character" w:customStyle="1" w:styleId="FooterChar">
    <w:name w:val="Footer Char"/>
    <w:link w:val="Footer"/>
    <w:uiPriority w:val="99"/>
    <w:locked/>
    <w:rsid w:val="002D2DC1"/>
    <w:rPr>
      <w:rFonts w:cs="Times New Roman"/>
    </w:rPr>
  </w:style>
  <w:style w:type="paragraph" w:styleId="NoSpacing">
    <w:name w:val="No Spacing"/>
    <w:uiPriority w:val="99"/>
    <w:qFormat/>
    <w:rsid w:val="002D2DC1"/>
    <w:rPr>
      <w:sz w:val="22"/>
      <w:szCs w:val="22"/>
      <w:lang w:val="en-US" w:eastAsia="en-US"/>
    </w:rPr>
  </w:style>
  <w:style w:type="paragraph" w:styleId="NormalWeb">
    <w:name w:val="Normal (Web)"/>
    <w:basedOn w:val="Normal"/>
    <w:uiPriority w:val="99"/>
    <w:rsid w:val="002D2DC1"/>
    <w:pPr>
      <w:spacing w:before="100" w:beforeAutospacing="1" w:after="100" w:afterAutospacing="1" w:line="240" w:lineRule="auto"/>
    </w:pPr>
    <w:rPr>
      <w:rFonts w:ascii="Times New Roman" w:eastAsia="Times New Roman" w:hAnsi="Times New Roman"/>
      <w:sz w:val="24"/>
      <w:szCs w:val="24"/>
      <w:lang w:val="en-IN" w:eastAsia="en-IN"/>
    </w:rPr>
  </w:style>
  <w:style w:type="table" w:styleId="TableGrid">
    <w:name w:val="Table Grid"/>
    <w:basedOn w:val="TableNormal"/>
    <w:uiPriority w:val="99"/>
    <w:rsid w:val="002D2DC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TableLeft">
    <w:name w:val="EMEA Table Left"/>
    <w:basedOn w:val="Normal"/>
    <w:uiPriority w:val="99"/>
    <w:rsid w:val="00BE1EB2"/>
    <w:pPr>
      <w:keepNext/>
      <w:keepLines/>
      <w:spacing w:after="0" w:line="240" w:lineRule="auto"/>
    </w:pPr>
    <w:rPr>
      <w:rFonts w:ascii="Times New Roman" w:eastAsia="MS Mincho" w:hAnsi="Times New Roman"/>
      <w:lang w:val="en-GB"/>
    </w:rPr>
  </w:style>
  <w:style w:type="paragraph" w:styleId="ListParagraph">
    <w:name w:val="List Paragraph"/>
    <w:basedOn w:val="Normal"/>
    <w:uiPriority w:val="99"/>
    <w:qFormat/>
    <w:rsid w:val="007D5341"/>
    <w:pPr>
      <w:spacing w:after="80" w:line="240" w:lineRule="auto"/>
      <w:ind w:left="720"/>
    </w:pPr>
    <w:rPr>
      <w:rFonts w:eastAsia="Times New Roman"/>
      <w:lang w:val="en-US"/>
    </w:rPr>
  </w:style>
  <w:style w:type="paragraph" w:customStyle="1" w:styleId="AHeader2">
    <w:name w:val="AHeader 2"/>
    <w:basedOn w:val="Normal"/>
    <w:uiPriority w:val="99"/>
    <w:rsid w:val="007D5341"/>
    <w:pPr>
      <w:spacing w:after="120" w:line="240" w:lineRule="auto"/>
    </w:pPr>
    <w:rPr>
      <w:rFonts w:ascii="Arial" w:eastAsia="MS Mincho" w:hAnsi="Arial" w:cs="Arial"/>
      <w:b/>
      <w:bCs/>
      <w:szCs w:val="20"/>
      <w:lang w:val="en-GB"/>
    </w:rPr>
  </w:style>
  <w:style w:type="character" w:customStyle="1" w:styleId="BMSTableNote">
    <w:name w:val="BMS Table Note"/>
    <w:uiPriority w:val="99"/>
    <w:rsid w:val="007D5341"/>
    <w:rPr>
      <w:rFonts w:ascii="Times New Roman" w:hAnsi="Times New Roman"/>
      <w:color w:val="auto"/>
      <w:sz w:val="28"/>
      <w:vertAlign w:val="superscript"/>
    </w:rPr>
  </w:style>
  <w:style w:type="paragraph" w:styleId="BalloonText">
    <w:name w:val="Balloon Text"/>
    <w:basedOn w:val="Normal"/>
    <w:link w:val="BalloonTextChar"/>
    <w:uiPriority w:val="99"/>
    <w:semiHidden/>
    <w:rsid w:val="00C63AF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C63AFD"/>
    <w:rPr>
      <w:rFonts w:ascii="Segoe UI" w:hAnsi="Segoe UI" w:cs="Segoe UI"/>
      <w:sz w:val="18"/>
      <w:szCs w:val="18"/>
    </w:rPr>
  </w:style>
  <w:style w:type="paragraph" w:styleId="BodyText">
    <w:name w:val="Body Text"/>
    <w:basedOn w:val="Normal"/>
    <w:link w:val="BodyTextChar"/>
    <w:uiPriority w:val="99"/>
    <w:rsid w:val="00C22221"/>
    <w:pPr>
      <w:widowControl w:val="0"/>
      <w:autoSpaceDE w:val="0"/>
      <w:autoSpaceDN w:val="0"/>
      <w:spacing w:after="0" w:line="240" w:lineRule="auto"/>
      <w:ind w:left="156"/>
    </w:pPr>
    <w:rPr>
      <w:rFonts w:ascii="Times New Roman" w:eastAsia="Times New Roman" w:hAnsi="Times New Roman"/>
      <w:sz w:val="24"/>
      <w:szCs w:val="24"/>
      <w:lang w:val="en-US"/>
    </w:rPr>
  </w:style>
  <w:style w:type="character" w:customStyle="1" w:styleId="BodyTextChar">
    <w:name w:val="Body Text Char"/>
    <w:link w:val="BodyText"/>
    <w:uiPriority w:val="99"/>
    <w:locked/>
    <w:rsid w:val="00C22221"/>
    <w:rPr>
      <w:rFonts w:ascii="Times New Roman" w:hAnsi="Times New Roman" w:cs="Times New Roman"/>
      <w:sz w:val="24"/>
      <w:szCs w:val="24"/>
      <w:lang w:val="en-US"/>
    </w:rPr>
  </w:style>
  <w:style w:type="character" w:styleId="Hyperlink">
    <w:name w:val="Hyperlink"/>
    <w:uiPriority w:val="99"/>
    <w:rsid w:val="004B513D"/>
    <w:rPr>
      <w:rFonts w:cs="Times New Roman"/>
      <w:color w:val="0563C1"/>
      <w:u w:val="single"/>
    </w:rPr>
  </w:style>
  <w:style w:type="table" w:customStyle="1" w:styleId="GridTable1Light1">
    <w:name w:val="Grid Table 1 Light1"/>
    <w:uiPriority w:val="99"/>
    <w:rsid w:val="00B31F8C"/>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Title">
    <w:name w:val="Title"/>
    <w:basedOn w:val="Normal"/>
    <w:next w:val="Normal"/>
    <w:link w:val="TitleChar"/>
    <w:uiPriority w:val="99"/>
    <w:qFormat/>
    <w:locked/>
    <w:rsid w:val="00BB3D2C"/>
    <w:pPr>
      <w:widowControl w:val="0"/>
      <w:autoSpaceDE w:val="0"/>
      <w:autoSpaceDN w:val="0"/>
      <w:adjustRightInd w:val="0"/>
      <w:spacing w:after="80" w:line="240" w:lineRule="auto"/>
      <w:contextualSpacing/>
    </w:pPr>
    <w:rPr>
      <w:rFonts w:ascii="Sylfaen" w:eastAsia="Times New Roman" w:hAnsi="Sylfaen"/>
      <w:spacing w:val="-10"/>
      <w:kern w:val="28"/>
      <w:sz w:val="56"/>
      <w:szCs w:val="56"/>
      <w:lang w:val="ka-GE" w:eastAsia="ka-GE"/>
    </w:rPr>
  </w:style>
  <w:style w:type="character" w:customStyle="1" w:styleId="TitleChar">
    <w:name w:val="Title Char"/>
    <w:link w:val="Title"/>
    <w:uiPriority w:val="99"/>
    <w:locked/>
    <w:rsid w:val="00BB3D2C"/>
    <w:rPr>
      <w:rFonts w:ascii="Sylfaen" w:hAnsi="Sylfaen" w:cs="Times New Roman"/>
      <w:spacing w:val="-10"/>
      <w:kern w:val="28"/>
      <w:sz w:val="56"/>
      <w:szCs w:val="56"/>
      <w:lang w:val="ka-GE" w:eastAsia="ka-GE" w:bidi="ar-SA"/>
    </w:rPr>
  </w:style>
  <w:style w:type="paragraph" w:styleId="Subtitle">
    <w:name w:val="Subtitle"/>
    <w:basedOn w:val="Normal"/>
    <w:next w:val="Normal"/>
    <w:link w:val="SubtitleChar"/>
    <w:uiPriority w:val="99"/>
    <w:qFormat/>
    <w:locked/>
    <w:rsid w:val="00BB3D2C"/>
    <w:pPr>
      <w:widowControl w:val="0"/>
      <w:numPr>
        <w:ilvl w:val="1"/>
      </w:numPr>
      <w:autoSpaceDE w:val="0"/>
      <w:autoSpaceDN w:val="0"/>
      <w:adjustRightInd w:val="0"/>
      <w:spacing w:after="0" w:line="240" w:lineRule="auto"/>
    </w:pPr>
    <w:rPr>
      <w:rFonts w:ascii="Times New Roman" w:eastAsia="Times New Roman" w:hAnsi="Times New Roman"/>
      <w:color w:val="595959"/>
      <w:spacing w:val="15"/>
      <w:sz w:val="28"/>
      <w:szCs w:val="28"/>
      <w:lang w:val="ka-GE" w:eastAsia="ka-GE"/>
    </w:rPr>
  </w:style>
  <w:style w:type="character" w:customStyle="1" w:styleId="SubtitleChar">
    <w:name w:val="Subtitle Char"/>
    <w:link w:val="Subtitle"/>
    <w:uiPriority w:val="99"/>
    <w:locked/>
    <w:rsid w:val="00BB3D2C"/>
    <w:rPr>
      <w:rFonts w:eastAsia="Times New Roman" w:cs="Times New Roman"/>
      <w:color w:val="595959"/>
      <w:spacing w:val="15"/>
      <w:sz w:val="28"/>
      <w:szCs w:val="28"/>
      <w:lang w:val="ka-GE" w:eastAsia="ka-GE" w:bidi="ar-SA"/>
    </w:rPr>
  </w:style>
  <w:style w:type="paragraph" w:styleId="Quote">
    <w:name w:val="Quote"/>
    <w:basedOn w:val="Normal"/>
    <w:next w:val="Normal"/>
    <w:link w:val="QuoteChar"/>
    <w:uiPriority w:val="99"/>
    <w:qFormat/>
    <w:rsid w:val="00BB3D2C"/>
    <w:pPr>
      <w:widowControl w:val="0"/>
      <w:autoSpaceDE w:val="0"/>
      <w:autoSpaceDN w:val="0"/>
      <w:adjustRightInd w:val="0"/>
      <w:spacing w:before="160" w:after="0" w:line="240" w:lineRule="auto"/>
      <w:jc w:val="center"/>
    </w:pPr>
    <w:rPr>
      <w:rFonts w:ascii="Times New Roman" w:eastAsia="Times New Roman" w:hAnsi="Times New Roman"/>
      <w:i/>
      <w:iCs/>
      <w:color w:val="404040"/>
      <w:lang w:val="ka-GE" w:eastAsia="ka-GE"/>
    </w:rPr>
  </w:style>
  <w:style w:type="character" w:customStyle="1" w:styleId="QuoteChar">
    <w:name w:val="Quote Char"/>
    <w:link w:val="Quote"/>
    <w:uiPriority w:val="99"/>
    <w:locked/>
    <w:rsid w:val="00BB3D2C"/>
    <w:rPr>
      <w:rFonts w:eastAsia="Times New Roman" w:cs="Times New Roman"/>
      <w:i/>
      <w:iCs/>
      <w:color w:val="404040"/>
      <w:sz w:val="22"/>
      <w:szCs w:val="22"/>
      <w:lang w:val="ka-GE" w:eastAsia="ka-GE" w:bidi="ar-SA"/>
    </w:rPr>
  </w:style>
  <w:style w:type="character" w:styleId="IntenseEmphasis">
    <w:name w:val="Intense Emphasis"/>
    <w:uiPriority w:val="99"/>
    <w:qFormat/>
    <w:rsid w:val="00BB3D2C"/>
    <w:rPr>
      <w:rFonts w:cs="Times New Roman"/>
      <w:i/>
      <w:iCs/>
      <w:color w:val="0F4761"/>
    </w:rPr>
  </w:style>
  <w:style w:type="paragraph" w:styleId="IntenseQuote">
    <w:name w:val="Intense Quote"/>
    <w:basedOn w:val="Normal"/>
    <w:next w:val="Normal"/>
    <w:link w:val="IntenseQuoteChar"/>
    <w:uiPriority w:val="99"/>
    <w:qFormat/>
    <w:rsid w:val="00BB3D2C"/>
    <w:pPr>
      <w:widowControl w:val="0"/>
      <w:pBdr>
        <w:top w:val="single" w:sz="4" w:space="10" w:color="0F4761"/>
        <w:bottom w:val="single" w:sz="4" w:space="10" w:color="0F4761"/>
      </w:pBdr>
      <w:autoSpaceDE w:val="0"/>
      <w:autoSpaceDN w:val="0"/>
      <w:adjustRightInd w:val="0"/>
      <w:spacing w:before="360" w:after="360" w:line="240" w:lineRule="auto"/>
      <w:ind w:left="864" w:right="864"/>
      <w:jc w:val="center"/>
    </w:pPr>
    <w:rPr>
      <w:rFonts w:ascii="Times New Roman" w:eastAsia="Times New Roman" w:hAnsi="Times New Roman"/>
      <w:i/>
      <w:iCs/>
      <w:color w:val="0F4761"/>
      <w:lang w:val="ka-GE" w:eastAsia="ka-GE"/>
    </w:rPr>
  </w:style>
  <w:style w:type="character" w:customStyle="1" w:styleId="IntenseQuoteChar">
    <w:name w:val="Intense Quote Char"/>
    <w:link w:val="IntenseQuote"/>
    <w:uiPriority w:val="99"/>
    <w:locked/>
    <w:rsid w:val="00BB3D2C"/>
    <w:rPr>
      <w:rFonts w:eastAsia="Times New Roman" w:cs="Times New Roman"/>
      <w:i/>
      <w:iCs/>
      <w:color w:val="0F4761"/>
      <w:sz w:val="22"/>
      <w:szCs w:val="22"/>
      <w:lang w:val="ka-GE" w:eastAsia="ka-GE" w:bidi="ar-SA"/>
    </w:rPr>
  </w:style>
  <w:style w:type="character" w:styleId="IntenseReference">
    <w:name w:val="Intense Reference"/>
    <w:uiPriority w:val="99"/>
    <w:qFormat/>
    <w:rsid w:val="00BB3D2C"/>
    <w:rPr>
      <w:rFonts w:cs="Times New Roman"/>
      <w:b/>
      <w:bCs/>
      <w:smallCaps/>
      <w:color w:val="0F4761"/>
      <w:spacing w:val="5"/>
    </w:rPr>
  </w:style>
  <w:style w:type="paragraph" w:customStyle="1" w:styleId="TableParagraph">
    <w:name w:val="Table Paragraph"/>
    <w:basedOn w:val="Normal"/>
    <w:uiPriority w:val="99"/>
    <w:rsid w:val="00BB3D2C"/>
    <w:pPr>
      <w:widowControl w:val="0"/>
      <w:autoSpaceDE w:val="0"/>
      <w:autoSpaceDN w:val="0"/>
      <w:adjustRightInd w:val="0"/>
      <w:spacing w:before="12" w:after="0" w:line="270" w:lineRule="exact"/>
      <w:ind w:left="21"/>
    </w:pPr>
    <w:rPr>
      <w:rFonts w:ascii="Times New Roman" w:eastAsia="Times New Roman" w:hAnsi="Times New Roman"/>
      <w:sz w:val="24"/>
      <w:szCs w:val="24"/>
      <w:lang w:val="ka-GE" w:eastAsia="ka-GE"/>
    </w:rPr>
  </w:style>
  <w:style w:type="character" w:styleId="Emphasis">
    <w:name w:val="Emphasis"/>
    <w:uiPriority w:val="99"/>
    <w:qFormat/>
    <w:locked/>
    <w:rsid w:val="00BB3D2C"/>
    <w:rPr>
      <w:rFonts w:cs="Times New Roman"/>
      <w:i/>
    </w:rPr>
  </w:style>
  <w:style w:type="character" w:styleId="Strong">
    <w:name w:val="Strong"/>
    <w:uiPriority w:val="99"/>
    <w:qFormat/>
    <w:locked/>
    <w:rsid w:val="00BB3D2C"/>
    <w:rPr>
      <w:rFonts w:cs="Times New Roman"/>
      <w:b/>
    </w:rPr>
  </w:style>
  <w:style w:type="character" w:customStyle="1" w:styleId="q4iawc">
    <w:name w:val="q4iawc"/>
    <w:uiPriority w:val="99"/>
    <w:rsid w:val="00BB3D2C"/>
  </w:style>
  <w:style w:type="character" w:customStyle="1" w:styleId="citation-110">
    <w:name w:val="citation-110"/>
    <w:uiPriority w:val="99"/>
    <w:rsid w:val="00B82067"/>
    <w:rPr>
      <w:rFonts w:cs="Times New Roman"/>
    </w:rPr>
  </w:style>
  <w:style w:type="character" w:customStyle="1" w:styleId="citation-109">
    <w:name w:val="citation-109"/>
    <w:uiPriority w:val="99"/>
    <w:rsid w:val="00B82067"/>
    <w:rPr>
      <w:rFonts w:cs="Times New Roman"/>
    </w:rPr>
  </w:style>
  <w:style w:type="character" w:customStyle="1" w:styleId="citation-108">
    <w:name w:val="citation-108"/>
    <w:uiPriority w:val="99"/>
    <w:rsid w:val="00B82067"/>
    <w:rPr>
      <w:rFonts w:cs="Times New Roman"/>
    </w:rPr>
  </w:style>
  <w:style w:type="character" w:customStyle="1" w:styleId="citation-107">
    <w:name w:val="citation-107"/>
    <w:uiPriority w:val="99"/>
    <w:rsid w:val="00B82067"/>
    <w:rPr>
      <w:rFonts w:cs="Times New Roman"/>
    </w:rPr>
  </w:style>
  <w:style w:type="character" w:customStyle="1" w:styleId="citation-106">
    <w:name w:val="citation-106"/>
    <w:uiPriority w:val="99"/>
    <w:rsid w:val="00B82067"/>
    <w:rPr>
      <w:rFonts w:cs="Times New Roman"/>
    </w:rPr>
  </w:style>
  <w:style w:type="character" w:customStyle="1" w:styleId="citation-105">
    <w:name w:val="citation-105"/>
    <w:uiPriority w:val="99"/>
    <w:rsid w:val="00B82067"/>
    <w:rPr>
      <w:rFonts w:cs="Times New Roman"/>
    </w:rPr>
  </w:style>
  <w:style w:type="character" w:customStyle="1" w:styleId="citation-104">
    <w:name w:val="citation-104"/>
    <w:uiPriority w:val="99"/>
    <w:rsid w:val="00B82067"/>
    <w:rPr>
      <w:rFonts w:cs="Times New Roman"/>
    </w:rPr>
  </w:style>
  <w:style w:type="character" w:customStyle="1" w:styleId="citation-103">
    <w:name w:val="citation-103"/>
    <w:uiPriority w:val="99"/>
    <w:rsid w:val="00B82067"/>
    <w:rPr>
      <w:rFonts w:cs="Times New Roman"/>
    </w:rPr>
  </w:style>
  <w:style w:type="character" w:customStyle="1" w:styleId="citation-102">
    <w:name w:val="citation-102"/>
    <w:uiPriority w:val="99"/>
    <w:rsid w:val="00B82067"/>
    <w:rPr>
      <w:rFonts w:cs="Times New Roman"/>
    </w:rPr>
  </w:style>
  <w:style w:type="character" w:customStyle="1" w:styleId="citation-101">
    <w:name w:val="citation-101"/>
    <w:uiPriority w:val="99"/>
    <w:rsid w:val="00B82067"/>
    <w:rPr>
      <w:rFonts w:cs="Times New Roman"/>
    </w:rPr>
  </w:style>
  <w:style w:type="character" w:customStyle="1" w:styleId="citation-100">
    <w:name w:val="citation-100"/>
    <w:uiPriority w:val="99"/>
    <w:rsid w:val="00B82067"/>
    <w:rPr>
      <w:rFonts w:cs="Times New Roman"/>
    </w:rPr>
  </w:style>
  <w:style w:type="character" w:customStyle="1" w:styleId="citation-99">
    <w:name w:val="citation-99"/>
    <w:uiPriority w:val="99"/>
    <w:rsid w:val="00B82067"/>
    <w:rPr>
      <w:rFonts w:cs="Times New Roman"/>
    </w:rPr>
  </w:style>
  <w:style w:type="character" w:customStyle="1" w:styleId="citation-98">
    <w:name w:val="citation-98"/>
    <w:uiPriority w:val="99"/>
    <w:rsid w:val="00B82067"/>
    <w:rPr>
      <w:rFonts w:cs="Times New Roman"/>
    </w:rPr>
  </w:style>
  <w:style w:type="character" w:customStyle="1" w:styleId="citation-97">
    <w:name w:val="citation-97"/>
    <w:uiPriority w:val="99"/>
    <w:rsid w:val="00B82067"/>
    <w:rPr>
      <w:rFonts w:cs="Times New Roman"/>
    </w:rPr>
  </w:style>
  <w:style w:type="character" w:customStyle="1" w:styleId="citation-96">
    <w:name w:val="citation-96"/>
    <w:uiPriority w:val="99"/>
    <w:rsid w:val="00B82067"/>
    <w:rPr>
      <w:rFonts w:cs="Times New Roman"/>
    </w:rPr>
  </w:style>
  <w:style w:type="character" w:customStyle="1" w:styleId="citation-95">
    <w:name w:val="citation-95"/>
    <w:uiPriority w:val="99"/>
    <w:rsid w:val="00B82067"/>
    <w:rPr>
      <w:rFonts w:cs="Times New Roman"/>
    </w:rPr>
  </w:style>
  <w:style w:type="character" w:customStyle="1" w:styleId="citation-94">
    <w:name w:val="citation-94"/>
    <w:uiPriority w:val="99"/>
    <w:rsid w:val="00B82067"/>
    <w:rPr>
      <w:rFonts w:cs="Times New Roman"/>
    </w:rPr>
  </w:style>
  <w:style w:type="character" w:customStyle="1" w:styleId="citation-93">
    <w:name w:val="citation-93"/>
    <w:uiPriority w:val="99"/>
    <w:rsid w:val="00B82067"/>
    <w:rPr>
      <w:rFonts w:cs="Times New Roman"/>
    </w:rPr>
  </w:style>
  <w:style w:type="character" w:customStyle="1" w:styleId="citation-92">
    <w:name w:val="citation-92"/>
    <w:uiPriority w:val="99"/>
    <w:rsid w:val="00B82067"/>
    <w:rPr>
      <w:rFonts w:cs="Times New Roman"/>
    </w:rPr>
  </w:style>
  <w:style w:type="character" w:customStyle="1" w:styleId="citation-91">
    <w:name w:val="citation-91"/>
    <w:uiPriority w:val="99"/>
    <w:rsid w:val="00B82067"/>
    <w:rPr>
      <w:rFonts w:cs="Times New Roman"/>
    </w:rPr>
  </w:style>
  <w:style w:type="character" w:customStyle="1" w:styleId="citation-90">
    <w:name w:val="citation-90"/>
    <w:uiPriority w:val="99"/>
    <w:rsid w:val="00B82067"/>
    <w:rPr>
      <w:rFonts w:cs="Times New Roman"/>
    </w:rPr>
  </w:style>
  <w:style w:type="character" w:customStyle="1" w:styleId="citation-89">
    <w:name w:val="citation-89"/>
    <w:uiPriority w:val="99"/>
    <w:rsid w:val="00B82067"/>
    <w:rPr>
      <w:rFonts w:cs="Times New Roman"/>
    </w:rPr>
  </w:style>
  <w:style w:type="character" w:customStyle="1" w:styleId="citation-88">
    <w:name w:val="citation-88"/>
    <w:uiPriority w:val="99"/>
    <w:rsid w:val="00B82067"/>
    <w:rPr>
      <w:rFonts w:cs="Times New Roman"/>
    </w:rPr>
  </w:style>
  <w:style w:type="character" w:customStyle="1" w:styleId="citation-87">
    <w:name w:val="citation-87"/>
    <w:uiPriority w:val="99"/>
    <w:rsid w:val="00B82067"/>
    <w:rPr>
      <w:rFonts w:cs="Times New Roman"/>
    </w:rPr>
  </w:style>
  <w:style w:type="character" w:customStyle="1" w:styleId="citation-86">
    <w:name w:val="citation-86"/>
    <w:uiPriority w:val="99"/>
    <w:rsid w:val="00B82067"/>
    <w:rPr>
      <w:rFonts w:cs="Times New Roman"/>
    </w:rPr>
  </w:style>
  <w:style w:type="character" w:customStyle="1" w:styleId="citation-85">
    <w:name w:val="citation-85"/>
    <w:uiPriority w:val="99"/>
    <w:rsid w:val="00B82067"/>
    <w:rPr>
      <w:rFonts w:cs="Times New Roman"/>
    </w:rPr>
  </w:style>
  <w:style w:type="character" w:customStyle="1" w:styleId="citation-83">
    <w:name w:val="citation-83"/>
    <w:uiPriority w:val="99"/>
    <w:rsid w:val="00B82067"/>
    <w:rPr>
      <w:rFonts w:cs="Times New Roman"/>
    </w:rPr>
  </w:style>
  <w:style w:type="character" w:customStyle="1" w:styleId="citation-82">
    <w:name w:val="citation-82"/>
    <w:uiPriority w:val="99"/>
    <w:rsid w:val="00B82067"/>
    <w:rPr>
      <w:rFonts w:cs="Times New Roman"/>
    </w:rPr>
  </w:style>
  <w:style w:type="character" w:customStyle="1" w:styleId="citation-81">
    <w:name w:val="citation-81"/>
    <w:uiPriority w:val="99"/>
    <w:rsid w:val="00B82067"/>
    <w:rPr>
      <w:rFonts w:cs="Times New Roman"/>
    </w:rPr>
  </w:style>
  <w:style w:type="character" w:customStyle="1" w:styleId="citation-80">
    <w:name w:val="citation-80"/>
    <w:uiPriority w:val="99"/>
    <w:rsid w:val="00B82067"/>
    <w:rPr>
      <w:rFonts w:cs="Times New Roman"/>
    </w:rPr>
  </w:style>
  <w:style w:type="character" w:customStyle="1" w:styleId="citation-79">
    <w:name w:val="citation-79"/>
    <w:uiPriority w:val="99"/>
    <w:rsid w:val="00B82067"/>
    <w:rPr>
      <w:rFonts w:cs="Times New Roman"/>
    </w:rPr>
  </w:style>
  <w:style w:type="character" w:customStyle="1" w:styleId="citation-78">
    <w:name w:val="citation-78"/>
    <w:uiPriority w:val="99"/>
    <w:rsid w:val="00B82067"/>
    <w:rPr>
      <w:rFonts w:cs="Times New Roman"/>
    </w:rPr>
  </w:style>
  <w:style w:type="character" w:customStyle="1" w:styleId="citation-77">
    <w:name w:val="citation-77"/>
    <w:uiPriority w:val="99"/>
    <w:rsid w:val="00B82067"/>
    <w:rPr>
      <w:rFonts w:cs="Times New Roman"/>
    </w:rPr>
  </w:style>
  <w:style w:type="character" w:customStyle="1" w:styleId="citation-76">
    <w:name w:val="citation-76"/>
    <w:uiPriority w:val="99"/>
    <w:rsid w:val="00B82067"/>
    <w:rPr>
      <w:rFonts w:cs="Times New Roman"/>
    </w:rPr>
  </w:style>
  <w:style w:type="character" w:customStyle="1" w:styleId="citation-75">
    <w:name w:val="citation-75"/>
    <w:uiPriority w:val="99"/>
    <w:rsid w:val="00B82067"/>
    <w:rPr>
      <w:rFonts w:cs="Times New Roman"/>
    </w:rPr>
  </w:style>
  <w:style w:type="character" w:customStyle="1" w:styleId="citation-74">
    <w:name w:val="citation-74"/>
    <w:uiPriority w:val="99"/>
    <w:rsid w:val="00B82067"/>
    <w:rPr>
      <w:rFonts w:cs="Times New Roman"/>
    </w:rPr>
  </w:style>
  <w:style w:type="character" w:customStyle="1" w:styleId="Heading10">
    <w:name w:val="Heading #1_"/>
    <w:link w:val="Heading11"/>
    <w:uiPriority w:val="99"/>
    <w:locked/>
    <w:rsid w:val="00B82067"/>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B82067"/>
    <w:rPr>
      <w:rFonts w:cs="Times New Roman"/>
      <w:lang w:bidi="ar-SA"/>
    </w:rPr>
  </w:style>
  <w:style w:type="character" w:customStyle="1" w:styleId="Bodytext2Bold">
    <w:name w:val="Body text (2) + Bold"/>
    <w:uiPriority w:val="99"/>
    <w:rsid w:val="00B82067"/>
    <w:rPr>
      <w:rFonts w:cs="Times New Roman"/>
      <w:b/>
      <w:bCs/>
      <w:lang w:bidi="ar-SA"/>
    </w:rPr>
  </w:style>
  <w:style w:type="character" w:customStyle="1" w:styleId="Bodytext2Italic">
    <w:name w:val="Body text (2) + Italic"/>
    <w:uiPriority w:val="99"/>
    <w:rsid w:val="00B82067"/>
    <w:rPr>
      <w:rFonts w:cs="Times New Roman"/>
      <w:i/>
      <w:iCs/>
      <w:sz w:val="24"/>
      <w:szCs w:val="24"/>
      <w:lang w:bidi="ar-SA"/>
    </w:rPr>
  </w:style>
  <w:style w:type="character" w:customStyle="1" w:styleId="Bodytext20">
    <w:name w:val="Body text (2)"/>
    <w:uiPriority w:val="99"/>
    <w:rsid w:val="00B82067"/>
    <w:rPr>
      <w:rFonts w:cs="Times New Roman"/>
      <w:lang w:bidi="ar-SA"/>
    </w:rPr>
  </w:style>
  <w:style w:type="character" w:customStyle="1" w:styleId="Bodytext4">
    <w:name w:val="Body text (4)_"/>
    <w:link w:val="Bodytext40"/>
    <w:uiPriority w:val="99"/>
    <w:locked/>
    <w:rsid w:val="00B82067"/>
    <w:rPr>
      <w:rFonts w:ascii="Impact" w:hAnsi="Impact" w:cs="Times New Roman"/>
      <w:i/>
      <w:iCs/>
      <w:sz w:val="76"/>
      <w:szCs w:val="76"/>
      <w:lang w:bidi="ar-SA"/>
    </w:rPr>
  </w:style>
  <w:style w:type="paragraph" w:customStyle="1" w:styleId="Heading11">
    <w:name w:val="Heading #1"/>
    <w:basedOn w:val="Normal"/>
    <w:link w:val="Heading10"/>
    <w:uiPriority w:val="99"/>
    <w:rsid w:val="00B82067"/>
    <w:pPr>
      <w:widowControl w:val="0"/>
      <w:shd w:val="clear" w:color="auto" w:fill="FFFFFF"/>
      <w:spacing w:after="120" w:line="240" w:lineRule="atLeast"/>
      <w:jc w:val="right"/>
      <w:outlineLvl w:val="0"/>
    </w:pPr>
    <w:rPr>
      <w:rFonts w:ascii="Franklin Gothic Medium" w:hAnsi="Franklin Gothic Medium"/>
      <w:i/>
      <w:iCs/>
      <w:spacing w:val="-100"/>
      <w:sz w:val="52"/>
      <w:szCs w:val="52"/>
    </w:rPr>
  </w:style>
  <w:style w:type="paragraph" w:customStyle="1" w:styleId="Bodytext21">
    <w:name w:val="Body text (2)1"/>
    <w:basedOn w:val="Normal"/>
    <w:link w:val="Bodytext2"/>
    <w:uiPriority w:val="99"/>
    <w:rsid w:val="00B82067"/>
    <w:pPr>
      <w:widowControl w:val="0"/>
      <w:shd w:val="clear" w:color="auto" w:fill="FFFFFF"/>
      <w:spacing w:before="120" w:after="0" w:line="274" w:lineRule="exact"/>
      <w:jc w:val="both"/>
    </w:pPr>
    <w:rPr>
      <w:rFonts w:ascii="Times New Roman" w:hAnsi="Times New Roman"/>
      <w:sz w:val="20"/>
      <w:szCs w:val="20"/>
    </w:rPr>
  </w:style>
  <w:style w:type="paragraph" w:customStyle="1" w:styleId="Bodytext40">
    <w:name w:val="Body text (4)"/>
    <w:basedOn w:val="Normal"/>
    <w:link w:val="Bodytext4"/>
    <w:uiPriority w:val="99"/>
    <w:rsid w:val="00B82067"/>
    <w:pPr>
      <w:widowControl w:val="0"/>
      <w:shd w:val="clear" w:color="auto" w:fill="FFFFFF"/>
      <w:spacing w:after="0" w:line="240" w:lineRule="atLeast"/>
      <w:jc w:val="right"/>
    </w:pPr>
    <w:rPr>
      <w:rFonts w:ascii="Impact" w:hAnsi="Impact"/>
      <w:i/>
      <w:iCs/>
      <w:sz w:val="76"/>
      <w:szCs w:val="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69490">
      <w:marLeft w:val="0"/>
      <w:marRight w:val="0"/>
      <w:marTop w:val="0"/>
      <w:marBottom w:val="0"/>
      <w:divBdr>
        <w:top w:val="none" w:sz="0" w:space="0" w:color="auto"/>
        <w:left w:val="none" w:sz="0" w:space="0" w:color="auto"/>
        <w:bottom w:val="none" w:sz="0" w:space="0" w:color="auto"/>
        <w:right w:val="none" w:sz="0" w:space="0" w:color="auto"/>
      </w:divBdr>
    </w:div>
    <w:div w:id="534269491">
      <w:marLeft w:val="0"/>
      <w:marRight w:val="0"/>
      <w:marTop w:val="0"/>
      <w:marBottom w:val="0"/>
      <w:divBdr>
        <w:top w:val="none" w:sz="0" w:space="0" w:color="auto"/>
        <w:left w:val="none" w:sz="0" w:space="0" w:color="auto"/>
        <w:bottom w:val="none" w:sz="0" w:space="0" w:color="auto"/>
        <w:right w:val="none" w:sz="0" w:space="0" w:color="auto"/>
      </w:divBdr>
    </w:div>
    <w:div w:id="534269492">
      <w:marLeft w:val="0"/>
      <w:marRight w:val="0"/>
      <w:marTop w:val="0"/>
      <w:marBottom w:val="0"/>
      <w:divBdr>
        <w:top w:val="none" w:sz="0" w:space="0" w:color="auto"/>
        <w:left w:val="none" w:sz="0" w:space="0" w:color="auto"/>
        <w:bottom w:val="none" w:sz="0" w:space="0" w:color="auto"/>
        <w:right w:val="none" w:sz="0" w:space="0" w:color="auto"/>
      </w:divBdr>
    </w:div>
    <w:div w:id="534269493">
      <w:marLeft w:val="0"/>
      <w:marRight w:val="0"/>
      <w:marTop w:val="0"/>
      <w:marBottom w:val="0"/>
      <w:divBdr>
        <w:top w:val="none" w:sz="0" w:space="0" w:color="auto"/>
        <w:left w:val="none" w:sz="0" w:space="0" w:color="auto"/>
        <w:bottom w:val="none" w:sz="0" w:space="0" w:color="auto"/>
        <w:right w:val="none" w:sz="0" w:space="0" w:color="auto"/>
      </w:divBdr>
    </w:div>
    <w:div w:id="534269494">
      <w:marLeft w:val="0"/>
      <w:marRight w:val="0"/>
      <w:marTop w:val="0"/>
      <w:marBottom w:val="0"/>
      <w:divBdr>
        <w:top w:val="none" w:sz="0" w:space="0" w:color="auto"/>
        <w:left w:val="none" w:sz="0" w:space="0" w:color="auto"/>
        <w:bottom w:val="none" w:sz="0" w:space="0" w:color="auto"/>
        <w:right w:val="none" w:sz="0" w:space="0" w:color="auto"/>
      </w:divBdr>
    </w:div>
    <w:div w:id="534269495">
      <w:marLeft w:val="0"/>
      <w:marRight w:val="0"/>
      <w:marTop w:val="0"/>
      <w:marBottom w:val="0"/>
      <w:divBdr>
        <w:top w:val="none" w:sz="0" w:space="0" w:color="auto"/>
        <w:left w:val="none" w:sz="0" w:space="0" w:color="auto"/>
        <w:bottom w:val="none" w:sz="0" w:space="0" w:color="auto"/>
        <w:right w:val="none" w:sz="0" w:space="0" w:color="auto"/>
      </w:divBdr>
    </w:div>
    <w:div w:id="534269496">
      <w:marLeft w:val="0"/>
      <w:marRight w:val="0"/>
      <w:marTop w:val="0"/>
      <w:marBottom w:val="0"/>
      <w:divBdr>
        <w:top w:val="none" w:sz="0" w:space="0" w:color="auto"/>
        <w:left w:val="none" w:sz="0" w:space="0" w:color="auto"/>
        <w:bottom w:val="none" w:sz="0" w:space="0" w:color="auto"/>
        <w:right w:val="none" w:sz="0" w:space="0" w:color="auto"/>
      </w:divBdr>
    </w:div>
    <w:div w:id="534269497">
      <w:marLeft w:val="0"/>
      <w:marRight w:val="0"/>
      <w:marTop w:val="0"/>
      <w:marBottom w:val="0"/>
      <w:divBdr>
        <w:top w:val="none" w:sz="0" w:space="0" w:color="auto"/>
        <w:left w:val="none" w:sz="0" w:space="0" w:color="auto"/>
        <w:bottom w:val="none" w:sz="0" w:space="0" w:color="auto"/>
        <w:right w:val="none" w:sz="0" w:space="0" w:color="auto"/>
      </w:divBdr>
    </w:div>
    <w:div w:id="534269498">
      <w:marLeft w:val="0"/>
      <w:marRight w:val="0"/>
      <w:marTop w:val="0"/>
      <w:marBottom w:val="0"/>
      <w:divBdr>
        <w:top w:val="none" w:sz="0" w:space="0" w:color="auto"/>
        <w:left w:val="none" w:sz="0" w:space="0" w:color="auto"/>
        <w:bottom w:val="none" w:sz="0" w:space="0" w:color="auto"/>
        <w:right w:val="none" w:sz="0" w:space="0" w:color="auto"/>
      </w:divBdr>
    </w:div>
    <w:div w:id="534269499">
      <w:marLeft w:val="0"/>
      <w:marRight w:val="0"/>
      <w:marTop w:val="0"/>
      <w:marBottom w:val="0"/>
      <w:divBdr>
        <w:top w:val="none" w:sz="0" w:space="0" w:color="auto"/>
        <w:left w:val="none" w:sz="0" w:space="0" w:color="auto"/>
        <w:bottom w:val="none" w:sz="0" w:space="0" w:color="auto"/>
        <w:right w:val="none" w:sz="0" w:space="0" w:color="auto"/>
      </w:divBdr>
    </w:div>
    <w:div w:id="534269500">
      <w:marLeft w:val="0"/>
      <w:marRight w:val="0"/>
      <w:marTop w:val="0"/>
      <w:marBottom w:val="0"/>
      <w:divBdr>
        <w:top w:val="none" w:sz="0" w:space="0" w:color="auto"/>
        <w:left w:val="none" w:sz="0" w:space="0" w:color="auto"/>
        <w:bottom w:val="none" w:sz="0" w:space="0" w:color="auto"/>
        <w:right w:val="none" w:sz="0" w:space="0" w:color="auto"/>
      </w:divBdr>
    </w:div>
    <w:div w:id="534269501">
      <w:marLeft w:val="0"/>
      <w:marRight w:val="0"/>
      <w:marTop w:val="0"/>
      <w:marBottom w:val="0"/>
      <w:divBdr>
        <w:top w:val="none" w:sz="0" w:space="0" w:color="auto"/>
        <w:left w:val="none" w:sz="0" w:space="0" w:color="auto"/>
        <w:bottom w:val="none" w:sz="0" w:space="0" w:color="auto"/>
        <w:right w:val="none" w:sz="0" w:space="0" w:color="auto"/>
      </w:divBdr>
    </w:div>
    <w:div w:id="534269502">
      <w:marLeft w:val="0"/>
      <w:marRight w:val="0"/>
      <w:marTop w:val="0"/>
      <w:marBottom w:val="0"/>
      <w:divBdr>
        <w:top w:val="none" w:sz="0" w:space="0" w:color="auto"/>
        <w:left w:val="none" w:sz="0" w:space="0" w:color="auto"/>
        <w:bottom w:val="none" w:sz="0" w:space="0" w:color="auto"/>
        <w:right w:val="none" w:sz="0" w:space="0" w:color="auto"/>
      </w:divBdr>
    </w:div>
    <w:div w:id="534269503">
      <w:marLeft w:val="0"/>
      <w:marRight w:val="0"/>
      <w:marTop w:val="0"/>
      <w:marBottom w:val="0"/>
      <w:divBdr>
        <w:top w:val="none" w:sz="0" w:space="0" w:color="auto"/>
        <w:left w:val="none" w:sz="0" w:space="0" w:color="auto"/>
        <w:bottom w:val="none" w:sz="0" w:space="0" w:color="auto"/>
        <w:right w:val="none" w:sz="0" w:space="0" w:color="auto"/>
      </w:divBdr>
    </w:div>
    <w:div w:id="534269504">
      <w:marLeft w:val="0"/>
      <w:marRight w:val="0"/>
      <w:marTop w:val="0"/>
      <w:marBottom w:val="0"/>
      <w:divBdr>
        <w:top w:val="none" w:sz="0" w:space="0" w:color="auto"/>
        <w:left w:val="none" w:sz="0" w:space="0" w:color="auto"/>
        <w:bottom w:val="none" w:sz="0" w:space="0" w:color="auto"/>
        <w:right w:val="none" w:sz="0" w:space="0" w:color="auto"/>
      </w:divBdr>
    </w:div>
    <w:div w:id="534269505">
      <w:marLeft w:val="0"/>
      <w:marRight w:val="0"/>
      <w:marTop w:val="0"/>
      <w:marBottom w:val="0"/>
      <w:divBdr>
        <w:top w:val="none" w:sz="0" w:space="0" w:color="auto"/>
        <w:left w:val="none" w:sz="0" w:space="0" w:color="auto"/>
        <w:bottom w:val="none" w:sz="0" w:space="0" w:color="auto"/>
        <w:right w:val="none" w:sz="0" w:space="0" w:color="auto"/>
      </w:divBdr>
    </w:div>
    <w:div w:id="534269506">
      <w:marLeft w:val="0"/>
      <w:marRight w:val="0"/>
      <w:marTop w:val="0"/>
      <w:marBottom w:val="0"/>
      <w:divBdr>
        <w:top w:val="none" w:sz="0" w:space="0" w:color="auto"/>
        <w:left w:val="none" w:sz="0" w:space="0" w:color="auto"/>
        <w:bottom w:val="none" w:sz="0" w:space="0" w:color="auto"/>
        <w:right w:val="none" w:sz="0" w:space="0" w:color="auto"/>
      </w:divBdr>
    </w:div>
    <w:div w:id="534269507">
      <w:marLeft w:val="0"/>
      <w:marRight w:val="0"/>
      <w:marTop w:val="0"/>
      <w:marBottom w:val="0"/>
      <w:divBdr>
        <w:top w:val="none" w:sz="0" w:space="0" w:color="auto"/>
        <w:left w:val="none" w:sz="0" w:space="0" w:color="auto"/>
        <w:bottom w:val="none" w:sz="0" w:space="0" w:color="auto"/>
        <w:right w:val="none" w:sz="0" w:space="0" w:color="auto"/>
      </w:divBdr>
    </w:div>
    <w:div w:id="534269508">
      <w:marLeft w:val="0"/>
      <w:marRight w:val="0"/>
      <w:marTop w:val="0"/>
      <w:marBottom w:val="0"/>
      <w:divBdr>
        <w:top w:val="none" w:sz="0" w:space="0" w:color="auto"/>
        <w:left w:val="none" w:sz="0" w:space="0" w:color="auto"/>
        <w:bottom w:val="none" w:sz="0" w:space="0" w:color="auto"/>
        <w:right w:val="none" w:sz="0" w:space="0" w:color="auto"/>
      </w:divBdr>
    </w:div>
    <w:div w:id="534269509">
      <w:marLeft w:val="0"/>
      <w:marRight w:val="0"/>
      <w:marTop w:val="0"/>
      <w:marBottom w:val="0"/>
      <w:divBdr>
        <w:top w:val="none" w:sz="0" w:space="0" w:color="auto"/>
        <w:left w:val="none" w:sz="0" w:space="0" w:color="auto"/>
        <w:bottom w:val="none" w:sz="0" w:space="0" w:color="auto"/>
        <w:right w:val="none" w:sz="0" w:space="0" w:color="auto"/>
      </w:divBdr>
    </w:div>
    <w:div w:id="534269510">
      <w:marLeft w:val="0"/>
      <w:marRight w:val="0"/>
      <w:marTop w:val="0"/>
      <w:marBottom w:val="0"/>
      <w:divBdr>
        <w:top w:val="none" w:sz="0" w:space="0" w:color="auto"/>
        <w:left w:val="none" w:sz="0" w:space="0" w:color="auto"/>
        <w:bottom w:val="none" w:sz="0" w:space="0" w:color="auto"/>
        <w:right w:val="none" w:sz="0" w:space="0" w:color="auto"/>
      </w:divBdr>
    </w:div>
    <w:div w:id="534269511">
      <w:marLeft w:val="0"/>
      <w:marRight w:val="0"/>
      <w:marTop w:val="0"/>
      <w:marBottom w:val="0"/>
      <w:divBdr>
        <w:top w:val="none" w:sz="0" w:space="0" w:color="auto"/>
        <w:left w:val="none" w:sz="0" w:space="0" w:color="auto"/>
        <w:bottom w:val="none" w:sz="0" w:space="0" w:color="auto"/>
        <w:right w:val="none" w:sz="0" w:space="0" w:color="auto"/>
      </w:divBdr>
    </w:div>
    <w:div w:id="534269512">
      <w:marLeft w:val="0"/>
      <w:marRight w:val="0"/>
      <w:marTop w:val="0"/>
      <w:marBottom w:val="0"/>
      <w:divBdr>
        <w:top w:val="none" w:sz="0" w:space="0" w:color="auto"/>
        <w:left w:val="none" w:sz="0" w:space="0" w:color="auto"/>
        <w:bottom w:val="none" w:sz="0" w:space="0" w:color="auto"/>
        <w:right w:val="none" w:sz="0" w:space="0" w:color="auto"/>
      </w:divBdr>
    </w:div>
    <w:div w:id="534269513">
      <w:marLeft w:val="0"/>
      <w:marRight w:val="0"/>
      <w:marTop w:val="0"/>
      <w:marBottom w:val="0"/>
      <w:divBdr>
        <w:top w:val="none" w:sz="0" w:space="0" w:color="auto"/>
        <w:left w:val="none" w:sz="0" w:space="0" w:color="auto"/>
        <w:bottom w:val="none" w:sz="0" w:space="0" w:color="auto"/>
        <w:right w:val="none" w:sz="0" w:space="0" w:color="auto"/>
      </w:divBdr>
    </w:div>
    <w:div w:id="534269514">
      <w:marLeft w:val="0"/>
      <w:marRight w:val="0"/>
      <w:marTop w:val="0"/>
      <w:marBottom w:val="0"/>
      <w:divBdr>
        <w:top w:val="none" w:sz="0" w:space="0" w:color="auto"/>
        <w:left w:val="none" w:sz="0" w:space="0" w:color="auto"/>
        <w:bottom w:val="none" w:sz="0" w:space="0" w:color="auto"/>
        <w:right w:val="none" w:sz="0" w:space="0" w:color="auto"/>
      </w:divBdr>
    </w:div>
    <w:div w:id="534269515">
      <w:marLeft w:val="0"/>
      <w:marRight w:val="0"/>
      <w:marTop w:val="0"/>
      <w:marBottom w:val="0"/>
      <w:divBdr>
        <w:top w:val="none" w:sz="0" w:space="0" w:color="auto"/>
        <w:left w:val="none" w:sz="0" w:space="0" w:color="auto"/>
        <w:bottom w:val="none" w:sz="0" w:space="0" w:color="auto"/>
        <w:right w:val="none" w:sz="0" w:space="0" w:color="auto"/>
      </w:divBdr>
    </w:div>
    <w:div w:id="534269516">
      <w:marLeft w:val="0"/>
      <w:marRight w:val="0"/>
      <w:marTop w:val="0"/>
      <w:marBottom w:val="0"/>
      <w:divBdr>
        <w:top w:val="none" w:sz="0" w:space="0" w:color="auto"/>
        <w:left w:val="none" w:sz="0" w:space="0" w:color="auto"/>
        <w:bottom w:val="none" w:sz="0" w:space="0" w:color="auto"/>
        <w:right w:val="none" w:sz="0" w:space="0" w:color="auto"/>
      </w:divBdr>
    </w:div>
    <w:div w:id="534269517">
      <w:marLeft w:val="0"/>
      <w:marRight w:val="0"/>
      <w:marTop w:val="0"/>
      <w:marBottom w:val="0"/>
      <w:divBdr>
        <w:top w:val="none" w:sz="0" w:space="0" w:color="auto"/>
        <w:left w:val="none" w:sz="0" w:space="0" w:color="auto"/>
        <w:bottom w:val="none" w:sz="0" w:space="0" w:color="auto"/>
        <w:right w:val="none" w:sz="0" w:space="0" w:color="auto"/>
      </w:divBdr>
    </w:div>
    <w:div w:id="534269518">
      <w:marLeft w:val="0"/>
      <w:marRight w:val="0"/>
      <w:marTop w:val="0"/>
      <w:marBottom w:val="0"/>
      <w:divBdr>
        <w:top w:val="none" w:sz="0" w:space="0" w:color="auto"/>
        <w:left w:val="none" w:sz="0" w:space="0" w:color="auto"/>
        <w:bottom w:val="none" w:sz="0" w:space="0" w:color="auto"/>
        <w:right w:val="none" w:sz="0" w:space="0" w:color="auto"/>
      </w:divBdr>
    </w:div>
    <w:div w:id="534269519">
      <w:marLeft w:val="0"/>
      <w:marRight w:val="0"/>
      <w:marTop w:val="0"/>
      <w:marBottom w:val="0"/>
      <w:divBdr>
        <w:top w:val="none" w:sz="0" w:space="0" w:color="auto"/>
        <w:left w:val="none" w:sz="0" w:space="0" w:color="auto"/>
        <w:bottom w:val="none" w:sz="0" w:space="0" w:color="auto"/>
        <w:right w:val="none" w:sz="0" w:space="0" w:color="auto"/>
      </w:divBdr>
    </w:div>
    <w:div w:id="534269520">
      <w:marLeft w:val="0"/>
      <w:marRight w:val="0"/>
      <w:marTop w:val="0"/>
      <w:marBottom w:val="0"/>
      <w:divBdr>
        <w:top w:val="none" w:sz="0" w:space="0" w:color="auto"/>
        <w:left w:val="none" w:sz="0" w:space="0" w:color="auto"/>
        <w:bottom w:val="none" w:sz="0" w:space="0" w:color="auto"/>
        <w:right w:val="none" w:sz="0" w:space="0" w:color="auto"/>
      </w:divBdr>
    </w:div>
    <w:div w:id="534269521">
      <w:marLeft w:val="0"/>
      <w:marRight w:val="0"/>
      <w:marTop w:val="0"/>
      <w:marBottom w:val="0"/>
      <w:divBdr>
        <w:top w:val="none" w:sz="0" w:space="0" w:color="auto"/>
        <w:left w:val="none" w:sz="0" w:space="0" w:color="auto"/>
        <w:bottom w:val="none" w:sz="0" w:space="0" w:color="auto"/>
        <w:right w:val="none" w:sz="0" w:space="0" w:color="auto"/>
      </w:divBdr>
    </w:div>
    <w:div w:id="534269522">
      <w:marLeft w:val="0"/>
      <w:marRight w:val="0"/>
      <w:marTop w:val="0"/>
      <w:marBottom w:val="0"/>
      <w:divBdr>
        <w:top w:val="none" w:sz="0" w:space="0" w:color="auto"/>
        <w:left w:val="none" w:sz="0" w:space="0" w:color="auto"/>
        <w:bottom w:val="none" w:sz="0" w:space="0" w:color="auto"/>
        <w:right w:val="none" w:sz="0" w:space="0" w:color="auto"/>
      </w:divBdr>
    </w:div>
    <w:div w:id="534269523">
      <w:marLeft w:val="0"/>
      <w:marRight w:val="0"/>
      <w:marTop w:val="0"/>
      <w:marBottom w:val="0"/>
      <w:divBdr>
        <w:top w:val="none" w:sz="0" w:space="0" w:color="auto"/>
        <w:left w:val="none" w:sz="0" w:space="0" w:color="auto"/>
        <w:bottom w:val="none" w:sz="0" w:space="0" w:color="auto"/>
        <w:right w:val="none" w:sz="0" w:space="0" w:color="auto"/>
      </w:divBdr>
    </w:div>
    <w:div w:id="534269524">
      <w:marLeft w:val="0"/>
      <w:marRight w:val="0"/>
      <w:marTop w:val="0"/>
      <w:marBottom w:val="0"/>
      <w:divBdr>
        <w:top w:val="none" w:sz="0" w:space="0" w:color="auto"/>
        <w:left w:val="none" w:sz="0" w:space="0" w:color="auto"/>
        <w:bottom w:val="none" w:sz="0" w:space="0" w:color="auto"/>
        <w:right w:val="none" w:sz="0" w:space="0" w:color="auto"/>
      </w:divBdr>
    </w:div>
    <w:div w:id="534269525">
      <w:marLeft w:val="0"/>
      <w:marRight w:val="0"/>
      <w:marTop w:val="0"/>
      <w:marBottom w:val="0"/>
      <w:divBdr>
        <w:top w:val="none" w:sz="0" w:space="0" w:color="auto"/>
        <w:left w:val="none" w:sz="0" w:space="0" w:color="auto"/>
        <w:bottom w:val="none" w:sz="0" w:space="0" w:color="auto"/>
        <w:right w:val="none" w:sz="0" w:space="0" w:color="auto"/>
      </w:divBdr>
    </w:div>
    <w:div w:id="534269526">
      <w:marLeft w:val="0"/>
      <w:marRight w:val="0"/>
      <w:marTop w:val="0"/>
      <w:marBottom w:val="0"/>
      <w:divBdr>
        <w:top w:val="none" w:sz="0" w:space="0" w:color="auto"/>
        <w:left w:val="none" w:sz="0" w:space="0" w:color="auto"/>
        <w:bottom w:val="none" w:sz="0" w:space="0" w:color="auto"/>
        <w:right w:val="none" w:sz="0" w:space="0" w:color="auto"/>
      </w:divBdr>
    </w:div>
    <w:div w:id="534269527">
      <w:marLeft w:val="0"/>
      <w:marRight w:val="0"/>
      <w:marTop w:val="0"/>
      <w:marBottom w:val="0"/>
      <w:divBdr>
        <w:top w:val="none" w:sz="0" w:space="0" w:color="auto"/>
        <w:left w:val="none" w:sz="0" w:space="0" w:color="auto"/>
        <w:bottom w:val="none" w:sz="0" w:space="0" w:color="auto"/>
        <w:right w:val="none" w:sz="0" w:space="0" w:color="auto"/>
      </w:divBdr>
    </w:div>
    <w:div w:id="534269528">
      <w:marLeft w:val="0"/>
      <w:marRight w:val="0"/>
      <w:marTop w:val="0"/>
      <w:marBottom w:val="0"/>
      <w:divBdr>
        <w:top w:val="none" w:sz="0" w:space="0" w:color="auto"/>
        <w:left w:val="none" w:sz="0" w:space="0" w:color="auto"/>
        <w:bottom w:val="none" w:sz="0" w:space="0" w:color="auto"/>
        <w:right w:val="none" w:sz="0" w:space="0" w:color="auto"/>
      </w:divBdr>
    </w:div>
    <w:div w:id="534269529">
      <w:marLeft w:val="0"/>
      <w:marRight w:val="0"/>
      <w:marTop w:val="0"/>
      <w:marBottom w:val="0"/>
      <w:divBdr>
        <w:top w:val="none" w:sz="0" w:space="0" w:color="auto"/>
        <w:left w:val="none" w:sz="0" w:space="0" w:color="auto"/>
        <w:bottom w:val="none" w:sz="0" w:space="0" w:color="auto"/>
        <w:right w:val="none" w:sz="0" w:space="0" w:color="auto"/>
      </w:divBdr>
    </w:div>
    <w:div w:id="534269530">
      <w:marLeft w:val="0"/>
      <w:marRight w:val="0"/>
      <w:marTop w:val="0"/>
      <w:marBottom w:val="0"/>
      <w:divBdr>
        <w:top w:val="none" w:sz="0" w:space="0" w:color="auto"/>
        <w:left w:val="none" w:sz="0" w:space="0" w:color="auto"/>
        <w:bottom w:val="none" w:sz="0" w:space="0" w:color="auto"/>
        <w:right w:val="none" w:sz="0" w:space="0" w:color="auto"/>
      </w:divBdr>
    </w:div>
    <w:div w:id="534269531">
      <w:marLeft w:val="0"/>
      <w:marRight w:val="0"/>
      <w:marTop w:val="0"/>
      <w:marBottom w:val="0"/>
      <w:divBdr>
        <w:top w:val="none" w:sz="0" w:space="0" w:color="auto"/>
        <w:left w:val="none" w:sz="0" w:space="0" w:color="auto"/>
        <w:bottom w:val="none" w:sz="0" w:space="0" w:color="auto"/>
        <w:right w:val="none" w:sz="0" w:space="0" w:color="auto"/>
      </w:divBdr>
    </w:div>
    <w:div w:id="534269532">
      <w:marLeft w:val="0"/>
      <w:marRight w:val="0"/>
      <w:marTop w:val="0"/>
      <w:marBottom w:val="0"/>
      <w:divBdr>
        <w:top w:val="none" w:sz="0" w:space="0" w:color="auto"/>
        <w:left w:val="none" w:sz="0" w:space="0" w:color="auto"/>
        <w:bottom w:val="none" w:sz="0" w:space="0" w:color="auto"/>
        <w:right w:val="none" w:sz="0" w:space="0" w:color="auto"/>
      </w:divBdr>
    </w:div>
    <w:div w:id="534269533">
      <w:marLeft w:val="0"/>
      <w:marRight w:val="0"/>
      <w:marTop w:val="0"/>
      <w:marBottom w:val="0"/>
      <w:divBdr>
        <w:top w:val="none" w:sz="0" w:space="0" w:color="auto"/>
        <w:left w:val="none" w:sz="0" w:space="0" w:color="auto"/>
        <w:bottom w:val="none" w:sz="0" w:space="0" w:color="auto"/>
        <w:right w:val="none" w:sz="0" w:space="0" w:color="auto"/>
      </w:divBdr>
    </w:div>
    <w:div w:id="534269534">
      <w:marLeft w:val="0"/>
      <w:marRight w:val="0"/>
      <w:marTop w:val="0"/>
      <w:marBottom w:val="0"/>
      <w:divBdr>
        <w:top w:val="none" w:sz="0" w:space="0" w:color="auto"/>
        <w:left w:val="none" w:sz="0" w:space="0" w:color="auto"/>
        <w:bottom w:val="none" w:sz="0" w:space="0" w:color="auto"/>
        <w:right w:val="none" w:sz="0" w:space="0" w:color="auto"/>
      </w:divBdr>
    </w:div>
    <w:div w:id="534269535">
      <w:marLeft w:val="0"/>
      <w:marRight w:val="0"/>
      <w:marTop w:val="0"/>
      <w:marBottom w:val="0"/>
      <w:divBdr>
        <w:top w:val="none" w:sz="0" w:space="0" w:color="auto"/>
        <w:left w:val="none" w:sz="0" w:space="0" w:color="auto"/>
        <w:bottom w:val="none" w:sz="0" w:space="0" w:color="auto"/>
        <w:right w:val="none" w:sz="0" w:space="0" w:color="auto"/>
      </w:divBdr>
    </w:div>
    <w:div w:id="534269536">
      <w:marLeft w:val="0"/>
      <w:marRight w:val="0"/>
      <w:marTop w:val="0"/>
      <w:marBottom w:val="0"/>
      <w:divBdr>
        <w:top w:val="none" w:sz="0" w:space="0" w:color="auto"/>
        <w:left w:val="none" w:sz="0" w:space="0" w:color="auto"/>
        <w:bottom w:val="none" w:sz="0" w:space="0" w:color="auto"/>
        <w:right w:val="none" w:sz="0" w:space="0" w:color="auto"/>
      </w:divBdr>
    </w:div>
    <w:div w:id="534269537">
      <w:marLeft w:val="0"/>
      <w:marRight w:val="0"/>
      <w:marTop w:val="0"/>
      <w:marBottom w:val="0"/>
      <w:divBdr>
        <w:top w:val="none" w:sz="0" w:space="0" w:color="auto"/>
        <w:left w:val="none" w:sz="0" w:space="0" w:color="auto"/>
        <w:bottom w:val="none" w:sz="0" w:space="0" w:color="auto"/>
        <w:right w:val="none" w:sz="0" w:space="0" w:color="auto"/>
      </w:divBdr>
    </w:div>
    <w:div w:id="534269538">
      <w:marLeft w:val="0"/>
      <w:marRight w:val="0"/>
      <w:marTop w:val="0"/>
      <w:marBottom w:val="0"/>
      <w:divBdr>
        <w:top w:val="none" w:sz="0" w:space="0" w:color="auto"/>
        <w:left w:val="none" w:sz="0" w:space="0" w:color="auto"/>
        <w:bottom w:val="none" w:sz="0" w:space="0" w:color="auto"/>
        <w:right w:val="none" w:sz="0" w:space="0" w:color="auto"/>
      </w:divBdr>
    </w:div>
    <w:div w:id="534269539">
      <w:marLeft w:val="0"/>
      <w:marRight w:val="0"/>
      <w:marTop w:val="0"/>
      <w:marBottom w:val="0"/>
      <w:divBdr>
        <w:top w:val="none" w:sz="0" w:space="0" w:color="auto"/>
        <w:left w:val="none" w:sz="0" w:space="0" w:color="auto"/>
        <w:bottom w:val="none" w:sz="0" w:space="0" w:color="auto"/>
        <w:right w:val="none" w:sz="0" w:space="0" w:color="auto"/>
      </w:divBdr>
    </w:div>
    <w:div w:id="534269540">
      <w:marLeft w:val="0"/>
      <w:marRight w:val="0"/>
      <w:marTop w:val="0"/>
      <w:marBottom w:val="0"/>
      <w:divBdr>
        <w:top w:val="none" w:sz="0" w:space="0" w:color="auto"/>
        <w:left w:val="none" w:sz="0" w:space="0" w:color="auto"/>
        <w:bottom w:val="none" w:sz="0" w:space="0" w:color="auto"/>
        <w:right w:val="none" w:sz="0" w:space="0" w:color="auto"/>
      </w:divBdr>
    </w:div>
    <w:div w:id="534269541">
      <w:marLeft w:val="0"/>
      <w:marRight w:val="0"/>
      <w:marTop w:val="0"/>
      <w:marBottom w:val="0"/>
      <w:divBdr>
        <w:top w:val="none" w:sz="0" w:space="0" w:color="auto"/>
        <w:left w:val="none" w:sz="0" w:space="0" w:color="auto"/>
        <w:bottom w:val="none" w:sz="0" w:space="0" w:color="auto"/>
        <w:right w:val="none" w:sz="0" w:space="0" w:color="auto"/>
      </w:divBdr>
    </w:div>
    <w:div w:id="534269542">
      <w:marLeft w:val="0"/>
      <w:marRight w:val="0"/>
      <w:marTop w:val="0"/>
      <w:marBottom w:val="0"/>
      <w:divBdr>
        <w:top w:val="none" w:sz="0" w:space="0" w:color="auto"/>
        <w:left w:val="none" w:sz="0" w:space="0" w:color="auto"/>
        <w:bottom w:val="none" w:sz="0" w:space="0" w:color="auto"/>
        <w:right w:val="none" w:sz="0" w:space="0" w:color="auto"/>
      </w:divBdr>
    </w:div>
    <w:div w:id="534269543">
      <w:marLeft w:val="0"/>
      <w:marRight w:val="0"/>
      <w:marTop w:val="0"/>
      <w:marBottom w:val="0"/>
      <w:divBdr>
        <w:top w:val="none" w:sz="0" w:space="0" w:color="auto"/>
        <w:left w:val="none" w:sz="0" w:space="0" w:color="auto"/>
        <w:bottom w:val="none" w:sz="0" w:space="0" w:color="auto"/>
        <w:right w:val="none" w:sz="0" w:space="0" w:color="auto"/>
      </w:divBdr>
    </w:div>
    <w:div w:id="534269544">
      <w:marLeft w:val="0"/>
      <w:marRight w:val="0"/>
      <w:marTop w:val="0"/>
      <w:marBottom w:val="0"/>
      <w:divBdr>
        <w:top w:val="none" w:sz="0" w:space="0" w:color="auto"/>
        <w:left w:val="none" w:sz="0" w:space="0" w:color="auto"/>
        <w:bottom w:val="none" w:sz="0" w:space="0" w:color="auto"/>
        <w:right w:val="none" w:sz="0" w:space="0" w:color="auto"/>
      </w:divBdr>
    </w:div>
    <w:div w:id="534269545">
      <w:marLeft w:val="0"/>
      <w:marRight w:val="0"/>
      <w:marTop w:val="0"/>
      <w:marBottom w:val="0"/>
      <w:divBdr>
        <w:top w:val="none" w:sz="0" w:space="0" w:color="auto"/>
        <w:left w:val="none" w:sz="0" w:space="0" w:color="auto"/>
        <w:bottom w:val="none" w:sz="0" w:space="0" w:color="auto"/>
        <w:right w:val="none" w:sz="0" w:space="0" w:color="auto"/>
      </w:divBdr>
    </w:div>
    <w:div w:id="534269546">
      <w:marLeft w:val="0"/>
      <w:marRight w:val="0"/>
      <w:marTop w:val="0"/>
      <w:marBottom w:val="0"/>
      <w:divBdr>
        <w:top w:val="none" w:sz="0" w:space="0" w:color="auto"/>
        <w:left w:val="none" w:sz="0" w:space="0" w:color="auto"/>
        <w:bottom w:val="none" w:sz="0" w:space="0" w:color="auto"/>
        <w:right w:val="none" w:sz="0" w:space="0" w:color="auto"/>
      </w:divBdr>
    </w:div>
    <w:div w:id="534269547">
      <w:marLeft w:val="0"/>
      <w:marRight w:val="0"/>
      <w:marTop w:val="0"/>
      <w:marBottom w:val="0"/>
      <w:divBdr>
        <w:top w:val="none" w:sz="0" w:space="0" w:color="auto"/>
        <w:left w:val="none" w:sz="0" w:space="0" w:color="auto"/>
        <w:bottom w:val="none" w:sz="0" w:space="0" w:color="auto"/>
        <w:right w:val="none" w:sz="0" w:space="0" w:color="auto"/>
      </w:divBdr>
    </w:div>
    <w:div w:id="534269548">
      <w:marLeft w:val="0"/>
      <w:marRight w:val="0"/>
      <w:marTop w:val="0"/>
      <w:marBottom w:val="0"/>
      <w:divBdr>
        <w:top w:val="none" w:sz="0" w:space="0" w:color="auto"/>
        <w:left w:val="none" w:sz="0" w:space="0" w:color="auto"/>
        <w:bottom w:val="none" w:sz="0" w:space="0" w:color="auto"/>
        <w:right w:val="none" w:sz="0" w:space="0" w:color="auto"/>
      </w:divBdr>
    </w:div>
    <w:div w:id="534269549">
      <w:marLeft w:val="0"/>
      <w:marRight w:val="0"/>
      <w:marTop w:val="0"/>
      <w:marBottom w:val="0"/>
      <w:divBdr>
        <w:top w:val="none" w:sz="0" w:space="0" w:color="auto"/>
        <w:left w:val="none" w:sz="0" w:space="0" w:color="auto"/>
        <w:bottom w:val="none" w:sz="0" w:space="0" w:color="auto"/>
        <w:right w:val="none" w:sz="0" w:space="0" w:color="auto"/>
      </w:divBdr>
    </w:div>
    <w:div w:id="534269550">
      <w:marLeft w:val="0"/>
      <w:marRight w:val="0"/>
      <w:marTop w:val="0"/>
      <w:marBottom w:val="0"/>
      <w:divBdr>
        <w:top w:val="none" w:sz="0" w:space="0" w:color="auto"/>
        <w:left w:val="none" w:sz="0" w:space="0" w:color="auto"/>
        <w:bottom w:val="none" w:sz="0" w:space="0" w:color="auto"/>
        <w:right w:val="none" w:sz="0" w:space="0" w:color="auto"/>
      </w:divBdr>
    </w:div>
    <w:div w:id="534269551">
      <w:marLeft w:val="0"/>
      <w:marRight w:val="0"/>
      <w:marTop w:val="0"/>
      <w:marBottom w:val="0"/>
      <w:divBdr>
        <w:top w:val="none" w:sz="0" w:space="0" w:color="auto"/>
        <w:left w:val="none" w:sz="0" w:space="0" w:color="auto"/>
        <w:bottom w:val="none" w:sz="0" w:space="0" w:color="auto"/>
        <w:right w:val="none" w:sz="0" w:space="0" w:color="auto"/>
      </w:divBdr>
    </w:div>
    <w:div w:id="534269552">
      <w:marLeft w:val="0"/>
      <w:marRight w:val="0"/>
      <w:marTop w:val="0"/>
      <w:marBottom w:val="0"/>
      <w:divBdr>
        <w:top w:val="none" w:sz="0" w:space="0" w:color="auto"/>
        <w:left w:val="none" w:sz="0" w:space="0" w:color="auto"/>
        <w:bottom w:val="none" w:sz="0" w:space="0" w:color="auto"/>
        <w:right w:val="none" w:sz="0" w:space="0" w:color="auto"/>
      </w:divBdr>
    </w:div>
    <w:div w:id="534269553">
      <w:marLeft w:val="0"/>
      <w:marRight w:val="0"/>
      <w:marTop w:val="0"/>
      <w:marBottom w:val="0"/>
      <w:divBdr>
        <w:top w:val="none" w:sz="0" w:space="0" w:color="auto"/>
        <w:left w:val="none" w:sz="0" w:space="0" w:color="auto"/>
        <w:bottom w:val="none" w:sz="0" w:space="0" w:color="auto"/>
        <w:right w:val="none" w:sz="0" w:space="0" w:color="auto"/>
      </w:divBdr>
    </w:div>
    <w:div w:id="534269554">
      <w:marLeft w:val="0"/>
      <w:marRight w:val="0"/>
      <w:marTop w:val="0"/>
      <w:marBottom w:val="0"/>
      <w:divBdr>
        <w:top w:val="none" w:sz="0" w:space="0" w:color="auto"/>
        <w:left w:val="none" w:sz="0" w:space="0" w:color="auto"/>
        <w:bottom w:val="none" w:sz="0" w:space="0" w:color="auto"/>
        <w:right w:val="none" w:sz="0" w:space="0" w:color="auto"/>
      </w:divBdr>
    </w:div>
    <w:div w:id="534269555">
      <w:marLeft w:val="0"/>
      <w:marRight w:val="0"/>
      <w:marTop w:val="0"/>
      <w:marBottom w:val="0"/>
      <w:divBdr>
        <w:top w:val="none" w:sz="0" w:space="0" w:color="auto"/>
        <w:left w:val="none" w:sz="0" w:space="0" w:color="auto"/>
        <w:bottom w:val="none" w:sz="0" w:space="0" w:color="auto"/>
        <w:right w:val="none" w:sz="0" w:space="0" w:color="auto"/>
      </w:divBdr>
    </w:div>
    <w:div w:id="534269556">
      <w:marLeft w:val="0"/>
      <w:marRight w:val="0"/>
      <w:marTop w:val="0"/>
      <w:marBottom w:val="0"/>
      <w:divBdr>
        <w:top w:val="none" w:sz="0" w:space="0" w:color="auto"/>
        <w:left w:val="none" w:sz="0" w:space="0" w:color="auto"/>
        <w:bottom w:val="none" w:sz="0" w:space="0" w:color="auto"/>
        <w:right w:val="none" w:sz="0" w:space="0" w:color="auto"/>
      </w:divBdr>
    </w:div>
    <w:div w:id="534269557">
      <w:marLeft w:val="0"/>
      <w:marRight w:val="0"/>
      <w:marTop w:val="0"/>
      <w:marBottom w:val="0"/>
      <w:divBdr>
        <w:top w:val="none" w:sz="0" w:space="0" w:color="auto"/>
        <w:left w:val="none" w:sz="0" w:space="0" w:color="auto"/>
        <w:bottom w:val="none" w:sz="0" w:space="0" w:color="auto"/>
        <w:right w:val="none" w:sz="0" w:space="0" w:color="auto"/>
      </w:divBdr>
    </w:div>
    <w:div w:id="534269558">
      <w:marLeft w:val="0"/>
      <w:marRight w:val="0"/>
      <w:marTop w:val="0"/>
      <w:marBottom w:val="0"/>
      <w:divBdr>
        <w:top w:val="none" w:sz="0" w:space="0" w:color="auto"/>
        <w:left w:val="none" w:sz="0" w:space="0" w:color="auto"/>
        <w:bottom w:val="none" w:sz="0" w:space="0" w:color="auto"/>
        <w:right w:val="none" w:sz="0" w:space="0" w:color="auto"/>
      </w:divBdr>
    </w:div>
    <w:div w:id="534269559">
      <w:marLeft w:val="0"/>
      <w:marRight w:val="0"/>
      <w:marTop w:val="0"/>
      <w:marBottom w:val="0"/>
      <w:divBdr>
        <w:top w:val="none" w:sz="0" w:space="0" w:color="auto"/>
        <w:left w:val="none" w:sz="0" w:space="0" w:color="auto"/>
        <w:bottom w:val="none" w:sz="0" w:space="0" w:color="auto"/>
        <w:right w:val="none" w:sz="0" w:space="0" w:color="auto"/>
      </w:divBdr>
    </w:div>
    <w:div w:id="534269560">
      <w:marLeft w:val="0"/>
      <w:marRight w:val="0"/>
      <w:marTop w:val="0"/>
      <w:marBottom w:val="0"/>
      <w:divBdr>
        <w:top w:val="none" w:sz="0" w:space="0" w:color="auto"/>
        <w:left w:val="none" w:sz="0" w:space="0" w:color="auto"/>
        <w:bottom w:val="none" w:sz="0" w:space="0" w:color="auto"/>
        <w:right w:val="none" w:sz="0" w:space="0" w:color="auto"/>
      </w:divBdr>
    </w:div>
    <w:div w:id="534269561">
      <w:marLeft w:val="0"/>
      <w:marRight w:val="0"/>
      <w:marTop w:val="0"/>
      <w:marBottom w:val="0"/>
      <w:divBdr>
        <w:top w:val="none" w:sz="0" w:space="0" w:color="auto"/>
        <w:left w:val="none" w:sz="0" w:space="0" w:color="auto"/>
        <w:bottom w:val="none" w:sz="0" w:space="0" w:color="auto"/>
        <w:right w:val="none" w:sz="0" w:space="0" w:color="auto"/>
      </w:divBdr>
    </w:div>
    <w:div w:id="534269562">
      <w:marLeft w:val="0"/>
      <w:marRight w:val="0"/>
      <w:marTop w:val="0"/>
      <w:marBottom w:val="0"/>
      <w:divBdr>
        <w:top w:val="none" w:sz="0" w:space="0" w:color="auto"/>
        <w:left w:val="none" w:sz="0" w:space="0" w:color="auto"/>
        <w:bottom w:val="none" w:sz="0" w:space="0" w:color="auto"/>
        <w:right w:val="none" w:sz="0" w:space="0" w:color="auto"/>
      </w:divBdr>
    </w:div>
    <w:div w:id="534269563">
      <w:marLeft w:val="0"/>
      <w:marRight w:val="0"/>
      <w:marTop w:val="0"/>
      <w:marBottom w:val="0"/>
      <w:divBdr>
        <w:top w:val="none" w:sz="0" w:space="0" w:color="auto"/>
        <w:left w:val="none" w:sz="0" w:space="0" w:color="auto"/>
        <w:bottom w:val="none" w:sz="0" w:space="0" w:color="auto"/>
        <w:right w:val="none" w:sz="0" w:space="0" w:color="auto"/>
      </w:divBdr>
    </w:div>
    <w:div w:id="534269564">
      <w:marLeft w:val="0"/>
      <w:marRight w:val="0"/>
      <w:marTop w:val="0"/>
      <w:marBottom w:val="0"/>
      <w:divBdr>
        <w:top w:val="none" w:sz="0" w:space="0" w:color="auto"/>
        <w:left w:val="none" w:sz="0" w:space="0" w:color="auto"/>
        <w:bottom w:val="none" w:sz="0" w:space="0" w:color="auto"/>
        <w:right w:val="none" w:sz="0" w:space="0" w:color="auto"/>
      </w:divBdr>
    </w:div>
    <w:div w:id="534269565">
      <w:marLeft w:val="0"/>
      <w:marRight w:val="0"/>
      <w:marTop w:val="0"/>
      <w:marBottom w:val="0"/>
      <w:divBdr>
        <w:top w:val="none" w:sz="0" w:space="0" w:color="auto"/>
        <w:left w:val="none" w:sz="0" w:space="0" w:color="auto"/>
        <w:bottom w:val="none" w:sz="0" w:space="0" w:color="auto"/>
        <w:right w:val="none" w:sz="0" w:space="0" w:color="auto"/>
      </w:divBdr>
    </w:div>
    <w:div w:id="534269566">
      <w:marLeft w:val="0"/>
      <w:marRight w:val="0"/>
      <w:marTop w:val="0"/>
      <w:marBottom w:val="0"/>
      <w:divBdr>
        <w:top w:val="none" w:sz="0" w:space="0" w:color="auto"/>
        <w:left w:val="none" w:sz="0" w:space="0" w:color="auto"/>
        <w:bottom w:val="none" w:sz="0" w:space="0" w:color="auto"/>
        <w:right w:val="none" w:sz="0" w:space="0" w:color="auto"/>
      </w:divBdr>
    </w:div>
    <w:div w:id="534269567">
      <w:marLeft w:val="0"/>
      <w:marRight w:val="0"/>
      <w:marTop w:val="0"/>
      <w:marBottom w:val="0"/>
      <w:divBdr>
        <w:top w:val="none" w:sz="0" w:space="0" w:color="auto"/>
        <w:left w:val="none" w:sz="0" w:space="0" w:color="auto"/>
        <w:bottom w:val="none" w:sz="0" w:space="0" w:color="auto"/>
        <w:right w:val="none" w:sz="0" w:space="0" w:color="auto"/>
      </w:divBdr>
    </w:div>
    <w:div w:id="534269568">
      <w:marLeft w:val="0"/>
      <w:marRight w:val="0"/>
      <w:marTop w:val="0"/>
      <w:marBottom w:val="0"/>
      <w:divBdr>
        <w:top w:val="none" w:sz="0" w:space="0" w:color="auto"/>
        <w:left w:val="none" w:sz="0" w:space="0" w:color="auto"/>
        <w:bottom w:val="none" w:sz="0" w:space="0" w:color="auto"/>
        <w:right w:val="none" w:sz="0" w:space="0" w:color="auto"/>
      </w:divBdr>
    </w:div>
    <w:div w:id="534269569">
      <w:marLeft w:val="0"/>
      <w:marRight w:val="0"/>
      <w:marTop w:val="0"/>
      <w:marBottom w:val="0"/>
      <w:divBdr>
        <w:top w:val="none" w:sz="0" w:space="0" w:color="auto"/>
        <w:left w:val="none" w:sz="0" w:space="0" w:color="auto"/>
        <w:bottom w:val="none" w:sz="0" w:space="0" w:color="auto"/>
        <w:right w:val="none" w:sz="0" w:space="0" w:color="auto"/>
      </w:divBdr>
    </w:div>
    <w:div w:id="534269570">
      <w:marLeft w:val="0"/>
      <w:marRight w:val="0"/>
      <w:marTop w:val="0"/>
      <w:marBottom w:val="0"/>
      <w:divBdr>
        <w:top w:val="none" w:sz="0" w:space="0" w:color="auto"/>
        <w:left w:val="none" w:sz="0" w:space="0" w:color="auto"/>
        <w:bottom w:val="none" w:sz="0" w:space="0" w:color="auto"/>
        <w:right w:val="none" w:sz="0" w:space="0" w:color="auto"/>
      </w:divBdr>
    </w:div>
    <w:div w:id="534269571">
      <w:marLeft w:val="0"/>
      <w:marRight w:val="0"/>
      <w:marTop w:val="0"/>
      <w:marBottom w:val="0"/>
      <w:divBdr>
        <w:top w:val="none" w:sz="0" w:space="0" w:color="auto"/>
        <w:left w:val="none" w:sz="0" w:space="0" w:color="auto"/>
        <w:bottom w:val="none" w:sz="0" w:space="0" w:color="auto"/>
        <w:right w:val="none" w:sz="0" w:space="0" w:color="auto"/>
      </w:divBdr>
    </w:div>
    <w:div w:id="534269572">
      <w:marLeft w:val="0"/>
      <w:marRight w:val="0"/>
      <w:marTop w:val="0"/>
      <w:marBottom w:val="0"/>
      <w:divBdr>
        <w:top w:val="none" w:sz="0" w:space="0" w:color="auto"/>
        <w:left w:val="none" w:sz="0" w:space="0" w:color="auto"/>
        <w:bottom w:val="none" w:sz="0" w:space="0" w:color="auto"/>
        <w:right w:val="none" w:sz="0" w:space="0" w:color="auto"/>
      </w:divBdr>
    </w:div>
    <w:div w:id="534269573">
      <w:marLeft w:val="0"/>
      <w:marRight w:val="0"/>
      <w:marTop w:val="0"/>
      <w:marBottom w:val="0"/>
      <w:divBdr>
        <w:top w:val="none" w:sz="0" w:space="0" w:color="auto"/>
        <w:left w:val="none" w:sz="0" w:space="0" w:color="auto"/>
        <w:bottom w:val="none" w:sz="0" w:space="0" w:color="auto"/>
        <w:right w:val="none" w:sz="0" w:space="0" w:color="auto"/>
      </w:divBdr>
    </w:div>
    <w:div w:id="534269574">
      <w:marLeft w:val="0"/>
      <w:marRight w:val="0"/>
      <w:marTop w:val="0"/>
      <w:marBottom w:val="0"/>
      <w:divBdr>
        <w:top w:val="none" w:sz="0" w:space="0" w:color="auto"/>
        <w:left w:val="none" w:sz="0" w:space="0" w:color="auto"/>
        <w:bottom w:val="none" w:sz="0" w:space="0" w:color="auto"/>
        <w:right w:val="none" w:sz="0" w:space="0" w:color="auto"/>
      </w:divBdr>
    </w:div>
    <w:div w:id="5342695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19</Pages>
  <Words>8512</Words>
  <Characters>48525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Tsinaridze</dc:creator>
  <cp:keywords/>
  <dc:description/>
  <cp:lastModifiedBy>Nino Trokashvili</cp:lastModifiedBy>
  <cp:revision>84</cp:revision>
  <cp:lastPrinted>2026-05-14T05:34:00Z</cp:lastPrinted>
  <dcterms:created xsi:type="dcterms:W3CDTF">2025-01-14T06:54:00Z</dcterms:created>
  <dcterms:modified xsi:type="dcterms:W3CDTF">2026-08-27T13:48:00Z</dcterms:modified>
</cp:coreProperties>
</file>