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04588" w14:textId="34B1566F" w:rsidR="008C4475" w:rsidRPr="008C4475" w:rsidRDefault="008C4475" w:rsidP="008C4475">
      <w:pPr>
        <w:spacing w:after="0" w:line="240" w:lineRule="auto"/>
        <w:jc w:val="center"/>
        <w:rPr>
          <w:rFonts w:ascii="Sylfaen" w:hAnsi="Sylfaen"/>
          <w:b/>
          <w:noProof/>
          <w:sz w:val="20"/>
          <w:szCs w:val="20"/>
          <w:lang w:val="ka-GE"/>
        </w:rPr>
      </w:pPr>
      <w:r w:rsidRPr="008C4475">
        <w:rPr>
          <w:rFonts w:ascii="Sylfaen" w:hAnsi="Sylfaen"/>
          <w:b/>
          <w:noProof/>
          <w:sz w:val="20"/>
          <w:szCs w:val="20"/>
          <w:lang w:val="ka-GE"/>
        </w:rPr>
        <w:t>გამოყენების ინსტრუქცია</w:t>
      </w:r>
    </w:p>
    <w:p w14:paraId="6E04D215" w14:textId="4C48317B" w:rsidR="00322212" w:rsidRPr="003B4F6E" w:rsidRDefault="00322212" w:rsidP="008C4475">
      <w:pPr>
        <w:spacing w:after="0" w:line="240" w:lineRule="auto"/>
        <w:jc w:val="center"/>
        <w:rPr>
          <w:rFonts w:ascii="Sylfaen" w:hAnsi="Sylfaen"/>
          <w:b/>
          <w:bCs/>
          <w:noProof/>
          <w:sz w:val="20"/>
          <w:szCs w:val="20"/>
          <w:lang w:val="ka-GE"/>
        </w:rPr>
      </w:pPr>
      <w:r w:rsidRPr="003B4F6E">
        <w:rPr>
          <w:rFonts w:ascii="Sylfaen" w:hAnsi="Sylfaen"/>
          <w:b/>
          <w:bCs/>
          <w:noProof/>
          <w:sz w:val="20"/>
          <w:szCs w:val="20"/>
          <w:lang w:val="ka-GE"/>
        </w:rPr>
        <w:t>პროდუქტის შემაჯამებელი დახასიათება</w:t>
      </w:r>
    </w:p>
    <w:p w14:paraId="73A31866" w14:textId="77777777" w:rsidR="00322212" w:rsidRPr="003B4F6E" w:rsidRDefault="00322212" w:rsidP="003B4F6E">
      <w:pPr>
        <w:spacing w:after="0" w:line="240" w:lineRule="auto"/>
        <w:rPr>
          <w:rFonts w:ascii="Sylfaen" w:hAnsi="Sylfaen"/>
          <w:b/>
          <w:noProof/>
          <w:sz w:val="20"/>
          <w:szCs w:val="20"/>
          <w:lang w:val="ka-GE"/>
        </w:rPr>
      </w:pPr>
    </w:p>
    <w:p w14:paraId="52EC02FB" w14:textId="5C090B00" w:rsidR="00322212" w:rsidRPr="003B4F6E" w:rsidRDefault="00322212" w:rsidP="003B4F6E">
      <w:pPr>
        <w:spacing w:after="0" w:line="240" w:lineRule="auto"/>
        <w:rPr>
          <w:rFonts w:ascii="Sylfaen" w:hAnsi="Sylfaen"/>
          <w:b/>
          <w:noProof/>
          <w:sz w:val="20"/>
          <w:szCs w:val="20"/>
          <w:lang w:val="ka-GE"/>
        </w:rPr>
      </w:pPr>
      <w:r w:rsidRPr="003B4F6E">
        <w:rPr>
          <w:rFonts w:ascii="Sylfaen" w:hAnsi="Sylfaen"/>
          <w:b/>
          <w:noProof/>
          <w:sz w:val="20"/>
          <w:szCs w:val="20"/>
          <w:lang w:val="ka-GE"/>
        </w:rPr>
        <w:t>1</w:t>
      </w:r>
      <w:r w:rsidR="000C1FB9" w:rsidRPr="003B4F6E">
        <w:rPr>
          <w:rFonts w:ascii="Sylfaen" w:hAnsi="Sylfaen"/>
          <w:b/>
          <w:noProof/>
          <w:sz w:val="20"/>
          <w:szCs w:val="20"/>
          <w:lang w:val="ka-GE"/>
        </w:rPr>
        <w:t>.</w:t>
      </w:r>
      <w:r w:rsidRPr="003B4F6E">
        <w:rPr>
          <w:rFonts w:ascii="Sylfaen" w:hAnsi="Sylfaen"/>
          <w:b/>
          <w:noProof/>
          <w:sz w:val="20"/>
          <w:szCs w:val="20"/>
          <w:lang w:val="ka-GE"/>
        </w:rPr>
        <w:t xml:space="preserve"> სამკურნალო პროდუქტის დასახელება</w:t>
      </w:r>
    </w:p>
    <w:p w14:paraId="433B2FD3" w14:textId="762ABD75"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კლოპიტეტი 75  (კლოპიდოგრელი ტაბლეტები </w:t>
      </w:r>
      <w:r w:rsidR="000C1FB9" w:rsidRPr="003B4F6E">
        <w:rPr>
          <w:rFonts w:ascii="Sylfaen" w:hAnsi="Sylfaen"/>
          <w:noProof/>
          <w:sz w:val="20"/>
          <w:szCs w:val="20"/>
          <w:lang w:val="ka-GE"/>
        </w:rPr>
        <w:t>USP</w:t>
      </w:r>
      <w:r w:rsidRPr="003B4F6E">
        <w:rPr>
          <w:rFonts w:ascii="Sylfaen" w:hAnsi="Sylfaen"/>
          <w:noProof/>
          <w:sz w:val="20"/>
          <w:szCs w:val="20"/>
          <w:lang w:val="ka-GE"/>
        </w:rPr>
        <w:t xml:space="preserve"> 75</w:t>
      </w:r>
      <w:r w:rsidR="000C1FB9" w:rsidRPr="003B4F6E">
        <w:rPr>
          <w:rFonts w:ascii="Sylfaen" w:hAnsi="Sylfaen"/>
          <w:noProof/>
          <w:sz w:val="20"/>
          <w:szCs w:val="20"/>
          <w:lang w:val="ka-GE"/>
        </w:rPr>
        <w:t xml:space="preserve"> </w:t>
      </w:r>
      <w:r w:rsidRPr="003B4F6E">
        <w:rPr>
          <w:rFonts w:ascii="Sylfaen" w:hAnsi="Sylfaen"/>
          <w:noProof/>
          <w:sz w:val="20"/>
          <w:szCs w:val="20"/>
          <w:lang w:val="ka-GE"/>
        </w:rPr>
        <w:t>მგ</w:t>
      </w:r>
      <w:r w:rsidR="000C1FB9" w:rsidRPr="003B4F6E">
        <w:rPr>
          <w:rFonts w:ascii="Sylfaen" w:hAnsi="Sylfaen"/>
          <w:noProof/>
          <w:sz w:val="20"/>
          <w:szCs w:val="20"/>
          <w:lang w:val="ka-GE"/>
        </w:rPr>
        <w:t>)</w:t>
      </w:r>
    </w:p>
    <w:p w14:paraId="50A686EC" w14:textId="77777777" w:rsidR="00322212" w:rsidRPr="003B4F6E" w:rsidRDefault="00322212" w:rsidP="003B4F6E">
      <w:pPr>
        <w:spacing w:after="0" w:line="240" w:lineRule="auto"/>
        <w:jc w:val="both"/>
        <w:rPr>
          <w:rFonts w:ascii="Sylfaen" w:hAnsi="Sylfaen"/>
          <w:noProof/>
          <w:sz w:val="20"/>
          <w:szCs w:val="20"/>
          <w:lang w:val="ka-GE"/>
        </w:rPr>
      </w:pPr>
    </w:p>
    <w:p w14:paraId="1F92DA56" w14:textId="61F7D46B" w:rsidR="00322212" w:rsidRPr="003B4F6E" w:rsidRDefault="00322212" w:rsidP="003B4F6E">
      <w:pPr>
        <w:spacing w:after="0" w:line="240" w:lineRule="auto"/>
        <w:jc w:val="both"/>
        <w:rPr>
          <w:rFonts w:ascii="Sylfaen" w:hAnsi="Sylfaen"/>
          <w:b/>
          <w:noProof/>
          <w:sz w:val="20"/>
          <w:szCs w:val="20"/>
          <w:lang w:val="ka-GE"/>
        </w:rPr>
      </w:pPr>
      <w:r w:rsidRPr="003B4F6E">
        <w:rPr>
          <w:rFonts w:ascii="Sylfaen" w:hAnsi="Sylfaen"/>
          <w:b/>
          <w:noProof/>
          <w:sz w:val="20"/>
          <w:szCs w:val="20"/>
          <w:lang w:val="ka-GE"/>
        </w:rPr>
        <w:t>2</w:t>
      </w:r>
      <w:r w:rsidR="000C1FB9" w:rsidRPr="003B4F6E">
        <w:rPr>
          <w:rFonts w:ascii="Sylfaen" w:hAnsi="Sylfaen"/>
          <w:b/>
          <w:noProof/>
          <w:sz w:val="20"/>
          <w:szCs w:val="20"/>
          <w:lang w:val="ka-GE"/>
        </w:rPr>
        <w:t>.</w:t>
      </w:r>
      <w:r w:rsidRPr="003B4F6E">
        <w:rPr>
          <w:rFonts w:ascii="Sylfaen" w:hAnsi="Sylfaen"/>
          <w:b/>
          <w:noProof/>
          <w:sz w:val="20"/>
          <w:szCs w:val="20"/>
          <w:lang w:val="ka-GE"/>
        </w:rPr>
        <w:t xml:space="preserve"> თვისებრივი და რაოდენობრივი შემადგენლობა</w:t>
      </w:r>
    </w:p>
    <w:p w14:paraId="5FCEDD79" w14:textId="7B3EF431"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თითოეული აპკიანი გარსით დაფარული ტაბლეტი შეიცავს 75 მგ კლოპიდოგრელს (კლოპიდოგრელის ბისულფატის სახით)</w:t>
      </w:r>
      <w:r w:rsidR="000C1FB9" w:rsidRPr="003B4F6E">
        <w:rPr>
          <w:rFonts w:ascii="Sylfaen" w:hAnsi="Sylfaen"/>
          <w:noProof/>
          <w:sz w:val="20"/>
          <w:szCs w:val="20"/>
          <w:lang w:val="ka-GE"/>
        </w:rPr>
        <w:t>.</w:t>
      </w:r>
    </w:p>
    <w:p w14:paraId="41BEFC5A" w14:textId="77777777" w:rsidR="000C1FB9" w:rsidRPr="003B4F6E" w:rsidRDefault="000C1FB9" w:rsidP="003B4F6E">
      <w:pPr>
        <w:spacing w:after="0" w:line="240" w:lineRule="auto"/>
        <w:jc w:val="both"/>
        <w:rPr>
          <w:rFonts w:ascii="Sylfaen" w:hAnsi="Sylfaen"/>
          <w:i/>
          <w:iCs/>
          <w:noProof/>
          <w:sz w:val="20"/>
          <w:szCs w:val="20"/>
          <w:lang w:val="ka-GE"/>
        </w:rPr>
      </w:pPr>
    </w:p>
    <w:p w14:paraId="1E1348B2" w14:textId="416F3CDB"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ექსციპიენტები</w:t>
      </w:r>
      <w:r w:rsidR="000C1FB9" w:rsidRPr="003B4F6E">
        <w:rPr>
          <w:rFonts w:ascii="Sylfaen" w:hAnsi="Sylfaen"/>
          <w:i/>
          <w:iCs/>
          <w:noProof/>
          <w:sz w:val="20"/>
          <w:szCs w:val="20"/>
          <w:lang w:val="ka-GE"/>
        </w:rPr>
        <w:t xml:space="preserve"> </w:t>
      </w:r>
      <w:r w:rsidRPr="003B4F6E">
        <w:rPr>
          <w:rFonts w:ascii="Sylfaen" w:hAnsi="Sylfaen"/>
          <w:i/>
          <w:iCs/>
          <w:noProof/>
          <w:sz w:val="20"/>
          <w:szCs w:val="20"/>
          <w:lang w:val="ka-GE"/>
        </w:rPr>
        <w:t>ცნობილი ეფექტით</w:t>
      </w:r>
      <w:r w:rsidR="000C1FB9" w:rsidRPr="003B4F6E">
        <w:rPr>
          <w:rFonts w:ascii="Sylfaen" w:hAnsi="Sylfaen"/>
          <w:i/>
          <w:iCs/>
          <w:noProof/>
          <w:sz w:val="20"/>
          <w:szCs w:val="20"/>
          <w:lang w:val="ka-GE"/>
        </w:rPr>
        <w:t>:</w:t>
      </w:r>
    </w:p>
    <w:p w14:paraId="64D8910E" w14:textId="6C0AF3FC"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თითოეული აპკიანი გარსით დაფარული ტაბლეტი შეიცავს 96,5</w:t>
      </w:r>
      <w:r w:rsidR="000C1FB9" w:rsidRPr="003B4F6E">
        <w:rPr>
          <w:rFonts w:ascii="Sylfaen" w:hAnsi="Sylfaen"/>
          <w:noProof/>
          <w:sz w:val="20"/>
          <w:szCs w:val="20"/>
          <w:lang w:val="ka-GE"/>
        </w:rPr>
        <w:t xml:space="preserve"> </w:t>
      </w:r>
      <w:r w:rsidRPr="003B4F6E">
        <w:rPr>
          <w:rFonts w:ascii="Sylfaen" w:hAnsi="Sylfaen"/>
          <w:noProof/>
          <w:sz w:val="20"/>
          <w:szCs w:val="20"/>
          <w:lang w:val="ka-GE"/>
        </w:rPr>
        <w:t>მგ ლაქტოზას</w:t>
      </w:r>
    </w:p>
    <w:p w14:paraId="6341AF5C" w14:textId="77777777" w:rsidR="00322212" w:rsidRPr="003B4F6E" w:rsidRDefault="00322212" w:rsidP="003B4F6E">
      <w:pPr>
        <w:spacing w:after="0" w:line="240" w:lineRule="auto"/>
        <w:jc w:val="both"/>
        <w:rPr>
          <w:rFonts w:ascii="Sylfaen" w:hAnsi="Sylfaen"/>
          <w:noProof/>
          <w:sz w:val="20"/>
          <w:szCs w:val="20"/>
          <w:lang w:val="ka-GE"/>
        </w:rPr>
      </w:pPr>
    </w:p>
    <w:p w14:paraId="69F13E20"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ექსციპიენტების სრული ჩამონათვალისთვის იხილეთ 6.1 პუნქტი.</w:t>
      </w:r>
    </w:p>
    <w:p w14:paraId="66E94C6E" w14:textId="77777777" w:rsidR="00322212" w:rsidRPr="003B4F6E" w:rsidRDefault="00322212" w:rsidP="003B4F6E">
      <w:pPr>
        <w:spacing w:after="0" w:line="240" w:lineRule="auto"/>
        <w:jc w:val="both"/>
        <w:rPr>
          <w:rFonts w:ascii="Sylfaen" w:hAnsi="Sylfaen"/>
          <w:noProof/>
          <w:sz w:val="20"/>
          <w:szCs w:val="20"/>
          <w:lang w:val="ka-GE"/>
        </w:rPr>
      </w:pPr>
    </w:p>
    <w:p w14:paraId="1F260D00" w14:textId="7B9CE967" w:rsidR="00322212" w:rsidRPr="003B4F6E" w:rsidRDefault="00322212" w:rsidP="003B4F6E">
      <w:pPr>
        <w:spacing w:after="0" w:line="240" w:lineRule="auto"/>
        <w:jc w:val="both"/>
        <w:rPr>
          <w:rFonts w:ascii="Sylfaen" w:hAnsi="Sylfaen"/>
          <w:b/>
          <w:noProof/>
          <w:sz w:val="20"/>
          <w:szCs w:val="20"/>
          <w:lang w:val="ka-GE"/>
        </w:rPr>
      </w:pPr>
      <w:r w:rsidRPr="003B4F6E">
        <w:rPr>
          <w:rFonts w:ascii="Sylfaen" w:hAnsi="Sylfaen"/>
          <w:b/>
          <w:noProof/>
          <w:sz w:val="20"/>
          <w:szCs w:val="20"/>
          <w:lang w:val="ka-GE"/>
        </w:rPr>
        <w:t>3</w:t>
      </w:r>
      <w:r w:rsidR="000C1FB9" w:rsidRPr="003B4F6E">
        <w:rPr>
          <w:rFonts w:ascii="Sylfaen" w:hAnsi="Sylfaen"/>
          <w:b/>
          <w:noProof/>
          <w:sz w:val="20"/>
          <w:szCs w:val="20"/>
          <w:lang w:val="ka-GE"/>
        </w:rPr>
        <w:t>.</w:t>
      </w:r>
      <w:r w:rsidRPr="003B4F6E">
        <w:rPr>
          <w:rFonts w:ascii="Sylfaen" w:hAnsi="Sylfaen"/>
          <w:b/>
          <w:noProof/>
          <w:sz w:val="20"/>
          <w:szCs w:val="20"/>
          <w:lang w:val="ka-GE"/>
        </w:rPr>
        <w:t xml:space="preserve"> ფარმაცევტული ფორმა</w:t>
      </w:r>
    </w:p>
    <w:p w14:paraId="11CD8834"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აპკიანი გარსით დაფარული ტაბლეტი (ტაბლეტები)</w:t>
      </w:r>
    </w:p>
    <w:p w14:paraId="078EC085" w14:textId="77777777" w:rsidR="000C1FB9" w:rsidRPr="003B4F6E" w:rsidRDefault="000C1FB9" w:rsidP="003B4F6E">
      <w:pPr>
        <w:spacing w:after="0" w:line="240" w:lineRule="auto"/>
        <w:jc w:val="both"/>
        <w:rPr>
          <w:rFonts w:ascii="Sylfaen" w:hAnsi="Sylfaen"/>
          <w:noProof/>
          <w:sz w:val="20"/>
          <w:szCs w:val="20"/>
          <w:lang w:val="ka-GE"/>
        </w:rPr>
      </w:pPr>
    </w:p>
    <w:p w14:paraId="14EEE625"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აგურისფერი, მრგვალი ფორმის, ორმხრივად ამოზნექილი, აპკიანი გარსით დაფარული ტაბლეტი, ორივე მხრიდან გლუვი.</w:t>
      </w:r>
    </w:p>
    <w:p w14:paraId="2BFFD636" w14:textId="77777777" w:rsidR="00322212" w:rsidRPr="003B4F6E" w:rsidRDefault="00322212" w:rsidP="003B4F6E">
      <w:pPr>
        <w:spacing w:after="0" w:line="240" w:lineRule="auto"/>
        <w:jc w:val="both"/>
        <w:rPr>
          <w:rFonts w:ascii="Sylfaen" w:hAnsi="Sylfaen"/>
          <w:b/>
          <w:noProof/>
          <w:sz w:val="20"/>
          <w:szCs w:val="20"/>
          <w:lang w:val="ka-GE"/>
        </w:rPr>
      </w:pPr>
    </w:p>
    <w:p w14:paraId="10C99502" w14:textId="4DB32122" w:rsidR="00322212" w:rsidRPr="003B4F6E" w:rsidRDefault="00322212" w:rsidP="003B4F6E">
      <w:pPr>
        <w:spacing w:after="0" w:line="240" w:lineRule="auto"/>
        <w:jc w:val="both"/>
        <w:rPr>
          <w:rFonts w:ascii="Sylfaen" w:hAnsi="Sylfaen"/>
          <w:b/>
          <w:noProof/>
          <w:sz w:val="20"/>
          <w:szCs w:val="20"/>
          <w:lang w:val="ka-GE"/>
        </w:rPr>
      </w:pPr>
      <w:r w:rsidRPr="003B4F6E">
        <w:rPr>
          <w:rFonts w:ascii="Sylfaen" w:hAnsi="Sylfaen"/>
          <w:b/>
          <w:noProof/>
          <w:sz w:val="20"/>
          <w:szCs w:val="20"/>
          <w:lang w:val="ka-GE"/>
        </w:rPr>
        <w:t>4</w:t>
      </w:r>
      <w:r w:rsidR="000C1FB9" w:rsidRPr="003B4F6E">
        <w:rPr>
          <w:rFonts w:ascii="Sylfaen" w:hAnsi="Sylfaen"/>
          <w:b/>
          <w:noProof/>
          <w:sz w:val="20"/>
          <w:szCs w:val="20"/>
          <w:lang w:val="ka-GE"/>
        </w:rPr>
        <w:t>.</w:t>
      </w:r>
      <w:r w:rsidRPr="003B4F6E">
        <w:rPr>
          <w:rFonts w:ascii="Sylfaen" w:hAnsi="Sylfaen"/>
          <w:b/>
          <w:noProof/>
          <w:sz w:val="20"/>
          <w:szCs w:val="20"/>
          <w:lang w:val="ka-GE"/>
        </w:rPr>
        <w:t xml:space="preserve"> კლინიკური მახასიათებლები</w:t>
      </w:r>
    </w:p>
    <w:p w14:paraId="62E2A1D8" w14:textId="77777777" w:rsidR="000C1FB9" w:rsidRPr="003B4F6E" w:rsidRDefault="000C1FB9" w:rsidP="003B4F6E">
      <w:pPr>
        <w:spacing w:after="0" w:line="240" w:lineRule="auto"/>
        <w:jc w:val="both"/>
        <w:rPr>
          <w:rFonts w:ascii="Sylfaen" w:hAnsi="Sylfaen"/>
          <w:b/>
          <w:noProof/>
          <w:sz w:val="20"/>
          <w:szCs w:val="20"/>
          <w:lang w:val="ka-GE"/>
        </w:rPr>
      </w:pPr>
    </w:p>
    <w:p w14:paraId="20663AD4" w14:textId="77777777" w:rsidR="00322212" w:rsidRPr="003B4F6E" w:rsidRDefault="00322212" w:rsidP="003B4F6E">
      <w:pPr>
        <w:spacing w:after="0" w:line="240" w:lineRule="auto"/>
        <w:jc w:val="both"/>
        <w:rPr>
          <w:rFonts w:ascii="Sylfaen" w:hAnsi="Sylfaen"/>
          <w:b/>
          <w:noProof/>
          <w:sz w:val="20"/>
          <w:szCs w:val="20"/>
          <w:lang w:val="ka-GE"/>
        </w:rPr>
      </w:pPr>
      <w:r w:rsidRPr="003B4F6E">
        <w:rPr>
          <w:rFonts w:ascii="Sylfaen" w:hAnsi="Sylfaen"/>
          <w:b/>
          <w:noProof/>
          <w:sz w:val="20"/>
          <w:szCs w:val="20"/>
          <w:lang w:val="ka-GE"/>
        </w:rPr>
        <w:t>4.1 თერაპიული ჩვენებები</w:t>
      </w:r>
    </w:p>
    <w:p w14:paraId="0CEBAD56"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ათეროთრომბოზული მოვლენების მეორადი პრევენცია</w:t>
      </w:r>
    </w:p>
    <w:p w14:paraId="4865794F"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კლოპიდოგრელი ნაჩვენებია:</w:t>
      </w:r>
    </w:p>
    <w:p w14:paraId="77EBA6F5"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 </w:t>
      </w:r>
      <w:r w:rsidRPr="003B4F6E">
        <w:rPr>
          <w:rFonts w:ascii="Sylfaen" w:hAnsi="Sylfaen" w:cs="Sylfaen"/>
          <w:noProof/>
          <w:sz w:val="20"/>
          <w:szCs w:val="20"/>
          <w:lang w:val="ka-GE"/>
        </w:rPr>
        <w:t>ზრდასრული პაციენტებისთვის, რომლებსაც აღენიშნებათ მიოკარდიუმის ინფარქტი (რამდენიმე დღიდან 35 დღემდე), იშემიური ინსულტი (7 დღიდა</w:t>
      </w:r>
      <w:r w:rsidRPr="003B4F6E">
        <w:rPr>
          <w:rFonts w:ascii="Sylfaen" w:hAnsi="Sylfaen"/>
          <w:noProof/>
          <w:sz w:val="20"/>
          <w:szCs w:val="20"/>
          <w:lang w:val="ka-GE"/>
        </w:rPr>
        <w:t xml:space="preserve">ნ 6 თვემდე) ან დადგენილი პერიფერიული არტერიული დაავადება. </w:t>
      </w:r>
    </w:p>
    <w:p w14:paraId="4D78AA89" w14:textId="77777777" w:rsidR="000C1FB9" w:rsidRPr="003B4F6E" w:rsidRDefault="000C1FB9" w:rsidP="003B4F6E">
      <w:pPr>
        <w:spacing w:after="0" w:line="240" w:lineRule="auto"/>
        <w:jc w:val="both"/>
        <w:rPr>
          <w:rFonts w:ascii="Sylfaen" w:hAnsi="Sylfaen"/>
          <w:noProof/>
          <w:sz w:val="20"/>
          <w:szCs w:val="20"/>
          <w:lang w:val="ka-GE"/>
        </w:rPr>
      </w:pPr>
    </w:p>
    <w:p w14:paraId="26710E59" w14:textId="2B67CB7D" w:rsidR="00322212" w:rsidRPr="003B4F6E" w:rsidRDefault="00322212" w:rsidP="003B4F6E">
      <w:pPr>
        <w:spacing w:after="0" w:line="240" w:lineRule="auto"/>
        <w:jc w:val="both"/>
        <w:rPr>
          <w:rFonts w:ascii="Sylfaen" w:hAnsi="Sylfaen" w:cs="Calibri"/>
          <w:noProof/>
          <w:sz w:val="20"/>
          <w:szCs w:val="20"/>
          <w:lang w:val="ka-GE"/>
        </w:rPr>
      </w:pPr>
      <w:r w:rsidRPr="003B4F6E">
        <w:rPr>
          <w:rFonts w:ascii="Sylfaen" w:hAnsi="Sylfaen"/>
          <w:noProof/>
          <w:sz w:val="20"/>
          <w:szCs w:val="20"/>
          <w:lang w:val="ka-GE"/>
        </w:rPr>
        <w:t>•</w:t>
      </w:r>
      <w:r w:rsidR="000C1FB9" w:rsidRPr="003B4F6E">
        <w:rPr>
          <w:rFonts w:ascii="Sylfaen" w:hAnsi="Sylfaen"/>
          <w:noProof/>
          <w:sz w:val="20"/>
          <w:szCs w:val="20"/>
          <w:lang w:val="ka-GE"/>
        </w:rPr>
        <w:t xml:space="preserve"> </w:t>
      </w:r>
      <w:r w:rsidRPr="003B4F6E">
        <w:rPr>
          <w:rFonts w:ascii="Sylfaen" w:hAnsi="Sylfaen" w:cs="Sylfaen"/>
          <w:noProof/>
          <w:sz w:val="20"/>
          <w:szCs w:val="20"/>
          <w:lang w:val="ka-GE"/>
        </w:rPr>
        <w:t>მწვავე კორონარული სინდრომით დაავადებული ზრდასრული პაციენტები:</w:t>
      </w:r>
    </w:p>
    <w:p w14:paraId="5A404439" w14:textId="03055F21" w:rsidR="00322212" w:rsidRPr="003B4F6E" w:rsidRDefault="00322212" w:rsidP="003B4F6E">
      <w:pPr>
        <w:numPr>
          <w:ilvl w:val="0"/>
          <w:numId w:val="25"/>
        </w:numPr>
        <w:spacing w:after="0" w:line="240" w:lineRule="auto"/>
        <w:jc w:val="both"/>
        <w:rPr>
          <w:rFonts w:ascii="Sylfaen" w:hAnsi="Sylfaen"/>
          <w:noProof/>
          <w:sz w:val="20"/>
          <w:szCs w:val="20"/>
          <w:lang w:val="ka-GE"/>
        </w:rPr>
      </w:pPr>
      <w:r w:rsidRPr="003B4F6E">
        <w:rPr>
          <w:rFonts w:ascii="Sylfaen" w:hAnsi="Sylfaen" w:cs="Sylfaen"/>
          <w:noProof/>
          <w:sz w:val="20"/>
          <w:szCs w:val="20"/>
          <w:lang w:val="ka-GE"/>
        </w:rPr>
        <w:t xml:space="preserve">მწვავე კორონარული სინდრომი ST სეგმენტის ელევაციის გარეშე (არასტაბილური სტენოკარდია ან მიოკარდიუმის ინფარქტი Q-ტალღის გარეშე), </w:t>
      </w:r>
      <w:r w:rsidRPr="003B4F6E">
        <w:rPr>
          <w:rFonts w:ascii="Sylfaen" w:hAnsi="Sylfaen"/>
          <w:noProof/>
          <w:sz w:val="20"/>
          <w:szCs w:val="20"/>
          <w:lang w:val="ka-GE"/>
        </w:rPr>
        <w:t>მათ შორის პაციენტები, რომლებსაც უტარდებათ სტენტირება პერკუტანული კორონარული ჩარევის შემდეგ, აცეტილსალიცილის მჟავასთან (ასმ) კომბინაციაში.</w:t>
      </w:r>
    </w:p>
    <w:p w14:paraId="6E861B04" w14:textId="56871249" w:rsidR="00322212" w:rsidRPr="003B4F6E" w:rsidRDefault="00322212" w:rsidP="003B4F6E">
      <w:pPr>
        <w:numPr>
          <w:ilvl w:val="0"/>
          <w:numId w:val="25"/>
        </w:numPr>
        <w:spacing w:after="0" w:line="240" w:lineRule="auto"/>
        <w:jc w:val="both"/>
        <w:rPr>
          <w:rFonts w:ascii="Sylfaen" w:hAnsi="Sylfaen"/>
          <w:noProof/>
          <w:sz w:val="20"/>
          <w:szCs w:val="20"/>
          <w:lang w:val="ka-GE"/>
        </w:rPr>
      </w:pPr>
      <w:r w:rsidRPr="003B4F6E">
        <w:rPr>
          <w:rFonts w:ascii="Sylfaen" w:hAnsi="Sylfaen" w:cs="Sylfaen"/>
          <w:noProof/>
          <w:sz w:val="20"/>
          <w:szCs w:val="20"/>
          <w:lang w:val="ka-GE"/>
        </w:rPr>
        <w:t>ST სეგმენტის ელევაციის მქონე მწვავე მიოკარდიუმის ინფარქტი, ასმ-თან კომბინაციაში პაციენტებში, რომლებსაც უტარდებათ პერკუტანული კ</w:t>
      </w:r>
      <w:r w:rsidRPr="003B4F6E">
        <w:rPr>
          <w:rFonts w:ascii="Sylfaen" w:hAnsi="Sylfaen"/>
          <w:noProof/>
          <w:sz w:val="20"/>
          <w:szCs w:val="20"/>
          <w:lang w:val="ka-GE"/>
        </w:rPr>
        <w:t>ორონარული ჩარევა (მათ შორის პაციენტები, რომლებსაც უტარდებათ სტენტირება) ან პაციენტები, რომლებიც იტარებენ მედი</w:t>
      </w:r>
      <w:r w:rsidR="000C1FB9" w:rsidRPr="003B4F6E">
        <w:rPr>
          <w:rFonts w:ascii="Sylfaen" w:hAnsi="Sylfaen"/>
          <w:noProof/>
          <w:sz w:val="20"/>
          <w:szCs w:val="20"/>
          <w:lang w:val="ka-GE"/>
        </w:rPr>
        <w:t>კ</w:t>
      </w:r>
      <w:r w:rsidRPr="003B4F6E">
        <w:rPr>
          <w:rFonts w:ascii="Sylfaen" w:hAnsi="Sylfaen"/>
          <w:noProof/>
          <w:sz w:val="20"/>
          <w:szCs w:val="20"/>
          <w:lang w:val="ka-GE"/>
        </w:rPr>
        <w:t>ამენტურ თერაპია</w:t>
      </w:r>
      <w:r w:rsidR="000C1FB9" w:rsidRPr="003B4F6E">
        <w:rPr>
          <w:rFonts w:ascii="Sylfaen" w:hAnsi="Sylfaen"/>
          <w:noProof/>
          <w:sz w:val="20"/>
          <w:szCs w:val="20"/>
          <w:lang w:val="ka-GE"/>
        </w:rPr>
        <w:t>ს</w:t>
      </w:r>
      <w:r w:rsidRPr="003B4F6E">
        <w:rPr>
          <w:rFonts w:ascii="Sylfaen" w:hAnsi="Sylfaen"/>
          <w:noProof/>
          <w:sz w:val="20"/>
          <w:szCs w:val="20"/>
          <w:lang w:val="ka-GE"/>
        </w:rPr>
        <w:t xml:space="preserve"> და გააჩნიათ თრომბოლიზური/ფიბრინოლიზური თერაპიის ნებართვა.</w:t>
      </w:r>
    </w:p>
    <w:p w14:paraId="11DE35EA" w14:textId="77777777" w:rsidR="000C1FB9" w:rsidRPr="003B4F6E" w:rsidRDefault="000C1FB9" w:rsidP="003B4F6E">
      <w:pPr>
        <w:spacing w:after="0" w:line="240" w:lineRule="auto"/>
        <w:ind w:left="720"/>
        <w:jc w:val="both"/>
        <w:rPr>
          <w:rFonts w:ascii="Sylfaen" w:hAnsi="Sylfaen"/>
          <w:i/>
          <w:iCs/>
          <w:noProof/>
          <w:sz w:val="20"/>
          <w:szCs w:val="20"/>
          <w:lang w:val="ka-GE"/>
        </w:rPr>
      </w:pPr>
    </w:p>
    <w:p w14:paraId="29C76044"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პაციენტებში, რომლებსაც აღენიშნებათ საშუალო და მაღალი რისკის გარდამავალი იშემიური შეტევა (TIA) ან მცირე იშემიური ინსულტი (IS)</w:t>
      </w:r>
    </w:p>
    <w:p w14:paraId="60C4D543"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კლოპიდოგრელი ასმ-თან კომბინაციაში ნაჩვენებია:</w:t>
      </w:r>
    </w:p>
    <w:p w14:paraId="7686604E" w14:textId="77777777" w:rsidR="000C1FB9" w:rsidRPr="003B4F6E" w:rsidRDefault="00322212" w:rsidP="003B4F6E">
      <w:pPr>
        <w:numPr>
          <w:ilvl w:val="0"/>
          <w:numId w:val="25"/>
        </w:numPr>
        <w:spacing w:after="0" w:line="240" w:lineRule="auto"/>
        <w:jc w:val="both"/>
        <w:rPr>
          <w:rFonts w:ascii="Sylfaen" w:hAnsi="Sylfaen"/>
          <w:noProof/>
          <w:sz w:val="20"/>
          <w:szCs w:val="20"/>
          <w:lang w:val="ka-GE"/>
        </w:rPr>
      </w:pPr>
      <w:r w:rsidRPr="003B4F6E">
        <w:rPr>
          <w:rFonts w:ascii="Sylfaen" w:hAnsi="Sylfaen" w:cs="Sylfaen"/>
          <w:noProof/>
          <w:sz w:val="20"/>
          <w:szCs w:val="20"/>
          <w:lang w:val="ka-GE"/>
        </w:rPr>
        <w:t xml:space="preserve">ზრდასრული პაციენტები, რომლებსაც აღენიშნებათ საშუალო და მაღალი რისკის TIA (ABCD21 ქულა ≥4) ან მცირე IS (NIHSS2 ≤3) TIA-ს ან IS მოვლენიდან 24 საათის განმავლობაში. </w:t>
      </w:r>
    </w:p>
    <w:p w14:paraId="3C8E031F" w14:textId="77777777" w:rsidR="000C1FB9" w:rsidRPr="003B4F6E" w:rsidRDefault="000C1FB9" w:rsidP="003B4F6E">
      <w:pPr>
        <w:spacing w:after="0" w:line="240" w:lineRule="auto"/>
        <w:ind w:left="720"/>
        <w:jc w:val="both"/>
        <w:rPr>
          <w:rFonts w:ascii="Sylfaen" w:hAnsi="Sylfaen"/>
          <w:noProof/>
          <w:sz w:val="20"/>
          <w:szCs w:val="20"/>
          <w:lang w:val="ka-GE"/>
        </w:rPr>
      </w:pPr>
    </w:p>
    <w:p w14:paraId="49D1727E" w14:textId="26A77B87" w:rsidR="000C1FB9"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cs="Sylfaen"/>
          <w:i/>
          <w:iCs/>
          <w:noProof/>
          <w:sz w:val="20"/>
          <w:szCs w:val="20"/>
          <w:lang w:val="ka-GE"/>
        </w:rPr>
        <w:t>წ</w:t>
      </w:r>
      <w:r w:rsidRPr="003B4F6E">
        <w:rPr>
          <w:rFonts w:ascii="Sylfaen" w:hAnsi="Sylfaen"/>
          <w:i/>
          <w:iCs/>
          <w:noProof/>
          <w:sz w:val="20"/>
          <w:szCs w:val="20"/>
          <w:lang w:val="ka-GE"/>
        </w:rPr>
        <w:t>ინაგულების ფიბრილაციის დროს ათეროთრომბოზული და თრომბოემბოლიური მოვლენების პრევენცია</w:t>
      </w:r>
    </w:p>
    <w:p w14:paraId="22DB6DE3" w14:textId="77777777" w:rsidR="000C1FB9"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წინაგულების ფიბრილაციის მქონე ზრდასრულ პაციენტებში, რომლებსაც აქვთ სისხლძარღვოვანი მოვლენების მინიმუმ ერთი რისკ-ფაქტორი, რომლებისთვისაც K ვიტამინის ანტაგონისტებით (VKA) მკურნალობა არ არის შესაფერისი და რომლებსაც აქვთ სისხლდენის დაბალი რისკი, კლოპიდოგრელი ნაჩვენებია ასმ-თან კომბინაციაში ათეროთრომბოზული და თრომბოემბოლიური მოვლენების, მათ შორის ინსულტის პრევენციისთვის. </w:t>
      </w:r>
    </w:p>
    <w:p w14:paraId="203C7ADE" w14:textId="77777777" w:rsidR="000C1FB9" w:rsidRPr="003B4F6E" w:rsidRDefault="000C1FB9" w:rsidP="003B4F6E">
      <w:pPr>
        <w:spacing w:after="0" w:line="240" w:lineRule="auto"/>
        <w:jc w:val="both"/>
        <w:rPr>
          <w:rFonts w:ascii="Sylfaen" w:hAnsi="Sylfaen"/>
          <w:noProof/>
          <w:sz w:val="20"/>
          <w:szCs w:val="20"/>
          <w:lang w:val="ka-GE"/>
        </w:rPr>
      </w:pPr>
    </w:p>
    <w:p w14:paraId="1030DA11" w14:textId="57137355"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დამატებითი ინფორმაციისთვის იხილეთ 5.1 ნაწილი.</w:t>
      </w:r>
    </w:p>
    <w:p w14:paraId="3D2A6ECE" w14:textId="77777777" w:rsidR="00322212" w:rsidRPr="003B4F6E" w:rsidRDefault="00322212" w:rsidP="003B4F6E">
      <w:pPr>
        <w:spacing w:after="0" w:line="240" w:lineRule="auto"/>
        <w:jc w:val="both"/>
        <w:rPr>
          <w:rFonts w:ascii="Sylfaen" w:hAnsi="Sylfaen"/>
          <w:b/>
          <w:noProof/>
          <w:sz w:val="20"/>
          <w:szCs w:val="20"/>
          <w:lang w:val="ka-GE"/>
        </w:rPr>
      </w:pPr>
    </w:p>
    <w:p w14:paraId="1FE9AA42" w14:textId="77777777" w:rsidR="00322212" w:rsidRPr="003B4F6E" w:rsidRDefault="00322212" w:rsidP="003B4F6E">
      <w:pPr>
        <w:spacing w:after="0" w:line="240" w:lineRule="auto"/>
        <w:jc w:val="both"/>
        <w:rPr>
          <w:rFonts w:ascii="Sylfaen" w:hAnsi="Sylfaen"/>
          <w:b/>
          <w:noProof/>
          <w:sz w:val="20"/>
          <w:szCs w:val="20"/>
          <w:lang w:val="ka-GE"/>
        </w:rPr>
      </w:pPr>
      <w:r w:rsidRPr="003B4F6E">
        <w:rPr>
          <w:rFonts w:ascii="Sylfaen" w:hAnsi="Sylfaen"/>
          <w:b/>
          <w:noProof/>
          <w:sz w:val="20"/>
          <w:szCs w:val="20"/>
          <w:lang w:val="ka-GE"/>
        </w:rPr>
        <w:lastRenderedPageBreak/>
        <w:t>4.2 დოზირება და მიღების წესი</w:t>
      </w:r>
    </w:p>
    <w:p w14:paraId="4BB1E1CF" w14:textId="77777777" w:rsidR="000C1FB9" w:rsidRPr="003B4F6E" w:rsidRDefault="000C1FB9" w:rsidP="003B4F6E">
      <w:pPr>
        <w:spacing w:after="0" w:line="240" w:lineRule="auto"/>
        <w:jc w:val="both"/>
        <w:rPr>
          <w:rFonts w:ascii="Sylfaen" w:hAnsi="Sylfaen"/>
          <w:b/>
          <w:noProof/>
          <w:sz w:val="20"/>
          <w:szCs w:val="20"/>
          <w:lang w:val="ka-GE"/>
        </w:rPr>
      </w:pPr>
    </w:p>
    <w:p w14:paraId="62355C26" w14:textId="77777777" w:rsidR="00322212" w:rsidRPr="003B4F6E" w:rsidRDefault="00322212" w:rsidP="003B4F6E">
      <w:pPr>
        <w:spacing w:after="0" w:line="240" w:lineRule="auto"/>
        <w:jc w:val="both"/>
        <w:rPr>
          <w:rFonts w:ascii="Sylfaen" w:hAnsi="Sylfaen"/>
          <w:b/>
          <w:noProof/>
          <w:sz w:val="20"/>
          <w:szCs w:val="20"/>
          <w:u w:val="single"/>
          <w:lang w:val="ka-GE"/>
        </w:rPr>
      </w:pPr>
      <w:r w:rsidRPr="003B4F6E">
        <w:rPr>
          <w:rFonts w:ascii="Sylfaen" w:hAnsi="Sylfaen"/>
          <w:b/>
          <w:noProof/>
          <w:sz w:val="20"/>
          <w:szCs w:val="20"/>
          <w:u w:val="single"/>
          <w:lang w:val="ka-GE"/>
        </w:rPr>
        <w:t>დოზირება</w:t>
      </w:r>
    </w:p>
    <w:p w14:paraId="341D0428"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მოზრდილები და ხანდაზმულები</w:t>
      </w:r>
    </w:p>
    <w:p w14:paraId="58355104"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კლოპიდოგრელი უნდა მიიღონ 75 მგ ერთჯერადი დღიური დოზით.</w:t>
      </w:r>
    </w:p>
    <w:p w14:paraId="1071E22B" w14:textId="77777777" w:rsidR="00322212" w:rsidRPr="003B4F6E" w:rsidRDefault="00322212" w:rsidP="003B4F6E">
      <w:pPr>
        <w:spacing w:after="0" w:line="240" w:lineRule="auto"/>
        <w:jc w:val="both"/>
        <w:rPr>
          <w:rFonts w:ascii="Sylfaen" w:hAnsi="Sylfaen"/>
          <w:noProof/>
          <w:sz w:val="20"/>
          <w:szCs w:val="20"/>
          <w:lang w:val="ka-GE"/>
        </w:rPr>
      </w:pPr>
    </w:p>
    <w:p w14:paraId="7BFE4BAE"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მწვავე კორონარული სინდრომის მქონე პაციენტებში:</w:t>
      </w:r>
    </w:p>
    <w:p w14:paraId="58167853" w14:textId="02C98864" w:rsidR="00FE32FB" w:rsidRPr="003B4F6E" w:rsidRDefault="00322212" w:rsidP="003B4F6E">
      <w:pPr>
        <w:numPr>
          <w:ilvl w:val="0"/>
          <w:numId w:val="25"/>
        </w:numPr>
        <w:spacing w:after="0" w:line="240" w:lineRule="auto"/>
        <w:jc w:val="both"/>
        <w:rPr>
          <w:rFonts w:ascii="Sylfaen" w:hAnsi="Sylfaen"/>
          <w:noProof/>
          <w:sz w:val="20"/>
          <w:szCs w:val="20"/>
          <w:lang w:val="ka-GE"/>
        </w:rPr>
      </w:pPr>
      <w:r w:rsidRPr="003B4F6E">
        <w:rPr>
          <w:rFonts w:ascii="Sylfaen" w:hAnsi="Sylfaen"/>
          <w:noProof/>
          <w:sz w:val="20"/>
          <w:szCs w:val="20"/>
          <w:lang w:val="ka-GE"/>
        </w:rPr>
        <w:t>მწვავე კორონარული სინდრომი ST სეგმენტის გაზრდის გარეშე (არასტაბილური სტენოკარდია ან მიოკარდიუმის ინფარქტი Q კბილის გარეშე): კლოპიდოგრელით მკურნალობა უნდა დაიწყოს ერთჯერადი 300 მგ ან 600 მგ დატვირთვის დოზით. 600 მგ დატვირთვის დოზის გამოყენება შესაძლებელია 75 წელზე ნაკლები ასაკის პაციენტებში, როდესაც იგეგმება პერკუტანული კორონარული ჩარევა (იხ. ნაწილი 4.4). კლოპიდოგრელით მკურნალობა უნდა გაგრძელდეს 75 მგ დღეში ერთხელ (აცეტილსალიცილის მჟავასთან (ასმ) ერთად 75 მგ-325 მგ დღეში). რადგან ასმ-ის მაღალი დოზები დაკავშირებული იყო სისხლდენის გაზრდილ რისკთან, რეკომენდებულია, რომ ასმ-ის დოზა არ აღემატებოდეს 100 მგ-ს. მკურნალობის ოპტიმალური ხანგრძლივობა ოფიციალურად დადგენილი არ არის. კლინიკური კვლევების მონაცემები ადასტურებს გამოყენებას 12 თვემდე, ხოლო მაქსიმალური სარგებელი დაფიქსირდა 3 თვეში (იხ. ნაწილი 5.1).</w:t>
      </w:r>
    </w:p>
    <w:p w14:paraId="6514A52D" w14:textId="7DCAAF8D" w:rsidR="000C1FB9" w:rsidRPr="003B4F6E" w:rsidRDefault="00FE32FB" w:rsidP="003B4F6E">
      <w:pPr>
        <w:spacing w:after="0" w:line="240" w:lineRule="auto"/>
        <w:ind w:firstLine="360"/>
        <w:rPr>
          <w:rFonts w:ascii="Sylfaen" w:hAnsi="Sylfaen"/>
          <w:noProof/>
          <w:sz w:val="20"/>
          <w:szCs w:val="20"/>
          <w:lang w:val="ka-GE"/>
        </w:rPr>
      </w:pPr>
      <w:r w:rsidRPr="003B4F6E">
        <w:rPr>
          <w:rFonts w:ascii="Sylfaen" w:hAnsi="Sylfaen"/>
          <w:noProof/>
          <w:sz w:val="20"/>
          <w:szCs w:val="20"/>
          <w:lang w:val="ka-GE"/>
        </w:rPr>
        <w:t xml:space="preserve">- </w:t>
      </w:r>
      <w:r w:rsidR="00322212" w:rsidRPr="003B4F6E">
        <w:rPr>
          <w:rFonts w:ascii="Sylfaen" w:hAnsi="Sylfaen"/>
          <w:noProof/>
          <w:sz w:val="20"/>
          <w:szCs w:val="20"/>
          <w:lang w:val="ka-GE"/>
        </w:rPr>
        <w:t xml:space="preserve">მიოკარდიუმის მწვავე ინფარქტი ST სეგმენტის გაზრდით: </w:t>
      </w:r>
    </w:p>
    <w:p w14:paraId="24030AE2" w14:textId="0692195E" w:rsidR="00322212" w:rsidRPr="003B4F6E" w:rsidRDefault="000C1FB9" w:rsidP="003B4F6E">
      <w:pPr>
        <w:spacing w:after="0" w:line="240" w:lineRule="auto"/>
        <w:ind w:left="851" w:hanging="131"/>
        <w:jc w:val="both"/>
        <w:rPr>
          <w:rFonts w:ascii="Sylfaen" w:hAnsi="Sylfaen"/>
          <w:noProof/>
          <w:sz w:val="20"/>
          <w:szCs w:val="20"/>
          <w:lang w:val="ka-GE"/>
        </w:rPr>
      </w:pPr>
      <w:r w:rsidRPr="003B4F6E">
        <w:rPr>
          <w:rFonts w:ascii="Sylfaen" w:hAnsi="Sylfaen"/>
          <w:noProof/>
          <w:sz w:val="20"/>
          <w:szCs w:val="20"/>
          <w:lang w:val="ka-GE"/>
        </w:rPr>
        <w:t xml:space="preserve">- </w:t>
      </w:r>
      <w:r w:rsidR="00322212" w:rsidRPr="003B4F6E">
        <w:rPr>
          <w:rFonts w:ascii="Sylfaen" w:hAnsi="Sylfaen"/>
          <w:noProof/>
          <w:sz w:val="20"/>
          <w:szCs w:val="20"/>
          <w:lang w:val="ka-GE"/>
        </w:rPr>
        <w:t>თრომბოლიზური/ფიბრინოლიზური თერაპიისთვის შესაფერისი მედიკამენტოზური მკურნალობის ქვეშ მყოფი პაციენტებისთვის, კლოპიდოგრელი უნდა დაინიშნოს 75 მგ ერთჯერადი დღიური დოზით, დაწყებული 300 მგ დატვირთვ</w:t>
      </w:r>
      <w:r w:rsidR="0035053B" w:rsidRPr="003B4F6E">
        <w:rPr>
          <w:rFonts w:ascii="Sylfaen" w:hAnsi="Sylfaen"/>
          <w:noProof/>
          <w:sz w:val="20"/>
          <w:szCs w:val="20"/>
          <w:lang w:val="ka-GE"/>
        </w:rPr>
        <w:t>ის</w:t>
      </w:r>
      <w:r w:rsidR="00322212" w:rsidRPr="003B4F6E">
        <w:rPr>
          <w:rFonts w:ascii="Sylfaen" w:hAnsi="Sylfaen"/>
          <w:noProof/>
          <w:sz w:val="20"/>
          <w:szCs w:val="20"/>
          <w:lang w:val="ka-GE"/>
        </w:rPr>
        <w:t xml:space="preserve"> დოზით ასმ-სთან და თრომბოლიზურ საშუალებებთან ერთად ან მის გარეშე. 75 წელზე უფროსი ასაკის მედიკამენტოზური მკურნალობის ქვეშ მყოფი პაციენტებისთვის კლოპიდოგრელის მიღება უნდა დაიწყოს დამტვირთველი დოზის გარეშე. კომბინირებული თერაპია უნდა დაიწყოს სიმპტომების დაწყებიდან რაც შეიძლება ადრე და გაგრძელდეს მინიმუმ ოთხი კვირის განმავლობაში. კლოპიდოგრელისა და აცეტილსალიცილის მჟავის კომბინაციის სარგებელი ოთხ კვირაზე მეტხანს არ არის შესწავლილი ამ შემთხვევაში (იხ. ნაწილი 5.1).</w:t>
      </w:r>
    </w:p>
    <w:p w14:paraId="23C543D7" w14:textId="440DD8A5"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   </w:t>
      </w:r>
      <w:r w:rsidR="0035053B" w:rsidRPr="003B4F6E">
        <w:rPr>
          <w:rFonts w:ascii="Sylfaen" w:hAnsi="Sylfaen"/>
          <w:noProof/>
          <w:sz w:val="20"/>
          <w:szCs w:val="20"/>
          <w:lang w:val="ka-GE"/>
        </w:rPr>
        <w:t xml:space="preserve">             - </w:t>
      </w:r>
      <w:r w:rsidRPr="003B4F6E">
        <w:rPr>
          <w:rFonts w:ascii="Sylfaen" w:hAnsi="Sylfaen" w:cs="Sylfaen"/>
          <w:noProof/>
          <w:sz w:val="20"/>
          <w:szCs w:val="20"/>
          <w:lang w:val="ka-GE"/>
        </w:rPr>
        <w:t>როდესაც იგეგმება პერკუტა</w:t>
      </w:r>
      <w:r w:rsidRPr="003B4F6E">
        <w:rPr>
          <w:rFonts w:ascii="Sylfaen" w:hAnsi="Sylfaen"/>
          <w:noProof/>
          <w:sz w:val="20"/>
          <w:szCs w:val="20"/>
          <w:lang w:val="ka-GE"/>
        </w:rPr>
        <w:t>ნული კორონარული ინტერვენცია (PCI):</w:t>
      </w:r>
    </w:p>
    <w:p w14:paraId="61C84A5F" w14:textId="4D579909" w:rsidR="00322212" w:rsidRPr="003B4F6E" w:rsidRDefault="0035053B" w:rsidP="003B4F6E">
      <w:pPr>
        <w:tabs>
          <w:tab w:val="left" w:pos="1276"/>
        </w:tabs>
        <w:spacing w:after="0" w:line="240" w:lineRule="auto"/>
        <w:ind w:left="1276" w:hanging="709"/>
        <w:jc w:val="both"/>
        <w:rPr>
          <w:rFonts w:ascii="Sylfaen" w:hAnsi="Sylfaen"/>
          <w:noProof/>
          <w:sz w:val="20"/>
          <w:szCs w:val="20"/>
          <w:lang w:val="ka-GE"/>
        </w:rPr>
      </w:pPr>
      <w:r w:rsidRPr="003B4F6E">
        <w:rPr>
          <w:rFonts w:ascii="Sylfaen" w:hAnsi="Sylfaen"/>
          <w:noProof/>
          <w:sz w:val="20"/>
          <w:szCs w:val="20"/>
          <w:lang w:val="ka-GE"/>
        </w:rPr>
        <w:t xml:space="preserve">        - </w:t>
      </w:r>
      <w:r w:rsidR="00322212" w:rsidRPr="003B4F6E">
        <w:rPr>
          <w:rFonts w:ascii="Sylfaen" w:hAnsi="Sylfaen" w:cs="Sylfaen"/>
          <w:noProof/>
          <w:sz w:val="20"/>
          <w:szCs w:val="20"/>
          <w:lang w:val="ka-GE"/>
        </w:rPr>
        <w:t>კლოპიდოგრელის მიღება უნდა დაიწყოს 600 მგ დატვირთვ</w:t>
      </w:r>
      <w:r w:rsidRPr="003B4F6E">
        <w:rPr>
          <w:rFonts w:ascii="Sylfaen" w:hAnsi="Sylfaen" w:cs="Sylfaen"/>
          <w:noProof/>
          <w:sz w:val="20"/>
          <w:szCs w:val="20"/>
          <w:lang w:val="ka-GE"/>
        </w:rPr>
        <w:t>ის</w:t>
      </w:r>
      <w:r w:rsidR="00322212" w:rsidRPr="003B4F6E">
        <w:rPr>
          <w:rFonts w:ascii="Sylfaen" w:hAnsi="Sylfaen" w:cs="Sylfaen"/>
          <w:noProof/>
          <w:sz w:val="20"/>
          <w:szCs w:val="20"/>
          <w:lang w:val="ka-GE"/>
        </w:rPr>
        <w:t xml:space="preserve"> დოზით, პაციენტებში, რომლებსაც უტარდებათ პირველადი PCI და პაციენტებში, რომლებიც იღებენ PCI-ს 24 საათზე მეტხანს, ფიბრინოლიზურ თერაპიას. 75 წლის და უფროსი ასაკის პაციენტებ</w:t>
      </w:r>
      <w:r w:rsidR="00322212" w:rsidRPr="003B4F6E">
        <w:rPr>
          <w:rFonts w:ascii="Sylfaen" w:hAnsi="Sylfaen"/>
          <w:noProof/>
          <w:sz w:val="20"/>
          <w:szCs w:val="20"/>
          <w:lang w:val="ka-GE"/>
        </w:rPr>
        <w:t>ში 600 მგ LD უნდა დაინიშნოს სიფრთხილით (იხ. ნაწილი 4.4).</w:t>
      </w:r>
    </w:p>
    <w:p w14:paraId="5BDA1259" w14:textId="0517C2D4" w:rsidR="00322212" w:rsidRPr="003B4F6E" w:rsidRDefault="003062A5" w:rsidP="003B4F6E">
      <w:pPr>
        <w:spacing w:after="0" w:line="240" w:lineRule="auto"/>
        <w:ind w:left="1276" w:hanging="567"/>
        <w:jc w:val="both"/>
        <w:rPr>
          <w:rFonts w:ascii="Sylfaen" w:hAnsi="Sylfaen"/>
          <w:noProof/>
          <w:sz w:val="20"/>
          <w:szCs w:val="20"/>
          <w:lang w:val="ka-GE"/>
        </w:rPr>
      </w:pPr>
      <w:r w:rsidRPr="003B4F6E">
        <w:rPr>
          <w:rFonts w:ascii="Sylfaen" w:hAnsi="Sylfaen"/>
          <w:noProof/>
          <w:sz w:val="20"/>
          <w:szCs w:val="20"/>
          <w:lang w:val="ka-GE"/>
        </w:rPr>
        <w:t xml:space="preserve">        - </w:t>
      </w:r>
      <w:r w:rsidR="00322212" w:rsidRPr="003B4F6E">
        <w:rPr>
          <w:rFonts w:ascii="Sylfaen" w:hAnsi="Sylfaen"/>
          <w:noProof/>
          <w:sz w:val="20"/>
          <w:szCs w:val="20"/>
          <w:lang w:val="ka-GE"/>
        </w:rPr>
        <w:t>კლოპიდოგრელის 300 მგ დატვირთვ</w:t>
      </w:r>
      <w:r w:rsidRPr="003B4F6E">
        <w:rPr>
          <w:rFonts w:ascii="Sylfaen" w:hAnsi="Sylfaen"/>
          <w:noProof/>
          <w:sz w:val="20"/>
          <w:szCs w:val="20"/>
          <w:lang w:val="ka-GE"/>
        </w:rPr>
        <w:t>ის</w:t>
      </w:r>
      <w:r w:rsidR="00322212" w:rsidRPr="003B4F6E">
        <w:rPr>
          <w:rFonts w:ascii="Sylfaen" w:hAnsi="Sylfaen"/>
          <w:noProof/>
          <w:sz w:val="20"/>
          <w:szCs w:val="20"/>
          <w:lang w:val="ka-GE"/>
        </w:rPr>
        <w:t xml:space="preserve"> დოზა უნდა მიეცეს პაციენტებს, რომლებსაც უტარდებათ PCI ფიბრინოლიზური თერაპიის დაწყებიდან 24 საათის განმავლობაში.</w:t>
      </w:r>
    </w:p>
    <w:p w14:paraId="57FED97D" w14:textId="77777777" w:rsidR="00322212" w:rsidRPr="003B4F6E" w:rsidRDefault="00322212" w:rsidP="003B4F6E">
      <w:pPr>
        <w:spacing w:after="0" w:line="240" w:lineRule="auto"/>
        <w:ind w:left="851"/>
        <w:jc w:val="both"/>
        <w:rPr>
          <w:rFonts w:ascii="Sylfaen" w:hAnsi="Sylfaen"/>
          <w:noProof/>
          <w:sz w:val="20"/>
          <w:szCs w:val="20"/>
          <w:lang w:val="ka-GE"/>
        </w:rPr>
      </w:pPr>
      <w:r w:rsidRPr="003B4F6E">
        <w:rPr>
          <w:rFonts w:ascii="Sylfaen" w:hAnsi="Sylfaen"/>
          <w:noProof/>
          <w:sz w:val="20"/>
          <w:szCs w:val="20"/>
          <w:lang w:val="ka-GE"/>
        </w:rPr>
        <w:t>კლოპიდოგრელით მკურნალობა უნდა გაგრძელდეს 75 მგ დღეში ერთხელ, ასმ 75 მგ-100 მგ დღეში. კომბინირებული თერაპია უნდა დაიწყოს სიმპტომების დაწყებიდან რაც შეიძლება ადრე და გაგრძელდეს 12 თვემდე (იხილეთ ნაწილი 5.1).</w:t>
      </w:r>
    </w:p>
    <w:p w14:paraId="66EA8599" w14:textId="77777777" w:rsidR="00322212" w:rsidRPr="003B4F6E" w:rsidRDefault="00322212" w:rsidP="003B4F6E">
      <w:pPr>
        <w:spacing w:after="0" w:line="240" w:lineRule="auto"/>
        <w:rPr>
          <w:rFonts w:ascii="Sylfaen" w:hAnsi="Sylfaen"/>
          <w:noProof/>
          <w:sz w:val="20"/>
          <w:szCs w:val="20"/>
          <w:lang w:val="ka-GE"/>
        </w:rPr>
      </w:pPr>
    </w:p>
    <w:p w14:paraId="4E141BB8" w14:textId="77777777" w:rsidR="00322212" w:rsidRPr="003B4F6E" w:rsidRDefault="00322212" w:rsidP="003B4F6E">
      <w:pPr>
        <w:spacing w:after="0" w:line="240" w:lineRule="auto"/>
        <w:ind w:left="284"/>
        <w:jc w:val="both"/>
        <w:rPr>
          <w:rFonts w:ascii="Sylfaen" w:hAnsi="Sylfaen"/>
          <w:noProof/>
          <w:sz w:val="20"/>
          <w:szCs w:val="20"/>
          <w:lang w:val="ka-GE"/>
        </w:rPr>
      </w:pPr>
      <w:r w:rsidRPr="003B4F6E">
        <w:rPr>
          <w:rFonts w:ascii="Sylfaen" w:hAnsi="Sylfaen"/>
          <w:noProof/>
          <w:sz w:val="20"/>
          <w:szCs w:val="20"/>
          <w:lang w:val="ka-GE"/>
        </w:rPr>
        <w:t>ზრდასრული პაციენტები საშუალო და მაღალი რისკის მქონე TIA-თი ან მცირე IS-ით:</w:t>
      </w:r>
    </w:p>
    <w:p w14:paraId="74783337" w14:textId="760E5F30" w:rsidR="00322212" w:rsidRPr="003B4F6E" w:rsidRDefault="00322212" w:rsidP="003B4F6E">
      <w:pPr>
        <w:spacing w:after="0" w:line="240" w:lineRule="auto"/>
        <w:ind w:left="284"/>
        <w:jc w:val="both"/>
        <w:rPr>
          <w:rFonts w:ascii="Sylfaen" w:hAnsi="Sylfaen"/>
          <w:noProof/>
          <w:sz w:val="20"/>
          <w:szCs w:val="20"/>
          <w:lang w:val="ka-GE"/>
        </w:rPr>
      </w:pPr>
      <w:r w:rsidRPr="003B4F6E">
        <w:rPr>
          <w:rFonts w:ascii="Sylfaen" w:hAnsi="Sylfaen"/>
          <w:noProof/>
          <w:sz w:val="20"/>
          <w:szCs w:val="20"/>
          <w:lang w:val="ka-GE"/>
        </w:rPr>
        <w:t>ზრდასრულმა პაციენტებმა საშუალო და მაღალი რისკის მქონე TIA-თი (ABCD2 ქულა ≥4) ან მცირე IS-ით (NIHSS ≤3) უნდა მიიღონ კლოპიდოგრელის 300 მგ დატვირთვ</w:t>
      </w:r>
      <w:r w:rsidR="005A449F" w:rsidRPr="003B4F6E">
        <w:rPr>
          <w:rFonts w:ascii="Sylfaen" w:hAnsi="Sylfaen"/>
          <w:noProof/>
          <w:sz w:val="20"/>
          <w:szCs w:val="20"/>
          <w:lang w:val="ka-GE"/>
        </w:rPr>
        <w:t>ის</w:t>
      </w:r>
      <w:r w:rsidRPr="003B4F6E">
        <w:rPr>
          <w:rFonts w:ascii="Sylfaen" w:hAnsi="Sylfaen"/>
          <w:noProof/>
          <w:sz w:val="20"/>
          <w:szCs w:val="20"/>
          <w:lang w:val="ka-GE"/>
        </w:rPr>
        <w:t xml:space="preserve"> დოზა, შემდეგ კლოპიდოგრელი 75 მგ დღეში ერთხელ და ასმ (75 მგ -100 მგ დღეში ერთხელ). კლოპიდოგრელით და ასმ-ით მკურნალობა უნდა დაიწყოს შემთხვევიდან 24 საათის განმავლობაში და გაგრძელდეს 21 დღის განმავლობაში, რასაც მოჰყვება ერთჯერადი ანტიაგრეგანტული თერაპია. </w:t>
      </w:r>
    </w:p>
    <w:p w14:paraId="4251A8DC" w14:textId="77777777" w:rsidR="00322212" w:rsidRPr="003B4F6E" w:rsidRDefault="00322212" w:rsidP="003B4F6E">
      <w:pPr>
        <w:spacing w:after="0" w:line="240" w:lineRule="auto"/>
        <w:ind w:left="284"/>
        <w:jc w:val="both"/>
        <w:rPr>
          <w:rFonts w:ascii="Sylfaen" w:hAnsi="Sylfaen"/>
          <w:noProof/>
          <w:sz w:val="20"/>
          <w:szCs w:val="20"/>
          <w:lang w:val="ka-GE"/>
        </w:rPr>
      </w:pPr>
    </w:p>
    <w:p w14:paraId="51C7DEB5" w14:textId="77777777" w:rsidR="00322212" w:rsidRPr="003B4F6E" w:rsidRDefault="00322212" w:rsidP="003B4F6E">
      <w:pPr>
        <w:spacing w:after="0" w:line="240" w:lineRule="auto"/>
        <w:ind w:left="284"/>
        <w:jc w:val="both"/>
        <w:rPr>
          <w:rFonts w:ascii="Sylfaen" w:hAnsi="Sylfaen"/>
          <w:noProof/>
          <w:sz w:val="20"/>
          <w:szCs w:val="20"/>
          <w:lang w:val="ka-GE"/>
        </w:rPr>
      </w:pPr>
      <w:r w:rsidRPr="003B4F6E">
        <w:rPr>
          <w:rFonts w:ascii="Sylfaen" w:hAnsi="Sylfaen"/>
          <w:noProof/>
          <w:sz w:val="20"/>
          <w:szCs w:val="20"/>
          <w:lang w:val="ka-GE"/>
        </w:rPr>
        <w:t>წინაგულების ფიბრილაციის მქონე პაციენტებში კლოპიდოგრელი უნდა დაინიშნოს 75 მგ ერთჯერადი დღიური დოზით. ასმ-ს (75-100 მგ დღეში) მიღება უნდა დაიწყოს და გაგრძელდეს კლოპიდოგრელთან კომბინაციაში (იხ. ნაწილი 5.1).</w:t>
      </w:r>
    </w:p>
    <w:p w14:paraId="7BB796F9" w14:textId="77777777" w:rsidR="00322212" w:rsidRPr="003B4F6E" w:rsidRDefault="00322212" w:rsidP="003B4F6E">
      <w:pPr>
        <w:spacing w:after="0" w:line="240" w:lineRule="auto"/>
        <w:ind w:left="284"/>
        <w:jc w:val="both"/>
        <w:rPr>
          <w:rFonts w:ascii="Sylfaen" w:hAnsi="Sylfaen"/>
          <w:noProof/>
          <w:sz w:val="20"/>
          <w:szCs w:val="20"/>
          <w:lang w:val="ka-GE"/>
        </w:rPr>
      </w:pPr>
    </w:p>
    <w:p w14:paraId="4D27CAC3"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დოზის გამოტოვების შემთხვევაში:</w:t>
      </w:r>
    </w:p>
    <w:p w14:paraId="0A9A81DF" w14:textId="625CD80F" w:rsidR="00322212" w:rsidRPr="003B4F6E" w:rsidRDefault="00322212" w:rsidP="003B4F6E">
      <w:pPr>
        <w:numPr>
          <w:ilvl w:val="0"/>
          <w:numId w:val="26"/>
        </w:numPr>
        <w:spacing w:after="0" w:line="240" w:lineRule="auto"/>
        <w:jc w:val="both"/>
        <w:rPr>
          <w:rFonts w:ascii="Sylfaen" w:hAnsi="Sylfaen"/>
          <w:noProof/>
          <w:sz w:val="20"/>
          <w:szCs w:val="20"/>
          <w:lang w:val="ka-GE"/>
        </w:rPr>
      </w:pPr>
      <w:r w:rsidRPr="003B4F6E">
        <w:rPr>
          <w:rFonts w:ascii="Sylfaen" w:hAnsi="Sylfaen"/>
          <w:noProof/>
          <w:sz w:val="20"/>
          <w:szCs w:val="20"/>
          <w:lang w:val="ka-GE"/>
        </w:rPr>
        <w:t>რეგულარული დაგეგმილი დროიდან 12 საათზე ნაკლებ დროში: პაციენტებმა დაუყოვნებლივ უნდა მიიღონ დოზა და შემდეგ შემდეგი დოზა მიიღონ რეგულარულ დაგეგმილ დროს.</w:t>
      </w:r>
    </w:p>
    <w:p w14:paraId="6474F21F" w14:textId="1ED9A931" w:rsidR="00322212" w:rsidRPr="003B4F6E" w:rsidRDefault="00322212" w:rsidP="003B4F6E">
      <w:pPr>
        <w:numPr>
          <w:ilvl w:val="0"/>
          <w:numId w:val="26"/>
        </w:numPr>
        <w:spacing w:after="0" w:line="240" w:lineRule="auto"/>
        <w:jc w:val="both"/>
        <w:rPr>
          <w:rFonts w:ascii="Sylfaen" w:hAnsi="Sylfaen"/>
          <w:noProof/>
          <w:sz w:val="20"/>
          <w:szCs w:val="20"/>
          <w:lang w:val="ka-GE"/>
        </w:rPr>
      </w:pPr>
      <w:r w:rsidRPr="003B4F6E">
        <w:rPr>
          <w:rFonts w:ascii="Sylfaen" w:hAnsi="Sylfaen"/>
          <w:noProof/>
          <w:sz w:val="20"/>
          <w:szCs w:val="20"/>
          <w:lang w:val="ka-GE"/>
        </w:rPr>
        <w:t>12 საათზე მეტი ხნის განმავლობაში: პაციენტებმა შემდეგი დოზა უნდა მიიღონ რეგულარულ დაგეგმილ დროს და არ უნდა გააორმაგონ დოზა.</w:t>
      </w:r>
    </w:p>
    <w:p w14:paraId="75796C3F" w14:textId="77777777" w:rsidR="00322212" w:rsidRPr="003B4F6E" w:rsidRDefault="00322212" w:rsidP="003B4F6E">
      <w:pPr>
        <w:spacing w:after="0" w:line="240" w:lineRule="auto"/>
        <w:rPr>
          <w:rFonts w:ascii="Sylfaen" w:hAnsi="Sylfaen"/>
          <w:noProof/>
          <w:sz w:val="20"/>
          <w:szCs w:val="20"/>
          <w:lang w:val="ka-GE"/>
        </w:rPr>
      </w:pPr>
    </w:p>
    <w:p w14:paraId="4E3A96AF" w14:textId="77777777" w:rsidR="00322212" w:rsidRPr="003B4F6E" w:rsidRDefault="00322212" w:rsidP="003B4F6E">
      <w:pPr>
        <w:spacing w:after="0" w:line="240" w:lineRule="auto"/>
        <w:jc w:val="both"/>
        <w:rPr>
          <w:rFonts w:ascii="Sylfaen" w:hAnsi="Sylfaen"/>
          <w:noProof/>
          <w:sz w:val="20"/>
          <w:szCs w:val="20"/>
          <w:u w:val="single"/>
          <w:lang w:val="ka-GE"/>
        </w:rPr>
      </w:pPr>
      <w:r w:rsidRPr="003B4F6E">
        <w:rPr>
          <w:rFonts w:ascii="Sylfaen" w:hAnsi="Sylfaen"/>
          <w:noProof/>
          <w:sz w:val="20"/>
          <w:szCs w:val="20"/>
          <w:u w:val="single"/>
          <w:lang w:val="ka-GE"/>
        </w:rPr>
        <w:lastRenderedPageBreak/>
        <w:t>სპეციალური პოპულაციები</w:t>
      </w:r>
    </w:p>
    <w:p w14:paraId="38B3A3B2" w14:textId="77777777" w:rsidR="00322212" w:rsidRPr="003B4F6E" w:rsidRDefault="00322212" w:rsidP="003B4F6E">
      <w:pPr>
        <w:numPr>
          <w:ilvl w:val="0"/>
          <w:numId w:val="24"/>
        </w:numPr>
        <w:spacing w:after="0" w:line="240" w:lineRule="auto"/>
        <w:jc w:val="both"/>
        <w:rPr>
          <w:rFonts w:ascii="Sylfaen" w:hAnsi="Sylfaen" w:cs="Calibri"/>
          <w:noProof/>
          <w:sz w:val="20"/>
          <w:szCs w:val="20"/>
          <w:lang w:val="ka-GE"/>
        </w:rPr>
      </w:pPr>
      <w:r w:rsidRPr="003B4F6E">
        <w:rPr>
          <w:rFonts w:ascii="Sylfaen" w:hAnsi="Sylfaen" w:cs="Sylfaen"/>
          <w:noProof/>
          <w:sz w:val="20"/>
          <w:szCs w:val="20"/>
          <w:lang w:val="ka-GE"/>
        </w:rPr>
        <w:t>ხანდაზმული პაციენტები</w:t>
      </w:r>
    </w:p>
    <w:p w14:paraId="5E9BC19F" w14:textId="2B432DF2"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მწვავე კორონარული სინდრომი ST სეგმენტის გაზრდის გარეშე (არასტაბილური სტენოკარდია ან მიოკარდიუმის ინფარქტი Q კბილის გარეშე):</w:t>
      </w:r>
    </w:p>
    <w:p w14:paraId="185FE86D"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     - </w:t>
      </w:r>
      <w:r w:rsidRPr="003B4F6E">
        <w:rPr>
          <w:noProof/>
          <w:sz w:val="20"/>
          <w:szCs w:val="20"/>
          <w:lang w:val="ka-GE"/>
        </w:rPr>
        <w:t>&lt;</w:t>
      </w:r>
      <w:r w:rsidRPr="003B4F6E">
        <w:rPr>
          <w:rFonts w:ascii="Sylfaen" w:hAnsi="Sylfaen" w:cs="Sylfaen"/>
          <w:noProof/>
          <w:sz w:val="20"/>
          <w:szCs w:val="20"/>
          <w:lang w:val="ka-GE"/>
        </w:rPr>
        <w:t>75 წლის პაციენტებში შეიძლება განიხილებოდეს 600 მგ დამტვირთველი დოზა (იხ. ნაწილი 4.</w:t>
      </w:r>
      <w:r w:rsidRPr="003B4F6E">
        <w:rPr>
          <w:rFonts w:ascii="Sylfaen" w:hAnsi="Sylfaen"/>
          <w:noProof/>
          <w:sz w:val="20"/>
          <w:szCs w:val="20"/>
          <w:lang w:val="ka-GE"/>
        </w:rPr>
        <w:t xml:space="preserve">4). </w:t>
      </w:r>
    </w:p>
    <w:p w14:paraId="32645426" w14:textId="77777777" w:rsidR="00322212" w:rsidRPr="003B4F6E" w:rsidRDefault="00322212" w:rsidP="003B4F6E">
      <w:pPr>
        <w:spacing w:after="0" w:line="240" w:lineRule="auto"/>
        <w:jc w:val="both"/>
        <w:rPr>
          <w:rFonts w:ascii="Sylfaen" w:hAnsi="Sylfaen"/>
          <w:noProof/>
          <w:sz w:val="20"/>
          <w:szCs w:val="20"/>
          <w:lang w:val="ka-GE"/>
        </w:rPr>
      </w:pPr>
    </w:p>
    <w:p w14:paraId="4DFCF245"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მიოკარდიუმის მწვავე ინფარქტი ST სეგმენტის გაზრდით:</w:t>
      </w:r>
    </w:p>
    <w:p w14:paraId="6F5B8148" w14:textId="35B233A3"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    - </w:t>
      </w:r>
      <w:r w:rsidRPr="003B4F6E">
        <w:rPr>
          <w:rFonts w:ascii="Sylfaen" w:hAnsi="Sylfaen" w:cs="Sylfaen"/>
          <w:noProof/>
          <w:sz w:val="20"/>
          <w:szCs w:val="20"/>
          <w:lang w:val="ka-GE"/>
        </w:rPr>
        <w:t xml:space="preserve">თრომბოლიზური/ფიბრინოლიზური თერაპიისთვის შესაფერისი მედიკამენტოზური მკურნალობის ქვეშ მყოფი პაციენტებისთვის: 75 წელზე უფროსი ასაკის პაციენტებში </w:t>
      </w:r>
      <w:r w:rsidRPr="003B4F6E">
        <w:rPr>
          <w:rFonts w:ascii="Sylfaen" w:hAnsi="Sylfaen"/>
          <w:noProof/>
          <w:sz w:val="20"/>
          <w:szCs w:val="20"/>
          <w:lang w:val="ka-GE"/>
        </w:rPr>
        <w:t>კლოპიდოგრელის მიღება უნდა დაიწყოს დატვირთვის დოზის გარეშე.</w:t>
      </w:r>
    </w:p>
    <w:p w14:paraId="4295A4B6" w14:textId="77777777" w:rsidR="005A449F" w:rsidRPr="003B4F6E" w:rsidRDefault="005A449F" w:rsidP="003B4F6E">
      <w:pPr>
        <w:spacing w:after="0" w:line="240" w:lineRule="auto"/>
        <w:jc w:val="both"/>
        <w:rPr>
          <w:rFonts w:ascii="Sylfaen" w:hAnsi="Sylfaen" w:cs="Sylfaen"/>
          <w:noProof/>
          <w:sz w:val="20"/>
          <w:szCs w:val="20"/>
        </w:rPr>
      </w:pPr>
    </w:p>
    <w:p w14:paraId="36128EB5" w14:textId="4B466ED0"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პირველადი პერორალური კორონარული არტერიის ინფარქტის (PCI) ჩატარების და 24 საათზე მეტი ხნის განმავლობაში </w:t>
      </w:r>
    </w:p>
    <w:p w14:paraId="00F97333"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ფიბრინოლიზური თერაპიის ჩატარების მქონე პაციენტებისთვის:</w:t>
      </w:r>
    </w:p>
    <w:p w14:paraId="30F2BEA9" w14:textId="67DE0CD1" w:rsidR="00322212" w:rsidRPr="003B4F6E" w:rsidRDefault="00322212" w:rsidP="003B4F6E">
      <w:pPr>
        <w:numPr>
          <w:ilvl w:val="0"/>
          <w:numId w:val="26"/>
        </w:numPr>
        <w:spacing w:after="0" w:line="240" w:lineRule="auto"/>
        <w:jc w:val="both"/>
        <w:rPr>
          <w:rFonts w:ascii="Sylfaen" w:hAnsi="Sylfaen"/>
          <w:noProof/>
          <w:sz w:val="20"/>
          <w:szCs w:val="20"/>
          <w:lang w:val="ka-GE"/>
        </w:rPr>
      </w:pPr>
      <w:r w:rsidRPr="003B4F6E">
        <w:rPr>
          <w:rFonts w:ascii="Sylfaen" w:hAnsi="Sylfaen"/>
          <w:noProof/>
          <w:sz w:val="20"/>
          <w:szCs w:val="20"/>
          <w:lang w:val="ka-GE"/>
        </w:rPr>
        <w:t>≥75 წლის  პაციენტებში 600 მგ დამტვირთველი დოზა უნდა დაინიშნოს სიფრთხილით (იხ. ნაწილი 4.4).</w:t>
      </w:r>
    </w:p>
    <w:p w14:paraId="7DCA6252" w14:textId="77777777" w:rsidR="00A800D2" w:rsidRPr="003B4F6E" w:rsidRDefault="00A800D2" w:rsidP="003B4F6E">
      <w:pPr>
        <w:spacing w:after="0" w:line="240" w:lineRule="auto"/>
        <w:ind w:left="720"/>
        <w:jc w:val="both"/>
        <w:rPr>
          <w:rFonts w:ascii="Sylfaen" w:hAnsi="Sylfaen"/>
          <w:noProof/>
          <w:sz w:val="20"/>
          <w:szCs w:val="20"/>
          <w:lang w:val="ka-GE"/>
        </w:rPr>
      </w:pPr>
    </w:p>
    <w:p w14:paraId="6B891842" w14:textId="77777777" w:rsidR="00322212" w:rsidRPr="003B4F6E" w:rsidRDefault="00322212" w:rsidP="003B4F6E">
      <w:pPr>
        <w:numPr>
          <w:ilvl w:val="0"/>
          <w:numId w:val="24"/>
        </w:numPr>
        <w:spacing w:after="0" w:line="240" w:lineRule="auto"/>
        <w:jc w:val="both"/>
        <w:rPr>
          <w:rFonts w:ascii="Sylfaen" w:hAnsi="Sylfaen"/>
          <w:noProof/>
          <w:sz w:val="20"/>
          <w:szCs w:val="20"/>
          <w:lang w:val="ka-GE"/>
        </w:rPr>
      </w:pPr>
      <w:r w:rsidRPr="003B4F6E">
        <w:rPr>
          <w:rFonts w:ascii="Sylfaen" w:hAnsi="Sylfaen" w:cs="Sylfaen"/>
          <w:noProof/>
          <w:sz w:val="20"/>
          <w:szCs w:val="20"/>
          <w:lang w:val="ka-GE"/>
        </w:rPr>
        <w:t>პედიატრიული პოპულა</w:t>
      </w:r>
      <w:r w:rsidRPr="003B4F6E">
        <w:rPr>
          <w:rFonts w:ascii="Sylfaen" w:hAnsi="Sylfaen"/>
          <w:noProof/>
          <w:sz w:val="20"/>
          <w:szCs w:val="20"/>
          <w:lang w:val="ka-GE"/>
        </w:rPr>
        <w:t>ცია</w:t>
      </w:r>
    </w:p>
    <w:p w14:paraId="62202A7E" w14:textId="03C89E56"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კლოპიდოგრელი არ უნდა იქნას გამოყენებული ბავშვებში ეფექტურობის შესახებ ეჭვების გამო (იხ. ნაწილი 5.1).</w:t>
      </w:r>
    </w:p>
    <w:p w14:paraId="070B1285" w14:textId="77777777" w:rsidR="00322212" w:rsidRPr="003B4F6E" w:rsidRDefault="00322212" w:rsidP="003B4F6E">
      <w:pPr>
        <w:tabs>
          <w:tab w:val="left" w:pos="7466"/>
        </w:tabs>
        <w:spacing w:after="0" w:line="240" w:lineRule="auto"/>
        <w:jc w:val="both"/>
        <w:rPr>
          <w:rFonts w:ascii="Sylfaen" w:hAnsi="Sylfaen"/>
          <w:noProof/>
          <w:sz w:val="20"/>
          <w:szCs w:val="20"/>
          <w:lang w:val="ka-GE"/>
        </w:rPr>
      </w:pPr>
    </w:p>
    <w:p w14:paraId="4ED23DA0" w14:textId="77777777" w:rsidR="00322212" w:rsidRPr="003B4F6E" w:rsidRDefault="00322212" w:rsidP="003B4F6E">
      <w:pPr>
        <w:numPr>
          <w:ilvl w:val="0"/>
          <w:numId w:val="24"/>
        </w:numPr>
        <w:tabs>
          <w:tab w:val="left" w:pos="7466"/>
        </w:tabs>
        <w:spacing w:after="0" w:line="240" w:lineRule="auto"/>
        <w:jc w:val="both"/>
        <w:rPr>
          <w:rFonts w:ascii="Sylfaen" w:hAnsi="Sylfaen" w:cs="Calibri"/>
          <w:noProof/>
          <w:sz w:val="20"/>
          <w:szCs w:val="20"/>
          <w:lang w:val="ka-GE"/>
        </w:rPr>
      </w:pPr>
      <w:r w:rsidRPr="003B4F6E">
        <w:rPr>
          <w:rFonts w:ascii="Sylfaen" w:hAnsi="Sylfaen" w:cs="Sylfaen"/>
          <w:noProof/>
          <w:sz w:val="20"/>
          <w:szCs w:val="20"/>
          <w:lang w:val="ka-GE"/>
        </w:rPr>
        <w:t>თირკმლის ფუნქციის დარღვევა</w:t>
      </w:r>
      <w:r w:rsidRPr="003B4F6E">
        <w:rPr>
          <w:rFonts w:ascii="Sylfaen" w:hAnsi="Sylfaen" w:cs="Sylfaen"/>
          <w:noProof/>
          <w:sz w:val="20"/>
          <w:szCs w:val="20"/>
          <w:lang w:val="ka-GE"/>
        </w:rPr>
        <w:tab/>
      </w:r>
    </w:p>
    <w:p w14:paraId="7292FDA3"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თირკმლის ფუნქციის დარღვევის მქონე პაციენტებში თერაპიული გამოცდილება შეზღუდულია (იხ. ნაწილი 4.4).</w:t>
      </w:r>
    </w:p>
    <w:p w14:paraId="0C19403E" w14:textId="77777777" w:rsidR="00322212" w:rsidRPr="003B4F6E" w:rsidRDefault="00322212" w:rsidP="003B4F6E">
      <w:pPr>
        <w:spacing w:after="0" w:line="240" w:lineRule="auto"/>
        <w:jc w:val="both"/>
        <w:rPr>
          <w:rFonts w:ascii="Sylfaen" w:hAnsi="Sylfaen" w:cs="Sylfaen"/>
          <w:noProof/>
          <w:sz w:val="20"/>
          <w:szCs w:val="20"/>
          <w:lang w:val="ka-GE"/>
        </w:rPr>
      </w:pPr>
    </w:p>
    <w:p w14:paraId="3FC23EE6" w14:textId="77777777" w:rsidR="00322212" w:rsidRPr="003B4F6E" w:rsidRDefault="00322212" w:rsidP="003B4F6E">
      <w:pPr>
        <w:numPr>
          <w:ilvl w:val="0"/>
          <w:numId w:val="24"/>
        </w:numPr>
        <w:spacing w:after="0" w:line="240" w:lineRule="auto"/>
        <w:jc w:val="both"/>
        <w:rPr>
          <w:rFonts w:ascii="Sylfaen" w:hAnsi="Sylfaen"/>
          <w:noProof/>
          <w:sz w:val="20"/>
          <w:szCs w:val="20"/>
          <w:lang w:val="ka-GE"/>
        </w:rPr>
      </w:pPr>
      <w:r w:rsidRPr="003B4F6E">
        <w:rPr>
          <w:rFonts w:ascii="Sylfaen" w:hAnsi="Sylfaen" w:cs="Sylfaen"/>
          <w:noProof/>
          <w:sz w:val="20"/>
          <w:szCs w:val="20"/>
          <w:lang w:val="ka-GE"/>
        </w:rPr>
        <w:t>ღვიძლის ფუნქციის დარღ</w:t>
      </w:r>
      <w:r w:rsidRPr="003B4F6E">
        <w:rPr>
          <w:rFonts w:ascii="Sylfaen" w:hAnsi="Sylfaen"/>
          <w:noProof/>
          <w:sz w:val="20"/>
          <w:szCs w:val="20"/>
          <w:lang w:val="ka-GE"/>
        </w:rPr>
        <w:t>ვევა</w:t>
      </w:r>
    </w:p>
    <w:p w14:paraId="19F3D61F"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ღვიძლის ზომიერი დაავადების მქონე პაციენტებში, რომლებსაც შეიძლება ჰქონდეთ სისხლის შედედების დარღვევა, თერაპიული გამოცდილება შეზღუდულია  (იხ. ნაწილი 4.4).</w:t>
      </w:r>
    </w:p>
    <w:p w14:paraId="3A6A3190" w14:textId="77777777" w:rsidR="00322212" w:rsidRPr="003B4F6E" w:rsidRDefault="00322212" w:rsidP="003B4F6E">
      <w:pPr>
        <w:spacing w:after="0" w:line="240" w:lineRule="auto"/>
        <w:jc w:val="both"/>
        <w:rPr>
          <w:rFonts w:ascii="Sylfaen" w:hAnsi="Sylfaen"/>
          <w:noProof/>
          <w:sz w:val="20"/>
          <w:szCs w:val="20"/>
          <w:lang w:val="ka-GE"/>
        </w:rPr>
      </w:pPr>
    </w:p>
    <w:p w14:paraId="16FC3409" w14:textId="77777777" w:rsidR="00322212" w:rsidRPr="003B4F6E" w:rsidRDefault="00322212" w:rsidP="003B4F6E">
      <w:pPr>
        <w:spacing w:after="0" w:line="240" w:lineRule="auto"/>
        <w:jc w:val="both"/>
        <w:rPr>
          <w:rFonts w:ascii="Sylfaen" w:hAnsi="Sylfaen"/>
          <w:noProof/>
          <w:sz w:val="20"/>
          <w:szCs w:val="20"/>
          <w:u w:val="single"/>
          <w:lang w:val="ka-GE"/>
        </w:rPr>
      </w:pPr>
      <w:r w:rsidRPr="003B4F6E">
        <w:rPr>
          <w:rFonts w:ascii="Sylfaen" w:hAnsi="Sylfaen"/>
          <w:noProof/>
          <w:sz w:val="20"/>
          <w:szCs w:val="20"/>
          <w:u w:val="single"/>
          <w:lang w:val="ka-GE"/>
        </w:rPr>
        <w:t>გამოყენების მეთოდი</w:t>
      </w:r>
    </w:p>
    <w:p w14:paraId="64650520" w14:textId="23A704AF"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პერორალური გამოყენებისთვის</w:t>
      </w:r>
      <w:r w:rsidR="00F54530">
        <w:rPr>
          <w:rFonts w:ascii="Sylfaen" w:hAnsi="Sylfaen"/>
          <w:noProof/>
          <w:sz w:val="20"/>
          <w:szCs w:val="20"/>
          <w:lang w:val="ka-GE"/>
        </w:rPr>
        <w:t>.</w:t>
      </w:r>
    </w:p>
    <w:p w14:paraId="12827DE3" w14:textId="059F79C4"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მისი მი</w:t>
      </w:r>
      <w:r w:rsidR="007A5F10">
        <w:rPr>
          <w:rFonts w:ascii="Sylfaen" w:hAnsi="Sylfaen"/>
          <w:noProof/>
          <w:sz w:val="20"/>
          <w:szCs w:val="20"/>
          <w:lang w:val="ka-GE"/>
        </w:rPr>
        <w:t>ღ</w:t>
      </w:r>
      <w:r w:rsidRPr="003B4F6E">
        <w:rPr>
          <w:rFonts w:ascii="Sylfaen" w:hAnsi="Sylfaen"/>
          <w:noProof/>
          <w:sz w:val="20"/>
          <w:szCs w:val="20"/>
          <w:lang w:val="ka-GE"/>
        </w:rPr>
        <w:t xml:space="preserve">ება შეიძლება საკვებთან ერთად ან მის გარეშე. </w:t>
      </w:r>
    </w:p>
    <w:p w14:paraId="3324181A" w14:textId="77777777" w:rsidR="00322212" w:rsidRPr="003B4F6E" w:rsidRDefault="00322212" w:rsidP="003B4F6E">
      <w:pPr>
        <w:spacing w:after="0" w:line="240" w:lineRule="auto"/>
        <w:jc w:val="both"/>
        <w:rPr>
          <w:rFonts w:ascii="Sylfaen" w:hAnsi="Sylfaen"/>
          <w:b/>
          <w:noProof/>
          <w:sz w:val="20"/>
          <w:szCs w:val="20"/>
          <w:lang w:val="ka-GE"/>
        </w:rPr>
      </w:pPr>
    </w:p>
    <w:p w14:paraId="0ABD5E7D" w14:textId="77777777" w:rsidR="00322212" w:rsidRPr="003B4F6E" w:rsidRDefault="00322212" w:rsidP="003B4F6E">
      <w:pPr>
        <w:spacing w:after="0" w:line="240" w:lineRule="auto"/>
        <w:jc w:val="both"/>
        <w:rPr>
          <w:rFonts w:ascii="Sylfaen" w:hAnsi="Sylfaen"/>
          <w:b/>
          <w:noProof/>
          <w:sz w:val="20"/>
          <w:szCs w:val="20"/>
          <w:lang w:val="ka-GE"/>
        </w:rPr>
      </w:pPr>
      <w:r w:rsidRPr="003B4F6E">
        <w:rPr>
          <w:rFonts w:ascii="Sylfaen" w:hAnsi="Sylfaen"/>
          <w:b/>
          <w:noProof/>
          <w:sz w:val="20"/>
          <w:szCs w:val="20"/>
          <w:lang w:val="ka-GE"/>
        </w:rPr>
        <w:t>4.3 უკუჩვენებები</w:t>
      </w:r>
    </w:p>
    <w:p w14:paraId="1DDE8800" w14:textId="2F9BD501" w:rsidR="00322212" w:rsidRPr="003B4F6E" w:rsidRDefault="00322212" w:rsidP="003B4F6E">
      <w:pPr>
        <w:numPr>
          <w:ilvl w:val="0"/>
          <w:numId w:val="27"/>
        </w:numPr>
        <w:spacing w:after="0" w:line="240" w:lineRule="auto"/>
        <w:jc w:val="both"/>
        <w:rPr>
          <w:rFonts w:ascii="Sylfaen" w:hAnsi="Sylfaen"/>
          <w:noProof/>
          <w:sz w:val="20"/>
          <w:szCs w:val="20"/>
          <w:lang w:val="ka-GE"/>
        </w:rPr>
      </w:pPr>
      <w:r w:rsidRPr="003B4F6E">
        <w:rPr>
          <w:rFonts w:ascii="Sylfaen" w:hAnsi="Sylfaen"/>
          <w:noProof/>
          <w:sz w:val="20"/>
          <w:szCs w:val="20"/>
          <w:lang w:val="ka-GE"/>
        </w:rPr>
        <w:t>მომატებული მგრძნობელობა აქტიური ნივთიერების ან მე-2 ან 6.1 პუნქტებში ჩამოთვლილი რომელიმე დამხმარე ნივთიერების მიმართ.</w:t>
      </w:r>
    </w:p>
    <w:p w14:paraId="7D143061" w14:textId="08475C1C" w:rsidR="00322212" w:rsidRPr="003B4F6E" w:rsidRDefault="00322212" w:rsidP="003B4F6E">
      <w:pPr>
        <w:numPr>
          <w:ilvl w:val="0"/>
          <w:numId w:val="27"/>
        </w:numPr>
        <w:spacing w:after="0" w:line="240" w:lineRule="auto"/>
        <w:jc w:val="both"/>
        <w:rPr>
          <w:rFonts w:ascii="Sylfaen" w:hAnsi="Sylfaen" w:cs="Calibri"/>
          <w:noProof/>
          <w:sz w:val="20"/>
          <w:szCs w:val="20"/>
          <w:lang w:val="ka-GE"/>
        </w:rPr>
      </w:pPr>
      <w:r w:rsidRPr="003B4F6E">
        <w:rPr>
          <w:rFonts w:ascii="Sylfaen" w:hAnsi="Sylfaen" w:cs="Sylfaen"/>
          <w:noProof/>
          <w:sz w:val="20"/>
          <w:szCs w:val="20"/>
          <w:lang w:val="ka-GE"/>
        </w:rPr>
        <w:t>ღვიძლის მძიმე უკმარისობა.</w:t>
      </w:r>
    </w:p>
    <w:p w14:paraId="0A90E4EA" w14:textId="34A5625C" w:rsidR="00322212" w:rsidRPr="003B4F6E" w:rsidRDefault="00322212" w:rsidP="003B4F6E">
      <w:pPr>
        <w:numPr>
          <w:ilvl w:val="0"/>
          <w:numId w:val="27"/>
        </w:numPr>
        <w:spacing w:after="0" w:line="240" w:lineRule="auto"/>
        <w:jc w:val="both"/>
        <w:rPr>
          <w:rFonts w:ascii="Sylfaen" w:hAnsi="Sylfaen" w:cs="Sylfaen"/>
          <w:noProof/>
          <w:sz w:val="20"/>
          <w:szCs w:val="20"/>
          <w:lang w:val="ka-GE"/>
        </w:rPr>
      </w:pPr>
      <w:r w:rsidRPr="003B4F6E">
        <w:rPr>
          <w:rFonts w:ascii="Sylfaen" w:hAnsi="Sylfaen" w:cs="Sylfaen"/>
          <w:noProof/>
          <w:sz w:val="20"/>
          <w:szCs w:val="20"/>
          <w:lang w:val="ka-GE"/>
        </w:rPr>
        <w:t>აქტიური პათოლოგიური სისხლდენა, როგორიცაა პეპტიური წყლული ან ქალასშიდა სისხლდენა.</w:t>
      </w:r>
    </w:p>
    <w:p w14:paraId="459AA779" w14:textId="77777777" w:rsidR="002E5708" w:rsidRPr="003B4F6E" w:rsidRDefault="002E5708" w:rsidP="003B4F6E">
      <w:pPr>
        <w:spacing w:after="0" w:line="240" w:lineRule="auto"/>
        <w:rPr>
          <w:rFonts w:ascii="Sylfaen" w:hAnsi="Sylfaen" w:cs="Calibri"/>
          <w:noProof/>
          <w:sz w:val="20"/>
          <w:szCs w:val="20"/>
          <w:lang w:val="ka-GE"/>
        </w:rPr>
      </w:pPr>
    </w:p>
    <w:p w14:paraId="73AA993B" w14:textId="77777777" w:rsidR="00322212" w:rsidRPr="003B4F6E" w:rsidRDefault="00322212" w:rsidP="003B4F6E">
      <w:pPr>
        <w:spacing w:after="0" w:line="240" w:lineRule="auto"/>
        <w:jc w:val="both"/>
        <w:rPr>
          <w:rFonts w:ascii="Sylfaen" w:hAnsi="Sylfaen"/>
          <w:b/>
          <w:noProof/>
          <w:sz w:val="20"/>
          <w:szCs w:val="20"/>
          <w:lang w:val="ka-GE"/>
        </w:rPr>
      </w:pPr>
      <w:r w:rsidRPr="003B4F6E">
        <w:rPr>
          <w:rFonts w:ascii="Sylfaen" w:hAnsi="Sylfaen"/>
          <w:b/>
          <w:noProof/>
          <w:sz w:val="20"/>
          <w:szCs w:val="20"/>
          <w:lang w:val="ka-GE"/>
        </w:rPr>
        <w:t>4.4 გამოყენებისას განსაკუთრებული გაფრთხილებები და უსაფრთხოების ზომები</w:t>
      </w:r>
    </w:p>
    <w:p w14:paraId="72C55D6C"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სისხლდენა და ჰემატოლოგიური დარღვევები</w:t>
      </w:r>
    </w:p>
    <w:p w14:paraId="189DF524"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სისხლდენის და ჰემატოლოგიური გვერდითი რეაქციების რისკის გამო, მკურნალობის დროს სისხლდენის შესახებ კლინიკური სიმპტომების გამოვლენისას დაუყოვნებლივ უნდა ჩატარდეს სისხლის უჯრედების რაოდენობის განსაზღვრა და/ან სხვა შესაბამისი ტესტირება (იხ. პუნქტი 4.8). როგორც სხვა ანტიაგრეგანტული საშუალებების შემთხვევაში, კლოპიდოგრელი სიფრთხილით უნდა იქნას გამოყენებული იმ პაციენტებში, რომლებსაც შეიძლება ჰქონდეთ ტრავმის, ქირურგიული ჩარევის ან სხვა პათოლოგიური მდგომარეობების შედეგად სისხლდენის მომატების რისკი, ასევე იმ პაციენტებში, რომლებიც იღებენ აცეტილსალიცილის მჟავას, ჰეპარინს, გლიკოპროტეინ IIb/IIIa ინჰიბიტორებს ან არასტეროიდულ ანთების საწინააღმდეგო პრეპარატებს (აასპ), მათ შორის Cox-2 ინჰიბიტორებს, ან სეროტონინის შერჩევითი უკუმიტაცების ინჰიბიტორებს (SSRI), ან CYP2C19 ძლიერი ინდუქტორებს ან სხვა სამკურნალო პროდუქტებს, რომლებიც დაკავშირებულია სისხლდენის რისკთან, როგორიცაა პენტოქსიფილინი (იხ. ნაწილი 4.5). სისხლდენის მომატებული რისკის გამო, ინსულტის მეორადი პროფილაქტიკისთვის სამმაგი ანტიაგრეგანტული თერაპია (კლოპიდოგრელი + აცეტილსალიცილის მჟავა + დიპირიდამოლი) არ არის რეკომენდებული მწვავე არაკარდიოემბოლიური იშემიური ინსულტის ან TIA-ს მქონე პაციენტებში (იხ. ნაწილი 4.5 და ნაწილი 4.8). პაციენტები ყურადღებით უნდა იყვნენ დაკვირვებულნი სისხლდენის ნებისმიერი ნიშნის, მათ შორის ფარული სისხლდენის, გამოვლენის შემთხვევაში, განსაკუთრებით მკურნალობის პირველი კვირების განმავლობაში და/ან ინვაზიური კარდიოლოგიური პროცედურების ან ქირურგიული ჩარევის შემდეგ. კლოპიდოგრელისა და ორალური </w:t>
      </w:r>
      <w:r w:rsidRPr="003B4F6E">
        <w:rPr>
          <w:rFonts w:ascii="Sylfaen" w:hAnsi="Sylfaen"/>
          <w:noProof/>
          <w:sz w:val="20"/>
          <w:szCs w:val="20"/>
          <w:lang w:val="ka-GE"/>
        </w:rPr>
        <w:lastRenderedPageBreak/>
        <w:t>ანტიკოაგულანტების ერთდროული მიღება რეკომენდებული არ არის, რადგან შესაძლოა გაიზარდოს სისხლდენის ინტენსივობა (იხ. ნაწილი 4.5).</w:t>
      </w:r>
    </w:p>
    <w:p w14:paraId="711973D3" w14:textId="77777777" w:rsidR="00A800D2" w:rsidRPr="003B4F6E" w:rsidRDefault="00A800D2" w:rsidP="003B4F6E">
      <w:pPr>
        <w:spacing w:after="0" w:line="240" w:lineRule="auto"/>
        <w:jc w:val="both"/>
        <w:rPr>
          <w:rFonts w:ascii="Sylfaen" w:hAnsi="Sylfaen"/>
          <w:noProof/>
          <w:sz w:val="20"/>
          <w:szCs w:val="20"/>
          <w:lang w:val="ka-GE"/>
        </w:rPr>
      </w:pPr>
    </w:p>
    <w:p w14:paraId="7ED2381F"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თუ პაციენტს უტარდება დაგეგმილი ქირურგიული ჩარევა და ანტიაგრეგანტული ეფექტი დროებით არასასურველია, კლოპიდოგრელის მიღება უნდა შეწყდეს ოპერაციამდე 7 დღით ადრე. პაციენტებმა ნებისმიერი ქირურგიული ჩარევის დაგეგმვამდე და ნებისმიერი ახალი სამკურნალო საშუალების მიღებამდე უნდა აცნობონ ექიმებს და სტომატოლოგებს, რომ ისინი იღებენკლოპიდოგრელს.</w:t>
      </w:r>
    </w:p>
    <w:p w14:paraId="61BFF97E"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კლოპიდოგრელი ახანგრძლივებს სისხლდენის დროს და სიფრთხილით უნდა იქნას გამოყენებული პაციენტებში, რომლებსაც აქვთ სისხლდენისადმი მიდრეკილების მქონე დაზიანებები (განსაკუთრებით კუჭ-ნაწლავის და თვალშიდა).</w:t>
      </w:r>
    </w:p>
    <w:p w14:paraId="1CD336E9"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პაციენტებს უნდა ეცნობოთ, რომ კლოპიდოგრელის (მონო ან ასპირინთან) კომბინაციაში მიღებისას სისხლდენის შეჩერებას შეიძლება ჩვეულებრივზე მეტი დრო დასჭირდეს და რომ ნებისმიერი უჩვეულო სისხლდენის (ადგილმდებარეობის ან ხანგრძლივობის) შესახებ უნდა აცნობონ ექიმს.</w:t>
      </w:r>
    </w:p>
    <w:p w14:paraId="7D015C94" w14:textId="77777777" w:rsidR="00A800D2" w:rsidRPr="003B4F6E" w:rsidRDefault="00A800D2" w:rsidP="003B4F6E">
      <w:pPr>
        <w:spacing w:after="0" w:line="240" w:lineRule="auto"/>
        <w:jc w:val="both"/>
        <w:rPr>
          <w:rFonts w:ascii="Sylfaen" w:hAnsi="Sylfaen"/>
          <w:noProof/>
          <w:sz w:val="20"/>
          <w:szCs w:val="20"/>
          <w:lang w:val="ka-GE"/>
        </w:rPr>
      </w:pPr>
    </w:p>
    <w:p w14:paraId="7AE98DBC" w14:textId="77777777" w:rsidR="00A800D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კლოპიდოგრელის 600 მგ დამტვირთველი დოზის გამოყენება არ არის რეკომენდებული ST სეგმენტის გაზრდის გარეშე მწვავე კორონარული სინდრომის მქონე პაციენტებში და ≥75 წლის ასაკის პაციენტებში, ამ პოპულაციაში სისხლდენის მომატებული რისკის გამო. </w:t>
      </w:r>
    </w:p>
    <w:p w14:paraId="34BCEC5A" w14:textId="77777777" w:rsidR="00A800D2" w:rsidRPr="003B4F6E" w:rsidRDefault="00A800D2" w:rsidP="003B4F6E">
      <w:pPr>
        <w:spacing w:after="0" w:line="240" w:lineRule="auto"/>
        <w:jc w:val="both"/>
        <w:rPr>
          <w:rFonts w:ascii="Sylfaen" w:hAnsi="Sylfaen"/>
          <w:noProof/>
          <w:sz w:val="20"/>
          <w:szCs w:val="20"/>
          <w:lang w:val="ka-GE"/>
        </w:rPr>
      </w:pPr>
    </w:p>
    <w:p w14:paraId="6DEE3DD7" w14:textId="6CEF55D6"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STEMI PCI-ით დაავადებულ 75 წლის და უფროსი ასაკის პაციენტებში შეზღუდული კლინიკური მონაცემებისა და სისხლდენის მომატებული რისკის გამო, კლოპიდოგრელის 600 მგ დამტვირთველი დოზის გამოყენება უნდა განიხილებოდეს მხოლოდ ექიმის მიერ პაციენტის სისხლდენის რისკის ინდივიდუალური შეფასების შემდეგ.</w:t>
      </w:r>
    </w:p>
    <w:p w14:paraId="51E87060" w14:textId="77777777" w:rsidR="00A800D2" w:rsidRPr="003B4F6E" w:rsidRDefault="00A800D2" w:rsidP="003B4F6E">
      <w:pPr>
        <w:spacing w:after="0" w:line="240" w:lineRule="auto"/>
        <w:jc w:val="both"/>
        <w:rPr>
          <w:rFonts w:ascii="Sylfaen" w:hAnsi="Sylfaen"/>
          <w:i/>
          <w:iCs/>
          <w:noProof/>
          <w:sz w:val="20"/>
          <w:szCs w:val="20"/>
          <w:lang w:val="ka-GE"/>
        </w:rPr>
      </w:pPr>
    </w:p>
    <w:p w14:paraId="67C75FF5"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თრომბოზული თრომბოციტოპენიური პურპურა (TTP)</w:t>
      </w:r>
    </w:p>
    <w:p w14:paraId="66B927C6"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თრომბოზული თრომბოციტოპენიური პურპურა (TTP) კლოპიდოგრელის გამოყენების შემდეგ ძალიან იშვიათად აღინიშნა, ზოგჯერ ხანმოკლე ექსპოზიციის შემდეგ. იგი ხასიათდება თრომბოციტოპენიით და მიკროანგიოპათიური ჰემოლიზური ანემიით, რომელიც დაკავშირებულია ნევროლოგიურ მონაცემებთან, თირკმლის დისფუნქციასთან ან ცხელებასთან. TTP არის პოტენციურად ფატალური მდგომარეობა, რომელიც მოითხოვს სწრაფ მკურნალობას, მათ შორის პლაზმაფერეზს.</w:t>
      </w:r>
    </w:p>
    <w:p w14:paraId="77984BFF" w14:textId="77777777" w:rsidR="00A800D2" w:rsidRPr="003B4F6E" w:rsidRDefault="00A800D2" w:rsidP="003B4F6E">
      <w:pPr>
        <w:spacing w:after="0" w:line="240" w:lineRule="auto"/>
        <w:jc w:val="both"/>
        <w:rPr>
          <w:rFonts w:ascii="Sylfaen" w:hAnsi="Sylfaen"/>
          <w:noProof/>
          <w:sz w:val="20"/>
          <w:szCs w:val="20"/>
          <w:lang w:val="ka-GE"/>
        </w:rPr>
      </w:pPr>
    </w:p>
    <w:p w14:paraId="6837B4BD"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შეძენილი ჰემოფილია</w:t>
      </w:r>
    </w:p>
    <w:p w14:paraId="3C1DA062"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კლოპიდოგრელის გამოყენების შემდეგ აღინიშნა შეძენილი ჰემოფილია. დადასტურებული იზოლირებული გააქტიურებული ნაწილობრივი თრომბოპლასტინის დროის (aPTT) გახანგრძლივების შემთხვევებში სისხლდენით ან მის გარეშე, უნდა განიხილებოდეს შეძენილი ჰემოფილია. პაციენტები, რომლებსაც დადასტურებული აქვთ შეძენილი ჰემოფილიის დიაგნოზი, უნდა იმყოფებოდნენ სპეციალისტების მეთვალყურეობის ქვეშ და უნდა შეწყდეს კლოპიდოგრელის მიღება.</w:t>
      </w:r>
    </w:p>
    <w:p w14:paraId="60A99744" w14:textId="77777777" w:rsidR="00A800D2" w:rsidRPr="003B4F6E" w:rsidRDefault="00A800D2" w:rsidP="003B4F6E">
      <w:pPr>
        <w:spacing w:after="0" w:line="240" w:lineRule="auto"/>
        <w:jc w:val="both"/>
        <w:rPr>
          <w:rFonts w:ascii="Sylfaen" w:hAnsi="Sylfaen"/>
          <w:noProof/>
          <w:sz w:val="20"/>
          <w:szCs w:val="20"/>
          <w:lang w:val="ka-GE"/>
        </w:rPr>
      </w:pPr>
    </w:p>
    <w:p w14:paraId="579EB4C1"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ბოლო დროს გადატანილი იშემიური ინსულტი</w:t>
      </w:r>
    </w:p>
    <w:p w14:paraId="7E893231" w14:textId="651CF80C" w:rsidR="00322212" w:rsidRPr="003B4F6E" w:rsidRDefault="00322212" w:rsidP="003B4F6E">
      <w:pPr>
        <w:numPr>
          <w:ilvl w:val="0"/>
          <w:numId w:val="28"/>
        </w:num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თერაპიის დაწყება</w:t>
      </w:r>
    </w:p>
    <w:p w14:paraId="70577916" w14:textId="146377F1" w:rsidR="00322212" w:rsidRPr="003B4F6E" w:rsidRDefault="00322212" w:rsidP="003B4F6E">
      <w:pPr>
        <w:numPr>
          <w:ilvl w:val="0"/>
          <w:numId w:val="29"/>
        </w:numPr>
        <w:spacing w:after="0" w:line="240" w:lineRule="auto"/>
        <w:jc w:val="both"/>
        <w:rPr>
          <w:rFonts w:ascii="Sylfaen" w:hAnsi="Sylfaen" w:cs="Calibri"/>
          <w:noProof/>
          <w:sz w:val="20"/>
          <w:szCs w:val="20"/>
          <w:lang w:val="ka-GE"/>
        </w:rPr>
      </w:pPr>
      <w:r w:rsidRPr="003B4F6E">
        <w:rPr>
          <w:rFonts w:ascii="Sylfaen" w:hAnsi="Sylfaen" w:cs="Sylfaen"/>
          <w:noProof/>
          <w:sz w:val="20"/>
          <w:szCs w:val="20"/>
          <w:lang w:val="ka-GE"/>
        </w:rPr>
        <w:t>მწვავე მცირე ინსულტის ან საშუალო და მაღალი რისკის მქონე TIA პაციენტებში, ორმაგი ანტიაგრეგანტული თერაპია (კლოპიდოგრელი და აცეტილსალიცილის მჟავა) უნდა დაიწყოს მოვლენის დაწყებიდან არაუგვიანეს 24 საათისა.</w:t>
      </w:r>
    </w:p>
    <w:p w14:paraId="66CD216C" w14:textId="609762E5" w:rsidR="00322212" w:rsidRPr="003B4F6E" w:rsidRDefault="00322212" w:rsidP="003B4F6E">
      <w:pPr>
        <w:numPr>
          <w:ilvl w:val="0"/>
          <w:numId w:val="29"/>
        </w:numPr>
        <w:spacing w:after="0" w:line="240" w:lineRule="auto"/>
        <w:jc w:val="both"/>
        <w:rPr>
          <w:rFonts w:ascii="Sylfaen" w:hAnsi="Sylfaen"/>
          <w:noProof/>
          <w:sz w:val="20"/>
          <w:szCs w:val="20"/>
          <w:lang w:val="ka-GE"/>
        </w:rPr>
      </w:pPr>
      <w:r w:rsidRPr="003B4F6E">
        <w:rPr>
          <w:rFonts w:ascii="Sylfaen" w:hAnsi="Sylfaen" w:cs="Sylfaen"/>
          <w:noProof/>
          <w:sz w:val="20"/>
          <w:szCs w:val="20"/>
          <w:lang w:val="ka-GE"/>
        </w:rPr>
        <w:t>არ არსებობს მონაცემები მოკლევადიან</w:t>
      </w:r>
      <w:r w:rsidRPr="003B4F6E">
        <w:rPr>
          <w:rFonts w:ascii="Sylfaen" w:hAnsi="Sylfaen"/>
          <w:noProof/>
          <w:sz w:val="20"/>
          <w:szCs w:val="20"/>
          <w:lang w:val="ka-GE"/>
        </w:rPr>
        <w:t>ი ორმაგი ანტიაგრეგანტული თერაპიის სარგებლისა და რისკის თანაფარდობის შესახებ მწვავე მცირე ინსულტის ან საშუალო და მაღალი რისკის მქონე TIA პაციენტებში, რომლებსაც აღენიშნებათ (არატრავმული) ქალასშიდა სისხლდენა.</w:t>
      </w:r>
    </w:p>
    <w:p w14:paraId="668823BE" w14:textId="64E7306B" w:rsidR="00322212" w:rsidRPr="003B4F6E" w:rsidRDefault="00322212" w:rsidP="003B4F6E">
      <w:pPr>
        <w:numPr>
          <w:ilvl w:val="0"/>
          <w:numId w:val="29"/>
        </w:numPr>
        <w:spacing w:after="0" w:line="240" w:lineRule="auto"/>
        <w:jc w:val="both"/>
        <w:rPr>
          <w:rFonts w:ascii="Sylfaen" w:hAnsi="Sylfaen" w:cs="Calibri"/>
          <w:noProof/>
          <w:sz w:val="20"/>
          <w:szCs w:val="20"/>
          <w:lang w:val="ka-GE"/>
        </w:rPr>
      </w:pPr>
      <w:r w:rsidRPr="003B4F6E">
        <w:rPr>
          <w:rFonts w:ascii="Sylfaen" w:hAnsi="Sylfaen" w:cs="Sylfaen"/>
          <w:noProof/>
          <w:sz w:val="20"/>
          <w:szCs w:val="20"/>
          <w:lang w:val="ka-GE"/>
        </w:rPr>
        <w:t>პაციენტებში არა-მძიმე იშემიური ინსულტით, კლოპიდოგრელის მონოთერაპია უნდა დაიწყოს მხოლოდ მოვლენიდან პირველი 7 დღის შემდეგ.</w:t>
      </w:r>
    </w:p>
    <w:p w14:paraId="0FD0255D" w14:textId="171923EB" w:rsidR="00322212" w:rsidRPr="003B4F6E" w:rsidRDefault="00322212" w:rsidP="003B4F6E">
      <w:pPr>
        <w:numPr>
          <w:ilvl w:val="0"/>
          <w:numId w:val="28"/>
        </w:numPr>
        <w:spacing w:after="0" w:line="240" w:lineRule="auto"/>
        <w:jc w:val="both"/>
        <w:rPr>
          <w:rFonts w:ascii="Sylfaen" w:hAnsi="Sylfaen" w:cs="Calibri"/>
          <w:i/>
          <w:iCs/>
          <w:noProof/>
          <w:sz w:val="20"/>
          <w:szCs w:val="20"/>
          <w:lang w:val="ka-GE"/>
        </w:rPr>
      </w:pPr>
      <w:r w:rsidRPr="003B4F6E">
        <w:rPr>
          <w:rFonts w:ascii="Sylfaen" w:hAnsi="Sylfaen" w:cs="Sylfaen"/>
          <w:i/>
          <w:iCs/>
          <w:noProof/>
          <w:sz w:val="20"/>
          <w:szCs w:val="20"/>
          <w:lang w:val="ka-GE"/>
        </w:rPr>
        <w:t>პაციენტები არა-მძიმე იშემიური ინსულტით (NIHSS &gt;4)</w:t>
      </w:r>
    </w:p>
    <w:p w14:paraId="3F36257F" w14:textId="77777777" w:rsidR="00322212" w:rsidRPr="003B4F6E" w:rsidRDefault="00322212" w:rsidP="003B4F6E">
      <w:pPr>
        <w:spacing w:after="0" w:line="240" w:lineRule="auto"/>
        <w:ind w:left="709"/>
        <w:jc w:val="both"/>
        <w:rPr>
          <w:rFonts w:ascii="Sylfaen" w:hAnsi="Sylfaen"/>
          <w:noProof/>
          <w:sz w:val="20"/>
          <w:szCs w:val="20"/>
          <w:lang w:val="ka-GE"/>
        </w:rPr>
      </w:pPr>
      <w:r w:rsidRPr="003B4F6E">
        <w:rPr>
          <w:rFonts w:ascii="Sylfaen" w:hAnsi="Sylfaen"/>
          <w:noProof/>
          <w:sz w:val="20"/>
          <w:szCs w:val="20"/>
          <w:lang w:val="ka-GE"/>
        </w:rPr>
        <w:t>მონაცემების ნაკლებობის გათვალისწინებით, ორმაგი ანტიაგრეგანტული თერაპიის გამოყენება არ არის რეკომენდებული (იხილეთ ნაწილი 4.1).</w:t>
      </w:r>
    </w:p>
    <w:p w14:paraId="1B494245" w14:textId="3FEE58C9" w:rsidR="00322212" w:rsidRPr="003B4F6E" w:rsidRDefault="00322212" w:rsidP="003B4F6E">
      <w:pPr>
        <w:numPr>
          <w:ilvl w:val="0"/>
          <w:numId w:val="28"/>
        </w:numPr>
        <w:spacing w:after="0" w:line="240" w:lineRule="auto"/>
        <w:jc w:val="both"/>
        <w:rPr>
          <w:rFonts w:ascii="Sylfaen" w:hAnsi="Sylfaen" w:cs="Calibri"/>
          <w:i/>
          <w:iCs/>
          <w:noProof/>
          <w:sz w:val="20"/>
          <w:szCs w:val="20"/>
          <w:lang w:val="ka-GE"/>
        </w:rPr>
      </w:pPr>
      <w:r w:rsidRPr="003B4F6E">
        <w:rPr>
          <w:rFonts w:ascii="Sylfaen" w:hAnsi="Sylfaen" w:cs="Sylfaen"/>
          <w:i/>
          <w:iCs/>
          <w:noProof/>
          <w:sz w:val="20"/>
          <w:szCs w:val="20"/>
          <w:lang w:val="ka-GE"/>
        </w:rPr>
        <w:t>ბოლოდროინდელი მცირე ინსულტი ან საშუალო ან მაღალი რისკის TIA პაციენტებში, რომელთათვისაც ნაჩვენებია ან დაგეგმილია ჩარევა</w:t>
      </w:r>
    </w:p>
    <w:p w14:paraId="64800F54" w14:textId="77777777" w:rsidR="00322212" w:rsidRPr="003B4F6E" w:rsidRDefault="00322212" w:rsidP="003B4F6E">
      <w:pPr>
        <w:spacing w:after="0" w:line="240" w:lineRule="auto"/>
        <w:ind w:left="709"/>
        <w:jc w:val="both"/>
        <w:rPr>
          <w:rFonts w:ascii="Sylfaen" w:hAnsi="Sylfaen"/>
          <w:noProof/>
          <w:sz w:val="20"/>
          <w:szCs w:val="20"/>
          <w:lang w:val="ka-GE"/>
        </w:rPr>
      </w:pPr>
      <w:r w:rsidRPr="003B4F6E">
        <w:rPr>
          <w:rFonts w:ascii="Sylfaen" w:hAnsi="Sylfaen"/>
          <w:noProof/>
          <w:sz w:val="20"/>
          <w:szCs w:val="20"/>
          <w:lang w:val="ka-GE"/>
        </w:rPr>
        <w:t xml:space="preserve">არ არსებობს მონაცემები ორმაგი ანტიაგრეგანტული თერაპიის გამოყენების მხარდასაჭერად იმ პაციენტებში, რომელთათვისაც ნაჩვენებია საძილე არტერიის ენდარტერექტომია ან ინტრავასკულარული თრომბექტომია, ან </w:t>
      </w:r>
      <w:r w:rsidRPr="003B4F6E">
        <w:rPr>
          <w:rFonts w:ascii="Sylfaen" w:hAnsi="Sylfaen"/>
          <w:noProof/>
          <w:sz w:val="20"/>
          <w:szCs w:val="20"/>
          <w:lang w:val="ka-GE"/>
        </w:rPr>
        <w:lastRenderedPageBreak/>
        <w:t>იმ პაციენტებში, რომელთათვისაც დაგეგმილია თრომბოლიზის ან ანტიკოაგულაციური თერაპიის ჩატარება. ორმაგი ანტიაგრეგანტული თერაპია არ არის რეკომენდებული ამ სიტუაციებში.</w:t>
      </w:r>
    </w:p>
    <w:p w14:paraId="784D830D" w14:textId="77777777" w:rsidR="00A800D2" w:rsidRPr="003B4F6E" w:rsidRDefault="00A800D2" w:rsidP="003B4F6E">
      <w:pPr>
        <w:spacing w:after="0" w:line="240" w:lineRule="auto"/>
        <w:ind w:left="709"/>
        <w:rPr>
          <w:rFonts w:ascii="Sylfaen" w:hAnsi="Sylfaen"/>
          <w:i/>
          <w:iCs/>
          <w:noProof/>
          <w:sz w:val="20"/>
          <w:szCs w:val="20"/>
          <w:lang w:val="ka-GE"/>
        </w:rPr>
      </w:pPr>
    </w:p>
    <w:p w14:paraId="1FD9078C" w14:textId="77777777" w:rsidR="00322212" w:rsidRPr="003B4F6E" w:rsidRDefault="00322212" w:rsidP="003B4F6E">
      <w:pPr>
        <w:spacing w:after="0" w:line="240" w:lineRule="auto"/>
        <w:rPr>
          <w:rFonts w:ascii="Sylfaen" w:hAnsi="Sylfaen"/>
          <w:i/>
          <w:iCs/>
          <w:noProof/>
          <w:sz w:val="20"/>
          <w:szCs w:val="20"/>
          <w:lang w:val="ka-GE"/>
        </w:rPr>
      </w:pPr>
      <w:r w:rsidRPr="003B4F6E">
        <w:rPr>
          <w:rFonts w:ascii="Sylfaen" w:hAnsi="Sylfaen"/>
          <w:i/>
          <w:iCs/>
          <w:noProof/>
          <w:sz w:val="20"/>
          <w:szCs w:val="20"/>
          <w:lang w:val="ka-GE"/>
        </w:rPr>
        <w:t>ციტოქრომ P4502C19 (CYP2C19)</w:t>
      </w:r>
    </w:p>
    <w:p w14:paraId="64034D44" w14:textId="77777777" w:rsidR="00322212" w:rsidRPr="003B4F6E" w:rsidRDefault="00322212" w:rsidP="003B4F6E">
      <w:pPr>
        <w:spacing w:after="0" w:line="240" w:lineRule="auto"/>
        <w:rPr>
          <w:rFonts w:ascii="Sylfaen" w:hAnsi="Sylfaen"/>
          <w:noProof/>
          <w:sz w:val="20"/>
          <w:szCs w:val="20"/>
          <w:lang w:val="ka-GE"/>
        </w:rPr>
      </w:pPr>
      <w:r w:rsidRPr="003B4F6E">
        <w:rPr>
          <w:rFonts w:ascii="Sylfaen" w:hAnsi="Sylfaen"/>
          <w:noProof/>
          <w:sz w:val="20"/>
          <w:szCs w:val="20"/>
          <w:lang w:val="ka-GE"/>
        </w:rPr>
        <w:t>ფარმაკოგენეტიკა: პაციენტებში, რომლებსაც აქვთ CYP2C19-ის ცუდი მეტაბოლიზმი, კლოპიდოგრელი რეკომენდებული დოზებით ნაკლებად წარმოქმნის კლოპიდოგრელის აქტიურ მეტაბოლიტს და აქვს ნაკლები გავლენა თრომბოციტების ფუნქციაზე. ხელმისაწვდომია ტესტები პაციენტის CYP2C19 გენოტიპის დასადგენად.</w:t>
      </w:r>
    </w:p>
    <w:p w14:paraId="141CEF43" w14:textId="77777777" w:rsidR="00A800D2" w:rsidRPr="003B4F6E" w:rsidRDefault="00A800D2" w:rsidP="003B4F6E">
      <w:pPr>
        <w:spacing w:after="0" w:line="240" w:lineRule="auto"/>
        <w:rPr>
          <w:rFonts w:ascii="Sylfaen" w:hAnsi="Sylfaen"/>
          <w:noProof/>
          <w:sz w:val="20"/>
          <w:szCs w:val="20"/>
          <w:lang w:val="ka-GE"/>
        </w:rPr>
      </w:pPr>
    </w:p>
    <w:p w14:paraId="6DB80783"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ვინაიდან კლოპიდოგრელი მეტაბოლიზდება თავის აქტიურ მეტაბოლიტად ნაწილობრივ CYP2C19-ის მეშვეობით, ამ ფერმენტის აქტივობის დამთრგუნველი სამკურნალო საშუალებების გამოყენება, სავარაუდოდ, გამოიწვევს კლოპიდოგრელის აქტიური მეტაბოლიტის დონის შემცირებას. ამ ურთიერთქმედების კლინიკური მნიშვნელობა გაურკვეველია. სიფრთხილის მიზნით, ძლიერი ან ზომიერი CYP2C19 ინჰიბიტორების ერთდროული გამოყენება არ არის რეკომენდებული (CYP2C19 ინჰიბიტორების სიისთვის იხილეთ ნაწილი 4.5, ასევე იხილეთ ნაწილი 5.2).</w:t>
      </w:r>
    </w:p>
    <w:p w14:paraId="4D1CF746" w14:textId="77777777" w:rsidR="00A800D2" w:rsidRPr="003B4F6E" w:rsidRDefault="00A800D2" w:rsidP="003B4F6E">
      <w:pPr>
        <w:spacing w:after="0" w:line="240" w:lineRule="auto"/>
        <w:jc w:val="both"/>
        <w:rPr>
          <w:rFonts w:ascii="Sylfaen" w:hAnsi="Sylfaen"/>
          <w:noProof/>
          <w:sz w:val="20"/>
          <w:szCs w:val="20"/>
          <w:lang w:val="ka-GE"/>
        </w:rPr>
      </w:pPr>
    </w:p>
    <w:p w14:paraId="48051650"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სამედიცინო პროდუქტების გამოყენება, რომლებიც იწვევენ CYP2C19-ის აქტივობას, სავარაუდოდ, გამოიწვევს კლოპიდოგრელის აქტიური მეტაბოლიტის დონის მატებას და შესაძლოა გააძლიეროს სისხლდენის რისკი. სიფრთხილის მიზნით, ძლიერი CYP2C19 ინდუქტორების ერთდროული გამოყენება არ არის რეკომენდებული (იხილეთ ნაწილი 4.5).</w:t>
      </w:r>
    </w:p>
    <w:p w14:paraId="233DF417" w14:textId="77777777" w:rsidR="00A800D2" w:rsidRPr="003B4F6E" w:rsidRDefault="00A800D2" w:rsidP="003B4F6E">
      <w:pPr>
        <w:spacing w:after="0" w:line="240" w:lineRule="auto"/>
        <w:jc w:val="both"/>
        <w:rPr>
          <w:rFonts w:ascii="Sylfaen" w:hAnsi="Sylfaen"/>
          <w:noProof/>
          <w:sz w:val="20"/>
          <w:szCs w:val="20"/>
          <w:lang w:val="ka-GE"/>
        </w:rPr>
      </w:pPr>
    </w:p>
    <w:p w14:paraId="0635E04B"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CYP2C8 სუბსტრატები</w:t>
      </w:r>
    </w:p>
    <w:p w14:paraId="5BEA5FEE"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სიფრთხილეა საჭირო პაციენტებში, რომლებიც ერთდროულად მკურნალობენ კლოპიდოგრელით და CYP2C8 სუბსტრატის სამკურნალო საშუალებებით (იხილეთ ნაწილი 4.5).</w:t>
      </w:r>
    </w:p>
    <w:p w14:paraId="496F20A0" w14:textId="77777777" w:rsidR="00322212" w:rsidRPr="003B4F6E" w:rsidRDefault="00322212" w:rsidP="003B4F6E">
      <w:pPr>
        <w:spacing w:after="0" w:line="240" w:lineRule="auto"/>
        <w:jc w:val="both"/>
        <w:rPr>
          <w:rFonts w:ascii="Sylfaen" w:hAnsi="Sylfaen"/>
          <w:i/>
          <w:iCs/>
          <w:noProof/>
          <w:sz w:val="20"/>
          <w:szCs w:val="20"/>
          <w:lang w:val="ka-GE"/>
        </w:rPr>
      </w:pPr>
    </w:p>
    <w:p w14:paraId="47437AEF"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ჯვარედინი რეაქციები თიენოპირიდინებს შორის</w:t>
      </w:r>
    </w:p>
    <w:p w14:paraId="7E456CA3" w14:textId="4D5E9EE0"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პაციენტები უნდა შემოწმდნენ თიენოპირიდინების (როგორიცაა კლოპიდოგრელი, ტიკლოპიდინი, პრასუგრელი) მიმართ მომატებული მგრძნობელობის ისტორიაზე, რადგან დაფიქსირებულია თიენოპირიდინებს შორის ჯვარედინი რეაქტიულობის შემთხვევები  (იხ. ნაწილი 4.8). თიენოპირიდინებმა შეიძლება გამოიწვიოს მსუბუქიდან მძიმემდე ალერგიული რეაქციები, როგორიცაა გამონაყარი, ანგიონევროზული შეშუპება ან ჰემატოლოგიური ჯვარედინი რეაქციები, როგორიცაა თრომბოციტოპენია და ნეიტროპენია. პაციენტებს,</w:t>
      </w:r>
      <w:r w:rsidR="00A800D2" w:rsidRPr="003B4F6E">
        <w:rPr>
          <w:rFonts w:ascii="Sylfaen" w:hAnsi="Sylfaen"/>
          <w:noProof/>
          <w:sz w:val="20"/>
          <w:szCs w:val="20"/>
          <w:lang w:val="ka-GE"/>
        </w:rPr>
        <w:t xml:space="preserve"> </w:t>
      </w:r>
      <w:r w:rsidRPr="003B4F6E">
        <w:rPr>
          <w:rFonts w:ascii="Sylfaen" w:hAnsi="Sylfaen"/>
          <w:noProof/>
          <w:sz w:val="20"/>
          <w:szCs w:val="20"/>
          <w:lang w:val="ka-GE"/>
        </w:rPr>
        <w:t>რომლებსაც ადრე განუვითარდათ ალერგიული რეაქცია და/ან ჰემატოლოგიური რეაქცია ერთ თიენოპირიდინზე, შეიძლება ჰქონდეთ გაზრდილი რისკი, განვითარდეს იგივე ან სხვა რეაქცია სხვა თიენოპირიდინზე. რეკომენდებულია მომატებული მგრძნობელობის ნიშნების მონიტორინგი პაციენტებში, რომლებსაც აქვთ ცნობილი ალერგია თიენოპირიდინებზე.</w:t>
      </w:r>
    </w:p>
    <w:p w14:paraId="48659A49" w14:textId="77777777" w:rsidR="00322212" w:rsidRPr="003B4F6E" w:rsidRDefault="00322212" w:rsidP="003B4F6E">
      <w:pPr>
        <w:spacing w:after="0" w:line="240" w:lineRule="auto"/>
        <w:jc w:val="both"/>
        <w:rPr>
          <w:rFonts w:ascii="Sylfaen" w:hAnsi="Sylfaen"/>
          <w:noProof/>
          <w:sz w:val="20"/>
          <w:szCs w:val="20"/>
          <w:lang w:val="ka-GE"/>
        </w:rPr>
      </w:pPr>
    </w:p>
    <w:p w14:paraId="7CDCB0AB"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თირკმლის უკმარისობა</w:t>
      </w:r>
    </w:p>
    <w:p w14:paraId="39727B45"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თირკმლის უკმარისობის მქონე პაციენტებში კლოპიდოგრელის თერაპიული გამოცდილება შეზღუდულია. ამიტომ, კლოპიდოგრელი სიფრთხილით უნდა იქნას გამოყენებული ამ პაციენტებში (იხ. ნაწილი 4.2).</w:t>
      </w:r>
    </w:p>
    <w:p w14:paraId="5970CBE9" w14:textId="77777777" w:rsidR="00A800D2" w:rsidRPr="003B4F6E" w:rsidRDefault="00A800D2" w:rsidP="003B4F6E">
      <w:pPr>
        <w:spacing w:after="0" w:line="240" w:lineRule="auto"/>
        <w:jc w:val="both"/>
        <w:rPr>
          <w:rFonts w:ascii="Sylfaen" w:hAnsi="Sylfaen"/>
          <w:noProof/>
          <w:sz w:val="20"/>
          <w:szCs w:val="20"/>
          <w:lang w:val="ka-GE"/>
        </w:rPr>
      </w:pPr>
    </w:p>
    <w:p w14:paraId="77EFD650"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ღვიძლის ფუნქციის დარღვევა</w:t>
      </w:r>
    </w:p>
    <w:p w14:paraId="46FDA982"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გამოცდილება შეზღუდულია პაციენტებში ღვიძლის ზომიერი დაავადებით, რომლებსაც შეიძლება ჰქონდეთ სისხლის შედედების დარღვევა. ამიტომ, კლოპიდოგრელი სიფრთხილით უნდა იქნას გამოყენებული ამ პოპულაციაში (იხ. ნაწილი 4.2).</w:t>
      </w:r>
    </w:p>
    <w:p w14:paraId="0AD151C0" w14:textId="77777777" w:rsidR="00A800D2" w:rsidRPr="003B4F6E" w:rsidRDefault="00A800D2" w:rsidP="003B4F6E">
      <w:pPr>
        <w:spacing w:after="0" w:line="240" w:lineRule="auto"/>
        <w:jc w:val="both"/>
        <w:rPr>
          <w:rFonts w:ascii="Sylfaen" w:hAnsi="Sylfaen"/>
          <w:noProof/>
          <w:sz w:val="20"/>
          <w:szCs w:val="20"/>
          <w:lang w:val="ka-GE"/>
        </w:rPr>
      </w:pPr>
    </w:p>
    <w:p w14:paraId="0C5CB02E"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დამხმარე ნივთიერებები</w:t>
      </w:r>
    </w:p>
    <w:p w14:paraId="5ADF80EB"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ეს სამკურნალო პროდუქტი შეიცავს შეიცავს ლაქტოზას. პაციენტებმა, რომლებსაც აქვთ გალაქტოზის აუტანლობის, ლაქტაზას სრული დეფიციტის ან გლუკოზა-გალაქტოზის მალაბსორბციის იშვიათი მემკვიდრეობითი პრობლემები, არ უნდა მიიღონ ეს სამკურნალო პროდუქტი.</w:t>
      </w:r>
    </w:p>
    <w:p w14:paraId="4B6197A7" w14:textId="77777777" w:rsidR="00322212" w:rsidRPr="003B4F6E" w:rsidRDefault="00322212" w:rsidP="003B4F6E">
      <w:pPr>
        <w:spacing w:after="0" w:line="240" w:lineRule="auto"/>
        <w:rPr>
          <w:rFonts w:ascii="Sylfaen" w:hAnsi="Sylfaen"/>
          <w:noProof/>
          <w:sz w:val="20"/>
          <w:szCs w:val="20"/>
          <w:lang w:val="ka-GE"/>
        </w:rPr>
      </w:pPr>
    </w:p>
    <w:p w14:paraId="7A03CB2A" w14:textId="77777777" w:rsidR="00322212" w:rsidRPr="003B4F6E" w:rsidRDefault="00322212" w:rsidP="003B4F6E">
      <w:pPr>
        <w:spacing w:after="0" w:line="240" w:lineRule="auto"/>
        <w:rPr>
          <w:rFonts w:ascii="Sylfaen" w:hAnsi="Sylfaen"/>
          <w:b/>
          <w:noProof/>
          <w:sz w:val="20"/>
          <w:szCs w:val="20"/>
          <w:lang w:val="ka-GE"/>
        </w:rPr>
      </w:pPr>
      <w:r w:rsidRPr="003B4F6E">
        <w:rPr>
          <w:rFonts w:ascii="Sylfaen" w:hAnsi="Sylfaen"/>
          <w:b/>
          <w:noProof/>
          <w:sz w:val="20"/>
          <w:szCs w:val="20"/>
          <w:lang w:val="ka-GE"/>
        </w:rPr>
        <w:t>4.5 ურთიერთქმედება სხვა სამკურნალო საშუალებებთან და ურთიერთქმედების სხვა ფორმები</w:t>
      </w:r>
    </w:p>
    <w:p w14:paraId="7E9600DE" w14:textId="77777777" w:rsidR="00322212" w:rsidRPr="003B4F6E" w:rsidRDefault="00322212" w:rsidP="003B4F6E">
      <w:pPr>
        <w:spacing w:after="0" w:line="240" w:lineRule="auto"/>
        <w:rPr>
          <w:rFonts w:ascii="Sylfaen" w:hAnsi="Sylfaen"/>
          <w:noProof/>
          <w:sz w:val="20"/>
          <w:szCs w:val="20"/>
          <w:lang w:val="ka-GE"/>
        </w:rPr>
      </w:pPr>
      <w:r w:rsidRPr="003B4F6E">
        <w:rPr>
          <w:rFonts w:ascii="Sylfaen" w:hAnsi="Sylfaen"/>
          <w:i/>
          <w:iCs/>
          <w:noProof/>
          <w:sz w:val="20"/>
          <w:szCs w:val="20"/>
          <w:lang w:val="ka-GE"/>
        </w:rPr>
        <w:t>სისხლდენის რისკთან დაკავშირებული სამკურნალო საშუალებები:</w:t>
      </w:r>
      <w:r w:rsidRPr="003B4F6E">
        <w:rPr>
          <w:rFonts w:ascii="Sylfaen" w:hAnsi="Sylfaen"/>
          <w:noProof/>
          <w:sz w:val="20"/>
          <w:szCs w:val="20"/>
          <w:lang w:val="ka-GE"/>
        </w:rPr>
        <w:t xml:space="preserve"> პოტენციური ადიტიური ეფექტის გამო არსებობს სისხლდენის მომატებული რისკი. სისხლდენის რისკთან დაკავშირებული სამკურნალო საშუალებების ერთდროული მიღება უნდა მოხდეს სიფრთხილით (იხ. ნაწილი 4.4).</w:t>
      </w:r>
    </w:p>
    <w:p w14:paraId="19EE31F7" w14:textId="77777777" w:rsidR="00A800D2" w:rsidRPr="003B4F6E" w:rsidRDefault="00A800D2" w:rsidP="003B4F6E">
      <w:pPr>
        <w:spacing w:after="0" w:line="240" w:lineRule="auto"/>
        <w:rPr>
          <w:rFonts w:ascii="Sylfaen" w:hAnsi="Sylfaen"/>
          <w:noProof/>
          <w:sz w:val="20"/>
          <w:szCs w:val="20"/>
          <w:lang w:val="ka-GE"/>
        </w:rPr>
      </w:pPr>
    </w:p>
    <w:p w14:paraId="5BAC332B"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lastRenderedPageBreak/>
        <w:t>პერორალური ანტიკოაგულანტები: კლოპიდოგრელის ერთდროული მიღება ორალურ ანტიკოაგულანტებთან არ არის რეკომენდებული, რადგან ამან შეიძლება გაზარდოს სისხლდენის ინტენსივობა (იხ. ნაწილი 4.4). მიუხედავად იმისა, რომ კლოპიდოგრელის 75 მგ/დღეში მიღებამ არ შეცვალა S-ვარფარინის ფარმაკოკინეტიკა ან საერთაშორისო ნორმალიზებული თანაფარდობა (INR) პაციენტებში, რომლებიც ხანგრძლივად იღებდნენ ვარფარინს, კლოპიდოგრელის ვარფარინთან ერთად მიღება ზრდის სისხლდენის რისკს ჰემოსტაზზე დამოუკიდებელი ეფექტების გამო.</w:t>
      </w:r>
    </w:p>
    <w:p w14:paraId="0EB9ECE8" w14:textId="77777777" w:rsidR="006B1718" w:rsidRPr="003B4F6E" w:rsidRDefault="006B1718" w:rsidP="003B4F6E">
      <w:pPr>
        <w:spacing w:after="0" w:line="240" w:lineRule="auto"/>
        <w:jc w:val="both"/>
        <w:rPr>
          <w:rFonts w:ascii="Sylfaen" w:hAnsi="Sylfaen"/>
          <w:noProof/>
          <w:sz w:val="20"/>
          <w:szCs w:val="20"/>
          <w:lang w:val="ka-GE"/>
        </w:rPr>
      </w:pPr>
    </w:p>
    <w:p w14:paraId="7833CF76"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i/>
          <w:iCs/>
          <w:noProof/>
          <w:sz w:val="20"/>
          <w:szCs w:val="20"/>
          <w:lang w:val="ka-GE"/>
        </w:rPr>
        <w:t>გლიკოპროტეინ IIb/IIIa ინჰიბიტორები:</w:t>
      </w:r>
      <w:r w:rsidRPr="003B4F6E">
        <w:rPr>
          <w:rFonts w:ascii="Sylfaen" w:hAnsi="Sylfaen"/>
          <w:noProof/>
          <w:sz w:val="20"/>
          <w:szCs w:val="20"/>
          <w:lang w:val="ka-GE"/>
        </w:rPr>
        <w:t xml:space="preserve"> კლოპიდოგრელი სიფრთხილით უნდა იქნას გამოყენებული პაციენტებში, რომლებიც ერთდროულად იღებენ გლიკოპროტეინ IIb/IIIa ინჰიბიტორებს (იხ. ნაწილი 4.4).</w:t>
      </w:r>
    </w:p>
    <w:p w14:paraId="24EC9AFE" w14:textId="77777777" w:rsidR="00A800D2" w:rsidRPr="003B4F6E" w:rsidRDefault="00A800D2" w:rsidP="003B4F6E">
      <w:pPr>
        <w:spacing w:after="0" w:line="240" w:lineRule="auto"/>
        <w:jc w:val="both"/>
        <w:rPr>
          <w:rFonts w:ascii="Sylfaen" w:hAnsi="Sylfaen"/>
          <w:noProof/>
          <w:sz w:val="20"/>
          <w:szCs w:val="20"/>
          <w:lang w:val="ka-GE"/>
        </w:rPr>
      </w:pPr>
    </w:p>
    <w:p w14:paraId="76AACFB6"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i/>
          <w:iCs/>
          <w:noProof/>
          <w:sz w:val="20"/>
          <w:szCs w:val="20"/>
          <w:lang w:val="ka-GE"/>
        </w:rPr>
        <w:t>აცეტილსალიცილის მჟავა (ASA):</w:t>
      </w:r>
      <w:r w:rsidRPr="003B4F6E">
        <w:rPr>
          <w:rFonts w:ascii="Sylfaen" w:hAnsi="Sylfaen"/>
          <w:noProof/>
          <w:sz w:val="20"/>
          <w:szCs w:val="20"/>
          <w:lang w:val="ka-GE"/>
        </w:rPr>
        <w:t xml:space="preserve"> ASA-მ არ შეცვალა ADP-ინდუცირებული თრომბოციტების აგრეგაციის კლოპიდოგრელით განპირობებული ინჰიბირება, მაგრამ კლოპიდოგრელმა გააძლიერა ASA-ს ეფექტი კოლაგენ-ინდუცირებულ თრომბოციტების აგრეგაციაზე. თუმცა, 500 მგ ASA-ს ერთდროულმა მიღებამ დღეში ორჯერ ერთი დღის განმავლობაში მნიშვნელოვნად არ გაზარდა კლოპიდოგრელის მიღებით გამოწვეული სისხლდენის დროის გახანგრძლივება. შესაძლებელია კლოპიდოგრელსა და აცეტილსალიცილის მჟავას შორის ფარმაკოდინამიკური ურთიერთქმედება, რაც იწვევს სისხლდენის რისკის ზრდას. ამიტომ, ერთდროული გამოყენება სიფრთხილით უნდა მოხდეს (იხ. ნაწილი 4.4). თუმცა, კლოპიდოგრელი და აცეტილსალიცილის მჟავა ერთად ინიშნებოდა ერთ წლამდე (იხ. ნაწილი 5.1).</w:t>
      </w:r>
    </w:p>
    <w:p w14:paraId="6CE6DB0E" w14:textId="77777777" w:rsidR="006B1718" w:rsidRPr="003B4F6E" w:rsidRDefault="006B1718" w:rsidP="003B4F6E">
      <w:pPr>
        <w:spacing w:after="0" w:line="240" w:lineRule="auto"/>
        <w:jc w:val="both"/>
        <w:rPr>
          <w:rFonts w:ascii="Sylfaen" w:hAnsi="Sylfaen"/>
          <w:noProof/>
          <w:sz w:val="20"/>
          <w:szCs w:val="20"/>
          <w:lang w:val="ka-GE"/>
        </w:rPr>
      </w:pPr>
    </w:p>
    <w:p w14:paraId="11EF5E0C"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i/>
          <w:iCs/>
          <w:noProof/>
          <w:sz w:val="20"/>
          <w:szCs w:val="20"/>
          <w:lang w:val="ka-GE"/>
        </w:rPr>
        <w:t xml:space="preserve">ჰეპარინი: </w:t>
      </w:r>
      <w:r w:rsidRPr="003B4F6E">
        <w:rPr>
          <w:rFonts w:ascii="Sylfaen" w:hAnsi="Sylfaen"/>
          <w:noProof/>
          <w:sz w:val="20"/>
          <w:szCs w:val="20"/>
          <w:lang w:val="ka-GE"/>
        </w:rPr>
        <w:t>ჯანმრთელ სუბიექტებზე ჩატარებულ კლინიკურ კვლევაში, კლოპიდოგრელმა არ გამოიწვია ჰეპარინის დოზის მოდიფიცირება და არ შეცვალა ჰეპარინის გავლენა კოაგულაციაზე. ჰეპარინის ერთდროულმა მიღებამ გავლენა არ მოახდინა კლოპიდოგრელით გამოწვეული თრომბოციტების აგრეგაციის ინჰიბირებაზე. შესაძლებელია კლოპიდოგრელსა და ჰეპარინს შორის ფარმაკოდინამიკური ურთიერთქმედება, რაც იწვევს სისხლდენის რისკის ზრდას. ამიტომ, ერთდროული გამოყენება უნდა მოხდეს სიფრთხილით (იხ. ნაწილი 4.4).</w:t>
      </w:r>
    </w:p>
    <w:p w14:paraId="7EA34598" w14:textId="77777777" w:rsidR="006B1718" w:rsidRPr="003B4F6E" w:rsidRDefault="006B1718" w:rsidP="003B4F6E">
      <w:pPr>
        <w:spacing w:after="0" w:line="240" w:lineRule="auto"/>
        <w:jc w:val="both"/>
        <w:rPr>
          <w:rFonts w:ascii="Sylfaen" w:hAnsi="Sylfaen"/>
          <w:i/>
          <w:iCs/>
          <w:noProof/>
          <w:sz w:val="20"/>
          <w:szCs w:val="20"/>
          <w:lang w:val="ka-GE"/>
        </w:rPr>
      </w:pPr>
    </w:p>
    <w:p w14:paraId="26F7BF9D"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i/>
          <w:iCs/>
          <w:noProof/>
          <w:sz w:val="20"/>
          <w:szCs w:val="20"/>
          <w:lang w:val="ka-GE"/>
        </w:rPr>
        <w:t>თრომბოლიზური საშუალებები:</w:t>
      </w:r>
      <w:r w:rsidRPr="003B4F6E">
        <w:rPr>
          <w:rFonts w:ascii="Sylfaen" w:hAnsi="Sylfaen"/>
          <w:noProof/>
          <w:sz w:val="20"/>
          <w:szCs w:val="20"/>
          <w:lang w:val="ka-GE"/>
        </w:rPr>
        <w:t xml:space="preserve"> კლოპიდოგრელის, ფიბრინის ან არაფიბრინის სპეციფიკური თრომბოლიზური საშუალებების და ჰეპარინების ერთდროული მიღების უსაფრთხოება შეფასდა მიოკარდიუმის მწვავე ინფარქტის მქონე პაციენტებში. კლინიკურად მნიშვნელოვანი სისხლდენის შემთხვევები მსგავსი იყო თრომბოლიზური საშუალებების და ჰეპარინის აცეტილსალიცილის მჟავასთან ერთად მიღებისას დაფიქსირებული შემთხვევებისა (იხ. ნაწილი 4.8).</w:t>
      </w:r>
    </w:p>
    <w:p w14:paraId="3B71E5D7" w14:textId="77777777" w:rsidR="006B1718" w:rsidRPr="003B4F6E" w:rsidRDefault="006B1718" w:rsidP="003B4F6E">
      <w:pPr>
        <w:spacing w:after="0" w:line="240" w:lineRule="auto"/>
        <w:jc w:val="both"/>
        <w:rPr>
          <w:rFonts w:ascii="Sylfaen" w:hAnsi="Sylfaen"/>
          <w:noProof/>
          <w:sz w:val="20"/>
          <w:szCs w:val="20"/>
          <w:lang w:val="ka-GE"/>
        </w:rPr>
      </w:pPr>
    </w:p>
    <w:p w14:paraId="097EA7EE"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არასტეროიდული ანთების საწინააღმდეგო საშუალებები: ჯანმრთელ მოხალისეებზე ჩატარებულ კლინიკურ კვლევაში, კლოპიდოგრელისა და ნაპროქსენის ერთდროულმა მიღებამ გაზარდა კუჭ-ნაწლავის ტრაქტიდან ფარული სისხლდენის რისკი. თუმცა, სხვა არასტეროიდულ ანთების საწინააღმდეგო საშუალებებთან ურთიერთქმედების კვლევების არარსებობის გამო, ამჟამად გაურკვეველია, იზრდება თუ არა კუჭ-ნაწლავის სისხლდენის რისკი ყველა არასტეროიდული ანთების საწინააღმდეგო საშუალების გამოყენებისას. შესაბამისად, არასტეროიდული ანთების საწინააღმდეგო საშუალებები, მათ შორის კოქს-2 ინჰიბიტორები და კლოპიდოგრელი, სიფრთხილით უნდა იქნას მიღებული (იხ. ნაწილი 4.4).</w:t>
      </w:r>
    </w:p>
    <w:p w14:paraId="4A239D9C" w14:textId="77777777" w:rsidR="006B1718" w:rsidRPr="003B4F6E" w:rsidRDefault="006B1718" w:rsidP="003B4F6E">
      <w:pPr>
        <w:spacing w:after="0" w:line="240" w:lineRule="auto"/>
        <w:jc w:val="both"/>
        <w:rPr>
          <w:rFonts w:ascii="Sylfaen" w:hAnsi="Sylfaen"/>
          <w:noProof/>
          <w:sz w:val="20"/>
          <w:szCs w:val="20"/>
          <w:lang w:val="ka-GE"/>
        </w:rPr>
      </w:pPr>
    </w:p>
    <w:p w14:paraId="5AFD0A49"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სეროტონინის უკუმიტაცების ინჰიბიტორები: რადგან სეროტონინის უკუმიტაცების ინჰიბიტორები გავლენას ახდენენ თრომბოციტების აქტივაციაზე და ზრდიან სისხლდენის რისკს, სეროტონინის უკუმიტაცების ინჰიბიტორების კლოპიდოგრელთან ერთად მიღება უნდა მოხდეს სიფრთხილით.</w:t>
      </w:r>
    </w:p>
    <w:p w14:paraId="7C182682" w14:textId="77777777" w:rsidR="006B1718" w:rsidRPr="003B4F6E" w:rsidRDefault="006B1718" w:rsidP="003B4F6E">
      <w:pPr>
        <w:spacing w:after="0" w:line="240" w:lineRule="auto"/>
        <w:jc w:val="both"/>
        <w:rPr>
          <w:rFonts w:ascii="Sylfaen" w:hAnsi="Sylfaen"/>
          <w:noProof/>
          <w:sz w:val="20"/>
          <w:szCs w:val="20"/>
          <w:lang w:val="ka-GE"/>
        </w:rPr>
      </w:pPr>
    </w:p>
    <w:p w14:paraId="38806E88"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სხვა თანმხლები თერაპია:</w:t>
      </w:r>
    </w:p>
    <w:p w14:paraId="6474FB30" w14:textId="77777777" w:rsidR="006B1718" w:rsidRPr="003B4F6E" w:rsidRDefault="006B1718" w:rsidP="003B4F6E">
      <w:pPr>
        <w:spacing w:after="0" w:line="240" w:lineRule="auto"/>
        <w:jc w:val="both"/>
        <w:rPr>
          <w:rFonts w:ascii="Sylfaen" w:hAnsi="Sylfaen"/>
          <w:i/>
          <w:iCs/>
          <w:noProof/>
          <w:sz w:val="20"/>
          <w:szCs w:val="20"/>
          <w:lang w:val="ka-GE"/>
        </w:rPr>
      </w:pPr>
    </w:p>
    <w:p w14:paraId="321D3358"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CYP2C19-ის ინდუქტორები</w:t>
      </w:r>
    </w:p>
    <w:p w14:paraId="25478BF0"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ვინაიდან კლოპიდოგრელი მის აქტიურ მეტაბოლიტამდე ნაწილობრივ მეტაბოლიზდება CYP2C19-ის მეშვეობით, მოსალოდნელია, რომ ამ ფერმენტის აქტივობის ინდუქტორული სამკურნალო საშუალებების გამოყენება გამოიწვევს კლოპიდოგრელის აქტიური მეტაბოლიტის დონის მატებას.</w:t>
      </w:r>
    </w:p>
    <w:p w14:paraId="6F151159" w14:textId="77777777" w:rsidR="006B1718" w:rsidRPr="003B4F6E" w:rsidRDefault="006B1718" w:rsidP="003B4F6E">
      <w:pPr>
        <w:spacing w:after="0" w:line="240" w:lineRule="auto"/>
        <w:jc w:val="both"/>
        <w:rPr>
          <w:rFonts w:ascii="Sylfaen" w:hAnsi="Sylfaen"/>
          <w:noProof/>
          <w:sz w:val="20"/>
          <w:szCs w:val="20"/>
          <w:lang w:val="ka-GE"/>
        </w:rPr>
      </w:pPr>
    </w:p>
    <w:p w14:paraId="44D04F47"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რიფამპიცინი ძლიერად აინდუცირებს CYP2C19-ს, რაც იწვევს როგორც კლოპიდოგრელის აქტიური მეტაბოლიტის დონის მატებას, ასევე თრომბოციტების ინჰიბირებას, რამაც შესაძლოა გააძლიეროს სისხლდენის რისკი. სიფრთხილის მიზნით, არ უნდა იქნას გათვალისწინებული ძლიერი CYP2C19 ინდუქტორების ერთდროული გამოყენება (იხ. ნაწილი 4.4).</w:t>
      </w:r>
    </w:p>
    <w:p w14:paraId="067E2F83" w14:textId="77777777" w:rsidR="00322212" w:rsidRPr="003B4F6E" w:rsidRDefault="00322212" w:rsidP="003B4F6E">
      <w:pPr>
        <w:spacing w:after="0" w:line="240" w:lineRule="auto"/>
        <w:rPr>
          <w:rFonts w:ascii="Sylfaen" w:hAnsi="Sylfaen"/>
          <w:noProof/>
          <w:sz w:val="20"/>
          <w:szCs w:val="20"/>
          <w:lang w:val="ka-GE"/>
        </w:rPr>
      </w:pPr>
      <w:r w:rsidRPr="003B4F6E">
        <w:rPr>
          <w:rFonts w:ascii="Sylfaen" w:hAnsi="Sylfaen"/>
          <w:noProof/>
          <w:sz w:val="20"/>
          <w:szCs w:val="20"/>
          <w:lang w:val="ka-GE"/>
        </w:rPr>
        <w:lastRenderedPageBreak/>
        <w:t>CYP2C19 ინჰიბიტორები</w:t>
      </w:r>
    </w:p>
    <w:p w14:paraId="68B277D4" w14:textId="77777777" w:rsidR="006B1718"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რადგან კლოპიდოგრელი ნაწილობრივ მეტაბოლიზდება მის აქტიურ მეტაბოლიტამდე CYP2C19-ის მეშვეობით, მოსალოდნელია, რომ ამ ფერმენტის აქტივობის დამთრგუნველი სამკურნალო საშუალებების გამოყენება გამოიწვევს კლოპიდოგრელის აქტიური მეტაბოლიტის დონის შემცირებას. ამ ურთიერთქმედების კლინიკური მნიშვნელობა გაურკვეველია. სიფრთხილის მიზნით, არ უნდა იქნას გათვალისწინებული ძლიერი ან ზომიერი CYP2C19 ინჰიბიტორების ერთდროული გამოყენება (იხ. ნაწილები 4.4 და 5.2). </w:t>
      </w:r>
    </w:p>
    <w:p w14:paraId="5B697A5B" w14:textId="77777777" w:rsidR="006B1718" w:rsidRPr="003B4F6E" w:rsidRDefault="006B1718" w:rsidP="003B4F6E">
      <w:pPr>
        <w:spacing w:after="0" w:line="240" w:lineRule="auto"/>
        <w:jc w:val="both"/>
        <w:rPr>
          <w:rFonts w:ascii="Sylfaen" w:hAnsi="Sylfaen"/>
          <w:noProof/>
          <w:sz w:val="20"/>
          <w:szCs w:val="20"/>
          <w:lang w:val="ka-GE"/>
        </w:rPr>
      </w:pPr>
    </w:p>
    <w:p w14:paraId="31F16A77" w14:textId="21ABEB2A"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სამკურნალო პროდუქტები, რომლებიც წარმოადგენენ ძლიერ ან ზომიერ CYP2C19 ინჰიბიტორებს, მოიცავს, მაგალითად, ომეპრაზოლს და ეზომეპრაზოლს, ფლუვოქსამინს, ფლუოქსეტინს, მოკლობემიდს, ვორიკონაზოლს, ფლუკონაზოლს, ტიკლოპიდინს, კარბამაზეპინს და ეფავირენცს.</w:t>
      </w:r>
    </w:p>
    <w:p w14:paraId="4E60499B" w14:textId="77777777" w:rsidR="006B1718" w:rsidRPr="003B4F6E" w:rsidRDefault="006B1718" w:rsidP="003B4F6E">
      <w:pPr>
        <w:spacing w:after="0" w:line="240" w:lineRule="auto"/>
        <w:jc w:val="both"/>
        <w:rPr>
          <w:rFonts w:ascii="Sylfaen" w:hAnsi="Sylfaen"/>
          <w:noProof/>
          <w:sz w:val="20"/>
          <w:szCs w:val="20"/>
          <w:lang w:val="ka-GE"/>
        </w:rPr>
      </w:pPr>
    </w:p>
    <w:p w14:paraId="158E21B6"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პროტონული ტუმბოს ინჰიბიტორები (PPI):</w:t>
      </w:r>
    </w:p>
    <w:p w14:paraId="08B00BBA"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ომეპრაზოლი 80 მგ დღეში ერთხელ, კლოპიდოგრელთან ერთად ან ორი პრეპარატის მიღებებს შორის 12 საათიანი ინტერვალით, ამცირებს აქტიური მეტაბოლიტის ექსპოზიციას 45%-ით (დატვირთვის დოზა) და 40%-ით (შემანარჩუნებელი დოზა). შემცირება დაკავშირებული იყო თრომბოციტების აგრეგაციის ინჰიბირების 39%-ით (დამტვირთველი დოზა) და 21%-ით (შემანარჩუნებელი დოზა) შემცირებასთან. მოსალოდნელია, რომ ეზომეპრაზოლი კლოპიდოგრელთან მსგავს ურთიერთქმედებას გამოიწვევს.</w:t>
      </w:r>
    </w:p>
    <w:p w14:paraId="0E18F3B8" w14:textId="77777777" w:rsidR="006B1718" w:rsidRPr="003B4F6E" w:rsidRDefault="006B1718" w:rsidP="003B4F6E">
      <w:pPr>
        <w:spacing w:after="0" w:line="240" w:lineRule="auto"/>
        <w:jc w:val="both"/>
        <w:rPr>
          <w:rFonts w:ascii="Sylfaen" w:hAnsi="Sylfaen"/>
          <w:noProof/>
          <w:sz w:val="20"/>
          <w:szCs w:val="20"/>
          <w:lang w:val="ka-GE"/>
        </w:rPr>
      </w:pPr>
    </w:p>
    <w:p w14:paraId="64BE926B"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როგორც დაკვირვებითი, ასევე კლინიკური კვლევებიდან მომდინარეობს შეუსაბამო მონაცემები ამ ფარმაკოკინეტიკური (PK)/ფარმაკოდინამიკური (PD) ურთიერთქმედების კლინიკური შედეგების შესახებ ძირითადი გულ-სისხლძარღვთა მოვლენების თვალსაზრისით. სიფრთხილის მიზნით, ომეპრაზოლის ან ეზომეპრაზოლის ერთდროული გამოყენება არ უნდა იქნას მიღებული (იხ. ნაწილი 4.4).</w:t>
      </w:r>
    </w:p>
    <w:p w14:paraId="3F94B802" w14:textId="77777777" w:rsidR="006B1718" w:rsidRPr="003B4F6E" w:rsidRDefault="006B1718" w:rsidP="003B4F6E">
      <w:pPr>
        <w:spacing w:after="0" w:line="240" w:lineRule="auto"/>
        <w:jc w:val="both"/>
        <w:rPr>
          <w:rFonts w:ascii="Sylfaen" w:hAnsi="Sylfaen"/>
          <w:noProof/>
          <w:sz w:val="20"/>
          <w:szCs w:val="20"/>
          <w:lang w:val="ka-GE"/>
        </w:rPr>
      </w:pPr>
    </w:p>
    <w:p w14:paraId="7E040762"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პანტოპრაზოლის ან ლანსოპრაზოლის გამოყენებისას დაფიქსირდა მეტაბოლიტების ექსპოზიციის ნაკლებად გამოხატული შემცირება.</w:t>
      </w:r>
    </w:p>
    <w:p w14:paraId="7B9C25BF"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აქტიური მეტაბოლიტის პლაზმური კონცენტრაცია შემცირდა 20%-ით (დამტვირთველი დოზა) და 14%-ით (შემანარჩუნებელი დოზა) პანტოპრაზოლით დღეში ერთხელ ერთჯერადად მკურნალობის დროს. ეს დაკავშირებული იყო თრომბოციტების აგრეგაციის საშუალო ინჰიბირების შემცირებასთან შესაბამისად 15%-ით და 11%-ით. ეს შედეგები მიუთითებს, რომ კლოპიდოგრელის მიღება შესაძლებელია პანტოპრაზოლთან ერთად.</w:t>
      </w:r>
    </w:p>
    <w:p w14:paraId="30610700"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არ არსებობს მტკიცებულება, რომ კუჭის მჟავიანობის დამწევი სხვა სამკურნალო საშუალებები, როგორიცაა H2 ბლოკატორები ან ანტაციდები, ხელს უშლიან კლოპიდოგრელის ანტიაგრეგანტურ აქტივობას.</w:t>
      </w:r>
    </w:p>
    <w:p w14:paraId="2227D868" w14:textId="77777777" w:rsidR="006B1718" w:rsidRPr="003B4F6E" w:rsidRDefault="006B1718" w:rsidP="003B4F6E">
      <w:pPr>
        <w:spacing w:after="0" w:line="240" w:lineRule="auto"/>
        <w:jc w:val="both"/>
        <w:rPr>
          <w:rFonts w:ascii="Sylfaen" w:hAnsi="Sylfaen"/>
          <w:noProof/>
          <w:sz w:val="20"/>
          <w:szCs w:val="20"/>
          <w:lang w:val="ka-GE"/>
        </w:rPr>
      </w:pPr>
    </w:p>
    <w:p w14:paraId="0CF09BC3" w14:textId="77777777" w:rsidR="006B1718"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გაძლიერებული ანტირეტროვირუსული თერაპია (ART): აივ ინფიცირებულ პაციენტებს, რომლებიც მკურნალობენ გაძლიერებული ანტირეტროვირუსული თერაპიით (ART), აქვთ სისხლძარღვოვანი მოვლენების მაღალი რისკი. </w:t>
      </w:r>
    </w:p>
    <w:p w14:paraId="2291E5A7" w14:textId="77777777" w:rsidR="006B1718" w:rsidRPr="003B4F6E" w:rsidRDefault="006B1718" w:rsidP="003B4F6E">
      <w:pPr>
        <w:spacing w:after="0" w:line="240" w:lineRule="auto"/>
        <w:jc w:val="both"/>
        <w:rPr>
          <w:rFonts w:ascii="Sylfaen" w:hAnsi="Sylfaen"/>
          <w:noProof/>
          <w:sz w:val="20"/>
          <w:szCs w:val="20"/>
          <w:lang w:val="ka-GE"/>
        </w:rPr>
      </w:pPr>
    </w:p>
    <w:p w14:paraId="2BC0FC4D" w14:textId="4898E9C0"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რიტონავირით ან კობიცისტატით გაძლიერებული ანტირეტროვირუსული თერაპიის (ART) გამოყენებით მკურნალ აივ ინფიცირებულ პაციენტებში თრომბოციტების ინჰიბირება მნიშვნელოვნად შემცირდა.</w:t>
      </w:r>
      <w:r w:rsidR="006B1718" w:rsidRPr="003B4F6E">
        <w:rPr>
          <w:rFonts w:ascii="Sylfaen" w:hAnsi="Sylfaen"/>
          <w:noProof/>
          <w:sz w:val="20"/>
          <w:szCs w:val="20"/>
          <w:lang w:val="ka-GE"/>
        </w:rPr>
        <w:t xml:space="preserve"> </w:t>
      </w:r>
      <w:r w:rsidRPr="003B4F6E">
        <w:rPr>
          <w:rFonts w:ascii="Sylfaen" w:hAnsi="Sylfaen"/>
          <w:noProof/>
          <w:sz w:val="20"/>
          <w:szCs w:val="20"/>
          <w:lang w:val="ka-GE"/>
        </w:rPr>
        <w:t>მიუხედავად იმისა, რომ ამ მონაცემების კლინიკური მნიშვნელობა გაურკვეველია, არსებობს სპონტანური ცნობები აივ ინფიცირებულ პაციენტებში, რომლებიც რიტონავირით გაძლიერებული ანტირეტროვირუსული თერაპიის (ART) გამოყენებით მკურნალობდნენ და რომლებსაც ობსტრუქციის შემდეგ განუვითარდათ რეოკლუზიური მოვლენები ან კლოპიდოგრელით დატვირთული თერაპიის სქემის დროს განუვითარდათ თრომბოზული მოვლენები. თრომბოციტების საშუალო ინჰიბირება შეიძლება შემცირდეს კლოპიდოგრელისა და რიტონავირის ერთდროული გამოყენებით. ამიტომ, კლოპიდოგრელის ანტირეტროვირუსული თერაპიის (ART) ერთდროული გამოყენება არ უნდა იყოს რეკომენდებული.</w:t>
      </w:r>
    </w:p>
    <w:p w14:paraId="75063AE2" w14:textId="77777777" w:rsidR="00A4236D" w:rsidRPr="003B4F6E" w:rsidRDefault="00A4236D" w:rsidP="003B4F6E">
      <w:pPr>
        <w:spacing w:after="0" w:line="240" w:lineRule="auto"/>
        <w:jc w:val="both"/>
        <w:rPr>
          <w:rFonts w:ascii="Sylfaen" w:hAnsi="Sylfaen"/>
          <w:noProof/>
          <w:sz w:val="20"/>
          <w:szCs w:val="20"/>
          <w:lang w:val="ka-GE"/>
        </w:rPr>
      </w:pPr>
    </w:p>
    <w:p w14:paraId="259BD67D"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სხვა სამკურნალო საშუალებები: კლოპიდოგრელისა და სხვა თანმხლები სამკურნალო საშუალებების ფარმაკოდინამიკური და ფარმაკოკინეტიკური ურთიერთქმედებების პოტენციალის შესასწავლად ჩატარდა სხვა კლინიკური კვლევები. კლინიკურად მნიშვნელოვანი ფარმაკოდინამიკური ურთიერთქმედებები არ დაფიქსირებულა კლოპიდოგრელის ატენოლოლთან, ნიფედიპინთან ან ატენოლოლთან და ნიფედიპინთან ერთად მიღებისას. გარდა ამისა, კლოპიდოგრელის ფარმაკოდინამიკურ აქტივობაზე მნიშვნელოვნად არ იმოქმედა ფენობარბიტალის ან ესტროგენის ერთდროულმა მიღებამ. დიგოქსინის ან თეოფილინის ფარმაკოკინეტიკა არ შეცვლილა კლოპიდოგრელთან ერთად მიღებისას. ანტაციდებმა არ შეცვალეს კლოპიდოგრელის შეწოვის ხარისხი.</w:t>
      </w:r>
    </w:p>
    <w:p w14:paraId="66803BF2"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lastRenderedPageBreak/>
        <w:t>CAPRIE კვლევის მონაცემები მიუთითებს, რომ ფენიტოინი და ტოლბუტამიდი, რომლებიც მეტაბოლიზდება CYP2C9-ით, შეიძლება უსაფრთხოდ იქნას მიღებული კლოპიდოგრელთან ერთად.</w:t>
      </w:r>
    </w:p>
    <w:p w14:paraId="2D677916" w14:textId="77777777" w:rsidR="00A4236D" w:rsidRPr="003B4F6E" w:rsidRDefault="00A4236D" w:rsidP="003B4F6E">
      <w:pPr>
        <w:spacing w:after="0" w:line="240" w:lineRule="auto"/>
        <w:rPr>
          <w:rFonts w:ascii="Sylfaen" w:hAnsi="Sylfaen"/>
          <w:noProof/>
          <w:sz w:val="20"/>
          <w:szCs w:val="20"/>
          <w:lang w:val="ka-GE"/>
        </w:rPr>
      </w:pPr>
    </w:p>
    <w:p w14:paraId="60889824"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CYP2C8 სუბსტრატის სამკურნალო პროდუქტები: კლოპიდოგრელი ზრდის რეპაგლინიდის ექსპოზიციას ჯანმრთელ მოხალისეებში. ინ ვიტრო კვლევებმა აჩვენა, რომ რეპაგლინიდის ექსპოზიციის ზრდა გამოწვეულია CYP2C8-ის ინჰიბირებით კლოპიდოგრელის გლუკურონიდური მეტაბოლიტის მიერ. პლაზმური კონცენტრაციების მომატების რისკის გამო, კლოპიდოგრელის და CYP2C8 მეტაბოლიზმით გამოყოფილი პრეპარატების (მაგ., რეპაგლინიდი, პაკლიტაქსელი) ერთდროული მიღება უნდა მოხდეს სიფრთხილით (იხ. ნაწილი 4.4).</w:t>
      </w:r>
    </w:p>
    <w:p w14:paraId="254C63E0" w14:textId="77777777" w:rsidR="00A4236D" w:rsidRPr="003B4F6E" w:rsidRDefault="00A4236D" w:rsidP="003B4F6E">
      <w:pPr>
        <w:spacing w:after="0" w:line="240" w:lineRule="auto"/>
        <w:jc w:val="both"/>
        <w:rPr>
          <w:rFonts w:ascii="Sylfaen" w:hAnsi="Sylfaen"/>
          <w:noProof/>
          <w:sz w:val="20"/>
          <w:szCs w:val="20"/>
          <w:lang w:val="ka-GE"/>
        </w:rPr>
      </w:pPr>
    </w:p>
    <w:p w14:paraId="73418620"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ზემოთ აღწერილი სპეციფიკური სამკურნალო პროდუქტის ურთიერთქმედების ინფორმაციის გარდა, ურთიერთქმედების კვლევები კლოპიდოგრელსა და ზოგიერთ სამკურნალო პროდუქტს შორის, რომლებიც ხშირად გამოიყენება ათეროთრომბოზული დაავადების მქონე პაციენტებში, არ ჩატარებულა.</w:t>
      </w:r>
    </w:p>
    <w:p w14:paraId="33C36CCA"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თუმცა, პაციენტებმა, რომლებიც მონაწილეობდნენ კლინიკურ კვლევებში კლოპიდოგრელით, მიიღეს სხვადასხვა თანმხლები სამკურნალო საშუალებები, მათ შორის შარდმდენები, ბეტა-ბლოკატორები, აგფ ინჰიბიტორები, კალციუმის ანტაგონისტები, ქოლესტერინის დამწევი საშუალებები, კორონარული ვაზოდილატატორები, ანტიდიაბეტური საშუალებები (ინსულინის ჩათვლით), ანტიეპილეფსიური საშუალებები და GPIIb/IIIa ანტაგონისტები, კლინიკურად მნიშვნელოვანი გვერდითი ურთიერთქმედების ნიშნების გარეშე.</w:t>
      </w:r>
    </w:p>
    <w:p w14:paraId="65C898FC" w14:textId="77777777" w:rsidR="00A4236D" w:rsidRPr="003B4F6E" w:rsidRDefault="00A4236D" w:rsidP="003B4F6E">
      <w:pPr>
        <w:spacing w:after="0" w:line="240" w:lineRule="auto"/>
        <w:jc w:val="both"/>
        <w:rPr>
          <w:rFonts w:ascii="Sylfaen" w:hAnsi="Sylfaen"/>
          <w:noProof/>
          <w:sz w:val="20"/>
          <w:szCs w:val="20"/>
          <w:lang w:val="ka-GE"/>
        </w:rPr>
      </w:pPr>
    </w:p>
    <w:p w14:paraId="6C447476" w14:textId="77777777" w:rsidR="00A4236D"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როგორც სხვა პერორალური P2Y12 ინჰიბიტორების შემთხვევაში, ოპიოიდური აგონისტების ერთდროულმა მიღებამ შეიძლება შეანელოს და შეამციროს კლოპიდოგრელის შეწოვა, სავარაუდოდ, კუჭის დაცლის შენელების გამო. კლინიკური მნიშვნელობა უცნობია. განიხილეთ პარენტერალური ანტიაგრეგანტის გამოყენება მწვავე კორონარული სინდრომის მქონე პაციენტებში, რომლებიც საჭიროებენ მორფინის ან სხვა ოპიოიდური აგონისტების ერთდროულ მიღებას. </w:t>
      </w:r>
    </w:p>
    <w:p w14:paraId="16259E3E" w14:textId="77777777" w:rsidR="00A4236D" w:rsidRPr="003B4F6E" w:rsidRDefault="00A4236D" w:rsidP="003B4F6E">
      <w:pPr>
        <w:spacing w:after="0" w:line="240" w:lineRule="auto"/>
        <w:jc w:val="both"/>
        <w:rPr>
          <w:rFonts w:ascii="Sylfaen" w:hAnsi="Sylfaen"/>
          <w:noProof/>
          <w:sz w:val="20"/>
          <w:szCs w:val="20"/>
          <w:lang w:val="ka-GE"/>
        </w:rPr>
      </w:pPr>
    </w:p>
    <w:p w14:paraId="6B316243" w14:textId="1934B58D"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როზუვასტატინი: კლოპიდოგრელი ზრდის როზუვასტატინის ექსპოზიციას პაციენტებში 2-ჯერ (AUC) და 1.3-ჯერ (Cmax) კლოპიდოგრელის 300 მგ დოზის მიღების შემდეგ და 1.4-ჯერ (AUC) კლოპიდოგრელის 75 მგ დოზის განმეორებითი მიღების შემდეგ Cmax-ზე ზემოქმედების გარეშე.</w:t>
      </w:r>
    </w:p>
    <w:p w14:paraId="60939F38" w14:textId="77777777" w:rsidR="00322212" w:rsidRPr="003B4F6E" w:rsidRDefault="00322212" w:rsidP="003B4F6E">
      <w:pPr>
        <w:spacing w:after="0" w:line="240" w:lineRule="auto"/>
        <w:rPr>
          <w:rFonts w:ascii="Sylfaen" w:hAnsi="Sylfaen"/>
          <w:noProof/>
          <w:sz w:val="20"/>
          <w:szCs w:val="20"/>
          <w:lang w:val="ka-GE"/>
        </w:rPr>
      </w:pPr>
    </w:p>
    <w:p w14:paraId="1A50235A" w14:textId="77777777" w:rsidR="00322212" w:rsidRPr="003B4F6E" w:rsidRDefault="00322212" w:rsidP="003B4F6E">
      <w:pPr>
        <w:spacing w:after="0" w:line="240" w:lineRule="auto"/>
        <w:jc w:val="both"/>
        <w:rPr>
          <w:rFonts w:ascii="Sylfaen" w:hAnsi="Sylfaen"/>
          <w:b/>
          <w:noProof/>
          <w:sz w:val="20"/>
          <w:szCs w:val="20"/>
          <w:lang w:val="ka-GE"/>
        </w:rPr>
      </w:pPr>
      <w:r w:rsidRPr="003B4F6E">
        <w:rPr>
          <w:rFonts w:ascii="Sylfaen" w:hAnsi="Sylfaen"/>
          <w:b/>
          <w:noProof/>
          <w:sz w:val="20"/>
          <w:szCs w:val="20"/>
          <w:lang w:val="ka-GE"/>
        </w:rPr>
        <w:t>4.6 ფერტილობა, ორსულობა და ლაქტაცია</w:t>
      </w:r>
    </w:p>
    <w:p w14:paraId="0F68FEC7"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ორსულობა</w:t>
      </w:r>
    </w:p>
    <w:p w14:paraId="4A02CBEB"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რადგან ორსულობის დროს კლოპიდოგრელის ზემოქმედების შესახებ კლინიკური მონაცემები არ არსებობს, სიფრთხილის ზომების სახით სასურველია კლოპიდოგრელი ორსულობის დროს არ გამოიყენონ.</w:t>
      </w:r>
    </w:p>
    <w:p w14:paraId="6855D5FA"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ცხოველებზე ჩატარებული კვლევები არ აჩვენებს პირდაპირ ან ირიბ მავნე ზემოქმედებას ორსულობაზე, ემბრიონის/ნაყოფის განვითარებაზე, მშობიარობაზე ან პოსტნატალურ განვითარებაზე (იხილეთ ნაწილი 5.3).</w:t>
      </w:r>
    </w:p>
    <w:p w14:paraId="43C464F4" w14:textId="77777777" w:rsidR="00A4236D" w:rsidRPr="003B4F6E" w:rsidRDefault="00A4236D" w:rsidP="003B4F6E">
      <w:pPr>
        <w:spacing w:after="0" w:line="240" w:lineRule="auto"/>
        <w:jc w:val="both"/>
        <w:rPr>
          <w:rFonts w:ascii="Sylfaen" w:hAnsi="Sylfaen"/>
          <w:noProof/>
          <w:sz w:val="20"/>
          <w:szCs w:val="20"/>
          <w:lang w:val="ka-GE"/>
        </w:rPr>
      </w:pPr>
    </w:p>
    <w:p w14:paraId="3FFECF55"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ძუძუთი კვება</w:t>
      </w:r>
    </w:p>
    <w:p w14:paraId="0CFA9C45"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noProof/>
          <w:sz w:val="20"/>
          <w:szCs w:val="20"/>
          <w:lang w:val="ka-GE"/>
        </w:rPr>
        <w:t>უცნობია, გამოიყოფა თუ არა კლოპიდოგრელი ადამიანის დედის რძეში. ცხოველებზე ჩატარებულმა კვლევებმა აჩვენა კლოპიდოგრელის გამოყოფა დედის რძეში. სიფრთხილის ზომების სახით, კლოპიტეტით მკურნალობის დროს ძუძუთი კვება არ უნდა გაგრძელდეს.</w:t>
      </w:r>
    </w:p>
    <w:p w14:paraId="1FBE72E7" w14:textId="77777777" w:rsidR="00A4236D" w:rsidRPr="003B4F6E" w:rsidRDefault="00A4236D" w:rsidP="003B4F6E">
      <w:pPr>
        <w:spacing w:after="0" w:line="240" w:lineRule="auto"/>
        <w:jc w:val="both"/>
        <w:rPr>
          <w:rFonts w:ascii="Sylfaen" w:hAnsi="Sylfaen"/>
          <w:i/>
          <w:iCs/>
          <w:noProof/>
          <w:sz w:val="20"/>
          <w:szCs w:val="20"/>
          <w:lang w:val="ka-GE"/>
        </w:rPr>
      </w:pPr>
    </w:p>
    <w:p w14:paraId="0549CC33"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i/>
          <w:iCs/>
          <w:noProof/>
          <w:sz w:val="20"/>
          <w:szCs w:val="20"/>
          <w:lang w:val="ka-GE"/>
        </w:rPr>
        <w:t>ფერტილობა</w:t>
      </w:r>
    </w:p>
    <w:p w14:paraId="7B2B7ECA"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ცხოველებზე ჩატარებულ კვლევებში კლოპიდოგრელს ფერტილობის ცვლილება არ აღენიშნებოდა.</w:t>
      </w:r>
    </w:p>
    <w:p w14:paraId="4EAC0969" w14:textId="77777777" w:rsidR="00322212" w:rsidRPr="003B4F6E" w:rsidRDefault="00322212" w:rsidP="003B4F6E">
      <w:pPr>
        <w:spacing w:after="0" w:line="240" w:lineRule="auto"/>
        <w:rPr>
          <w:rFonts w:ascii="Sylfaen" w:hAnsi="Sylfaen"/>
          <w:noProof/>
          <w:sz w:val="20"/>
          <w:szCs w:val="20"/>
          <w:lang w:val="ka-GE"/>
        </w:rPr>
      </w:pPr>
    </w:p>
    <w:p w14:paraId="38F1EF11" w14:textId="77777777" w:rsidR="00322212" w:rsidRPr="003B4F6E" w:rsidRDefault="00322212" w:rsidP="003B4F6E">
      <w:pPr>
        <w:spacing w:after="0" w:line="240" w:lineRule="auto"/>
        <w:rPr>
          <w:rFonts w:ascii="Sylfaen" w:hAnsi="Sylfaen"/>
          <w:b/>
          <w:noProof/>
          <w:sz w:val="20"/>
          <w:szCs w:val="20"/>
          <w:lang w:val="ka-GE"/>
        </w:rPr>
      </w:pPr>
      <w:r w:rsidRPr="003B4F6E">
        <w:rPr>
          <w:rFonts w:ascii="Sylfaen" w:hAnsi="Sylfaen"/>
          <w:b/>
          <w:noProof/>
          <w:sz w:val="20"/>
          <w:szCs w:val="20"/>
          <w:lang w:val="ka-GE"/>
        </w:rPr>
        <w:t>4.7 გავლენა ავტომობილის მართვისა და მექანიზმების გამოყენების უნარზე</w:t>
      </w:r>
    </w:p>
    <w:p w14:paraId="346D248F" w14:textId="77777777" w:rsidR="00322212" w:rsidRPr="003B4F6E" w:rsidRDefault="00322212" w:rsidP="003B4F6E">
      <w:pPr>
        <w:spacing w:after="0" w:line="240" w:lineRule="auto"/>
        <w:rPr>
          <w:rFonts w:ascii="Sylfaen" w:hAnsi="Sylfaen"/>
          <w:noProof/>
          <w:sz w:val="20"/>
          <w:szCs w:val="20"/>
          <w:lang w:val="ka-GE"/>
        </w:rPr>
      </w:pPr>
      <w:r w:rsidRPr="003B4F6E">
        <w:rPr>
          <w:rFonts w:ascii="Sylfaen" w:hAnsi="Sylfaen"/>
          <w:noProof/>
          <w:sz w:val="20"/>
          <w:szCs w:val="20"/>
          <w:lang w:val="ka-GE"/>
        </w:rPr>
        <w:t>კლოპიდოგრელს არ აქვს ან აქვს უმნიშვნელო გავლენა ავტომობილის მართვისა და მექანიზმების გამოყენების უნარზე.</w:t>
      </w:r>
    </w:p>
    <w:p w14:paraId="5A20636E" w14:textId="77777777" w:rsidR="00322212" w:rsidRPr="003B4F6E" w:rsidRDefault="00322212" w:rsidP="003B4F6E">
      <w:pPr>
        <w:spacing w:after="0" w:line="240" w:lineRule="auto"/>
        <w:rPr>
          <w:rFonts w:ascii="Sylfaen" w:hAnsi="Sylfaen"/>
          <w:noProof/>
          <w:sz w:val="20"/>
          <w:szCs w:val="20"/>
          <w:lang w:val="ka-GE"/>
        </w:rPr>
      </w:pPr>
    </w:p>
    <w:p w14:paraId="5AC4F152" w14:textId="684ACB0D" w:rsidR="00322212" w:rsidRPr="003B4F6E" w:rsidRDefault="00322212" w:rsidP="003B4F6E">
      <w:pPr>
        <w:spacing w:after="0" w:line="240" w:lineRule="auto"/>
        <w:jc w:val="both"/>
        <w:rPr>
          <w:rFonts w:ascii="Sylfaen" w:hAnsi="Sylfaen"/>
          <w:b/>
          <w:noProof/>
          <w:sz w:val="20"/>
          <w:szCs w:val="20"/>
          <w:lang w:val="ka-GE"/>
        </w:rPr>
      </w:pPr>
      <w:r w:rsidRPr="003B4F6E">
        <w:rPr>
          <w:rFonts w:ascii="Sylfaen" w:hAnsi="Sylfaen"/>
          <w:b/>
          <w:noProof/>
          <w:sz w:val="20"/>
          <w:szCs w:val="20"/>
          <w:lang w:val="ka-GE"/>
        </w:rPr>
        <w:t>4.8 არასასურველი ეფექტები</w:t>
      </w:r>
    </w:p>
    <w:p w14:paraId="506ACB3A"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უსაფრთხოების პროფილის შეჯამება</w:t>
      </w:r>
    </w:p>
    <w:p w14:paraId="16C3EF79"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კლოპიდოგრელის უსაფრთხოება შეფასდა 44 000-ზე მეტ პაციენტში, რომლებიც მონაწილეობდნენ კლინიკურ კვლევებში; მათ შორის იყო 12 000-ზე მეტი პაციენტი, რომლებიც პრეპარატს ერთი ან მეტი წლის განმავლობაში იღებდნენ. საერთო ჯამში, CAPRIE-ს კვლევაში კლოპიდოგრელის (75 მგ/დღეში) ეფექტი და უსაფრთხოება მსგავსი იყო აცეტილსალიცილის მჟავასთან (ASA) (325 მგ/დღეში), ასაკის, სქესისა და რასის მიუხედავად. ქვემოთ განხილულია </w:t>
      </w:r>
      <w:r w:rsidRPr="003B4F6E">
        <w:rPr>
          <w:rFonts w:ascii="Sylfaen" w:hAnsi="Sylfaen"/>
          <w:noProof/>
          <w:sz w:val="20"/>
          <w:szCs w:val="20"/>
          <w:lang w:val="ka-GE"/>
        </w:rPr>
        <w:lastRenderedPageBreak/>
        <w:t>CAPRIE, CURE, CLARITY, COMMIT და ACTIVE-A კვლევებისას გამოვლენილი კლინიკურად მნიშვნელოვანი არასასურველი რეაქციები. კლინიკური კვლევების მონაცემების გარდა, დაფიქსირდა არასასურველი რეაქციების შესახებ სპონტანური შეტყობინებებიც.</w:t>
      </w:r>
    </w:p>
    <w:p w14:paraId="75C6AEB9" w14:textId="77777777" w:rsidR="00322212" w:rsidRPr="003B4F6E" w:rsidRDefault="00322212" w:rsidP="003B4F6E">
      <w:pPr>
        <w:spacing w:after="0" w:line="240" w:lineRule="auto"/>
        <w:jc w:val="both"/>
        <w:rPr>
          <w:rFonts w:ascii="Sylfaen" w:hAnsi="Sylfaen"/>
          <w:noProof/>
          <w:sz w:val="20"/>
          <w:szCs w:val="20"/>
          <w:lang w:val="ka-GE"/>
        </w:rPr>
      </w:pPr>
    </w:p>
    <w:p w14:paraId="6229F122"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სისხლდენა არის ყველაზე ხშირად დაფიქსირებული რეაქცია როგორც კლინიკურ კვლევებში, ისე პოსტმარკეტინგული დაკვირვების პერიოდში; აღსანიშნავია, რომ ის ძირითადად მკურნალობის პირველი თვის განმავლობაში ვლინდებოდა.</w:t>
      </w:r>
    </w:p>
    <w:p w14:paraId="7E147DFD" w14:textId="77777777" w:rsidR="00322212" w:rsidRPr="003B4F6E" w:rsidRDefault="00322212" w:rsidP="003B4F6E">
      <w:pPr>
        <w:spacing w:after="0" w:line="240" w:lineRule="auto"/>
        <w:jc w:val="both"/>
        <w:rPr>
          <w:rFonts w:ascii="Sylfaen" w:hAnsi="Sylfaen"/>
          <w:noProof/>
          <w:sz w:val="20"/>
          <w:szCs w:val="20"/>
          <w:lang w:val="ka-GE"/>
        </w:rPr>
      </w:pPr>
    </w:p>
    <w:p w14:paraId="73324E8A"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CAPRIE კვლევაში, კლოპიდოგრელით ან აცეტილსალიცილის მჟავით (ASA) ნამკურნალებ პაციენტებში, ნებისმიერი სახის სისხლდენის საერთო სიხშირე 9,3%-ს შეადგენდა. მძიმე შემთხვევების სიხშირე კლოპიდოგრელისა და ASA-ს ჯგუფებში მსგავსი იყო.</w:t>
      </w:r>
    </w:p>
    <w:p w14:paraId="6BFBF93E" w14:textId="77777777" w:rsidR="00322212" w:rsidRPr="003B4F6E" w:rsidRDefault="00322212" w:rsidP="003B4F6E">
      <w:pPr>
        <w:spacing w:after="0" w:line="240" w:lineRule="auto"/>
        <w:jc w:val="both"/>
        <w:rPr>
          <w:rFonts w:ascii="Sylfaen" w:hAnsi="Sylfaen"/>
          <w:noProof/>
          <w:sz w:val="20"/>
          <w:szCs w:val="20"/>
          <w:lang w:val="ka-GE"/>
        </w:rPr>
      </w:pPr>
    </w:p>
    <w:p w14:paraId="3C95BC21"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CURE კვლევაში არ გამოვლენილა სერიოზული სისხლდენების სიხშირის ზრდა კლოპიდოგრელისა და ASA-ს კომბინაციის გამოყენებისას კორონარული შუნტირების ოპერაციიდან 7 დღის განმავლობაში იმ პაციენტებში, რომლებმაც თერაპია ოპერაციამდე ხუთი დღით ადრე შეწყვიტეს. იმ პაციენტებში კი, რომლებიც ოპერაციამდე ბოლო ხუთი დღის განმავლობაშიც აგრძელებდნენ მკურნალობას, გართულების სიხშირე შეადგენდა 9,6%-ს კლოპიდოგრელისა და ASA-ს კომბინაციის შემთხვევაში და 6,3%-ს — პლაცებოსა და ASA-ს კომბინაციის შემთხვევაში.</w:t>
      </w:r>
    </w:p>
    <w:p w14:paraId="575F1A86" w14:textId="77777777" w:rsidR="00322212" w:rsidRPr="003B4F6E" w:rsidRDefault="00322212" w:rsidP="003B4F6E">
      <w:pPr>
        <w:spacing w:after="0" w:line="240" w:lineRule="auto"/>
        <w:jc w:val="both"/>
        <w:rPr>
          <w:rFonts w:ascii="Sylfaen" w:hAnsi="Sylfaen"/>
          <w:noProof/>
          <w:sz w:val="20"/>
          <w:szCs w:val="20"/>
          <w:lang w:val="ka-GE"/>
        </w:rPr>
      </w:pPr>
    </w:p>
    <w:p w14:paraId="76896D07"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CLARITY კვლევაში, პლაცებოსა და აცეტილსალიცილის მჟავის (ASA) ჯგუფთან შედარებით, კლოპიდოგრელისა და ASA-ს ჯგუფში სისხლდენის საერთო სიხშირე გაზრდილი იყო. ჯგუფებს შორის მსგავსი იყო მძიმე ხარისხის სისხლდენის სიხშირე. ეს ტენდენცია შენარჩუნებული იყო პაციენტთა ყველა ქვეჯგუფში, განურჩევლად საწყისი მახასიათებლებისა და გამოყენებული ფიბრინოლიზური ან ჰეპარინით თერაპიის ტიპისა.</w:t>
      </w:r>
    </w:p>
    <w:p w14:paraId="1128AA65" w14:textId="77777777" w:rsidR="00322212" w:rsidRPr="003B4F6E" w:rsidRDefault="00322212" w:rsidP="003B4F6E">
      <w:pPr>
        <w:spacing w:after="0" w:line="240" w:lineRule="auto"/>
        <w:jc w:val="both"/>
        <w:rPr>
          <w:rFonts w:ascii="Sylfaen" w:hAnsi="Sylfaen"/>
          <w:noProof/>
          <w:sz w:val="20"/>
          <w:szCs w:val="20"/>
          <w:lang w:val="ka-GE"/>
        </w:rPr>
      </w:pPr>
    </w:p>
    <w:p w14:paraId="601D9A1D"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COMMIT კვლევაში, არაცერებრალური მძიმე ხარისხის სისხლდენისა და ცერებრალური სისხლდენის საერთო სიხშირე დაბალი და მსგავსი იყო ორივე ჯგუფში.</w:t>
      </w:r>
    </w:p>
    <w:p w14:paraId="6AAE37EE" w14:textId="77777777" w:rsidR="00322212" w:rsidRPr="003B4F6E" w:rsidRDefault="00322212" w:rsidP="003B4F6E">
      <w:pPr>
        <w:spacing w:after="0" w:line="240" w:lineRule="auto"/>
        <w:jc w:val="both"/>
        <w:rPr>
          <w:rFonts w:ascii="Sylfaen" w:hAnsi="Sylfaen"/>
          <w:noProof/>
          <w:sz w:val="20"/>
          <w:szCs w:val="20"/>
          <w:lang w:val="ka-GE"/>
        </w:rPr>
      </w:pPr>
    </w:p>
    <w:p w14:paraId="38A486CB"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ACTIVE-A კვლევაში, მძიმე ხარისხის სისხლდენის სიხშირე უფრო მაღალი იყო კლოპიდოგრელისა და ASA-ს ჯგუფში, ვიდრე პლაცებოსა და ASA-ს ჯგუფში (6,7% და 4,3%). ორივე ჯგუფში მძიმე ხარისხის სისხლდენა ძირითადად ექსტრაკრანიალური იყო ხასიათის (5,3% — კლოპიდოგრელისა და ASA-ს ჯგუფში; 3,5% — პლაცებოსა და ASA-ს ჯგუფში) და უმეტესწილად კუჭ-ნაწლავის ტრაქტიდან აღინიშნებოდა (3,5% და 1,8%). პლაცებოსა და ASA-ს ჯგუფთან შედარებით, კლოპიდოგრელისა და ASA-ს ჯგუფში აღინიშნებოდა ინტრაკრანიალური სისხლდენის უფრო მაღალი მაჩვენებელი (შესაბამისად, 1,4% და 0,8%). ჯგუფებს შორის არ გამოვლენილა სტატისტიკურად სარწმუნო განსხვავება ფატალური სისხლდენის (1,1% — კლოპიდოგრელისა და ASA-ს ჯგუფში; 0,7% — პლაცებოსა და ASA-ს ჯგუფში) და ჰემორაგიული ინსულტის (შესაბამისად, 0,8% და 0,6%) სიხშირეში.</w:t>
      </w:r>
    </w:p>
    <w:p w14:paraId="0B8E987C" w14:textId="77777777" w:rsidR="00955B26" w:rsidRPr="00955B26" w:rsidRDefault="00955B26" w:rsidP="003B4F6E">
      <w:pPr>
        <w:spacing w:after="0" w:line="240" w:lineRule="auto"/>
        <w:jc w:val="both"/>
        <w:rPr>
          <w:rFonts w:ascii="Sylfaen" w:hAnsi="Sylfaen"/>
          <w:noProof/>
          <w:sz w:val="20"/>
          <w:szCs w:val="20"/>
          <w:lang w:val="ka-GE"/>
        </w:rPr>
      </w:pPr>
    </w:p>
    <w:p w14:paraId="5484A2C7" w14:textId="69508168" w:rsidR="00B84778" w:rsidRPr="003B4F6E" w:rsidRDefault="00955B26" w:rsidP="003B4F6E">
      <w:pPr>
        <w:spacing w:after="0" w:line="240" w:lineRule="auto"/>
        <w:jc w:val="both"/>
        <w:rPr>
          <w:rFonts w:ascii="Sylfaen" w:hAnsi="Sylfaen"/>
          <w:noProof/>
          <w:sz w:val="20"/>
          <w:szCs w:val="20"/>
          <w:lang w:val="ka-GE"/>
        </w:rPr>
      </w:pPr>
      <w:r w:rsidRPr="00955B26">
        <w:rPr>
          <w:rFonts w:ascii="Sylfaen" w:hAnsi="Sylfaen"/>
          <w:noProof/>
          <w:sz w:val="20"/>
          <w:szCs w:val="20"/>
          <w:lang w:val="ka-GE"/>
        </w:rPr>
        <w:t xml:space="preserve">TARDIS </w:t>
      </w:r>
      <w:r w:rsidRPr="003B4F6E">
        <w:rPr>
          <w:rFonts w:ascii="Sylfaen" w:hAnsi="Sylfaen"/>
          <w:noProof/>
          <w:sz w:val="20"/>
          <w:szCs w:val="20"/>
          <w:lang w:val="ka-GE"/>
        </w:rPr>
        <w:t>კვლ</w:t>
      </w:r>
      <w:r w:rsidRPr="00955B26">
        <w:rPr>
          <w:rFonts w:ascii="Sylfaen" w:hAnsi="Sylfaen"/>
          <w:noProof/>
          <w:sz w:val="20"/>
          <w:szCs w:val="20"/>
          <w:lang w:val="ka-GE"/>
        </w:rPr>
        <w:t>ევაში პაციენტებს, რომლებ</w:t>
      </w:r>
      <w:r w:rsidRPr="003B4F6E">
        <w:rPr>
          <w:rFonts w:ascii="Sylfaen" w:hAnsi="Sylfaen"/>
          <w:noProof/>
          <w:sz w:val="20"/>
          <w:szCs w:val="20"/>
          <w:lang w:val="ka-GE"/>
        </w:rPr>
        <w:t>მაც</w:t>
      </w:r>
      <w:r w:rsidRPr="00955B26">
        <w:rPr>
          <w:rFonts w:ascii="Sylfaen" w:hAnsi="Sylfaen"/>
          <w:noProof/>
          <w:sz w:val="20"/>
          <w:szCs w:val="20"/>
          <w:lang w:val="ka-GE"/>
        </w:rPr>
        <w:t xml:space="preserve"> ახლახან გადაიტანეს იშემიური ინსულტი</w:t>
      </w:r>
      <w:r w:rsidRPr="003B4F6E">
        <w:rPr>
          <w:rFonts w:ascii="Sylfaen" w:hAnsi="Sylfaen"/>
          <w:noProof/>
          <w:sz w:val="20"/>
          <w:szCs w:val="20"/>
          <w:lang w:val="ka-GE"/>
        </w:rPr>
        <w:t xml:space="preserve"> და</w:t>
      </w:r>
      <w:r w:rsidRPr="00955B26">
        <w:rPr>
          <w:rFonts w:ascii="Sylfaen" w:hAnsi="Sylfaen"/>
          <w:noProof/>
          <w:sz w:val="20"/>
          <w:szCs w:val="20"/>
          <w:lang w:val="ka-GE"/>
        </w:rPr>
        <w:t xml:space="preserve"> რომლებიც იღებდნენ ინტენსიურ ანტიაგრეგანტულ თერაპიას სამი სამკურნალო პროდუქტით (ასმ + კლოპიდოგრელი + დიპირიდამოლი), აღენიშნებოდათ მეტი სისხლდენა და უფრო მძიმე სისხლდენა, ვიდრე მხოლოდ კლოპიდოგრელის ან ასმ-სა და დიპირიდამოლის კომბინირებულ მიღებასთან შედარებით (კორექტირებული საერთო OR 2.54, 95% CI 2.05-3.16, p&lt;0.0001).</w:t>
      </w:r>
    </w:p>
    <w:p w14:paraId="1AD3F1B7" w14:textId="77777777" w:rsidR="00322212" w:rsidRPr="003B4F6E" w:rsidRDefault="00322212" w:rsidP="003B4F6E">
      <w:pPr>
        <w:spacing w:after="0" w:line="240" w:lineRule="auto"/>
        <w:jc w:val="both"/>
        <w:rPr>
          <w:rFonts w:ascii="Sylfaen" w:hAnsi="Sylfaen"/>
          <w:i/>
          <w:iCs/>
          <w:noProof/>
          <w:color w:val="FF0000"/>
          <w:sz w:val="20"/>
          <w:szCs w:val="20"/>
          <w:lang w:val="ka-GE"/>
        </w:rPr>
      </w:pPr>
    </w:p>
    <w:p w14:paraId="4FECB666"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არასასურველი რეაქციების ცხრილი</w:t>
      </w:r>
    </w:p>
    <w:p w14:paraId="6CCC5875"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ქვემოთ მოცემულ ცხრილში წარმოდგენილია არასასურველი რეაქციები, რომლებიც გამოვლინდა კლინიკური კვლევების დროს ან დაფიქსირდა სპონტანური შეტყობინებების საფუძველზე. მათი სიხშირე განისაზღვრება შემდეგი კრიტერიუმებით: ხშირი (≥1/100-დან &lt;1/10-მდე); არახშირი (≥1/1 000-დან &lt;1/100-მდე); იშვიათი (≥1/10 000-დან &lt;1/1 000-მდე); ძალიან იშვიათი (&lt;1/10 000); უცნობი სიხშირის (არსებული მონაცემებით შეფასება შეუძლებელია). ორგანოთა სისტემების კლასების მიხედვით, არასასურველი რეაქციები წარმოდგენილია სიმძიმის კლების მიხედვით.</w:t>
      </w:r>
    </w:p>
    <w:p w14:paraId="766A7DEE" w14:textId="77777777" w:rsidR="00322212" w:rsidRPr="003B4F6E" w:rsidRDefault="00322212" w:rsidP="003B4F6E">
      <w:pPr>
        <w:spacing w:after="0" w:line="240" w:lineRule="auto"/>
        <w:rPr>
          <w:rFonts w:ascii="Sylfaen" w:hAnsi="Sylfaen"/>
          <w:noProof/>
          <w:sz w:val="20"/>
          <w:szCs w:val="20"/>
          <w:lang w:val="ka-GE"/>
        </w:rPr>
      </w:pPr>
    </w:p>
    <w:tbl>
      <w:tblPr>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17"/>
        <w:gridCol w:w="1715"/>
        <w:gridCol w:w="2119"/>
        <w:gridCol w:w="2480"/>
        <w:gridCol w:w="2924"/>
      </w:tblGrid>
      <w:tr w:rsidR="00322212" w:rsidRPr="003B4F6E" w14:paraId="612B5023" w14:textId="77777777" w:rsidTr="00DB0B9E">
        <w:trPr>
          <w:trHeight w:val="602"/>
        </w:trPr>
        <w:tc>
          <w:tcPr>
            <w:tcW w:w="1795" w:type="dxa"/>
          </w:tcPr>
          <w:p w14:paraId="6E6E165C" w14:textId="77777777" w:rsidR="00322212" w:rsidRPr="003B4F6E" w:rsidRDefault="00322212" w:rsidP="003B4F6E">
            <w:pPr>
              <w:autoSpaceDE w:val="0"/>
              <w:autoSpaceDN w:val="0"/>
              <w:adjustRightInd w:val="0"/>
              <w:spacing w:after="0" w:line="240" w:lineRule="auto"/>
              <w:rPr>
                <w:rFonts w:ascii="Sylfaen" w:hAnsi="Sylfaen" w:cs="Segoe UI Bold"/>
                <w:b/>
                <w:bCs/>
                <w:noProof/>
                <w:sz w:val="20"/>
                <w:szCs w:val="20"/>
                <w:lang w:val="ka-GE"/>
              </w:rPr>
            </w:pPr>
            <w:r w:rsidRPr="003B4F6E">
              <w:rPr>
                <w:rFonts w:ascii="Sylfaen" w:hAnsi="Sylfaen" w:cs="Segoe UI Bold"/>
                <w:b/>
                <w:bCs/>
                <w:noProof/>
                <w:sz w:val="20"/>
                <w:szCs w:val="20"/>
                <w:lang w:val="ka-GE"/>
              </w:rPr>
              <w:t>ორგანოთა სისტემური</w:t>
            </w:r>
          </w:p>
          <w:p w14:paraId="105CADDA" w14:textId="77777777" w:rsidR="00322212" w:rsidRPr="003B4F6E" w:rsidRDefault="00322212" w:rsidP="003B4F6E">
            <w:pPr>
              <w:autoSpaceDE w:val="0"/>
              <w:autoSpaceDN w:val="0"/>
              <w:adjustRightInd w:val="0"/>
              <w:spacing w:after="0" w:line="240" w:lineRule="auto"/>
              <w:rPr>
                <w:rFonts w:ascii="Sylfaen" w:hAnsi="Sylfaen" w:cs="Segoe UI Bold"/>
                <w:b/>
                <w:bCs/>
                <w:noProof/>
                <w:sz w:val="20"/>
                <w:szCs w:val="20"/>
                <w:lang w:val="ka-GE"/>
              </w:rPr>
            </w:pPr>
            <w:r w:rsidRPr="003B4F6E">
              <w:rPr>
                <w:rFonts w:ascii="Sylfaen" w:hAnsi="Sylfaen" w:cs="Segoe UI Bold"/>
                <w:b/>
                <w:bCs/>
                <w:noProof/>
                <w:sz w:val="20"/>
                <w:szCs w:val="20"/>
                <w:lang w:val="ka-GE"/>
              </w:rPr>
              <w:t>კლასი</w:t>
            </w:r>
          </w:p>
          <w:p w14:paraId="4E86435C"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620" w:type="dxa"/>
          </w:tcPr>
          <w:p w14:paraId="0FD2FEFC" w14:textId="77777777" w:rsidR="00322212" w:rsidRPr="003B4F6E" w:rsidRDefault="00322212" w:rsidP="003B4F6E">
            <w:pPr>
              <w:autoSpaceDE w:val="0"/>
              <w:autoSpaceDN w:val="0"/>
              <w:adjustRightInd w:val="0"/>
              <w:spacing w:after="0" w:line="240" w:lineRule="auto"/>
              <w:rPr>
                <w:rFonts w:ascii="Sylfaen" w:hAnsi="Sylfaen" w:cs="Segoe UI Bold"/>
                <w:b/>
                <w:bCs/>
                <w:noProof/>
                <w:sz w:val="20"/>
                <w:szCs w:val="20"/>
                <w:lang w:val="ka-GE"/>
              </w:rPr>
            </w:pPr>
            <w:r w:rsidRPr="003B4F6E">
              <w:rPr>
                <w:rFonts w:ascii="Sylfaen" w:hAnsi="Sylfaen" w:cs="Segoe UI Bold"/>
                <w:b/>
                <w:bCs/>
                <w:noProof/>
                <w:sz w:val="20"/>
                <w:szCs w:val="20"/>
                <w:lang w:val="ka-GE"/>
              </w:rPr>
              <w:t>ხშირი</w:t>
            </w:r>
          </w:p>
          <w:p w14:paraId="2C8CC5DE"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2230" w:type="dxa"/>
          </w:tcPr>
          <w:p w14:paraId="2F8F9198"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Bold"/>
                <w:b/>
                <w:bCs/>
                <w:noProof/>
                <w:sz w:val="20"/>
                <w:szCs w:val="20"/>
                <w:lang w:val="ka-GE"/>
              </w:rPr>
              <w:t>არახშირი</w:t>
            </w:r>
          </w:p>
        </w:tc>
        <w:tc>
          <w:tcPr>
            <w:tcW w:w="1765" w:type="dxa"/>
          </w:tcPr>
          <w:p w14:paraId="31D133AF"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Bold"/>
                <w:b/>
                <w:bCs/>
                <w:noProof/>
                <w:sz w:val="20"/>
                <w:szCs w:val="20"/>
                <w:lang w:val="ka-GE"/>
              </w:rPr>
              <w:t>იშვიათი</w:t>
            </w:r>
          </w:p>
        </w:tc>
        <w:tc>
          <w:tcPr>
            <w:tcW w:w="3745" w:type="dxa"/>
          </w:tcPr>
          <w:p w14:paraId="41B894A5"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Bold"/>
                <w:b/>
                <w:bCs/>
                <w:noProof/>
                <w:sz w:val="20"/>
                <w:szCs w:val="20"/>
                <w:lang w:val="ka-GE"/>
              </w:rPr>
              <w:t>ძალიან იშვიათი, უცნობი*</w:t>
            </w:r>
          </w:p>
        </w:tc>
      </w:tr>
      <w:tr w:rsidR="00322212" w:rsidRPr="003B4F6E" w14:paraId="0FF74389" w14:textId="77777777" w:rsidTr="00DB0B9E">
        <w:tc>
          <w:tcPr>
            <w:tcW w:w="1795" w:type="dxa"/>
          </w:tcPr>
          <w:p w14:paraId="55AE3285"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დარღვევები</w:t>
            </w:r>
          </w:p>
          <w:p w14:paraId="16D4F00F"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lastRenderedPageBreak/>
              <w:t>სისხლის და</w:t>
            </w:r>
          </w:p>
          <w:p w14:paraId="020A3DD4"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ლიმფური სისტემის მხრივ</w:t>
            </w:r>
          </w:p>
          <w:p w14:paraId="5DF2A157"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620" w:type="dxa"/>
          </w:tcPr>
          <w:p w14:paraId="402470B5"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2230" w:type="dxa"/>
          </w:tcPr>
          <w:p w14:paraId="5104A206"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თრომბოციტოპენია,</w:t>
            </w:r>
          </w:p>
          <w:p w14:paraId="39C8AAF4"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lastRenderedPageBreak/>
              <w:t>ლეიკოპენია,</w:t>
            </w:r>
          </w:p>
          <w:p w14:paraId="62532642"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ეოზინოფილია</w:t>
            </w:r>
          </w:p>
          <w:p w14:paraId="2AEFA717"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765" w:type="dxa"/>
          </w:tcPr>
          <w:p w14:paraId="46E9F386"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lastRenderedPageBreak/>
              <w:t>ნეიტროპენია,</w:t>
            </w:r>
          </w:p>
          <w:p w14:paraId="1830312D"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lastRenderedPageBreak/>
              <w:t>მათ შორის მძიმე</w:t>
            </w:r>
          </w:p>
          <w:p w14:paraId="0BDB487E"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ნეიტროპენია</w:t>
            </w:r>
          </w:p>
          <w:p w14:paraId="7678C5A3"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3745" w:type="dxa"/>
          </w:tcPr>
          <w:p w14:paraId="12430371"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lastRenderedPageBreak/>
              <w:t xml:space="preserve">თრომბოზული </w:t>
            </w:r>
            <w:r w:rsidRPr="003B4F6E">
              <w:rPr>
                <w:rFonts w:ascii="Sylfaen" w:hAnsi="Sylfaen" w:cs="Segoe UI"/>
                <w:noProof/>
                <w:sz w:val="20"/>
                <w:szCs w:val="20"/>
                <w:lang w:val="ka-GE"/>
              </w:rPr>
              <w:lastRenderedPageBreak/>
              <w:t>თრომბოციტოპენია</w:t>
            </w:r>
          </w:p>
          <w:p w14:paraId="2FE7B807"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პურპურა (TTP) (იხ. ნაწილი 4.4), აპლასტიური</w:t>
            </w:r>
          </w:p>
          <w:p w14:paraId="678BC44D"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ანემია, პანციტოპენია, აგრანულოციტოზი, მძიმე თრომბოციტოპენია, შეძენილი A</w:t>
            </w:r>
          </w:p>
          <w:p w14:paraId="77F69D0E"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ჰემოფილია გრანულოციტოპენია,</w:t>
            </w:r>
          </w:p>
          <w:p w14:paraId="4AF40F2E"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ანემია</w:t>
            </w:r>
          </w:p>
        </w:tc>
      </w:tr>
      <w:tr w:rsidR="00322212" w:rsidRPr="003B4F6E" w14:paraId="10EE9417" w14:textId="77777777" w:rsidTr="00DB0B9E">
        <w:tc>
          <w:tcPr>
            <w:tcW w:w="1795" w:type="dxa"/>
          </w:tcPr>
          <w:p w14:paraId="1BE6A0DC"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lastRenderedPageBreak/>
              <w:t>გულის მხრივ დარღვევები</w:t>
            </w:r>
          </w:p>
        </w:tc>
        <w:tc>
          <w:tcPr>
            <w:tcW w:w="1620" w:type="dxa"/>
          </w:tcPr>
          <w:p w14:paraId="79B5D356"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2230" w:type="dxa"/>
          </w:tcPr>
          <w:p w14:paraId="4F798C04"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765" w:type="dxa"/>
          </w:tcPr>
          <w:p w14:paraId="04FD6660"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3745" w:type="dxa"/>
          </w:tcPr>
          <w:p w14:paraId="084D1A17"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კუნისის სინდრომი (ვაზოსპასტიური ალერგიული სტენოკარდია / ალერგიული მიოკარდიუმის ინფარქტი) კლოპიდოგრელით გამოწვეული ჰიპერმგრძნობელობის რეაქციის კონტექსტში*</w:t>
            </w:r>
          </w:p>
        </w:tc>
      </w:tr>
      <w:tr w:rsidR="00322212" w:rsidRPr="003B4F6E" w14:paraId="0A0F5DE5" w14:textId="77777777" w:rsidTr="00DB0B9E">
        <w:tc>
          <w:tcPr>
            <w:tcW w:w="1795" w:type="dxa"/>
          </w:tcPr>
          <w:p w14:paraId="2BB3DE85"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იმუნური სისტემის მხრივ</w:t>
            </w:r>
          </w:p>
          <w:p w14:paraId="2E6C5595"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დარღვევები</w:t>
            </w:r>
          </w:p>
          <w:p w14:paraId="0D1BF0A0"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620" w:type="dxa"/>
          </w:tcPr>
          <w:p w14:paraId="03EAE626"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2230" w:type="dxa"/>
          </w:tcPr>
          <w:p w14:paraId="658BDFDF"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765" w:type="dxa"/>
          </w:tcPr>
          <w:p w14:paraId="42186453"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3745" w:type="dxa"/>
          </w:tcPr>
          <w:p w14:paraId="3CCD96B9"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შრატისმიერი დაავადება,</w:t>
            </w:r>
          </w:p>
          <w:p w14:paraId="361C177E"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ანაფილაქტოიდური რეაქციები,</w:t>
            </w:r>
          </w:p>
          <w:p w14:paraId="6EBDFFE8"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თიენოპირიდინებს შორის (მაგალითად, ტიკლოპიდინი, პრასუგრელი) ჯვარედინი რეაქციის მქონე პრეპარატის მიმართ ჰიპერმგრძნობელობა (იხ. ნაწილი 4.4)*, ინსულინის აუტოიმუნური სინდრომი, რამაც შეიძლება გამოიწვიოს მძიმე ჰიპოგლიკემია, განსაკუთრებით განსაკუთრებით HLA-DRA4 ქვეტიპის მქონე პაციენტებში (რომელიც უფრო ხშირია იაპონურ პოპულაციაში)*</w:t>
            </w:r>
          </w:p>
        </w:tc>
      </w:tr>
      <w:tr w:rsidR="00322212" w:rsidRPr="003B4F6E" w14:paraId="5BC44049" w14:textId="77777777" w:rsidTr="00DB0B9E">
        <w:trPr>
          <w:trHeight w:val="557"/>
        </w:trPr>
        <w:tc>
          <w:tcPr>
            <w:tcW w:w="1795" w:type="dxa"/>
          </w:tcPr>
          <w:p w14:paraId="0A91E25A"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ფსიქიატრიული</w:t>
            </w:r>
          </w:p>
          <w:p w14:paraId="74A570F5" w14:textId="117DAF40"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დარღვევები</w:t>
            </w:r>
          </w:p>
        </w:tc>
        <w:tc>
          <w:tcPr>
            <w:tcW w:w="1620" w:type="dxa"/>
          </w:tcPr>
          <w:p w14:paraId="09EB4FE8"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2230" w:type="dxa"/>
          </w:tcPr>
          <w:p w14:paraId="23653626"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765" w:type="dxa"/>
          </w:tcPr>
          <w:p w14:paraId="7CDB127D"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3745" w:type="dxa"/>
          </w:tcPr>
          <w:p w14:paraId="7B613892"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ჰალუცინაციები, დაბნეულობა</w:t>
            </w:r>
          </w:p>
        </w:tc>
      </w:tr>
      <w:tr w:rsidR="00322212" w:rsidRPr="003B4F6E" w14:paraId="3147CFB9" w14:textId="77777777" w:rsidTr="00DB0B9E">
        <w:tc>
          <w:tcPr>
            <w:tcW w:w="1795" w:type="dxa"/>
          </w:tcPr>
          <w:p w14:paraId="12E3051E"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ნერვული სისტემის მხრივ</w:t>
            </w:r>
          </w:p>
          <w:p w14:paraId="2A480626"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დარღვევები</w:t>
            </w:r>
          </w:p>
          <w:p w14:paraId="2820A6C3"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620" w:type="dxa"/>
          </w:tcPr>
          <w:p w14:paraId="07AA6135"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2230" w:type="dxa"/>
          </w:tcPr>
          <w:p w14:paraId="2E5FE3FB"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ინტრაკრანიალური</w:t>
            </w:r>
          </w:p>
          <w:p w14:paraId="2FB9D0BA"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სისხლდენა (ზოგიერთ</w:t>
            </w:r>
          </w:p>
          <w:p w14:paraId="0689406C"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შემთხვევებში  დაფიქსირდა</w:t>
            </w:r>
          </w:p>
          <w:p w14:paraId="5A792256"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ფატალური შედეგი),</w:t>
            </w:r>
          </w:p>
          <w:p w14:paraId="7427126F"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თავის ტკივილი,</w:t>
            </w:r>
          </w:p>
          <w:p w14:paraId="19FB1A52"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პარესთეზია,</w:t>
            </w:r>
          </w:p>
          <w:p w14:paraId="512D8824"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თავბრუსხვევა</w:t>
            </w:r>
          </w:p>
        </w:tc>
        <w:tc>
          <w:tcPr>
            <w:tcW w:w="1765" w:type="dxa"/>
          </w:tcPr>
          <w:p w14:paraId="5ACCAA70"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3745" w:type="dxa"/>
          </w:tcPr>
          <w:p w14:paraId="78B370F6"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გემოვნების დარღვევა, აგევზია</w:t>
            </w:r>
          </w:p>
          <w:p w14:paraId="17018B40"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r>
      <w:tr w:rsidR="00322212" w:rsidRPr="003B4F6E" w14:paraId="73202A87" w14:textId="77777777" w:rsidTr="00DB0B9E">
        <w:tc>
          <w:tcPr>
            <w:tcW w:w="1795" w:type="dxa"/>
          </w:tcPr>
          <w:p w14:paraId="2AF8ABE6"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თვალის მხრივ დარღვევები</w:t>
            </w:r>
          </w:p>
          <w:p w14:paraId="20E7592B"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620" w:type="dxa"/>
          </w:tcPr>
          <w:p w14:paraId="66548C74"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2230" w:type="dxa"/>
          </w:tcPr>
          <w:p w14:paraId="549D2311"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თვალიდან სისხლდენა</w:t>
            </w:r>
          </w:p>
          <w:p w14:paraId="2B5736B7"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(კონიუნქტივიდან,</w:t>
            </w:r>
          </w:p>
          <w:p w14:paraId="4BDAE7C4"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თვალიდან, ბადურიდან)</w:t>
            </w:r>
          </w:p>
        </w:tc>
        <w:tc>
          <w:tcPr>
            <w:tcW w:w="1765" w:type="dxa"/>
          </w:tcPr>
          <w:p w14:paraId="27FA2984"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3745" w:type="dxa"/>
          </w:tcPr>
          <w:p w14:paraId="4317623A"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r>
      <w:tr w:rsidR="00322212" w:rsidRPr="003B4F6E" w14:paraId="61795524" w14:textId="77777777" w:rsidTr="00DB0B9E">
        <w:tc>
          <w:tcPr>
            <w:tcW w:w="1795" w:type="dxa"/>
          </w:tcPr>
          <w:p w14:paraId="340C669E"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lastRenderedPageBreak/>
              <w:t>ყურის და ლაბირინთული</w:t>
            </w:r>
          </w:p>
          <w:p w14:paraId="020D5B3C" w14:textId="1DB8E72B"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დარღვევები</w:t>
            </w:r>
          </w:p>
        </w:tc>
        <w:tc>
          <w:tcPr>
            <w:tcW w:w="1620" w:type="dxa"/>
          </w:tcPr>
          <w:p w14:paraId="5571B27C"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2230" w:type="dxa"/>
          </w:tcPr>
          <w:p w14:paraId="05D926E7"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765" w:type="dxa"/>
          </w:tcPr>
          <w:p w14:paraId="76B62CF4"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თავბრუსხვევა</w:t>
            </w:r>
          </w:p>
          <w:p w14:paraId="45E77FF5"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3745" w:type="dxa"/>
          </w:tcPr>
          <w:p w14:paraId="5D24A275"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r>
      <w:tr w:rsidR="00322212" w:rsidRPr="003B4F6E" w14:paraId="111E6D02" w14:textId="77777777" w:rsidTr="00DB0B9E">
        <w:tc>
          <w:tcPr>
            <w:tcW w:w="1795" w:type="dxa"/>
          </w:tcPr>
          <w:p w14:paraId="06C442D6"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სისხლძარღვოვანი დარღვევები</w:t>
            </w:r>
          </w:p>
          <w:p w14:paraId="3244CFC7"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620" w:type="dxa"/>
          </w:tcPr>
          <w:p w14:paraId="14E3DC70"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ჰემატომა</w:t>
            </w:r>
          </w:p>
          <w:p w14:paraId="048C71AF"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2230" w:type="dxa"/>
          </w:tcPr>
          <w:p w14:paraId="1AF1F482"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765" w:type="dxa"/>
          </w:tcPr>
          <w:p w14:paraId="4F3DDFF7"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3745" w:type="dxa"/>
          </w:tcPr>
          <w:p w14:paraId="28E916DA" w14:textId="598929F2"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სერიოზული სისხლდენა, ოპერაციული ჭრილობიდან სისხლდენა, ვასკულიტი, ჰიპოტენზია</w:t>
            </w:r>
          </w:p>
        </w:tc>
      </w:tr>
      <w:tr w:rsidR="00322212" w:rsidRPr="003B4F6E" w14:paraId="7E0FA3A4" w14:textId="77777777" w:rsidTr="00DB0B9E">
        <w:tc>
          <w:tcPr>
            <w:tcW w:w="1795" w:type="dxa"/>
          </w:tcPr>
          <w:p w14:paraId="5748A7F6"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სასუნთქი გზების,</w:t>
            </w:r>
          </w:p>
          <w:p w14:paraId="19607817"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გულმკერდის და</w:t>
            </w:r>
          </w:p>
          <w:p w14:paraId="24EBB72A"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 xml:space="preserve">შუასაყრის მხრივ </w:t>
            </w:r>
          </w:p>
          <w:p w14:paraId="01DE9191"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დარღვევები</w:t>
            </w:r>
          </w:p>
          <w:p w14:paraId="528309D8"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620" w:type="dxa"/>
          </w:tcPr>
          <w:p w14:paraId="081D76B8"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ეპისტაქსისი</w:t>
            </w:r>
          </w:p>
          <w:p w14:paraId="6D6033C1"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2230" w:type="dxa"/>
          </w:tcPr>
          <w:p w14:paraId="1EAE54D2"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765" w:type="dxa"/>
          </w:tcPr>
          <w:p w14:paraId="20F8D0BC"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3745" w:type="dxa"/>
          </w:tcPr>
          <w:p w14:paraId="046C8AFA"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სასუნთქი გზებიდან სისხლდენა (ჰემოპტიზი, ფილტვისმიერი სისხლდენა),</w:t>
            </w:r>
          </w:p>
          <w:p w14:paraId="531C41A8"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ბრონქოსპაზმი, ინტერსტიციული პნევმონიტი, ეოზინოფილური პნევმონია</w:t>
            </w:r>
          </w:p>
        </w:tc>
      </w:tr>
      <w:tr w:rsidR="00322212" w:rsidRPr="003B4F6E" w14:paraId="40FF2E08" w14:textId="77777777" w:rsidTr="00DB0B9E">
        <w:tc>
          <w:tcPr>
            <w:tcW w:w="1795" w:type="dxa"/>
          </w:tcPr>
          <w:p w14:paraId="3905D413"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 xml:space="preserve">კუჭ-ნაწლავის მხრივ </w:t>
            </w:r>
          </w:p>
          <w:p w14:paraId="2FA59C5E"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დარღვევები</w:t>
            </w:r>
          </w:p>
          <w:p w14:paraId="7F6C9637"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620" w:type="dxa"/>
          </w:tcPr>
          <w:p w14:paraId="03CBB48B"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 xml:space="preserve">კუჭ-ნაწლავის ტრაქტიდან </w:t>
            </w:r>
          </w:p>
          <w:p w14:paraId="38D9F603"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სისხლდენა,</w:t>
            </w:r>
          </w:p>
          <w:p w14:paraId="1CBFAFCD"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დიარეა,</w:t>
            </w:r>
          </w:p>
          <w:p w14:paraId="00C815BB"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მუცლის</w:t>
            </w:r>
          </w:p>
          <w:p w14:paraId="16F65AA3"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ტკივილი, დისპეფსია</w:t>
            </w:r>
          </w:p>
        </w:tc>
        <w:tc>
          <w:tcPr>
            <w:tcW w:w="2230" w:type="dxa"/>
          </w:tcPr>
          <w:p w14:paraId="03FFDF6F"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კუჭის წყლული და</w:t>
            </w:r>
          </w:p>
          <w:p w14:paraId="0A2B577E"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თორმეტგოჯა ნაწლავის წყლული,</w:t>
            </w:r>
          </w:p>
          <w:p w14:paraId="3BC83469"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გასტრიტი, ღებინება,</w:t>
            </w:r>
          </w:p>
          <w:p w14:paraId="0A8F61BF"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გულისრევა, ყაბზობა,</w:t>
            </w:r>
          </w:p>
          <w:p w14:paraId="39A5A405"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შებერილობა</w:t>
            </w:r>
          </w:p>
        </w:tc>
        <w:tc>
          <w:tcPr>
            <w:tcW w:w="1765" w:type="dxa"/>
          </w:tcPr>
          <w:p w14:paraId="2292202C"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რეტროპერიტონეალური</w:t>
            </w:r>
          </w:p>
          <w:p w14:paraId="5AE8EEFB"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სისხლდენა</w:t>
            </w:r>
          </w:p>
          <w:p w14:paraId="3524F976"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3745" w:type="dxa"/>
          </w:tcPr>
          <w:p w14:paraId="6682FB62"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კუჭ-ნაწლავის და რეტროპერიტონეალური</w:t>
            </w:r>
          </w:p>
          <w:p w14:paraId="49F2BE6F"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სისხლდენა ფატალური შედეგით,</w:t>
            </w:r>
          </w:p>
          <w:p w14:paraId="00808E61"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პანკრეატიტი, კოლიტი (მათ შორის წყლულოვანი ან ლიმფოციტური კოლიტი), სტომატიტი</w:t>
            </w:r>
          </w:p>
          <w:p w14:paraId="5EE2E1D9"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r>
      <w:tr w:rsidR="00322212" w:rsidRPr="003B4F6E" w14:paraId="2FCEDC4F" w14:textId="77777777" w:rsidTr="00DB0B9E">
        <w:tc>
          <w:tcPr>
            <w:tcW w:w="1795" w:type="dxa"/>
          </w:tcPr>
          <w:p w14:paraId="1895B2F0"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ჰეპატო-ბილიარული</w:t>
            </w:r>
          </w:p>
          <w:p w14:paraId="41FE6659"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დარღვევები</w:t>
            </w:r>
          </w:p>
        </w:tc>
        <w:tc>
          <w:tcPr>
            <w:tcW w:w="1620" w:type="dxa"/>
          </w:tcPr>
          <w:p w14:paraId="57A930E8"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2230" w:type="dxa"/>
          </w:tcPr>
          <w:p w14:paraId="10C6268D"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765" w:type="dxa"/>
          </w:tcPr>
          <w:p w14:paraId="1CC1A2C7"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3745" w:type="dxa"/>
          </w:tcPr>
          <w:p w14:paraId="4B8E5E92"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მწვავე ღვიძლის უკმარისობა, ჰეპატიტი, ღვიძლის არანორმალური ფუნქციური ტესტები</w:t>
            </w:r>
          </w:p>
        </w:tc>
      </w:tr>
      <w:tr w:rsidR="00322212" w:rsidRPr="003B4F6E" w14:paraId="55E66533" w14:textId="77777777" w:rsidTr="00DB0B9E">
        <w:tc>
          <w:tcPr>
            <w:tcW w:w="1795" w:type="dxa"/>
          </w:tcPr>
          <w:p w14:paraId="2DE6914D"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კანის და</w:t>
            </w:r>
          </w:p>
          <w:p w14:paraId="0160FF35"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კანქვეშა</w:t>
            </w:r>
          </w:p>
          <w:p w14:paraId="012B4BA1"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ქსოვილის მხრივ დარღვევები</w:t>
            </w:r>
          </w:p>
          <w:p w14:paraId="75011BE1"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620" w:type="dxa"/>
          </w:tcPr>
          <w:p w14:paraId="46977B83"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სისხლჩაქცევები</w:t>
            </w:r>
          </w:p>
          <w:p w14:paraId="3C6A29FB"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2230" w:type="dxa"/>
          </w:tcPr>
          <w:p w14:paraId="4FD95068"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გამონაყარი,</w:t>
            </w:r>
          </w:p>
          <w:p w14:paraId="5EEE97E5"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ქავილი,</w:t>
            </w:r>
          </w:p>
          <w:p w14:paraId="02461E89"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კანიდან სისხლდენა</w:t>
            </w:r>
          </w:p>
          <w:p w14:paraId="570E284A"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(პურპურა)</w:t>
            </w:r>
          </w:p>
          <w:p w14:paraId="552C7367"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765" w:type="dxa"/>
          </w:tcPr>
          <w:p w14:paraId="25542311"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3745" w:type="dxa"/>
          </w:tcPr>
          <w:p w14:paraId="27D20530"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ბულოზური დერმატიტი (ტოქსიკური ეპიდერმული)</w:t>
            </w:r>
          </w:p>
          <w:p w14:paraId="3F1DDD40"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ნეკროლიზი, სტივენს-ჯონსონის სინდრომი,</w:t>
            </w:r>
          </w:p>
          <w:p w14:paraId="77BDBFC8"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მულტიფორმული ერითემა, მწვავე გენერალიზებული</w:t>
            </w:r>
          </w:p>
          <w:p w14:paraId="45734C33"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ეგზანთემატოზური პუსტულოზი (AGEP)),</w:t>
            </w:r>
          </w:p>
          <w:p w14:paraId="733F13C5"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 xml:space="preserve">ანგიონევროზული შეშუპება, წამლისმიერი </w:t>
            </w:r>
            <w:r w:rsidRPr="003B4F6E">
              <w:rPr>
                <w:rFonts w:ascii="Sylfaen" w:eastAsia="MS Gothic" w:hAnsi="Sylfaen" w:cs="Sylfaen"/>
                <w:noProof/>
                <w:sz w:val="20"/>
                <w:szCs w:val="20"/>
                <w:lang w:val="ka-GE"/>
              </w:rPr>
              <w:t>ჰიპერმგრძნობელობის</w:t>
            </w:r>
            <w:r w:rsidRPr="003B4F6E">
              <w:rPr>
                <w:rFonts w:ascii="Sylfaen" w:eastAsia="MS Gothic" w:hAnsi="Sylfaen" w:cs="MS Gothic"/>
                <w:noProof/>
                <w:sz w:val="20"/>
                <w:szCs w:val="20"/>
                <w:lang w:val="ka-GE"/>
              </w:rPr>
              <w:t xml:space="preserve"> </w:t>
            </w:r>
            <w:r w:rsidRPr="003B4F6E">
              <w:rPr>
                <w:rFonts w:ascii="Sylfaen" w:hAnsi="Sylfaen" w:cs="Segoe UI"/>
                <w:noProof/>
                <w:sz w:val="20"/>
                <w:szCs w:val="20"/>
                <w:lang w:val="ka-GE"/>
              </w:rPr>
              <w:t>სინდრომი, წამლისმიერი გამონაყარი ეოზინოფილიით და სისტემური სიმპტომებით (DRESS), ერითემატოზული ან ექსფოლიატიური გამონაყარი, ჭინჭრის ციება, ეგზემა, ბრტყელი ლიქენი</w:t>
            </w:r>
          </w:p>
        </w:tc>
      </w:tr>
      <w:tr w:rsidR="00322212" w:rsidRPr="003B4F6E" w14:paraId="6C1B145D" w14:textId="77777777" w:rsidTr="00DB0B9E">
        <w:tc>
          <w:tcPr>
            <w:tcW w:w="1795" w:type="dxa"/>
          </w:tcPr>
          <w:p w14:paraId="02C54074"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რეპროდუქციული</w:t>
            </w:r>
          </w:p>
          <w:p w14:paraId="64465D55"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სისტემის და</w:t>
            </w:r>
          </w:p>
          <w:p w14:paraId="537A1DAB" w14:textId="6F230994"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მკერდის მხრივ  დარღვევები</w:t>
            </w:r>
          </w:p>
        </w:tc>
        <w:tc>
          <w:tcPr>
            <w:tcW w:w="1620" w:type="dxa"/>
          </w:tcPr>
          <w:p w14:paraId="0ED114F2"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2230" w:type="dxa"/>
          </w:tcPr>
          <w:p w14:paraId="061D4A01"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765" w:type="dxa"/>
          </w:tcPr>
          <w:p w14:paraId="2CACC3C8"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გინეკომასტია</w:t>
            </w:r>
          </w:p>
          <w:p w14:paraId="7ADFAB11"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3745" w:type="dxa"/>
          </w:tcPr>
          <w:p w14:paraId="71B29C17"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r>
      <w:tr w:rsidR="00322212" w:rsidRPr="003B4F6E" w14:paraId="1262FCEF" w14:textId="77777777" w:rsidTr="00DB0B9E">
        <w:tc>
          <w:tcPr>
            <w:tcW w:w="1795" w:type="dxa"/>
          </w:tcPr>
          <w:p w14:paraId="65E93748"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ძვალ-კუნთოვანი სისტემის,</w:t>
            </w:r>
          </w:p>
          <w:p w14:paraId="3EFABCF8"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 xml:space="preserve">შემაერთებელი </w:t>
            </w:r>
            <w:r w:rsidRPr="003B4F6E">
              <w:rPr>
                <w:rFonts w:ascii="Sylfaen" w:hAnsi="Sylfaen" w:cs="Segoe UI"/>
                <w:noProof/>
                <w:sz w:val="20"/>
                <w:szCs w:val="20"/>
                <w:lang w:val="ka-GE"/>
              </w:rPr>
              <w:lastRenderedPageBreak/>
              <w:t>ქსოვილისა და ძვლის მხრივ დარღვევები</w:t>
            </w:r>
          </w:p>
        </w:tc>
        <w:tc>
          <w:tcPr>
            <w:tcW w:w="1620" w:type="dxa"/>
          </w:tcPr>
          <w:p w14:paraId="34303A94"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2230" w:type="dxa"/>
          </w:tcPr>
          <w:p w14:paraId="39441A5B"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765" w:type="dxa"/>
          </w:tcPr>
          <w:p w14:paraId="04B3DFB1"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3745" w:type="dxa"/>
          </w:tcPr>
          <w:p w14:paraId="0399397C"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ძვალ-კუნთოვანი-სისხლდენა (ჰემართროზი), ართრიტი, ართრალგია,</w:t>
            </w:r>
          </w:p>
          <w:p w14:paraId="283EF5A8"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lastRenderedPageBreak/>
              <w:t>მიალგია</w:t>
            </w:r>
          </w:p>
        </w:tc>
      </w:tr>
      <w:tr w:rsidR="00322212" w:rsidRPr="003B4F6E" w14:paraId="2DE91418" w14:textId="77777777" w:rsidTr="00DB0B9E">
        <w:tc>
          <w:tcPr>
            <w:tcW w:w="1795" w:type="dxa"/>
          </w:tcPr>
          <w:p w14:paraId="7A8E1A90"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lastRenderedPageBreak/>
              <w:t>თირკმლის და შარდის მხრივ</w:t>
            </w:r>
          </w:p>
          <w:p w14:paraId="389DF9ED"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დარღვევები</w:t>
            </w:r>
          </w:p>
        </w:tc>
        <w:tc>
          <w:tcPr>
            <w:tcW w:w="1620" w:type="dxa"/>
          </w:tcPr>
          <w:p w14:paraId="1F89DD6E"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2230" w:type="dxa"/>
          </w:tcPr>
          <w:p w14:paraId="070080C2"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ჰემატურია</w:t>
            </w:r>
          </w:p>
          <w:p w14:paraId="39584401"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765" w:type="dxa"/>
          </w:tcPr>
          <w:p w14:paraId="0A35B6AE"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3745" w:type="dxa"/>
          </w:tcPr>
          <w:p w14:paraId="49ADDC4B"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გლომერულონეფრიტი, სისხლში კრეატინინის მომატება</w:t>
            </w:r>
          </w:p>
        </w:tc>
      </w:tr>
      <w:tr w:rsidR="00322212" w:rsidRPr="003B4F6E" w14:paraId="2BD01D69" w14:textId="77777777" w:rsidTr="00DB0B9E">
        <w:tc>
          <w:tcPr>
            <w:tcW w:w="1795" w:type="dxa"/>
          </w:tcPr>
          <w:p w14:paraId="61B4B74E"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ზოგადი დარღვევები</w:t>
            </w:r>
          </w:p>
          <w:p w14:paraId="6CE91C53"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და</w:t>
            </w:r>
          </w:p>
          <w:p w14:paraId="45F0990F"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შეყვანის ადგილის მდგომარეობები</w:t>
            </w:r>
          </w:p>
        </w:tc>
        <w:tc>
          <w:tcPr>
            <w:tcW w:w="1620" w:type="dxa"/>
          </w:tcPr>
          <w:p w14:paraId="3A2CA67F"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სისხლდენა</w:t>
            </w:r>
          </w:p>
          <w:p w14:paraId="5DFC2C01"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პუნქციის ადგილზე</w:t>
            </w:r>
          </w:p>
        </w:tc>
        <w:tc>
          <w:tcPr>
            <w:tcW w:w="2230" w:type="dxa"/>
          </w:tcPr>
          <w:p w14:paraId="2E310259"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765" w:type="dxa"/>
          </w:tcPr>
          <w:p w14:paraId="2933DDF6"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3745" w:type="dxa"/>
          </w:tcPr>
          <w:p w14:paraId="45D6E0BC"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ცხელება</w:t>
            </w:r>
          </w:p>
          <w:p w14:paraId="5F78793E"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r>
      <w:tr w:rsidR="00322212" w:rsidRPr="003B4F6E" w14:paraId="2C1DBF50" w14:textId="77777777" w:rsidTr="00DB0B9E">
        <w:tc>
          <w:tcPr>
            <w:tcW w:w="1795" w:type="dxa"/>
          </w:tcPr>
          <w:p w14:paraId="6A050F79"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გამოკვლევები</w:t>
            </w:r>
          </w:p>
          <w:p w14:paraId="5F2F75FD"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1620" w:type="dxa"/>
          </w:tcPr>
          <w:p w14:paraId="3ACE4D5E"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2230" w:type="dxa"/>
          </w:tcPr>
          <w:p w14:paraId="177ADC8D"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სისხლდენის დროის</w:t>
            </w:r>
          </w:p>
          <w:p w14:paraId="5F6BD90C"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გახანგრძლივება</w:t>
            </w:r>
          </w:p>
          <w:p w14:paraId="47729AAB"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ნეიტროფილების რაოდენობის</w:t>
            </w:r>
          </w:p>
          <w:p w14:paraId="12A46EE3"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r w:rsidRPr="003B4F6E">
              <w:rPr>
                <w:rFonts w:ascii="Sylfaen" w:hAnsi="Sylfaen" w:cs="Segoe UI"/>
                <w:noProof/>
                <w:sz w:val="20"/>
                <w:szCs w:val="20"/>
                <w:lang w:val="ka-GE"/>
              </w:rPr>
              <w:t>შემცირება, თრომბოციტების რაოდენობის შემცირება</w:t>
            </w:r>
          </w:p>
        </w:tc>
        <w:tc>
          <w:tcPr>
            <w:tcW w:w="1765" w:type="dxa"/>
          </w:tcPr>
          <w:p w14:paraId="493EA8FF"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c>
          <w:tcPr>
            <w:tcW w:w="3745" w:type="dxa"/>
          </w:tcPr>
          <w:p w14:paraId="03E610C3" w14:textId="77777777" w:rsidR="00322212" w:rsidRPr="003B4F6E" w:rsidRDefault="00322212" w:rsidP="003B4F6E">
            <w:pPr>
              <w:autoSpaceDE w:val="0"/>
              <w:autoSpaceDN w:val="0"/>
              <w:adjustRightInd w:val="0"/>
              <w:spacing w:after="0" w:line="240" w:lineRule="auto"/>
              <w:rPr>
                <w:rFonts w:ascii="Sylfaen" w:hAnsi="Sylfaen" w:cs="Segoe UI"/>
                <w:noProof/>
                <w:sz w:val="20"/>
                <w:szCs w:val="20"/>
                <w:lang w:val="ka-GE"/>
              </w:rPr>
            </w:pPr>
          </w:p>
        </w:tc>
      </w:tr>
    </w:tbl>
    <w:p w14:paraId="0C413BEE" w14:textId="77777777" w:rsidR="00322212" w:rsidRPr="003B4F6E" w:rsidRDefault="00322212" w:rsidP="003B4F6E">
      <w:pPr>
        <w:spacing w:after="0" w:line="240" w:lineRule="auto"/>
        <w:rPr>
          <w:rFonts w:ascii="Sylfaen" w:hAnsi="Sylfaen"/>
          <w:noProof/>
          <w:sz w:val="20"/>
          <w:szCs w:val="20"/>
          <w:lang w:val="ka-GE"/>
        </w:rPr>
      </w:pPr>
    </w:p>
    <w:p w14:paraId="3DA4C119" w14:textId="77777777" w:rsidR="00322212" w:rsidRPr="003B4F6E" w:rsidRDefault="00322212" w:rsidP="003B4F6E">
      <w:pPr>
        <w:spacing w:after="0" w:line="240" w:lineRule="auto"/>
        <w:rPr>
          <w:rFonts w:ascii="Sylfaen" w:hAnsi="Sylfaen"/>
          <w:noProof/>
          <w:sz w:val="20"/>
          <w:szCs w:val="20"/>
          <w:lang w:val="ka-GE"/>
        </w:rPr>
      </w:pPr>
      <w:r w:rsidRPr="003B4F6E">
        <w:rPr>
          <w:rFonts w:ascii="Sylfaen" w:hAnsi="Sylfaen"/>
          <w:noProof/>
          <w:sz w:val="20"/>
          <w:szCs w:val="20"/>
          <w:lang w:val="ka-GE"/>
        </w:rPr>
        <w:t>* კლოპიდოგრელთან დაკავშირებული ინფორმაცია, რომლის სიხშირეც „უცნობია“.</w:t>
      </w:r>
    </w:p>
    <w:p w14:paraId="7490B94A" w14:textId="77777777" w:rsidR="00322212" w:rsidRPr="003B4F6E" w:rsidRDefault="00322212" w:rsidP="003B4F6E">
      <w:pPr>
        <w:spacing w:after="0" w:line="240" w:lineRule="auto"/>
        <w:rPr>
          <w:rFonts w:ascii="Sylfaen" w:hAnsi="Sylfaen"/>
          <w:noProof/>
          <w:sz w:val="20"/>
          <w:szCs w:val="20"/>
          <w:lang w:val="ka-GE"/>
        </w:rPr>
      </w:pPr>
    </w:p>
    <w:p w14:paraId="6F214A96"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სავარაუდო არასასურველი რეაქციების შესახებ შეტყობინება</w:t>
      </w:r>
    </w:p>
    <w:p w14:paraId="6B373C53"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სამკურნალო საშუალების ავტორიზაციის შემდეგ მნიშვნელოვანია სავარაუდო არასასურველი რეაქციების შესახებ შეტყობინება. ეს საშუალებას იძლევა, მუდმივად მოხდეს სამკურნალო საშუალების სარგებელსა და რისკს შორის ბალანსის მონიტორინგი. ჯანდაცვის სფეროს სპეციალისტებს მოეთხოვებათ, ნებისმიერი სავარაუდო არასასურველი რეაქციის შესახებ აცნობონ შესაბამის ეროვნულ სისტემას.</w:t>
      </w:r>
    </w:p>
    <w:p w14:paraId="41122248" w14:textId="77777777" w:rsidR="00322212" w:rsidRPr="003B4F6E" w:rsidRDefault="00322212" w:rsidP="003B4F6E">
      <w:pPr>
        <w:spacing w:after="0" w:line="240" w:lineRule="auto"/>
        <w:jc w:val="both"/>
        <w:rPr>
          <w:rFonts w:ascii="Sylfaen" w:hAnsi="Sylfaen"/>
          <w:b/>
          <w:noProof/>
          <w:sz w:val="20"/>
          <w:szCs w:val="20"/>
          <w:lang w:val="ka-GE"/>
        </w:rPr>
      </w:pPr>
    </w:p>
    <w:p w14:paraId="6FB9EDCF" w14:textId="77777777" w:rsidR="00322212" w:rsidRPr="003B4F6E" w:rsidRDefault="00322212" w:rsidP="003B4F6E">
      <w:pPr>
        <w:spacing w:after="0" w:line="240" w:lineRule="auto"/>
        <w:jc w:val="both"/>
        <w:rPr>
          <w:rFonts w:ascii="Sylfaen" w:hAnsi="Sylfaen"/>
          <w:b/>
          <w:noProof/>
          <w:sz w:val="20"/>
          <w:szCs w:val="20"/>
          <w:lang w:val="ka-GE"/>
        </w:rPr>
      </w:pPr>
      <w:r w:rsidRPr="003B4F6E">
        <w:rPr>
          <w:rFonts w:ascii="Sylfaen" w:hAnsi="Sylfaen"/>
          <w:b/>
          <w:noProof/>
          <w:sz w:val="20"/>
          <w:szCs w:val="20"/>
          <w:lang w:val="ka-GE"/>
        </w:rPr>
        <w:t>4.9 დოზის გადაჭარბება</w:t>
      </w:r>
    </w:p>
    <w:p w14:paraId="4AE50D3E"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კლოპიდოგრელის მიღების შემდეგ დოზის გადაჭარბებამ შეიძლება გამოიწვიოს სისხლდენის დროის გახანგრძლივება და სისხლდენის სახით შემდგომი გართულებები.</w:t>
      </w:r>
    </w:p>
    <w:p w14:paraId="5039E4DB"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სისხლდენის შემთხვევაში უნდა განიხილებოდეს შესაბამისი თერაპია.</w:t>
      </w:r>
    </w:p>
    <w:p w14:paraId="580D7D86"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კლოპიდოგრელის ფარმაკოლოგიური აქტივობის ანტიდოტი არ არის ნაპოვნი. თუ საჭიროა სისხლდენის დროის გახანგრძლივების სწრაფი კორექცია, თრომბოციტების გადასხმამ შეიძლება შეაჩეროს კლოპიდოგრელის ეფექტები.</w:t>
      </w:r>
    </w:p>
    <w:p w14:paraId="189560F6" w14:textId="77777777" w:rsidR="00322212" w:rsidRPr="003B4F6E" w:rsidRDefault="00322212" w:rsidP="003B4F6E">
      <w:pPr>
        <w:spacing w:after="0" w:line="240" w:lineRule="auto"/>
        <w:jc w:val="both"/>
        <w:rPr>
          <w:rFonts w:ascii="Sylfaen" w:hAnsi="Sylfaen"/>
          <w:noProof/>
          <w:sz w:val="20"/>
          <w:szCs w:val="20"/>
          <w:lang w:val="ka-GE"/>
        </w:rPr>
      </w:pPr>
    </w:p>
    <w:p w14:paraId="35B58AB2" w14:textId="77777777" w:rsidR="00322212" w:rsidRPr="003B4F6E" w:rsidRDefault="00322212" w:rsidP="003B4F6E">
      <w:pPr>
        <w:spacing w:after="0" w:line="240" w:lineRule="auto"/>
        <w:jc w:val="both"/>
        <w:rPr>
          <w:rFonts w:ascii="Sylfaen" w:hAnsi="Sylfaen"/>
          <w:b/>
          <w:noProof/>
          <w:sz w:val="20"/>
          <w:szCs w:val="20"/>
          <w:lang w:val="ka-GE"/>
        </w:rPr>
      </w:pPr>
      <w:r w:rsidRPr="003B4F6E">
        <w:rPr>
          <w:rFonts w:ascii="Sylfaen" w:hAnsi="Sylfaen"/>
          <w:b/>
          <w:noProof/>
          <w:sz w:val="20"/>
          <w:szCs w:val="20"/>
          <w:lang w:val="ka-GE"/>
        </w:rPr>
        <w:t>5 ფარმაკოლოგიური თვისებები</w:t>
      </w:r>
    </w:p>
    <w:p w14:paraId="10969387" w14:textId="77777777" w:rsidR="00322212" w:rsidRPr="003B4F6E" w:rsidRDefault="00322212" w:rsidP="003B4F6E">
      <w:pPr>
        <w:spacing w:after="0" w:line="240" w:lineRule="auto"/>
        <w:jc w:val="both"/>
        <w:rPr>
          <w:rFonts w:ascii="Sylfaen" w:hAnsi="Sylfaen"/>
          <w:b/>
          <w:noProof/>
          <w:sz w:val="20"/>
          <w:szCs w:val="20"/>
          <w:lang w:val="ka-GE"/>
        </w:rPr>
      </w:pPr>
      <w:r w:rsidRPr="003B4F6E">
        <w:rPr>
          <w:rFonts w:ascii="Sylfaen" w:hAnsi="Sylfaen"/>
          <w:b/>
          <w:noProof/>
          <w:sz w:val="20"/>
          <w:szCs w:val="20"/>
          <w:lang w:val="ka-GE"/>
        </w:rPr>
        <w:t>5.1 ფარმაკოდინამიკური თვისებები</w:t>
      </w:r>
    </w:p>
    <w:p w14:paraId="7BA652BE"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ფარმაკოთერაპიული ჯგუფი: თრომბოციტების აგრეგაციის ინჰიბიტორები, ჰეპარინის გარდა, ათქ კოდი: B01AC04.</w:t>
      </w:r>
    </w:p>
    <w:p w14:paraId="0361AD5D" w14:textId="77777777" w:rsidR="001C4453" w:rsidRPr="003B4F6E" w:rsidRDefault="001C4453" w:rsidP="003B4F6E">
      <w:pPr>
        <w:spacing w:after="0" w:line="240" w:lineRule="auto"/>
        <w:jc w:val="both"/>
        <w:rPr>
          <w:rFonts w:ascii="Sylfaen" w:hAnsi="Sylfaen"/>
          <w:noProof/>
          <w:sz w:val="20"/>
          <w:szCs w:val="20"/>
          <w:lang w:val="ka-GE"/>
        </w:rPr>
      </w:pPr>
    </w:p>
    <w:p w14:paraId="36C145C6" w14:textId="77777777" w:rsidR="00322212" w:rsidRPr="003B4F6E" w:rsidRDefault="00322212" w:rsidP="003B4F6E">
      <w:pPr>
        <w:spacing w:after="0" w:line="240" w:lineRule="auto"/>
        <w:jc w:val="both"/>
        <w:rPr>
          <w:rFonts w:ascii="Sylfaen" w:hAnsi="Sylfaen"/>
          <w:noProof/>
          <w:sz w:val="20"/>
          <w:szCs w:val="20"/>
          <w:u w:val="single"/>
          <w:lang w:val="ka-GE"/>
        </w:rPr>
      </w:pPr>
      <w:r w:rsidRPr="003B4F6E">
        <w:rPr>
          <w:rFonts w:ascii="Sylfaen" w:hAnsi="Sylfaen"/>
          <w:noProof/>
          <w:sz w:val="20"/>
          <w:szCs w:val="20"/>
          <w:u w:val="single"/>
          <w:lang w:val="ka-GE"/>
        </w:rPr>
        <w:t>მოქმედების მექანიზმი</w:t>
      </w:r>
    </w:p>
    <w:p w14:paraId="2F9E956C"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კლოპიდოგრელი არის პროწამალი, რომლის ერთ-ერთი მეტაბოლიტი თრომბოციტების აგრეგაციის ინჰიბიტორია. კლოპიდოგრელი უნდა მეტაბოლიზდეს CYP450 ფერმენტებით, რათა წარმოიქმნას აქტიური მეტაბოლიტი, რომელიც აინჰიბირებს თრომბოციტების აგრეგაციას. კლოპიდოგრელის აქტიური მეტაბოლიტი სელექციურად აინჰიბირებს ადენოზინდიფოსფატის (ADP) შეკავშირებას მის თრომბოციტების P2Y12 რეცეპტორთან და შემდგომში გლიკოპროტეინ GPIIb/IIIa კომპლექსის ADP-შუამავლობით აქტივაციას, რითაც აფერხებს თრომბოციტების აგრეგაციას. შეუქცევადი შეკავშირების გამო, თრომბოციტები დაზიანებულნი არიან მათი სიცოცხლის დარჩენილი პერიოდის განმავლობაში (დაახლოებით 7-10 დღე) და თრომბოციტების ნორმალური ფუნქციის აღდგენა ხდება თრომბოციტების მეტაბოლიზმის შესაბამისი სიჩქარით. ADP-ს გარდა სხვა აგონისტებით გამოწვეული თრომბოციტების აგრეგაცია ასევე აინჰიბირდება გამოთავისუფლებული ADP-ით თრომბოციტების აქტივაციის გაძლიერების ბლოკირებით.</w:t>
      </w:r>
    </w:p>
    <w:p w14:paraId="71D71790" w14:textId="77777777" w:rsidR="00322212" w:rsidRPr="003B4F6E" w:rsidRDefault="00322212" w:rsidP="003B4F6E">
      <w:pPr>
        <w:spacing w:after="0" w:line="240" w:lineRule="auto"/>
        <w:rPr>
          <w:rFonts w:ascii="Sylfaen" w:hAnsi="Sylfaen"/>
          <w:noProof/>
          <w:sz w:val="20"/>
          <w:szCs w:val="20"/>
          <w:lang w:val="ka-GE"/>
        </w:rPr>
      </w:pPr>
    </w:p>
    <w:p w14:paraId="63AFEC84"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lastRenderedPageBreak/>
        <w:t>რადგან აქტიური მეტაბოლიტი წარმოიქმნება CYP450 ფერმენტებით, რომელთაგან ზოგიერთი პოლიმორფულია ან სხვა სამკურნალო საშუალებებით ინჰიბირების ქვეშაა, ყველა პაციენტს არ ექნება თრომბოციტების ადეკვატური ინჰიბირება.</w:t>
      </w:r>
    </w:p>
    <w:p w14:paraId="6F1171DF" w14:textId="77777777" w:rsidR="00322212" w:rsidRPr="003B4F6E" w:rsidRDefault="00322212" w:rsidP="003B4F6E">
      <w:pPr>
        <w:spacing w:after="0" w:line="240" w:lineRule="auto"/>
        <w:jc w:val="both"/>
        <w:rPr>
          <w:rFonts w:ascii="Sylfaen" w:hAnsi="Sylfaen"/>
          <w:noProof/>
          <w:sz w:val="20"/>
          <w:szCs w:val="20"/>
          <w:lang w:val="ka-GE"/>
        </w:rPr>
      </w:pPr>
    </w:p>
    <w:p w14:paraId="0B4A63C3"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ფარმაკოდინამიკური ეფექტები</w:t>
      </w:r>
    </w:p>
    <w:p w14:paraId="59055EA6" w14:textId="40098062"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75 მგ დღეში განმეორებითი დოზები იწვევდა ADP-ით გამოწვეული თრომბოციტების აგრეგაციის მნიშვნელოვან ინჰიბირებას პირველივე დღიდან; ეს</w:t>
      </w:r>
      <w:r w:rsidR="001C4453" w:rsidRPr="003B4F6E">
        <w:rPr>
          <w:rFonts w:ascii="Sylfaen" w:hAnsi="Sylfaen"/>
          <w:noProof/>
          <w:sz w:val="20"/>
          <w:szCs w:val="20"/>
          <w:lang w:val="ka-GE"/>
        </w:rPr>
        <w:t xml:space="preserve"> </w:t>
      </w:r>
      <w:r w:rsidRPr="003B4F6E">
        <w:rPr>
          <w:rFonts w:ascii="Sylfaen" w:hAnsi="Sylfaen"/>
          <w:noProof/>
          <w:sz w:val="20"/>
          <w:szCs w:val="20"/>
          <w:lang w:val="ka-GE"/>
        </w:rPr>
        <w:t>პროგრესულად იზრდებოდა და სტაბილურ მდგომარეობას მიაღწია მე-3 და მე-7 დღეს შორის. სტაბილურ მდგომარეობაში, დღეში 75 მგ დოზით დაფიქსირებული საშუალო ინჰიბირების დონე 40%-დან 60%-მდე იყო. თრომბოციტების აგრეგაცია და სისხლდენის დრო თანდათან დაუბრუნდა საწყის მაჩვენებლებს, როგორც წესი, მკურნალობის შეწყვეტიდან 5 დღის განმავლობაში.</w:t>
      </w:r>
    </w:p>
    <w:p w14:paraId="53677CDF" w14:textId="77777777" w:rsidR="001C4453" w:rsidRPr="003B4F6E" w:rsidRDefault="001C4453" w:rsidP="003B4F6E">
      <w:pPr>
        <w:spacing w:after="0" w:line="240" w:lineRule="auto"/>
        <w:rPr>
          <w:rFonts w:ascii="Sylfaen" w:hAnsi="Sylfaen"/>
          <w:i/>
          <w:iCs/>
          <w:noProof/>
          <w:sz w:val="20"/>
          <w:szCs w:val="20"/>
          <w:lang w:val="ka-GE"/>
        </w:rPr>
      </w:pPr>
    </w:p>
    <w:p w14:paraId="3E0CD91A" w14:textId="77777777" w:rsidR="00322212" w:rsidRPr="003B4F6E" w:rsidRDefault="00322212" w:rsidP="003B4F6E">
      <w:pPr>
        <w:spacing w:after="0" w:line="240" w:lineRule="auto"/>
        <w:rPr>
          <w:rFonts w:ascii="Sylfaen" w:hAnsi="Sylfaen"/>
          <w:i/>
          <w:iCs/>
          <w:noProof/>
          <w:sz w:val="20"/>
          <w:szCs w:val="20"/>
          <w:lang w:val="ka-GE"/>
        </w:rPr>
      </w:pPr>
      <w:r w:rsidRPr="003B4F6E">
        <w:rPr>
          <w:rFonts w:ascii="Sylfaen" w:hAnsi="Sylfaen"/>
          <w:i/>
          <w:iCs/>
          <w:noProof/>
          <w:sz w:val="20"/>
          <w:szCs w:val="20"/>
          <w:lang w:val="ka-GE"/>
        </w:rPr>
        <w:t>კლინიკური ეფექტურობა და უსაფრთხოება</w:t>
      </w:r>
    </w:p>
    <w:p w14:paraId="7B91C891" w14:textId="77777777" w:rsidR="001C4453"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კლოპიდოგრელის უსაფრთხოება და ეფექტურობა შეფასდა 7 ორმაგ ბრმა კვლევაში, რომელშიც მონაწილეობდა 100,000-ზე მეტი პაციენტი:</w:t>
      </w:r>
      <w:r w:rsidR="001C4453" w:rsidRPr="003B4F6E">
        <w:rPr>
          <w:rFonts w:ascii="Sylfaen" w:hAnsi="Sylfaen"/>
          <w:noProof/>
          <w:sz w:val="20"/>
          <w:szCs w:val="20"/>
          <w:lang w:val="ka-GE"/>
        </w:rPr>
        <w:t xml:space="preserve"> </w:t>
      </w:r>
      <w:r w:rsidRPr="003B4F6E">
        <w:rPr>
          <w:rFonts w:ascii="Sylfaen" w:hAnsi="Sylfaen"/>
          <w:noProof/>
          <w:sz w:val="20"/>
          <w:szCs w:val="20"/>
          <w:lang w:val="ka-GE"/>
        </w:rPr>
        <w:t>CAPRIE კვლევა, რომელიც ადარებდა კლოპიდოგრელს აცეტილმჟავასთან და CURE, CLARITY, COMMIT, CHANCE, POINT და ACTIVE-A კვლევებში</w:t>
      </w:r>
      <w:r w:rsidR="001C4453" w:rsidRPr="003B4F6E">
        <w:rPr>
          <w:rFonts w:ascii="Sylfaen" w:hAnsi="Sylfaen"/>
          <w:noProof/>
          <w:sz w:val="20"/>
          <w:szCs w:val="20"/>
          <w:lang w:val="ka-GE"/>
        </w:rPr>
        <w:t xml:space="preserve">, </w:t>
      </w:r>
      <w:r w:rsidRPr="003B4F6E">
        <w:rPr>
          <w:rFonts w:ascii="Sylfaen" w:hAnsi="Sylfaen"/>
          <w:noProof/>
          <w:sz w:val="20"/>
          <w:szCs w:val="20"/>
          <w:lang w:val="ka-GE"/>
        </w:rPr>
        <w:t xml:space="preserve">რომლებშიც შედარდა კლოპიდოგრელი პლაცებოსთან, ორივე სამკურნალო პროდუქტი, რომელიც მიცემული იყო აცეტილმჟავასთან და სხვა სტანდარტულ თერაპიასთან ერთად. </w:t>
      </w:r>
    </w:p>
    <w:p w14:paraId="7C160873" w14:textId="77777777" w:rsidR="001C4453" w:rsidRPr="003B4F6E" w:rsidRDefault="001C4453" w:rsidP="003B4F6E">
      <w:pPr>
        <w:spacing w:after="0" w:line="240" w:lineRule="auto"/>
        <w:jc w:val="both"/>
        <w:rPr>
          <w:rFonts w:ascii="Sylfaen" w:hAnsi="Sylfaen"/>
          <w:noProof/>
          <w:sz w:val="20"/>
          <w:szCs w:val="20"/>
          <w:lang w:val="ka-GE"/>
        </w:rPr>
      </w:pPr>
    </w:p>
    <w:p w14:paraId="60041143" w14:textId="22C85FF5"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ბოლო დროს გადატანილი მიოკარდიუმის ინფარქტი (MI), ბოლო დროს გადატანილი ინსულტი ან დადგენილი პერიფერიული არტერიული დაავადება</w:t>
      </w:r>
    </w:p>
    <w:p w14:paraId="6C7C120D" w14:textId="1C29BA3D"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CAPRIE კვლევაში მონაწილეობდა 19,185 პაციენტი ათეროთრომბოზით, რაც გამოვლინდა ბოლო დროს გადატანილი მიოკარდიუმის ინფარქტით (&lt;35 დღე),</w:t>
      </w:r>
      <w:r w:rsidR="001C4453" w:rsidRPr="003B4F6E">
        <w:rPr>
          <w:rFonts w:ascii="Sylfaen" w:hAnsi="Sylfaen"/>
          <w:noProof/>
          <w:sz w:val="20"/>
          <w:szCs w:val="20"/>
          <w:lang w:val="ka-GE"/>
        </w:rPr>
        <w:t xml:space="preserve"> </w:t>
      </w:r>
      <w:r w:rsidRPr="003B4F6E">
        <w:rPr>
          <w:rFonts w:ascii="Sylfaen" w:hAnsi="Sylfaen"/>
          <w:noProof/>
          <w:sz w:val="20"/>
          <w:szCs w:val="20"/>
          <w:lang w:val="ka-GE"/>
        </w:rPr>
        <w:t>ბოლო დროს გადატანილი იშემიური ინსულტით (7 დღიდან 6 თვემდე) ან დადგენილი პერიფერიული არტერიული დაავადებით (PAD). პაციენტები რანდომიზებულნი იყვნენ კლოპიდოგრელზე 75 მგ/დღეში ან ასმზე 325 მგ/დღეში და მათზე დაკვირვება მიმდინარეობდა 1-დან 3 წლამდე. მიოკარდიუმის ინფარქტის</w:t>
      </w:r>
    </w:p>
    <w:p w14:paraId="6ECD6D56"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ქვეჯგუფში, პაციენტების უმეტესობამ მწვავე მიოკარდიუმის ინფარქტის შემდეგ პირველი რამდენიმე დღის განმავლობაში მიიღო ასმ.</w:t>
      </w:r>
    </w:p>
    <w:p w14:paraId="64663D9B" w14:textId="77777777" w:rsidR="001C4453" w:rsidRPr="003B4F6E" w:rsidRDefault="001C4453" w:rsidP="003B4F6E">
      <w:pPr>
        <w:spacing w:after="0" w:line="240" w:lineRule="auto"/>
        <w:jc w:val="both"/>
        <w:rPr>
          <w:rFonts w:ascii="Sylfaen" w:hAnsi="Sylfaen"/>
          <w:noProof/>
          <w:sz w:val="20"/>
          <w:szCs w:val="20"/>
          <w:lang w:val="ka-GE"/>
        </w:rPr>
      </w:pPr>
    </w:p>
    <w:p w14:paraId="59E87CBE"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კლოპიდოგრელმა მნიშვნელოვნად შეამცირა ახალი იშემიური მოვლენების (მიოკარდიუმის ინფარქტის, იშემიური ინსულტის და სისხლძარღვოვანი სიკვდილის კომბინირებული საბოლოო წერტილი) შემთხვევები ასმ-თან შედარებით. მკურნალობის განზრახვის ანალიზში, კლოპიდოგრელის ჯგუფში დაფიქსირდა 939 შემთხვევა, ხოლო ასპირინის ჯგუფში - 1020 შემთხვევა (შეფარდებითი რისკის შემცირება (RRR) 8.7%, [95% CI: 0.2-დან 16.4-მდე]; p=0.045), რაც შეესაბამება 2 წლის განმავლობაში ნამკურნალებ ყოველ 1000 პაციენტზე დამატებით 10 [CI: 0-დან 20-მდე] პაციენტს, რომლებიც თავიდან აიცილეს ახალი იშემიური მოვლენის განვითარება. საერთო სიკვდილიანობის, როგორც მეორადი საბოლოო წერტილის, ანალიზმა არ აჩვენა რაიმე მნიშვნელოვანი განსხვავება კლოპიდოგრელს (5.8%) და ასპირინს (6.0%) შორის.</w:t>
      </w:r>
    </w:p>
    <w:p w14:paraId="258E5FCE" w14:textId="77777777" w:rsidR="001C4453" w:rsidRPr="003B4F6E" w:rsidRDefault="001C4453" w:rsidP="003B4F6E">
      <w:pPr>
        <w:spacing w:after="0" w:line="240" w:lineRule="auto"/>
        <w:rPr>
          <w:rFonts w:ascii="Sylfaen" w:hAnsi="Sylfaen"/>
          <w:noProof/>
          <w:sz w:val="20"/>
          <w:szCs w:val="20"/>
          <w:lang w:val="ka-GE"/>
        </w:rPr>
      </w:pPr>
    </w:p>
    <w:p w14:paraId="1C141618" w14:textId="77777777" w:rsidR="001C4453"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კვალიფიკაციის მქონე მდგომარეობის მიხედვით ქვეჯგუფის ანალიზში (მიოკარდიუმის ინფარქტი, იშემიური ინსულტი და პერიფერიული არტერიული დაავადება), სარგებელი ყველაზე ძლიერი (სტატისტიკურად მნიშვნელოვანი p=0.003-ზე) აღმოჩნდა პერიფერიული არტერიული დაავადების გამო ჩარიცხულ პაციენტებში (განსაკუთრებით მათში, ვისაც ასევე ჰქონდა მიოკარდიუმის ინფარქტის ისტორია) (RRR = 23.7%; CI: 8.9-დან 36.2-მდე) და უფრო სუსტი (მნიშვნელოვნად არ განსხვავდებოდა ასპირინის შემცველი პრეპარატებისგან) ინსულტის მქონე პაციენტებში (RRR = 7.3%; CI: -5.7-დან 18.7-მდე [p=0.258]). კვლევაში მხოლოდ ბოლო დროს გადატანილი მიოკარდიუმის ინფარქტის საფუძველზე ჩარიცხულ პაციენტებში, კლოპიდოგრელი რიცხობრივად ჩამორჩებოდა, მაგრამ სტატისტიკურად არ განსხვავდებოდა ასპირინის შემცველი პრეპარატებისგან (RRR = -4.0%; CI: -22.5-დან 11.7-მდე [p=0.639]). გარდა ამისა, ასაკის მიხედვით ქვეჯგუფის ანალიზმა აჩვენა, რომ 75 წელზე უფროსი ასაკის პაციენტებში კლოპიდოგრელის სარგებელი ნაკლები იყო, ვიდრე 75 წელზე უფროსი ასაკის პაციენტებში. </w:t>
      </w:r>
    </w:p>
    <w:p w14:paraId="262B67C0" w14:textId="77777777" w:rsidR="001C4453" w:rsidRPr="003B4F6E" w:rsidRDefault="001C4453" w:rsidP="003B4F6E">
      <w:pPr>
        <w:spacing w:after="0" w:line="240" w:lineRule="auto"/>
        <w:jc w:val="both"/>
        <w:rPr>
          <w:rFonts w:ascii="Sylfaen" w:hAnsi="Sylfaen"/>
          <w:noProof/>
          <w:sz w:val="20"/>
          <w:szCs w:val="20"/>
          <w:lang w:val="ka-GE"/>
        </w:rPr>
      </w:pPr>
    </w:p>
    <w:p w14:paraId="470672A5" w14:textId="49A0500A"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ვინაიდან CAPRIE კვლევა არ იყო გათვალისწინებული ცალკეული ქვეჯგუფების ეფექტურობის შესაფასებლად, გაურკვეველია, რეალურია თუ არა შეფარდებითი რისკის შემცირების განსხვავებები კვალიფიკაციის პირობებში, თუ შემთხვევითობის შედეგია.</w:t>
      </w:r>
    </w:p>
    <w:p w14:paraId="6E2AD136" w14:textId="77777777" w:rsidR="001C4453" w:rsidRPr="003B4F6E" w:rsidRDefault="001C4453" w:rsidP="003B4F6E">
      <w:pPr>
        <w:spacing w:after="0" w:line="240" w:lineRule="auto"/>
        <w:jc w:val="both"/>
        <w:rPr>
          <w:rFonts w:ascii="Sylfaen" w:hAnsi="Sylfaen"/>
          <w:i/>
          <w:iCs/>
          <w:noProof/>
          <w:sz w:val="20"/>
          <w:szCs w:val="20"/>
          <w:lang w:val="ka-GE"/>
        </w:rPr>
      </w:pPr>
    </w:p>
    <w:p w14:paraId="5D68F3D0"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მწვავე კორონარული სინდრომი</w:t>
      </w:r>
    </w:p>
    <w:p w14:paraId="1E5E6488"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CURE კვლევაში მონაწილეობდა 12,562 პაციენტი ST სეგმენტის აწევის გარეშე მწვავე კორონარული სინდრომით (არასტაბილური სტენოკარდია ან Q-ტალღის გარეშე მიოკარდიუმის ინფარქტი) და რომლებიც გულმკერდის ტკივილის </w:t>
      </w:r>
      <w:r w:rsidRPr="003B4F6E">
        <w:rPr>
          <w:rFonts w:ascii="Sylfaen" w:hAnsi="Sylfaen"/>
          <w:noProof/>
          <w:sz w:val="20"/>
          <w:szCs w:val="20"/>
          <w:lang w:val="ka-GE"/>
        </w:rPr>
        <w:lastRenderedPageBreak/>
        <w:t>ბოლო ეპიზოდის ან იშემიის შესაბამისი სიმპტომების დაწყებიდან 24 საათის განმავლობაში გამოჩნდნენ. პაციენტებს უნდა ჰქონოდათ ან ეკგ ცვლილებები, რომლებიც თავსებადი იყო ახალ იშემიასთან, ან გულის ფერმენტების ან ტროპონინ I-ის ან T-ის მომატებული დონე ნორმის ზედა ზღვარზე მინიმუმ ორჯერ. პაციენტები შემთხვევითი შერჩევის პრინციპით შეირჩნენ კლოპიდოგრელზე (300 მგ დატვირთვის დოზა, რასაც მოჰყვებოდა 75 მგ/დღეში, N=6,259) ან პლაცებოზე (N=6,303), ორივე მიცემული იყო აცეტილსალიცილის მჟავასთან (75-325 მგ დღეში ერთხელ) და სხვა სტანდარტულ თერაპიებთან კომბინაციაში. პაციენტები მკურნალობდნენ ერთ წლამდე. CURE კვლევაში, 823 (6.6%) პაციენტმა მიიღო GPIIb/IIIa რეცეპტორების ანტაგონისტური თერაპია. პაციენტების 90%-ზე მეტს დაენიშნა ჰეპარინი და კლოპიდოგრელსა და პლაცებოს შორის სისხლდენის ფარდობითი მაჩვენებელი მნიშვნელოვნად არ შეცვლილა ჰეპარინის თანმხლები თერაპიის შედეგად.</w:t>
      </w:r>
    </w:p>
    <w:p w14:paraId="26437373" w14:textId="77777777" w:rsidR="00322212" w:rsidRPr="003B4F6E" w:rsidRDefault="00322212" w:rsidP="003B4F6E">
      <w:pPr>
        <w:spacing w:after="0" w:line="240" w:lineRule="auto"/>
        <w:jc w:val="both"/>
        <w:rPr>
          <w:rFonts w:ascii="Sylfaen" w:hAnsi="Sylfaen"/>
          <w:noProof/>
          <w:sz w:val="20"/>
          <w:szCs w:val="20"/>
          <w:lang w:val="ka-GE"/>
        </w:rPr>
      </w:pPr>
    </w:p>
    <w:p w14:paraId="00BC2E66" w14:textId="77777777" w:rsidR="001C4453"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პაციენტთა რაოდენობა, რომლებსაც აღენიშნებოდათ პირველადი საბოლოო წერტილი [გულ-სისხლძარღვთა (CV) სიკვდილი, მიოკარდიუმის ინფარქტი (MI) ან ინსულტი], იყო 582 (9.3%) კლოპიდოგრელით ნამკურნალებ ჯგუფში და 719 (11.4%) პლაცებოთი ნამკურნალებ ჯგუფში, რაც წარმოადგენს 20%-იან ფარდობითი რისკის შემცირებას (95%-იანი CI 10%-28%; p=0.00009) კლოპიდოგრელით ნამკურნალებ ჯგუფში (17%-იანი ფარდობითი რისკის შემცირება, როდესაც პაციენტები მკურნალობდნენ კონსერვატიულად, 29%-იანი, როდესაც მათ ჩაუტარდათ პერკუტანული ტრანსლუმინალური კორონარული ანგიოპლასტიკა (PTCA) სტენტით ან მის გარეშე და 10%-იანი, როდესაც მათ ჩაუტარდათ კორონარული არტერიის შუნტირება (CABG)). ახალი გულ-სისხლძარღვთა მოვლენების (პირველადი საბოლოო წერტილი) თავიდან აცილება მოხდა, ფარდობითი რისკის შემცირებით 22%-ით (CI: 8.6, 33.4), 32%-ით (CI: 12.8, 46.4), 4%-ით (CI: -26.9, 26.7), 6%-ით (CI: -33.5, 34.3) და 14%-ით (CI: -31.6, 44.2), შესაბამისად, 0-1, 1-3, 3-6, 6-9 და 9-12-თვიანი კვლევის ინტერვალების განმავლობაში. ამრიგად, მკურნალობის 3 თვის შემდეგ, კლოპიდოგრელის + აცეტილსალიცილის მჟავას ჯგუფში დაფიქსირებული სარგებელი კიდევ უფრო არ გაზრდილა, ხოლო სისხლდენის რისკი გაგრძელდა (იხ. ნაწილი 4.4). </w:t>
      </w:r>
    </w:p>
    <w:p w14:paraId="6C61BFFF" w14:textId="77777777" w:rsidR="001C4453" w:rsidRPr="003B4F6E" w:rsidRDefault="001C4453" w:rsidP="003B4F6E">
      <w:pPr>
        <w:spacing w:after="0" w:line="240" w:lineRule="auto"/>
        <w:jc w:val="both"/>
        <w:rPr>
          <w:rFonts w:ascii="Sylfaen" w:hAnsi="Sylfaen"/>
          <w:noProof/>
          <w:sz w:val="20"/>
          <w:szCs w:val="20"/>
          <w:lang w:val="ka-GE"/>
        </w:rPr>
      </w:pPr>
    </w:p>
    <w:p w14:paraId="04B0C58B" w14:textId="4E4C9E4D"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კლოპიდოგრელის გამოყენება CURE-ში ასოცირებული იყო თრომბოლიზური თერაპიის საჭიროების შემცირებასთან (RRR = 43.3%; CI: 24.3%, 57.5%) და GPIIb/IIIa ინჰიბიტორების (RRR = 18.2%; CI: 6.5%, 28.3%).</w:t>
      </w:r>
    </w:p>
    <w:p w14:paraId="567A2DB9" w14:textId="77777777" w:rsidR="001C4453" w:rsidRPr="003B4F6E" w:rsidRDefault="001C4453" w:rsidP="003B4F6E">
      <w:pPr>
        <w:spacing w:after="0" w:line="240" w:lineRule="auto"/>
        <w:jc w:val="both"/>
        <w:rPr>
          <w:rFonts w:ascii="Sylfaen" w:hAnsi="Sylfaen"/>
          <w:noProof/>
          <w:sz w:val="20"/>
          <w:szCs w:val="20"/>
          <w:lang w:val="ka-GE"/>
        </w:rPr>
      </w:pPr>
    </w:p>
    <w:p w14:paraId="0C9712E8"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თანაპირველადი საბოლოო წერტილის (გულ-სისხლძარღვთა სიკვდილი, მიოკარდიუმის ინფარქტი, ინსულტი ან რეფრაქტერული იშემია) მქონე პაციენტთა რაოდენობა კლოპიდოგრელით ნამკურნალებ ჯგუფში იყო 1,035 (16.5%) და პლაცებოთი ნამკურნალებ ჯგუფში 1,187 (18.8%), რაც კლოპიდოგრელით ნამკურნალებ ჯგუფში ფარდობითი რისკის 14%-იან შემცირებას წარმოადგენს (95% CI 6%-21%, p=0.0005). ეს სარგებელი ძირითადად განპირობებული იყო მიოკარდიუმის ინფარქტის შემთხვევების სტატისტიკურად მნიშვნელოვანი შემცირებით [287 (4.6%) კლოპიდოგრელით ნამკურნალებ ჯგუფში და 363 (5.8%) პლაცებოთი ნამკურნალებ ჯგუფში]. არასტაბილური სტენოკარდიის დროს ხელახალი ჰოსპიტალიზაციის მაჩვენებელზე არანაირი გავლენა არ დაფიქსირებულა.</w:t>
      </w:r>
    </w:p>
    <w:p w14:paraId="2AAD5B11" w14:textId="77777777" w:rsidR="001C4453" w:rsidRPr="003B4F6E" w:rsidRDefault="001C4453" w:rsidP="003B4F6E">
      <w:pPr>
        <w:spacing w:after="0" w:line="240" w:lineRule="auto"/>
        <w:jc w:val="both"/>
        <w:rPr>
          <w:rFonts w:ascii="Sylfaen" w:hAnsi="Sylfaen"/>
          <w:noProof/>
          <w:sz w:val="20"/>
          <w:szCs w:val="20"/>
          <w:lang w:val="ka-GE"/>
        </w:rPr>
      </w:pPr>
    </w:p>
    <w:p w14:paraId="58B652BB" w14:textId="77777777" w:rsidR="001C4453"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სხვადასხვა მახასიათებლების მქონე პოპულაციებში მიღებული შედეგები (მაგ. არასტაბილური სტენოკარდია ან არა-Q ტალღოვანი მიოკარდიუმის ინფარქტი, დაბალიდან მაღალი რისკის დონემდე, დიაბეტი, რევასკულარიზაციის საჭიროება, ასაკი, სქესი და ა.შ.) შეესაბამებოდა პირველადი ანალიზის შედეგებს.</w:t>
      </w:r>
      <w:r w:rsidR="001C4453" w:rsidRPr="003B4F6E">
        <w:rPr>
          <w:rFonts w:ascii="Sylfaen" w:hAnsi="Sylfaen"/>
          <w:noProof/>
          <w:sz w:val="20"/>
          <w:szCs w:val="20"/>
          <w:lang w:val="ka-GE"/>
        </w:rPr>
        <w:t xml:space="preserve"> </w:t>
      </w:r>
      <w:r w:rsidRPr="003B4F6E">
        <w:rPr>
          <w:rFonts w:ascii="Sylfaen" w:hAnsi="Sylfaen"/>
          <w:noProof/>
          <w:sz w:val="20"/>
          <w:szCs w:val="20"/>
          <w:lang w:val="ka-GE"/>
        </w:rPr>
        <w:t>კერძოდ, 2,172 პაციენტზე (CURE პოპულაციის 17%) ჩატარებულ პოსტ-ჰოკ ანალიზში, რომლებსაც ჩაუტარდათ სტენტის ჩადგმა (Stent-CURE), მონაცემებმა აჩვენა, რომ კლოპიდოგრელმა პლაცებოსთან შედარებით აჩვენა მნიშვნელოვანი RRR 26.2%-ით, რაც ემხრობოდა კლოპიდოგრელს თანაპირველადი საბოლოო წერტილისთვის (გულ-სისხლძარღვთა სიკვდილი, მიოკარდიუმის ინფარქტი, ინსულტი) და ასევე მნიშვნელოვანი RRR 23.9%-ით მეორე თანაპირველადი საბოლოო წერტილისთვის (გულ-სისხლძარღვთა სიკვდილი, მიოკარდიუმის ინფარქტი, ინსულტი ან რეფრაქტერული იშემია). გარდა ამისა, პაციენტთა ამ ქვეჯგუფში კლოპიდოგრელის უსაფრთხოების პროფილმა</w:t>
      </w:r>
      <w:r w:rsidR="001C4453" w:rsidRPr="003B4F6E">
        <w:rPr>
          <w:rFonts w:ascii="Sylfaen" w:hAnsi="Sylfaen"/>
          <w:noProof/>
          <w:sz w:val="20"/>
          <w:szCs w:val="20"/>
          <w:lang w:val="ka-GE"/>
        </w:rPr>
        <w:t xml:space="preserve"> </w:t>
      </w:r>
      <w:r w:rsidRPr="003B4F6E">
        <w:rPr>
          <w:rFonts w:ascii="Sylfaen" w:hAnsi="Sylfaen"/>
          <w:noProof/>
          <w:sz w:val="20"/>
          <w:szCs w:val="20"/>
          <w:lang w:val="ka-GE"/>
        </w:rPr>
        <w:t xml:space="preserve">არ გამოიწვია რაიმე განსაკუთრებული შეშფოთება. ამრიგად, ამ ქვეჯგუფის შედეგები შეესაბამება კვლევის საერთო შედეგებს. </w:t>
      </w:r>
    </w:p>
    <w:p w14:paraId="7BE4A18C" w14:textId="77777777" w:rsidR="001C4453" w:rsidRPr="003B4F6E" w:rsidRDefault="001C4453" w:rsidP="003B4F6E">
      <w:pPr>
        <w:spacing w:after="0" w:line="240" w:lineRule="auto"/>
        <w:jc w:val="both"/>
        <w:rPr>
          <w:rFonts w:ascii="Sylfaen" w:hAnsi="Sylfaen"/>
          <w:noProof/>
          <w:sz w:val="20"/>
          <w:szCs w:val="20"/>
          <w:lang w:val="ka-GE"/>
        </w:rPr>
      </w:pPr>
    </w:p>
    <w:p w14:paraId="56B8E00A" w14:textId="6590B7B6"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კლოპიდოგრელის გამოყენებისას დაფიქსირებული სარგებელი დამოუკიდებელი იყო სხვა მწვავე და ხანგრძლივი გულ-სისხლძარღვთა თერაპიებისგან (როგორიცაა ჰეპარინი/LMWH, GPIIb/IIIa ანტაგონისტები, ლიპიდების დამწევი სამკურნალო საშუალებები, ბეტა-ბლოკატორები და აგფ-ინჰიბიტორები). კლოპიდოგრელის ეფექტურობა დაფიქსირებული იყო აცეტილსალიცილის მჟავის დოზისგან დამოუკიდებლად (75-325 მგ დღეში ერთხელ).</w:t>
      </w:r>
    </w:p>
    <w:p w14:paraId="205D34DD" w14:textId="77777777" w:rsidR="001C4453" w:rsidRPr="003B4F6E" w:rsidRDefault="001C4453" w:rsidP="003B4F6E">
      <w:pPr>
        <w:spacing w:after="0" w:line="240" w:lineRule="auto"/>
        <w:rPr>
          <w:rFonts w:ascii="Sylfaen" w:hAnsi="Sylfaen"/>
          <w:noProof/>
          <w:sz w:val="20"/>
          <w:szCs w:val="20"/>
          <w:lang w:val="ka-GE"/>
        </w:rPr>
      </w:pPr>
    </w:p>
    <w:p w14:paraId="0D77BC19" w14:textId="77777777" w:rsidR="00322212" w:rsidRPr="003B4F6E" w:rsidRDefault="00322212" w:rsidP="003B4F6E">
      <w:pPr>
        <w:spacing w:after="0" w:line="240" w:lineRule="auto"/>
        <w:rPr>
          <w:rFonts w:ascii="Sylfaen" w:hAnsi="Sylfaen"/>
          <w:noProof/>
          <w:sz w:val="20"/>
          <w:szCs w:val="20"/>
          <w:u w:val="single"/>
          <w:lang w:val="ka-GE"/>
        </w:rPr>
      </w:pPr>
      <w:r w:rsidRPr="003B4F6E">
        <w:rPr>
          <w:rFonts w:ascii="Sylfaen" w:hAnsi="Sylfaen"/>
          <w:noProof/>
          <w:sz w:val="20"/>
          <w:szCs w:val="20"/>
          <w:u w:val="single"/>
          <w:lang w:val="ka-GE"/>
        </w:rPr>
        <w:t>ST სეგმენტის აწევით მიოკარდიუმის ინფარქტი</w:t>
      </w:r>
    </w:p>
    <w:p w14:paraId="4577C41A"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lastRenderedPageBreak/>
        <w:t>ST სეგმენტის აწევით მწვავე მიოკარდიუმის ინფარქტის (STEMI) მქონე პაციენტებში კლოპიდოგრელის უსაფრთხოება და ეფექტურობა შეფასდა 2 რანდომიზებულ, პლაცებო-კონტროლირებად, ორმაგ ბრმა კვლევაში: CLARITY, CLARITY-ის (CLARITY PCI) პერსპექტიული ქვეჯგუფის ანალიზი და COMMIT.</w:t>
      </w:r>
    </w:p>
    <w:p w14:paraId="30B87EC4" w14:textId="77777777" w:rsidR="001C4453" w:rsidRPr="003B4F6E" w:rsidRDefault="001C4453" w:rsidP="003B4F6E">
      <w:pPr>
        <w:spacing w:after="0" w:line="240" w:lineRule="auto"/>
        <w:jc w:val="both"/>
        <w:rPr>
          <w:rFonts w:ascii="Sylfaen" w:hAnsi="Sylfaen"/>
          <w:noProof/>
          <w:sz w:val="20"/>
          <w:szCs w:val="20"/>
          <w:lang w:val="ka-GE"/>
        </w:rPr>
      </w:pPr>
    </w:p>
    <w:p w14:paraId="1CB9F681" w14:textId="77777777" w:rsidR="001C4453"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CLARITY კვლევაში მონაწილეობდა 3,491 პაციენტი, რომლებიც ST სეგმენტის აწევით მიოკარდიუმის ინფარქტის დაწყებიდან 12 საათის განმავლობაში მიმართეს და თრომბოლიზური თერაპიისთვის იგეგმებოდა. პაციენტებმა მიიღეს კლოპიდოგრელი (300 მგ დატვირთვის დოზა, შემდეგ 75 მგ/დღეში, n=1,752) ან პლაცებო (n=1,739), ორივე აცეტილმჟავასთან (150-დან 325 მგ-მდე დატვირთვის დოზად, შემდეგ 75-დან 162 მგ/დღეში), ფიბრინოლიზურ აგენტთან და, საჭიროების შემთხვევაში, ჰეპარინთან კომბინაციაში. პაციენტები დაკვირვების ქვეშ იმყოფებოდნენ 30 დღის განმავლობაში. პირველადი საბოლოო წერტილი იყო გაწერისწინა ანგიოგრამაზე ინფარქტთან დაკავშირებული არტერიის ოკლუზიის არსებობა, ან კორონარული ანგიოგრაფიის წინ სიკვდილი ან მიოკარდიუმის ინფარქტის რეციდივი. იმ პაციენტებისთვის, რომლებსაც ანგიოგრაფია არ ჩაუტარდათ, პირველადი საბოლოო წერტილი იყო სიკვდილი ან მიოკარდიუმის ინფარქტის რეციდივი მე-8 დღისთვის ან საავადმყოფოდან გაწერის დროისთვის. პაციენტთა პოპულაცია მოიცავდა ქალებს 19.7% და 65 წელზე უფროსი ასაკის პაციენტების 29.2%. პაციენტთა 99.7%-მა მიიღო ფიბრინოლიზური საშუალებები (ფიბრინ-სპეციფიკური: 68.7%, არაფიბრინ-სპეციფიკური: 31.1%), ჰეპარინი 89.5%, ბეტა-ბლოკატორები 78.7%, აგფ ინჰიბიტორების 54.7% და სტატინები 63%. </w:t>
      </w:r>
    </w:p>
    <w:p w14:paraId="1BD46F07" w14:textId="77777777" w:rsidR="001C4453" w:rsidRPr="003B4F6E" w:rsidRDefault="001C4453" w:rsidP="003B4F6E">
      <w:pPr>
        <w:spacing w:after="0" w:line="240" w:lineRule="auto"/>
        <w:rPr>
          <w:rFonts w:ascii="Sylfaen" w:hAnsi="Sylfaen"/>
          <w:noProof/>
          <w:sz w:val="20"/>
          <w:szCs w:val="20"/>
          <w:lang w:val="ka-GE"/>
        </w:rPr>
      </w:pPr>
    </w:p>
    <w:p w14:paraId="70A0ABBF" w14:textId="5F65A5B4"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კლოპიდოგრელის ჯგუფში პაციენტების თხუთმეტმა პროცენტმა (15.0%) და პლაცებოს ჯგუფში პაციენტების 21.7%-მა მიაღწია პირველად საბოლოო წერტილს,</w:t>
      </w:r>
      <w:r w:rsidR="001C4453" w:rsidRPr="003B4F6E">
        <w:rPr>
          <w:rFonts w:ascii="Sylfaen" w:hAnsi="Sylfaen"/>
          <w:noProof/>
          <w:sz w:val="20"/>
          <w:szCs w:val="20"/>
          <w:lang w:val="ka-GE"/>
        </w:rPr>
        <w:t xml:space="preserve"> </w:t>
      </w:r>
      <w:r w:rsidRPr="003B4F6E">
        <w:rPr>
          <w:rFonts w:ascii="Sylfaen" w:hAnsi="Sylfaen"/>
          <w:noProof/>
          <w:sz w:val="20"/>
          <w:szCs w:val="20"/>
          <w:lang w:val="ka-GE"/>
        </w:rPr>
        <w:t>რაც წარმოადგენს 6.7%-იან აბსოლუტურ შემცირებას და კლოპიდოგრელის სასარგებლოდ შანსების 36%-იან შემცირებას (95% CI: 24, 47%; p &lt; 0.001),</w:t>
      </w:r>
      <w:r w:rsidR="001C4453" w:rsidRPr="003B4F6E">
        <w:rPr>
          <w:rFonts w:ascii="Sylfaen" w:hAnsi="Sylfaen"/>
          <w:noProof/>
          <w:sz w:val="20"/>
          <w:szCs w:val="20"/>
          <w:lang w:val="ka-GE"/>
        </w:rPr>
        <w:t xml:space="preserve"> </w:t>
      </w:r>
      <w:r w:rsidRPr="003B4F6E">
        <w:rPr>
          <w:rFonts w:ascii="Sylfaen" w:hAnsi="Sylfaen"/>
          <w:noProof/>
          <w:sz w:val="20"/>
          <w:szCs w:val="20"/>
          <w:lang w:val="ka-GE"/>
        </w:rPr>
        <w:t>ძირითადად დაკავშირებული იყო ინფარქტთან დაკავშირებული არტერიების ოკლუზიის შემცირებასთან. ეს სარგებელი თანმიმდევრული იყო ყველა წინასწარ განსაზღვრულ ქვეჯგუფში,</w:t>
      </w:r>
      <w:r w:rsidR="001C4453" w:rsidRPr="003B4F6E">
        <w:rPr>
          <w:rFonts w:ascii="Sylfaen" w:hAnsi="Sylfaen"/>
          <w:noProof/>
          <w:sz w:val="20"/>
          <w:szCs w:val="20"/>
          <w:lang w:val="ka-GE"/>
        </w:rPr>
        <w:t xml:space="preserve"> </w:t>
      </w:r>
      <w:r w:rsidRPr="003B4F6E">
        <w:rPr>
          <w:rFonts w:ascii="Sylfaen" w:hAnsi="Sylfaen"/>
          <w:noProof/>
          <w:sz w:val="20"/>
          <w:szCs w:val="20"/>
          <w:lang w:val="ka-GE"/>
        </w:rPr>
        <w:t>მათ შორის პაციენტების ასაკი და სქესი, ინფარქტის ადგილმდებარეობა და გამოყენებული ფიბრინოლიზური ან ჰეპარინის ტიპი.</w:t>
      </w:r>
    </w:p>
    <w:p w14:paraId="71225EB6" w14:textId="77777777" w:rsidR="001C4453" w:rsidRPr="003B4F6E" w:rsidRDefault="001C4453" w:rsidP="003B4F6E">
      <w:pPr>
        <w:spacing w:after="0" w:line="240" w:lineRule="auto"/>
        <w:jc w:val="both"/>
        <w:rPr>
          <w:rFonts w:ascii="Sylfaen" w:hAnsi="Sylfaen"/>
          <w:noProof/>
          <w:sz w:val="20"/>
          <w:szCs w:val="20"/>
          <w:lang w:val="ka-GE"/>
        </w:rPr>
      </w:pPr>
    </w:p>
    <w:p w14:paraId="5EE9BA8B"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b/>
          <w:bCs/>
          <w:noProof/>
          <w:sz w:val="20"/>
          <w:szCs w:val="20"/>
          <w:lang w:val="ka-GE"/>
        </w:rPr>
        <w:t>CLARITY PCI</w:t>
      </w:r>
      <w:r w:rsidRPr="003B4F6E">
        <w:rPr>
          <w:rFonts w:ascii="Sylfaen" w:hAnsi="Sylfaen"/>
          <w:noProof/>
          <w:sz w:val="20"/>
          <w:szCs w:val="20"/>
          <w:lang w:val="ka-GE"/>
        </w:rPr>
        <w:t xml:space="preserve"> ქვეჯგუფის ანალიზში მონაწილეობდა 1863 STEMI პაციენტი, რომლებიც იტარებდნენ PCI-ს. პაციენტებს, რომლებიც იღებდნენ კლოპიდოგრელის 300 მგ დატვირთვის დოზას (LD) (n=933), აღენიშნებოდათ გულ-სისხლძარღვთა სიკვდილის, მიოკარდიუმის ინფარქტის ან ინსულტის შემთხვევების მნიშვნელოვანი შემცირება პლაცებოს მიმღებ პაციენტებთან შედარებით (n=930) (კლოპიდოგრელის წინასწარი მკურნალობის მქონე პაციენტების 3.6% პლაცებოს 6.2%-ის წინააღმდეგ, OR: 0.54; 95% CI: 0.35-0.85; p=0.008). პაციენტებს, რომლებიც იღებდნენ კლოპიდოგრელის 300 მგ LD, აღენიშნებოდათ გულ-სისხლძარღვთა სიკვდილის, მიოკარდიუმის ინფარქტის ან ინსულტის შემთხვევების მნიშვნელოვანი შემცირება PCI-დან 30 დღის განმავლობაში პლაცებოს მიმღებ პაციენტებთან შედარებით (კლოპიდოგრელის წინასწარი მკურნალობის მქონე პაციენტების 7.5% პლაცებოს 12.0%-ის წინააღმდეგ, OR: 0.59; 95% CI: 0.43-0.81; p=0.001). თუმცა, CLARITY კვლევის საერთო პოპულაციაში შეფასებისას, ეს კომბინირებული საბოლოო წერტილი არ იყო სტატისტიკურად მნიშვნელოვანი, როგორც მეორადი საბოლოო წერტილი. ორივე მკურნალობას შორის დიდი ან მცირე სისხლდენის მაჩვენებლებში მნიშვნელოვანი განსხვავება არ დაფიქსირებულა (2.0% კლოპიდოგრელით წინასწარი მკურნალობის დროს პლაცებოთი 1.9%-ის წინააღმდეგ, p&gt;0.99). ამ ანალიზის შედეგები ადასტურებს კლოპიდოგრელის დატვირთვის დოზის ადრეულ გამოყენებას STEMI-ის დროს და კლოპიდოგრელით წინასწარი მკურნალობის რუტინულ სტრატეგიას პაციენტებში, რომლებსაც უტარდებოდათ PCI.</w:t>
      </w:r>
    </w:p>
    <w:p w14:paraId="4707C867" w14:textId="77777777" w:rsidR="001C4453" w:rsidRPr="003B4F6E" w:rsidRDefault="001C4453" w:rsidP="003B4F6E">
      <w:pPr>
        <w:spacing w:after="0" w:line="240" w:lineRule="auto"/>
        <w:jc w:val="both"/>
        <w:rPr>
          <w:rFonts w:ascii="Sylfaen" w:hAnsi="Sylfaen"/>
          <w:noProof/>
          <w:sz w:val="20"/>
          <w:szCs w:val="20"/>
          <w:lang w:val="ka-GE"/>
        </w:rPr>
      </w:pPr>
    </w:p>
    <w:p w14:paraId="47A63F96" w14:textId="77777777" w:rsidR="00322212" w:rsidRPr="003B4F6E" w:rsidRDefault="00322212" w:rsidP="003B4F6E">
      <w:pPr>
        <w:spacing w:after="0" w:line="240" w:lineRule="auto"/>
        <w:jc w:val="both"/>
        <w:rPr>
          <w:rFonts w:ascii="Sylfaen" w:hAnsi="Sylfaen"/>
          <w:noProof/>
          <w:color w:val="3366FF"/>
          <w:sz w:val="20"/>
          <w:szCs w:val="20"/>
          <w:lang w:val="ka-GE"/>
        </w:rPr>
      </w:pPr>
      <w:r w:rsidRPr="003B4F6E">
        <w:rPr>
          <w:rFonts w:ascii="Sylfaen" w:hAnsi="Sylfaen"/>
          <w:noProof/>
          <w:sz w:val="20"/>
          <w:szCs w:val="20"/>
          <w:lang w:val="ka-GE"/>
        </w:rPr>
        <w:t>2x2 ფაქტორული დიზაინის COMMIT კვლევაში მონაწილეობდა 45,852 პაციენტი, რომლებიც მიოკარდიუმის ინფარქტის საეჭვო სიმპტომების დაწყებიდან 24 საათის განმავლობაში გამოჩნდნენ დამხმარე ეკგ-ს დარღვევებით (მაგ. ST სეგმენტის ელევაცია, ST სეგმენტის დეპრესია ან მარცხენა შეკვრის ტოტის ბლოკადა). პაციენტებმა მიიღეს კლოპიდოგრელი (75 მგ/დღეში, n=22,961) ან პლაცებო (n=22,891), ასპირინთან (162 მგ/დღეში) კომბინაციაში, 28 დღის განმავლობაში ან საავადმყოფოდან გაწერამდე. თანაპირველადი საბოლოო წერტილები იყო სიკვდილი ნებისმიერი მიზეზით და ხელახალი ინფარქტის, ინსულტის ან სიკვდილის პირველი შემთხვევა. პოპულაცია მოიცავდა ქალების 27.8%-ს, 60 წელზე ≥ ასაკის პაციენტების 58.4%-ს (70 წელზე ≥ ასაკის პაციენტების 26%) და ფიბრინოლიზური პრეპარატების მიმღები პაციენტების 54.5%-ს. კლოპიდოგრელმა მნიშვნელოვნად შეამცირა ნებისმიერი მიზეზით გამოწვეული სიკვდილის ფარდობითი რისკი 7%-ით (p=0.029) და ხელახალი ინფარქტის, ინსულტის ან სიკვდილის კომბინაციის ფარდობითი რისკი 9%-ით (p=0.002), რაც წარმოადგენს აბსოლუტურ შემცირებას შესაბამისად 0.5%-ით და 0.9%-ით. ეს სარგებელი თანმიმდევრული იყო ასაკის, სქესის მიხედვით, ფიბრინოლიზური პრეპარატებით ან მათ გარეშე და დაფიქსირდა 24 საათის შემდეგ.</w:t>
      </w:r>
    </w:p>
    <w:p w14:paraId="4FE23635" w14:textId="77777777" w:rsidR="00322212" w:rsidRPr="003B4F6E" w:rsidRDefault="00322212" w:rsidP="003B4F6E">
      <w:pPr>
        <w:spacing w:after="0" w:line="240" w:lineRule="auto"/>
        <w:rPr>
          <w:rFonts w:ascii="Sylfaen" w:hAnsi="Sylfaen"/>
          <w:noProof/>
          <w:sz w:val="20"/>
          <w:szCs w:val="20"/>
          <w:u w:val="single"/>
          <w:lang w:val="ka-GE"/>
        </w:rPr>
      </w:pPr>
      <w:r w:rsidRPr="003B4F6E">
        <w:rPr>
          <w:rFonts w:ascii="Sylfaen" w:hAnsi="Sylfaen"/>
          <w:noProof/>
          <w:sz w:val="20"/>
          <w:szCs w:val="20"/>
          <w:u w:val="single"/>
          <w:lang w:val="ka-GE"/>
        </w:rPr>
        <w:lastRenderedPageBreak/>
        <w:t>კლოპიდოგრელის 600 მგ დატვირთვის დოზა მწვავე კორონარული სინდრომის მქონე პაციენტებში, რომლებსაც უტარდებათ პერორალური კორონარული ინფარქტი</w:t>
      </w:r>
    </w:p>
    <w:p w14:paraId="3D7331E9" w14:textId="77777777" w:rsidR="00D8164A" w:rsidRPr="003B4F6E" w:rsidRDefault="00322212" w:rsidP="003B4F6E">
      <w:pPr>
        <w:spacing w:after="0" w:line="240" w:lineRule="auto"/>
        <w:rPr>
          <w:rFonts w:ascii="Sylfaen" w:hAnsi="Sylfaen"/>
          <w:noProof/>
          <w:sz w:val="20"/>
          <w:szCs w:val="20"/>
          <w:lang w:val="ka-GE"/>
        </w:rPr>
      </w:pPr>
      <w:r w:rsidRPr="003B4F6E">
        <w:rPr>
          <w:rFonts w:ascii="Sylfaen" w:hAnsi="Sylfaen"/>
          <w:b/>
          <w:bCs/>
          <w:noProof/>
          <w:sz w:val="20"/>
          <w:szCs w:val="20"/>
          <w:lang w:val="ka-GE"/>
        </w:rPr>
        <w:t>CURRENT-OASIS-7</w:t>
      </w:r>
      <w:r w:rsidRPr="003B4F6E">
        <w:rPr>
          <w:rFonts w:ascii="Sylfaen" w:hAnsi="Sylfaen"/>
          <w:noProof/>
          <w:sz w:val="20"/>
          <w:szCs w:val="20"/>
          <w:lang w:val="ka-GE"/>
        </w:rPr>
        <w:t xml:space="preserve"> (კლოპიდოგრელის და ასპირინის ოპტიმალური დოზის გამოყენება განმეორებითი შემთხვევების შესამცირებლად</w:t>
      </w:r>
      <w:r w:rsidR="00D8164A" w:rsidRPr="003B4F6E">
        <w:rPr>
          <w:rFonts w:ascii="Sylfaen" w:hAnsi="Sylfaen"/>
          <w:noProof/>
          <w:sz w:val="20"/>
          <w:szCs w:val="20"/>
          <w:lang w:val="ka-GE"/>
        </w:rPr>
        <w:t xml:space="preserve"> </w:t>
      </w:r>
      <w:r w:rsidRPr="003B4F6E">
        <w:rPr>
          <w:rFonts w:ascii="Sylfaen" w:hAnsi="Sylfaen"/>
          <w:noProof/>
          <w:sz w:val="20"/>
          <w:szCs w:val="20"/>
          <w:lang w:val="ka-GE"/>
        </w:rPr>
        <w:t xml:space="preserve">მეშვიდე ორგანიზაცია იშემიური სინდრომების სტრატეგიების შესაფასებლად) ეს რანდომიზებული ფაქტორული კვლევა მოიცავდა მწვავე კორონარული სინდრომის (ACS) მქონე 25,086 პირს, რომლებიც განკუთვნილი იყვნენ ადრეული პერორალური კორონარული ინფარქტისთვის. პაციენტები შემთხვევითობის პრინციპით შეირჩნენ ორმაგი დოზის (600 მგ პირველ დღეს, შემდეგ 150 მგ მე-2-7 დღეებში, შემდეგ 75 მგ დღეში) და სტანდარტული დოზის (300 მგ პირველ დღეს, შემდეგ 75 მგ დღეში) კლოპიდოგრელის ჯგუფებს შორის, ასევე მაღალი დოზის (300–325 მგ დღეში) და დაბალი დოზის (75–100 მგ დღეში) აცეტილსალიცილის მჟავის თერაპიის ჯგუფებს შორის. კვლევაში მონაწილე 24,835 პაციენტს ჩაუტარდა კორონარული ანგიოგრაფია, ხოლო 17,263-ს - პერორალური კორონარული ინფარქტი. 17,263 პაციენტს შორის, რომლებიც იღებდნენ PCI მკურნალობას, სტანდარტულ დოზასთან შედარებით, კლოპიდოგრელის ორმაგმა დოზამ შეამცირა პირველადი საბოლოო წერტილის მაჩვენებელი (3.9% 4.5%-ის წინააღმდეგ, კორექტირებული HR= 0.86, 95% CI 0.74-0.99, p=0.039) და მნიშვნელოვნად შეამცირა სტენტის თრომბოზი (1.6% 2.3%-ის წინააღმდეგ, HR: 0.68; 95% CI: 0.55 0.85; p=0.001). დიდი სისხლდენა უფრო ხშირი იყო ორმაგი დოზის მიღებისას, ვიდრე სტანდარტული დოზის მიღებისას (1.6% 1.1%-ის წინააღმდეგ, HR=1.41, 95% CI 1.09-1.83, p=0.009). ამ კვლევაში, კლოპიდოგრელის 600 მგ დატვირთვის დოზამ აჩვენა თანმიმდევრული ეფექტურობა ≥75 წლის ასაკის პაციენტებში და &lt;75 წლის პაციენტებში. </w:t>
      </w:r>
    </w:p>
    <w:p w14:paraId="6C1ED47E" w14:textId="77777777" w:rsidR="00D8164A" w:rsidRPr="003B4F6E" w:rsidRDefault="00D8164A" w:rsidP="003B4F6E">
      <w:pPr>
        <w:spacing w:after="0" w:line="240" w:lineRule="auto"/>
        <w:rPr>
          <w:rFonts w:ascii="Sylfaen" w:hAnsi="Sylfaen"/>
          <w:noProof/>
          <w:sz w:val="20"/>
          <w:szCs w:val="20"/>
          <w:lang w:val="ka-GE"/>
        </w:rPr>
      </w:pPr>
    </w:p>
    <w:p w14:paraId="6E1B6D20" w14:textId="77777777" w:rsidR="00D8164A"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b/>
          <w:bCs/>
          <w:noProof/>
          <w:sz w:val="20"/>
          <w:szCs w:val="20"/>
          <w:lang w:val="ka-GE"/>
        </w:rPr>
        <w:t>ARMYDA-6 MI</w:t>
      </w:r>
      <w:r w:rsidRPr="003B4F6E">
        <w:rPr>
          <w:rFonts w:ascii="Sylfaen" w:hAnsi="Sylfaen"/>
          <w:noProof/>
          <w:sz w:val="20"/>
          <w:szCs w:val="20"/>
          <w:lang w:val="ka-GE"/>
        </w:rPr>
        <w:t xml:space="preserve"> </w:t>
      </w:r>
      <w:r w:rsidRPr="003B4F6E">
        <w:rPr>
          <w:rFonts w:ascii="Sylfaen" w:hAnsi="Sylfaen"/>
          <w:i/>
          <w:iCs/>
          <w:noProof/>
          <w:sz w:val="20"/>
          <w:szCs w:val="20"/>
          <w:lang w:val="ka-GE"/>
        </w:rPr>
        <w:t>(ანტიაგრეგანტული თერაპია მიოკარდიუმის დაზიანების შესამცირებლად ანგიოპლასტიკის დროს - მიოკარდიუმის ინფარქტი)</w:t>
      </w:r>
    </w:p>
    <w:p w14:paraId="0C968B41" w14:textId="19BFCCAB"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ეს რანდომიზებული, პერსპექტიული, საერთაშორისო, მულტიცენტრული კვლევა აფასებდა 600 მგ და 300 მგ კლოპიდოგრელის დოზით წინასწარ მკურნალობას STEMI-ის გამო გადაუდებელი PCI-ს დროს. პაციენტებმა PCI-მდე მიიღეს კლოპიდოგრელის დოზით 600 მგ (n=103) ან კლოპიდოგრელის დოზით 300 მგ (n=98), შემდეგ კი PCI-ს მომდევნო დღიდან 1 წლამდე დაინიშნენ 75 მგ/დღეში. პაციენტებს, რომლებიც იღებდნენ კლოპიდოგრელის დოზით 600 მგ, ჰქონდათ მნიშვნელოვნად შემცირებული ინფარქტის ზომა 300 მგ-ის მიმღებ პაციენტებთან შედარებით. 600 მგ PCI-ის შემდეგ მიოკარდიუმის ინფარქტის დროს (MI) &lt;3 ხარისხის თრომბოლიზი ნაკლებად ხშირი იყო (5.8% 16.3%-ის წინააღმდეგ, p=0.031), გაწერის დროს მარცხენა პარკუჭის განდევნის ფრაქციის გაუმჯობესება (52.1 ±9.5% 48.8 ±11.3%-ის წინააღმდეგ, p=0.026) და 30-დღიანი ძირითადი გვერდითი გულ-სისხლძარღვთა მოვლენები ნაკლები იყო (5.8% 15%-ის წინააღმდეგ, p=0.049). სისხლდენის ან შეღწევის ადგილზე გართულებების ზრდა არ დაფიქსირებულა (მეორადი საბოლოო წერტილები 30-ე დღეს).</w:t>
      </w:r>
    </w:p>
    <w:p w14:paraId="06690539" w14:textId="77777777" w:rsidR="00322212" w:rsidRPr="003B4F6E" w:rsidRDefault="00322212" w:rsidP="003B4F6E">
      <w:pPr>
        <w:spacing w:after="0" w:line="240" w:lineRule="auto"/>
        <w:jc w:val="both"/>
        <w:rPr>
          <w:rFonts w:ascii="Sylfaen" w:hAnsi="Sylfaen"/>
          <w:noProof/>
          <w:sz w:val="20"/>
          <w:szCs w:val="20"/>
          <w:lang w:val="ka-GE"/>
        </w:rPr>
      </w:pPr>
    </w:p>
    <w:p w14:paraId="05FA0F90"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b/>
          <w:bCs/>
          <w:noProof/>
          <w:sz w:val="20"/>
          <w:szCs w:val="20"/>
          <w:lang w:val="ka-GE"/>
        </w:rPr>
        <w:t>HORIZONS-AMI</w:t>
      </w:r>
      <w:r w:rsidRPr="003B4F6E">
        <w:rPr>
          <w:rFonts w:ascii="Sylfaen" w:hAnsi="Sylfaen"/>
          <w:noProof/>
          <w:sz w:val="20"/>
          <w:szCs w:val="20"/>
          <w:lang w:val="ka-GE"/>
        </w:rPr>
        <w:t xml:space="preserve"> </w:t>
      </w:r>
      <w:r w:rsidRPr="003B4F6E">
        <w:rPr>
          <w:rFonts w:ascii="Sylfaen" w:hAnsi="Sylfaen"/>
          <w:i/>
          <w:iCs/>
          <w:noProof/>
          <w:sz w:val="20"/>
          <w:szCs w:val="20"/>
          <w:lang w:val="ka-GE"/>
        </w:rPr>
        <w:t>(რევასკულარიზაციისა და სტენტების ჰარმონიზაციის შედეგები მწვავე მიოკარდიუმის ინფარქტის დროს)</w:t>
      </w:r>
    </w:p>
    <w:p w14:paraId="632BE2A0" w14:textId="77777777" w:rsidR="009F13FD"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ეს პოსტ-ჰოკ ანალიზის კვლევა ჩატარდა იმის შესაფასებლად, უზრუნველყოფს თუ არა 600 მგ კლოპიდოგრელის დაბალი დოზით (LD) თრომბოციტების აქტივაციის უფრო სწრაფ და უკეთეს ინჰიბირებას. ანალიზმა შეისწავლა 600 მგ LD-ის გავლენა 300 მგ-თან შედარებით 30-დღიან კლინიკურ შედეგებზე ძირითადი კვლევის 3311 პაციენტში (n=1153; 300 მგ LD ჯგუფი; n=2158; 600 მგ LD ჯგუფი) გულის კათეტერიზაციამდე, რასაც მოჰყვებოდა 75 მგ/დღეში დოზა გაწერიდან ≥6 თვის განმავლობაში. შედეგებმა აჩვენა სიკვდილიანობის (1.9% 3.1%-ის წინააღმდეგ, p=0.03), რეინფარქტის (1.3% 2.3%-ის წინააღმდეგ, p=0.02) და სტენტის თრომბოზის (1.7% 2.8%-ის წინააღმდეგ, p=0.04) მნიშვნელოვნად დაბალი 30-დღიანი არაკორექტირებული მაჩვენებლები 600 მგ LD-ის მიღებისას სისხლდენის მაღალი მაჩვენებლების გარეშე. მრავალცვლადიანი ანალიზით, 600 მგ LD იყო 30-დღიანი ძირითადი გვერდითი კარდიალური მოვლენების დაბალი მაჩვენებლების დამოუკიდებელი პროგნოზირების ფაქტორი (HR: 0.72 [95% CI: 0.53–0.98], p=0.04). დიდი სისხლდენის მაჩვენებელი (არააეროზოლური შუნტირება) იყო 6.1% 600 მგ LD ჯგუფში და 9.4% 300 მგ LD ჯგუფში (p=0.0005). მცირე სისხლდენის მაჩვენებელი იყო 11.3% 600 მგ LD ჯგუფში და 13.8% 300 მგ LD ჯგუფში (p=0.03). </w:t>
      </w:r>
    </w:p>
    <w:p w14:paraId="5426C0E1" w14:textId="77777777" w:rsidR="009F13FD" w:rsidRPr="003B4F6E" w:rsidRDefault="009F13FD" w:rsidP="003B4F6E">
      <w:pPr>
        <w:spacing w:after="0" w:line="240" w:lineRule="auto"/>
        <w:jc w:val="both"/>
        <w:rPr>
          <w:rFonts w:ascii="Sylfaen" w:hAnsi="Sylfaen"/>
          <w:noProof/>
          <w:sz w:val="20"/>
          <w:szCs w:val="20"/>
          <w:lang w:val="ka-GE"/>
        </w:rPr>
      </w:pPr>
    </w:p>
    <w:p w14:paraId="6533AF19" w14:textId="25A20857" w:rsidR="00322212" w:rsidRPr="003B4F6E" w:rsidRDefault="00322212" w:rsidP="003B4F6E">
      <w:pPr>
        <w:spacing w:after="0" w:line="240" w:lineRule="auto"/>
        <w:jc w:val="both"/>
        <w:rPr>
          <w:rFonts w:ascii="Sylfaen" w:hAnsi="Sylfaen"/>
          <w:noProof/>
          <w:sz w:val="20"/>
          <w:szCs w:val="20"/>
          <w:u w:val="single"/>
          <w:lang w:val="ka-GE"/>
        </w:rPr>
      </w:pPr>
      <w:r w:rsidRPr="003B4F6E">
        <w:rPr>
          <w:rFonts w:ascii="Sylfaen" w:hAnsi="Sylfaen"/>
          <w:noProof/>
          <w:sz w:val="20"/>
          <w:szCs w:val="20"/>
          <w:u w:val="single"/>
          <w:lang w:val="ka-GE"/>
        </w:rPr>
        <w:t>ხანგრძლივი (12 თვე) მკურნალობა კლოპიდოგრელით STEMI პაციენტებში PCI-ს შემდეგ</w:t>
      </w:r>
    </w:p>
    <w:p w14:paraId="0AD13D3C"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b/>
          <w:bCs/>
          <w:noProof/>
          <w:sz w:val="20"/>
          <w:szCs w:val="20"/>
          <w:lang w:val="ka-GE"/>
        </w:rPr>
        <w:t xml:space="preserve">CREDO </w:t>
      </w:r>
      <w:r w:rsidRPr="003B4F6E">
        <w:rPr>
          <w:rFonts w:ascii="Sylfaen" w:hAnsi="Sylfaen"/>
          <w:i/>
          <w:iCs/>
          <w:noProof/>
          <w:sz w:val="20"/>
          <w:szCs w:val="20"/>
          <w:lang w:val="ka-GE"/>
        </w:rPr>
        <w:t>(კლოპიდოგრელი დაკვირვების დროს გვერდითი მოვლენების შესამცირებლად)</w:t>
      </w:r>
    </w:p>
    <w:p w14:paraId="1826D089"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ეს რანდომიზებული, ორმაგად ბრმა, პლაცებო-კონტროლირებადი კვლევა ჩატარდა ამერიკის შეერთებულ შტატებსა და კანადაში, რათა შეფასებულიყო PCI-ს შემდეგ კლოპიდოგრელით ხანგრძლივი (12 თვე) მკურნალობის სარგებელი. 2,116 პაციენტი რანდომიზებული წესით გადანაწილდა 300 მგ კლოპიდოგრელის LD (n=1,053) ან პლაცებოს (n=1,063) მისაღებად PCI-მდე 3-24 საათით ადრე. ყველა პაციენტმა ასევე მიიღო 325 მგ ასპირინი. ამის შემდეგ, ყველა პაციენტმა მიიღო კლოპიდოგრელი 75 მგ/დღეში 28-ე დღემდე ორივე ჯგუფში. 29-ე დღიდან 12 თვემდე, კლოპიდოგრელის ჯგუფის პაციენტებმა მიიღეს 75 მგ/დღეში კლოპიდოგრელი, ხოლო საკონტროლო ჯგუფში - პლაცებო. კვლევის განმავლობაში </w:t>
      </w:r>
      <w:r w:rsidRPr="003B4F6E">
        <w:rPr>
          <w:rFonts w:ascii="Sylfaen" w:hAnsi="Sylfaen"/>
          <w:noProof/>
          <w:sz w:val="20"/>
          <w:szCs w:val="20"/>
          <w:lang w:val="ka-GE"/>
        </w:rPr>
        <w:lastRenderedPageBreak/>
        <w:t>ორივე ჯგუფმა მიიღო აცეტილსალიცილის მჟავა (81-დან 325 მგ/დღეში). 1 წლის შემდეგ, კლოპიდოგრელის მიღებისას დაფიქსირდა სიკვდილის, მიოკარდიუმის ინფარქტის ან ინსულტის კომბინირებული რისკის მნიშვნელოვანი შემცირება (26.9%-იანი ფარდობითი შემცირება, 95% CI: 3.9%-44.4%; p=0.02; აბსოლუტური შემცირება 3%) პლაცებოსთან შედარებით.</w:t>
      </w:r>
    </w:p>
    <w:p w14:paraId="33F3D60D"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1 წლის შემდეგ არ დაფიქსირებულა მნიშვნელოვანი ზრდა მსხვილი სისხლდენის (8.8% კლოპიდოგრელის მიღებისას პლაცებოს მიღებისას 6.7%-ის წინააღმდეგ, p=0.07) ან მცირე სისხლდენის (5.3% კლოპიდოგრელის მიღებისას პლაცებოს მიღებისას 5.6%-ის წინააღმდეგ, p=0.84) მაჩვენებელში. ამ კვლევის მთავარი დასკვნა ის არის, რომ კლოპიდოგრელისა და აცეტილსალიცილის მჟავას მიღების გაგრძელება მინიმუმ 1 წლის განმავლობაში იწვევს ძირითადი თრომბოზული მოვლენების სტატისტიკურად და კლინიკურად მნიშვნელოვან შემცირებას.</w:t>
      </w:r>
    </w:p>
    <w:p w14:paraId="53C320CC" w14:textId="77777777" w:rsidR="009F13FD" w:rsidRPr="003B4F6E" w:rsidRDefault="009F13FD" w:rsidP="003B4F6E">
      <w:pPr>
        <w:spacing w:after="0" w:line="240" w:lineRule="auto"/>
        <w:jc w:val="both"/>
        <w:rPr>
          <w:rFonts w:ascii="Sylfaen" w:hAnsi="Sylfaen"/>
          <w:noProof/>
          <w:color w:val="3366FF"/>
          <w:sz w:val="20"/>
          <w:szCs w:val="20"/>
          <w:lang w:val="ka-GE"/>
        </w:rPr>
      </w:pPr>
    </w:p>
    <w:p w14:paraId="2C67749C" w14:textId="232D1602" w:rsidR="00322212" w:rsidRPr="003B4F6E" w:rsidRDefault="009F13FD" w:rsidP="003B4F6E">
      <w:pPr>
        <w:spacing w:after="0" w:line="240" w:lineRule="auto"/>
        <w:jc w:val="both"/>
        <w:rPr>
          <w:rFonts w:ascii="Sylfaen" w:hAnsi="Sylfaen"/>
          <w:i/>
          <w:iCs/>
          <w:noProof/>
          <w:sz w:val="20"/>
          <w:szCs w:val="20"/>
          <w:lang w:val="ka-GE"/>
        </w:rPr>
      </w:pPr>
      <w:r w:rsidRPr="003B4F6E">
        <w:rPr>
          <w:rFonts w:ascii="Sylfaen" w:hAnsi="Sylfaen"/>
          <w:b/>
          <w:bCs/>
          <w:noProof/>
          <w:sz w:val="20"/>
          <w:szCs w:val="20"/>
          <w:lang w:val="ka-GE"/>
        </w:rPr>
        <w:t>EXCELLENT</w:t>
      </w:r>
      <w:r w:rsidR="00322212" w:rsidRPr="003B4F6E">
        <w:rPr>
          <w:rFonts w:ascii="Sylfaen" w:hAnsi="Sylfaen"/>
          <w:noProof/>
          <w:sz w:val="20"/>
          <w:szCs w:val="20"/>
          <w:lang w:val="ka-GE"/>
        </w:rPr>
        <w:t xml:space="preserve"> (</w:t>
      </w:r>
      <w:r w:rsidR="00322212" w:rsidRPr="003B4F6E">
        <w:rPr>
          <w:rFonts w:ascii="Sylfaen" w:hAnsi="Sylfaen"/>
          <w:i/>
          <w:iCs/>
          <w:noProof/>
          <w:sz w:val="20"/>
          <w:szCs w:val="20"/>
          <w:lang w:val="ka-GE"/>
        </w:rPr>
        <w:t>Xience/Promus-ის ეფექტურობა სტენტირების შემდეგ გვიანი დანაკარგის შესამცირებლად)</w:t>
      </w:r>
    </w:p>
    <w:p w14:paraId="1B8004BB" w14:textId="77777777" w:rsidR="009F13FD"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ეს პერსპექტიული, ღია, რანდომიზებული კვლევა ჩატარდა კორეაში იმის შესაფასებლად, იქნებოდა თუ არა 6-თვიანი ორმაგი ანტიაგრეგაციული თერაპია (DAPT) არაფრით ჩამოუვარდებოდა 12-თვიან DAPT-ს წამლისმიერი სტენტების იმპლანტაციის შემდეგ. კვლევაში მონაწილეობდა 1443 პაციენტი, რომლებიც რანდომიზებულად შეირჩნენ 6-თვიან DAPT-ს (ასმ 100–200 მგ/დღეში პლუს კლოპიდოგრელი 75 მგ/დღეში</w:t>
      </w:r>
      <w:r w:rsidR="009F13FD" w:rsidRPr="003B4F6E">
        <w:rPr>
          <w:rFonts w:ascii="Sylfaen" w:hAnsi="Sylfaen"/>
          <w:noProof/>
          <w:sz w:val="20"/>
          <w:szCs w:val="20"/>
          <w:lang w:val="ka-GE"/>
        </w:rPr>
        <w:t xml:space="preserve"> </w:t>
      </w:r>
      <w:r w:rsidRPr="003B4F6E">
        <w:rPr>
          <w:rFonts w:ascii="Sylfaen" w:hAnsi="Sylfaen"/>
          <w:noProof/>
          <w:sz w:val="20"/>
          <w:szCs w:val="20"/>
          <w:lang w:val="ka-GE"/>
        </w:rPr>
        <w:t>6 თვის განმავლობაში და შემდეგ მხოლოდ ასმ 12 თვემდე) ან 12-თვიან DAPT-ს (ასმ 100–200 მგ/დღეში პლუს კლოპიდოგრელი 75 მგ/დღეში 12 თვის განმავლობაში) მისაღებად. სამიზნე სისხლძარღვის უკმარისობის (გულისმიერი სიკვდილის, მიოკარდიუმის ინფარქტის ან სამიზნე სისხლძარღვის რევასკულარიზაციის კომბინაცია) შემთხვევების სიხშირეში, რომელიც 6-თვიანი და 12-თვიანი DAPT ჯგუფებს შორის პირველადი საბოლოო წერტილი იყო, მნიშვნელოვანი განსხვავება არ დაფიქსირებულა (HR: 1.14; 95% CI: 0.70 1.86; p=0.60). ასევე, კვლევამ არ აჩვენა მნიშვნელოვანი განსხვავება უსაფრთხოების საბოლოო წერტილში (სიკვდილის, მიოკარდიუმის ინფარქტის, ინსულტის, სტენტის თრომბოზის ან TIMI დიდი სისხლდენის კომბინაცია) 6-თვიანი და 12-თვიანი DAPT ჯგუფებს შორის (HR: 1.15; 95% CI: 0.64-2.06; p=0.64).</w:t>
      </w:r>
      <w:r w:rsidR="009F13FD" w:rsidRPr="003B4F6E">
        <w:rPr>
          <w:rFonts w:ascii="Sylfaen" w:hAnsi="Sylfaen"/>
          <w:noProof/>
          <w:sz w:val="20"/>
          <w:szCs w:val="20"/>
          <w:lang w:val="ka-GE"/>
        </w:rPr>
        <w:t xml:space="preserve"> </w:t>
      </w:r>
      <w:r w:rsidRPr="003B4F6E">
        <w:rPr>
          <w:rFonts w:ascii="Sylfaen" w:hAnsi="Sylfaen"/>
          <w:noProof/>
          <w:sz w:val="20"/>
          <w:szCs w:val="20"/>
          <w:lang w:val="ka-GE"/>
        </w:rPr>
        <w:t xml:space="preserve">ამ კვლევის მთავარი დასკვნა იყო ის, რომ 6-თვიანი DAPT არ ჩამოუვარდებოდა 12-თვიან DAPT-ს სამიზნე სისხლძარღვის უკმარისობის რისკის მიხედვით. </w:t>
      </w:r>
    </w:p>
    <w:p w14:paraId="1E80DC87" w14:textId="77777777" w:rsidR="009F13FD" w:rsidRPr="003B4F6E" w:rsidRDefault="009F13FD" w:rsidP="003B4F6E">
      <w:pPr>
        <w:spacing w:after="0" w:line="240" w:lineRule="auto"/>
        <w:jc w:val="both"/>
        <w:rPr>
          <w:rFonts w:ascii="Sylfaen" w:hAnsi="Sylfaen"/>
          <w:noProof/>
          <w:sz w:val="20"/>
          <w:szCs w:val="20"/>
          <w:lang w:val="ka-GE"/>
        </w:rPr>
      </w:pPr>
    </w:p>
    <w:p w14:paraId="46CBA501" w14:textId="194245EA" w:rsidR="00322212" w:rsidRPr="003B4F6E" w:rsidRDefault="00322212" w:rsidP="003B4F6E">
      <w:pPr>
        <w:spacing w:after="0" w:line="240" w:lineRule="auto"/>
        <w:jc w:val="both"/>
        <w:rPr>
          <w:rFonts w:ascii="Sylfaen" w:hAnsi="Sylfaen"/>
          <w:noProof/>
          <w:sz w:val="20"/>
          <w:szCs w:val="20"/>
          <w:u w:val="single"/>
          <w:lang w:val="ka-GE"/>
        </w:rPr>
      </w:pPr>
      <w:r w:rsidRPr="003B4F6E">
        <w:rPr>
          <w:rFonts w:ascii="Sylfaen" w:hAnsi="Sylfaen"/>
          <w:noProof/>
          <w:sz w:val="20"/>
          <w:szCs w:val="20"/>
          <w:u w:val="single"/>
          <w:lang w:val="ka-GE"/>
        </w:rPr>
        <w:t>P2Y12 ინჰიბიტორების დეესკალაცია მწვავე კორონარული სინდრომის დროს</w:t>
      </w:r>
    </w:p>
    <w:p w14:paraId="0D85DF26" w14:textId="77777777" w:rsidR="00322212" w:rsidRPr="003B4F6E" w:rsidRDefault="00322212" w:rsidP="003B4F6E">
      <w:pPr>
        <w:spacing w:after="0" w:line="240" w:lineRule="auto"/>
        <w:rPr>
          <w:rFonts w:ascii="Sylfaen" w:hAnsi="Sylfaen"/>
          <w:noProof/>
          <w:sz w:val="20"/>
          <w:szCs w:val="20"/>
          <w:lang w:val="ka-GE"/>
        </w:rPr>
      </w:pPr>
      <w:r w:rsidRPr="003B4F6E">
        <w:rPr>
          <w:rFonts w:ascii="Sylfaen" w:hAnsi="Sylfaen"/>
          <w:noProof/>
          <w:sz w:val="20"/>
          <w:szCs w:val="20"/>
          <w:lang w:val="ka-GE"/>
        </w:rPr>
        <w:t>მწვავე კორონარული სინდრომის (ACS) მწვავე ფაზის შემდეგ ასპირინთან ერთად უფრო ძლიერი P2Y12 რეცეპტორის ინჰიბიტორიდან კლოპიდოგრელზე გადასვლა შეფასდა ორ რანდომიზებულ, მკვლევარის მიერ დაფინანსებულ კვლევაში (ISS) - TOPIC და TROPICAL-ACS - კლინიკური შედეგების მონაცემებით.</w:t>
      </w:r>
    </w:p>
    <w:p w14:paraId="17F798F5" w14:textId="77777777" w:rsidR="009F13FD" w:rsidRPr="003B4F6E" w:rsidRDefault="009F13FD" w:rsidP="003B4F6E">
      <w:pPr>
        <w:spacing w:after="0" w:line="240" w:lineRule="auto"/>
        <w:rPr>
          <w:rFonts w:ascii="Sylfaen" w:hAnsi="Sylfaen"/>
          <w:noProof/>
          <w:sz w:val="20"/>
          <w:szCs w:val="20"/>
          <w:lang w:val="ka-GE"/>
        </w:rPr>
      </w:pPr>
    </w:p>
    <w:p w14:paraId="63CE68BA"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უფრო ძლიერი P2Y12 ინჰიბიტორების, ტიკაგრელორის და პრასუგრელის კლინიკური სარგებელი მათ ძირითად კვლევებში დაკავშირებულია მორეციდივე იშემიური მოვლენების მნიშვნელოვან შემცირებასთან (მათ შორის მწვავე და ქვემწვავე სტენტის თრომბოზი (ST), მიოკარდიუმის ინფარქტი (MI) და სასწრაფო რევასკულარიზაცია). მიუხედავად იმისა, რომ იშემიური სარგებელი თანმიმდევრული იყო პირველი წლის განმავლობაში, მკურნალობის დაწყებიდან პირველი დღეების განმავლობაში დაფიქსირდა ACS-ის შემდეგ იშემიური რეციდივის უფრო დიდი შემცირება. ამის საპირისპიროდ, პოსტ-ჰოკ ანალიზებმა აჩვენა სისხლდენის რისკის სტატისტიკურად მნიშვნელოვანი ზრდა უფრო ძლიერი P2Y12 ინჰიბიტორების გამოყენებისას, რაც ძირითადად ხდება შემანარჩუნებელი ფაზის დროს, ACS-დან პირველი თვის შემდეგ. TOPIC და TROPICAL-ACS შეიქმნა იმისათვის, რომ შეესწავლათ, თუ როგორ შემცირებულიყო სისხლდენის შემთხვევები ეფექტურობის შენარჩუნებით.</w:t>
      </w:r>
    </w:p>
    <w:p w14:paraId="59F6919E" w14:textId="77777777" w:rsidR="009F13FD" w:rsidRPr="003B4F6E" w:rsidRDefault="009F13FD" w:rsidP="003B4F6E">
      <w:pPr>
        <w:spacing w:after="0" w:line="240" w:lineRule="auto"/>
        <w:jc w:val="both"/>
        <w:rPr>
          <w:rFonts w:ascii="Sylfaen" w:hAnsi="Sylfaen"/>
          <w:i/>
          <w:iCs/>
          <w:noProof/>
          <w:sz w:val="20"/>
          <w:szCs w:val="20"/>
          <w:lang w:val="ka-GE"/>
        </w:rPr>
      </w:pPr>
    </w:p>
    <w:p w14:paraId="0094A30E"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b/>
          <w:bCs/>
          <w:noProof/>
          <w:sz w:val="20"/>
          <w:szCs w:val="20"/>
          <w:lang w:val="ka-GE"/>
        </w:rPr>
        <w:t>TOPIC</w:t>
      </w:r>
      <w:r w:rsidRPr="003B4F6E">
        <w:rPr>
          <w:rFonts w:ascii="Sylfaen" w:hAnsi="Sylfaen"/>
          <w:i/>
          <w:iCs/>
          <w:noProof/>
          <w:sz w:val="20"/>
          <w:szCs w:val="20"/>
          <w:lang w:val="ka-GE"/>
        </w:rPr>
        <w:t xml:space="preserve"> (თრომბოციტების ინჰიბირების დრო მწვავე კორონარული სინდრომის შემდეგ)</w:t>
      </w:r>
    </w:p>
    <w:p w14:paraId="614010BF"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ეს რანდომიზებული, ღია კვლევა მოიცავდა მწვავე კორონარული სინდრომის მქონე პაციენტებს, რომლებსაც სჭირდებოდათ პერკუტანული კორონარული ჩარევა (PCI). პაციენტებს, რომლებიც იღებდნენ ასპირინს და უფრო ძლიერ P2Y12 ბლოკატორს და არ ჰქონდათ გვერდითი მოვლენები ერთი თვის განმავლობაში, დაევალათ გადასვლა ფიქსირებული დოზით ასპირინზე პლუს კლოპიდოგრელზე (შემცირებული ორმაგი ანტიაგრეგანტული თერაპია (DAPT)) ან წამლის რეჟიმის გაგრძელება (უცვლელი DAPT).</w:t>
      </w:r>
    </w:p>
    <w:p w14:paraId="3EE72FE0" w14:textId="77777777" w:rsidR="009F13FD" w:rsidRPr="003B4F6E" w:rsidRDefault="009F13FD" w:rsidP="003B4F6E">
      <w:pPr>
        <w:spacing w:after="0" w:line="240" w:lineRule="auto"/>
        <w:jc w:val="both"/>
        <w:rPr>
          <w:rFonts w:ascii="Sylfaen" w:hAnsi="Sylfaen"/>
          <w:noProof/>
          <w:sz w:val="20"/>
          <w:szCs w:val="20"/>
          <w:lang w:val="ka-GE"/>
        </w:rPr>
      </w:pPr>
    </w:p>
    <w:p w14:paraId="71CF6639" w14:textId="584B4CA3"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საერთო ჯამში, გაანალიზდა 646 პაციენტიდან 645, რომელთაც აღენიშნებოდათ ST სეგმენტის ელევაცია-MI (STEMI) ან ST სეგმენტის ელევაციის გარეშე-MI (NSTEMI) ან არასტაბილური სტენოკარდია (დეესკალირებული DAPT (n=322)</w:t>
      </w:r>
      <w:r w:rsidR="009F13FD" w:rsidRPr="003B4F6E">
        <w:rPr>
          <w:rFonts w:ascii="Sylfaen" w:hAnsi="Sylfaen"/>
          <w:noProof/>
          <w:sz w:val="20"/>
          <w:szCs w:val="20"/>
          <w:lang w:val="ka-GE"/>
        </w:rPr>
        <w:t xml:space="preserve">. </w:t>
      </w:r>
      <w:r w:rsidRPr="003B4F6E">
        <w:rPr>
          <w:rFonts w:ascii="Sylfaen" w:hAnsi="Sylfaen"/>
          <w:noProof/>
          <w:sz w:val="20"/>
          <w:szCs w:val="20"/>
          <w:lang w:val="ka-GE"/>
        </w:rPr>
        <w:t>უცვლელი DAPT (n=323)). ერთი წლის შემდეგ დაკვირვება ჩატარდა 316 პაციენტისთვის (98.1%) დეესკალირებული DAPT ჯგუფში და 318 პაციენტისთვის (98.5%) უცვლელი DAPT ჯგუფში. ორივე ჯგუფის საშუალო დაკვირვების ხანგრძლივობა იყო 359 დღე. შესწავლილი კოჰორტის მახასიათებლები მსგავსი იყო ორ ჯგუფში.</w:t>
      </w:r>
    </w:p>
    <w:p w14:paraId="7F6A0867" w14:textId="77777777" w:rsidR="009F13FD" w:rsidRPr="003B4F6E" w:rsidRDefault="009F13FD" w:rsidP="003B4F6E">
      <w:pPr>
        <w:spacing w:after="0" w:line="240" w:lineRule="auto"/>
        <w:jc w:val="both"/>
        <w:rPr>
          <w:rFonts w:ascii="Sylfaen" w:hAnsi="Sylfaen"/>
          <w:noProof/>
          <w:sz w:val="20"/>
          <w:szCs w:val="20"/>
          <w:lang w:val="ka-GE"/>
        </w:rPr>
      </w:pPr>
    </w:p>
    <w:p w14:paraId="3C918128"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lastRenderedPageBreak/>
        <w:t>პირველადი შედეგი, გულ-სისხლძარღვთა სიკვდილის, ინსულტის, სასწრაფო რევასკულარიზაციის და BARC (სისხლდენის აკადემიური კვლევითი კონსორციუმი) სისხლდენის ≥2 ერთობლიობა მწვავე კორონარული სინდრომიდან 1 წლის შემდეგ, დაფიქსირდა 43 პაციენტში (13.4%) დეესკალირებული DAPT ჯგუფში და 85 პაციენტში (26.3%) უცვლელი DAPT ჯგუფში (p&lt;0.01). ეს სტატისტიკურად მნიშვნელოვანი განსხვავება ძირითადად განპირობებული იყო სისხლდენის შემთხვევების შემცირებით, იშემიური საბოლოო წერტილებში სხვაობა არ დაფიქსირებულა (p=0.36), მაშინ როდესაც BARC ≥2 სისხლდენა ნაკლებად ხშირი იყო დეესკალირებული DAPT ჯგუფში (4.0%), უცვლელი DAPT ჯგუფში კი - 14.9%-თან შედარებით (p&lt;0.01). სისხლდენის შემთხვევები განისაზღვრა, როგორც ყველა BARC შემთხვევა დეესკალირებული DAPT ჯგუფში 30 პაციენტში (9.3%) და უცვლელი DAPT ჯგუფში 76 პაციენტში (23.5</w:t>
      </w:r>
      <w:r w:rsidRPr="003B4F6E">
        <w:rPr>
          <w:rFonts w:ascii="Sylfaen" w:hAnsi="Sylfaen"/>
          <w:noProof/>
          <w:color w:val="3366FF"/>
          <w:sz w:val="20"/>
          <w:szCs w:val="20"/>
          <w:lang w:val="ka-GE"/>
        </w:rPr>
        <w:t>%) (p&lt;0.01</w:t>
      </w:r>
      <w:r w:rsidRPr="003B4F6E">
        <w:rPr>
          <w:rFonts w:ascii="Sylfaen" w:hAnsi="Sylfaen"/>
          <w:noProof/>
          <w:sz w:val="20"/>
          <w:szCs w:val="20"/>
          <w:lang w:val="ka-GE"/>
        </w:rPr>
        <w:t>).</w:t>
      </w:r>
    </w:p>
    <w:p w14:paraId="210D62DA" w14:textId="77777777" w:rsidR="009F13FD" w:rsidRPr="003B4F6E" w:rsidRDefault="009F13FD" w:rsidP="003B4F6E">
      <w:pPr>
        <w:spacing w:after="0" w:line="240" w:lineRule="auto"/>
        <w:jc w:val="both"/>
        <w:rPr>
          <w:rFonts w:ascii="Sylfaen" w:hAnsi="Sylfaen"/>
          <w:noProof/>
          <w:sz w:val="20"/>
          <w:szCs w:val="20"/>
          <w:lang w:val="ka-GE"/>
        </w:rPr>
      </w:pPr>
    </w:p>
    <w:p w14:paraId="3514BD77"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b/>
          <w:bCs/>
          <w:noProof/>
          <w:sz w:val="20"/>
          <w:szCs w:val="20"/>
          <w:lang w:val="ka-GE"/>
        </w:rPr>
        <w:t>TROPICAL-ACS</w:t>
      </w:r>
      <w:r w:rsidRPr="003B4F6E">
        <w:rPr>
          <w:rFonts w:ascii="Sylfaen" w:hAnsi="Sylfaen"/>
          <w:noProof/>
          <w:sz w:val="20"/>
          <w:szCs w:val="20"/>
          <w:lang w:val="ka-GE"/>
        </w:rPr>
        <w:t xml:space="preserve"> </w:t>
      </w:r>
      <w:r w:rsidRPr="003B4F6E">
        <w:rPr>
          <w:rFonts w:ascii="Sylfaen" w:hAnsi="Sylfaen"/>
          <w:i/>
          <w:iCs/>
          <w:noProof/>
          <w:sz w:val="20"/>
          <w:szCs w:val="20"/>
          <w:lang w:val="ka-GE"/>
        </w:rPr>
        <w:t>(მწვავე კორონარული სინდრომების ქრონიკული ანტიაგრეგანტული მკურნალობის დროს თრომბოციტების ინჰიბირებისადმი მგრძნობელობის ტესტირება)</w:t>
      </w:r>
    </w:p>
    <w:p w14:paraId="77B54137"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ეს რანდომიზებული, ღია კვლევა მოიცავდა 2,610 ბიომარკერ-დადებით ACS პაციენტს წარმატებული PCI-ს შემდეგ. პაციენტები რანდომიზებულნი იყვნენ პრასუგრელის 5 ან 10 მგ/დღეში (დღეები 0-14) (n=1306) ან პრასუგრელის 5 ან 10 მგ/დღეში (დღეები 0-7) მისაღებად, შემდეგ კი კლოპიდოგრელზე 75 მგ/დღეში (დღეები 8-14) (n=1304) დეესკალაცია, ასპირინთან კომბინაციაში (&lt;100 მგ/დღეში). მე-14 დღეს ჩატარდა თრომბოციტების ფუნქციის ტესტირება (PFT). მხოლოდ პრასუგრელის მიმღებ პაციენტებს პრასუგრელის მიღება 11.5 თვის განმავლობაში გააგრძელეს.</w:t>
      </w:r>
    </w:p>
    <w:p w14:paraId="2B407B56" w14:textId="77777777" w:rsidR="009F13FD" w:rsidRPr="003B4F6E" w:rsidRDefault="009F13FD" w:rsidP="003B4F6E">
      <w:pPr>
        <w:spacing w:after="0" w:line="240" w:lineRule="auto"/>
        <w:jc w:val="both"/>
        <w:rPr>
          <w:rFonts w:ascii="Sylfaen" w:hAnsi="Sylfaen"/>
          <w:noProof/>
          <w:sz w:val="20"/>
          <w:szCs w:val="20"/>
          <w:lang w:val="ka-GE"/>
        </w:rPr>
      </w:pPr>
    </w:p>
    <w:p w14:paraId="62C5D46D" w14:textId="2965CE0C"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დეესკალაციის მქონე პაციენტებს ჩაუტარდათ მაღალი თრომბოციტების რეაქტიულობის (HPR) ტესტირება. თუ HPR≥46 ერთეულს შეადგენდა, პაციენტების დოზა კვლავ გაიზარდა პრასუგრელზე 5 ან 10 მგ/დღეში 11.5 თვის განმავლობაში; თუ HPR&lt;46 ერთეულს შეადგენდა, პაციენტები აგრძელებდნენ კლოპიდოგრელის 75 მგ/დღეში მიღებას 11.5 თვის განმავლობაში.</w:t>
      </w:r>
      <w:r w:rsidR="009F13FD" w:rsidRPr="003B4F6E">
        <w:rPr>
          <w:rFonts w:ascii="Sylfaen" w:hAnsi="Sylfaen"/>
          <w:noProof/>
          <w:sz w:val="20"/>
          <w:szCs w:val="20"/>
          <w:lang w:val="ka-GE"/>
        </w:rPr>
        <w:t xml:space="preserve"> </w:t>
      </w:r>
      <w:r w:rsidRPr="003B4F6E">
        <w:rPr>
          <w:rFonts w:ascii="Sylfaen" w:hAnsi="Sylfaen"/>
          <w:noProof/>
          <w:sz w:val="20"/>
          <w:szCs w:val="20"/>
          <w:lang w:val="ka-GE"/>
        </w:rPr>
        <w:t>ამიტომ, დეესკალაციის მართვად ჯგუფში შედიოდნენ პაციენტები, რომლებიც იღებდნენ ან პრასუგრელს (40%), ან კლოპიდოგრელს (60%). ყველა პაციენტი აგრძელებდა ასპირინის მიღებას და მათზე დაკვირვება ერთი წლის განმავლობაში მიმდინარეობდა.</w:t>
      </w:r>
    </w:p>
    <w:p w14:paraId="779C875F" w14:textId="77777777" w:rsidR="009F13FD" w:rsidRPr="003B4F6E" w:rsidRDefault="009F13FD" w:rsidP="003B4F6E">
      <w:pPr>
        <w:spacing w:after="0" w:line="240" w:lineRule="auto"/>
        <w:jc w:val="both"/>
        <w:rPr>
          <w:rFonts w:ascii="Sylfaen" w:hAnsi="Sylfaen"/>
          <w:noProof/>
          <w:sz w:val="20"/>
          <w:szCs w:val="20"/>
          <w:lang w:val="ka-GE"/>
        </w:rPr>
      </w:pPr>
    </w:p>
    <w:p w14:paraId="5A73560D"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ძირითადი საბოლოო წერტილი (გულ-სისხლძარღვთა სიკვდილის, მიოკარდიუმის ინფარქტის, ინსულტის და BARC კლასიფიკაციით სისხლდენის ≥2 ხარისხის კომბინირებული შემთხვევები 12 თვის შემდეგ) დაკმაყოფილდა, რაც არადაბალი მდგომარეობის მანიშნებელი იყო. დეესკალაციის მართვად ჯგუფში ოთხმოცდათხუთმეტ პაციენტს (7%) და საკონტროლო ჯგუფში 118 პაციენტს (9%) (p არადაბალი მდგომარეობის = 0.0004) აღენიშნებოდათ მოვლენა. მართვადმა დეესკალაციამ არ გამოიწვია იშემიური მოვლენების კომბინირებული რისკის ზრდა (2.5% დეესკალაციის ჯგუფში საკონტროლო ჯგუფში 3.2%-ის წინააღმდეგ; p არადაბალი=0.0115), ასევე BARC სისხლდენის ≥2 ძირითადი მეორადი საბოლოო წერტილი ((5%) დეესკალაციის ჯგუფში საკონტროლო ჯგუფში 6%-ის წინააღმდეგ (p=0.23)). ყველა სისხლდენის მოვლენის კუმულაციური სიხშირე (BARC კლასი 1-დან 5-მდე) იყო 9% (114 მოვლენა) მართვად დეესკალაციის ჯგუფში საკონტროლო ჯგუფში 11%-ის (137 მოვლენა) წინააღმდეგ (p=0.14).</w:t>
      </w:r>
    </w:p>
    <w:p w14:paraId="15B9259D" w14:textId="77777777" w:rsidR="00322212" w:rsidRPr="003B4F6E" w:rsidRDefault="00322212" w:rsidP="003B4F6E">
      <w:pPr>
        <w:spacing w:after="0" w:line="240" w:lineRule="auto"/>
        <w:jc w:val="both"/>
        <w:rPr>
          <w:rFonts w:ascii="Sylfaen" w:hAnsi="Sylfaen"/>
          <w:noProof/>
          <w:sz w:val="20"/>
          <w:szCs w:val="20"/>
          <w:lang w:val="ka-GE"/>
        </w:rPr>
      </w:pPr>
    </w:p>
    <w:p w14:paraId="7AE4B94B" w14:textId="77777777" w:rsidR="00322212" w:rsidRPr="003B4F6E" w:rsidRDefault="00322212" w:rsidP="003B4F6E">
      <w:pPr>
        <w:spacing w:after="0" w:line="240" w:lineRule="auto"/>
        <w:jc w:val="both"/>
        <w:rPr>
          <w:rFonts w:ascii="Sylfaen" w:hAnsi="Sylfaen"/>
          <w:noProof/>
          <w:sz w:val="20"/>
          <w:szCs w:val="20"/>
          <w:u w:val="single"/>
          <w:lang w:val="ka-GE"/>
        </w:rPr>
      </w:pPr>
      <w:r w:rsidRPr="003B4F6E">
        <w:rPr>
          <w:rFonts w:ascii="Sylfaen" w:hAnsi="Sylfaen"/>
          <w:noProof/>
          <w:sz w:val="20"/>
          <w:szCs w:val="20"/>
          <w:u w:val="single"/>
          <w:lang w:val="ka-GE"/>
        </w:rPr>
        <w:t>ორმაგი ანტიაგრეგანტული თერაპია (DAPT) მწვავე მცირე ინსულტის ან საშუალო და მაღალი რისკის TIA-ს დროს</w:t>
      </w:r>
    </w:p>
    <w:p w14:paraId="598C7BEF" w14:textId="77777777" w:rsidR="00F91B7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DAPT კლოპიდოგრელისა და ასპირინის კომბინაციით, როგორც მკურნალობა ინსულტის პრევენციისთვის მწვავე მცირე ინსულტის ან საშუალო და მაღალი რისკის TIA-ს შემდეგ</w:t>
      </w:r>
      <w:r w:rsidR="009F13FD" w:rsidRPr="003B4F6E">
        <w:rPr>
          <w:rFonts w:ascii="Sylfaen" w:hAnsi="Sylfaen"/>
          <w:noProof/>
          <w:sz w:val="20"/>
          <w:szCs w:val="20"/>
          <w:lang w:val="ka-GE"/>
        </w:rPr>
        <w:t xml:space="preserve"> </w:t>
      </w:r>
      <w:r w:rsidRPr="003B4F6E">
        <w:rPr>
          <w:rFonts w:ascii="Sylfaen" w:hAnsi="Sylfaen"/>
          <w:noProof/>
          <w:sz w:val="20"/>
          <w:szCs w:val="20"/>
          <w:lang w:val="ka-GE"/>
        </w:rPr>
        <w:t xml:space="preserve">TIA შეფასდა ორ რანდომიზებულ მკვლევარის მიერ დაფინანსებულ კვლევაში (ISS) - CHANCE და POINT - კლინიკური უსაფრთხოებისა და ეფექტურობის შედეგების მონაცემებით. </w:t>
      </w:r>
    </w:p>
    <w:p w14:paraId="03113F11" w14:textId="77777777" w:rsidR="00F91B72" w:rsidRPr="003B4F6E" w:rsidRDefault="00F91B72" w:rsidP="003B4F6E">
      <w:pPr>
        <w:spacing w:after="0" w:line="240" w:lineRule="auto"/>
        <w:rPr>
          <w:rFonts w:ascii="Sylfaen" w:hAnsi="Sylfaen"/>
          <w:noProof/>
          <w:sz w:val="20"/>
          <w:szCs w:val="20"/>
          <w:lang w:val="ka-GE"/>
        </w:rPr>
      </w:pPr>
    </w:p>
    <w:p w14:paraId="427B5236" w14:textId="7D7B6CFE"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b/>
          <w:bCs/>
          <w:noProof/>
          <w:sz w:val="20"/>
          <w:szCs w:val="20"/>
          <w:lang w:val="ka-GE"/>
        </w:rPr>
        <w:t>CHANCE</w:t>
      </w:r>
      <w:r w:rsidRPr="003B4F6E">
        <w:rPr>
          <w:rFonts w:ascii="Sylfaen" w:hAnsi="Sylfaen"/>
          <w:noProof/>
          <w:sz w:val="20"/>
          <w:szCs w:val="20"/>
          <w:lang w:val="ka-GE"/>
        </w:rPr>
        <w:t xml:space="preserve"> </w:t>
      </w:r>
      <w:r w:rsidRPr="003B4F6E">
        <w:rPr>
          <w:rFonts w:ascii="Sylfaen" w:hAnsi="Sylfaen"/>
          <w:i/>
          <w:iCs/>
          <w:noProof/>
          <w:sz w:val="20"/>
          <w:szCs w:val="20"/>
          <w:lang w:val="ka-GE"/>
        </w:rPr>
        <w:t>(კლოპიდოგრელი მაღალი რისკის მქონე პაციენტებში მწვავე არაინვალიდური ცერებროვასკულური შემთხვევებით)</w:t>
      </w:r>
    </w:p>
    <w:p w14:paraId="46C91C4C" w14:textId="1A8D3B7D"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ეს რანდომიზებული, ორმაგი ბრმა, მულტიცენტრული, პლაცებო-კონტროლირებადი კლინიკური კვლევა მოიცავდა 5,170 ჩინელ პაციენტს მწვავე TIA-თი</w:t>
      </w:r>
      <w:r w:rsidR="00F91B72" w:rsidRPr="003B4F6E">
        <w:rPr>
          <w:rFonts w:ascii="Sylfaen" w:hAnsi="Sylfaen"/>
          <w:noProof/>
          <w:sz w:val="20"/>
          <w:szCs w:val="20"/>
          <w:lang w:val="ka-GE"/>
        </w:rPr>
        <w:t xml:space="preserve"> </w:t>
      </w:r>
      <w:r w:rsidRPr="003B4F6E">
        <w:rPr>
          <w:rFonts w:ascii="Sylfaen" w:hAnsi="Sylfaen"/>
          <w:noProof/>
          <w:sz w:val="20"/>
          <w:szCs w:val="20"/>
          <w:lang w:val="ka-GE"/>
        </w:rPr>
        <w:t>(ABCD2 ქულა ≥4) ან მწვავე მცირე ინსულტით (NIHSS ≤3). ორივე ჯგუფის პაციენტებმა მიიღეს ღია აასპ პირველ დღეს (დოზით</w:t>
      </w:r>
      <w:r w:rsidR="00F91B72" w:rsidRPr="003B4F6E">
        <w:rPr>
          <w:rFonts w:ascii="Sylfaen" w:hAnsi="Sylfaen"/>
          <w:noProof/>
          <w:sz w:val="20"/>
          <w:szCs w:val="20"/>
          <w:lang w:val="ka-GE"/>
        </w:rPr>
        <w:t xml:space="preserve"> </w:t>
      </w:r>
      <w:r w:rsidRPr="003B4F6E">
        <w:rPr>
          <w:rFonts w:ascii="Sylfaen" w:hAnsi="Sylfaen"/>
          <w:noProof/>
          <w:sz w:val="20"/>
          <w:szCs w:val="20"/>
          <w:lang w:val="ka-GE"/>
        </w:rPr>
        <w:t xml:space="preserve">75-დან 300 მგ-მდე, მკურნალი ექიმის შეხედულებისამებრ). კლოპიდოგრელ-ასმ-ს ჯგუფში შემთხვევითობის პრინციპით შერჩეულმა პაციენტებმა პირველ დღეს მიიღეს კლოპიდოგრელის 300 მგ დარტყმითი დოზა, შემდეგ მე-2-დან 90 დღემდე - კლოპიდოგრელის 75 მგ დოზა დღეში, ხოლო მე-2-დან 21-ე დღემდე - ასმ-ს 75 მგ დოზა დღეში. ასმ-ს ჯგუფში შემთხვევითობის პრინციპით შერჩეულმა პაციენტებმა მიიღეს კლოპიდოგრელის პლაცებო ვერსია 1-დან 90 დღემდე და ასმ-ს 75 მგ დოზა დღეში მე-2-დან 90 დღემდე. ეფექტურობის ძირითადი შედეგი იყო ინსულტის ნებისმიერი ახალი შემთხვევა (იშემიური და ჰემორაგიული) მწვავე მცირე ინსულტის ან მაღალი რისკის მქონე TIA-ს შემდეგ პირველი 90 დღის განმავლობაში. ეს კლოპიდოგრელ-ასპირინის ჯგუფში 212 პაციენტს (8.2%) აღენიშნებოდა, ასპირინის ჯგუფში კი - 303 პაციენტს (11.7%) (საფრთხის </w:t>
      </w:r>
      <w:r w:rsidRPr="003B4F6E">
        <w:rPr>
          <w:rFonts w:ascii="Sylfaen" w:hAnsi="Sylfaen"/>
          <w:noProof/>
          <w:sz w:val="20"/>
          <w:szCs w:val="20"/>
          <w:lang w:val="ka-GE"/>
        </w:rPr>
        <w:lastRenderedPageBreak/>
        <w:t>თანაფარდობა [HR], 0.68; 95%-იანი სანდოობის ინტერვალი [CI], 0.57-დან 0.81-მდე; P&lt;0.001). ინსულტი კლოპიდოგრელ-ასპირინის ჯგუფში 204 პაციენტს (7.9%) აღენიშნებოდა, ასპირინის ჯგუფში კი - 295-ს (11.4%) (HR, 0.67; 95% CI, 0.56-დან 0.81-მდე; P&lt;0.001). ჰემორაგიული ინსულტი ორივე კვლევის ჯგუფში 8 პაციენტს (თითოეული ჯგუფის 0.3%) აღენიშნებოდა.</w:t>
      </w:r>
      <w:r w:rsidR="00F91B72" w:rsidRPr="003B4F6E">
        <w:rPr>
          <w:rFonts w:ascii="Sylfaen" w:hAnsi="Sylfaen"/>
          <w:noProof/>
          <w:sz w:val="20"/>
          <w:szCs w:val="20"/>
          <w:lang w:val="ka-GE"/>
        </w:rPr>
        <w:t xml:space="preserve"> </w:t>
      </w:r>
      <w:r w:rsidRPr="003B4F6E">
        <w:rPr>
          <w:rFonts w:ascii="Sylfaen" w:hAnsi="Sylfaen"/>
          <w:noProof/>
          <w:sz w:val="20"/>
          <w:szCs w:val="20"/>
          <w:lang w:val="ka-GE"/>
        </w:rPr>
        <w:t>საშუალო ან მძიმე სისხლდენა კლოპიდოგრელ-ასპირინის ჯგუფში შვიდ პაციენტს (0.3%) და ასპირინის ჯგუფში რვა პაციენტს (0.3%) აღენიშნებოდა (P = 0.73). კლოპიდოგრელ-აცეტილსალიცილის მჟავის ჯგუფში ნებისმიერი სისხლდენის მაჩვენებელი 2.3% იყო, აცეტილსალიცილის მჟავის ჯგუფში კი - 1.6% (HR, 1.41; 95% CI, 0.95-დან 2.10-მდე; P = 0.09).</w:t>
      </w:r>
    </w:p>
    <w:p w14:paraId="5F0A72C2" w14:textId="77777777" w:rsidR="00F91B72" w:rsidRPr="003B4F6E" w:rsidRDefault="00F91B72" w:rsidP="003B4F6E">
      <w:pPr>
        <w:spacing w:after="0" w:line="240" w:lineRule="auto"/>
        <w:rPr>
          <w:rFonts w:ascii="Sylfaen" w:hAnsi="Sylfaen"/>
          <w:noProof/>
          <w:color w:val="3366FF"/>
          <w:sz w:val="20"/>
          <w:szCs w:val="20"/>
          <w:lang w:val="ka-GE"/>
        </w:rPr>
      </w:pPr>
    </w:p>
    <w:p w14:paraId="2C4F6388" w14:textId="77777777" w:rsidR="00322212" w:rsidRPr="003B4F6E" w:rsidRDefault="00322212" w:rsidP="003B4F6E">
      <w:pPr>
        <w:spacing w:after="0" w:line="240" w:lineRule="auto"/>
        <w:rPr>
          <w:rFonts w:ascii="Sylfaen" w:hAnsi="Sylfaen"/>
          <w:i/>
          <w:iCs/>
          <w:noProof/>
          <w:sz w:val="20"/>
          <w:szCs w:val="20"/>
          <w:lang w:val="ka-GE"/>
        </w:rPr>
      </w:pPr>
      <w:r w:rsidRPr="003B4F6E">
        <w:rPr>
          <w:rFonts w:ascii="Sylfaen" w:hAnsi="Sylfaen"/>
          <w:b/>
          <w:bCs/>
          <w:noProof/>
          <w:sz w:val="20"/>
          <w:szCs w:val="20"/>
          <w:lang w:val="ka-GE"/>
        </w:rPr>
        <w:t xml:space="preserve">POINT </w:t>
      </w:r>
      <w:r w:rsidRPr="003B4F6E">
        <w:rPr>
          <w:rFonts w:ascii="Sylfaen" w:hAnsi="Sylfaen"/>
          <w:i/>
          <w:iCs/>
          <w:noProof/>
          <w:sz w:val="20"/>
          <w:szCs w:val="20"/>
          <w:lang w:val="ka-GE"/>
        </w:rPr>
        <w:t>(თრომბოციტებზე ორიენტირებული ინჰიბირება ახალი TIA-სა და მცირე იშემიური ინსულტის დროს)</w:t>
      </w:r>
    </w:p>
    <w:p w14:paraId="46F4EA5F" w14:textId="77777777" w:rsidR="00F91B72" w:rsidRPr="003B4F6E" w:rsidRDefault="00322212" w:rsidP="003B4F6E">
      <w:pPr>
        <w:spacing w:after="0" w:line="240" w:lineRule="auto"/>
        <w:rPr>
          <w:rFonts w:ascii="Sylfaen" w:hAnsi="Sylfaen"/>
          <w:noProof/>
          <w:sz w:val="20"/>
          <w:szCs w:val="20"/>
          <w:lang w:val="ka-GE"/>
        </w:rPr>
      </w:pPr>
      <w:r w:rsidRPr="003B4F6E">
        <w:rPr>
          <w:rFonts w:ascii="Sylfaen" w:hAnsi="Sylfaen"/>
          <w:noProof/>
          <w:sz w:val="20"/>
          <w:szCs w:val="20"/>
          <w:lang w:val="ka-GE"/>
        </w:rPr>
        <w:t xml:space="preserve">ეს რანდომიზებული, ორმაგი ბრმა, მულტიცენტრული, პლაცებო-კონტროლირებადი კლინიკური კვლევა მოიცავდა 4,881 საერთაშორისო პაციენტს მწვავე TIA-თი (ABCD2 ქულა ≥4) ან მცირე ინსულტით (NIHSS ≤3). ორივე ჯგუფის ყველა პაციენტმა მიიღო ღია ASA 1-დან 90 დღემდე (50-325 მგ, მკურნალი ექიმის შეხედულებისამებრ). პაციენტებმა, რომლებიც შემთხვევითობის პრინციპით იყვნენ განაწილებულნი კლოპიდოგრელის ჯგუფში, პირველ დღეს მიიღეს 600 მგ კლოპიდოგრელის საწყისი დოზა, შემდეგ კი 75 მგ კლოპიდოგრელი დღეში მე-2-დან 90-ე დღემდე. </w:t>
      </w:r>
    </w:p>
    <w:p w14:paraId="172EBBC4" w14:textId="77777777" w:rsidR="00F91B72" w:rsidRPr="003B4F6E" w:rsidRDefault="00F91B72" w:rsidP="003B4F6E">
      <w:pPr>
        <w:spacing w:after="0" w:line="240" w:lineRule="auto"/>
        <w:jc w:val="both"/>
        <w:rPr>
          <w:rFonts w:ascii="Sylfaen" w:hAnsi="Sylfaen"/>
          <w:noProof/>
          <w:sz w:val="20"/>
          <w:szCs w:val="20"/>
          <w:lang w:val="ka-GE"/>
        </w:rPr>
      </w:pPr>
    </w:p>
    <w:p w14:paraId="71E3B5FB" w14:textId="77777777" w:rsidR="00F91B7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პაციენტებმა, რომლებიც შემთხვევითობის პრინციპით იყვნენ განაწილებულნი პლაცებო ჯგუფში, პირველიდან 90-ე დღემდე მიიღეს კლოპიდოგრელის პლაცებო. ეფექტურობის ძირითადი შედეგი იყო ძირითადი იშემიური მოვლენების (ინსულტი, მიოკარდიუმის ინფარქტი ან სიკვდილი იშემიური სისხლძარღვოვანი მოვლენიდან) ერთობლიობა მე-90 დღეს. ეს მოხდა 121 პაციენტში (5.0%), რომლებიც იღებდნენ კლოპიდოგრელს პლუს აცეტილსალიცილის მჟავას, იმ 160 პაციენტთან შედარებით (6.5%), რომლებიც იღებდნენ მხოლოდ აცეტილსალიცილის მჟავას (HR, 0.75; 95% CI, 0.59-დან 0.95-მდე; P = 0.02). IS-ის მეორადი შედეგი დაფიქსირდა 112 პაციენტში (4.6%), რომლებიც იღებდნენ კლოპიდოგრელს პლუს აცეტილსალიცილის მჟავას, იმ 155 პაციენტთან შედარებით (6.3%), რომლებიც იღებდნენ მხოლოდ აცეტილსალიცილის მჟავას (HR, 0.72; 95% CI, 0.56-დან 0.92-მდე; P = 0.01). ძირითადი უსაფრთხოების შედეგი - დიდი სისხლდენა დაფიქსირდა კლოპიდოგრელთან პლუს აცეტილსალიცილის მჟავას შემცველი 2432 პაციენტიდან 23-ში (0.9%) და მხოლოდ აცეტილსალიცილის მჟავას შემცველი 2449 პაციენტიდან 10-ში (0.4%) (HR, 2.32; 95% CI, 1.10-დან 4.87-მდე; P = 0.02). მცირე სისხლდენა დაფიქსირდა 40 პაციენტში (1.6%), რომლებიც იღებდნენ კლოპიდოგრელს პლუს აცეტილსალიცილის მჟავას და 13 პაციენტში (0.5%), რომლებიც იღებდნენ მხოლოდ აცეტილსალიცილის მჟავას (HR, 3.12; 95% CI, 1.67-დან 5.83-მდე; P &lt; 0.001). </w:t>
      </w:r>
    </w:p>
    <w:p w14:paraId="13D7C679" w14:textId="77777777" w:rsidR="00F91B72" w:rsidRPr="003B4F6E" w:rsidRDefault="00F91B72" w:rsidP="003B4F6E">
      <w:pPr>
        <w:spacing w:after="0" w:line="240" w:lineRule="auto"/>
        <w:jc w:val="both"/>
        <w:rPr>
          <w:rFonts w:ascii="Sylfaen" w:hAnsi="Sylfaen"/>
          <w:noProof/>
          <w:sz w:val="20"/>
          <w:szCs w:val="20"/>
          <w:lang w:val="ka-GE"/>
        </w:rPr>
      </w:pPr>
    </w:p>
    <w:p w14:paraId="7CAA1CAA" w14:textId="47C96295"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CHANCE და POINT დროის კურსის ანალიზი</w:t>
      </w:r>
    </w:p>
    <w:p w14:paraId="251A91CE"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DAPT-ის 21 დღეზე მეტი ვადით გაგრძელების ეფექტურობის სარგებელი არ დაფიქსირებულა. DAPT-ის მოკლევადიანი კურსის გავლენის გასაანალიზებლად ჩატარდა ძირითადი იშემიური მოვლენების და ძირითადი სისხლჩაქცევების დროის კურსის განაწილება მკურნალობის მინიჭების მიხედვით.</w:t>
      </w:r>
    </w:p>
    <w:p w14:paraId="075862FB" w14:textId="77777777" w:rsidR="00322212" w:rsidRPr="003B4F6E" w:rsidRDefault="00322212" w:rsidP="003B4F6E">
      <w:pPr>
        <w:spacing w:after="0" w:line="240" w:lineRule="auto"/>
        <w:rPr>
          <w:rFonts w:ascii="Sylfaen" w:hAnsi="Sylfaen"/>
          <w:noProof/>
          <w:sz w:val="20"/>
          <w:szCs w:val="20"/>
          <w:lang w:val="ka-GE"/>
        </w:rPr>
      </w:pPr>
    </w:p>
    <w:p w14:paraId="64D9F42C" w14:textId="77777777" w:rsidR="00322212" w:rsidRPr="003B4F6E" w:rsidRDefault="00322212" w:rsidP="003B4F6E">
      <w:pPr>
        <w:spacing w:after="0" w:line="240" w:lineRule="auto"/>
        <w:jc w:val="both"/>
        <w:rPr>
          <w:rFonts w:ascii="Sylfaen" w:hAnsi="Sylfaen"/>
          <w:b/>
          <w:noProof/>
          <w:sz w:val="20"/>
          <w:szCs w:val="20"/>
          <w:lang w:val="ka-GE"/>
        </w:rPr>
      </w:pPr>
      <w:r w:rsidRPr="003B4F6E">
        <w:rPr>
          <w:rFonts w:ascii="Sylfaen" w:hAnsi="Sylfaen"/>
          <w:b/>
          <w:noProof/>
          <w:sz w:val="20"/>
          <w:szCs w:val="20"/>
          <w:lang w:val="ka-GE"/>
        </w:rPr>
        <w:t>ცხრილი 1 - ძირითადი იშემიური მოვლენების და ძირითადი სისხლჩაქცევების დროითი განაწილება მკურნალობის მინიჭების მიხედვით CHANCE-სა და POINT-ში</w:t>
      </w:r>
    </w:p>
    <w:p w14:paraId="187936A5" w14:textId="77777777" w:rsidR="00322212" w:rsidRPr="003B4F6E" w:rsidRDefault="00322212" w:rsidP="003B4F6E">
      <w:pPr>
        <w:spacing w:after="0" w:line="240" w:lineRule="auto"/>
        <w:rPr>
          <w:rFonts w:ascii="Sylfaen" w:hAnsi="Sylfaen"/>
          <w:noProof/>
          <w:sz w:val="20"/>
          <w:szCs w:val="20"/>
          <w:lang w:val="ka-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9"/>
        <w:gridCol w:w="1975"/>
        <w:gridCol w:w="1835"/>
        <w:gridCol w:w="1721"/>
        <w:gridCol w:w="1835"/>
        <w:gridCol w:w="1835"/>
      </w:tblGrid>
      <w:tr w:rsidR="00322212" w:rsidRPr="003B4F6E" w14:paraId="1DE694E3" w14:textId="77777777" w:rsidTr="002540FD">
        <w:tc>
          <w:tcPr>
            <w:tcW w:w="1949" w:type="dxa"/>
          </w:tcPr>
          <w:p w14:paraId="7D3218AD" w14:textId="77777777" w:rsidR="00322212" w:rsidRPr="003B4F6E" w:rsidRDefault="00322212" w:rsidP="003B4F6E">
            <w:pPr>
              <w:autoSpaceDE w:val="0"/>
              <w:autoSpaceDN w:val="0"/>
              <w:adjustRightInd w:val="0"/>
              <w:spacing w:after="0" w:line="240" w:lineRule="auto"/>
              <w:rPr>
                <w:rFonts w:ascii="Sylfaen" w:hAnsi="Sylfaen" w:cs="Segoe UI"/>
                <w:noProof/>
                <w:color w:val="000000"/>
                <w:sz w:val="20"/>
                <w:szCs w:val="20"/>
                <w:lang w:val="ka-GE"/>
              </w:rPr>
            </w:pPr>
            <w:r w:rsidRPr="003B4F6E">
              <w:rPr>
                <w:rFonts w:ascii="Sylfaen" w:hAnsi="Sylfaen" w:cs="Segoe UI"/>
                <w:noProof/>
                <w:color w:val="000000"/>
                <w:sz w:val="20"/>
                <w:szCs w:val="20"/>
                <w:lang w:val="ka-GE"/>
              </w:rPr>
              <w:t>მოვლენის #</w:t>
            </w:r>
          </w:p>
          <w:p w14:paraId="05E9A2A8"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p>
        </w:tc>
        <w:tc>
          <w:tcPr>
            <w:tcW w:w="1975" w:type="dxa"/>
          </w:tcPr>
          <w:p w14:paraId="6F11B99B"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p>
        </w:tc>
        <w:tc>
          <w:tcPr>
            <w:tcW w:w="1835" w:type="dxa"/>
          </w:tcPr>
          <w:p w14:paraId="160A6074"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p>
        </w:tc>
        <w:tc>
          <w:tcPr>
            <w:tcW w:w="1721" w:type="dxa"/>
          </w:tcPr>
          <w:p w14:paraId="27230068"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p>
        </w:tc>
        <w:tc>
          <w:tcPr>
            <w:tcW w:w="1835" w:type="dxa"/>
          </w:tcPr>
          <w:p w14:paraId="04D36D74"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p>
        </w:tc>
        <w:tc>
          <w:tcPr>
            <w:tcW w:w="1835" w:type="dxa"/>
          </w:tcPr>
          <w:p w14:paraId="3E1A9C2F"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p>
        </w:tc>
      </w:tr>
      <w:tr w:rsidR="00322212" w:rsidRPr="003B4F6E" w14:paraId="08E6EAE1" w14:textId="77777777" w:rsidTr="002540FD">
        <w:tc>
          <w:tcPr>
            <w:tcW w:w="1949" w:type="dxa"/>
          </w:tcPr>
          <w:p w14:paraId="31EA8BD4"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შედეგები CHANCE-სა და POINT-ში</w:t>
            </w:r>
          </w:p>
        </w:tc>
        <w:tc>
          <w:tcPr>
            <w:tcW w:w="1975" w:type="dxa"/>
          </w:tcPr>
          <w:p w14:paraId="0E0302CF"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მკურნალობის დანიშვნა</w:t>
            </w:r>
          </w:p>
        </w:tc>
        <w:tc>
          <w:tcPr>
            <w:tcW w:w="1835" w:type="dxa"/>
          </w:tcPr>
          <w:p w14:paraId="248F7AEB" w14:textId="77777777" w:rsidR="00322212" w:rsidRPr="003B4F6E" w:rsidRDefault="00322212" w:rsidP="003B4F6E">
            <w:pPr>
              <w:autoSpaceDE w:val="0"/>
              <w:autoSpaceDN w:val="0"/>
              <w:adjustRightInd w:val="0"/>
              <w:spacing w:after="0" w:line="240" w:lineRule="auto"/>
              <w:rPr>
                <w:rFonts w:ascii="Sylfaen" w:hAnsi="Sylfaen" w:cs="Segoe UI"/>
                <w:noProof/>
                <w:color w:val="000000"/>
                <w:sz w:val="20"/>
                <w:szCs w:val="20"/>
                <w:lang w:val="ka-GE"/>
              </w:rPr>
            </w:pPr>
            <w:r w:rsidRPr="003B4F6E">
              <w:rPr>
                <w:rFonts w:ascii="Sylfaen" w:hAnsi="Sylfaen" w:cs="Segoe UI"/>
                <w:noProof/>
                <w:color w:val="000000"/>
                <w:sz w:val="20"/>
                <w:szCs w:val="20"/>
                <w:lang w:val="ka-GE"/>
              </w:rPr>
              <w:t>სულ</w:t>
            </w:r>
          </w:p>
          <w:p w14:paraId="2F6B5A4C"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p>
        </w:tc>
        <w:tc>
          <w:tcPr>
            <w:tcW w:w="1721" w:type="dxa"/>
          </w:tcPr>
          <w:p w14:paraId="4473CFAE" w14:textId="77777777" w:rsidR="00322212" w:rsidRPr="003B4F6E" w:rsidRDefault="00322212" w:rsidP="003B4F6E">
            <w:pPr>
              <w:autoSpaceDE w:val="0"/>
              <w:autoSpaceDN w:val="0"/>
              <w:adjustRightInd w:val="0"/>
              <w:spacing w:after="0" w:line="240" w:lineRule="auto"/>
              <w:rPr>
                <w:rFonts w:ascii="Sylfaen" w:hAnsi="Sylfaen" w:cs="Segoe UI"/>
                <w:noProof/>
                <w:color w:val="000000"/>
                <w:sz w:val="20"/>
                <w:szCs w:val="20"/>
                <w:lang w:val="ka-GE"/>
              </w:rPr>
            </w:pPr>
            <w:r w:rsidRPr="003B4F6E">
              <w:rPr>
                <w:rFonts w:ascii="Sylfaen" w:hAnsi="Sylfaen" w:cs="Segoe UI"/>
                <w:noProof/>
                <w:color w:val="000000"/>
                <w:sz w:val="20"/>
                <w:szCs w:val="20"/>
                <w:lang w:val="ka-GE"/>
              </w:rPr>
              <w:t>1 -ლი კვირა</w:t>
            </w:r>
          </w:p>
        </w:tc>
        <w:tc>
          <w:tcPr>
            <w:tcW w:w="1835" w:type="dxa"/>
          </w:tcPr>
          <w:p w14:paraId="29F31749"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მე -2 კვირა</w:t>
            </w:r>
          </w:p>
        </w:tc>
        <w:tc>
          <w:tcPr>
            <w:tcW w:w="1835" w:type="dxa"/>
          </w:tcPr>
          <w:p w14:paraId="6DD11386"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მე -3 კვირა</w:t>
            </w:r>
          </w:p>
        </w:tc>
      </w:tr>
      <w:tr w:rsidR="00322212" w:rsidRPr="003B4F6E" w14:paraId="41081973" w14:textId="77777777" w:rsidTr="002540FD">
        <w:tc>
          <w:tcPr>
            <w:tcW w:w="1949" w:type="dxa"/>
          </w:tcPr>
          <w:p w14:paraId="1DCD5C22" w14:textId="77777777" w:rsidR="00322212" w:rsidRPr="003B4F6E" w:rsidRDefault="00322212" w:rsidP="003B4F6E">
            <w:pPr>
              <w:autoSpaceDE w:val="0"/>
              <w:autoSpaceDN w:val="0"/>
              <w:adjustRightInd w:val="0"/>
              <w:spacing w:after="0" w:line="240" w:lineRule="auto"/>
              <w:rPr>
                <w:rFonts w:ascii="Sylfaen" w:hAnsi="Sylfaen" w:cs="Segoe UI"/>
                <w:noProof/>
                <w:color w:val="000000"/>
                <w:sz w:val="20"/>
                <w:szCs w:val="20"/>
                <w:lang w:val="ka-GE"/>
              </w:rPr>
            </w:pPr>
            <w:r w:rsidRPr="003B4F6E">
              <w:rPr>
                <w:rFonts w:ascii="Sylfaen" w:hAnsi="Sylfaen" w:cs="Segoe UI"/>
                <w:noProof/>
                <w:color w:val="000000"/>
                <w:sz w:val="20"/>
                <w:szCs w:val="20"/>
                <w:lang w:val="ka-GE"/>
              </w:rPr>
              <w:t>ძირითადი იშემიური მოვლენები</w:t>
            </w:r>
          </w:p>
          <w:p w14:paraId="6A544623"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p>
        </w:tc>
        <w:tc>
          <w:tcPr>
            <w:tcW w:w="1975" w:type="dxa"/>
          </w:tcPr>
          <w:p w14:paraId="3E1398FD"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ასმ (n=5,035)</w:t>
            </w:r>
          </w:p>
        </w:tc>
        <w:tc>
          <w:tcPr>
            <w:tcW w:w="1835" w:type="dxa"/>
          </w:tcPr>
          <w:p w14:paraId="10E0E772"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458</w:t>
            </w:r>
          </w:p>
        </w:tc>
        <w:tc>
          <w:tcPr>
            <w:tcW w:w="1721" w:type="dxa"/>
          </w:tcPr>
          <w:p w14:paraId="1F1BC979"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330</w:t>
            </w:r>
          </w:p>
        </w:tc>
        <w:tc>
          <w:tcPr>
            <w:tcW w:w="1835" w:type="dxa"/>
          </w:tcPr>
          <w:p w14:paraId="080CDE42"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36</w:t>
            </w:r>
          </w:p>
        </w:tc>
        <w:tc>
          <w:tcPr>
            <w:tcW w:w="1835" w:type="dxa"/>
          </w:tcPr>
          <w:p w14:paraId="70B73F66"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21</w:t>
            </w:r>
          </w:p>
        </w:tc>
      </w:tr>
      <w:tr w:rsidR="00322212" w:rsidRPr="003B4F6E" w14:paraId="482F807D" w14:textId="77777777" w:rsidTr="002540FD">
        <w:tc>
          <w:tcPr>
            <w:tcW w:w="1949" w:type="dxa"/>
          </w:tcPr>
          <w:p w14:paraId="6EC5321B"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p>
        </w:tc>
        <w:tc>
          <w:tcPr>
            <w:tcW w:w="1975" w:type="dxa"/>
          </w:tcPr>
          <w:p w14:paraId="1E203424" w14:textId="77777777" w:rsidR="00322212" w:rsidRPr="003B4F6E" w:rsidRDefault="00322212" w:rsidP="003B4F6E">
            <w:pPr>
              <w:autoSpaceDE w:val="0"/>
              <w:autoSpaceDN w:val="0"/>
              <w:adjustRightInd w:val="0"/>
              <w:spacing w:after="0" w:line="240" w:lineRule="auto"/>
              <w:rPr>
                <w:rFonts w:ascii="Sylfaen" w:hAnsi="Sylfaen" w:cs="Segoe UI"/>
                <w:noProof/>
                <w:color w:val="000000"/>
                <w:sz w:val="20"/>
                <w:szCs w:val="20"/>
                <w:lang w:val="ka-GE"/>
              </w:rPr>
            </w:pPr>
            <w:r w:rsidRPr="003B4F6E">
              <w:rPr>
                <w:rFonts w:ascii="Sylfaen" w:hAnsi="Sylfaen" w:cs="Segoe UI"/>
                <w:noProof/>
                <w:color w:val="000000"/>
                <w:sz w:val="20"/>
                <w:szCs w:val="20"/>
                <w:lang w:val="ka-GE"/>
              </w:rPr>
              <w:t>CLP+ASA(n=5,016)</w:t>
            </w:r>
          </w:p>
          <w:p w14:paraId="547D0625"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p>
        </w:tc>
        <w:tc>
          <w:tcPr>
            <w:tcW w:w="1835" w:type="dxa"/>
          </w:tcPr>
          <w:p w14:paraId="5B6194B4"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328</w:t>
            </w:r>
          </w:p>
        </w:tc>
        <w:tc>
          <w:tcPr>
            <w:tcW w:w="1721" w:type="dxa"/>
          </w:tcPr>
          <w:p w14:paraId="4992A05F"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217</w:t>
            </w:r>
          </w:p>
        </w:tc>
        <w:tc>
          <w:tcPr>
            <w:tcW w:w="1835" w:type="dxa"/>
          </w:tcPr>
          <w:p w14:paraId="191F3455"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30</w:t>
            </w:r>
          </w:p>
        </w:tc>
        <w:tc>
          <w:tcPr>
            <w:tcW w:w="1835" w:type="dxa"/>
          </w:tcPr>
          <w:p w14:paraId="5D274FDC"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14</w:t>
            </w:r>
          </w:p>
        </w:tc>
      </w:tr>
      <w:tr w:rsidR="00322212" w:rsidRPr="003B4F6E" w14:paraId="32540A7A" w14:textId="77777777" w:rsidTr="002540FD">
        <w:tc>
          <w:tcPr>
            <w:tcW w:w="1949" w:type="dxa"/>
          </w:tcPr>
          <w:p w14:paraId="616125E2"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p>
        </w:tc>
        <w:tc>
          <w:tcPr>
            <w:tcW w:w="1975" w:type="dxa"/>
          </w:tcPr>
          <w:p w14:paraId="66F72D36" w14:textId="77777777" w:rsidR="00322212" w:rsidRPr="003B4F6E" w:rsidRDefault="00322212" w:rsidP="003B4F6E">
            <w:pPr>
              <w:autoSpaceDE w:val="0"/>
              <w:autoSpaceDN w:val="0"/>
              <w:adjustRightInd w:val="0"/>
              <w:spacing w:after="0" w:line="240" w:lineRule="auto"/>
              <w:rPr>
                <w:rFonts w:ascii="Sylfaen" w:hAnsi="Sylfaen" w:cs="Segoe UI"/>
                <w:noProof/>
                <w:color w:val="000000"/>
                <w:sz w:val="20"/>
                <w:szCs w:val="20"/>
                <w:lang w:val="ka-GE"/>
              </w:rPr>
            </w:pPr>
            <w:r w:rsidRPr="003B4F6E">
              <w:rPr>
                <w:rFonts w:ascii="Sylfaen" w:hAnsi="Sylfaen" w:cs="Segoe UI"/>
                <w:noProof/>
                <w:color w:val="000000"/>
                <w:sz w:val="20"/>
                <w:szCs w:val="20"/>
                <w:lang w:val="ka-GE"/>
              </w:rPr>
              <w:t>განსხვავება</w:t>
            </w:r>
          </w:p>
          <w:p w14:paraId="338E4FDA"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p>
        </w:tc>
        <w:tc>
          <w:tcPr>
            <w:tcW w:w="1835" w:type="dxa"/>
          </w:tcPr>
          <w:p w14:paraId="759A32DD"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130</w:t>
            </w:r>
          </w:p>
        </w:tc>
        <w:tc>
          <w:tcPr>
            <w:tcW w:w="1721" w:type="dxa"/>
          </w:tcPr>
          <w:p w14:paraId="379E2BDE"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113</w:t>
            </w:r>
          </w:p>
        </w:tc>
        <w:tc>
          <w:tcPr>
            <w:tcW w:w="1835" w:type="dxa"/>
          </w:tcPr>
          <w:p w14:paraId="4A05A68F"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6</w:t>
            </w:r>
          </w:p>
        </w:tc>
        <w:tc>
          <w:tcPr>
            <w:tcW w:w="1835" w:type="dxa"/>
          </w:tcPr>
          <w:p w14:paraId="55D39DA8"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7</w:t>
            </w:r>
          </w:p>
        </w:tc>
      </w:tr>
      <w:tr w:rsidR="00322212" w:rsidRPr="003B4F6E" w14:paraId="0A401A03" w14:textId="77777777" w:rsidTr="002540FD">
        <w:tc>
          <w:tcPr>
            <w:tcW w:w="1949" w:type="dxa"/>
          </w:tcPr>
          <w:p w14:paraId="5D22B8FE"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დიდი სისხლდენა</w:t>
            </w:r>
          </w:p>
        </w:tc>
        <w:tc>
          <w:tcPr>
            <w:tcW w:w="1975" w:type="dxa"/>
          </w:tcPr>
          <w:p w14:paraId="181FDDD7" w14:textId="77777777" w:rsidR="00322212" w:rsidRPr="003B4F6E" w:rsidRDefault="00322212" w:rsidP="003B4F6E">
            <w:pPr>
              <w:autoSpaceDE w:val="0"/>
              <w:autoSpaceDN w:val="0"/>
              <w:adjustRightInd w:val="0"/>
              <w:spacing w:after="0" w:line="240" w:lineRule="auto"/>
              <w:rPr>
                <w:rFonts w:ascii="Sylfaen" w:hAnsi="Sylfaen" w:cs="Segoe UI"/>
                <w:noProof/>
                <w:color w:val="000000"/>
                <w:sz w:val="20"/>
                <w:szCs w:val="20"/>
                <w:lang w:val="ka-GE"/>
              </w:rPr>
            </w:pPr>
            <w:r w:rsidRPr="003B4F6E">
              <w:rPr>
                <w:rFonts w:ascii="Sylfaen" w:hAnsi="Sylfaen" w:cs="Segoe UI"/>
                <w:noProof/>
                <w:color w:val="000000"/>
                <w:sz w:val="20"/>
                <w:szCs w:val="20"/>
                <w:lang w:val="ka-GE"/>
              </w:rPr>
              <w:t>ასმ (n=5,035)</w:t>
            </w:r>
          </w:p>
          <w:p w14:paraId="198E345C"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p>
        </w:tc>
        <w:tc>
          <w:tcPr>
            <w:tcW w:w="1835" w:type="dxa"/>
          </w:tcPr>
          <w:p w14:paraId="7F7B6A2F"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18</w:t>
            </w:r>
          </w:p>
        </w:tc>
        <w:tc>
          <w:tcPr>
            <w:tcW w:w="1721" w:type="dxa"/>
          </w:tcPr>
          <w:p w14:paraId="3CA59931"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4</w:t>
            </w:r>
          </w:p>
        </w:tc>
        <w:tc>
          <w:tcPr>
            <w:tcW w:w="1835" w:type="dxa"/>
          </w:tcPr>
          <w:p w14:paraId="37F2BA0D"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2</w:t>
            </w:r>
          </w:p>
        </w:tc>
        <w:tc>
          <w:tcPr>
            <w:tcW w:w="1835" w:type="dxa"/>
          </w:tcPr>
          <w:p w14:paraId="75D868F9"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1</w:t>
            </w:r>
          </w:p>
        </w:tc>
      </w:tr>
      <w:tr w:rsidR="00322212" w:rsidRPr="003B4F6E" w14:paraId="0081B3FF" w14:textId="77777777" w:rsidTr="002540FD">
        <w:tc>
          <w:tcPr>
            <w:tcW w:w="1949" w:type="dxa"/>
          </w:tcPr>
          <w:p w14:paraId="58329AD0"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p>
        </w:tc>
        <w:tc>
          <w:tcPr>
            <w:tcW w:w="1975" w:type="dxa"/>
          </w:tcPr>
          <w:p w14:paraId="286A0078" w14:textId="77777777" w:rsidR="00322212" w:rsidRPr="003B4F6E" w:rsidRDefault="00322212" w:rsidP="003B4F6E">
            <w:pPr>
              <w:autoSpaceDE w:val="0"/>
              <w:autoSpaceDN w:val="0"/>
              <w:adjustRightInd w:val="0"/>
              <w:spacing w:after="0" w:line="240" w:lineRule="auto"/>
              <w:rPr>
                <w:rFonts w:ascii="Sylfaen" w:hAnsi="Sylfaen" w:cs="Segoe UI"/>
                <w:noProof/>
                <w:color w:val="000000"/>
                <w:sz w:val="20"/>
                <w:szCs w:val="20"/>
                <w:lang w:val="ka-GE"/>
              </w:rPr>
            </w:pPr>
            <w:r w:rsidRPr="003B4F6E">
              <w:rPr>
                <w:rFonts w:ascii="Sylfaen" w:hAnsi="Sylfaen" w:cs="Segoe UI"/>
                <w:noProof/>
                <w:color w:val="000000"/>
                <w:sz w:val="20"/>
                <w:szCs w:val="20"/>
                <w:lang w:val="ka-GE"/>
              </w:rPr>
              <w:t>CLP+ASA(n=5,016)</w:t>
            </w:r>
          </w:p>
          <w:p w14:paraId="05A0CC72"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p>
        </w:tc>
        <w:tc>
          <w:tcPr>
            <w:tcW w:w="1835" w:type="dxa"/>
          </w:tcPr>
          <w:p w14:paraId="04CFE485"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30</w:t>
            </w:r>
          </w:p>
        </w:tc>
        <w:tc>
          <w:tcPr>
            <w:tcW w:w="1721" w:type="dxa"/>
          </w:tcPr>
          <w:p w14:paraId="367E7126"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10</w:t>
            </w:r>
          </w:p>
        </w:tc>
        <w:tc>
          <w:tcPr>
            <w:tcW w:w="1835" w:type="dxa"/>
          </w:tcPr>
          <w:p w14:paraId="2BC78670"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4</w:t>
            </w:r>
          </w:p>
        </w:tc>
        <w:tc>
          <w:tcPr>
            <w:tcW w:w="1835" w:type="dxa"/>
          </w:tcPr>
          <w:p w14:paraId="207D430B"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2</w:t>
            </w:r>
          </w:p>
        </w:tc>
      </w:tr>
      <w:tr w:rsidR="00322212" w:rsidRPr="003B4F6E" w14:paraId="134192D9" w14:textId="77777777" w:rsidTr="002540FD">
        <w:tc>
          <w:tcPr>
            <w:tcW w:w="1949" w:type="dxa"/>
          </w:tcPr>
          <w:p w14:paraId="0AE2FD8E"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p>
        </w:tc>
        <w:tc>
          <w:tcPr>
            <w:tcW w:w="1975" w:type="dxa"/>
          </w:tcPr>
          <w:p w14:paraId="4125E1BE" w14:textId="77777777" w:rsidR="00322212" w:rsidRPr="003B4F6E" w:rsidRDefault="00322212" w:rsidP="003B4F6E">
            <w:pPr>
              <w:autoSpaceDE w:val="0"/>
              <w:autoSpaceDN w:val="0"/>
              <w:adjustRightInd w:val="0"/>
              <w:spacing w:after="0" w:line="240" w:lineRule="auto"/>
              <w:rPr>
                <w:rFonts w:ascii="Sylfaen" w:hAnsi="Sylfaen" w:cs="Segoe UI"/>
                <w:noProof/>
                <w:color w:val="000000"/>
                <w:sz w:val="20"/>
                <w:szCs w:val="20"/>
                <w:lang w:val="ka-GE"/>
              </w:rPr>
            </w:pPr>
            <w:r w:rsidRPr="003B4F6E">
              <w:rPr>
                <w:rFonts w:ascii="Sylfaen" w:hAnsi="Sylfaen" w:cs="Segoe UI"/>
                <w:noProof/>
                <w:color w:val="000000"/>
                <w:sz w:val="20"/>
                <w:szCs w:val="20"/>
                <w:lang w:val="ka-GE"/>
              </w:rPr>
              <w:t>განსხვავება</w:t>
            </w:r>
          </w:p>
          <w:p w14:paraId="6551FAFE"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p>
        </w:tc>
        <w:tc>
          <w:tcPr>
            <w:tcW w:w="1835" w:type="dxa"/>
          </w:tcPr>
          <w:p w14:paraId="1516D704"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-12</w:t>
            </w:r>
          </w:p>
        </w:tc>
        <w:tc>
          <w:tcPr>
            <w:tcW w:w="1721" w:type="dxa"/>
          </w:tcPr>
          <w:p w14:paraId="284367C8"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-6</w:t>
            </w:r>
          </w:p>
        </w:tc>
        <w:tc>
          <w:tcPr>
            <w:tcW w:w="1835" w:type="dxa"/>
          </w:tcPr>
          <w:p w14:paraId="3CF12764"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-2</w:t>
            </w:r>
          </w:p>
        </w:tc>
        <w:tc>
          <w:tcPr>
            <w:tcW w:w="1835" w:type="dxa"/>
          </w:tcPr>
          <w:p w14:paraId="0A8108F7" w14:textId="77777777" w:rsidR="00322212" w:rsidRPr="003B4F6E" w:rsidRDefault="00322212" w:rsidP="003B4F6E">
            <w:pPr>
              <w:autoSpaceDE w:val="0"/>
              <w:autoSpaceDN w:val="0"/>
              <w:adjustRightInd w:val="0"/>
              <w:spacing w:after="0" w:line="240" w:lineRule="auto"/>
              <w:rPr>
                <w:rFonts w:ascii="Sylfaen" w:hAnsi="Sylfaen" w:cs="Segoe UI Bold"/>
                <w:b/>
                <w:bCs/>
                <w:noProof/>
                <w:color w:val="000000"/>
                <w:sz w:val="20"/>
                <w:szCs w:val="20"/>
                <w:lang w:val="ka-GE"/>
              </w:rPr>
            </w:pPr>
            <w:r w:rsidRPr="003B4F6E">
              <w:rPr>
                <w:rFonts w:ascii="Sylfaen" w:hAnsi="Sylfaen" w:cs="Segoe UI"/>
                <w:noProof/>
                <w:color w:val="000000"/>
                <w:sz w:val="20"/>
                <w:szCs w:val="20"/>
                <w:lang w:val="ka-GE"/>
              </w:rPr>
              <w:t>-1</w:t>
            </w:r>
          </w:p>
        </w:tc>
      </w:tr>
    </w:tbl>
    <w:p w14:paraId="55AB3B43" w14:textId="77777777" w:rsidR="00322212" w:rsidRPr="003B4F6E" w:rsidRDefault="00322212" w:rsidP="003B4F6E">
      <w:pPr>
        <w:spacing w:after="0" w:line="240" w:lineRule="auto"/>
        <w:rPr>
          <w:rFonts w:ascii="Sylfaen" w:hAnsi="Sylfaen"/>
          <w:noProof/>
          <w:sz w:val="20"/>
          <w:szCs w:val="20"/>
          <w:lang w:val="ka-GE"/>
        </w:rPr>
      </w:pPr>
    </w:p>
    <w:p w14:paraId="250D6E88" w14:textId="77777777" w:rsidR="00322212" w:rsidRPr="003B4F6E" w:rsidRDefault="00322212" w:rsidP="003B4F6E">
      <w:pPr>
        <w:spacing w:after="0" w:line="240" w:lineRule="auto"/>
        <w:rPr>
          <w:rFonts w:ascii="Sylfaen" w:hAnsi="Sylfaen"/>
          <w:i/>
          <w:iCs/>
          <w:noProof/>
          <w:sz w:val="20"/>
          <w:szCs w:val="20"/>
          <w:lang w:val="ka-GE"/>
        </w:rPr>
      </w:pPr>
      <w:r w:rsidRPr="003B4F6E">
        <w:rPr>
          <w:rFonts w:ascii="Sylfaen" w:hAnsi="Sylfaen"/>
          <w:i/>
          <w:iCs/>
          <w:noProof/>
          <w:sz w:val="20"/>
          <w:szCs w:val="20"/>
          <w:lang w:val="ka-GE"/>
        </w:rPr>
        <w:t>წინაგულების ფიბრილაცია</w:t>
      </w:r>
    </w:p>
    <w:p w14:paraId="63242582" w14:textId="5B6284C9"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ACTIVE პროგრამის ცალკეულ კვლევებში, ACTIVE-W და ACTIVE-A, მონაწილეობდნენ წინაგულების ფიბრილაციის (AF) მქონე პაციენტები, რომლებსაც</w:t>
      </w:r>
      <w:r w:rsidR="00F91B72" w:rsidRPr="003B4F6E">
        <w:rPr>
          <w:rFonts w:ascii="Sylfaen" w:hAnsi="Sylfaen"/>
          <w:noProof/>
          <w:sz w:val="20"/>
          <w:szCs w:val="20"/>
          <w:lang w:val="ka-GE"/>
        </w:rPr>
        <w:t xml:space="preserve"> </w:t>
      </w:r>
      <w:r w:rsidRPr="003B4F6E">
        <w:rPr>
          <w:rFonts w:ascii="Sylfaen" w:hAnsi="Sylfaen"/>
          <w:noProof/>
          <w:sz w:val="20"/>
          <w:szCs w:val="20"/>
          <w:lang w:val="ka-GE"/>
        </w:rPr>
        <w:t>სისხლძარღვოვანი მოვლენების მინიმუმ ერთი რისკ-ფაქტორი ჰქონდათ. ჩარიცხვის კრიტერიუმების საფუძველზე, ექიმებმა ACTIVE-W-ში ჩარიცხეს პაციენტები, თუ ისინი</w:t>
      </w:r>
      <w:r w:rsidR="00F91B72" w:rsidRPr="003B4F6E">
        <w:rPr>
          <w:rFonts w:ascii="Sylfaen" w:hAnsi="Sylfaen"/>
          <w:noProof/>
          <w:sz w:val="20"/>
          <w:szCs w:val="20"/>
          <w:lang w:val="ka-GE"/>
        </w:rPr>
        <w:t xml:space="preserve"> </w:t>
      </w:r>
      <w:r w:rsidRPr="003B4F6E">
        <w:rPr>
          <w:rFonts w:ascii="Sylfaen" w:hAnsi="Sylfaen"/>
          <w:noProof/>
          <w:sz w:val="20"/>
          <w:szCs w:val="20"/>
          <w:lang w:val="ka-GE"/>
        </w:rPr>
        <w:t>იყვნენ K ვიტამინის ანტაგონისტის (VKA) თერაპიის (მაგალითად, ვარფარინის) კანდიდატები. ACTIVE-A კვლევაში მონაწილეობდნენ პაციენტები, რომლებსაც არ შეეძლოთ VKA თერაპიის მიღება, რადგან არ შეეძლოთ ან არ სურდათ მკურნალობის მიღება.</w:t>
      </w:r>
    </w:p>
    <w:p w14:paraId="1530A6BF" w14:textId="77777777" w:rsidR="00F91B72" w:rsidRPr="003B4F6E" w:rsidRDefault="00F91B72" w:rsidP="003B4F6E">
      <w:pPr>
        <w:spacing w:after="0" w:line="240" w:lineRule="auto"/>
        <w:jc w:val="both"/>
        <w:rPr>
          <w:rFonts w:ascii="Sylfaen" w:hAnsi="Sylfaen"/>
          <w:noProof/>
          <w:sz w:val="20"/>
          <w:szCs w:val="20"/>
          <w:lang w:val="ka-GE"/>
        </w:rPr>
      </w:pPr>
    </w:p>
    <w:p w14:paraId="64DC034F" w14:textId="5CDFEA69"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ACTIVE-W კვლევამ აჩვენა, რომ K ვიტამინის ანტაგონისტებით ანტიკოაგულანტული მკურნალობა უფრო ეფექტური იყო, ვიდრე</w:t>
      </w:r>
      <w:r w:rsidR="00F91B72" w:rsidRPr="003B4F6E">
        <w:rPr>
          <w:rFonts w:ascii="Sylfaen" w:hAnsi="Sylfaen"/>
          <w:noProof/>
          <w:sz w:val="20"/>
          <w:szCs w:val="20"/>
          <w:lang w:val="ka-GE"/>
        </w:rPr>
        <w:t xml:space="preserve"> </w:t>
      </w:r>
      <w:r w:rsidRPr="003B4F6E">
        <w:rPr>
          <w:rFonts w:ascii="Sylfaen" w:hAnsi="Sylfaen"/>
          <w:noProof/>
          <w:sz w:val="20"/>
          <w:szCs w:val="20"/>
          <w:lang w:val="ka-GE"/>
        </w:rPr>
        <w:t>კლოპიდოგრელით და აცეტილსალიცილის მჟავათი.</w:t>
      </w:r>
    </w:p>
    <w:p w14:paraId="22C0E362" w14:textId="77777777" w:rsidR="00F91B72" w:rsidRPr="003B4F6E" w:rsidRDefault="00F91B72" w:rsidP="003B4F6E">
      <w:pPr>
        <w:spacing w:after="0" w:line="240" w:lineRule="auto"/>
        <w:jc w:val="both"/>
        <w:rPr>
          <w:rFonts w:ascii="Sylfaen" w:hAnsi="Sylfaen"/>
          <w:noProof/>
          <w:sz w:val="20"/>
          <w:szCs w:val="20"/>
          <w:lang w:val="ka-GE"/>
        </w:rPr>
      </w:pPr>
    </w:p>
    <w:p w14:paraId="7E590F50" w14:textId="06646A33"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ACTIVE-A კვლევა (N=7,554) იყო მრავალცენტრიანი, რანდომიზებული, ორმაგად ბრმა, პლაცებო-კონტროლირებადი კვლევა, რომელშიც შედარდა</w:t>
      </w:r>
      <w:r w:rsidR="00F91B72" w:rsidRPr="003B4F6E">
        <w:rPr>
          <w:rFonts w:ascii="Sylfaen" w:hAnsi="Sylfaen"/>
          <w:noProof/>
          <w:sz w:val="20"/>
          <w:szCs w:val="20"/>
          <w:lang w:val="ka-GE"/>
        </w:rPr>
        <w:t xml:space="preserve"> </w:t>
      </w:r>
      <w:r w:rsidRPr="003B4F6E">
        <w:rPr>
          <w:rFonts w:ascii="Sylfaen" w:hAnsi="Sylfaen"/>
          <w:noProof/>
          <w:sz w:val="20"/>
          <w:szCs w:val="20"/>
          <w:lang w:val="ka-GE"/>
        </w:rPr>
        <w:t>კლოპიდოგრელი 75 მგ/დღეში + აცეტილსალიცილის მჟავა (N=3,772) პლაცებო + აცეტილსალიცილის მჟავასთან (N=3,782). აცეტილსალიცილის მჟავას რეკომენდებული დოზა იყო 75-დან 100 მგ/დღეში.</w:t>
      </w:r>
    </w:p>
    <w:p w14:paraId="39AD5FEE"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პაციენტები მკურნალობდნენ 5 წლამდე.</w:t>
      </w:r>
    </w:p>
    <w:p w14:paraId="316C8320" w14:textId="77777777" w:rsidR="00F91B72" w:rsidRPr="003B4F6E" w:rsidRDefault="00F91B72" w:rsidP="003B4F6E">
      <w:pPr>
        <w:spacing w:after="0" w:line="240" w:lineRule="auto"/>
        <w:jc w:val="both"/>
        <w:rPr>
          <w:rFonts w:ascii="Sylfaen" w:hAnsi="Sylfaen"/>
          <w:noProof/>
          <w:sz w:val="20"/>
          <w:szCs w:val="20"/>
          <w:lang w:val="ka-GE"/>
        </w:rPr>
      </w:pPr>
    </w:p>
    <w:p w14:paraId="4B460EA4"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ACTIVE პროგრამაში რანდომიზებულად შერჩეული პაციენტები იყვნენ ისინი, ვისაც ჰქონდათ დადასტურებული წინაგულების ფიბრილაცია, ანუ მუდმივი წინაგულების ფიბრილაცია ან ბოლო 6 თვის განმავლობაში პერიოდული წინაგულების ფიბრილაციის მინიმუმ 2 ეპიზოდი და ჰქონდათ შემდეგი რისკ-ფაქტორებიდან მინიმუმ ერთი: ასაკი ≥ 75 წელი ან 55-დან 74 წლამდე ასაკი და შაქრიანი დიაბეტი, რომელიც საჭიროებდა მედიკამენტურ თერაპიას, ან დადასტურებული იყო წინა მიოკარდიუმის ინფარქტი ან დადასტურებული კორონარული არტერიის დაავადება; ნამკურნალები იყო სისტემური ჰიპერტენზია; წინა ინსულტი, გარდამავალი იშემიური შეტევა (TIA) ან არა-ცნს სისტემური ემბოლია; მარცხენა პარკუჭის დისფუნქცია მარცხენა პარკუჭის განდევნის ფრაქციით &lt;45%; ან დადასტურებული პერიფერიული სისხლძარღვთა დაავადება. საშუალო CHADS2 ქულა იყო 2.0 (დიაპაზონი 0-6).</w:t>
      </w:r>
    </w:p>
    <w:p w14:paraId="35F27E49" w14:textId="77777777" w:rsidR="00F91B72" w:rsidRPr="003B4F6E" w:rsidRDefault="00F91B72" w:rsidP="003B4F6E">
      <w:pPr>
        <w:spacing w:after="0" w:line="240" w:lineRule="auto"/>
        <w:rPr>
          <w:rFonts w:ascii="Sylfaen" w:hAnsi="Sylfaen"/>
          <w:noProof/>
          <w:sz w:val="20"/>
          <w:szCs w:val="20"/>
          <w:lang w:val="ka-GE"/>
        </w:rPr>
      </w:pPr>
    </w:p>
    <w:p w14:paraId="39F95368" w14:textId="77777777" w:rsidR="00F91B72" w:rsidRPr="003B4F6E" w:rsidRDefault="00322212" w:rsidP="003B4F6E">
      <w:pPr>
        <w:spacing w:after="0" w:line="240" w:lineRule="auto"/>
        <w:rPr>
          <w:rFonts w:ascii="Sylfaen" w:hAnsi="Sylfaen"/>
          <w:noProof/>
          <w:sz w:val="20"/>
          <w:szCs w:val="20"/>
          <w:lang w:val="ka-GE"/>
        </w:rPr>
      </w:pPr>
      <w:r w:rsidRPr="003B4F6E">
        <w:rPr>
          <w:rFonts w:ascii="Sylfaen" w:hAnsi="Sylfaen"/>
          <w:noProof/>
          <w:sz w:val="20"/>
          <w:szCs w:val="20"/>
          <w:lang w:val="ka-GE"/>
        </w:rPr>
        <w:t>პაციენტებისთვის ძირითადი გამორიცხვის კრიტერიუმები იყო დადასტურებული პეპტიური წყლულოვანი დაავადება ბოლო 6 თვის განმავლობაში; წინა ინტრაცერებრული სისხლდენა; მნიშვნელოვანი თრომბოციტოპენია (თრომბოციტების რაოდენობა &lt; 50 x 109/ლ);</w:t>
      </w:r>
      <w:r w:rsidR="00F91B72" w:rsidRPr="003B4F6E">
        <w:rPr>
          <w:rFonts w:ascii="Sylfaen" w:hAnsi="Sylfaen"/>
          <w:noProof/>
          <w:sz w:val="20"/>
          <w:szCs w:val="20"/>
          <w:lang w:val="ka-GE"/>
        </w:rPr>
        <w:t xml:space="preserve"> </w:t>
      </w:r>
      <w:r w:rsidRPr="003B4F6E">
        <w:rPr>
          <w:rFonts w:ascii="Sylfaen" w:hAnsi="Sylfaen"/>
          <w:noProof/>
          <w:sz w:val="20"/>
          <w:szCs w:val="20"/>
          <w:lang w:val="ka-GE"/>
        </w:rPr>
        <w:t xml:space="preserve">კლოპიდოგრელის ან პერორალური ანტიკოაგულანტების (OAC) საჭიროება; ან ორი ნაერთის მიმართ აუტანლობა. </w:t>
      </w:r>
    </w:p>
    <w:p w14:paraId="30556AF0" w14:textId="77777777" w:rsidR="00F91B72" w:rsidRPr="003B4F6E" w:rsidRDefault="00F91B72" w:rsidP="003B4F6E">
      <w:pPr>
        <w:spacing w:after="0" w:line="240" w:lineRule="auto"/>
        <w:rPr>
          <w:rFonts w:ascii="Sylfaen" w:hAnsi="Sylfaen"/>
          <w:noProof/>
          <w:sz w:val="20"/>
          <w:szCs w:val="20"/>
          <w:lang w:val="ka-GE"/>
        </w:rPr>
      </w:pPr>
    </w:p>
    <w:p w14:paraId="4D9BAA9E" w14:textId="2D01924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ACTIVE-A კვლევაში ჩართული პაციენტების სამოცდაცამეტი პროცენტი (73%) ვერ იღებდა VKA-ს ექიმის შეფასების, INR-ის (საერთაშორისო ნორმალიზებული თანაფარდობა) მონიტორინგის შეუძლებლობის, დაცემის ან თავის ტრავმისადმი მიდრეკილების, ან სისხლდენის სპეციფიკური რისკის გამო; პაციენტების 26%-ის შემთხვევაში ექიმის გადაწყვეტილება ეფუძნებოდა პაციენტის მიერ VKA-ს მიღების სურვილის არქონას.</w:t>
      </w:r>
    </w:p>
    <w:p w14:paraId="4EA438F2" w14:textId="77777777" w:rsidR="00F91B72" w:rsidRPr="003B4F6E" w:rsidRDefault="00F91B72" w:rsidP="003B4F6E">
      <w:pPr>
        <w:spacing w:after="0" w:line="240" w:lineRule="auto"/>
        <w:jc w:val="both"/>
        <w:rPr>
          <w:rFonts w:ascii="Sylfaen" w:hAnsi="Sylfaen"/>
          <w:noProof/>
          <w:sz w:val="20"/>
          <w:szCs w:val="20"/>
          <w:lang w:val="ka-GE"/>
        </w:rPr>
      </w:pPr>
    </w:p>
    <w:p w14:paraId="22413C90" w14:textId="77777777" w:rsidR="00122347"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პაციენტთა პოპულაცია მოიცავდა ქალებს. საშუალო ასაკი იყო 71 წელი, პაციენტების 41.6% იყო ≥75 წლის. პაციენტების 23.0%-მა მიიღო ანტიარითმული საშუალებები, 52.1%-მა ბეტა-ბლოკატორები, 54.6%-მა აგფ ინჰიბიტორები და 25.4%-მა სტატინები. </w:t>
      </w:r>
    </w:p>
    <w:p w14:paraId="64056C01" w14:textId="77777777" w:rsidR="00122347" w:rsidRPr="003B4F6E" w:rsidRDefault="00122347" w:rsidP="003B4F6E">
      <w:pPr>
        <w:spacing w:after="0" w:line="240" w:lineRule="auto"/>
        <w:jc w:val="both"/>
        <w:rPr>
          <w:rFonts w:ascii="Sylfaen" w:hAnsi="Sylfaen"/>
          <w:noProof/>
          <w:sz w:val="20"/>
          <w:szCs w:val="20"/>
          <w:lang w:val="ka-GE"/>
        </w:rPr>
      </w:pPr>
    </w:p>
    <w:p w14:paraId="7C2FAD03" w14:textId="77777777" w:rsidR="00122347"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პაციენტთა რაოდენობა, რომლებმაც მიაღწიეს პირველად საბოლოო წერტილს (ინსულტის, მიოკარდიუმის ინფარქტის, არაცნს-ის სისტემური ემბოლიის ან სისხლძარღვოვანი სიკვდილის პირველი გამოვლენის დრო), იყო 832 (22.1%) კლოპიდოგრელით + აცეტილსალიცილის მჟავით ნამკურნალებ ჯგუფში და 924 (24.4%) პლაცებო + აცეტილსალიცილის მჟავით ნამკურნალებ ჯგუფში (შედარებითი რისკის შემცირება 11.1%-ით; 95% CI 2.4%-დან 19.1%-მდე; p=0.013), ძირითადად ინსულტების შემთხვევების მნიშვნელოვანი შემცირებით იყო განპირობებული. ინსულტები განვითარდა კლოპიდოგრელით + აცეტილსალიცილის მჟავით ნამკურნალებ 296 (7.8%) პაციენტში და პლაცებო + აცეტილსალიცილის მჟავით ნამკურნალებ 408 (10.8%) პაციენტში (შედარებითი რისკის შემცირება, 28.4%; 95% CI, 16.8%-დან 38.3%-მდე; p=0.00001). </w:t>
      </w:r>
    </w:p>
    <w:p w14:paraId="35D2C3F5" w14:textId="77777777" w:rsidR="00122347" w:rsidRPr="003B4F6E" w:rsidRDefault="00122347" w:rsidP="003B4F6E">
      <w:pPr>
        <w:spacing w:after="0" w:line="240" w:lineRule="auto"/>
        <w:rPr>
          <w:rFonts w:ascii="Sylfaen" w:hAnsi="Sylfaen"/>
          <w:noProof/>
          <w:sz w:val="20"/>
          <w:szCs w:val="20"/>
          <w:lang w:val="ka-GE"/>
        </w:rPr>
      </w:pPr>
    </w:p>
    <w:p w14:paraId="67ED3BF9" w14:textId="4C0D506A" w:rsidR="00322212" w:rsidRPr="003B4F6E" w:rsidRDefault="00322212" w:rsidP="003B4F6E">
      <w:pPr>
        <w:spacing w:after="0" w:line="240" w:lineRule="auto"/>
        <w:rPr>
          <w:rFonts w:ascii="Sylfaen" w:hAnsi="Sylfaen"/>
          <w:i/>
          <w:iCs/>
          <w:noProof/>
          <w:sz w:val="20"/>
          <w:szCs w:val="20"/>
          <w:lang w:val="ka-GE"/>
        </w:rPr>
      </w:pPr>
      <w:r w:rsidRPr="003B4F6E">
        <w:rPr>
          <w:rFonts w:ascii="Sylfaen" w:hAnsi="Sylfaen"/>
          <w:i/>
          <w:iCs/>
          <w:noProof/>
          <w:sz w:val="20"/>
          <w:szCs w:val="20"/>
          <w:lang w:val="ka-GE"/>
        </w:rPr>
        <w:lastRenderedPageBreak/>
        <w:t>პედიატრიული პოპულაცია</w:t>
      </w:r>
    </w:p>
    <w:p w14:paraId="1322B1BA" w14:textId="77777777" w:rsidR="00322212" w:rsidRPr="003B4F6E" w:rsidRDefault="00322212" w:rsidP="003B4F6E">
      <w:pPr>
        <w:spacing w:after="0" w:line="240" w:lineRule="auto"/>
        <w:rPr>
          <w:rFonts w:ascii="Sylfaen" w:hAnsi="Sylfaen"/>
          <w:noProof/>
          <w:sz w:val="20"/>
          <w:szCs w:val="20"/>
          <w:lang w:val="ka-GE"/>
        </w:rPr>
      </w:pPr>
      <w:r w:rsidRPr="003B4F6E">
        <w:rPr>
          <w:rFonts w:ascii="Sylfaen" w:hAnsi="Sylfaen"/>
          <w:noProof/>
          <w:sz w:val="20"/>
          <w:szCs w:val="20"/>
          <w:lang w:val="ka-GE"/>
        </w:rPr>
        <w:t>86 ახალშობილის ან 24 თვემდე ასაკის ჩვილის დოზის გაზრდის კვლევაში, რომლებსაც თრომბოზის რისკი ჰქონდათ (PICOLO), კლოპიდოგრელი შეფასდა ახალშობილებსა და ჩვილებში 0.01, 0.1 და 0.2 მგ/კგ თანმიმდევრული დოზებით და მხოლოდ 0.15 მგ/კგ ახალშობილებში. 0.2 მგ/კგ დოზამ მიაღწია 49.3%-იან საშუალო პროცენტულ ინჰიბირებას (5 μM ADP-ინდუცირებული თრომბოციტების აგრეგაცია), რაც შედარებადი იყო კლოპიდოგრელის 75 მგ/დღეში მიღების ზრდასრულ პაციენტებში.</w:t>
      </w:r>
    </w:p>
    <w:p w14:paraId="3280CF4A" w14:textId="77777777" w:rsidR="0016392C" w:rsidRPr="003B4F6E" w:rsidRDefault="0016392C" w:rsidP="003B4F6E">
      <w:pPr>
        <w:spacing w:after="0" w:line="240" w:lineRule="auto"/>
        <w:rPr>
          <w:rFonts w:ascii="Sylfaen" w:hAnsi="Sylfaen"/>
          <w:noProof/>
          <w:sz w:val="20"/>
          <w:szCs w:val="20"/>
          <w:lang w:val="ka-GE"/>
        </w:rPr>
      </w:pPr>
    </w:p>
    <w:p w14:paraId="33BCF085" w14:textId="77777777" w:rsidR="0016392C"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რანდომიზებულ, ორმაგ ბრმა, პარალელურ ჯგუფურ კვლევაში (CLARINET), 906 პედიატრიული პაციენტი (ახალშობილები და ჩვილები), რომლებსაც აღენიშნებოდათ ციანოზური თანდაყოლილი გულის დაავადება, რომელიც სისტემურ-ფილტვის არტერიულ შუნტით იყო პალიატიური, რანდომიზებული იქნა კლოპიდოგრელის 0.2 მგ/კგ (n=467) ან პლაცებოს (n=439) მისაღებად, თანმხლებ ფონურ თერაპიასთან ერთად, მეორე სტადიის ქირურგიული ჩარევის მომენტამდე. შუნტის პალიაციურ რეაქციებსა და კვლევის სამკურნალო საშუალების პირველ მიღებას შორის საშუალო დრო 20 დღე იყო. პაციენტების დაახლოებით 88%-მა თანმხლები აცეტილქოლინი მიიღო (დიაპაზონი 1-დან 23 მგ/კგ/დღეში). ჯგუფებს შორის მნიშვნელოვანი განსხვავება არ იყო სიკვდილის, შუნტის თრომბოზის ან გულთან დაკავშირებული ჩარევის პირველადი კომპლექსური საბოლოო წერტილის მიხედვით, 120 დღის ასაკამდე, თრომბოზული ხასიათის მოვლენის შემდეგ (89 [19.1%] კლოპიდოგრელის ჯგუფისთვის და 90 [20.5%] პლაცებო ჯგუფისთვის) (იხ. ნაწილი 4.2). სისხლდენა ყველაზე ხშირად მოხსენებული გვერდითი რეაქცია იყო როგორც კლოპიდოგრელის, ასევე პლაცებოს ჯგუფებში; თუმცა, ჯგუფებს შორის სისხლდენის მაჩვენებელში მნიშვნელოვანი განსხვავება არ იყო. ამ კვლევის გრძელვადიანი უსაფრთხოების დაკვირვების დროს, 26</w:t>
      </w:r>
      <w:r w:rsidR="0016392C" w:rsidRPr="003B4F6E">
        <w:rPr>
          <w:rFonts w:ascii="Sylfaen" w:hAnsi="Sylfaen"/>
          <w:noProof/>
          <w:sz w:val="20"/>
          <w:szCs w:val="20"/>
          <w:lang w:val="ka-GE"/>
        </w:rPr>
        <w:t xml:space="preserve"> </w:t>
      </w:r>
      <w:r w:rsidRPr="003B4F6E">
        <w:rPr>
          <w:rFonts w:ascii="Sylfaen" w:hAnsi="Sylfaen"/>
          <w:noProof/>
          <w:sz w:val="20"/>
          <w:szCs w:val="20"/>
          <w:lang w:val="ka-GE"/>
        </w:rPr>
        <w:t xml:space="preserve">პაციენტმა, რომლებსაც შუნტი ჯერ კიდევ ჰქონდათ ერთი წლის ასაკში, კლოპიდოგრელი 18 თვის ასაკამდე მიიღეს. ამ გრძელვადიანი დაკვირვების დროს უსაფრთხოების ახალი საკითხები არ დაფიქსირებულა. </w:t>
      </w:r>
    </w:p>
    <w:p w14:paraId="7D11EC48" w14:textId="77777777" w:rsidR="0016392C" w:rsidRPr="003B4F6E" w:rsidRDefault="0016392C" w:rsidP="003B4F6E">
      <w:pPr>
        <w:spacing w:after="0" w:line="240" w:lineRule="auto"/>
        <w:jc w:val="both"/>
        <w:rPr>
          <w:rFonts w:ascii="Sylfaen" w:hAnsi="Sylfaen"/>
          <w:noProof/>
          <w:sz w:val="20"/>
          <w:szCs w:val="20"/>
          <w:lang w:val="ka-GE"/>
        </w:rPr>
      </w:pPr>
    </w:p>
    <w:p w14:paraId="308ADDE7" w14:textId="7263E33F"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CLARINET-ისა და PICOLO-ს კვლევები ჩატარდა კლოპიდოგრელის განზავებული ხსნარის გამოყენებით. მოზრდილებში ჩატარებულ ფარდობითი ბიოშეღწევადობის კვლევაში, კლოპიდოგრელის განზავებულმა ხსნარმა აჩვენა მოცირკულირე ძირითადი (არააქტიური) ხსნარების მსგავსი ხარისხი და შეწოვის ოდნავ მაღალი სიჩქარე.</w:t>
      </w:r>
    </w:p>
    <w:p w14:paraId="5A6FBC2F" w14:textId="77777777" w:rsidR="00322212" w:rsidRPr="003B4F6E" w:rsidRDefault="00322212" w:rsidP="003B4F6E">
      <w:pPr>
        <w:spacing w:after="0" w:line="240" w:lineRule="auto"/>
        <w:rPr>
          <w:rFonts w:ascii="Sylfaen" w:hAnsi="Sylfaen"/>
          <w:noProof/>
          <w:sz w:val="20"/>
          <w:szCs w:val="20"/>
          <w:lang w:val="ka-GE"/>
        </w:rPr>
      </w:pPr>
    </w:p>
    <w:p w14:paraId="0B934C0A" w14:textId="77777777" w:rsidR="00322212" w:rsidRPr="003B4F6E" w:rsidRDefault="00322212" w:rsidP="003B4F6E">
      <w:pPr>
        <w:spacing w:after="0" w:line="240" w:lineRule="auto"/>
        <w:rPr>
          <w:rFonts w:ascii="Sylfaen" w:hAnsi="Sylfaen"/>
          <w:b/>
          <w:noProof/>
          <w:sz w:val="20"/>
          <w:szCs w:val="20"/>
          <w:lang w:val="ka-GE"/>
        </w:rPr>
      </w:pPr>
      <w:r w:rsidRPr="003B4F6E">
        <w:rPr>
          <w:rFonts w:ascii="Sylfaen" w:hAnsi="Sylfaen"/>
          <w:b/>
          <w:noProof/>
          <w:sz w:val="20"/>
          <w:szCs w:val="20"/>
          <w:lang w:val="ka-GE"/>
        </w:rPr>
        <w:t>5.2 ფარმაკოკინეტიკური თვისებები</w:t>
      </w:r>
    </w:p>
    <w:p w14:paraId="2CD8E3DD" w14:textId="77777777" w:rsidR="00322212" w:rsidRPr="003B4F6E" w:rsidRDefault="00322212" w:rsidP="003B4F6E">
      <w:pPr>
        <w:spacing w:after="0" w:line="240" w:lineRule="auto"/>
        <w:rPr>
          <w:rFonts w:ascii="Sylfaen" w:hAnsi="Sylfaen"/>
          <w:i/>
          <w:iCs/>
          <w:noProof/>
          <w:sz w:val="20"/>
          <w:szCs w:val="20"/>
          <w:lang w:val="ka-GE"/>
        </w:rPr>
      </w:pPr>
      <w:r w:rsidRPr="003B4F6E">
        <w:rPr>
          <w:rFonts w:ascii="Sylfaen" w:hAnsi="Sylfaen"/>
          <w:i/>
          <w:iCs/>
          <w:noProof/>
          <w:sz w:val="20"/>
          <w:szCs w:val="20"/>
          <w:lang w:val="ka-GE"/>
        </w:rPr>
        <w:t>შეწოვა</w:t>
      </w:r>
    </w:p>
    <w:p w14:paraId="17AA7306"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75 მგ დღეში ერთჯერადი და განმეორებითი პერორალური დოზების მიღების შემდეგ, კლოპიდოგრელი სწრაფად შეიწოვება. უცვლელი კლოპიდოგრელის საშუალო პიკური პლაზმური დონე (დაახლოებით 2.2-2.5 ნგ/მლ 75 მგ ერთჯერადი პერორალური დოზის შემდეგ) მიიღწევა დოზირებიდან დაახლოებით 45 წუთის შემდეგ.</w:t>
      </w:r>
    </w:p>
    <w:p w14:paraId="010B6993"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კლოპიდოგრელის მეტაბოლიტების შარდით გამოყოფის მიხედვით, შეწოვა შეადგენს მინიმუმ 50%-ს.</w:t>
      </w:r>
    </w:p>
    <w:p w14:paraId="7CCFCBC0" w14:textId="77777777" w:rsidR="0016392C" w:rsidRPr="003B4F6E" w:rsidRDefault="0016392C" w:rsidP="003B4F6E">
      <w:pPr>
        <w:spacing w:after="0" w:line="240" w:lineRule="auto"/>
        <w:jc w:val="both"/>
        <w:rPr>
          <w:rFonts w:ascii="Sylfaen" w:hAnsi="Sylfaen"/>
          <w:noProof/>
          <w:sz w:val="20"/>
          <w:szCs w:val="20"/>
          <w:lang w:val="ka-GE"/>
        </w:rPr>
      </w:pPr>
    </w:p>
    <w:p w14:paraId="2DDDEF51"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განაწილება</w:t>
      </w:r>
    </w:p>
    <w:p w14:paraId="3632B1C5"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კლოპიდოგრელი და მისი ძირითადი მოცირკულირე (არააქტიური) მეტაბოლიტი შექცევადად უკავშირდება ადამიანის პლაზმის ცილებს in vitro (შესაბამისად 98% და 94%). in vitro შეკავშირება არ არის გაჯერებული ფართო კონცენტრაციის დიაპაზონში.</w:t>
      </w:r>
    </w:p>
    <w:p w14:paraId="0B75E163" w14:textId="77777777" w:rsidR="0016392C" w:rsidRPr="003B4F6E" w:rsidRDefault="0016392C" w:rsidP="003B4F6E">
      <w:pPr>
        <w:spacing w:after="0" w:line="240" w:lineRule="auto"/>
        <w:jc w:val="both"/>
        <w:rPr>
          <w:rFonts w:ascii="Sylfaen" w:hAnsi="Sylfaen"/>
          <w:noProof/>
          <w:sz w:val="20"/>
          <w:szCs w:val="20"/>
          <w:lang w:val="ka-GE"/>
        </w:rPr>
      </w:pPr>
    </w:p>
    <w:p w14:paraId="51DAB283"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ბიოტრანსფორმაცია</w:t>
      </w:r>
    </w:p>
    <w:p w14:paraId="4DFF28F3"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კლოპიდოგრელი ინტენსიურად მეტაბოლიზდება ღვიძლში. in vitro და in vivo, კლოპიდოგრელი მეტაბოლიზდება ორი ძირითადი მეტაბოლური გზით: ერთი ესთერაზების მეშვეობით და იწვევს ჰიდროლიზს მის არააქტიურ კარბოქსილის მჟავას წარმოებულად (მოცირკულირე მეტაბოლიტების 85%), და ერთი მრავალჯერადი ციტოქრომ P450-ის მეშვეობით. კლოპიდოგრელი თავდაპირველად მეტაბოლიზდება 2-ოქსო-კლოპიდოგრელის შუალედურ მეტაბოლიტად. 2-ოქსო-კლოპიდოგრელის შუალედური მეტაბოლიტის შემდგომი მეტაბოლიზმი იწვევს აქტიური მეტაბოლიტის, კლოპიდოგრელის თიოლის წარმოებულის, წარმოქმნას. აქტიური მეტაბოლიტი ძირითადად წარმოიქმნება CYP2C19-ის მიერ, რამდენიმე სხვა CYP ფერმენტის მონაწილეობით, მათ შორის CYP1A2, CYP2B6 და CYP3A4. აქტიური თიოლის მეტაბოლიტი, რომელიც იზოლირებული იქნა in vitro, სწრაფად და შეუქცევადად უკავშირდება თრომბოციტების რეცეპტორებს, რითაც აფერხებს თრომბოციტების აგრეგაციას.</w:t>
      </w:r>
    </w:p>
    <w:p w14:paraId="6F365932" w14:textId="77777777" w:rsidR="0016392C"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აქტიური მეტაბოლიტის Cmax ორჯერ მაღალია კლოპიდოგრელის ერთჯერადი 300 მგ დატვირთვის დოზის შემდეგ, ვიდრე 75 მგ შემანარჩუნებელი დოზის ოთხი დღის შემდეგ. Cmax მიიღწევა დოზირებიდან დაახლოებით 30-60 წუთის შემდეგ. </w:t>
      </w:r>
    </w:p>
    <w:p w14:paraId="52D88362" w14:textId="77777777" w:rsidR="0016392C" w:rsidRPr="003B4F6E" w:rsidRDefault="0016392C" w:rsidP="003B4F6E">
      <w:pPr>
        <w:spacing w:after="0" w:line="240" w:lineRule="auto"/>
        <w:jc w:val="both"/>
        <w:rPr>
          <w:rFonts w:ascii="Sylfaen" w:hAnsi="Sylfaen"/>
          <w:noProof/>
          <w:sz w:val="20"/>
          <w:szCs w:val="20"/>
          <w:lang w:val="ka-GE"/>
        </w:rPr>
      </w:pPr>
    </w:p>
    <w:p w14:paraId="50D2D88E" w14:textId="1308C775"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lastRenderedPageBreak/>
        <w:t>გამოყოფა</w:t>
      </w:r>
    </w:p>
    <w:p w14:paraId="43CA971A"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ადამიანებში 14C-ით მონიშნული კლოპიდოგრელის პერორალური დოზის მიღების შემდეგ, დაახლოებით 50% გამოიყოფა შარდით და დაახლოებით 46% განავლით დოზირებიდან 120 საათის ინტერვალში. 75 მგ ერთჯერადი პერორალური დოზის მიღების შემდეგ, კლოპიდოგრელის ნახევარგამოყოფის პერიოდი დაახლოებით 6 საათია. ძირითადი მოცირკულირე (არააქტიური) მეტაბოლიტის ნახევარგამოყოფის პერიოდი ერთჯერადი და განმეორებითი მიღების შემდეგ 8 საათია.</w:t>
      </w:r>
    </w:p>
    <w:p w14:paraId="2C8EFC33" w14:textId="77777777" w:rsidR="0016392C" w:rsidRPr="003B4F6E" w:rsidRDefault="0016392C" w:rsidP="003B4F6E">
      <w:pPr>
        <w:spacing w:after="0" w:line="240" w:lineRule="auto"/>
        <w:jc w:val="both"/>
        <w:rPr>
          <w:rFonts w:ascii="Sylfaen" w:hAnsi="Sylfaen"/>
          <w:i/>
          <w:iCs/>
          <w:noProof/>
          <w:sz w:val="20"/>
          <w:szCs w:val="20"/>
          <w:lang w:val="ka-GE"/>
        </w:rPr>
      </w:pPr>
    </w:p>
    <w:p w14:paraId="4E13A047"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ფარმაკოგენეტიკა</w:t>
      </w:r>
    </w:p>
    <w:p w14:paraId="4B1C573F" w14:textId="41271F58"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CYP2C19 მონაწილეობს როგორც აქტიური მეტაბოლიტის, ასევე 2-ოქსო-კლოპიდოგრელის შუალედური მეტაბოლიტის ფორმირებაში.</w:t>
      </w:r>
      <w:r w:rsidR="0016392C" w:rsidRPr="003B4F6E">
        <w:rPr>
          <w:rFonts w:ascii="Sylfaen" w:hAnsi="Sylfaen"/>
          <w:noProof/>
          <w:sz w:val="20"/>
          <w:szCs w:val="20"/>
          <w:lang w:val="ka-GE"/>
        </w:rPr>
        <w:t xml:space="preserve"> </w:t>
      </w:r>
      <w:r w:rsidRPr="003B4F6E">
        <w:rPr>
          <w:rFonts w:ascii="Sylfaen" w:hAnsi="Sylfaen"/>
          <w:noProof/>
          <w:sz w:val="20"/>
          <w:szCs w:val="20"/>
          <w:lang w:val="ka-GE"/>
        </w:rPr>
        <w:t>კლოპიდოგრელის აქტიური მეტაბოლიტის ფარმაკოკინეტიკა და ანტიაგრეგანტული ეფექტები, რომელიც იზომება ექსვივო თრომბოციტების აგრეგაციის ანალიზებით,</w:t>
      </w:r>
      <w:r w:rsidR="0016392C" w:rsidRPr="003B4F6E">
        <w:rPr>
          <w:rFonts w:ascii="Sylfaen" w:hAnsi="Sylfaen"/>
          <w:noProof/>
          <w:sz w:val="20"/>
          <w:szCs w:val="20"/>
          <w:lang w:val="ka-GE"/>
        </w:rPr>
        <w:t xml:space="preserve"> </w:t>
      </w:r>
      <w:r w:rsidRPr="003B4F6E">
        <w:rPr>
          <w:rFonts w:ascii="Sylfaen" w:hAnsi="Sylfaen"/>
          <w:noProof/>
          <w:sz w:val="20"/>
          <w:szCs w:val="20"/>
          <w:lang w:val="ka-GE"/>
        </w:rPr>
        <w:t>განსხვავდება CYP2C19 გენოტიპის მიხედვით.</w:t>
      </w:r>
    </w:p>
    <w:p w14:paraId="1E3EEE53" w14:textId="77777777" w:rsidR="00127D92" w:rsidRPr="003B4F6E" w:rsidRDefault="00127D92" w:rsidP="003B4F6E">
      <w:pPr>
        <w:spacing w:after="0" w:line="240" w:lineRule="auto"/>
        <w:jc w:val="both"/>
        <w:rPr>
          <w:rFonts w:ascii="Sylfaen" w:hAnsi="Sylfaen"/>
          <w:noProof/>
          <w:sz w:val="20"/>
          <w:szCs w:val="20"/>
          <w:lang w:val="ka-GE"/>
        </w:rPr>
      </w:pPr>
    </w:p>
    <w:p w14:paraId="194BF0D1"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CYP2C19*1 ალელი შეესაბამება სრულად ფუნქციონალურ მეტაბოლიზმს, ხოლო CYP2C19*2 და CYP2C19*3 ალელები</w:t>
      </w:r>
    </w:p>
    <w:p w14:paraId="11624F1B"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არაფუნქციურია. CYP2C19*2 და CYP2C19*3 ალელები შემცირებული ფუნქციის მქონე ალელების უმრავლესობას შეადგენს კავკასიელ (85%) და აზიელ (99%) სუსტ მეტაბოლიზატორებში. სხვა ალელები, რომლებიც დაკავშირებულია მეტაბოლიზმის არარსებობასთან ან შემცირებასთან, ნაკლებად ხშირია და მოიცავს CYP2C19*4, *5, *6, *7 და *8. პაციენტს, რომელსაც აქვს ცუდი მეტაბოლიზმის სტატუსი, ექნება ზემოთ განსაზღვრული ორი ფუნქციის დაკარგვის ალელი.</w:t>
      </w:r>
    </w:p>
    <w:p w14:paraId="786906B2" w14:textId="77777777" w:rsidR="00127D9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ცუდი CYP2C19 მეტაბოლიზმის მქონე გენოტიპების გამოქვეყნებული სიხშირეები დაახლოებით 2% კავკასიელებისთვის, 4% შავკანიანებისთვის და 14% ჩინელებისთვისაა. პაციენტის CYP2C19 გენოტიპის დასადგენად ხელმისაწვდომია ტესტები. </w:t>
      </w:r>
    </w:p>
    <w:p w14:paraId="6A2B8695" w14:textId="77777777" w:rsidR="00127D92" w:rsidRPr="003B4F6E" w:rsidRDefault="00127D92" w:rsidP="003B4F6E">
      <w:pPr>
        <w:spacing w:after="0" w:line="240" w:lineRule="auto"/>
        <w:rPr>
          <w:rFonts w:ascii="Sylfaen" w:hAnsi="Sylfaen"/>
          <w:noProof/>
          <w:sz w:val="20"/>
          <w:szCs w:val="20"/>
          <w:lang w:val="ka-GE"/>
        </w:rPr>
      </w:pPr>
    </w:p>
    <w:p w14:paraId="188E663F" w14:textId="7032DBEA"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40 ჯანმრთელ სუბიექტზე ჩატარებულმა კროსოვერმა კვლევამ, რომელთაგან თითოეულს 10-10 ადამიანი ეკუთვნოდა CYP2C19-ის მეტაბოლიზმის ოთხ ჯგუფში (ულტრასწრაფი, ინტენსიური, საშუალო და სუსტი), შეაფასა ფარმაკოკინეტიკური და ანტიაგრეგანტული რეაქციები 300 მგ-ის, შემდეგ 75 მგ/დღეში და 600 მგ-ის, შემდეგ 150 მგ/დღეში გამოყენებით, თითოეულის 5 დღის განმავლობაში (სტაბილური მდგომარეობა). აქტიური მეტაბოლიტის ექსპოზიციისა და თრომბოციტების აგრეგაციის საშუალო ინჰიბირების (IPA) მხრივ მნიშვნელოვანი განსხვავებები არ დაფიქსირებულა ულტრასწრაფ, ინტენსიურ და საშუალო მეტაბოლიზატორებს შორის. სუსტ მეტაბოლიზატორებში აქტიური მეტაბოლიტის ექსპოზიცია შემცირდა 63-71%-ით ინტენსიურ მეტაბოლიზატორებთან შედარებით. 300 მგ/75 მგ დოზირების რეჟიმის შემდეგ, ანტიაგრეგანტული რეაქციები შემცირდა სუსტი მეტაბოლიზატორებში, საშუალო IPA (5 μM ადფ) შეადგენდა 24%-ს (24 საათი) და 37%-ს (5 დღე), ინტენსიური მეტაბოლიზატორებში IPA-ს 39%-თან (24 საათი) და 58%-თან (5 დღე) და შუალედური მეტაბოლიზატორებში 37%-თან (24 საათი) და 60%-თან (5 დღე). როდესაც სუსტი მეტაბოლიზატორებმა მიიღეს 600 მგ/150 მგ რეჟიმი, აქტიური მეტაბოლიტის ექსპოზიცია უფრო მაღალი იყო, ვიდრე 300 მგ/75 მგ რეჟიმის დროს. გარდა ამისა, IPA იყო 32% (24 საათი) და 61% (5 დღე), რაც უფრო მაღალი იყო, ვიდრე 300 მგ/75 მგ რეჟიმის მიმღებ სუსტი მეტაბოლიზატორებში და მსგავსი იყო 300 მგ/75 მგ რეჟიმის მიმღებ სხვა CYP2C19 მეტაბოლიზატორთა ჯგუფების. კლინიკური კვლევების შედეგების მიხედვით, პაციენტთა ამ პოპულაციისთვის შესაბამისი დოზირების რეჟიმი დადგენილი არ არის.</w:t>
      </w:r>
    </w:p>
    <w:p w14:paraId="2B989E8A" w14:textId="77777777" w:rsidR="00127D92" w:rsidRPr="003B4F6E" w:rsidRDefault="00127D92" w:rsidP="003B4F6E">
      <w:pPr>
        <w:spacing w:after="0" w:line="240" w:lineRule="auto"/>
        <w:jc w:val="both"/>
        <w:rPr>
          <w:rFonts w:ascii="Sylfaen" w:hAnsi="Sylfaen"/>
          <w:noProof/>
          <w:sz w:val="20"/>
          <w:szCs w:val="20"/>
          <w:lang w:val="ka-GE"/>
        </w:rPr>
      </w:pPr>
    </w:p>
    <w:p w14:paraId="29F5342A"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ზემოთ მოცემულ შედეგებთან შესაბამისობაში, მეტაანალიზში, რომელიც მოიცავდა 335 კლოპიდოგრელით ნამკურნალებ სუბიექტზე 6 კვლევას სტაბილურ მდგომარეობაში, ნაჩვენები იყო, რომ აქტიური მეტაბოლიტის ექსპოზიცია შემცირდა 28%-ით შუალედური მეტაბოლიზატორებისთვის და 72%-ით ცუდი მეტაბოლიზატორებისთვის, ხოლო თრომბოციტების აგრეგაციის ინჰიბირება (5 μM ADP) შემცირდა IPA-ში 5.9%-იანი და 21.4%-იანი სხვაობით, შესაბამისად, ინტენსიური მეტაბოლიზატორების მქონე პირებთან შედარებით.</w:t>
      </w:r>
    </w:p>
    <w:p w14:paraId="35946CCA" w14:textId="77777777" w:rsidR="00127D92" w:rsidRPr="003B4F6E" w:rsidRDefault="00127D92" w:rsidP="003B4F6E">
      <w:pPr>
        <w:spacing w:after="0" w:line="240" w:lineRule="auto"/>
        <w:jc w:val="both"/>
        <w:rPr>
          <w:rFonts w:ascii="Sylfaen" w:hAnsi="Sylfaen"/>
          <w:noProof/>
          <w:sz w:val="20"/>
          <w:szCs w:val="20"/>
          <w:lang w:val="ka-GE"/>
        </w:rPr>
      </w:pPr>
    </w:p>
    <w:p w14:paraId="3EDEE85B"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CYP2C19 გენოტიპის გავლენა კლოპიდოგრელით ნამკურნალებ პაციენტებში კლინიკურ შედეგებზე არ შეფასებულა პერსპექტიულ, რანდომიზებულ, კონტროლირებად კვლევებში. თუმცა, ჩატარდა არაერთი რეტროსპექტული ანალიზი, რათა შეფასებულიყო ეს ეფექტი კლოპიდოგრელით ნამკურნალებ პაციენტებში, რომელთა გენოტიპირების შედეგებიც არსებობს: CURE (n=2721), CHARISMA (n=2428), CLARITY-TIMI 28 (n=227), TRITON-TIMI 38 (n=1477) და ACTIVE-A (n=601), ასევე გამოქვეყნებული კოჰორტული კვლევების რაოდენობა.</w:t>
      </w:r>
    </w:p>
    <w:p w14:paraId="0884AE46" w14:textId="77777777" w:rsidR="00322212" w:rsidRPr="003B4F6E" w:rsidRDefault="00322212" w:rsidP="003B4F6E">
      <w:pPr>
        <w:spacing w:after="0" w:line="240" w:lineRule="auto"/>
        <w:jc w:val="both"/>
        <w:rPr>
          <w:rFonts w:ascii="Sylfaen" w:hAnsi="Sylfaen"/>
          <w:noProof/>
          <w:sz w:val="20"/>
          <w:szCs w:val="20"/>
          <w:lang w:val="ka-GE"/>
        </w:rPr>
      </w:pPr>
    </w:p>
    <w:p w14:paraId="2A7A86B1" w14:textId="77777777" w:rsidR="00127D9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TRITON-TIMI 38-სა და 3 კოჰორტულ კვლევებში (Collet, Sibbing, Giusti) პაციენტთა გაერთიანებულ ჯგუფს, რომლებსაც ჰქონდათ საშუალო ან ცუდი მეტაბოლიზატორის სტატუსი, ჰქონდათ გულ-სისხლძარღვთა მოვლენების (სიკვდილი, </w:t>
      </w:r>
      <w:r w:rsidRPr="003B4F6E">
        <w:rPr>
          <w:rFonts w:ascii="Sylfaen" w:hAnsi="Sylfaen"/>
          <w:noProof/>
          <w:sz w:val="20"/>
          <w:szCs w:val="20"/>
          <w:lang w:val="ka-GE"/>
        </w:rPr>
        <w:lastRenderedPageBreak/>
        <w:t xml:space="preserve">მიოკარდიუმის ინფარქტი და ინსულტი) ან სტენტის თრომბოზი უფრო მაღალი მაჩვენებელი ინტენსიური მეტაბოლიზატორების მქონე პირებთან შედარებით. </w:t>
      </w:r>
    </w:p>
    <w:p w14:paraId="175D084D" w14:textId="77777777" w:rsidR="00127D92" w:rsidRPr="003B4F6E" w:rsidRDefault="00127D92" w:rsidP="003B4F6E">
      <w:pPr>
        <w:spacing w:after="0" w:line="240" w:lineRule="auto"/>
        <w:jc w:val="both"/>
        <w:rPr>
          <w:rFonts w:ascii="Sylfaen" w:hAnsi="Sylfaen"/>
          <w:noProof/>
          <w:sz w:val="20"/>
          <w:szCs w:val="20"/>
          <w:lang w:val="ka-GE"/>
        </w:rPr>
      </w:pPr>
    </w:p>
    <w:p w14:paraId="1AFD1B9B" w14:textId="398DFE2E" w:rsidR="00127D9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CHARISMA-სა და ერთ კოჰორტულ კვლევაში (Simon), შემთხვევების გაზრდილი მაჩვენებელი დაფიქსირდა მხოლოდ სუსტ მეტაბოლიზატორებში ინტენსიური მეტაბოლიზატორების მქონე პირებთან შედარებით. </w:t>
      </w:r>
    </w:p>
    <w:p w14:paraId="7E62C473" w14:textId="77777777" w:rsidR="00127D92" w:rsidRPr="003B4F6E" w:rsidRDefault="00127D92" w:rsidP="003B4F6E">
      <w:pPr>
        <w:spacing w:after="0" w:line="240" w:lineRule="auto"/>
        <w:jc w:val="both"/>
        <w:rPr>
          <w:rFonts w:ascii="Sylfaen" w:hAnsi="Sylfaen"/>
          <w:noProof/>
          <w:sz w:val="20"/>
          <w:szCs w:val="20"/>
          <w:lang w:val="ka-GE"/>
        </w:rPr>
      </w:pPr>
    </w:p>
    <w:p w14:paraId="651E6448" w14:textId="7B18B849"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CURE, CLARITY, ACTIVE-A და ერთ-ერთ კოჰორტულ კვლევაში (Trenk), მეტაბოლიზატორის სტატუსის მიხედვით, მოვლენების სიხშირის ზრდა არ დაფიქსირებულა.</w:t>
      </w:r>
    </w:p>
    <w:p w14:paraId="59FA087A" w14:textId="77777777" w:rsidR="00322212" w:rsidRPr="003B4F6E" w:rsidRDefault="00322212" w:rsidP="003B4F6E">
      <w:pPr>
        <w:spacing w:after="0" w:line="240" w:lineRule="auto"/>
        <w:jc w:val="both"/>
        <w:rPr>
          <w:rFonts w:ascii="Sylfaen" w:hAnsi="Sylfaen"/>
          <w:noProof/>
          <w:sz w:val="20"/>
          <w:szCs w:val="20"/>
          <w:lang w:val="ka-GE"/>
        </w:rPr>
      </w:pPr>
    </w:p>
    <w:p w14:paraId="682426DB"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ამ ანალიზიდან არცერთი არ იყო საკმარისად დიდი, რომ გამოვლენილიყო ცუდი მეტაბოლიზატორების შედეგებში არსებული განსხვავებები.</w:t>
      </w:r>
    </w:p>
    <w:p w14:paraId="4DF38709" w14:textId="77777777" w:rsidR="00322212" w:rsidRPr="003B4F6E" w:rsidRDefault="00322212" w:rsidP="003B4F6E">
      <w:pPr>
        <w:spacing w:after="0" w:line="240" w:lineRule="auto"/>
        <w:rPr>
          <w:rFonts w:ascii="Sylfaen" w:hAnsi="Sylfaen"/>
          <w:noProof/>
          <w:sz w:val="20"/>
          <w:szCs w:val="20"/>
          <w:u w:val="single"/>
          <w:lang w:val="ka-GE"/>
        </w:rPr>
      </w:pPr>
    </w:p>
    <w:p w14:paraId="12903831" w14:textId="77777777" w:rsidR="00322212" w:rsidRPr="003B4F6E" w:rsidRDefault="00322212" w:rsidP="003B4F6E">
      <w:pPr>
        <w:spacing w:after="0" w:line="240" w:lineRule="auto"/>
        <w:jc w:val="both"/>
        <w:rPr>
          <w:rFonts w:ascii="Sylfaen" w:hAnsi="Sylfaen"/>
          <w:noProof/>
          <w:sz w:val="20"/>
          <w:szCs w:val="20"/>
          <w:u w:val="single"/>
          <w:lang w:val="ka-GE"/>
        </w:rPr>
      </w:pPr>
      <w:r w:rsidRPr="003B4F6E">
        <w:rPr>
          <w:rFonts w:ascii="Sylfaen" w:hAnsi="Sylfaen"/>
          <w:noProof/>
          <w:sz w:val="20"/>
          <w:szCs w:val="20"/>
          <w:u w:val="single"/>
          <w:lang w:val="ka-GE"/>
        </w:rPr>
        <w:t>სპეციალური პოპულაციები</w:t>
      </w:r>
    </w:p>
    <w:p w14:paraId="41C87410"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კლოპიდოგრელის აქტიური მეტაბოლიტის ფარმაკოკინეტიკა ამ სპეციალურ პოპულაციებში ცნობილი არ არის.</w:t>
      </w:r>
    </w:p>
    <w:p w14:paraId="0A2CE71E" w14:textId="77777777" w:rsidR="00127D92" w:rsidRPr="003B4F6E" w:rsidRDefault="00127D92" w:rsidP="003B4F6E">
      <w:pPr>
        <w:spacing w:after="0" w:line="240" w:lineRule="auto"/>
        <w:jc w:val="both"/>
        <w:rPr>
          <w:rFonts w:ascii="Sylfaen" w:hAnsi="Sylfaen"/>
          <w:i/>
          <w:iCs/>
          <w:noProof/>
          <w:sz w:val="20"/>
          <w:szCs w:val="20"/>
          <w:lang w:val="ka-GE"/>
        </w:rPr>
      </w:pPr>
    </w:p>
    <w:p w14:paraId="42194F7F"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თირკმლის ფუნქციის დარღვევა</w:t>
      </w:r>
    </w:p>
    <w:p w14:paraId="75FB5F51" w14:textId="771E3515"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თირკმლის მძიმე დაავადების მქონე სუბიექტებში (კრეატინინის კლირენსი 5-დან 15 მლ/წთ-მდე) დღეში 75 მგ კლოპიდოგრელის განმეორებითი დოზების შემდეგ, ADP-ით გამოწვეული თრომბოციტების აგრეგაციის ინჰიბირება უფრო დაბალი იყო (25%), ვიდრე ჯანმრთელ სუბიექტებში დაფიქსირებული, თუმცა,</w:t>
      </w:r>
      <w:r w:rsidR="00127D92" w:rsidRPr="003B4F6E">
        <w:rPr>
          <w:rFonts w:ascii="Sylfaen" w:hAnsi="Sylfaen"/>
          <w:noProof/>
          <w:sz w:val="20"/>
          <w:szCs w:val="20"/>
          <w:lang w:val="ka-GE"/>
        </w:rPr>
        <w:t xml:space="preserve"> </w:t>
      </w:r>
      <w:r w:rsidRPr="003B4F6E">
        <w:rPr>
          <w:rFonts w:ascii="Sylfaen" w:hAnsi="Sylfaen"/>
          <w:noProof/>
          <w:sz w:val="20"/>
          <w:szCs w:val="20"/>
          <w:lang w:val="ka-GE"/>
        </w:rPr>
        <w:t>სისხლდენის დროის გახანგრძლივება მსგავსი იყო ჯანმრთელ სუბიექტებში, რომლებიც იღებდნენ 75 მგ კლოპიდოგრელს დღეში. გარდა ამისა,</w:t>
      </w:r>
      <w:r w:rsidR="00127D92" w:rsidRPr="003B4F6E">
        <w:rPr>
          <w:rFonts w:ascii="Sylfaen" w:hAnsi="Sylfaen"/>
          <w:noProof/>
          <w:sz w:val="20"/>
          <w:szCs w:val="20"/>
          <w:lang w:val="ka-GE"/>
        </w:rPr>
        <w:t xml:space="preserve"> </w:t>
      </w:r>
      <w:r w:rsidRPr="003B4F6E">
        <w:rPr>
          <w:rFonts w:ascii="Sylfaen" w:hAnsi="Sylfaen"/>
          <w:noProof/>
          <w:sz w:val="20"/>
          <w:szCs w:val="20"/>
          <w:lang w:val="ka-GE"/>
        </w:rPr>
        <w:t>კლინიკური ტოლერანტობა კარგი იყო ყველა პაციენტში.</w:t>
      </w:r>
    </w:p>
    <w:p w14:paraId="4AEC71AF" w14:textId="77777777" w:rsidR="00127D92" w:rsidRPr="003B4F6E" w:rsidRDefault="00127D92" w:rsidP="003B4F6E">
      <w:pPr>
        <w:spacing w:after="0" w:line="240" w:lineRule="auto"/>
        <w:jc w:val="both"/>
        <w:rPr>
          <w:rFonts w:ascii="Sylfaen" w:hAnsi="Sylfaen"/>
          <w:noProof/>
          <w:sz w:val="20"/>
          <w:szCs w:val="20"/>
          <w:lang w:val="ka-GE"/>
        </w:rPr>
      </w:pPr>
    </w:p>
    <w:p w14:paraId="47848CC7"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ღვიძლის ფუნქციის დარღვევა</w:t>
      </w:r>
    </w:p>
    <w:p w14:paraId="43198CED"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ღვიძლის მძიმე უკმარისობის მქონე პაციენტებში დღეში 75 მგ კლოპიდოგრელის განმეორებითი დოზების 10 დღის განმავლობაში მიღების შემდეგ, ADP-ით გამოწვეული თრომბოციტების აგრეგაციის ინჰიბირება მსგავსი იყო ჯანმრთელ სუბიექტებში დაფიქსირებულის. სისხლდენის დროის საშუალო გახანგრძლივება ასევე მსგავსი იყო ორ ჯგუფში.</w:t>
      </w:r>
    </w:p>
    <w:p w14:paraId="32E55C33" w14:textId="77777777" w:rsidR="00127D92" w:rsidRPr="003B4F6E" w:rsidRDefault="00127D92" w:rsidP="003B4F6E">
      <w:pPr>
        <w:spacing w:after="0" w:line="240" w:lineRule="auto"/>
        <w:jc w:val="both"/>
        <w:rPr>
          <w:rFonts w:ascii="Sylfaen" w:hAnsi="Sylfaen"/>
          <w:noProof/>
          <w:sz w:val="20"/>
          <w:szCs w:val="20"/>
          <w:lang w:val="ka-GE"/>
        </w:rPr>
      </w:pPr>
    </w:p>
    <w:p w14:paraId="464049BF" w14:textId="77777777" w:rsidR="00322212" w:rsidRPr="003B4F6E" w:rsidRDefault="00322212" w:rsidP="003B4F6E">
      <w:pPr>
        <w:spacing w:after="0" w:line="240" w:lineRule="auto"/>
        <w:jc w:val="both"/>
        <w:rPr>
          <w:rFonts w:ascii="Sylfaen" w:hAnsi="Sylfaen"/>
          <w:i/>
          <w:iCs/>
          <w:noProof/>
          <w:sz w:val="20"/>
          <w:szCs w:val="20"/>
          <w:lang w:val="ka-GE"/>
        </w:rPr>
      </w:pPr>
      <w:r w:rsidRPr="003B4F6E">
        <w:rPr>
          <w:rFonts w:ascii="Sylfaen" w:hAnsi="Sylfaen"/>
          <w:i/>
          <w:iCs/>
          <w:noProof/>
          <w:sz w:val="20"/>
          <w:szCs w:val="20"/>
          <w:lang w:val="ka-GE"/>
        </w:rPr>
        <w:t>რასა</w:t>
      </w:r>
    </w:p>
    <w:p w14:paraId="2B5A0293"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CYP2C19 ალელების გავრცელება, რომლებიც იწვევენ CYP2C19-ის შუალედურ და სუსტ მეტაბოლიზმს, განსხვავდება რასის/ეთნიკური კუთვნილების მიხედვით (იხილეთ ფარმაკოგენეტიკა). ლიტერატურიდან გამომდინარე, აზიურ პოპულაციებში შეზღუდული მონაცემებია ხელმისაწვდომი ამ CYP-ის გენოტიპირების კლინიკური გავლენის შესაფასებლად კლინიკურ შედეგებზე.</w:t>
      </w:r>
    </w:p>
    <w:p w14:paraId="3721813E" w14:textId="77777777" w:rsidR="00322212" w:rsidRPr="003B4F6E" w:rsidRDefault="00322212" w:rsidP="003B4F6E">
      <w:pPr>
        <w:spacing w:after="0" w:line="240" w:lineRule="auto"/>
        <w:jc w:val="both"/>
        <w:rPr>
          <w:rFonts w:ascii="Sylfaen" w:hAnsi="Sylfaen"/>
          <w:noProof/>
          <w:sz w:val="20"/>
          <w:szCs w:val="20"/>
          <w:lang w:val="ka-GE"/>
        </w:rPr>
      </w:pPr>
    </w:p>
    <w:p w14:paraId="1B67F813" w14:textId="77777777" w:rsidR="00322212" w:rsidRPr="003B4F6E" w:rsidRDefault="00322212" w:rsidP="003B4F6E">
      <w:pPr>
        <w:spacing w:after="0" w:line="240" w:lineRule="auto"/>
        <w:jc w:val="both"/>
        <w:rPr>
          <w:rFonts w:ascii="Sylfaen" w:hAnsi="Sylfaen"/>
          <w:b/>
          <w:noProof/>
          <w:sz w:val="20"/>
          <w:szCs w:val="20"/>
          <w:lang w:val="ka-GE"/>
        </w:rPr>
      </w:pPr>
      <w:r w:rsidRPr="003B4F6E">
        <w:rPr>
          <w:rFonts w:ascii="Sylfaen" w:hAnsi="Sylfaen"/>
          <w:b/>
          <w:noProof/>
          <w:sz w:val="20"/>
          <w:szCs w:val="20"/>
          <w:lang w:val="ka-GE"/>
        </w:rPr>
        <w:t>5.3 კლინიკური უსაფრთხოების წინარე მონაცემები</w:t>
      </w:r>
    </w:p>
    <w:p w14:paraId="7EA4AE7D"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ვირთაგვებსა და ბაბუინებზე ჩატარებული არაკლინიკური კვლევების დროს ყველაზე ხშირად დაფიქსირებული ეფექტები იყო ღვიძლის მხრივ ცვლილებები. ეს მოვლენები ვითარდებოდა დოზების დროს, რომლებიც წარმოადგენდა ადამიანებში კლინიკური დოზის 75 მგ/დღეში მიღებისას დაფიქსირებულ ექსპოზიციას სულ მცირე 25-ჯერ და წარმოადგენდა ღვიძლის მეტაბოლიზმის ფერმენტებზე ზემოქმედების შედეგს. თერაპიული დოზით კლოპიდოგრელის მიმღებ ადამიანებში ღვიძლის მეტაბოლიზმის ფერმენტებზე გავლენა არ დაფიქსირებულა.</w:t>
      </w:r>
    </w:p>
    <w:p w14:paraId="6784B4E2" w14:textId="77777777" w:rsidR="00127D92" w:rsidRPr="003B4F6E" w:rsidRDefault="00127D92" w:rsidP="003B4F6E">
      <w:pPr>
        <w:spacing w:after="0" w:line="240" w:lineRule="auto"/>
        <w:jc w:val="both"/>
        <w:rPr>
          <w:rFonts w:ascii="Sylfaen" w:hAnsi="Sylfaen"/>
          <w:noProof/>
          <w:sz w:val="20"/>
          <w:szCs w:val="20"/>
          <w:lang w:val="ka-GE"/>
        </w:rPr>
      </w:pPr>
    </w:p>
    <w:p w14:paraId="0EC6FD74"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ძალიან მაღალი დოზების მიღებისას, ვირთაგვებსა და ბაბუინებში ასევე დაფიქსირდა კლოპიდოგრელის კუჭის ტოლერანტობის დაქვეითება (გასტრიტი, კუჭის ეროზიები და/ან ღებინება).</w:t>
      </w:r>
    </w:p>
    <w:p w14:paraId="7AC6EBE9" w14:textId="77777777" w:rsidR="00127D92" w:rsidRPr="003B4F6E" w:rsidRDefault="00127D92" w:rsidP="003B4F6E">
      <w:pPr>
        <w:spacing w:after="0" w:line="240" w:lineRule="auto"/>
        <w:jc w:val="both"/>
        <w:rPr>
          <w:rFonts w:ascii="Sylfaen" w:hAnsi="Sylfaen"/>
          <w:noProof/>
          <w:sz w:val="20"/>
          <w:szCs w:val="20"/>
          <w:lang w:val="ka-GE"/>
        </w:rPr>
      </w:pPr>
    </w:p>
    <w:p w14:paraId="350464BD" w14:textId="3026EE56"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კანცეროგენული ეფექტის მტკიცებულება არ დაფიქსირებულა, როდესაც კლოპიდოგრელი თაგვებში 78 კვირის და ვირთაგვებში 104 კვირის განმავლობაში გამოიყენებოდა,</w:t>
      </w:r>
      <w:r w:rsidR="00127D92" w:rsidRPr="003B4F6E">
        <w:rPr>
          <w:rFonts w:ascii="Sylfaen" w:hAnsi="Sylfaen"/>
          <w:noProof/>
          <w:sz w:val="20"/>
          <w:szCs w:val="20"/>
          <w:lang w:val="ka-GE"/>
        </w:rPr>
        <w:t xml:space="preserve"> </w:t>
      </w:r>
      <w:r w:rsidRPr="003B4F6E">
        <w:rPr>
          <w:rFonts w:ascii="Sylfaen" w:hAnsi="Sylfaen"/>
          <w:noProof/>
          <w:sz w:val="20"/>
          <w:szCs w:val="20"/>
          <w:lang w:val="ka-GE"/>
        </w:rPr>
        <w:t>როდესაც მიცემული იყო დღეში 77 მგ/კგ-მდე დოზით (რაც წარმოადგენს კლინიკური დოზის 75 მგ/დღეში მიღებისას დაფიქსირებულ ექსპოზიციას სულ მცირე 25-ჯერ).</w:t>
      </w:r>
    </w:p>
    <w:p w14:paraId="5FA54D81" w14:textId="77777777" w:rsidR="00127D92" w:rsidRPr="003B4F6E" w:rsidRDefault="00127D92" w:rsidP="003B4F6E">
      <w:pPr>
        <w:spacing w:after="0" w:line="240" w:lineRule="auto"/>
        <w:jc w:val="both"/>
        <w:rPr>
          <w:rFonts w:ascii="Sylfaen" w:hAnsi="Sylfaen"/>
          <w:noProof/>
          <w:sz w:val="20"/>
          <w:szCs w:val="20"/>
          <w:lang w:val="ka-GE"/>
        </w:rPr>
      </w:pPr>
    </w:p>
    <w:p w14:paraId="53714900" w14:textId="77777777" w:rsidR="00127D9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კლოპიდოგრელი გამოცდილი იქნა in vitro და in vivo გენოტოქსიკურობის კვლევების ფართო სპექტრში და არ აჩვენა გენოტოქსიკური აქტივობა. </w:t>
      </w:r>
    </w:p>
    <w:p w14:paraId="75B14698" w14:textId="77777777" w:rsidR="00127D92" w:rsidRPr="003B4F6E" w:rsidRDefault="00127D92" w:rsidP="003B4F6E">
      <w:pPr>
        <w:spacing w:after="0" w:line="240" w:lineRule="auto"/>
        <w:jc w:val="both"/>
        <w:rPr>
          <w:rFonts w:ascii="Sylfaen" w:hAnsi="Sylfaen"/>
          <w:noProof/>
          <w:sz w:val="20"/>
          <w:szCs w:val="20"/>
          <w:lang w:val="ka-GE"/>
        </w:rPr>
      </w:pPr>
    </w:p>
    <w:p w14:paraId="0499859A" w14:textId="3C0A6429"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კლოპიდოგრელს არ ჰქონდა გავლენა მამრი და მდედრი ვირთაგვების ნაყოფიერებაზე და არ იყო ტერატოგენული არც ვირთაგვებში და არც ბოცვრებში. მეძუძურ ვირთაგვებში მიღებისას კლოპიდოგრელმა გამოიწვია შთამომავლობის </w:t>
      </w:r>
      <w:r w:rsidRPr="003B4F6E">
        <w:rPr>
          <w:rFonts w:ascii="Sylfaen" w:hAnsi="Sylfaen"/>
          <w:noProof/>
          <w:sz w:val="20"/>
          <w:szCs w:val="20"/>
          <w:lang w:val="ka-GE"/>
        </w:rPr>
        <w:lastRenderedPageBreak/>
        <w:t>განვითარების მცირე შეფერხება. რადიოაქტიური ნიშნით მონიშნული კლოპიდოგრელით ჩატარებულმა სპეციფიკურმა ფარმაკოკინეტიკურმა კვლევებმა აჩვენა, რომ საწყისი ნაერთი ან მისი მეტაბოლიტები გამოიყოფა რძეში. შესაბამისად, არ არის გამორიცხული პირდაპირი ეფექტი (უმნიშვნელო ტოქსიკურობა) ან არაპირდაპირი ეფექტი (დაბალი გემო).</w:t>
      </w:r>
    </w:p>
    <w:p w14:paraId="10A70E62" w14:textId="77777777" w:rsidR="00322212" w:rsidRPr="003B4F6E" w:rsidRDefault="00322212" w:rsidP="003B4F6E">
      <w:pPr>
        <w:spacing w:after="0" w:line="240" w:lineRule="auto"/>
        <w:jc w:val="both"/>
        <w:rPr>
          <w:rFonts w:ascii="Sylfaen" w:hAnsi="Sylfaen"/>
          <w:noProof/>
          <w:sz w:val="20"/>
          <w:szCs w:val="20"/>
          <w:lang w:val="ka-GE"/>
        </w:rPr>
      </w:pPr>
    </w:p>
    <w:p w14:paraId="73DF8A3C" w14:textId="77777777" w:rsidR="00322212" w:rsidRPr="003B4F6E" w:rsidRDefault="00322212" w:rsidP="003B4F6E">
      <w:pPr>
        <w:spacing w:after="0" w:line="240" w:lineRule="auto"/>
        <w:jc w:val="both"/>
        <w:rPr>
          <w:rFonts w:ascii="Sylfaen" w:hAnsi="Sylfaen"/>
          <w:b/>
          <w:noProof/>
          <w:sz w:val="20"/>
          <w:szCs w:val="20"/>
          <w:lang w:val="ka-GE"/>
        </w:rPr>
      </w:pPr>
      <w:r w:rsidRPr="003B4F6E">
        <w:rPr>
          <w:rFonts w:ascii="Sylfaen" w:hAnsi="Sylfaen"/>
          <w:b/>
          <w:noProof/>
          <w:sz w:val="20"/>
          <w:szCs w:val="20"/>
          <w:lang w:val="ka-GE"/>
        </w:rPr>
        <w:t>6 ფარმაცევტული მახასიათებლები</w:t>
      </w:r>
    </w:p>
    <w:p w14:paraId="61C70852" w14:textId="77777777" w:rsidR="00322212" w:rsidRPr="003B4F6E" w:rsidRDefault="00322212" w:rsidP="003B4F6E">
      <w:pPr>
        <w:spacing w:after="0" w:line="240" w:lineRule="auto"/>
        <w:jc w:val="both"/>
        <w:rPr>
          <w:rFonts w:ascii="Sylfaen" w:hAnsi="Sylfaen"/>
          <w:b/>
          <w:noProof/>
          <w:sz w:val="20"/>
          <w:szCs w:val="20"/>
          <w:lang w:val="ka-GE"/>
        </w:rPr>
      </w:pPr>
      <w:r w:rsidRPr="003B4F6E">
        <w:rPr>
          <w:rFonts w:ascii="Sylfaen" w:hAnsi="Sylfaen"/>
          <w:b/>
          <w:noProof/>
          <w:sz w:val="20"/>
          <w:szCs w:val="20"/>
          <w:lang w:val="ka-GE"/>
        </w:rPr>
        <w:t>6.1 ექსციპიენტების სია</w:t>
      </w:r>
    </w:p>
    <w:p w14:paraId="2B971A9E"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 xml:space="preserve">ლაქტოზის მონოჰიდრატი და სიმინდის სახამებელი, მიკროკრისტალური ცელულოზა (102), კოლოიდური უწყლო სილიციუმი, კროსპოვიდონი, მაგნიუმის სტეარატი, DR Coat FCU (C/026/158), გასუფთავებული წყალი </w:t>
      </w:r>
    </w:p>
    <w:p w14:paraId="45D84C32" w14:textId="77777777" w:rsidR="00127D92" w:rsidRPr="003B4F6E" w:rsidRDefault="00127D92" w:rsidP="003B4F6E">
      <w:pPr>
        <w:spacing w:after="0" w:line="240" w:lineRule="auto"/>
        <w:jc w:val="both"/>
        <w:rPr>
          <w:rFonts w:ascii="Sylfaen" w:hAnsi="Sylfaen"/>
          <w:b/>
          <w:bCs/>
          <w:noProof/>
          <w:sz w:val="20"/>
          <w:szCs w:val="20"/>
          <w:lang w:val="ka-GE"/>
        </w:rPr>
      </w:pPr>
    </w:p>
    <w:p w14:paraId="5EE4D74B" w14:textId="77777777" w:rsidR="00322212" w:rsidRPr="003B4F6E" w:rsidRDefault="00322212" w:rsidP="003B4F6E">
      <w:pPr>
        <w:spacing w:after="0" w:line="240" w:lineRule="auto"/>
        <w:jc w:val="both"/>
        <w:rPr>
          <w:rFonts w:ascii="Sylfaen" w:hAnsi="Sylfaen"/>
          <w:b/>
          <w:bCs/>
          <w:noProof/>
          <w:sz w:val="20"/>
          <w:szCs w:val="20"/>
          <w:lang w:val="ka-GE"/>
        </w:rPr>
      </w:pPr>
      <w:r w:rsidRPr="003B4F6E">
        <w:rPr>
          <w:rFonts w:ascii="Sylfaen" w:hAnsi="Sylfaen"/>
          <w:b/>
          <w:bCs/>
          <w:noProof/>
          <w:sz w:val="20"/>
          <w:szCs w:val="20"/>
          <w:lang w:val="ka-GE"/>
        </w:rPr>
        <w:t>6.2 შეუთავსებლობა</w:t>
      </w:r>
    </w:p>
    <w:p w14:paraId="0C24456C"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არ არის წარმოდგენილი</w:t>
      </w:r>
    </w:p>
    <w:p w14:paraId="321A3468" w14:textId="77777777" w:rsidR="00127D92" w:rsidRPr="003B4F6E" w:rsidRDefault="00127D92" w:rsidP="003B4F6E">
      <w:pPr>
        <w:spacing w:after="0" w:line="240" w:lineRule="auto"/>
        <w:jc w:val="both"/>
        <w:rPr>
          <w:rFonts w:ascii="Sylfaen" w:hAnsi="Sylfaen"/>
          <w:b/>
          <w:bCs/>
          <w:noProof/>
          <w:sz w:val="20"/>
          <w:szCs w:val="20"/>
          <w:lang w:val="ka-GE"/>
        </w:rPr>
      </w:pPr>
    </w:p>
    <w:p w14:paraId="6687E64C" w14:textId="77777777" w:rsidR="00322212" w:rsidRPr="003B4F6E" w:rsidRDefault="00322212" w:rsidP="003B4F6E">
      <w:pPr>
        <w:spacing w:after="0" w:line="240" w:lineRule="auto"/>
        <w:jc w:val="both"/>
        <w:rPr>
          <w:rFonts w:ascii="Sylfaen" w:hAnsi="Sylfaen"/>
          <w:b/>
          <w:bCs/>
          <w:noProof/>
          <w:sz w:val="20"/>
          <w:szCs w:val="20"/>
          <w:lang w:val="ka-GE"/>
        </w:rPr>
      </w:pPr>
      <w:r w:rsidRPr="003B4F6E">
        <w:rPr>
          <w:rFonts w:ascii="Sylfaen" w:hAnsi="Sylfaen"/>
          <w:b/>
          <w:bCs/>
          <w:noProof/>
          <w:sz w:val="20"/>
          <w:szCs w:val="20"/>
          <w:lang w:val="ka-GE"/>
        </w:rPr>
        <w:t>6.3 ვარგისიანობის ვადა</w:t>
      </w:r>
    </w:p>
    <w:p w14:paraId="069AD5F1"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3 წელი</w:t>
      </w:r>
    </w:p>
    <w:p w14:paraId="25E74396" w14:textId="77777777" w:rsidR="00127D92" w:rsidRPr="003B4F6E" w:rsidRDefault="00127D92" w:rsidP="003B4F6E">
      <w:pPr>
        <w:spacing w:after="0" w:line="240" w:lineRule="auto"/>
        <w:jc w:val="both"/>
        <w:rPr>
          <w:rFonts w:ascii="Sylfaen" w:hAnsi="Sylfaen"/>
          <w:b/>
          <w:bCs/>
          <w:noProof/>
          <w:sz w:val="20"/>
          <w:szCs w:val="20"/>
          <w:lang w:val="ka-GE"/>
        </w:rPr>
      </w:pPr>
    </w:p>
    <w:p w14:paraId="7D0E3A57" w14:textId="77777777" w:rsidR="00322212" w:rsidRPr="003B4F6E" w:rsidRDefault="00322212" w:rsidP="003B4F6E">
      <w:pPr>
        <w:spacing w:after="0" w:line="240" w:lineRule="auto"/>
        <w:jc w:val="both"/>
        <w:rPr>
          <w:rFonts w:ascii="Sylfaen" w:hAnsi="Sylfaen"/>
          <w:b/>
          <w:bCs/>
          <w:noProof/>
          <w:sz w:val="20"/>
          <w:szCs w:val="20"/>
          <w:lang w:val="ka-GE"/>
        </w:rPr>
      </w:pPr>
      <w:r w:rsidRPr="003B4F6E">
        <w:rPr>
          <w:rFonts w:ascii="Sylfaen" w:hAnsi="Sylfaen"/>
          <w:b/>
          <w:bCs/>
          <w:noProof/>
          <w:sz w:val="20"/>
          <w:szCs w:val="20"/>
          <w:lang w:val="ka-GE"/>
        </w:rPr>
        <w:t>6.4 შენახვის განსაკუთრებული სიფრთხილის ზომები</w:t>
      </w:r>
    </w:p>
    <w:p w14:paraId="25E119DD" w14:textId="2CF10169"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შეინახეთ 30°C-ზე დაბალ ტემპერატურაზე</w:t>
      </w:r>
      <w:r w:rsidR="00127D92" w:rsidRPr="003B4F6E">
        <w:rPr>
          <w:rFonts w:ascii="Sylfaen" w:hAnsi="Sylfaen"/>
          <w:noProof/>
          <w:sz w:val="20"/>
          <w:szCs w:val="20"/>
          <w:lang w:val="ka-GE"/>
        </w:rPr>
        <w:t>.</w:t>
      </w:r>
    </w:p>
    <w:p w14:paraId="29085AF4" w14:textId="77777777" w:rsidR="00127D92" w:rsidRPr="003B4F6E" w:rsidRDefault="00127D92" w:rsidP="003B4F6E">
      <w:pPr>
        <w:spacing w:after="0" w:line="240" w:lineRule="auto"/>
        <w:jc w:val="both"/>
        <w:rPr>
          <w:rFonts w:ascii="Sylfaen" w:hAnsi="Sylfaen"/>
          <w:b/>
          <w:bCs/>
          <w:noProof/>
          <w:sz w:val="20"/>
          <w:szCs w:val="20"/>
          <w:lang w:val="ka-GE"/>
        </w:rPr>
      </w:pPr>
    </w:p>
    <w:p w14:paraId="47A9E94F" w14:textId="77777777" w:rsidR="00322212" w:rsidRPr="003B4F6E" w:rsidRDefault="00322212" w:rsidP="003B4F6E">
      <w:pPr>
        <w:spacing w:after="0" w:line="240" w:lineRule="auto"/>
        <w:jc w:val="both"/>
        <w:rPr>
          <w:rFonts w:ascii="Sylfaen" w:hAnsi="Sylfaen"/>
          <w:b/>
          <w:bCs/>
          <w:noProof/>
          <w:sz w:val="20"/>
          <w:szCs w:val="20"/>
          <w:lang w:val="ka-GE"/>
        </w:rPr>
      </w:pPr>
      <w:r w:rsidRPr="003B4F6E">
        <w:rPr>
          <w:rFonts w:ascii="Sylfaen" w:hAnsi="Sylfaen"/>
          <w:b/>
          <w:bCs/>
          <w:noProof/>
          <w:sz w:val="20"/>
          <w:szCs w:val="20"/>
          <w:lang w:val="ka-GE"/>
        </w:rPr>
        <w:t>6.5 კონტეინერის ბუნება და შემადგენლობა</w:t>
      </w:r>
    </w:p>
    <w:p w14:paraId="5C68541D"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ალუ-პვქ ბლისტერი.</w:t>
      </w:r>
    </w:p>
    <w:p w14:paraId="569C3136" w14:textId="77777777" w:rsidR="00127D92" w:rsidRPr="003B4F6E" w:rsidRDefault="00127D92" w:rsidP="003B4F6E">
      <w:pPr>
        <w:spacing w:after="0" w:line="240" w:lineRule="auto"/>
        <w:jc w:val="both"/>
        <w:rPr>
          <w:rFonts w:ascii="Sylfaen" w:hAnsi="Sylfaen"/>
          <w:noProof/>
          <w:sz w:val="20"/>
          <w:szCs w:val="20"/>
          <w:lang w:val="ka-GE"/>
        </w:rPr>
      </w:pPr>
    </w:p>
    <w:p w14:paraId="296FC343" w14:textId="77777777" w:rsidR="00322212" w:rsidRPr="003B4F6E" w:rsidRDefault="00322212" w:rsidP="003B4F6E">
      <w:pPr>
        <w:spacing w:after="0" w:line="240" w:lineRule="auto"/>
        <w:jc w:val="both"/>
        <w:rPr>
          <w:rFonts w:ascii="Sylfaen" w:hAnsi="Sylfaen"/>
          <w:noProof/>
          <w:sz w:val="20"/>
          <w:szCs w:val="20"/>
          <w:u w:val="single"/>
          <w:lang w:val="ka-GE"/>
        </w:rPr>
      </w:pPr>
      <w:r w:rsidRPr="003B4F6E">
        <w:rPr>
          <w:rFonts w:ascii="Sylfaen" w:hAnsi="Sylfaen"/>
          <w:noProof/>
          <w:sz w:val="20"/>
          <w:szCs w:val="20"/>
          <w:u w:val="single"/>
          <w:lang w:val="ka-GE"/>
        </w:rPr>
        <w:t>შეფუთვის ზომები</w:t>
      </w:r>
    </w:p>
    <w:p w14:paraId="3FA2BC4E"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30 (3 x 10) ტაბლეტი.</w:t>
      </w:r>
    </w:p>
    <w:p w14:paraId="70C79836" w14:textId="77777777" w:rsidR="00127D92" w:rsidRPr="003B4F6E" w:rsidRDefault="00127D92" w:rsidP="003B4F6E">
      <w:pPr>
        <w:spacing w:after="0" w:line="240" w:lineRule="auto"/>
        <w:jc w:val="both"/>
        <w:rPr>
          <w:rFonts w:ascii="Sylfaen" w:hAnsi="Sylfaen"/>
          <w:b/>
          <w:bCs/>
          <w:noProof/>
          <w:sz w:val="20"/>
          <w:szCs w:val="20"/>
          <w:lang w:val="ka-GE"/>
        </w:rPr>
      </w:pPr>
    </w:p>
    <w:p w14:paraId="611EC371" w14:textId="77777777" w:rsidR="00322212" w:rsidRPr="003B4F6E" w:rsidRDefault="00322212" w:rsidP="003B4F6E">
      <w:pPr>
        <w:spacing w:after="0" w:line="240" w:lineRule="auto"/>
        <w:jc w:val="both"/>
        <w:rPr>
          <w:rFonts w:ascii="Sylfaen" w:hAnsi="Sylfaen"/>
          <w:b/>
          <w:bCs/>
          <w:noProof/>
          <w:sz w:val="20"/>
          <w:szCs w:val="20"/>
          <w:lang w:val="ka-GE"/>
        </w:rPr>
      </w:pPr>
      <w:r w:rsidRPr="003B4F6E">
        <w:rPr>
          <w:rFonts w:ascii="Sylfaen" w:hAnsi="Sylfaen"/>
          <w:b/>
          <w:bCs/>
          <w:noProof/>
          <w:sz w:val="20"/>
          <w:szCs w:val="20"/>
          <w:lang w:val="ka-GE"/>
        </w:rPr>
        <w:t>6.6 განსაკუთრებული სიფრთხილის ზომები განადგურების და სხვა დამუშავების დროს</w:t>
      </w:r>
    </w:p>
    <w:p w14:paraId="743CAE59" w14:textId="77777777" w:rsidR="00322212" w:rsidRPr="003B4F6E" w:rsidRDefault="00322212" w:rsidP="003B4F6E">
      <w:pPr>
        <w:spacing w:after="0" w:line="240" w:lineRule="auto"/>
        <w:jc w:val="both"/>
        <w:rPr>
          <w:rFonts w:ascii="Sylfaen" w:hAnsi="Sylfaen"/>
          <w:noProof/>
          <w:sz w:val="20"/>
          <w:szCs w:val="20"/>
          <w:lang w:val="ka-GE"/>
        </w:rPr>
      </w:pPr>
      <w:r w:rsidRPr="003B4F6E">
        <w:rPr>
          <w:rFonts w:ascii="Sylfaen" w:hAnsi="Sylfaen"/>
          <w:noProof/>
          <w:sz w:val="20"/>
          <w:szCs w:val="20"/>
          <w:lang w:val="ka-GE"/>
        </w:rPr>
        <w:t>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w:t>
      </w:r>
    </w:p>
    <w:p w14:paraId="56F9868A" w14:textId="77777777" w:rsidR="00322212" w:rsidRPr="003B4F6E" w:rsidRDefault="00322212" w:rsidP="003B4F6E">
      <w:pPr>
        <w:spacing w:after="0" w:line="240" w:lineRule="auto"/>
        <w:rPr>
          <w:rFonts w:ascii="Sylfaen" w:hAnsi="Sylfaen"/>
          <w:b/>
          <w:noProof/>
          <w:sz w:val="20"/>
          <w:szCs w:val="20"/>
          <w:lang w:val="ka-GE"/>
        </w:rPr>
      </w:pPr>
    </w:p>
    <w:p w14:paraId="3DAB3FDD" w14:textId="77777777" w:rsidR="00322212" w:rsidRPr="003B4F6E" w:rsidRDefault="00322212" w:rsidP="003B4F6E">
      <w:pPr>
        <w:spacing w:after="0" w:line="240" w:lineRule="auto"/>
        <w:rPr>
          <w:rFonts w:ascii="Sylfaen" w:hAnsi="Sylfaen"/>
          <w:b/>
          <w:noProof/>
          <w:sz w:val="20"/>
          <w:szCs w:val="20"/>
          <w:lang w:val="ka-GE"/>
        </w:rPr>
      </w:pPr>
      <w:r w:rsidRPr="003B4F6E">
        <w:rPr>
          <w:rFonts w:ascii="Sylfaen" w:hAnsi="Sylfaen"/>
          <w:b/>
          <w:noProof/>
          <w:sz w:val="20"/>
          <w:szCs w:val="20"/>
          <w:lang w:val="ka-GE"/>
        </w:rPr>
        <w:t>7. მწარმოებელი</w:t>
      </w:r>
    </w:p>
    <w:p w14:paraId="6DBDD20E" w14:textId="77777777" w:rsidR="00322212" w:rsidRPr="003B4F6E" w:rsidRDefault="00322212" w:rsidP="003B4F6E">
      <w:pPr>
        <w:spacing w:after="0" w:line="240" w:lineRule="auto"/>
        <w:rPr>
          <w:rFonts w:ascii="Times New Roman" w:hAnsi="Times New Roman"/>
          <w:noProof/>
          <w:sz w:val="20"/>
          <w:szCs w:val="20"/>
          <w:lang w:val="ka-GE"/>
        </w:rPr>
      </w:pPr>
      <w:r w:rsidRPr="003B4F6E">
        <w:rPr>
          <w:rFonts w:ascii="Times New Roman" w:hAnsi="Times New Roman"/>
          <w:noProof/>
          <w:sz w:val="20"/>
          <w:szCs w:val="20"/>
          <w:lang w:val="ka-GE"/>
        </w:rPr>
        <w:t>Biomatrix Healthcare Private Limited, India</w:t>
      </w:r>
    </w:p>
    <w:p w14:paraId="26305BF2" w14:textId="77777777" w:rsidR="00322212" w:rsidRPr="003B4F6E" w:rsidRDefault="00322212" w:rsidP="003B4F6E">
      <w:pPr>
        <w:spacing w:after="0" w:line="240" w:lineRule="auto"/>
        <w:rPr>
          <w:rFonts w:ascii="Times New Roman" w:hAnsi="Times New Roman"/>
          <w:noProof/>
          <w:sz w:val="20"/>
          <w:szCs w:val="20"/>
          <w:lang w:val="ka-GE"/>
        </w:rPr>
      </w:pPr>
    </w:p>
    <w:p w14:paraId="28442C4E" w14:textId="77777777" w:rsidR="00322212" w:rsidRPr="003B4F6E" w:rsidRDefault="00322212" w:rsidP="003B4F6E">
      <w:pPr>
        <w:spacing w:after="0" w:line="240" w:lineRule="auto"/>
        <w:rPr>
          <w:rFonts w:ascii="Times New Roman" w:hAnsi="Times New Roman"/>
          <w:b/>
          <w:noProof/>
          <w:sz w:val="20"/>
          <w:szCs w:val="20"/>
          <w:lang w:val="ka-GE"/>
        </w:rPr>
      </w:pPr>
      <w:r w:rsidRPr="003B4F6E">
        <w:rPr>
          <w:rFonts w:ascii="Times New Roman" w:hAnsi="Times New Roman"/>
          <w:b/>
          <w:noProof/>
          <w:sz w:val="20"/>
          <w:szCs w:val="20"/>
          <w:lang w:val="ka-GE"/>
        </w:rPr>
        <w:t xml:space="preserve">8.  </w:t>
      </w:r>
      <w:r w:rsidRPr="003B4F6E">
        <w:rPr>
          <w:rFonts w:ascii="Sylfaen" w:hAnsi="Sylfaen"/>
          <w:b/>
          <w:noProof/>
          <w:sz w:val="20"/>
          <w:szCs w:val="20"/>
          <w:lang w:val="ka-GE"/>
        </w:rPr>
        <w:t>სავაჭრო ლიცენზიის მფლობელი</w:t>
      </w:r>
    </w:p>
    <w:p w14:paraId="5A647A8F" w14:textId="77777777" w:rsidR="00322212" w:rsidRPr="003B4F6E" w:rsidRDefault="00322212" w:rsidP="003B4F6E">
      <w:pPr>
        <w:spacing w:after="0" w:line="240" w:lineRule="auto"/>
        <w:rPr>
          <w:rFonts w:ascii="Times New Roman" w:hAnsi="Times New Roman"/>
          <w:noProof/>
          <w:sz w:val="20"/>
          <w:szCs w:val="20"/>
          <w:lang w:val="ka-GE"/>
        </w:rPr>
      </w:pPr>
      <w:r w:rsidRPr="003B4F6E">
        <w:rPr>
          <w:rFonts w:ascii="Times New Roman" w:hAnsi="Times New Roman"/>
          <w:noProof/>
          <w:sz w:val="20"/>
          <w:szCs w:val="20"/>
          <w:lang w:val="ka-GE"/>
        </w:rPr>
        <w:t>Syren Healthcare, India</w:t>
      </w:r>
    </w:p>
    <w:p w14:paraId="5BBEB210" w14:textId="77777777" w:rsidR="00322212" w:rsidRPr="003B4F6E" w:rsidRDefault="00322212" w:rsidP="003B4F6E">
      <w:pPr>
        <w:spacing w:after="0" w:line="240" w:lineRule="auto"/>
        <w:rPr>
          <w:rFonts w:ascii="Sylfaen" w:hAnsi="Sylfaen"/>
          <w:b/>
          <w:noProof/>
          <w:sz w:val="20"/>
          <w:szCs w:val="20"/>
          <w:lang w:val="ka-GE"/>
        </w:rPr>
      </w:pPr>
    </w:p>
    <w:p w14:paraId="3DC20227" w14:textId="77777777" w:rsidR="00322212" w:rsidRPr="003B4F6E" w:rsidRDefault="00322212" w:rsidP="003B4F6E">
      <w:pPr>
        <w:spacing w:after="0" w:line="240" w:lineRule="auto"/>
        <w:rPr>
          <w:rFonts w:ascii="Sylfaen" w:hAnsi="Sylfaen"/>
          <w:b/>
          <w:noProof/>
          <w:sz w:val="20"/>
          <w:szCs w:val="20"/>
          <w:lang w:val="ka-GE"/>
        </w:rPr>
      </w:pPr>
      <w:r w:rsidRPr="003B4F6E">
        <w:rPr>
          <w:rFonts w:ascii="Sylfaen" w:hAnsi="Sylfaen"/>
          <w:b/>
          <w:noProof/>
          <w:sz w:val="20"/>
          <w:szCs w:val="20"/>
          <w:lang w:val="ka-GE"/>
        </w:rPr>
        <w:t>9. რეგისტრაციის ნომერი (ები)</w:t>
      </w:r>
    </w:p>
    <w:p w14:paraId="56D9730D" w14:textId="77777777" w:rsidR="00322212" w:rsidRPr="003B4F6E" w:rsidRDefault="00322212" w:rsidP="003B4F6E">
      <w:pPr>
        <w:spacing w:after="0" w:line="240" w:lineRule="auto"/>
        <w:rPr>
          <w:rFonts w:ascii="Sylfaen" w:hAnsi="Sylfaen"/>
          <w:b/>
          <w:noProof/>
          <w:sz w:val="20"/>
          <w:szCs w:val="20"/>
          <w:lang w:val="ka-GE"/>
        </w:rPr>
      </w:pPr>
    </w:p>
    <w:p w14:paraId="6F1F8E3D" w14:textId="77777777" w:rsidR="00322212" w:rsidRPr="003B4F6E" w:rsidRDefault="00322212" w:rsidP="003B4F6E">
      <w:pPr>
        <w:spacing w:after="0" w:line="240" w:lineRule="auto"/>
        <w:rPr>
          <w:rFonts w:ascii="Sylfaen" w:hAnsi="Sylfaen"/>
          <w:b/>
          <w:noProof/>
          <w:sz w:val="20"/>
          <w:szCs w:val="20"/>
          <w:lang w:val="ka-GE"/>
        </w:rPr>
      </w:pPr>
      <w:r w:rsidRPr="003B4F6E">
        <w:rPr>
          <w:rFonts w:ascii="Sylfaen" w:hAnsi="Sylfaen"/>
          <w:b/>
          <w:noProof/>
          <w:sz w:val="20"/>
          <w:szCs w:val="20"/>
          <w:lang w:val="ka-GE"/>
        </w:rPr>
        <w:t>10. პირველი რეგისტრაციის/ხელახალი რეგისტრაციის თარიღი</w:t>
      </w:r>
    </w:p>
    <w:p w14:paraId="28A0B62B" w14:textId="77777777" w:rsidR="00322212" w:rsidRPr="003B4F6E" w:rsidRDefault="00322212" w:rsidP="003B4F6E">
      <w:pPr>
        <w:spacing w:after="0" w:line="240" w:lineRule="auto"/>
        <w:rPr>
          <w:rFonts w:ascii="Sylfaen" w:hAnsi="Sylfaen"/>
          <w:b/>
          <w:noProof/>
          <w:sz w:val="20"/>
          <w:szCs w:val="20"/>
          <w:lang w:val="ka-GE"/>
        </w:rPr>
      </w:pPr>
    </w:p>
    <w:p w14:paraId="38795AC6" w14:textId="77777777" w:rsidR="00322212" w:rsidRPr="003B4F6E" w:rsidRDefault="00322212" w:rsidP="003B4F6E">
      <w:pPr>
        <w:spacing w:after="0" w:line="240" w:lineRule="auto"/>
        <w:rPr>
          <w:rFonts w:ascii="Sylfaen" w:hAnsi="Sylfaen"/>
          <w:b/>
          <w:noProof/>
          <w:sz w:val="20"/>
          <w:szCs w:val="20"/>
          <w:lang w:val="ka-GE"/>
        </w:rPr>
      </w:pPr>
      <w:r w:rsidRPr="003B4F6E">
        <w:rPr>
          <w:rFonts w:ascii="Sylfaen" w:hAnsi="Sylfaen"/>
          <w:b/>
          <w:noProof/>
          <w:sz w:val="20"/>
          <w:szCs w:val="20"/>
          <w:lang w:val="ka-GE"/>
        </w:rPr>
        <w:t>11. ტექსტის გადახედვის თარიღი</w:t>
      </w:r>
    </w:p>
    <w:p w14:paraId="53E0B3EE" w14:textId="77777777" w:rsidR="005A4800" w:rsidRPr="003B4F6E" w:rsidRDefault="005A4800" w:rsidP="003B4F6E">
      <w:pPr>
        <w:spacing w:after="0" w:line="240" w:lineRule="auto"/>
        <w:rPr>
          <w:rFonts w:ascii="Sylfaen" w:hAnsi="Sylfaen"/>
          <w:b/>
          <w:noProof/>
          <w:sz w:val="20"/>
          <w:szCs w:val="20"/>
          <w:lang w:val="ka-GE"/>
        </w:rPr>
      </w:pPr>
    </w:p>
    <w:p w14:paraId="229C3EE4" w14:textId="24AA0E4D" w:rsidR="00322212" w:rsidRPr="003B4F6E" w:rsidRDefault="005A4800" w:rsidP="003B4F6E">
      <w:pPr>
        <w:spacing w:after="0" w:line="240" w:lineRule="auto"/>
        <w:rPr>
          <w:rFonts w:ascii="Sylfaen" w:hAnsi="Sylfaen"/>
          <w:b/>
          <w:bCs/>
          <w:noProof/>
          <w:sz w:val="20"/>
          <w:szCs w:val="20"/>
          <w:lang w:val="ka-GE"/>
        </w:rPr>
      </w:pPr>
      <w:r w:rsidRPr="003B4F6E">
        <w:rPr>
          <w:rFonts w:ascii="Sylfaen" w:hAnsi="Sylfaen"/>
          <w:b/>
          <w:bCs/>
          <w:noProof/>
          <w:sz w:val="20"/>
          <w:szCs w:val="20"/>
          <w:lang w:val="ka-GE"/>
        </w:rPr>
        <w:t>გაცემის წესი:</w:t>
      </w:r>
    </w:p>
    <w:p w14:paraId="7F19F5A7" w14:textId="21F21210" w:rsidR="005A4800" w:rsidRPr="003B4F6E" w:rsidRDefault="005A4800" w:rsidP="003B4F6E">
      <w:pPr>
        <w:spacing w:after="0" w:line="240" w:lineRule="auto"/>
        <w:rPr>
          <w:rFonts w:ascii="Sylfaen" w:hAnsi="Sylfaen"/>
          <w:noProof/>
          <w:sz w:val="20"/>
          <w:szCs w:val="20"/>
          <w:lang w:val="ka-GE"/>
        </w:rPr>
      </w:pPr>
      <w:proofErr w:type="spellStart"/>
      <w:r w:rsidRPr="003B4F6E">
        <w:rPr>
          <w:rFonts w:ascii="Sylfaen" w:eastAsia="SimSun" w:hAnsi="Sylfaen"/>
          <w:bCs/>
          <w:sz w:val="20"/>
          <w:szCs w:val="20"/>
        </w:rPr>
        <w:t>ფარმაცევტული</w:t>
      </w:r>
      <w:proofErr w:type="spellEnd"/>
      <w:r w:rsidRPr="003B4F6E">
        <w:rPr>
          <w:rFonts w:ascii="Sylfaen" w:eastAsia="SimSun" w:hAnsi="Sylfaen"/>
          <w:bCs/>
          <w:sz w:val="20"/>
          <w:szCs w:val="20"/>
        </w:rPr>
        <w:t xml:space="preserve"> </w:t>
      </w:r>
      <w:proofErr w:type="spellStart"/>
      <w:r w:rsidRPr="003B4F6E">
        <w:rPr>
          <w:rFonts w:ascii="Sylfaen" w:eastAsia="SimSun" w:hAnsi="Sylfaen"/>
          <w:bCs/>
          <w:sz w:val="20"/>
          <w:szCs w:val="20"/>
        </w:rPr>
        <w:t>პროდუქტის</w:t>
      </w:r>
      <w:proofErr w:type="spellEnd"/>
      <w:r w:rsidRPr="003B4F6E">
        <w:rPr>
          <w:rFonts w:ascii="Sylfaen" w:eastAsia="SimSun" w:hAnsi="Sylfaen"/>
          <w:bCs/>
          <w:sz w:val="20"/>
          <w:szCs w:val="20"/>
        </w:rPr>
        <w:t xml:space="preserve"> </w:t>
      </w:r>
      <w:proofErr w:type="spellStart"/>
      <w:r w:rsidRPr="003B4F6E">
        <w:rPr>
          <w:rFonts w:ascii="Sylfaen" w:eastAsia="SimSun" w:hAnsi="Sylfaen"/>
          <w:bCs/>
          <w:sz w:val="20"/>
          <w:szCs w:val="20"/>
        </w:rPr>
        <w:t>ჯგუფი</w:t>
      </w:r>
      <w:proofErr w:type="spellEnd"/>
      <w:r w:rsidRPr="003B4F6E">
        <w:rPr>
          <w:rFonts w:ascii="Sylfaen" w:eastAsia="SimSun" w:hAnsi="Sylfaen"/>
          <w:bCs/>
          <w:sz w:val="20"/>
          <w:szCs w:val="20"/>
        </w:rPr>
        <w:t xml:space="preserve"> II, </w:t>
      </w:r>
      <w:proofErr w:type="spellStart"/>
      <w:r w:rsidRPr="003B4F6E">
        <w:rPr>
          <w:rFonts w:ascii="Sylfaen" w:eastAsia="SimSun" w:hAnsi="Sylfaen"/>
          <w:bCs/>
          <w:sz w:val="20"/>
          <w:szCs w:val="20"/>
        </w:rPr>
        <w:t>გაიცემა</w:t>
      </w:r>
      <w:proofErr w:type="spellEnd"/>
      <w:r w:rsidRPr="003B4F6E">
        <w:rPr>
          <w:rFonts w:ascii="Sylfaen" w:eastAsia="SimSun" w:hAnsi="Sylfaen"/>
          <w:bCs/>
          <w:sz w:val="20"/>
          <w:szCs w:val="20"/>
        </w:rPr>
        <w:t xml:space="preserve"> </w:t>
      </w:r>
      <w:proofErr w:type="spellStart"/>
      <w:r w:rsidRPr="003B4F6E">
        <w:rPr>
          <w:rFonts w:ascii="Sylfaen" w:eastAsia="SimSun" w:hAnsi="Sylfaen"/>
          <w:bCs/>
          <w:sz w:val="20"/>
          <w:szCs w:val="20"/>
        </w:rPr>
        <w:t>ფორმა</w:t>
      </w:r>
      <w:proofErr w:type="spellEnd"/>
      <w:r w:rsidRPr="003B4F6E">
        <w:rPr>
          <w:rFonts w:ascii="Sylfaen" w:eastAsia="SimSun" w:hAnsi="Sylfaen"/>
          <w:bCs/>
          <w:sz w:val="20"/>
          <w:szCs w:val="20"/>
        </w:rPr>
        <w:t xml:space="preserve"> №3 </w:t>
      </w:r>
      <w:proofErr w:type="spellStart"/>
      <w:r w:rsidRPr="003B4F6E">
        <w:rPr>
          <w:rFonts w:ascii="Sylfaen" w:eastAsia="SimSun" w:hAnsi="Sylfaen"/>
          <w:bCs/>
          <w:sz w:val="20"/>
          <w:szCs w:val="20"/>
        </w:rPr>
        <w:t>რეცეპტით</w:t>
      </w:r>
      <w:proofErr w:type="spellEnd"/>
      <w:r w:rsidRPr="003B4F6E">
        <w:rPr>
          <w:rFonts w:ascii="Sylfaen" w:eastAsia="SimSun" w:hAnsi="Sylfaen"/>
          <w:bCs/>
          <w:sz w:val="20"/>
          <w:szCs w:val="20"/>
        </w:rPr>
        <w:t>.</w:t>
      </w:r>
    </w:p>
    <w:sectPr w:rsidR="005A4800" w:rsidRPr="003B4F6E" w:rsidSect="001F6BA8">
      <w:footerReference w:type="default" r:id="rId7"/>
      <w:pgSz w:w="12240" w:h="15840"/>
      <w:pgMar w:top="284" w:right="616" w:bottom="540"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C35EC" w14:textId="77777777" w:rsidR="00224297" w:rsidRDefault="00224297" w:rsidP="00D422A8">
      <w:pPr>
        <w:spacing w:after="0" w:line="240" w:lineRule="auto"/>
      </w:pPr>
      <w:r>
        <w:separator/>
      </w:r>
    </w:p>
  </w:endnote>
  <w:endnote w:type="continuationSeparator" w:id="0">
    <w:p w14:paraId="0C20064A" w14:textId="77777777" w:rsidR="00224297" w:rsidRDefault="00224297" w:rsidP="00D42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Narrow">
    <w:altName w:val="Aptos Narrow"/>
    <w:panose1 w:val="00000000000000000000"/>
    <w:charset w:val="00"/>
    <w:family w:val="swiss"/>
    <w:notTrueType/>
    <w:pitch w:val="variable"/>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Bold">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04A07" w14:textId="77777777" w:rsidR="00D422A8" w:rsidRDefault="00D422A8">
    <w:pPr>
      <w:pStyle w:val="Footer"/>
      <w:jc w:val="center"/>
    </w:pPr>
    <w:r>
      <w:fldChar w:fldCharType="begin"/>
    </w:r>
    <w:r>
      <w:instrText xml:space="preserve"> PAGE   \* MERGEFORMAT </w:instrText>
    </w:r>
    <w:r>
      <w:fldChar w:fldCharType="separate"/>
    </w:r>
    <w:r>
      <w:rPr>
        <w:noProof/>
      </w:rPr>
      <w:t>2</w:t>
    </w:r>
    <w:r>
      <w:rPr>
        <w:noProof/>
      </w:rPr>
      <w:fldChar w:fldCharType="end"/>
    </w:r>
  </w:p>
  <w:p w14:paraId="28D5982C" w14:textId="77777777" w:rsidR="00D422A8" w:rsidRDefault="00D422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16C14" w14:textId="77777777" w:rsidR="00224297" w:rsidRDefault="00224297" w:rsidP="00D422A8">
      <w:pPr>
        <w:spacing w:after="0" w:line="240" w:lineRule="auto"/>
      </w:pPr>
      <w:r>
        <w:separator/>
      </w:r>
    </w:p>
  </w:footnote>
  <w:footnote w:type="continuationSeparator" w:id="0">
    <w:p w14:paraId="06EA700E" w14:textId="77777777" w:rsidR="00224297" w:rsidRDefault="00224297" w:rsidP="00D422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CA42EF5"/>
    <w:multiLevelType w:val="multilevel"/>
    <w:tmpl w:val="9CCE364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400417"/>
    <w:multiLevelType w:val="hybridMultilevel"/>
    <w:tmpl w:val="404402FE"/>
    <w:lvl w:ilvl="0" w:tplc="62388002">
      <w:start w:val="4"/>
      <w:numFmt w:val="bullet"/>
      <w:lvlText w:val="-"/>
      <w:lvlJc w:val="left"/>
      <w:pPr>
        <w:ind w:left="720" w:hanging="360"/>
      </w:pPr>
      <w:rPr>
        <w:rFonts w:ascii="Sylfaen" w:eastAsia="Calibri" w:hAnsi="Sylfaen" w:cs="Times New Roman"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6"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694C1D"/>
    <w:multiLevelType w:val="hybridMultilevel"/>
    <w:tmpl w:val="8EE6B7EE"/>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9"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1B0369"/>
    <w:multiLevelType w:val="hybridMultilevel"/>
    <w:tmpl w:val="17547A32"/>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D2276E"/>
    <w:multiLevelType w:val="hybridMultilevel"/>
    <w:tmpl w:val="4ED83F98"/>
    <w:lvl w:ilvl="0" w:tplc="04370003">
      <w:start w:val="1"/>
      <w:numFmt w:val="bullet"/>
      <w:lvlText w:val="o"/>
      <w:lvlJc w:val="left"/>
      <w:pPr>
        <w:ind w:left="1440" w:hanging="360"/>
      </w:pPr>
      <w:rPr>
        <w:rFonts w:ascii="Courier New" w:hAnsi="Courier New" w:cs="Courier New" w:hint="default"/>
      </w:rPr>
    </w:lvl>
    <w:lvl w:ilvl="1" w:tplc="04370003" w:tentative="1">
      <w:start w:val="1"/>
      <w:numFmt w:val="bullet"/>
      <w:lvlText w:val="o"/>
      <w:lvlJc w:val="left"/>
      <w:pPr>
        <w:ind w:left="2160" w:hanging="360"/>
      </w:pPr>
      <w:rPr>
        <w:rFonts w:ascii="Courier New" w:hAnsi="Courier New" w:cs="Courier New" w:hint="default"/>
      </w:rPr>
    </w:lvl>
    <w:lvl w:ilvl="2" w:tplc="04370005" w:tentative="1">
      <w:start w:val="1"/>
      <w:numFmt w:val="bullet"/>
      <w:lvlText w:val=""/>
      <w:lvlJc w:val="left"/>
      <w:pPr>
        <w:ind w:left="2880" w:hanging="360"/>
      </w:pPr>
      <w:rPr>
        <w:rFonts w:ascii="Wingdings" w:hAnsi="Wingdings" w:hint="default"/>
      </w:rPr>
    </w:lvl>
    <w:lvl w:ilvl="3" w:tplc="04370001" w:tentative="1">
      <w:start w:val="1"/>
      <w:numFmt w:val="bullet"/>
      <w:lvlText w:val=""/>
      <w:lvlJc w:val="left"/>
      <w:pPr>
        <w:ind w:left="3600" w:hanging="360"/>
      </w:pPr>
      <w:rPr>
        <w:rFonts w:ascii="Symbol" w:hAnsi="Symbol" w:hint="default"/>
      </w:rPr>
    </w:lvl>
    <w:lvl w:ilvl="4" w:tplc="04370003" w:tentative="1">
      <w:start w:val="1"/>
      <w:numFmt w:val="bullet"/>
      <w:lvlText w:val="o"/>
      <w:lvlJc w:val="left"/>
      <w:pPr>
        <w:ind w:left="4320" w:hanging="360"/>
      </w:pPr>
      <w:rPr>
        <w:rFonts w:ascii="Courier New" w:hAnsi="Courier New" w:cs="Courier New" w:hint="default"/>
      </w:rPr>
    </w:lvl>
    <w:lvl w:ilvl="5" w:tplc="04370005" w:tentative="1">
      <w:start w:val="1"/>
      <w:numFmt w:val="bullet"/>
      <w:lvlText w:val=""/>
      <w:lvlJc w:val="left"/>
      <w:pPr>
        <w:ind w:left="5040" w:hanging="360"/>
      </w:pPr>
      <w:rPr>
        <w:rFonts w:ascii="Wingdings" w:hAnsi="Wingdings" w:hint="default"/>
      </w:rPr>
    </w:lvl>
    <w:lvl w:ilvl="6" w:tplc="04370001" w:tentative="1">
      <w:start w:val="1"/>
      <w:numFmt w:val="bullet"/>
      <w:lvlText w:val=""/>
      <w:lvlJc w:val="left"/>
      <w:pPr>
        <w:ind w:left="5760" w:hanging="360"/>
      </w:pPr>
      <w:rPr>
        <w:rFonts w:ascii="Symbol" w:hAnsi="Symbol" w:hint="default"/>
      </w:rPr>
    </w:lvl>
    <w:lvl w:ilvl="7" w:tplc="04370003" w:tentative="1">
      <w:start w:val="1"/>
      <w:numFmt w:val="bullet"/>
      <w:lvlText w:val="o"/>
      <w:lvlJc w:val="left"/>
      <w:pPr>
        <w:ind w:left="6480" w:hanging="360"/>
      </w:pPr>
      <w:rPr>
        <w:rFonts w:ascii="Courier New" w:hAnsi="Courier New" w:cs="Courier New" w:hint="default"/>
      </w:rPr>
    </w:lvl>
    <w:lvl w:ilvl="8" w:tplc="04370005" w:tentative="1">
      <w:start w:val="1"/>
      <w:numFmt w:val="bullet"/>
      <w:lvlText w:val=""/>
      <w:lvlJc w:val="left"/>
      <w:pPr>
        <w:ind w:left="7200" w:hanging="360"/>
      </w:pPr>
      <w:rPr>
        <w:rFonts w:ascii="Wingdings" w:hAnsi="Wingdings" w:hint="default"/>
      </w:rPr>
    </w:lvl>
  </w:abstractNum>
  <w:abstractNum w:abstractNumId="13"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257280D"/>
    <w:multiLevelType w:val="hybridMultilevel"/>
    <w:tmpl w:val="4AAACEDA"/>
    <w:lvl w:ilvl="0" w:tplc="62388002">
      <w:start w:val="4"/>
      <w:numFmt w:val="bullet"/>
      <w:lvlText w:val="-"/>
      <w:lvlJc w:val="left"/>
      <w:pPr>
        <w:ind w:left="720" w:hanging="360"/>
      </w:pPr>
      <w:rPr>
        <w:rFonts w:ascii="Sylfaen" w:eastAsia="Calibri" w:hAnsi="Sylfaen" w:cs="Times New Roman"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3"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A634DB"/>
    <w:multiLevelType w:val="hybridMultilevel"/>
    <w:tmpl w:val="0EB0D354"/>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6" w15:restartNumberingAfterBreak="0">
    <w:nsid w:val="6D2163B8"/>
    <w:multiLevelType w:val="hybridMultilevel"/>
    <w:tmpl w:val="9CCE36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0346937">
    <w:abstractNumId w:val="27"/>
  </w:num>
  <w:num w:numId="2" w16cid:durableId="1561549482">
    <w:abstractNumId w:val="13"/>
  </w:num>
  <w:num w:numId="3" w16cid:durableId="824005182">
    <w:abstractNumId w:val="14"/>
  </w:num>
  <w:num w:numId="4" w16cid:durableId="2026057634">
    <w:abstractNumId w:val="18"/>
  </w:num>
  <w:num w:numId="5" w16cid:durableId="1076905250">
    <w:abstractNumId w:val="28"/>
  </w:num>
  <w:num w:numId="6" w16cid:durableId="1549301245">
    <w:abstractNumId w:val="23"/>
  </w:num>
  <w:num w:numId="7" w16cid:durableId="1267039552">
    <w:abstractNumId w:val="4"/>
  </w:num>
  <w:num w:numId="8" w16cid:durableId="153498322">
    <w:abstractNumId w:val="16"/>
  </w:num>
  <w:num w:numId="9" w16cid:durableId="162088029">
    <w:abstractNumId w:val="6"/>
  </w:num>
  <w:num w:numId="10" w16cid:durableId="1197544439">
    <w:abstractNumId w:val="3"/>
  </w:num>
  <w:num w:numId="11" w16cid:durableId="828252910">
    <w:abstractNumId w:val="19"/>
  </w:num>
  <w:num w:numId="12" w16cid:durableId="152109471">
    <w:abstractNumId w:val="0"/>
  </w:num>
  <w:num w:numId="13" w16cid:durableId="804469386">
    <w:abstractNumId w:val="20"/>
  </w:num>
  <w:num w:numId="14" w16cid:durableId="1844936102">
    <w:abstractNumId w:val="11"/>
  </w:num>
  <w:num w:numId="15" w16cid:durableId="933322650">
    <w:abstractNumId w:val="1"/>
  </w:num>
  <w:num w:numId="16" w16cid:durableId="472715270">
    <w:abstractNumId w:val="9"/>
  </w:num>
  <w:num w:numId="17" w16cid:durableId="1784152997">
    <w:abstractNumId w:val="15"/>
  </w:num>
  <w:num w:numId="18" w16cid:durableId="1982925300">
    <w:abstractNumId w:val="7"/>
  </w:num>
  <w:num w:numId="19" w16cid:durableId="383481462">
    <w:abstractNumId w:val="24"/>
  </w:num>
  <w:num w:numId="20" w16cid:durableId="859974640">
    <w:abstractNumId w:val="17"/>
  </w:num>
  <w:num w:numId="21" w16cid:durableId="1867013107">
    <w:abstractNumId w:val="21"/>
  </w:num>
  <w:num w:numId="22" w16cid:durableId="1505825554">
    <w:abstractNumId w:val="26"/>
  </w:num>
  <w:num w:numId="23" w16cid:durableId="1535726583">
    <w:abstractNumId w:val="2"/>
  </w:num>
  <w:num w:numId="24" w16cid:durableId="1636444811">
    <w:abstractNumId w:val="10"/>
  </w:num>
  <w:num w:numId="25" w16cid:durableId="2093158918">
    <w:abstractNumId w:val="22"/>
  </w:num>
  <w:num w:numId="26" w16cid:durableId="1769622593">
    <w:abstractNumId w:val="5"/>
  </w:num>
  <w:num w:numId="27" w16cid:durableId="1160190861">
    <w:abstractNumId w:val="8"/>
  </w:num>
  <w:num w:numId="28" w16cid:durableId="1467890327">
    <w:abstractNumId w:val="25"/>
  </w:num>
  <w:num w:numId="29" w16cid:durableId="13081701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oNotTrackMoves/>
  <w:defaultTabStop w:val="720"/>
  <w:hyphenationZone w:val="141"/>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001ED"/>
    <w:rsid w:val="00003E8B"/>
    <w:rsid w:val="00013D19"/>
    <w:rsid w:val="000236C7"/>
    <w:rsid w:val="00033065"/>
    <w:rsid w:val="0003637A"/>
    <w:rsid w:val="00072545"/>
    <w:rsid w:val="000971F6"/>
    <w:rsid w:val="000B122A"/>
    <w:rsid w:val="000B544C"/>
    <w:rsid w:val="000B7052"/>
    <w:rsid w:val="000C1FB9"/>
    <w:rsid w:val="000D3A02"/>
    <w:rsid w:val="00111B68"/>
    <w:rsid w:val="00122347"/>
    <w:rsid w:val="00127D92"/>
    <w:rsid w:val="00137119"/>
    <w:rsid w:val="0016392C"/>
    <w:rsid w:val="001673C5"/>
    <w:rsid w:val="00176BBD"/>
    <w:rsid w:val="0017778E"/>
    <w:rsid w:val="001A01C6"/>
    <w:rsid w:val="001B0395"/>
    <w:rsid w:val="001B6177"/>
    <w:rsid w:val="001B6E3B"/>
    <w:rsid w:val="001C2393"/>
    <w:rsid w:val="001C4453"/>
    <w:rsid w:val="001C7D82"/>
    <w:rsid w:val="001D3513"/>
    <w:rsid w:val="001D35FA"/>
    <w:rsid w:val="001E4833"/>
    <w:rsid w:val="001F1F33"/>
    <w:rsid w:val="001F6BA8"/>
    <w:rsid w:val="00224297"/>
    <w:rsid w:val="002540FD"/>
    <w:rsid w:val="00260539"/>
    <w:rsid w:val="00265CFF"/>
    <w:rsid w:val="00274CE1"/>
    <w:rsid w:val="00277091"/>
    <w:rsid w:val="0028166D"/>
    <w:rsid w:val="002E042A"/>
    <w:rsid w:val="002E08A9"/>
    <w:rsid w:val="002E5708"/>
    <w:rsid w:val="002E612E"/>
    <w:rsid w:val="002F4587"/>
    <w:rsid w:val="003018B4"/>
    <w:rsid w:val="0030573F"/>
    <w:rsid w:val="003062A5"/>
    <w:rsid w:val="00306C7B"/>
    <w:rsid w:val="00322212"/>
    <w:rsid w:val="00342611"/>
    <w:rsid w:val="0035053B"/>
    <w:rsid w:val="00355BDE"/>
    <w:rsid w:val="00357F1A"/>
    <w:rsid w:val="0038695E"/>
    <w:rsid w:val="003B4F6E"/>
    <w:rsid w:val="003C68C6"/>
    <w:rsid w:val="003E24EB"/>
    <w:rsid w:val="003F4751"/>
    <w:rsid w:val="003F6D04"/>
    <w:rsid w:val="00417505"/>
    <w:rsid w:val="00423C0F"/>
    <w:rsid w:val="00433003"/>
    <w:rsid w:val="00445C19"/>
    <w:rsid w:val="004554BC"/>
    <w:rsid w:val="00461E19"/>
    <w:rsid w:val="00497B6B"/>
    <w:rsid w:val="004A516D"/>
    <w:rsid w:val="004B0636"/>
    <w:rsid w:val="004C05A4"/>
    <w:rsid w:val="004C6204"/>
    <w:rsid w:val="004D4B42"/>
    <w:rsid w:val="004E1902"/>
    <w:rsid w:val="004E6725"/>
    <w:rsid w:val="004F13EB"/>
    <w:rsid w:val="004F339C"/>
    <w:rsid w:val="00514DED"/>
    <w:rsid w:val="00517B4E"/>
    <w:rsid w:val="00532CA3"/>
    <w:rsid w:val="00537AAA"/>
    <w:rsid w:val="00546CE4"/>
    <w:rsid w:val="0055246C"/>
    <w:rsid w:val="00562DF6"/>
    <w:rsid w:val="00564C16"/>
    <w:rsid w:val="00572495"/>
    <w:rsid w:val="005A449F"/>
    <w:rsid w:val="005A4800"/>
    <w:rsid w:val="005C221D"/>
    <w:rsid w:val="005C520C"/>
    <w:rsid w:val="005E3461"/>
    <w:rsid w:val="005E56A9"/>
    <w:rsid w:val="005F1923"/>
    <w:rsid w:val="00600C95"/>
    <w:rsid w:val="00605781"/>
    <w:rsid w:val="006110C6"/>
    <w:rsid w:val="00612217"/>
    <w:rsid w:val="00625CCD"/>
    <w:rsid w:val="00627996"/>
    <w:rsid w:val="0063628F"/>
    <w:rsid w:val="00643921"/>
    <w:rsid w:val="006467B5"/>
    <w:rsid w:val="00670D9D"/>
    <w:rsid w:val="00671566"/>
    <w:rsid w:val="00682F09"/>
    <w:rsid w:val="006921B5"/>
    <w:rsid w:val="006929A8"/>
    <w:rsid w:val="006930FD"/>
    <w:rsid w:val="006B1718"/>
    <w:rsid w:val="006B2E5A"/>
    <w:rsid w:val="006C0CB6"/>
    <w:rsid w:val="006C2228"/>
    <w:rsid w:val="006D1883"/>
    <w:rsid w:val="006F3504"/>
    <w:rsid w:val="00700784"/>
    <w:rsid w:val="0073119D"/>
    <w:rsid w:val="007443C9"/>
    <w:rsid w:val="00784DFB"/>
    <w:rsid w:val="007873E6"/>
    <w:rsid w:val="00792621"/>
    <w:rsid w:val="007A02F2"/>
    <w:rsid w:val="007A421A"/>
    <w:rsid w:val="007A5F10"/>
    <w:rsid w:val="007B5425"/>
    <w:rsid w:val="007B7016"/>
    <w:rsid w:val="007D03E5"/>
    <w:rsid w:val="007E325F"/>
    <w:rsid w:val="007F2060"/>
    <w:rsid w:val="00815F85"/>
    <w:rsid w:val="0082140E"/>
    <w:rsid w:val="00832C61"/>
    <w:rsid w:val="008355F0"/>
    <w:rsid w:val="008720EF"/>
    <w:rsid w:val="008864DE"/>
    <w:rsid w:val="00897363"/>
    <w:rsid w:val="008A6A43"/>
    <w:rsid w:val="008B77F5"/>
    <w:rsid w:val="008C0C9C"/>
    <w:rsid w:val="008C0DF0"/>
    <w:rsid w:val="008C4475"/>
    <w:rsid w:val="008E68F4"/>
    <w:rsid w:val="0090199C"/>
    <w:rsid w:val="009037C2"/>
    <w:rsid w:val="00932F78"/>
    <w:rsid w:val="009550E0"/>
    <w:rsid w:val="00955B26"/>
    <w:rsid w:val="00972C23"/>
    <w:rsid w:val="0097649D"/>
    <w:rsid w:val="00984033"/>
    <w:rsid w:val="00995725"/>
    <w:rsid w:val="009962C7"/>
    <w:rsid w:val="009A1AD0"/>
    <w:rsid w:val="009A1AFE"/>
    <w:rsid w:val="009A398E"/>
    <w:rsid w:val="009A760A"/>
    <w:rsid w:val="009B5672"/>
    <w:rsid w:val="009B6CBA"/>
    <w:rsid w:val="009D160E"/>
    <w:rsid w:val="009F12AF"/>
    <w:rsid w:val="009F13FD"/>
    <w:rsid w:val="009F1545"/>
    <w:rsid w:val="009F6F56"/>
    <w:rsid w:val="009F7F89"/>
    <w:rsid w:val="00A02080"/>
    <w:rsid w:val="00A068CB"/>
    <w:rsid w:val="00A4236D"/>
    <w:rsid w:val="00A44E75"/>
    <w:rsid w:val="00A50270"/>
    <w:rsid w:val="00A5266B"/>
    <w:rsid w:val="00A621E8"/>
    <w:rsid w:val="00A800D2"/>
    <w:rsid w:val="00AB1864"/>
    <w:rsid w:val="00AC27F8"/>
    <w:rsid w:val="00AC3008"/>
    <w:rsid w:val="00AD5485"/>
    <w:rsid w:val="00AD5F58"/>
    <w:rsid w:val="00AD75E0"/>
    <w:rsid w:val="00AF4A75"/>
    <w:rsid w:val="00AF5674"/>
    <w:rsid w:val="00AF7CB3"/>
    <w:rsid w:val="00B0323D"/>
    <w:rsid w:val="00B2329B"/>
    <w:rsid w:val="00B24772"/>
    <w:rsid w:val="00B31CA2"/>
    <w:rsid w:val="00B34859"/>
    <w:rsid w:val="00B43A53"/>
    <w:rsid w:val="00B44C2F"/>
    <w:rsid w:val="00B472CC"/>
    <w:rsid w:val="00B479E3"/>
    <w:rsid w:val="00B560F3"/>
    <w:rsid w:val="00B74BBD"/>
    <w:rsid w:val="00B77417"/>
    <w:rsid w:val="00B836FA"/>
    <w:rsid w:val="00B84778"/>
    <w:rsid w:val="00B93A7A"/>
    <w:rsid w:val="00BC0B05"/>
    <w:rsid w:val="00BC2014"/>
    <w:rsid w:val="00BD5387"/>
    <w:rsid w:val="00BD5DD7"/>
    <w:rsid w:val="00BE0342"/>
    <w:rsid w:val="00BE5A03"/>
    <w:rsid w:val="00BE638D"/>
    <w:rsid w:val="00C04F72"/>
    <w:rsid w:val="00C402D9"/>
    <w:rsid w:val="00C41D07"/>
    <w:rsid w:val="00C51677"/>
    <w:rsid w:val="00C51C8D"/>
    <w:rsid w:val="00C63229"/>
    <w:rsid w:val="00C644C1"/>
    <w:rsid w:val="00C723D5"/>
    <w:rsid w:val="00C7575B"/>
    <w:rsid w:val="00C766E2"/>
    <w:rsid w:val="00C954E8"/>
    <w:rsid w:val="00CA4AD3"/>
    <w:rsid w:val="00CB53E4"/>
    <w:rsid w:val="00CB622A"/>
    <w:rsid w:val="00CB67DF"/>
    <w:rsid w:val="00CD7FEB"/>
    <w:rsid w:val="00CE3F41"/>
    <w:rsid w:val="00CE7ADD"/>
    <w:rsid w:val="00D024B3"/>
    <w:rsid w:val="00D0385F"/>
    <w:rsid w:val="00D27E91"/>
    <w:rsid w:val="00D422A8"/>
    <w:rsid w:val="00D736FA"/>
    <w:rsid w:val="00D8164A"/>
    <w:rsid w:val="00DB0B9E"/>
    <w:rsid w:val="00DC0056"/>
    <w:rsid w:val="00DD2896"/>
    <w:rsid w:val="00DD30DB"/>
    <w:rsid w:val="00DD4297"/>
    <w:rsid w:val="00E00A37"/>
    <w:rsid w:val="00E15CC3"/>
    <w:rsid w:val="00E44D34"/>
    <w:rsid w:val="00E50A35"/>
    <w:rsid w:val="00E53117"/>
    <w:rsid w:val="00E55725"/>
    <w:rsid w:val="00E61DB4"/>
    <w:rsid w:val="00E71959"/>
    <w:rsid w:val="00E768E6"/>
    <w:rsid w:val="00E97F99"/>
    <w:rsid w:val="00EA014D"/>
    <w:rsid w:val="00EB1D3C"/>
    <w:rsid w:val="00EB26AF"/>
    <w:rsid w:val="00EC0349"/>
    <w:rsid w:val="00ED0591"/>
    <w:rsid w:val="00ED29D1"/>
    <w:rsid w:val="00EE379D"/>
    <w:rsid w:val="00EE4987"/>
    <w:rsid w:val="00F01937"/>
    <w:rsid w:val="00F257A9"/>
    <w:rsid w:val="00F40799"/>
    <w:rsid w:val="00F54530"/>
    <w:rsid w:val="00F91B72"/>
    <w:rsid w:val="00F94A3A"/>
    <w:rsid w:val="00F96D34"/>
    <w:rsid w:val="00FB2A97"/>
    <w:rsid w:val="00FB4A34"/>
    <w:rsid w:val="00FE3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C916A5"/>
  <w15:docId w15:val="{7AA4923E-8C3E-4C24-8C93-7EA29137B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kern w:val="2"/>
      <w:sz w:val="24"/>
      <w:szCs w:val="24"/>
      <w:lang w:val="en-US"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locked/>
    <w:rsid w:val="00C51677"/>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locked/>
    <w:rsid w:val="00DD2896"/>
    <w:pPr>
      <w:spacing w:before="100" w:beforeAutospacing="1" w:after="100" w:afterAutospacing="1" w:line="240" w:lineRule="auto"/>
    </w:pPr>
    <w:rPr>
      <w:rFonts w:ascii="Times New Roman" w:eastAsia="Times New Roman" w:hAnsi="Times New Roman"/>
      <w:kern w:val="0"/>
    </w:rPr>
  </w:style>
  <w:style w:type="character" w:customStyle="1" w:styleId="citation-110">
    <w:name w:val="citation-110"/>
    <w:uiPriority w:val="99"/>
    <w:rsid w:val="00DD2896"/>
    <w:rPr>
      <w:rFonts w:cs="Times New Roman"/>
    </w:rPr>
  </w:style>
  <w:style w:type="character" w:customStyle="1" w:styleId="citation-109">
    <w:name w:val="citation-109"/>
    <w:uiPriority w:val="99"/>
    <w:rsid w:val="00DD2896"/>
    <w:rPr>
      <w:rFonts w:cs="Times New Roman"/>
    </w:rPr>
  </w:style>
  <w:style w:type="character" w:customStyle="1" w:styleId="citation-108">
    <w:name w:val="citation-108"/>
    <w:uiPriority w:val="99"/>
    <w:rsid w:val="00DD2896"/>
    <w:rPr>
      <w:rFonts w:cs="Times New Roman"/>
    </w:rPr>
  </w:style>
  <w:style w:type="character" w:customStyle="1" w:styleId="citation-107">
    <w:name w:val="citation-107"/>
    <w:uiPriority w:val="99"/>
    <w:rsid w:val="00DD2896"/>
    <w:rPr>
      <w:rFonts w:cs="Times New Roman"/>
    </w:rPr>
  </w:style>
  <w:style w:type="character" w:customStyle="1" w:styleId="citation-106">
    <w:name w:val="citation-106"/>
    <w:uiPriority w:val="99"/>
    <w:rsid w:val="00DD2896"/>
    <w:rPr>
      <w:rFonts w:cs="Times New Roman"/>
    </w:rPr>
  </w:style>
  <w:style w:type="character" w:customStyle="1" w:styleId="citation-105">
    <w:name w:val="citation-105"/>
    <w:uiPriority w:val="99"/>
    <w:rsid w:val="00DD2896"/>
    <w:rPr>
      <w:rFonts w:cs="Times New Roman"/>
    </w:rPr>
  </w:style>
  <w:style w:type="character" w:customStyle="1" w:styleId="citation-104">
    <w:name w:val="citation-104"/>
    <w:uiPriority w:val="99"/>
    <w:rsid w:val="00DD2896"/>
    <w:rPr>
      <w:rFonts w:cs="Times New Roman"/>
    </w:rPr>
  </w:style>
  <w:style w:type="character" w:customStyle="1" w:styleId="citation-103">
    <w:name w:val="citation-103"/>
    <w:uiPriority w:val="99"/>
    <w:rsid w:val="00DD2896"/>
    <w:rPr>
      <w:rFonts w:cs="Times New Roman"/>
    </w:rPr>
  </w:style>
  <w:style w:type="character" w:customStyle="1" w:styleId="citation-102">
    <w:name w:val="citation-102"/>
    <w:uiPriority w:val="99"/>
    <w:rsid w:val="00DD2896"/>
    <w:rPr>
      <w:rFonts w:cs="Times New Roman"/>
    </w:rPr>
  </w:style>
  <w:style w:type="character" w:customStyle="1" w:styleId="citation-101">
    <w:name w:val="citation-101"/>
    <w:uiPriority w:val="99"/>
    <w:rsid w:val="00DD2896"/>
    <w:rPr>
      <w:rFonts w:cs="Times New Roman"/>
    </w:rPr>
  </w:style>
  <w:style w:type="character" w:customStyle="1" w:styleId="citation-100">
    <w:name w:val="citation-100"/>
    <w:uiPriority w:val="99"/>
    <w:rsid w:val="00DD2896"/>
    <w:rPr>
      <w:rFonts w:cs="Times New Roman"/>
    </w:rPr>
  </w:style>
  <w:style w:type="character" w:customStyle="1" w:styleId="citation-99">
    <w:name w:val="citation-99"/>
    <w:uiPriority w:val="99"/>
    <w:rsid w:val="00DD2896"/>
    <w:rPr>
      <w:rFonts w:cs="Times New Roman"/>
    </w:rPr>
  </w:style>
  <w:style w:type="character" w:customStyle="1" w:styleId="citation-98">
    <w:name w:val="citation-98"/>
    <w:uiPriority w:val="99"/>
    <w:rsid w:val="00DD2896"/>
    <w:rPr>
      <w:rFonts w:cs="Times New Roman"/>
    </w:rPr>
  </w:style>
  <w:style w:type="character" w:customStyle="1" w:styleId="citation-97">
    <w:name w:val="citation-97"/>
    <w:uiPriority w:val="99"/>
    <w:rsid w:val="00DD2896"/>
    <w:rPr>
      <w:rFonts w:cs="Times New Roman"/>
    </w:rPr>
  </w:style>
  <w:style w:type="character" w:customStyle="1" w:styleId="citation-96">
    <w:name w:val="citation-96"/>
    <w:uiPriority w:val="99"/>
    <w:rsid w:val="00DD2896"/>
    <w:rPr>
      <w:rFonts w:cs="Times New Roman"/>
    </w:rPr>
  </w:style>
  <w:style w:type="character" w:customStyle="1" w:styleId="citation-95">
    <w:name w:val="citation-95"/>
    <w:uiPriority w:val="99"/>
    <w:rsid w:val="00DD2896"/>
    <w:rPr>
      <w:rFonts w:cs="Times New Roman"/>
    </w:rPr>
  </w:style>
  <w:style w:type="character" w:customStyle="1" w:styleId="citation-94">
    <w:name w:val="citation-94"/>
    <w:uiPriority w:val="99"/>
    <w:rsid w:val="00DD2896"/>
    <w:rPr>
      <w:rFonts w:cs="Times New Roman"/>
    </w:rPr>
  </w:style>
  <w:style w:type="character" w:customStyle="1" w:styleId="citation-93">
    <w:name w:val="citation-93"/>
    <w:uiPriority w:val="99"/>
    <w:rsid w:val="00DD2896"/>
    <w:rPr>
      <w:rFonts w:cs="Times New Roman"/>
    </w:rPr>
  </w:style>
  <w:style w:type="character" w:customStyle="1" w:styleId="citation-92">
    <w:name w:val="citation-92"/>
    <w:uiPriority w:val="99"/>
    <w:rsid w:val="00DD2896"/>
    <w:rPr>
      <w:rFonts w:cs="Times New Roman"/>
    </w:rPr>
  </w:style>
  <w:style w:type="character" w:customStyle="1" w:styleId="citation-91">
    <w:name w:val="citation-91"/>
    <w:uiPriority w:val="99"/>
    <w:rsid w:val="00DD2896"/>
    <w:rPr>
      <w:rFonts w:cs="Times New Roman"/>
    </w:rPr>
  </w:style>
  <w:style w:type="character" w:customStyle="1" w:styleId="citation-90">
    <w:name w:val="citation-90"/>
    <w:uiPriority w:val="99"/>
    <w:rsid w:val="00DD2896"/>
    <w:rPr>
      <w:rFonts w:cs="Times New Roman"/>
    </w:rPr>
  </w:style>
  <w:style w:type="character" w:customStyle="1" w:styleId="citation-89">
    <w:name w:val="citation-89"/>
    <w:uiPriority w:val="99"/>
    <w:rsid w:val="00DD2896"/>
    <w:rPr>
      <w:rFonts w:cs="Times New Roman"/>
    </w:rPr>
  </w:style>
  <w:style w:type="character" w:customStyle="1" w:styleId="citation-88">
    <w:name w:val="citation-88"/>
    <w:uiPriority w:val="99"/>
    <w:rsid w:val="00DD2896"/>
    <w:rPr>
      <w:rFonts w:cs="Times New Roman"/>
    </w:rPr>
  </w:style>
  <w:style w:type="character" w:customStyle="1" w:styleId="citation-87">
    <w:name w:val="citation-87"/>
    <w:uiPriority w:val="99"/>
    <w:rsid w:val="00DD2896"/>
    <w:rPr>
      <w:rFonts w:cs="Times New Roman"/>
    </w:rPr>
  </w:style>
  <w:style w:type="character" w:customStyle="1" w:styleId="citation-86">
    <w:name w:val="citation-86"/>
    <w:uiPriority w:val="99"/>
    <w:rsid w:val="00DD2896"/>
    <w:rPr>
      <w:rFonts w:cs="Times New Roman"/>
    </w:rPr>
  </w:style>
  <w:style w:type="character" w:customStyle="1" w:styleId="citation-85">
    <w:name w:val="citation-85"/>
    <w:uiPriority w:val="99"/>
    <w:rsid w:val="00DD2896"/>
    <w:rPr>
      <w:rFonts w:cs="Times New Roman"/>
    </w:rPr>
  </w:style>
  <w:style w:type="character" w:customStyle="1" w:styleId="citation-83">
    <w:name w:val="citation-83"/>
    <w:uiPriority w:val="99"/>
    <w:rsid w:val="00DD2896"/>
    <w:rPr>
      <w:rFonts w:cs="Times New Roman"/>
    </w:rPr>
  </w:style>
  <w:style w:type="character" w:customStyle="1" w:styleId="citation-82">
    <w:name w:val="citation-82"/>
    <w:uiPriority w:val="99"/>
    <w:rsid w:val="00DD2896"/>
    <w:rPr>
      <w:rFonts w:cs="Times New Roman"/>
    </w:rPr>
  </w:style>
  <w:style w:type="character" w:customStyle="1" w:styleId="citation-81">
    <w:name w:val="citation-81"/>
    <w:uiPriority w:val="99"/>
    <w:rsid w:val="00DD2896"/>
    <w:rPr>
      <w:rFonts w:cs="Times New Roman"/>
    </w:rPr>
  </w:style>
  <w:style w:type="character" w:customStyle="1" w:styleId="citation-80">
    <w:name w:val="citation-80"/>
    <w:uiPriority w:val="99"/>
    <w:rsid w:val="00DD2896"/>
    <w:rPr>
      <w:rFonts w:cs="Times New Roman"/>
    </w:rPr>
  </w:style>
  <w:style w:type="character" w:customStyle="1" w:styleId="citation-79">
    <w:name w:val="citation-79"/>
    <w:uiPriority w:val="99"/>
    <w:rsid w:val="00DD2896"/>
    <w:rPr>
      <w:rFonts w:cs="Times New Roman"/>
    </w:rPr>
  </w:style>
  <w:style w:type="character" w:customStyle="1" w:styleId="citation-78">
    <w:name w:val="citation-78"/>
    <w:uiPriority w:val="99"/>
    <w:rsid w:val="00DD2896"/>
    <w:rPr>
      <w:rFonts w:cs="Times New Roman"/>
    </w:rPr>
  </w:style>
  <w:style w:type="character" w:customStyle="1" w:styleId="citation-77">
    <w:name w:val="citation-77"/>
    <w:uiPriority w:val="99"/>
    <w:rsid w:val="00DD2896"/>
    <w:rPr>
      <w:rFonts w:cs="Times New Roman"/>
    </w:rPr>
  </w:style>
  <w:style w:type="character" w:customStyle="1" w:styleId="citation-76">
    <w:name w:val="citation-76"/>
    <w:uiPriority w:val="99"/>
    <w:rsid w:val="00DD2896"/>
    <w:rPr>
      <w:rFonts w:cs="Times New Roman"/>
    </w:rPr>
  </w:style>
  <w:style w:type="character" w:customStyle="1" w:styleId="citation-75">
    <w:name w:val="citation-75"/>
    <w:uiPriority w:val="99"/>
    <w:rsid w:val="00DD2896"/>
    <w:rPr>
      <w:rFonts w:cs="Times New Roman"/>
    </w:rPr>
  </w:style>
  <w:style w:type="character" w:customStyle="1" w:styleId="citation-74">
    <w:name w:val="citation-74"/>
    <w:uiPriority w:val="99"/>
    <w:rsid w:val="00DD2896"/>
    <w:rPr>
      <w:rFonts w:cs="Times New Roman"/>
    </w:rPr>
  </w:style>
  <w:style w:type="character" w:customStyle="1" w:styleId="Heading10">
    <w:name w:val="Heading #1_"/>
    <w:link w:val="Heading11"/>
    <w:uiPriority w:val="99"/>
    <w:locked/>
    <w:rsid w:val="00DD2896"/>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DD2896"/>
    <w:rPr>
      <w:rFonts w:cs="Times New Roman"/>
      <w:lang w:bidi="ar-SA"/>
    </w:rPr>
  </w:style>
  <w:style w:type="character" w:customStyle="1" w:styleId="Bodytext2Bold">
    <w:name w:val="Body text (2) + Bold"/>
    <w:uiPriority w:val="99"/>
    <w:rsid w:val="00DD2896"/>
    <w:rPr>
      <w:rFonts w:cs="Times New Roman"/>
      <w:b/>
      <w:bCs/>
      <w:lang w:bidi="ar-SA"/>
    </w:rPr>
  </w:style>
  <w:style w:type="character" w:customStyle="1" w:styleId="Bodytext2Italic">
    <w:name w:val="Body text (2) + Italic"/>
    <w:uiPriority w:val="99"/>
    <w:rsid w:val="00DD2896"/>
    <w:rPr>
      <w:rFonts w:cs="Times New Roman"/>
      <w:i/>
      <w:iCs/>
      <w:sz w:val="24"/>
      <w:szCs w:val="24"/>
      <w:lang w:bidi="ar-SA"/>
    </w:rPr>
  </w:style>
  <w:style w:type="character" w:customStyle="1" w:styleId="Bodytext20">
    <w:name w:val="Body text (2)"/>
    <w:uiPriority w:val="99"/>
    <w:rsid w:val="00DD2896"/>
    <w:rPr>
      <w:rFonts w:cs="Times New Roman"/>
      <w:lang w:bidi="ar-SA"/>
    </w:rPr>
  </w:style>
  <w:style w:type="character" w:customStyle="1" w:styleId="Bodytext4">
    <w:name w:val="Body text (4)_"/>
    <w:link w:val="Bodytext40"/>
    <w:uiPriority w:val="99"/>
    <w:locked/>
    <w:rsid w:val="00DD2896"/>
    <w:rPr>
      <w:rFonts w:ascii="Impact" w:hAnsi="Impact" w:cs="Times New Roman"/>
      <w:i/>
      <w:iCs/>
      <w:sz w:val="76"/>
      <w:szCs w:val="76"/>
      <w:lang w:bidi="ar-SA"/>
    </w:rPr>
  </w:style>
  <w:style w:type="paragraph" w:customStyle="1" w:styleId="Heading11">
    <w:name w:val="Heading #1"/>
    <w:basedOn w:val="Normal"/>
    <w:link w:val="Heading10"/>
    <w:uiPriority w:val="99"/>
    <w:rsid w:val="00DD2896"/>
    <w:pPr>
      <w:widowControl w:val="0"/>
      <w:shd w:val="clear" w:color="auto" w:fill="FFFFFF"/>
      <w:spacing w:after="120" w:line="240" w:lineRule="atLeast"/>
      <w:jc w:val="right"/>
      <w:outlineLvl w:val="0"/>
    </w:pPr>
    <w:rPr>
      <w:rFonts w:ascii="Franklin Gothic Medium" w:hAnsi="Franklin Gothic Medium"/>
      <w:i/>
      <w:iCs/>
      <w:spacing w:val="-100"/>
      <w:kern w:val="0"/>
      <w:sz w:val="52"/>
      <w:szCs w:val="52"/>
    </w:rPr>
  </w:style>
  <w:style w:type="paragraph" w:customStyle="1" w:styleId="Bodytext21">
    <w:name w:val="Body text (2)1"/>
    <w:basedOn w:val="Normal"/>
    <w:link w:val="Bodytext2"/>
    <w:uiPriority w:val="99"/>
    <w:rsid w:val="00DD2896"/>
    <w:pPr>
      <w:widowControl w:val="0"/>
      <w:shd w:val="clear" w:color="auto" w:fill="FFFFFF"/>
      <w:spacing w:before="120" w:after="0" w:line="274" w:lineRule="exact"/>
      <w:jc w:val="both"/>
    </w:pPr>
    <w:rPr>
      <w:rFonts w:ascii="Times New Roman" w:hAnsi="Times New Roman"/>
      <w:kern w:val="0"/>
      <w:sz w:val="20"/>
      <w:szCs w:val="20"/>
    </w:rPr>
  </w:style>
  <w:style w:type="paragraph" w:customStyle="1" w:styleId="Bodytext40">
    <w:name w:val="Body text (4)"/>
    <w:basedOn w:val="Normal"/>
    <w:link w:val="Bodytext4"/>
    <w:uiPriority w:val="99"/>
    <w:rsid w:val="00DD2896"/>
    <w:pPr>
      <w:widowControl w:val="0"/>
      <w:shd w:val="clear" w:color="auto" w:fill="FFFFFF"/>
      <w:spacing w:after="0" w:line="240" w:lineRule="atLeast"/>
      <w:jc w:val="right"/>
    </w:pPr>
    <w:rPr>
      <w:rFonts w:ascii="Impact" w:hAnsi="Impact"/>
      <w:i/>
      <w:iCs/>
      <w:kern w:val="0"/>
      <w:sz w:val="76"/>
      <w:szCs w:val="76"/>
    </w:rPr>
  </w:style>
  <w:style w:type="paragraph" w:customStyle="1" w:styleId="TableParagraph">
    <w:name w:val="Table Paragraph"/>
    <w:basedOn w:val="Normal"/>
    <w:uiPriority w:val="99"/>
    <w:rsid w:val="00DD2896"/>
    <w:pPr>
      <w:widowControl w:val="0"/>
      <w:autoSpaceDE w:val="0"/>
      <w:autoSpaceDN w:val="0"/>
      <w:spacing w:after="0" w:line="258" w:lineRule="exact"/>
    </w:pPr>
    <w:rPr>
      <w:rFonts w:ascii="Times New Roman" w:eastAsia="Times New Roman" w:hAnsi="Times New Roman"/>
      <w:kern w:val="0"/>
      <w:sz w:val="22"/>
      <w:szCs w:val="22"/>
    </w:rPr>
  </w:style>
  <w:style w:type="paragraph" w:customStyle="1" w:styleId="Default">
    <w:name w:val="Default"/>
    <w:uiPriority w:val="99"/>
    <w:rsid w:val="00DD2896"/>
    <w:pPr>
      <w:autoSpaceDE w:val="0"/>
      <w:autoSpaceDN w:val="0"/>
      <w:adjustRightInd w:val="0"/>
    </w:pPr>
    <w:rPr>
      <w:rFonts w:ascii="Aptos Narrow" w:hAnsi="Aptos Narrow" w:cs="Aptos Narrow"/>
      <w:color w:val="000000"/>
      <w:sz w:val="24"/>
      <w:szCs w:val="24"/>
      <w:lang w:val="en-US" w:eastAsia="en-US"/>
    </w:rPr>
  </w:style>
  <w:style w:type="paragraph" w:customStyle="1" w:styleId="CM3">
    <w:name w:val="CM3"/>
    <w:basedOn w:val="Default"/>
    <w:next w:val="Default"/>
    <w:uiPriority w:val="99"/>
    <w:rsid w:val="00DD2896"/>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DD2896"/>
    <w:pPr>
      <w:widowControl w:val="0"/>
    </w:pPr>
    <w:rPr>
      <w:rFonts w:ascii="Times" w:hAnsi="Times" w:cs="Times"/>
      <w:color w:val="auto"/>
      <w:lang w:eastAsia="ja-JP"/>
    </w:rPr>
  </w:style>
  <w:style w:type="paragraph" w:customStyle="1" w:styleId="CM8">
    <w:name w:val="CM8"/>
    <w:basedOn w:val="Default"/>
    <w:next w:val="Default"/>
    <w:uiPriority w:val="99"/>
    <w:rsid w:val="00DD2896"/>
    <w:pPr>
      <w:widowControl w:val="0"/>
    </w:pPr>
    <w:rPr>
      <w:rFonts w:ascii="Times" w:hAnsi="Times" w:cs="Times"/>
      <w:color w:val="auto"/>
      <w:lang w:eastAsia="ja-JP"/>
    </w:rPr>
  </w:style>
  <w:style w:type="paragraph" w:styleId="BodyText">
    <w:name w:val="Body Text"/>
    <w:basedOn w:val="Normal"/>
    <w:link w:val="BodyTextChar"/>
    <w:uiPriority w:val="99"/>
    <w:locked/>
    <w:rsid w:val="00DD2896"/>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BodyTextChar">
    <w:name w:val="Body Text Char"/>
    <w:link w:val="BodyText"/>
    <w:uiPriority w:val="99"/>
    <w:semiHidden/>
    <w:locked/>
    <w:rsid w:val="00DD2896"/>
    <w:rPr>
      <w:rFonts w:eastAsia="Times New Roman" w:cs="Times New Roman"/>
      <w:lang w:eastAsia="en-US" w:bidi="ar-SA"/>
    </w:rPr>
  </w:style>
  <w:style w:type="paragraph" w:styleId="Header">
    <w:name w:val="header"/>
    <w:basedOn w:val="Normal"/>
    <w:link w:val="HeaderChar"/>
    <w:uiPriority w:val="99"/>
    <w:unhideWhenUsed/>
    <w:locked/>
    <w:rsid w:val="00D422A8"/>
    <w:pPr>
      <w:tabs>
        <w:tab w:val="center" w:pos="4513"/>
        <w:tab w:val="right" w:pos="9026"/>
      </w:tabs>
    </w:pPr>
  </w:style>
  <w:style w:type="character" w:customStyle="1" w:styleId="HeaderChar">
    <w:name w:val="Header Char"/>
    <w:link w:val="Header"/>
    <w:uiPriority w:val="99"/>
    <w:rsid w:val="00D422A8"/>
    <w:rPr>
      <w:kern w:val="2"/>
      <w:sz w:val="24"/>
      <w:szCs w:val="24"/>
    </w:rPr>
  </w:style>
  <w:style w:type="paragraph" w:styleId="Footer">
    <w:name w:val="footer"/>
    <w:basedOn w:val="Normal"/>
    <w:link w:val="FooterChar"/>
    <w:uiPriority w:val="99"/>
    <w:unhideWhenUsed/>
    <w:locked/>
    <w:rsid w:val="00D422A8"/>
    <w:pPr>
      <w:tabs>
        <w:tab w:val="center" w:pos="4513"/>
        <w:tab w:val="right" w:pos="9026"/>
      </w:tabs>
    </w:pPr>
  </w:style>
  <w:style w:type="character" w:customStyle="1" w:styleId="FooterChar">
    <w:name w:val="Footer Char"/>
    <w:link w:val="Footer"/>
    <w:uiPriority w:val="99"/>
    <w:rsid w:val="00D422A8"/>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836337">
      <w:marLeft w:val="0"/>
      <w:marRight w:val="0"/>
      <w:marTop w:val="0"/>
      <w:marBottom w:val="0"/>
      <w:divBdr>
        <w:top w:val="none" w:sz="0" w:space="0" w:color="auto"/>
        <w:left w:val="none" w:sz="0" w:space="0" w:color="auto"/>
        <w:bottom w:val="none" w:sz="0" w:space="0" w:color="auto"/>
        <w:right w:val="none" w:sz="0" w:space="0" w:color="auto"/>
      </w:divBdr>
      <w:divsChild>
        <w:div w:id="1888836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1105</TotalTime>
  <Pages>24</Pages>
  <Words>11835</Words>
  <Characters>67465</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Nino Trokashvili</cp:lastModifiedBy>
  <cp:revision>119</cp:revision>
  <cp:lastPrinted>2026-03-17T08:53:00Z</cp:lastPrinted>
  <dcterms:created xsi:type="dcterms:W3CDTF">2025-12-01T08:11:00Z</dcterms:created>
  <dcterms:modified xsi:type="dcterms:W3CDTF">2026-09-29T07:30:00Z</dcterms:modified>
</cp:coreProperties>
</file>