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02611" w14:textId="3B177C84" w:rsidR="00921246" w:rsidRPr="00027CEB" w:rsidRDefault="00E30407" w:rsidP="002C1045">
      <w:pPr>
        <w:spacing w:after="0" w:line="276" w:lineRule="auto"/>
        <w:jc w:val="center"/>
        <w:rPr>
          <w:rFonts w:ascii="Sylfaen" w:hAnsi="Sylfaen"/>
          <w:b/>
          <w:bCs/>
          <w:sz w:val="24"/>
          <w:szCs w:val="24"/>
        </w:rPr>
      </w:pPr>
      <w:r w:rsidRPr="00027CEB">
        <w:rPr>
          <w:rFonts w:ascii="Sylfaen" w:hAnsi="Sylfaen"/>
          <w:b/>
          <w:bCs/>
          <w:sz w:val="24"/>
          <w:szCs w:val="24"/>
        </w:rPr>
        <w:t>პროდუქტის ზოგადი დახასიათება</w:t>
      </w:r>
    </w:p>
    <w:p w14:paraId="0F10B703" w14:textId="1CFA0494" w:rsidR="00E30407" w:rsidRPr="00027CEB" w:rsidRDefault="00E30407" w:rsidP="002C1045">
      <w:pPr>
        <w:spacing w:after="0" w:line="276" w:lineRule="auto"/>
        <w:rPr>
          <w:rFonts w:ascii="Sylfaen" w:hAnsi="Sylfaen"/>
          <w:b/>
          <w:bCs/>
          <w:sz w:val="24"/>
          <w:szCs w:val="24"/>
        </w:rPr>
      </w:pPr>
    </w:p>
    <w:p w14:paraId="3E8E6F77" w14:textId="089BAB86" w:rsidR="00E30407" w:rsidRPr="00027CEB" w:rsidRDefault="00E30407" w:rsidP="002C1045">
      <w:pPr>
        <w:spacing w:after="0" w:line="276" w:lineRule="auto"/>
        <w:jc w:val="both"/>
        <w:rPr>
          <w:rFonts w:ascii="Sylfaen" w:hAnsi="Sylfaen"/>
          <w:b/>
          <w:bCs/>
          <w:sz w:val="24"/>
          <w:szCs w:val="24"/>
        </w:rPr>
      </w:pPr>
      <w:r w:rsidRPr="00027CEB">
        <w:rPr>
          <w:rFonts w:ascii="Sylfaen" w:hAnsi="Sylfaen"/>
          <w:b/>
          <w:bCs/>
          <w:sz w:val="24"/>
          <w:szCs w:val="24"/>
        </w:rPr>
        <w:t>1. სამკურნალო საშუალების დასახელება</w:t>
      </w:r>
    </w:p>
    <w:p w14:paraId="570FE5A8" w14:textId="580B6F9B" w:rsidR="00E30407" w:rsidRPr="00027CEB" w:rsidRDefault="00E30407" w:rsidP="002C1045">
      <w:pPr>
        <w:spacing w:after="0" w:line="276" w:lineRule="auto"/>
        <w:jc w:val="both"/>
        <w:rPr>
          <w:rFonts w:ascii="Sylfaen" w:hAnsi="Sylfaen"/>
          <w:sz w:val="24"/>
          <w:szCs w:val="24"/>
        </w:rPr>
      </w:pPr>
      <w:r w:rsidRPr="00027CEB">
        <w:rPr>
          <w:rFonts w:ascii="Sylfaen" w:hAnsi="Sylfaen"/>
          <w:sz w:val="24"/>
          <w:szCs w:val="24"/>
        </w:rPr>
        <w:t>მეტფორმინი სანდოზი® 500მგ აპკიანი გარსით დაფარული ტაბლეტები</w:t>
      </w:r>
    </w:p>
    <w:p w14:paraId="37323609" w14:textId="562FC080" w:rsidR="00E30407" w:rsidRPr="00027CEB" w:rsidRDefault="00E30407" w:rsidP="002C1045">
      <w:pPr>
        <w:spacing w:after="0" w:line="276" w:lineRule="auto"/>
        <w:jc w:val="both"/>
        <w:rPr>
          <w:rFonts w:ascii="Sylfaen" w:hAnsi="Sylfaen"/>
          <w:sz w:val="24"/>
          <w:szCs w:val="24"/>
        </w:rPr>
      </w:pPr>
      <w:r w:rsidRPr="00027CEB">
        <w:rPr>
          <w:rFonts w:ascii="Sylfaen" w:hAnsi="Sylfaen"/>
          <w:sz w:val="24"/>
          <w:szCs w:val="24"/>
        </w:rPr>
        <w:t>მეტფორმინი სანდოზი® 1000მგ აპკიანი გარსით დაფარული ტაბლეტები</w:t>
      </w:r>
    </w:p>
    <w:p w14:paraId="00F8D827" w14:textId="22465F51" w:rsidR="00E30407" w:rsidRPr="00027CEB" w:rsidRDefault="00E30407" w:rsidP="002C1045">
      <w:pPr>
        <w:spacing w:after="0" w:line="276" w:lineRule="auto"/>
        <w:jc w:val="both"/>
        <w:rPr>
          <w:rFonts w:ascii="Sylfaen" w:hAnsi="Sylfaen"/>
          <w:b/>
          <w:bCs/>
          <w:sz w:val="24"/>
          <w:szCs w:val="24"/>
        </w:rPr>
      </w:pPr>
      <w:r w:rsidRPr="00027CEB">
        <w:rPr>
          <w:rFonts w:ascii="Sylfaen" w:hAnsi="Sylfaen"/>
          <w:b/>
          <w:bCs/>
          <w:sz w:val="24"/>
          <w:szCs w:val="24"/>
        </w:rPr>
        <w:t>2. თვისობრივი და რაოდენობრივი შემცველობა</w:t>
      </w:r>
    </w:p>
    <w:p w14:paraId="00C367D8" w14:textId="55A450AD" w:rsidR="00E30407" w:rsidRPr="00027CEB" w:rsidRDefault="00E30407" w:rsidP="002C1045">
      <w:pPr>
        <w:spacing w:after="0" w:line="276" w:lineRule="auto"/>
        <w:jc w:val="both"/>
        <w:rPr>
          <w:rFonts w:ascii="Sylfaen" w:hAnsi="Sylfaen"/>
          <w:sz w:val="24"/>
          <w:szCs w:val="24"/>
        </w:rPr>
      </w:pPr>
      <w:r w:rsidRPr="00027CEB">
        <w:rPr>
          <w:rFonts w:ascii="Sylfaen" w:hAnsi="Sylfaen"/>
          <w:sz w:val="24"/>
          <w:szCs w:val="24"/>
        </w:rPr>
        <w:t>მეტფორმინი სანდოზი 500მგ: თითოეული ტაბლეტი შეიცავს 500მგ მეტფორმინის ჰიდროქლორიდს.</w:t>
      </w:r>
    </w:p>
    <w:p w14:paraId="67877FB5" w14:textId="686F4814" w:rsidR="00E30407" w:rsidRPr="00027CEB" w:rsidRDefault="00E30407" w:rsidP="002C1045">
      <w:pPr>
        <w:spacing w:after="0" w:line="276" w:lineRule="auto"/>
        <w:jc w:val="both"/>
        <w:rPr>
          <w:rFonts w:ascii="Sylfaen" w:hAnsi="Sylfaen"/>
          <w:sz w:val="24"/>
          <w:szCs w:val="24"/>
        </w:rPr>
      </w:pPr>
      <w:r w:rsidRPr="00027CEB">
        <w:rPr>
          <w:rFonts w:ascii="Sylfaen" w:hAnsi="Sylfaen"/>
          <w:sz w:val="24"/>
          <w:szCs w:val="24"/>
        </w:rPr>
        <w:t>მეტფორმინი სანდოზი 1000მგ: თითოეული ტაბლეტი შეიცავს 1000მგ მეტფორმინის ჰიდროქლორიდს.</w:t>
      </w:r>
    </w:p>
    <w:p w14:paraId="102D22FA" w14:textId="41331AA0" w:rsidR="00E30407" w:rsidRPr="00027CEB" w:rsidRDefault="00E30407" w:rsidP="002C1045">
      <w:pPr>
        <w:spacing w:after="0" w:line="276" w:lineRule="auto"/>
        <w:jc w:val="both"/>
        <w:rPr>
          <w:rFonts w:ascii="Sylfaen" w:hAnsi="Sylfaen"/>
          <w:sz w:val="24"/>
          <w:szCs w:val="24"/>
        </w:rPr>
      </w:pPr>
      <w:r w:rsidRPr="00027CEB">
        <w:rPr>
          <w:rFonts w:ascii="Sylfaen" w:hAnsi="Sylfaen"/>
          <w:sz w:val="24"/>
          <w:szCs w:val="24"/>
        </w:rPr>
        <w:t>დამხმარე ნივთიერებების სრული ჩამონათვალი იხილეთ თავი 6.1.-ში.</w:t>
      </w:r>
    </w:p>
    <w:p w14:paraId="60913FD1" w14:textId="48EB29CA" w:rsidR="00E30407" w:rsidRPr="00027CEB" w:rsidRDefault="00E30407" w:rsidP="002C1045">
      <w:pPr>
        <w:spacing w:after="0" w:line="276" w:lineRule="auto"/>
        <w:jc w:val="both"/>
        <w:rPr>
          <w:rFonts w:ascii="Sylfaen" w:hAnsi="Sylfaen"/>
          <w:b/>
          <w:bCs/>
          <w:sz w:val="24"/>
          <w:szCs w:val="24"/>
        </w:rPr>
      </w:pPr>
      <w:r w:rsidRPr="00027CEB">
        <w:rPr>
          <w:rFonts w:ascii="Sylfaen" w:hAnsi="Sylfaen"/>
          <w:b/>
          <w:bCs/>
          <w:sz w:val="24"/>
          <w:szCs w:val="24"/>
        </w:rPr>
        <w:t>3. ფარმაცევტული ფორმა</w:t>
      </w:r>
    </w:p>
    <w:p w14:paraId="00AF0460" w14:textId="7C72F333" w:rsidR="00E30407" w:rsidRPr="00027CEB" w:rsidRDefault="00E30407" w:rsidP="002C1045">
      <w:pPr>
        <w:spacing w:after="0" w:line="276" w:lineRule="auto"/>
        <w:jc w:val="both"/>
        <w:rPr>
          <w:rFonts w:ascii="Sylfaen" w:hAnsi="Sylfaen"/>
          <w:sz w:val="24"/>
          <w:szCs w:val="24"/>
        </w:rPr>
      </w:pPr>
      <w:r w:rsidRPr="00027CEB">
        <w:rPr>
          <w:rFonts w:ascii="Sylfaen" w:hAnsi="Sylfaen"/>
          <w:sz w:val="24"/>
          <w:szCs w:val="24"/>
        </w:rPr>
        <w:t>აპკიანი გარსით დაფარული ტაბლეტი.</w:t>
      </w:r>
    </w:p>
    <w:p w14:paraId="47D21E16" w14:textId="73183C28" w:rsidR="00E30407" w:rsidRPr="00027CEB" w:rsidRDefault="00E30407" w:rsidP="002C1045">
      <w:pPr>
        <w:spacing w:after="0" w:line="276" w:lineRule="auto"/>
        <w:jc w:val="both"/>
        <w:rPr>
          <w:rFonts w:ascii="Sylfaen" w:hAnsi="Sylfaen"/>
          <w:sz w:val="24"/>
          <w:szCs w:val="24"/>
        </w:rPr>
      </w:pPr>
      <w:r w:rsidRPr="00027CEB">
        <w:rPr>
          <w:rFonts w:ascii="Sylfaen" w:hAnsi="Sylfaen"/>
          <w:sz w:val="24"/>
          <w:szCs w:val="24"/>
        </w:rPr>
        <w:t>მეტფორმინი სანდოზი 500მგ: მრგვალი, თეთრი, ორმაგი რადიუსის მქონე აპკიანი გარსით დაფარული ტაბლეტი, ერთ მხარეს ამოტვიფრული წარწერით „M 500“ და მეორე მხარეს გლუვი.</w:t>
      </w:r>
    </w:p>
    <w:p w14:paraId="60E8F77E" w14:textId="769B4C6A" w:rsidR="00E30407" w:rsidRPr="00027CEB" w:rsidRDefault="00E30407" w:rsidP="002C1045">
      <w:pPr>
        <w:spacing w:after="0" w:line="276" w:lineRule="auto"/>
        <w:jc w:val="both"/>
        <w:rPr>
          <w:rFonts w:ascii="Sylfaen" w:hAnsi="Sylfaen"/>
          <w:sz w:val="24"/>
          <w:szCs w:val="24"/>
        </w:rPr>
      </w:pPr>
      <w:r w:rsidRPr="00027CEB">
        <w:rPr>
          <w:rFonts w:ascii="Sylfaen" w:hAnsi="Sylfaen"/>
          <w:sz w:val="24"/>
          <w:szCs w:val="24"/>
        </w:rPr>
        <w:t>მეტფორმინი სანდოზი 1000მგ: ოვალური, თეთრი, აპკიანი გარსით დაფარული ტაბლეტი, ერთ მხარეს ამოტვიფრული წარწერით „M 1G“ და მეორე მხარეს გლუვი.</w:t>
      </w:r>
    </w:p>
    <w:p w14:paraId="3ECF65C2" w14:textId="2AB2AE91" w:rsidR="00E30407" w:rsidRPr="00027CEB" w:rsidRDefault="00E30407" w:rsidP="002C1045">
      <w:pPr>
        <w:spacing w:after="0" w:line="276" w:lineRule="auto"/>
        <w:jc w:val="both"/>
        <w:rPr>
          <w:rFonts w:ascii="Sylfaen" w:hAnsi="Sylfaen"/>
          <w:b/>
          <w:bCs/>
          <w:sz w:val="24"/>
          <w:szCs w:val="24"/>
        </w:rPr>
      </w:pPr>
      <w:r w:rsidRPr="00027CEB">
        <w:rPr>
          <w:rFonts w:ascii="Sylfaen" w:hAnsi="Sylfaen"/>
          <w:b/>
          <w:bCs/>
          <w:sz w:val="24"/>
          <w:szCs w:val="24"/>
        </w:rPr>
        <w:t>4. კლინიკური მახასიათებლები</w:t>
      </w:r>
    </w:p>
    <w:p w14:paraId="23DFCB57" w14:textId="1D08DED1" w:rsidR="00E30407" w:rsidRPr="00027CEB" w:rsidRDefault="00E30407" w:rsidP="002C1045">
      <w:pPr>
        <w:spacing w:after="0" w:line="276" w:lineRule="auto"/>
        <w:jc w:val="both"/>
        <w:rPr>
          <w:rFonts w:ascii="Sylfaen" w:hAnsi="Sylfaen"/>
          <w:b/>
          <w:bCs/>
          <w:sz w:val="24"/>
          <w:szCs w:val="24"/>
        </w:rPr>
      </w:pPr>
      <w:r w:rsidRPr="00027CEB">
        <w:rPr>
          <w:rFonts w:ascii="Sylfaen" w:hAnsi="Sylfaen"/>
          <w:b/>
          <w:bCs/>
          <w:sz w:val="24"/>
          <w:szCs w:val="24"/>
        </w:rPr>
        <w:t>4.1. თერაპიული ჩვენებები</w:t>
      </w:r>
    </w:p>
    <w:p w14:paraId="3C7DBB9B" w14:textId="1F000863" w:rsidR="00E30407" w:rsidRPr="00027CEB" w:rsidRDefault="00E30407" w:rsidP="002C1045">
      <w:pPr>
        <w:spacing w:after="0" w:line="276" w:lineRule="auto"/>
        <w:jc w:val="both"/>
        <w:rPr>
          <w:rFonts w:ascii="Sylfaen" w:hAnsi="Sylfaen"/>
          <w:sz w:val="24"/>
          <w:szCs w:val="24"/>
        </w:rPr>
      </w:pPr>
      <w:r w:rsidRPr="00027CEB">
        <w:rPr>
          <w:rFonts w:ascii="Sylfaen" w:hAnsi="Sylfaen"/>
          <w:sz w:val="24"/>
          <w:szCs w:val="24"/>
        </w:rPr>
        <w:t>ტიპი 2 შაქრიანი დიაბეტის მკურნალობა, განსაკუთრებით ჭარბწონიან პაციენტებში, როდესაც მხოლოდ დიეტა და ვარჯიში არ უზრუნველყოფს გლიკემიის ადეკვატურ კონტროლს.</w:t>
      </w:r>
    </w:p>
    <w:p w14:paraId="46973B9A" w14:textId="605168D8" w:rsidR="00E30407" w:rsidRPr="00027CEB" w:rsidRDefault="00DD12F6" w:rsidP="002C1045">
      <w:pPr>
        <w:pStyle w:val="ListParagraph"/>
        <w:numPr>
          <w:ilvl w:val="0"/>
          <w:numId w:val="1"/>
        </w:numPr>
        <w:spacing w:after="0" w:line="276" w:lineRule="auto"/>
        <w:jc w:val="both"/>
        <w:rPr>
          <w:rFonts w:ascii="Sylfaen" w:hAnsi="Sylfaen"/>
          <w:sz w:val="24"/>
          <w:szCs w:val="24"/>
        </w:rPr>
      </w:pPr>
      <w:r>
        <w:rPr>
          <w:rFonts w:ascii="Sylfaen" w:hAnsi="Sylfaen"/>
          <w:sz w:val="24"/>
          <w:szCs w:val="24"/>
        </w:rPr>
        <w:t>მოზრდილებში</w:t>
      </w:r>
      <w:r w:rsidR="00E30407" w:rsidRPr="00027CEB">
        <w:rPr>
          <w:rFonts w:ascii="Sylfaen" w:hAnsi="Sylfaen"/>
          <w:sz w:val="24"/>
          <w:szCs w:val="24"/>
        </w:rPr>
        <w:t xml:space="preserve"> მეტფორმინი სანდოზი შეიძლება გამოყენებულ იქნას მონოთერაპიის სახით ან სხვა პერორალურ ანტიდიაბეტურ საშუალებებთან ან ინსულინთან კომბინაციაში.</w:t>
      </w:r>
    </w:p>
    <w:p w14:paraId="55F00500" w14:textId="29C00547" w:rsidR="00E30407" w:rsidRPr="00027CEB" w:rsidRDefault="00E30407" w:rsidP="002C1045">
      <w:pPr>
        <w:pStyle w:val="ListParagraph"/>
        <w:numPr>
          <w:ilvl w:val="0"/>
          <w:numId w:val="1"/>
        </w:numPr>
        <w:spacing w:after="0" w:line="276" w:lineRule="auto"/>
        <w:jc w:val="both"/>
        <w:rPr>
          <w:rFonts w:ascii="Sylfaen" w:hAnsi="Sylfaen"/>
          <w:sz w:val="24"/>
          <w:szCs w:val="24"/>
        </w:rPr>
      </w:pPr>
      <w:r w:rsidRPr="00027CEB">
        <w:rPr>
          <w:rFonts w:ascii="Sylfaen" w:hAnsi="Sylfaen"/>
          <w:sz w:val="24"/>
          <w:szCs w:val="24"/>
        </w:rPr>
        <w:t>10 წლის და უფროსი ასაკის ბავშვებში და მოზარდებში მეტფორმინ სანდოზი შეიძლება გამოყენებულ იქნას მონოთერაპიის სახით ან ინსულინთან კომბინაციაში.</w:t>
      </w:r>
    </w:p>
    <w:p w14:paraId="7858AEFF" w14:textId="3E94D59C" w:rsidR="00E30407" w:rsidRPr="00027CEB" w:rsidRDefault="00E30407" w:rsidP="002C1045">
      <w:pPr>
        <w:spacing w:after="0" w:line="276" w:lineRule="auto"/>
        <w:jc w:val="both"/>
        <w:rPr>
          <w:rFonts w:ascii="Sylfaen" w:hAnsi="Sylfaen"/>
          <w:sz w:val="24"/>
          <w:szCs w:val="24"/>
        </w:rPr>
      </w:pPr>
      <w:r w:rsidRPr="00027CEB">
        <w:rPr>
          <w:rFonts w:ascii="Sylfaen" w:hAnsi="Sylfaen"/>
          <w:sz w:val="24"/>
          <w:szCs w:val="24"/>
        </w:rPr>
        <w:t xml:space="preserve">დიაბეტური გართულებების შემცირება დადასტურდა ტიპი 2 შაქრიანი დიაბეტით დაავადებულ ჭარბწონიან </w:t>
      </w:r>
      <w:r w:rsidR="007D3F16">
        <w:rPr>
          <w:rFonts w:ascii="Sylfaen" w:hAnsi="Sylfaen"/>
          <w:sz w:val="24"/>
          <w:szCs w:val="24"/>
        </w:rPr>
        <w:t>მოზრდილ</w:t>
      </w:r>
      <w:r w:rsidRPr="00027CEB">
        <w:rPr>
          <w:rFonts w:ascii="Sylfaen" w:hAnsi="Sylfaen"/>
          <w:sz w:val="24"/>
          <w:szCs w:val="24"/>
        </w:rPr>
        <w:t xml:space="preserve"> პაციენტებში, რომლებიც იღებენ მეტფორმინს პირველი რიგის თერაპიის სახით დიეტური ჩარევის უშედეგოობის შემდეგ (იხილეთ თავი 5.1).</w:t>
      </w:r>
    </w:p>
    <w:p w14:paraId="6D63F8C9" w14:textId="77777777" w:rsidR="00F61104" w:rsidRPr="00027CEB" w:rsidRDefault="00F61104" w:rsidP="002C1045">
      <w:pPr>
        <w:spacing w:after="0" w:line="276" w:lineRule="auto"/>
        <w:jc w:val="both"/>
        <w:rPr>
          <w:rFonts w:ascii="Sylfaen" w:hAnsi="Sylfaen"/>
          <w:b/>
          <w:bCs/>
          <w:sz w:val="24"/>
          <w:szCs w:val="24"/>
        </w:rPr>
      </w:pPr>
      <w:r w:rsidRPr="00027CEB">
        <w:rPr>
          <w:rFonts w:ascii="Sylfaen" w:hAnsi="Sylfaen"/>
          <w:b/>
          <w:bCs/>
          <w:sz w:val="24"/>
          <w:szCs w:val="24"/>
        </w:rPr>
        <w:t>4.2 დოზირება და მიღების წესი</w:t>
      </w:r>
    </w:p>
    <w:p w14:paraId="24B252F8" w14:textId="2F4C3859" w:rsidR="00F61104" w:rsidRPr="00027CEB" w:rsidRDefault="00F61104" w:rsidP="002C1045">
      <w:pPr>
        <w:spacing w:after="0" w:line="276" w:lineRule="auto"/>
        <w:jc w:val="both"/>
        <w:rPr>
          <w:rFonts w:ascii="Sylfaen" w:hAnsi="Sylfaen"/>
          <w:b/>
          <w:bCs/>
          <w:i/>
          <w:iCs/>
          <w:sz w:val="24"/>
          <w:szCs w:val="24"/>
        </w:rPr>
      </w:pPr>
      <w:r w:rsidRPr="00027CEB">
        <w:rPr>
          <w:rFonts w:ascii="Sylfaen" w:hAnsi="Sylfaen"/>
          <w:b/>
          <w:bCs/>
          <w:i/>
          <w:iCs/>
          <w:sz w:val="24"/>
          <w:szCs w:val="24"/>
        </w:rPr>
        <w:t>დოზირება</w:t>
      </w:r>
    </w:p>
    <w:p w14:paraId="1BB7E381" w14:textId="0BCF5E8A" w:rsidR="00E30407" w:rsidRPr="00027CEB" w:rsidRDefault="00F61104" w:rsidP="002C1045">
      <w:pPr>
        <w:spacing w:after="0" w:line="276" w:lineRule="auto"/>
        <w:jc w:val="both"/>
        <w:rPr>
          <w:rFonts w:ascii="Sylfaen" w:hAnsi="Sylfaen"/>
          <w:b/>
          <w:bCs/>
          <w:i/>
          <w:iCs/>
          <w:sz w:val="24"/>
          <w:szCs w:val="24"/>
        </w:rPr>
      </w:pPr>
      <w:r w:rsidRPr="00027CEB">
        <w:rPr>
          <w:rFonts w:ascii="Sylfaen" w:hAnsi="Sylfaen"/>
          <w:b/>
          <w:bCs/>
          <w:i/>
          <w:iCs/>
          <w:sz w:val="24"/>
          <w:szCs w:val="24"/>
        </w:rPr>
        <w:t>ნორმალური თირკმლის ფუნქციის მქონე მოზრდილები (GFR≥ 90 მლ/წთ)</w:t>
      </w:r>
    </w:p>
    <w:p w14:paraId="2979BE05" w14:textId="77777777" w:rsidR="00F61104" w:rsidRPr="00027CEB" w:rsidRDefault="00F61104" w:rsidP="002C1045">
      <w:pPr>
        <w:spacing w:after="0" w:line="276" w:lineRule="auto"/>
        <w:rPr>
          <w:rFonts w:ascii="Sylfaen" w:hAnsi="Sylfaen"/>
          <w:b/>
          <w:bCs/>
          <w:sz w:val="24"/>
          <w:szCs w:val="24"/>
        </w:rPr>
      </w:pPr>
      <w:r w:rsidRPr="00027CEB">
        <w:rPr>
          <w:rFonts w:ascii="Sylfaen" w:hAnsi="Sylfaen"/>
          <w:b/>
          <w:bCs/>
          <w:sz w:val="24"/>
          <w:szCs w:val="24"/>
        </w:rPr>
        <w:t>მონოთერაპია და სხვა პერორალურ ანტიდიაბეტურ საშუალებებთან კომბინაცია</w:t>
      </w:r>
    </w:p>
    <w:p w14:paraId="3E7B7CAA" w14:textId="6A7F5849" w:rsidR="00F61104" w:rsidRPr="00027CEB" w:rsidRDefault="00F61104" w:rsidP="002C1045">
      <w:pPr>
        <w:spacing w:after="0" w:line="276" w:lineRule="auto"/>
        <w:jc w:val="both"/>
        <w:rPr>
          <w:rFonts w:ascii="Sylfaen" w:hAnsi="Sylfaen"/>
          <w:sz w:val="24"/>
          <w:szCs w:val="24"/>
        </w:rPr>
      </w:pPr>
      <w:r w:rsidRPr="00027CEB">
        <w:rPr>
          <w:rFonts w:ascii="Sylfaen" w:hAnsi="Sylfaen"/>
          <w:sz w:val="24"/>
          <w:szCs w:val="24"/>
        </w:rPr>
        <w:lastRenderedPageBreak/>
        <w:t>ჩვეულებრივი საწყისი დოზა</w:t>
      </w:r>
      <w:r w:rsidR="006F2F88" w:rsidRPr="00027CEB">
        <w:rPr>
          <w:rFonts w:ascii="Sylfaen" w:hAnsi="Sylfaen"/>
          <w:sz w:val="24"/>
          <w:szCs w:val="24"/>
          <w:lang w:val="en-US"/>
        </w:rPr>
        <w:t xml:space="preserve"> </w:t>
      </w:r>
      <w:r w:rsidR="006F2F88" w:rsidRPr="00027CEB">
        <w:rPr>
          <w:rFonts w:ascii="Sylfaen" w:hAnsi="Sylfaen"/>
          <w:sz w:val="24"/>
          <w:szCs w:val="24"/>
        </w:rPr>
        <w:t>შეადგენს</w:t>
      </w:r>
      <w:r w:rsidRPr="00027CEB">
        <w:rPr>
          <w:rFonts w:ascii="Sylfaen" w:hAnsi="Sylfaen"/>
          <w:sz w:val="24"/>
          <w:szCs w:val="24"/>
        </w:rPr>
        <w:t xml:space="preserve"> 500 მგ ან 850 მგ მეტფორმინის ჰიდროქლორიდ</w:t>
      </w:r>
      <w:r w:rsidR="006F2F88" w:rsidRPr="00027CEB">
        <w:rPr>
          <w:rFonts w:ascii="Sylfaen" w:hAnsi="Sylfaen"/>
          <w:sz w:val="24"/>
          <w:szCs w:val="24"/>
        </w:rPr>
        <w:t xml:space="preserve">ს </w:t>
      </w:r>
      <w:r w:rsidRPr="00027CEB">
        <w:rPr>
          <w:rFonts w:ascii="Sylfaen" w:hAnsi="Sylfaen"/>
          <w:sz w:val="24"/>
          <w:szCs w:val="24"/>
        </w:rPr>
        <w:t>დღეში 2-3-ჯერ, ჭამის დროს ან ჭამის შემდეგ.</w:t>
      </w:r>
    </w:p>
    <w:p w14:paraId="476995AB" w14:textId="77777777" w:rsidR="006F2F88" w:rsidRPr="00027CEB" w:rsidRDefault="00F61104" w:rsidP="002C1045">
      <w:pPr>
        <w:spacing w:after="0" w:line="276" w:lineRule="auto"/>
        <w:jc w:val="both"/>
        <w:rPr>
          <w:rFonts w:ascii="Sylfaen" w:hAnsi="Sylfaen"/>
          <w:sz w:val="24"/>
          <w:szCs w:val="24"/>
        </w:rPr>
      </w:pPr>
      <w:r w:rsidRPr="00027CEB">
        <w:rPr>
          <w:rFonts w:ascii="Sylfaen" w:hAnsi="Sylfaen"/>
          <w:sz w:val="24"/>
          <w:szCs w:val="24"/>
        </w:rPr>
        <w:t xml:space="preserve">10-15 დღის შემდეგ დოზა უნდა დაკორექტირდეს სისხლში გლუკოზის დონის გაზომვების საფუძველზე. დოზის ნელა გაზრდამ შეიძლება გააუმჯობესოს კუჭ-ნაწლავის ტრაქტის ტოლერანტობა. </w:t>
      </w:r>
    </w:p>
    <w:p w14:paraId="2F8E3CF5" w14:textId="77777777" w:rsidR="006F2F88" w:rsidRPr="00027CEB" w:rsidRDefault="00F61104" w:rsidP="002C1045">
      <w:pPr>
        <w:spacing w:after="0" w:line="276" w:lineRule="auto"/>
        <w:jc w:val="both"/>
        <w:rPr>
          <w:rFonts w:ascii="Sylfaen" w:hAnsi="Sylfaen"/>
          <w:sz w:val="24"/>
          <w:szCs w:val="24"/>
        </w:rPr>
      </w:pPr>
      <w:r w:rsidRPr="00027CEB">
        <w:rPr>
          <w:rFonts w:ascii="Sylfaen" w:hAnsi="Sylfaen"/>
          <w:sz w:val="24"/>
          <w:szCs w:val="24"/>
        </w:rPr>
        <w:t>მეტფორმინის ჰიდროქლორიდის მაქსიმალური რეკომენდებული დოზაა 3 გ დღეში,</w:t>
      </w:r>
      <w:r w:rsidR="006F2F88" w:rsidRPr="00027CEB">
        <w:rPr>
          <w:rFonts w:ascii="Sylfaen" w:hAnsi="Sylfaen"/>
          <w:sz w:val="24"/>
          <w:szCs w:val="24"/>
        </w:rPr>
        <w:t xml:space="preserve"> </w:t>
      </w:r>
      <w:r w:rsidRPr="00027CEB">
        <w:rPr>
          <w:rFonts w:ascii="Sylfaen" w:hAnsi="Sylfaen"/>
          <w:sz w:val="24"/>
          <w:szCs w:val="24"/>
        </w:rPr>
        <w:t xml:space="preserve">გაყოფილი </w:t>
      </w:r>
      <w:r w:rsidR="006F2F88" w:rsidRPr="00027CEB">
        <w:rPr>
          <w:rFonts w:ascii="Sylfaen" w:hAnsi="Sylfaen"/>
          <w:sz w:val="24"/>
          <w:szCs w:val="24"/>
        </w:rPr>
        <w:t xml:space="preserve">3 </w:t>
      </w:r>
      <w:r w:rsidRPr="00027CEB">
        <w:rPr>
          <w:rFonts w:ascii="Sylfaen" w:hAnsi="Sylfaen"/>
          <w:sz w:val="24"/>
          <w:szCs w:val="24"/>
        </w:rPr>
        <w:t>დოზ</w:t>
      </w:r>
      <w:r w:rsidR="006F2F88" w:rsidRPr="00027CEB">
        <w:rPr>
          <w:rFonts w:ascii="Sylfaen" w:hAnsi="Sylfaen"/>
          <w:sz w:val="24"/>
          <w:szCs w:val="24"/>
        </w:rPr>
        <w:t>ად</w:t>
      </w:r>
      <w:r w:rsidRPr="00027CEB">
        <w:rPr>
          <w:rFonts w:ascii="Sylfaen" w:hAnsi="Sylfaen"/>
          <w:sz w:val="24"/>
          <w:szCs w:val="24"/>
        </w:rPr>
        <w:t xml:space="preserve">. </w:t>
      </w:r>
    </w:p>
    <w:p w14:paraId="49C5754F" w14:textId="7EC53EF1" w:rsidR="00E30407" w:rsidRPr="00027CEB" w:rsidRDefault="00F61104" w:rsidP="002C1045">
      <w:pPr>
        <w:spacing w:after="0" w:line="276" w:lineRule="auto"/>
        <w:jc w:val="both"/>
        <w:rPr>
          <w:rFonts w:ascii="Sylfaen" w:hAnsi="Sylfaen"/>
          <w:sz w:val="24"/>
          <w:szCs w:val="24"/>
        </w:rPr>
      </w:pPr>
      <w:r w:rsidRPr="00027CEB">
        <w:rPr>
          <w:rFonts w:ascii="Sylfaen" w:hAnsi="Sylfaen"/>
          <w:sz w:val="24"/>
          <w:szCs w:val="24"/>
        </w:rPr>
        <w:t>თუ სხვა პერორალური ანტიდიაბეტური საშუალებიდან გადასვლაა დაგეგმილი: შეწყვიტეთ სხვა საშუალების მიღება და დაიწყეთ მეტფორმინის მიღება ზემოთ მითითებული დოზით.</w:t>
      </w:r>
    </w:p>
    <w:p w14:paraId="700CAFBD" w14:textId="431BC39B" w:rsidR="006F2F88" w:rsidRPr="00027CEB" w:rsidRDefault="006F2F88" w:rsidP="002C1045">
      <w:pPr>
        <w:spacing w:after="0" w:line="276" w:lineRule="auto"/>
        <w:rPr>
          <w:rFonts w:ascii="Sylfaen" w:hAnsi="Sylfaen"/>
          <w:b/>
          <w:bCs/>
          <w:sz w:val="24"/>
          <w:szCs w:val="24"/>
        </w:rPr>
      </w:pPr>
      <w:r w:rsidRPr="00027CEB">
        <w:rPr>
          <w:rFonts w:ascii="Sylfaen" w:hAnsi="Sylfaen"/>
          <w:b/>
          <w:bCs/>
          <w:sz w:val="24"/>
          <w:szCs w:val="24"/>
        </w:rPr>
        <w:t>ინსულინთან კომბინაცია</w:t>
      </w:r>
    </w:p>
    <w:p w14:paraId="1B2BE754" w14:textId="2FB60EBD" w:rsidR="006F2F88" w:rsidRPr="00027CEB" w:rsidRDefault="006F2F88" w:rsidP="002C1045">
      <w:pPr>
        <w:spacing w:after="0" w:line="276" w:lineRule="auto"/>
        <w:rPr>
          <w:rFonts w:ascii="Sylfaen" w:hAnsi="Sylfaen"/>
          <w:sz w:val="24"/>
          <w:szCs w:val="24"/>
        </w:rPr>
      </w:pPr>
      <w:r w:rsidRPr="00027CEB">
        <w:rPr>
          <w:rFonts w:ascii="Sylfaen" w:hAnsi="Sylfaen"/>
          <w:sz w:val="24"/>
          <w:szCs w:val="24"/>
        </w:rPr>
        <w:t>სისხლში გლუკოზის დონის უკეთესი კონტროლის მისაღწევად შესაძლებელია მეტფორმინის და ინსულინის გამოყენება კომბინირებულ თერაპიაში. მეტფორმინის ჰიდროქლორიდი მიიღება ჩვეულებრივი საწყისი დოზით 500 მგ ან 850 მგ 2 ან 3-ჯერ დღეში, ხოლო ინსულინის დოზა რეგულირდება სისხლში გლუკოზის დონის გაზომვების საფუძველზე.</w:t>
      </w:r>
    </w:p>
    <w:p w14:paraId="2F96D7D9" w14:textId="77777777" w:rsidR="006F2F88" w:rsidRPr="00027CEB" w:rsidRDefault="006F2F88" w:rsidP="002C1045">
      <w:pPr>
        <w:spacing w:after="0" w:line="276" w:lineRule="auto"/>
        <w:rPr>
          <w:rFonts w:ascii="Sylfaen" w:hAnsi="Sylfaen"/>
          <w:i/>
          <w:iCs/>
          <w:sz w:val="24"/>
          <w:szCs w:val="24"/>
        </w:rPr>
      </w:pPr>
      <w:r w:rsidRPr="00027CEB">
        <w:rPr>
          <w:rFonts w:ascii="Sylfaen" w:hAnsi="Sylfaen"/>
          <w:i/>
          <w:iCs/>
          <w:sz w:val="24"/>
          <w:szCs w:val="24"/>
        </w:rPr>
        <w:t>ხანდაზმულები</w:t>
      </w:r>
    </w:p>
    <w:p w14:paraId="7660377B" w14:textId="57780769" w:rsidR="006F2F88" w:rsidRPr="00027CEB" w:rsidRDefault="006F2F88" w:rsidP="002C1045">
      <w:pPr>
        <w:spacing w:after="0" w:line="276" w:lineRule="auto"/>
        <w:rPr>
          <w:rFonts w:ascii="Sylfaen" w:hAnsi="Sylfaen"/>
          <w:sz w:val="24"/>
          <w:szCs w:val="24"/>
        </w:rPr>
      </w:pPr>
      <w:r w:rsidRPr="00027CEB">
        <w:rPr>
          <w:rFonts w:ascii="Sylfaen" w:hAnsi="Sylfaen"/>
          <w:sz w:val="24"/>
          <w:szCs w:val="24"/>
        </w:rPr>
        <w:t>ხანდაზმულ პირებში თირკმლის ფუნქციის დაქვეითების პოტენციალის გამო, მეტფორმინის დოზა უნდა დარეგულირდეს თირკმლის ფუნქციის მიხედვით. აუცილებელია თირკმლის ფუნქციის რეგულარული შეფასება (იხ. ნაწილი 4.4).</w:t>
      </w:r>
    </w:p>
    <w:p w14:paraId="63B71D20" w14:textId="77777777" w:rsidR="006F2F88" w:rsidRPr="00027CEB" w:rsidRDefault="006F2F88" w:rsidP="002C1045">
      <w:pPr>
        <w:spacing w:after="0" w:line="276" w:lineRule="auto"/>
        <w:rPr>
          <w:rFonts w:ascii="Sylfaen" w:hAnsi="Sylfaen"/>
          <w:i/>
          <w:iCs/>
          <w:sz w:val="24"/>
          <w:szCs w:val="24"/>
        </w:rPr>
      </w:pPr>
      <w:r w:rsidRPr="00027CEB">
        <w:rPr>
          <w:rFonts w:ascii="Sylfaen" w:hAnsi="Sylfaen"/>
          <w:i/>
          <w:iCs/>
          <w:sz w:val="24"/>
          <w:szCs w:val="24"/>
        </w:rPr>
        <w:t>თირკმლის ფუნქციის დარღვევა</w:t>
      </w:r>
    </w:p>
    <w:p w14:paraId="32C1191E" w14:textId="2D87B927" w:rsidR="006F2F88" w:rsidRPr="00027CEB" w:rsidRDefault="006F2F88" w:rsidP="002C1045">
      <w:pPr>
        <w:spacing w:after="0" w:line="276" w:lineRule="auto"/>
        <w:jc w:val="both"/>
        <w:rPr>
          <w:rFonts w:ascii="Sylfaen" w:hAnsi="Sylfaen"/>
          <w:sz w:val="24"/>
          <w:szCs w:val="24"/>
        </w:rPr>
      </w:pPr>
      <w:r w:rsidRPr="00027CEB">
        <w:rPr>
          <w:rFonts w:ascii="Sylfaen" w:hAnsi="Sylfaen"/>
          <w:sz w:val="24"/>
          <w:szCs w:val="24"/>
        </w:rPr>
        <w:t>მეტფორმინის შემცველი პროდუქტებით მკურნალობის დაწყებამდე და შემდგომში სულ მცირე წელიწადში ერთხელ უნდა შეფასდეს გორგლოვანი ფილტრაციის სიჩქარე. პაციენტებში, რომლებსაც აქვთ თირკმლის უკმარისობის შემდგომი პროგრესირების მომატებული რისკი და ხანდაზმულებში, თირკმლის ფუნქცია უფრო ხშირად უნდა შეფასდეს, მაგალითად, ყოველ 3-6 თვეში ერთხელ.</w:t>
      </w:r>
    </w:p>
    <w:tbl>
      <w:tblPr>
        <w:tblStyle w:val="TableGrid"/>
        <w:tblW w:w="0" w:type="auto"/>
        <w:tblLook w:val="04A0" w:firstRow="1" w:lastRow="0" w:firstColumn="1" w:lastColumn="0" w:noHBand="0" w:noVBand="1"/>
      </w:tblPr>
      <w:tblGrid>
        <w:gridCol w:w="1885"/>
        <w:gridCol w:w="2250"/>
        <w:gridCol w:w="5395"/>
      </w:tblGrid>
      <w:tr w:rsidR="006F2F88" w:rsidRPr="00027CEB" w14:paraId="490F3995" w14:textId="77777777" w:rsidTr="002C1045">
        <w:tc>
          <w:tcPr>
            <w:tcW w:w="1885" w:type="dxa"/>
          </w:tcPr>
          <w:p w14:paraId="008DF4FB" w14:textId="5B758195" w:rsidR="006F2F88" w:rsidRPr="00027CEB" w:rsidRDefault="006F2F88" w:rsidP="002C1045">
            <w:pPr>
              <w:spacing w:line="276" w:lineRule="auto"/>
              <w:jc w:val="both"/>
              <w:rPr>
                <w:rFonts w:ascii="Sylfaen" w:hAnsi="Sylfaen"/>
                <w:sz w:val="24"/>
                <w:szCs w:val="24"/>
              </w:rPr>
            </w:pPr>
            <w:r w:rsidRPr="00027CEB">
              <w:rPr>
                <w:rFonts w:ascii="Sylfaen" w:hAnsi="Sylfaen"/>
                <w:sz w:val="24"/>
                <w:szCs w:val="24"/>
              </w:rPr>
              <w:t>გორგლოვანი ფილტრაციის სიჩქარე (მლ/წთ)</w:t>
            </w:r>
          </w:p>
        </w:tc>
        <w:tc>
          <w:tcPr>
            <w:tcW w:w="2250" w:type="dxa"/>
          </w:tcPr>
          <w:p w14:paraId="60FBE1C7" w14:textId="0E26D069" w:rsidR="006F2F88" w:rsidRPr="00027CEB" w:rsidRDefault="006F2F88" w:rsidP="002C1045">
            <w:pPr>
              <w:spacing w:line="276" w:lineRule="auto"/>
              <w:jc w:val="both"/>
              <w:rPr>
                <w:rFonts w:ascii="Sylfaen" w:hAnsi="Sylfaen"/>
                <w:sz w:val="24"/>
                <w:szCs w:val="24"/>
              </w:rPr>
            </w:pPr>
            <w:r w:rsidRPr="00027CEB">
              <w:rPr>
                <w:rFonts w:ascii="Sylfaen" w:hAnsi="Sylfaen"/>
                <w:sz w:val="24"/>
                <w:szCs w:val="24"/>
              </w:rPr>
              <w:t>მაქსიმალური დღიური დოზა (დაყოფილი 2-3 დღიურ დოზად)</w:t>
            </w:r>
          </w:p>
        </w:tc>
        <w:tc>
          <w:tcPr>
            <w:tcW w:w="5395" w:type="dxa"/>
          </w:tcPr>
          <w:p w14:paraId="3A1169A9" w14:textId="4A47F8A4" w:rsidR="006F2F88" w:rsidRPr="00027CEB" w:rsidRDefault="006F2F88" w:rsidP="002C1045">
            <w:pPr>
              <w:spacing w:line="276" w:lineRule="auto"/>
              <w:jc w:val="both"/>
              <w:rPr>
                <w:rFonts w:ascii="Sylfaen" w:hAnsi="Sylfaen"/>
                <w:sz w:val="24"/>
                <w:szCs w:val="24"/>
              </w:rPr>
            </w:pPr>
            <w:r w:rsidRPr="00027CEB">
              <w:rPr>
                <w:rFonts w:ascii="Sylfaen" w:hAnsi="Sylfaen"/>
                <w:sz w:val="24"/>
                <w:szCs w:val="24"/>
              </w:rPr>
              <w:t>დამატებითი მოსაზრებები</w:t>
            </w:r>
          </w:p>
        </w:tc>
      </w:tr>
      <w:tr w:rsidR="006F2F88" w:rsidRPr="00027CEB" w14:paraId="70B7CD48" w14:textId="77777777" w:rsidTr="002C1045">
        <w:tc>
          <w:tcPr>
            <w:tcW w:w="1885" w:type="dxa"/>
          </w:tcPr>
          <w:p w14:paraId="6820E404" w14:textId="46437DE6" w:rsidR="006F2F88" w:rsidRPr="00027CEB" w:rsidRDefault="006F2F88" w:rsidP="002C1045">
            <w:pPr>
              <w:spacing w:line="276" w:lineRule="auto"/>
              <w:jc w:val="both"/>
              <w:rPr>
                <w:rFonts w:ascii="Sylfaen" w:hAnsi="Sylfaen"/>
                <w:sz w:val="24"/>
                <w:szCs w:val="24"/>
              </w:rPr>
            </w:pPr>
            <w:r w:rsidRPr="00027CEB">
              <w:rPr>
                <w:rFonts w:ascii="Sylfaen" w:hAnsi="Sylfaen"/>
                <w:sz w:val="24"/>
                <w:szCs w:val="24"/>
              </w:rPr>
              <w:t>60-89</w:t>
            </w:r>
          </w:p>
        </w:tc>
        <w:tc>
          <w:tcPr>
            <w:tcW w:w="2250" w:type="dxa"/>
          </w:tcPr>
          <w:p w14:paraId="50D853F4" w14:textId="4929E55C" w:rsidR="006F2F88" w:rsidRPr="00027CEB" w:rsidRDefault="006F2F88" w:rsidP="002C1045">
            <w:pPr>
              <w:spacing w:line="276" w:lineRule="auto"/>
              <w:jc w:val="both"/>
              <w:rPr>
                <w:sz w:val="24"/>
                <w:szCs w:val="24"/>
              </w:rPr>
            </w:pPr>
            <w:r w:rsidRPr="00027CEB">
              <w:rPr>
                <w:rFonts w:ascii="Sylfaen" w:hAnsi="Sylfaen"/>
                <w:sz w:val="24"/>
                <w:szCs w:val="24"/>
              </w:rPr>
              <w:t>3000 მგ</w:t>
            </w:r>
          </w:p>
        </w:tc>
        <w:tc>
          <w:tcPr>
            <w:tcW w:w="5395" w:type="dxa"/>
          </w:tcPr>
          <w:p w14:paraId="1619A411" w14:textId="01B9C955" w:rsidR="006F2F88" w:rsidRPr="00027CEB" w:rsidRDefault="006F2F88" w:rsidP="002C1045">
            <w:pPr>
              <w:spacing w:line="276" w:lineRule="auto"/>
              <w:jc w:val="both"/>
              <w:rPr>
                <w:rFonts w:ascii="Sylfaen" w:hAnsi="Sylfaen"/>
                <w:sz w:val="24"/>
                <w:szCs w:val="24"/>
              </w:rPr>
            </w:pPr>
            <w:r w:rsidRPr="00027CEB">
              <w:rPr>
                <w:rFonts w:ascii="Sylfaen" w:hAnsi="Sylfaen"/>
                <w:sz w:val="24"/>
                <w:szCs w:val="24"/>
              </w:rPr>
              <w:t>თირკმლის ფუნქციის დაქვეითების გამო შეიძლება განხილული იქნას დოზის შემცირების საკითხი.</w:t>
            </w:r>
          </w:p>
        </w:tc>
      </w:tr>
      <w:tr w:rsidR="006F2F88" w:rsidRPr="00027CEB" w14:paraId="47CF3290" w14:textId="77777777" w:rsidTr="002C1045">
        <w:tc>
          <w:tcPr>
            <w:tcW w:w="1885" w:type="dxa"/>
          </w:tcPr>
          <w:p w14:paraId="564B2A55" w14:textId="42CF23E8" w:rsidR="006F2F88" w:rsidRPr="00027CEB" w:rsidRDefault="006F2F88" w:rsidP="002C1045">
            <w:pPr>
              <w:spacing w:line="276" w:lineRule="auto"/>
              <w:jc w:val="both"/>
              <w:rPr>
                <w:rFonts w:ascii="Sylfaen" w:hAnsi="Sylfaen"/>
                <w:sz w:val="24"/>
                <w:szCs w:val="24"/>
              </w:rPr>
            </w:pPr>
            <w:r w:rsidRPr="00027CEB">
              <w:rPr>
                <w:rFonts w:ascii="Sylfaen" w:hAnsi="Sylfaen"/>
                <w:sz w:val="24"/>
                <w:szCs w:val="24"/>
              </w:rPr>
              <w:t>45-59</w:t>
            </w:r>
          </w:p>
        </w:tc>
        <w:tc>
          <w:tcPr>
            <w:tcW w:w="2250" w:type="dxa"/>
          </w:tcPr>
          <w:p w14:paraId="1CA3DD5E" w14:textId="37A6128E" w:rsidR="006F2F88" w:rsidRPr="00027CEB" w:rsidRDefault="006F2F88" w:rsidP="002C1045">
            <w:pPr>
              <w:spacing w:line="276" w:lineRule="auto"/>
              <w:jc w:val="both"/>
              <w:rPr>
                <w:rFonts w:ascii="Sylfaen" w:hAnsi="Sylfaen"/>
                <w:sz w:val="24"/>
                <w:szCs w:val="24"/>
              </w:rPr>
            </w:pPr>
            <w:r w:rsidRPr="00027CEB">
              <w:rPr>
                <w:rFonts w:ascii="Sylfaen" w:hAnsi="Sylfaen"/>
                <w:sz w:val="24"/>
                <w:szCs w:val="24"/>
              </w:rPr>
              <w:t>2000 მგ</w:t>
            </w:r>
          </w:p>
        </w:tc>
        <w:tc>
          <w:tcPr>
            <w:tcW w:w="5395" w:type="dxa"/>
            <w:vMerge w:val="restart"/>
          </w:tcPr>
          <w:p w14:paraId="5570147F" w14:textId="4E6F2BAF" w:rsidR="006F2F88" w:rsidRPr="00027CEB" w:rsidRDefault="006F2F88" w:rsidP="002C1045">
            <w:pPr>
              <w:spacing w:line="276" w:lineRule="auto"/>
              <w:jc w:val="both"/>
              <w:rPr>
                <w:rFonts w:ascii="Sylfaen" w:hAnsi="Sylfaen"/>
                <w:sz w:val="24"/>
                <w:szCs w:val="24"/>
              </w:rPr>
            </w:pPr>
            <w:r w:rsidRPr="00027CEB">
              <w:rPr>
                <w:rFonts w:ascii="Sylfaen" w:hAnsi="Sylfaen"/>
                <w:sz w:val="24"/>
                <w:szCs w:val="24"/>
              </w:rPr>
              <w:t>მეტფორმინის მიღების დაწყებამდე უნდა გადაიხედოს ფაქტორები, რომლებმაც შეიძლება გაზარდონ ლაქტოაციდოზის რისკი (იხ. ნაწილი 4.4). საწყისი დოზა არ უნდა აღემატებოდეს მაქსიმალური დოზის ნახევარს.</w:t>
            </w:r>
          </w:p>
        </w:tc>
      </w:tr>
      <w:tr w:rsidR="006F2F88" w:rsidRPr="00027CEB" w14:paraId="1E8A1BAA" w14:textId="77777777" w:rsidTr="002C1045">
        <w:tc>
          <w:tcPr>
            <w:tcW w:w="1885" w:type="dxa"/>
          </w:tcPr>
          <w:p w14:paraId="72D3A3C3" w14:textId="0AFDBB6E" w:rsidR="006F2F88" w:rsidRPr="00027CEB" w:rsidRDefault="006F2F88" w:rsidP="002C1045">
            <w:pPr>
              <w:spacing w:line="276" w:lineRule="auto"/>
              <w:jc w:val="both"/>
              <w:rPr>
                <w:rFonts w:ascii="Sylfaen" w:hAnsi="Sylfaen"/>
                <w:sz w:val="24"/>
                <w:szCs w:val="24"/>
              </w:rPr>
            </w:pPr>
            <w:r w:rsidRPr="00027CEB">
              <w:rPr>
                <w:rFonts w:ascii="Sylfaen" w:hAnsi="Sylfaen"/>
                <w:sz w:val="24"/>
                <w:szCs w:val="24"/>
              </w:rPr>
              <w:t>30-44</w:t>
            </w:r>
          </w:p>
        </w:tc>
        <w:tc>
          <w:tcPr>
            <w:tcW w:w="2250" w:type="dxa"/>
          </w:tcPr>
          <w:p w14:paraId="3C3E6DCB" w14:textId="3FAA6234" w:rsidR="006F2F88" w:rsidRPr="00027CEB" w:rsidRDefault="006F2F88" w:rsidP="002C1045">
            <w:pPr>
              <w:spacing w:line="276" w:lineRule="auto"/>
              <w:jc w:val="both"/>
              <w:rPr>
                <w:rFonts w:ascii="Sylfaen" w:hAnsi="Sylfaen"/>
                <w:sz w:val="24"/>
                <w:szCs w:val="24"/>
              </w:rPr>
            </w:pPr>
            <w:r w:rsidRPr="00027CEB">
              <w:rPr>
                <w:rFonts w:ascii="Sylfaen" w:hAnsi="Sylfaen"/>
                <w:sz w:val="24"/>
                <w:szCs w:val="24"/>
              </w:rPr>
              <w:t>1000 მგ</w:t>
            </w:r>
          </w:p>
        </w:tc>
        <w:tc>
          <w:tcPr>
            <w:tcW w:w="5395" w:type="dxa"/>
            <w:vMerge/>
          </w:tcPr>
          <w:p w14:paraId="4206EB9F" w14:textId="77777777" w:rsidR="006F2F88" w:rsidRPr="00027CEB" w:rsidRDefault="006F2F88" w:rsidP="002C1045">
            <w:pPr>
              <w:spacing w:line="276" w:lineRule="auto"/>
              <w:jc w:val="both"/>
              <w:rPr>
                <w:rFonts w:ascii="Sylfaen" w:hAnsi="Sylfaen"/>
                <w:sz w:val="24"/>
                <w:szCs w:val="24"/>
              </w:rPr>
            </w:pPr>
          </w:p>
        </w:tc>
      </w:tr>
      <w:tr w:rsidR="006F2F88" w:rsidRPr="00027CEB" w14:paraId="1EA3A798" w14:textId="77777777" w:rsidTr="002C1045">
        <w:tc>
          <w:tcPr>
            <w:tcW w:w="1885" w:type="dxa"/>
          </w:tcPr>
          <w:p w14:paraId="335407A0" w14:textId="4254A7BB" w:rsidR="006F2F88" w:rsidRPr="00027CEB" w:rsidRDefault="006F2F88" w:rsidP="002C1045">
            <w:pPr>
              <w:spacing w:line="276" w:lineRule="auto"/>
              <w:jc w:val="both"/>
              <w:rPr>
                <w:rFonts w:ascii="Sylfaen" w:hAnsi="Sylfaen"/>
                <w:sz w:val="24"/>
                <w:szCs w:val="24"/>
              </w:rPr>
            </w:pPr>
            <w:r w:rsidRPr="00027CEB">
              <w:rPr>
                <w:rFonts w:ascii="Sylfaen" w:hAnsi="Sylfaen"/>
                <w:sz w:val="24"/>
                <w:szCs w:val="24"/>
              </w:rPr>
              <w:lastRenderedPageBreak/>
              <w:t>&lt;30</w:t>
            </w:r>
          </w:p>
        </w:tc>
        <w:tc>
          <w:tcPr>
            <w:tcW w:w="2250" w:type="dxa"/>
          </w:tcPr>
          <w:p w14:paraId="39B547D0" w14:textId="0686463A" w:rsidR="006F2F88" w:rsidRPr="00027CEB" w:rsidRDefault="006F2F88" w:rsidP="002C1045">
            <w:pPr>
              <w:spacing w:line="276" w:lineRule="auto"/>
              <w:jc w:val="both"/>
              <w:rPr>
                <w:rFonts w:ascii="Sylfaen" w:hAnsi="Sylfaen"/>
                <w:sz w:val="24"/>
                <w:szCs w:val="24"/>
              </w:rPr>
            </w:pPr>
            <w:r w:rsidRPr="00027CEB">
              <w:rPr>
                <w:rFonts w:ascii="Sylfaen" w:hAnsi="Sylfaen"/>
                <w:sz w:val="24"/>
                <w:szCs w:val="24"/>
              </w:rPr>
              <w:t>-</w:t>
            </w:r>
          </w:p>
        </w:tc>
        <w:tc>
          <w:tcPr>
            <w:tcW w:w="5395" w:type="dxa"/>
          </w:tcPr>
          <w:p w14:paraId="7A90C35C" w14:textId="4DF590A5" w:rsidR="006F2F88" w:rsidRPr="00027CEB" w:rsidRDefault="006F2F88" w:rsidP="002C1045">
            <w:pPr>
              <w:spacing w:line="276" w:lineRule="auto"/>
              <w:jc w:val="both"/>
              <w:rPr>
                <w:rFonts w:ascii="Sylfaen" w:hAnsi="Sylfaen"/>
                <w:sz w:val="24"/>
                <w:szCs w:val="24"/>
              </w:rPr>
            </w:pPr>
            <w:r w:rsidRPr="00027CEB">
              <w:rPr>
                <w:rFonts w:ascii="Sylfaen" w:hAnsi="Sylfaen"/>
                <w:sz w:val="24"/>
                <w:szCs w:val="24"/>
              </w:rPr>
              <w:t>მეტფორმინი უკუნაჩვენებია.</w:t>
            </w:r>
          </w:p>
        </w:tc>
      </w:tr>
    </w:tbl>
    <w:p w14:paraId="4AD6E223" w14:textId="60BAF889" w:rsidR="006F2F88" w:rsidRPr="00027CEB" w:rsidRDefault="006F2F88" w:rsidP="002C1045">
      <w:pPr>
        <w:spacing w:after="0" w:line="276" w:lineRule="auto"/>
        <w:jc w:val="both"/>
        <w:rPr>
          <w:rFonts w:ascii="Sylfaen" w:hAnsi="Sylfaen"/>
          <w:sz w:val="24"/>
          <w:szCs w:val="24"/>
        </w:rPr>
      </w:pPr>
    </w:p>
    <w:p w14:paraId="7FDD7D80" w14:textId="0028F4E4" w:rsidR="006F2F88" w:rsidRPr="00027CEB" w:rsidRDefault="006F2F88" w:rsidP="002C1045">
      <w:pPr>
        <w:spacing w:after="0" w:line="276" w:lineRule="auto"/>
        <w:jc w:val="both"/>
        <w:rPr>
          <w:rFonts w:ascii="Sylfaen" w:hAnsi="Sylfaen"/>
          <w:b/>
          <w:bCs/>
          <w:sz w:val="24"/>
          <w:szCs w:val="24"/>
        </w:rPr>
      </w:pPr>
      <w:r w:rsidRPr="00027CEB">
        <w:rPr>
          <w:rFonts w:ascii="Sylfaen" w:hAnsi="Sylfaen"/>
          <w:b/>
          <w:bCs/>
          <w:sz w:val="24"/>
          <w:szCs w:val="24"/>
        </w:rPr>
        <w:t>პედიატრიული პოპულაცია</w:t>
      </w:r>
    </w:p>
    <w:p w14:paraId="3E4780CE" w14:textId="2F21AA02" w:rsidR="006F2F88" w:rsidRPr="00027CEB" w:rsidRDefault="006F2F88" w:rsidP="002C1045">
      <w:pPr>
        <w:spacing w:after="0" w:line="276" w:lineRule="auto"/>
        <w:jc w:val="both"/>
        <w:rPr>
          <w:rFonts w:ascii="Sylfaen" w:hAnsi="Sylfaen"/>
          <w:b/>
          <w:bCs/>
          <w:sz w:val="24"/>
          <w:szCs w:val="24"/>
        </w:rPr>
      </w:pPr>
      <w:r w:rsidRPr="00027CEB">
        <w:rPr>
          <w:rFonts w:ascii="Sylfaen" w:hAnsi="Sylfaen"/>
          <w:b/>
          <w:bCs/>
          <w:sz w:val="24"/>
          <w:szCs w:val="24"/>
        </w:rPr>
        <w:t>მონოთერაპია და ინსულინთან კომბინაცია</w:t>
      </w:r>
    </w:p>
    <w:p w14:paraId="44F19679" w14:textId="77777777" w:rsidR="006F2F88" w:rsidRPr="00027CEB" w:rsidRDefault="006F2F88" w:rsidP="002C1045">
      <w:pPr>
        <w:pStyle w:val="ListParagraph"/>
        <w:numPr>
          <w:ilvl w:val="0"/>
          <w:numId w:val="2"/>
        </w:numPr>
        <w:spacing w:after="0" w:line="276" w:lineRule="auto"/>
        <w:jc w:val="both"/>
        <w:rPr>
          <w:rFonts w:ascii="Sylfaen" w:hAnsi="Sylfaen"/>
          <w:sz w:val="24"/>
          <w:szCs w:val="24"/>
        </w:rPr>
      </w:pPr>
      <w:r w:rsidRPr="00027CEB">
        <w:rPr>
          <w:rFonts w:ascii="Sylfaen" w:hAnsi="Sylfaen"/>
          <w:sz w:val="24"/>
          <w:szCs w:val="24"/>
        </w:rPr>
        <w:t>მეტფორმინ სანდოზის გამოყენება შესაძლებელია 10 წლიდან ბავშვებში და მოზარდებში.</w:t>
      </w:r>
    </w:p>
    <w:p w14:paraId="3983CC05" w14:textId="03267FCB" w:rsidR="006F2F88" w:rsidRPr="00027CEB" w:rsidRDefault="006F2F88" w:rsidP="002C1045">
      <w:pPr>
        <w:pStyle w:val="ListParagraph"/>
        <w:numPr>
          <w:ilvl w:val="0"/>
          <w:numId w:val="2"/>
        </w:numPr>
        <w:spacing w:after="0" w:line="276" w:lineRule="auto"/>
        <w:jc w:val="both"/>
        <w:rPr>
          <w:rFonts w:ascii="Sylfaen" w:hAnsi="Sylfaen"/>
          <w:sz w:val="24"/>
          <w:szCs w:val="24"/>
        </w:rPr>
      </w:pPr>
      <w:r w:rsidRPr="00027CEB">
        <w:rPr>
          <w:rFonts w:ascii="Sylfaen" w:hAnsi="Sylfaen"/>
          <w:sz w:val="24"/>
          <w:szCs w:val="24"/>
        </w:rPr>
        <w:t>ჩვეულებრივი საწყისი დოზაა 500 მგ ან 850 მგ მეტფორმინის ჰიდროქლორიდი დღეში ერთხელ, ჭამის დროს ან ჭამის შემდეგ.</w:t>
      </w:r>
    </w:p>
    <w:p w14:paraId="0CE3818D" w14:textId="62D55678" w:rsidR="006F2F88" w:rsidRPr="00027CEB" w:rsidRDefault="006F2F88" w:rsidP="002C1045">
      <w:pPr>
        <w:spacing w:after="0" w:line="276" w:lineRule="auto"/>
        <w:jc w:val="both"/>
        <w:rPr>
          <w:rFonts w:ascii="Sylfaen" w:hAnsi="Sylfaen"/>
          <w:sz w:val="24"/>
          <w:szCs w:val="24"/>
        </w:rPr>
      </w:pPr>
      <w:r w:rsidRPr="00027CEB">
        <w:rPr>
          <w:rFonts w:ascii="Sylfaen" w:hAnsi="Sylfaen"/>
          <w:sz w:val="24"/>
          <w:szCs w:val="24"/>
        </w:rPr>
        <w:t>10-15 დღის შემდეგ დოზა უნდა დაკორექტირდეს სისხლში გლუკოზის დონის გაზომვის საფუძველზე.</w:t>
      </w:r>
    </w:p>
    <w:p w14:paraId="77014E6F" w14:textId="6443B12B" w:rsidR="006F2F88" w:rsidRPr="00027CEB" w:rsidRDefault="006F2F88" w:rsidP="002C1045">
      <w:pPr>
        <w:spacing w:after="0" w:line="276" w:lineRule="auto"/>
        <w:jc w:val="both"/>
        <w:rPr>
          <w:rFonts w:ascii="Sylfaen" w:hAnsi="Sylfaen"/>
          <w:sz w:val="24"/>
          <w:szCs w:val="24"/>
        </w:rPr>
      </w:pPr>
      <w:r w:rsidRPr="00027CEB">
        <w:rPr>
          <w:rFonts w:ascii="Sylfaen" w:hAnsi="Sylfaen"/>
          <w:sz w:val="24"/>
          <w:szCs w:val="24"/>
        </w:rPr>
        <w:t>დოზის ნელა გაზრდამ შეიძლება გააუმჯობესოს კუჭ-ნაწლავის ტრაქტის მიერ ტოლერანტობა. მეტფორმინის ჰიდროქლორიდის მაქსიმალური რეკომენდებული დოზაა 2 გ დღეში, რომელიც მიიღება 2 ან 3 გაყოფილი დოზით.</w:t>
      </w:r>
    </w:p>
    <w:p w14:paraId="13F0B0AA" w14:textId="6BC7FD38" w:rsidR="007C3CF9" w:rsidRPr="00027CEB" w:rsidRDefault="007C3CF9" w:rsidP="002C1045">
      <w:pPr>
        <w:spacing w:after="0" w:line="276" w:lineRule="auto"/>
        <w:jc w:val="both"/>
        <w:rPr>
          <w:rFonts w:ascii="Sylfaen" w:hAnsi="Sylfaen"/>
          <w:b/>
          <w:bCs/>
          <w:sz w:val="24"/>
          <w:szCs w:val="24"/>
        </w:rPr>
      </w:pPr>
      <w:r w:rsidRPr="00027CEB">
        <w:rPr>
          <w:rFonts w:ascii="Sylfaen" w:hAnsi="Sylfaen"/>
          <w:b/>
          <w:bCs/>
          <w:sz w:val="24"/>
          <w:szCs w:val="24"/>
        </w:rPr>
        <w:t>4.3 უკუჩვენებები</w:t>
      </w:r>
    </w:p>
    <w:p w14:paraId="53EE6A85" w14:textId="77777777" w:rsidR="007C3CF9" w:rsidRPr="00027CEB" w:rsidRDefault="007C3CF9" w:rsidP="002C1045">
      <w:pPr>
        <w:pStyle w:val="ListParagraph"/>
        <w:numPr>
          <w:ilvl w:val="0"/>
          <w:numId w:val="3"/>
        </w:numPr>
        <w:spacing w:after="0" w:line="276" w:lineRule="auto"/>
        <w:jc w:val="both"/>
        <w:rPr>
          <w:rFonts w:ascii="Sylfaen" w:hAnsi="Sylfaen"/>
          <w:sz w:val="24"/>
          <w:szCs w:val="24"/>
        </w:rPr>
      </w:pPr>
      <w:r w:rsidRPr="00027CEB">
        <w:rPr>
          <w:rFonts w:ascii="Sylfaen" w:hAnsi="Sylfaen"/>
          <w:sz w:val="24"/>
          <w:szCs w:val="24"/>
        </w:rPr>
        <w:t>მომატებული მგრძნობელობა მეტფორმინის ან 6.1 პუნქტში ჩამოთვლილი რომელიმე დამხმარე ნივთიერების მიმართ.</w:t>
      </w:r>
    </w:p>
    <w:p w14:paraId="727EFD36" w14:textId="77777777" w:rsidR="007C3CF9" w:rsidRPr="00027CEB" w:rsidRDefault="007C3CF9" w:rsidP="002C1045">
      <w:pPr>
        <w:pStyle w:val="ListParagraph"/>
        <w:numPr>
          <w:ilvl w:val="0"/>
          <w:numId w:val="3"/>
        </w:numPr>
        <w:spacing w:after="0" w:line="276" w:lineRule="auto"/>
        <w:jc w:val="both"/>
        <w:rPr>
          <w:rFonts w:ascii="Sylfaen" w:hAnsi="Sylfaen"/>
          <w:sz w:val="24"/>
          <w:szCs w:val="24"/>
        </w:rPr>
      </w:pPr>
      <w:r w:rsidRPr="00027CEB">
        <w:rPr>
          <w:rFonts w:ascii="Sylfaen" w:hAnsi="Sylfaen"/>
          <w:sz w:val="24"/>
          <w:szCs w:val="24"/>
        </w:rPr>
        <w:t>ნებისმიერი ტიპის მწვავე მეტაბოლური აციდოზი (მაგალითად, ლაქტოაციდოზი, დიაბეტური კეტოაციდოზი).</w:t>
      </w:r>
    </w:p>
    <w:p w14:paraId="3BA40ECC" w14:textId="77777777" w:rsidR="007C3CF9" w:rsidRPr="00027CEB" w:rsidRDefault="007C3CF9" w:rsidP="002C1045">
      <w:pPr>
        <w:pStyle w:val="ListParagraph"/>
        <w:numPr>
          <w:ilvl w:val="0"/>
          <w:numId w:val="3"/>
        </w:numPr>
        <w:spacing w:after="0" w:line="276" w:lineRule="auto"/>
        <w:jc w:val="both"/>
        <w:rPr>
          <w:rFonts w:ascii="Sylfaen" w:hAnsi="Sylfaen"/>
          <w:sz w:val="24"/>
          <w:szCs w:val="24"/>
        </w:rPr>
      </w:pPr>
      <w:r w:rsidRPr="00027CEB">
        <w:rPr>
          <w:rFonts w:ascii="Sylfaen" w:hAnsi="Sylfaen"/>
          <w:sz w:val="24"/>
          <w:szCs w:val="24"/>
        </w:rPr>
        <w:t>დიაბეტური პრეკომა.</w:t>
      </w:r>
    </w:p>
    <w:p w14:paraId="48F76450" w14:textId="77777777" w:rsidR="007C3CF9" w:rsidRPr="00027CEB" w:rsidRDefault="007C3CF9" w:rsidP="002C1045">
      <w:pPr>
        <w:pStyle w:val="ListParagraph"/>
        <w:numPr>
          <w:ilvl w:val="0"/>
          <w:numId w:val="3"/>
        </w:numPr>
        <w:spacing w:after="0" w:line="276" w:lineRule="auto"/>
        <w:jc w:val="both"/>
        <w:rPr>
          <w:rFonts w:ascii="Sylfaen" w:hAnsi="Sylfaen"/>
          <w:sz w:val="24"/>
          <w:szCs w:val="24"/>
        </w:rPr>
      </w:pPr>
      <w:r w:rsidRPr="00027CEB">
        <w:rPr>
          <w:rFonts w:ascii="Sylfaen" w:hAnsi="Sylfaen"/>
          <w:sz w:val="24"/>
          <w:szCs w:val="24"/>
        </w:rPr>
        <w:t>თირკმლის მძიმე უკმარისობა (GFR &lt; 30 მლ/წთ).</w:t>
      </w:r>
    </w:p>
    <w:p w14:paraId="258AF89A" w14:textId="77777777" w:rsidR="007C3CF9" w:rsidRPr="00027CEB" w:rsidRDefault="007C3CF9" w:rsidP="002C1045">
      <w:pPr>
        <w:pStyle w:val="ListParagraph"/>
        <w:numPr>
          <w:ilvl w:val="0"/>
          <w:numId w:val="3"/>
        </w:numPr>
        <w:spacing w:after="0" w:line="276" w:lineRule="auto"/>
        <w:jc w:val="both"/>
        <w:rPr>
          <w:rFonts w:ascii="Sylfaen" w:hAnsi="Sylfaen"/>
          <w:sz w:val="24"/>
          <w:szCs w:val="24"/>
        </w:rPr>
      </w:pPr>
      <w:r w:rsidRPr="00027CEB">
        <w:rPr>
          <w:rFonts w:ascii="Sylfaen" w:hAnsi="Sylfaen"/>
          <w:sz w:val="24"/>
          <w:szCs w:val="24"/>
        </w:rPr>
        <w:t>თირკმლის ფუნქციის შეცვლის პოტენციალის მქონე მწვავე მდგომარეობები, როგორიცაა: დეჰიდრატაცია, მძიმე ინფექცია, შოკი.</w:t>
      </w:r>
    </w:p>
    <w:p w14:paraId="12F90E1C" w14:textId="77777777" w:rsidR="007C3CF9" w:rsidRPr="00027CEB" w:rsidRDefault="007C3CF9" w:rsidP="002C1045">
      <w:pPr>
        <w:pStyle w:val="ListParagraph"/>
        <w:numPr>
          <w:ilvl w:val="0"/>
          <w:numId w:val="3"/>
        </w:numPr>
        <w:spacing w:after="0" w:line="276" w:lineRule="auto"/>
        <w:jc w:val="both"/>
        <w:rPr>
          <w:rFonts w:ascii="Sylfaen" w:hAnsi="Sylfaen"/>
          <w:sz w:val="24"/>
          <w:szCs w:val="24"/>
        </w:rPr>
      </w:pPr>
      <w:r w:rsidRPr="00027CEB">
        <w:rPr>
          <w:rFonts w:ascii="Sylfaen" w:hAnsi="Sylfaen"/>
          <w:sz w:val="24"/>
          <w:szCs w:val="24"/>
        </w:rPr>
        <w:t>დაავადება, რომელმაც შეიძლება გამოიწვიოს ქსოვილების ჰიპოქსია (განსაკუთრებით მწვავე დაავადება ან ქრონიკული დაავადების გაუარესება), როგორიცაა: დეკომპენსირებული გულის უკმარისობა, სუნთქვის უკმარისობა, ბოლოდროინდელი მიოკარდიუმის ინფარქტი, შოკი.</w:t>
      </w:r>
    </w:p>
    <w:p w14:paraId="724A2D06" w14:textId="779EF979" w:rsidR="007C3CF9" w:rsidRPr="00027CEB" w:rsidRDefault="007C3CF9" w:rsidP="002C1045">
      <w:pPr>
        <w:pStyle w:val="ListParagraph"/>
        <w:numPr>
          <w:ilvl w:val="0"/>
          <w:numId w:val="3"/>
        </w:numPr>
        <w:spacing w:after="0" w:line="276" w:lineRule="auto"/>
        <w:jc w:val="both"/>
        <w:rPr>
          <w:rFonts w:ascii="Sylfaen" w:hAnsi="Sylfaen"/>
          <w:sz w:val="24"/>
          <w:szCs w:val="24"/>
        </w:rPr>
      </w:pPr>
      <w:r w:rsidRPr="00027CEB">
        <w:rPr>
          <w:rFonts w:ascii="Sylfaen" w:hAnsi="Sylfaen"/>
          <w:sz w:val="24"/>
          <w:szCs w:val="24"/>
        </w:rPr>
        <w:t>ღვიძლის უკმარისობა, მწვავე ალკოჰოლური ინტოქსიკაცია, ალკოჰოლიზმი.</w:t>
      </w:r>
    </w:p>
    <w:p w14:paraId="28D584BB" w14:textId="11D2E48C" w:rsidR="007C3CF9" w:rsidRPr="00027CEB" w:rsidRDefault="007C3CF9" w:rsidP="002C1045">
      <w:pPr>
        <w:spacing w:after="0" w:line="276" w:lineRule="auto"/>
        <w:jc w:val="both"/>
        <w:rPr>
          <w:rFonts w:ascii="Sylfaen" w:hAnsi="Sylfaen"/>
          <w:b/>
          <w:bCs/>
          <w:sz w:val="24"/>
          <w:szCs w:val="24"/>
        </w:rPr>
      </w:pPr>
      <w:r w:rsidRPr="00027CEB">
        <w:rPr>
          <w:rFonts w:ascii="Sylfaen" w:hAnsi="Sylfaen"/>
          <w:b/>
          <w:bCs/>
          <w:sz w:val="24"/>
          <w:szCs w:val="24"/>
        </w:rPr>
        <w:t>4.4 განსაკუთრებული გაფრთხილებები და უსაფრთხოების ზომები გამოყენებისას</w:t>
      </w:r>
    </w:p>
    <w:p w14:paraId="62967A9E" w14:textId="06AEA9E8" w:rsidR="007C3CF9" w:rsidRPr="00027CEB" w:rsidRDefault="007C3CF9" w:rsidP="002C1045">
      <w:pPr>
        <w:spacing w:after="0" w:line="276" w:lineRule="auto"/>
        <w:jc w:val="both"/>
        <w:rPr>
          <w:rFonts w:ascii="Sylfaen" w:hAnsi="Sylfaen"/>
          <w:b/>
          <w:bCs/>
          <w:sz w:val="24"/>
          <w:szCs w:val="24"/>
        </w:rPr>
      </w:pPr>
      <w:r w:rsidRPr="00027CEB">
        <w:rPr>
          <w:rFonts w:ascii="Sylfaen" w:hAnsi="Sylfaen"/>
          <w:b/>
          <w:bCs/>
          <w:sz w:val="24"/>
          <w:szCs w:val="24"/>
        </w:rPr>
        <w:t>ლაქტოაციდოზი</w:t>
      </w:r>
    </w:p>
    <w:p w14:paraId="481632E2" w14:textId="77777777" w:rsidR="007C3CF9" w:rsidRPr="00027CEB" w:rsidRDefault="007C3CF9" w:rsidP="002C1045">
      <w:pPr>
        <w:spacing w:after="0" w:line="276" w:lineRule="auto"/>
        <w:jc w:val="both"/>
        <w:rPr>
          <w:rFonts w:ascii="Sylfaen" w:hAnsi="Sylfaen"/>
          <w:sz w:val="24"/>
          <w:szCs w:val="24"/>
        </w:rPr>
      </w:pPr>
      <w:r w:rsidRPr="00027CEB">
        <w:rPr>
          <w:rFonts w:ascii="Sylfaen" w:hAnsi="Sylfaen"/>
          <w:sz w:val="24"/>
          <w:szCs w:val="24"/>
        </w:rPr>
        <w:t>ლაქტოაციდოზი, ძალიან იშვიათი, მაგრამ სერიოზული მეტაბოლური გართულება, ყველაზე ხშირად თირკმლის ფუნქციის მწვავე გაუარესების, კარდიორესპირატორული უკმარისობის ან სეფსისის დროს ვითარდება. მეტფორმინის დაგროვება თირკმლის ფუნქციის მწვავე გაუარესების დროს ხდება და ზრდის ლაქტოაციდოზის განვითარების რისკს.</w:t>
      </w:r>
    </w:p>
    <w:p w14:paraId="75B8DB41" w14:textId="232B8CA9" w:rsidR="007C3CF9" w:rsidRPr="00027CEB" w:rsidRDefault="007C3CF9" w:rsidP="002C1045">
      <w:pPr>
        <w:spacing w:after="0" w:line="276" w:lineRule="auto"/>
        <w:jc w:val="both"/>
        <w:rPr>
          <w:rFonts w:ascii="Sylfaen" w:hAnsi="Sylfaen"/>
          <w:sz w:val="24"/>
          <w:szCs w:val="24"/>
        </w:rPr>
      </w:pPr>
      <w:r w:rsidRPr="00027CEB">
        <w:rPr>
          <w:rFonts w:ascii="Sylfaen" w:hAnsi="Sylfaen"/>
          <w:sz w:val="24"/>
          <w:szCs w:val="24"/>
        </w:rPr>
        <w:t>დეჰიდრატაციის შემთხვევაში (ძლიერი დიარეა ან ღებინება, ცხელება ან სითხის მიღების შემცირება), მეტფორმინის მიღება დროებით უნდა შეწყდეს და მიმართოთ ექიმს.</w:t>
      </w:r>
    </w:p>
    <w:p w14:paraId="58BFEFAF" w14:textId="3115748E" w:rsidR="007C3CF9" w:rsidRPr="00027CEB" w:rsidRDefault="007C3CF9" w:rsidP="002C1045">
      <w:pPr>
        <w:spacing w:after="0" w:line="276" w:lineRule="auto"/>
        <w:jc w:val="both"/>
        <w:rPr>
          <w:rFonts w:ascii="Sylfaen" w:hAnsi="Sylfaen"/>
          <w:sz w:val="24"/>
          <w:szCs w:val="24"/>
        </w:rPr>
      </w:pPr>
      <w:r w:rsidRPr="00027CEB">
        <w:rPr>
          <w:rFonts w:ascii="Sylfaen" w:hAnsi="Sylfaen"/>
          <w:sz w:val="24"/>
          <w:szCs w:val="24"/>
        </w:rPr>
        <w:lastRenderedPageBreak/>
        <w:t>მეტფორმინის მიმღებ პაციენტებში ისეთი პრეპარატების გამოყენება, რომლებმაც შეიძლება გამოიწვიონ თირკმლის მწვავე უკმარისობა (მაგალითად, ანტიჰიპერტენზიული საშუალებები, შარდმდენები და არასტეროიდული ანთების საწინააღმდეგო საშუალებები), უნდა დაიწყოს სიფრთხილით. ლაქტოაციდოზის სხვა რისკ-ფაქტორებია ალკოჰოლის ჭარბი მოხმარება, ღვიძლის უკმარისობა, ცუდად კონტროლირებადი დიაბეტი, კეტოზი, ხანგრძლივი შიმშილი, ჰიპოქსიასთან დაკავშირებული ნებისმიერი მდგომარეობა და ლაქტოაციდოზის გამომწვევი მედიკამენტების თანმხლები გამოყენება (იხილეთ ნაწილები 4.3 და 4.5).</w:t>
      </w:r>
    </w:p>
    <w:p w14:paraId="1F2536F7" w14:textId="59D6D5F8" w:rsidR="007C3CF9" w:rsidRPr="00027CEB" w:rsidRDefault="007C3CF9" w:rsidP="002C1045">
      <w:pPr>
        <w:spacing w:after="0" w:line="276" w:lineRule="auto"/>
        <w:jc w:val="both"/>
        <w:rPr>
          <w:rFonts w:ascii="Sylfaen" w:hAnsi="Sylfaen"/>
          <w:sz w:val="24"/>
          <w:szCs w:val="24"/>
        </w:rPr>
      </w:pPr>
      <w:r w:rsidRPr="00027CEB">
        <w:rPr>
          <w:rFonts w:ascii="Sylfaen" w:hAnsi="Sylfaen"/>
          <w:sz w:val="24"/>
          <w:szCs w:val="24"/>
        </w:rPr>
        <w:t>პაციენტები და/ან მომვლელები ინფორმირებულნი უნდა იყვნენ ლაქტოაციდოზის რისკის შესახებ. ლაქტოაციდოზი ხასიათდება აციდოზური ქოშინით, მუცლის ტკივილით, კუნთების სპაზმებით, ასთენიით და ჰიპოთერმიით, რასაც მოჰყვება კომა. სიმპტომების ეჭვის შემთხვევაში, პაციენტმა უნდა შეწყვიტოს მეტფორმინის მიღება და დაუყოვნებლივ მიმართოს ექიმს. დიაგნოსტიკური ლაბორატორიული მონაცემებია სისხლის pH-ის შემცირება (&lt; 7.35), პლაზმური ლაქტატის დონის მომატება (&gt;5 მმოლ/ლ) და ანიონური სხვაობისა და ლაქტატის/პირუვატის თანაფარდობის ზრდა.</w:t>
      </w:r>
    </w:p>
    <w:p w14:paraId="21DB8215" w14:textId="19DAE12D" w:rsidR="007C3CF9" w:rsidRPr="00027CEB" w:rsidRDefault="007C3CF9" w:rsidP="002C1045">
      <w:pPr>
        <w:spacing w:after="0" w:line="276" w:lineRule="auto"/>
        <w:jc w:val="both"/>
        <w:rPr>
          <w:rFonts w:ascii="Sylfaen" w:hAnsi="Sylfaen"/>
          <w:b/>
          <w:bCs/>
          <w:sz w:val="24"/>
          <w:szCs w:val="24"/>
        </w:rPr>
      </w:pPr>
      <w:r w:rsidRPr="00027CEB">
        <w:rPr>
          <w:rFonts w:ascii="Sylfaen" w:hAnsi="Sylfaen"/>
          <w:b/>
          <w:bCs/>
          <w:sz w:val="24"/>
          <w:szCs w:val="24"/>
        </w:rPr>
        <w:t>პაციენტები დადასტურებული ან საეჭვო მიტოქონდრიული დაავადებებით:</w:t>
      </w:r>
    </w:p>
    <w:p w14:paraId="7F86C68C" w14:textId="77777777" w:rsidR="007C3CF9" w:rsidRPr="00027CEB" w:rsidRDefault="007C3CF9" w:rsidP="002C1045">
      <w:pPr>
        <w:spacing w:after="0" w:line="276" w:lineRule="auto"/>
        <w:jc w:val="both"/>
        <w:rPr>
          <w:rFonts w:ascii="Sylfaen" w:hAnsi="Sylfaen"/>
          <w:sz w:val="24"/>
          <w:szCs w:val="24"/>
        </w:rPr>
      </w:pPr>
      <w:r w:rsidRPr="00027CEB">
        <w:rPr>
          <w:rFonts w:ascii="Sylfaen" w:hAnsi="Sylfaen"/>
          <w:sz w:val="24"/>
          <w:szCs w:val="24"/>
        </w:rPr>
        <w:t>პაციენტებში, რომლებსაც აღენიშნებათ მიტოქონდრიული დაავადებები, როგორიცაა მიტოქონდრიული ენცეფალოპათია რძემჟავა აციდოზით, ინსულტის მსგავსი ეპიზოდები (MELAS) და დედის მემკვიდრეობითი დიაბეტი და სიყრუე (MIDD), მეტფორმინი არ არის რეკომენდებული რძემჟავა აციდოზის გამწვავების და ნევროლოგიური გართულებების რისკის გამო, რამაც შეიძლება გამოიწვიოს დაავადების გაუარესება.</w:t>
      </w:r>
    </w:p>
    <w:p w14:paraId="7CFD4885" w14:textId="3C2C97E8" w:rsidR="007C3CF9" w:rsidRPr="00027CEB" w:rsidRDefault="007C3CF9" w:rsidP="002C1045">
      <w:pPr>
        <w:spacing w:after="0" w:line="276" w:lineRule="auto"/>
        <w:jc w:val="both"/>
        <w:rPr>
          <w:rFonts w:ascii="Sylfaen" w:hAnsi="Sylfaen"/>
          <w:sz w:val="24"/>
          <w:szCs w:val="24"/>
        </w:rPr>
      </w:pPr>
      <w:r w:rsidRPr="00027CEB">
        <w:rPr>
          <w:rFonts w:ascii="Sylfaen" w:hAnsi="Sylfaen"/>
          <w:sz w:val="24"/>
          <w:szCs w:val="24"/>
        </w:rPr>
        <w:t>მეტფორმინის მიღების შემდეგ MELAS სინდრომის ან MIDD-ის ნიშნებისა და სიმპტომების გამოვლენის შემთხვევაში, მეტფორმინით მკურნალობა დაუყოვნებლივ უნდა შეწყდეს და დაუყოვნებლივ უნდა ჩატარდეს დიაგნოსტიკური შეფასება.</w:t>
      </w:r>
    </w:p>
    <w:p w14:paraId="15CC68DD" w14:textId="2E081AF0" w:rsidR="007C3CF9" w:rsidRPr="00027CEB" w:rsidRDefault="007C3CF9" w:rsidP="002C1045">
      <w:pPr>
        <w:spacing w:after="0" w:line="276" w:lineRule="auto"/>
        <w:jc w:val="both"/>
        <w:rPr>
          <w:rFonts w:ascii="Sylfaen" w:hAnsi="Sylfaen"/>
          <w:b/>
          <w:bCs/>
          <w:sz w:val="24"/>
          <w:szCs w:val="24"/>
        </w:rPr>
      </w:pPr>
      <w:r w:rsidRPr="00027CEB">
        <w:rPr>
          <w:rFonts w:ascii="Sylfaen" w:hAnsi="Sylfaen"/>
          <w:b/>
          <w:bCs/>
          <w:sz w:val="24"/>
          <w:szCs w:val="24"/>
        </w:rPr>
        <w:t>თირკმლის ფუნქცია</w:t>
      </w:r>
    </w:p>
    <w:p w14:paraId="55663C63" w14:textId="34112F54" w:rsidR="007C3CF9" w:rsidRPr="00027CEB" w:rsidRDefault="007C3CF9" w:rsidP="002C1045">
      <w:pPr>
        <w:spacing w:after="0" w:line="276" w:lineRule="auto"/>
        <w:jc w:val="both"/>
        <w:rPr>
          <w:rFonts w:ascii="Sylfaen" w:hAnsi="Sylfaen"/>
          <w:sz w:val="24"/>
          <w:szCs w:val="24"/>
        </w:rPr>
      </w:pPr>
      <w:r w:rsidRPr="00027CEB">
        <w:rPr>
          <w:rFonts w:ascii="Sylfaen" w:hAnsi="Sylfaen"/>
          <w:sz w:val="24"/>
          <w:szCs w:val="24"/>
        </w:rPr>
        <w:t>მკურნალობის დაწყებამდე და შემდეგ რეგულარულად უნდა შეფასდეს გორგლოვანი ფილტრაციის სიჩქარე (GFR), იხილეთ თავი 4.2.</w:t>
      </w:r>
    </w:p>
    <w:p w14:paraId="07FE2429" w14:textId="7502A1B1" w:rsidR="007C3CF9" w:rsidRPr="00027CEB" w:rsidRDefault="007C3CF9" w:rsidP="002C1045">
      <w:pPr>
        <w:spacing w:after="0" w:line="276" w:lineRule="auto"/>
        <w:jc w:val="both"/>
        <w:rPr>
          <w:rFonts w:ascii="Sylfaen" w:hAnsi="Sylfaen"/>
          <w:sz w:val="24"/>
          <w:szCs w:val="24"/>
        </w:rPr>
      </w:pPr>
      <w:r w:rsidRPr="00027CEB">
        <w:rPr>
          <w:rFonts w:ascii="Sylfaen" w:hAnsi="Sylfaen"/>
          <w:sz w:val="24"/>
          <w:szCs w:val="24"/>
        </w:rPr>
        <w:t>მეტფორმინი უკუნაჩვენებია პაციენტებში, რომელთა გორგლოვანი ფილტრაციის სიჩქარე &lt;30 მლ/წთ-ია და თირკმლის ფუნქციის დამრღვევი მდგომარეობების არსებობისას მისი მიღება დროებით უნდა შეწყდეს, იხილეთ თავი 4.3.</w:t>
      </w:r>
    </w:p>
    <w:p w14:paraId="5A0BAA94" w14:textId="77777777" w:rsidR="007C3CF9" w:rsidRPr="00027CEB" w:rsidRDefault="007C3CF9" w:rsidP="002C1045">
      <w:pPr>
        <w:spacing w:after="0" w:line="276" w:lineRule="auto"/>
        <w:jc w:val="both"/>
        <w:rPr>
          <w:rFonts w:ascii="Sylfaen" w:hAnsi="Sylfaen"/>
          <w:b/>
          <w:bCs/>
          <w:sz w:val="24"/>
          <w:szCs w:val="24"/>
        </w:rPr>
      </w:pPr>
      <w:r w:rsidRPr="00027CEB">
        <w:rPr>
          <w:rFonts w:ascii="Sylfaen" w:hAnsi="Sylfaen"/>
          <w:b/>
          <w:bCs/>
          <w:sz w:val="24"/>
          <w:szCs w:val="24"/>
        </w:rPr>
        <w:t>გულის ფუნქცია</w:t>
      </w:r>
    </w:p>
    <w:p w14:paraId="0C9BC650" w14:textId="77777777" w:rsidR="007C3CF9" w:rsidRPr="00027CEB" w:rsidRDefault="007C3CF9" w:rsidP="002C1045">
      <w:pPr>
        <w:spacing w:after="0" w:line="276" w:lineRule="auto"/>
        <w:jc w:val="both"/>
        <w:rPr>
          <w:rFonts w:ascii="Sylfaen" w:hAnsi="Sylfaen"/>
          <w:sz w:val="24"/>
          <w:szCs w:val="24"/>
        </w:rPr>
      </w:pPr>
      <w:r w:rsidRPr="00027CEB">
        <w:rPr>
          <w:rFonts w:ascii="Sylfaen" w:hAnsi="Sylfaen"/>
          <w:sz w:val="24"/>
          <w:szCs w:val="24"/>
        </w:rPr>
        <w:t>გულის უკმარისობის მქონე პაციენტებს ჰიპოქსიისა და თირკმლის უკმარისობის უფრო მაღალი რისკი აქვთ. სტაბილური ქრონიკული გულის უკმარისობის მქონე პაციენტებში მეტფორმინის გამოყენება შესაძლებელია გულისა და თირკმლის ფუნქციის რეგულარული მონიტორინგით.</w:t>
      </w:r>
    </w:p>
    <w:p w14:paraId="0101F798" w14:textId="2FD9539B" w:rsidR="007C3CF9" w:rsidRPr="00027CEB" w:rsidRDefault="007C3CF9" w:rsidP="002C1045">
      <w:pPr>
        <w:spacing w:after="0" w:line="276" w:lineRule="auto"/>
        <w:jc w:val="both"/>
        <w:rPr>
          <w:rFonts w:ascii="Sylfaen" w:hAnsi="Sylfaen"/>
          <w:b/>
          <w:bCs/>
          <w:sz w:val="24"/>
          <w:szCs w:val="24"/>
        </w:rPr>
      </w:pPr>
      <w:r w:rsidRPr="00027CEB">
        <w:rPr>
          <w:rFonts w:ascii="Sylfaen" w:hAnsi="Sylfaen"/>
          <w:sz w:val="24"/>
          <w:szCs w:val="24"/>
        </w:rPr>
        <w:t xml:space="preserve">მწვავე და არასტაბილური გულის უკმარისობის მქონე პაციენტებისთვის მეტფორმინი </w:t>
      </w:r>
      <w:r w:rsidRPr="00DD12F6">
        <w:rPr>
          <w:rFonts w:ascii="Sylfaen" w:hAnsi="Sylfaen"/>
          <w:sz w:val="24"/>
          <w:szCs w:val="24"/>
        </w:rPr>
        <w:t>უკუნაჩვენებია</w:t>
      </w:r>
      <w:r w:rsidRPr="00027CEB">
        <w:rPr>
          <w:rFonts w:ascii="Sylfaen" w:hAnsi="Sylfaen"/>
          <w:b/>
          <w:bCs/>
          <w:sz w:val="24"/>
          <w:szCs w:val="24"/>
        </w:rPr>
        <w:t xml:space="preserve"> (იხილეთ </w:t>
      </w:r>
      <w:r w:rsidR="00DB6269" w:rsidRPr="00027CEB">
        <w:rPr>
          <w:rFonts w:ascii="Sylfaen" w:hAnsi="Sylfaen"/>
          <w:b/>
          <w:bCs/>
          <w:sz w:val="24"/>
          <w:szCs w:val="24"/>
        </w:rPr>
        <w:t>თავი</w:t>
      </w:r>
      <w:r w:rsidRPr="00027CEB">
        <w:rPr>
          <w:rFonts w:ascii="Sylfaen" w:hAnsi="Sylfaen"/>
          <w:b/>
          <w:bCs/>
          <w:sz w:val="24"/>
          <w:szCs w:val="24"/>
        </w:rPr>
        <w:t xml:space="preserve"> 4.3).</w:t>
      </w:r>
    </w:p>
    <w:p w14:paraId="4FFEB3EB" w14:textId="02A8CD6E" w:rsidR="00DB6269" w:rsidRPr="00027CEB" w:rsidRDefault="00DB6269" w:rsidP="002C1045">
      <w:pPr>
        <w:spacing w:after="0" w:line="276" w:lineRule="auto"/>
        <w:jc w:val="both"/>
        <w:rPr>
          <w:rFonts w:ascii="Sylfaen" w:hAnsi="Sylfaen"/>
          <w:b/>
          <w:bCs/>
          <w:sz w:val="24"/>
          <w:szCs w:val="24"/>
        </w:rPr>
      </w:pPr>
      <w:r w:rsidRPr="00027CEB">
        <w:rPr>
          <w:rFonts w:ascii="Sylfaen" w:hAnsi="Sylfaen"/>
          <w:b/>
          <w:bCs/>
          <w:sz w:val="24"/>
          <w:szCs w:val="24"/>
        </w:rPr>
        <w:lastRenderedPageBreak/>
        <w:t>იოდიზირებული კონტრასტული საშუალებების შეყვანა</w:t>
      </w:r>
    </w:p>
    <w:p w14:paraId="794921A6" w14:textId="06B27E96" w:rsidR="00DB6269" w:rsidRPr="00027CEB" w:rsidRDefault="00DB6269" w:rsidP="002C1045">
      <w:pPr>
        <w:spacing w:after="0" w:line="276" w:lineRule="auto"/>
        <w:jc w:val="both"/>
        <w:rPr>
          <w:rFonts w:ascii="Sylfaen" w:hAnsi="Sylfaen"/>
          <w:sz w:val="24"/>
          <w:szCs w:val="24"/>
        </w:rPr>
      </w:pPr>
      <w:r w:rsidRPr="00027CEB">
        <w:rPr>
          <w:rFonts w:ascii="Sylfaen" w:hAnsi="Sylfaen"/>
          <w:sz w:val="24"/>
          <w:szCs w:val="24"/>
        </w:rPr>
        <w:t>იოდიზირებული კონტრასტული საშუალებების ინტრავასკულარულმა შეყვანამ შეიძლება გამოიწვიოს კონტრასტით გამოწვეული ნეფროპათია, რაც იწვევს მეტფორმინის დაგროვებას და ლაქტოაციდოზის განვითარების რისკის მომატებას.</w:t>
      </w:r>
    </w:p>
    <w:p w14:paraId="3F69414B" w14:textId="50990901" w:rsidR="00DB6269" w:rsidRPr="00027CEB" w:rsidRDefault="00DB6269" w:rsidP="002C1045">
      <w:pPr>
        <w:spacing w:after="0" w:line="276" w:lineRule="auto"/>
        <w:jc w:val="both"/>
        <w:rPr>
          <w:rFonts w:ascii="Sylfaen" w:hAnsi="Sylfaen"/>
          <w:b/>
          <w:bCs/>
          <w:sz w:val="24"/>
          <w:szCs w:val="24"/>
        </w:rPr>
      </w:pPr>
      <w:r w:rsidRPr="00027CEB">
        <w:rPr>
          <w:rFonts w:ascii="Sylfaen" w:hAnsi="Sylfaen"/>
          <w:sz w:val="24"/>
          <w:szCs w:val="24"/>
        </w:rPr>
        <w:t>მეტფორმინის მიღება უნდა შეწყდეს ვიზუალიზაციის პროცედურის დაწყებამდე ან ჩატარების დროს და არ უნდა განახლდეს მისი მიღებიდან სულ მცირე 48 საათის განმავლობაში, იმ პირობით, რომ თირკმლის ფუნქცია ხელახლა შეფასდება და დადასტურდება, რომ ის სტაბილურია, იხილეთ თავები 4.2 და 4.5.</w:t>
      </w:r>
    </w:p>
    <w:p w14:paraId="4AF8EEEA" w14:textId="77777777" w:rsidR="00DB6269" w:rsidRPr="00027CEB" w:rsidRDefault="00DB6269" w:rsidP="002C1045">
      <w:pPr>
        <w:spacing w:after="0" w:line="276" w:lineRule="auto"/>
        <w:jc w:val="both"/>
        <w:rPr>
          <w:rFonts w:ascii="Sylfaen" w:hAnsi="Sylfaen"/>
          <w:b/>
          <w:bCs/>
          <w:sz w:val="24"/>
          <w:szCs w:val="24"/>
        </w:rPr>
      </w:pPr>
      <w:r w:rsidRPr="00027CEB">
        <w:rPr>
          <w:rFonts w:ascii="Sylfaen" w:hAnsi="Sylfaen"/>
          <w:b/>
          <w:bCs/>
          <w:sz w:val="24"/>
          <w:szCs w:val="24"/>
        </w:rPr>
        <w:t>ქირურგიული ჩარევა</w:t>
      </w:r>
    </w:p>
    <w:p w14:paraId="3B2EAC0E" w14:textId="19FB3A31" w:rsidR="00DB6269" w:rsidRPr="00027CEB" w:rsidRDefault="00DB6269" w:rsidP="002C1045">
      <w:pPr>
        <w:spacing w:after="0" w:line="276" w:lineRule="auto"/>
        <w:jc w:val="both"/>
        <w:rPr>
          <w:rFonts w:ascii="Sylfaen" w:hAnsi="Sylfaen"/>
          <w:sz w:val="24"/>
          <w:szCs w:val="24"/>
        </w:rPr>
      </w:pPr>
      <w:r w:rsidRPr="00027CEB">
        <w:rPr>
          <w:rFonts w:ascii="Sylfaen" w:hAnsi="Sylfaen"/>
          <w:sz w:val="24"/>
          <w:szCs w:val="24"/>
        </w:rPr>
        <w:t>მეტფორმინის მიღება უნდა შეწყდეს ქირურგიული ჩარევისას ზოგადი, სპინალური ან ეპიდურული ანესთეზიის ქვეშ. თერაპიის განახლება შესაძლებელია ოპერაციიდან ან პერორალური კვების აღდგენიდან არაუადრეს 48 საათისა და იმ პირობით, რომ თირკმლის ფუნქცია ხელახლა შეფასდება და სტაბილურად ჩაითვლება.</w:t>
      </w:r>
    </w:p>
    <w:p w14:paraId="59E79AF9" w14:textId="77777777" w:rsidR="00DB6269" w:rsidRPr="00027CEB" w:rsidRDefault="00DB6269" w:rsidP="002C1045">
      <w:pPr>
        <w:spacing w:after="0" w:line="276" w:lineRule="auto"/>
        <w:jc w:val="both"/>
        <w:rPr>
          <w:rFonts w:ascii="Sylfaen" w:hAnsi="Sylfaen"/>
          <w:b/>
          <w:bCs/>
          <w:sz w:val="24"/>
          <w:szCs w:val="24"/>
        </w:rPr>
      </w:pPr>
      <w:r w:rsidRPr="00027CEB">
        <w:rPr>
          <w:rFonts w:ascii="Sylfaen" w:hAnsi="Sylfaen"/>
          <w:b/>
          <w:bCs/>
          <w:sz w:val="24"/>
          <w:szCs w:val="24"/>
        </w:rPr>
        <w:t>პედიატრიული პოპულაცია</w:t>
      </w:r>
    </w:p>
    <w:p w14:paraId="253135D9" w14:textId="69D5F927" w:rsidR="00DB6269" w:rsidRPr="00027CEB" w:rsidRDefault="00DB6269" w:rsidP="002C1045">
      <w:pPr>
        <w:spacing w:after="0" w:line="276" w:lineRule="auto"/>
        <w:jc w:val="both"/>
        <w:rPr>
          <w:rFonts w:ascii="Sylfaen" w:hAnsi="Sylfaen"/>
          <w:sz w:val="24"/>
          <w:szCs w:val="24"/>
        </w:rPr>
      </w:pPr>
      <w:r w:rsidRPr="00027CEB">
        <w:rPr>
          <w:rFonts w:ascii="Sylfaen" w:hAnsi="Sylfaen"/>
          <w:sz w:val="24"/>
          <w:szCs w:val="24"/>
        </w:rPr>
        <w:t>მეტფორმინით მკურნალობის დაწყებამდე უნდა დადასტურდეს ტიპი 2 შაქრიანი დიაბეტის დიაგნოზი.</w:t>
      </w:r>
    </w:p>
    <w:p w14:paraId="6BEB952E" w14:textId="77777777" w:rsidR="00DB6269" w:rsidRPr="00027CEB" w:rsidRDefault="00DB6269" w:rsidP="002C1045">
      <w:pPr>
        <w:spacing w:after="0" w:line="276" w:lineRule="auto"/>
        <w:jc w:val="both"/>
        <w:rPr>
          <w:rFonts w:ascii="Sylfaen" w:hAnsi="Sylfaen"/>
          <w:sz w:val="24"/>
          <w:szCs w:val="24"/>
        </w:rPr>
      </w:pPr>
      <w:r w:rsidRPr="00027CEB">
        <w:rPr>
          <w:rFonts w:ascii="Sylfaen" w:hAnsi="Sylfaen"/>
          <w:sz w:val="24"/>
          <w:szCs w:val="24"/>
        </w:rPr>
        <w:t>ერთწლიანი კონტროლირებადი კლინიკური კვლევების დროს მეტფორმინის გავლენა ზრდასა და სქესობრივი მომწიფებაზე არ დაფიქსირებულა, თუმცა ამ კონკრეტულ საკითხებთან დაკავშირებით გრძელვადიანი მონაცემები არ არსებობს.</w:t>
      </w:r>
    </w:p>
    <w:p w14:paraId="55F42093" w14:textId="50C44F2B" w:rsidR="00DB6269" w:rsidRPr="00027CEB" w:rsidRDefault="00DB6269" w:rsidP="002C1045">
      <w:pPr>
        <w:spacing w:after="0" w:line="276" w:lineRule="auto"/>
        <w:jc w:val="both"/>
        <w:rPr>
          <w:rFonts w:ascii="Sylfaen" w:hAnsi="Sylfaen"/>
          <w:sz w:val="24"/>
          <w:szCs w:val="24"/>
        </w:rPr>
      </w:pPr>
      <w:r w:rsidRPr="00027CEB">
        <w:rPr>
          <w:rFonts w:ascii="Sylfaen" w:hAnsi="Sylfaen"/>
          <w:sz w:val="24"/>
          <w:szCs w:val="24"/>
        </w:rPr>
        <w:t>ამიტომ, რეკომენდებულია მეტფორმინით ნამკურნალებ ბავშვებში, განსაკუთრებით პუბერტატამდელ ბავშვებში, ამ პარამეტრებზე მეტფორმინის ზემოქმედების ფრთხილად მონიტორინგი.</w:t>
      </w:r>
    </w:p>
    <w:p w14:paraId="7DE8CD17" w14:textId="77777777" w:rsidR="00DB6269" w:rsidRPr="00027CEB" w:rsidRDefault="00DB6269" w:rsidP="002C1045">
      <w:pPr>
        <w:spacing w:after="0" w:line="276" w:lineRule="auto"/>
        <w:jc w:val="both"/>
        <w:rPr>
          <w:rFonts w:ascii="Sylfaen" w:hAnsi="Sylfaen"/>
          <w:b/>
          <w:bCs/>
          <w:sz w:val="24"/>
          <w:szCs w:val="24"/>
        </w:rPr>
      </w:pPr>
      <w:r w:rsidRPr="00027CEB">
        <w:rPr>
          <w:rFonts w:ascii="Sylfaen" w:hAnsi="Sylfaen"/>
          <w:b/>
          <w:bCs/>
          <w:sz w:val="24"/>
          <w:szCs w:val="24"/>
        </w:rPr>
        <w:t>10-დან 12 წლამდე ასაკის ბავშვები</w:t>
      </w:r>
    </w:p>
    <w:p w14:paraId="161E0415" w14:textId="763AAB8F" w:rsidR="00DB6269" w:rsidRPr="00027CEB" w:rsidRDefault="00DB6269" w:rsidP="002C1045">
      <w:pPr>
        <w:spacing w:after="0" w:line="276" w:lineRule="auto"/>
        <w:jc w:val="both"/>
        <w:rPr>
          <w:rFonts w:ascii="Sylfaen" w:hAnsi="Sylfaen"/>
          <w:sz w:val="24"/>
          <w:szCs w:val="24"/>
        </w:rPr>
      </w:pPr>
      <w:r w:rsidRPr="00027CEB">
        <w:rPr>
          <w:rFonts w:ascii="Sylfaen" w:hAnsi="Sylfaen"/>
          <w:sz w:val="24"/>
          <w:szCs w:val="24"/>
        </w:rPr>
        <w:t>ბავშვებსა და მოზარდებში ჩატარებულ კონტროლირებად კლინიკურ კვლევებში 10-დან 12 წლამდე ასაკის მხოლოდ 15 სუბიექტი მონაწილეობდა. მიუხედავად იმისა, რომ მეტფორმინის ეფექტურობა და უსაფრთხოება ამ ბავშვებში არ განსხვავდებოდა უფროსი ასაკის ბავშვებისა და მოზარდების ეფექტურობისა და უსაფრთხოებისგან, განსაკუთრებული სიფრთხილეა რეკომენდებული 10-დან 12 წლამდე ასაკის ბავშვებისთვის დანიშვნისას.</w:t>
      </w:r>
    </w:p>
    <w:p w14:paraId="43D477DF" w14:textId="6E29777F" w:rsidR="00DB6269" w:rsidRPr="00027CEB" w:rsidRDefault="00DB6269" w:rsidP="002C1045">
      <w:pPr>
        <w:spacing w:after="0" w:line="276" w:lineRule="auto"/>
        <w:jc w:val="both"/>
        <w:rPr>
          <w:rFonts w:ascii="Sylfaen" w:hAnsi="Sylfaen"/>
          <w:b/>
          <w:bCs/>
          <w:sz w:val="24"/>
          <w:szCs w:val="24"/>
        </w:rPr>
      </w:pPr>
      <w:r w:rsidRPr="00027CEB">
        <w:rPr>
          <w:rFonts w:ascii="Sylfaen" w:hAnsi="Sylfaen"/>
          <w:b/>
          <w:bCs/>
          <w:sz w:val="24"/>
          <w:szCs w:val="24"/>
        </w:rPr>
        <w:t>სხვა სიფრთხილის ზომები</w:t>
      </w:r>
    </w:p>
    <w:p w14:paraId="52BF7170" w14:textId="1BD504B3" w:rsidR="00DB6269" w:rsidRPr="00027CEB" w:rsidRDefault="00DB6269" w:rsidP="002C1045">
      <w:pPr>
        <w:spacing w:after="0" w:line="276" w:lineRule="auto"/>
        <w:jc w:val="both"/>
        <w:rPr>
          <w:rFonts w:ascii="Sylfaen" w:hAnsi="Sylfaen"/>
          <w:sz w:val="24"/>
          <w:szCs w:val="24"/>
        </w:rPr>
      </w:pPr>
      <w:r w:rsidRPr="00027CEB">
        <w:rPr>
          <w:rFonts w:ascii="Sylfaen" w:hAnsi="Sylfaen"/>
          <w:sz w:val="24"/>
          <w:szCs w:val="24"/>
        </w:rPr>
        <w:t>ყველა პაციენტმა უნდა გააგრძელოს დღის განმავლობაში თანაბრად გადანაწილებული ნახშირწყლების დიეტის დაცვა. ჭარბწონიანმა პაციენტებმა უნდა გააგრძელონ კალორიების შეზღუდვის დიეტა. დიაბეტის მონიტორინგის რუტინული ლაბორატორიული ტესტები რეგულარულად უნდა ჩატარდეს.</w:t>
      </w:r>
    </w:p>
    <w:p w14:paraId="39DB0A0B" w14:textId="41CB0831" w:rsidR="00DB6269" w:rsidRPr="00027CEB" w:rsidRDefault="00DB6269" w:rsidP="002C1045">
      <w:pPr>
        <w:spacing w:after="0" w:line="276" w:lineRule="auto"/>
        <w:jc w:val="both"/>
        <w:rPr>
          <w:rFonts w:ascii="Sylfaen" w:hAnsi="Sylfaen"/>
          <w:sz w:val="24"/>
          <w:szCs w:val="24"/>
        </w:rPr>
      </w:pPr>
      <w:r w:rsidRPr="00027CEB">
        <w:rPr>
          <w:rFonts w:ascii="Sylfaen" w:hAnsi="Sylfaen"/>
          <w:sz w:val="24"/>
          <w:szCs w:val="24"/>
        </w:rPr>
        <w:t xml:space="preserve">მეტფორმინმა შეიძლება შეამციროს შრატში ვიტამინი B12-ის დონე. ვიტამინი B12-ის დაბალი დონის რისკი იზრდება მეტფორმინის დოზის გაზრდით, მკურნალობის ხანგრძლივობით და/ან პაციენტებში, რომლებსაც აქვთ რისკ-ფაქტორები, რომლებიც იწვევენ ვიტამინი B12-ის დეფიციტს. თუ არსებობს ეჭვი ვიტამინი B12-ის დეფიციტზე </w:t>
      </w:r>
      <w:r w:rsidRPr="00027CEB">
        <w:rPr>
          <w:rFonts w:ascii="Sylfaen" w:hAnsi="Sylfaen"/>
          <w:sz w:val="24"/>
          <w:szCs w:val="24"/>
        </w:rPr>
        <w:lastRenderedPageBreak/>
        <w:t>(მაგ., ანემია ან ნეიროპათია), უნდა მოხდეს სისხლის შრატში ვიტამინი B12-ის დონის მონიტორინგი. ვიტამინი B12-ის დეფიციტის რისკ-ფაქტორების მქონე პაციენტებში შეიძლება საჭირო გახდეს ვიტამინი B12-ის დონის პერიოდული მონიტორინგი. მეტფორმინით თერაპია უნდა გაგრძელდეს მანამ, სანამ ის კარგად აიტანება და არ არის უკუჩვენებული, და ვიტამინი B12-ის დეფიციტის შესაბამისი კორექტირებული მკურნალობა უნდა ჩატარდეს მოქმედი კლინიკური რეკომენდაციების შესაბამისად. მეტფორმინის მიღება შეიძლება გაგრძელდეს მანამ, სანამ ის კარგად აიტანება და არ არის უკუჩვენებული, და ვიტამინი B12-ის დეფიციტის შესაბამისი კორექტირებული მკურნალობა უნდა ჩატარდეს მოქმედი კლინიკური რეკომენდაციების შესაბამისად.</w:t>
      </w:r>
    </w:p>
    <w:p w14:paraId="47DA43A3" w14:textId="250607F5" w:rsidR="00DB6269" w:rsidRPr="00027CEB" w:rsidRDefault="00DB6269" w:rsidP="002C1045">
      <w:pPr>
        <w:spacing w:after="0" w:line="276" w:lineRule="auto"/>
        <w:jc w:val="both"/>
        <w:rPr>
          <w:rFonts w:ascii="Sylfaen" w:hAnsi="Sylfaen"/>
          <w:sz w:val="24"/>
          <w:szCs w:val="24"/>
        </w:rPr>
      </w:pPr>
      <w:r w:rsidRPr="00027CEB">
        <w:rPr>
          <w:rFonts w:ascii="Sylfaen" w:hAnsi="Sylfaen"/>
          <w:sz w:val="24"/>
          <w:szCs w:val="24"/>
        </w:rPr>
        <w:t>მეტფორმინი თავისთავად არ იწვევს ჰიპოგლიკემიას, თუმცა სიფრთხილეა საჭირო ინსულინთან ან სხვა პერორალურ ანტიდიაბეტურ საშუალებებთან (მაგ., სულფონილშარდოვანას ან მეგლიტინიდებთან) ერთად გამოყენებისას.</w:t>
      </w:r>
    </w:p>
    <w:p w14:paraId="604EDDCD" w14:textId="77777777" w:rsidR="00DB6269" w:rsidRPr="00027CEB" w:rsidRDefault="00DB6269" w:rsidP="002C1045">
      <w:pPr>
        <w:spacing w:after="0" w:line="276" w:lineRule="auto"/>
        <w:jc w:val="both"/>
        <w:rPr>
          <w:rFonts w:ascii="Sylfaen" w:hAnsi="Sylfaen"/>
          <w:b/>
          <w:bCs/>
          <w:sz w:val="24"/>
          <w:szCs w:val="24"/>
        </w:rPr>
      </w:pPr>
      <w:r w:rsidRPr="00027CEB">
        <w:rPr>
          <w:rFonts w:ascii="Sylfaen" w:hAnsi="Sylfaen"/>
          <w:b/>
          <w:bCs/>
          <w:sz w:val="24"/>
          <w:szCs w:val="24"/>
        </w:rPr>
        <w:t>4.5 ურთიერთქმედება სხვა სამკურნალო საშუალებებთან და ურთიერთქმედების სხვა ფორმები</w:t>
      </w:r>
    </w:p>
    <w:p w14:paraId="736C18C5" w14:textId="2F875160" w:rsidR="00DB6269" w:rsidRPr="00027CEB" w:rsidRDefault="00DB6269" w:rsidP="002C1045">
      <w:pPr>
        <w:spacing w:after="0" w:line="276" w:lineRule="auto"/>
        <w:jc w:val="both"/>
        <w:rPr>
          <w:rFonts w:ascii="Sylfaen" w:hAnsi="Sylfaen"/>
          <w:b/>
          <w:bCs/>
          <w:sz w:val="24"/>
          <w:szCs w:val="24"/>
        </w:rPr>
      </w:pPr>
      <w:r w:rsidRPr="00027CEB">
        <w:rPr>
          <w:rFonts w:ascii="Sylfaen" w:hAnsi="Sylfaen"/>
          <w:b/>
          <w:bCs/>
          <w:sz w:val="24"/>
          <w:szCs w:val="24"/>
        </w:rPr>
        <w:t>ერთდროული გამოყენება რეკომენდებული არ არის</w:t>
      </w:r>
    </w:p>
    <w:p w14:paraId="7549AF2E" w14:textId="18815C7A" w:rsidR="00DB6269" w:rsidRPr="00027CEB" w:rsidRDefault="00DB6269" w:rsidP="002C1045">
      <w:pPr>
        <w:spacing w:after="0" w:line="276" w:lineRule="auto"/>
        <w:jc w:val="both"/>
        <w:rPr>
          <w:rFonts w:ascii="Sylfaen" w:hAnsi="Sylfaen"/>
          <w:i/>
          <w:iCs/>
          <w:sz w:val="24"/>
          <w:szCs w:val="24"/>
        </w:rPr>
      </w:pPr>
      <w:r w:rsidRPr="00027CEB">
        <w:rPr>
          <w:rFonts w:ascii="Sylfaen" w:hAnsi="Sylfaen"/>
          <w:i/>
          <w:iCs/>
          <w:sz w:val="24"/>
          <w:szCs w:val="24"/>
        </w:rPr>
        <w:t>ალკოჰოლი</w:t>
      </w:r>
    </w:p>
    <w:p w14:paraId="35C5639A" w14:textId="7F94E373" w:rsidR="00DB6269" w:rsidRPr="00027CEB" w:rsidRDefault="00DB6269" w:rsidP="002C1045">
      <w:pPr>
        <w:spacing w:after="0" w:line="276" w:lineRule="auto"/>
        <w:jc w:val="both"/>
        <w:rPr>
          <w:rFonts w:ascii="Sylfaen" w:hAnsi="Sylfaen"/>
          <w:sz w:val="24"/>
          <w:szCs w:val="24"/>
        </w:rPr>
      </w:pPr>
      <w:r w:rsidRPr="00027CEB">
        <w:rPr>
          <w:rFonts w:ascii="Sylfaen" w:hAnsi="Sylfaen"/>
          <w:sz w:val="24"/>
          <w:szCs w:val="24"/>
        </w:rPr>
        <w:t>ალკოჰოლური ინტოქსიკაცია დაკავშირებულია ლაქტოაციდოზის განვითარების გაზრდილ რისკთან, განსაკუთრებით შიმშილის, არასრულფასოვანი კვების ან ღვიძლის უკმარისობის შემთხვევაში.</w:t>
      </w:r>
    </w:p>
    <w:p w14:paraId="0DE6A400" w14:textId="77270C31" w:rsidR="00DB6269" w:rsidRPr="00027CEB" w:rsidRDefault="00DB6269" w:rsidP="002C1045">
      <w:pPr>
        <w:spacing w:after="0" w:line="276" w:lineRule="auto"/>
        <w:jc w:val="both"/>
        <w:rPr>
          <w:rFonts w:ascii="Sylfaen" w:hAnsi="Sylfaen"/>
          <w:i/>
          <w:iCs/>
          <w:sz w:val="24"/>
          <w:szCs w:val="24"/>
        </w:rPr>
      </w:pPr>
      <w:r w:rsidRPr="00027CEB">
        <w:rPr>
          <w:rFonts w:ascii="Sylfaen" w:hAnsi="Sylfaen"/>
          <w:i/>
          <w:iCs/>
          <w:sz w:val="24"/>
          <w:szCs w:val="24"/>
        </w:rPr>
        <w:t>იოდიზირებული კონტრასტული აგენტები</w:t>
      </w:r>
    </w:p>
    <w:p w14:paraId="300BBE32" w14:textId="60CB0CD1" w:rsidR="00DB6269" w:rsidRPr="00027CEB" w:rsidRDefault="00DB6269" w:rsidP="002C1045">
      <w:pPr>
        <w:spacing w:after="0" w:line="276" w:lineRule="auto"/>
        <w:jc w:val="both"/>
        <w:rPr>
          <w:rFonts w:ascii="Sylfaen" w:hAnsi="Sylfaen"/>
          <w:sz w:val="24"/>
          <w:szCs w:val="24"/>
        </w:rPr>
      </w:pPr>
      <w:r w:rsidRPr="00027CEB">
        <w:rPr>
          <w:rFonts w:ascii="Sylfaen" w:hAnsi="Sylfaen"/>
          <w:sz w:val="24"/>
          <w:szCs w:val="24"/>
        </w:rPr>
        <w:t>მეტფორმინის მიღება უნდა შეწყდეს ვიზუალიზაციის პროცედურის დაწყებამდე ან მის დროს და არ განახლდეს მისი მიღებიდან სულ მცირე 48 საათის შემდეგ, იმ პირობით, რომ თირკმლის ფუნქცია ხელახლა შეფასდა და სტაბილური აღმოჩნდება (იხილეთ თავები 4.2 და 4.4).</w:t>
      </w:r>
    </w:p>
    <w:p w14:paraId="7416EF25" w14:textId="77777777" w:rsidR="00DB6269" w:rsidRPr="00027CEB" w:rsidRDefault="00DB6269" w:rsidP="002C1045">
      <w:pPr>
        <w:spacing w:after="0" w:line="276" w:lineRule="auto"/>
        <w:jc w:val="both"/>
        <w:rPr>
          <w:rFonts w:ascii="Sylfaen" w:hAnsi="Sylfaen"/>
          <w:b/>
          <w:bCs/>
          <w:sz w:val="24"/>
          <w:szCs w:val="24"/>
        </w:rPr>
      </w:pPr>
      <w:r w:rsidRPr="00027CEB">
        <w:rPr>
          <w:rFonts w:ascii="Sylfaen" w:hAnsi="Sylfaen"/>
          <w:b/>
          <w:bCs/>
          <w:sz w:val="24"/>
          <w:szCs w:val="24"/>
        </w:rPr>
        <w:t>კომბინაციები, რომლებიც სიფრთხილის ზომებს მოითხოვს</w:t>
      </w:r>
    </w:p>
    <w:p w14:paraId="68B795A0" w14:textId="3205DCA6" w:rsidR="00DB6269" w:rsidRPr="00027CEB" w:rsidRDefault="00DB6269" w:rsidP="002C1045">
      <w:pPr>
        <w:spacing w:after="0" w:line="276" w:lineRule="auto"/>
        <w:jc w:val="both"/>
        <w:rPr>
          <w:rFonts w:ascii="Sylfaen" w:hAnsi="Sylfaen"/>
          <w:sz w:val="24"/>
          <w:szCs w:val="24"/>
        </w:rPr>
      </w:pPr>
      <w:r w:rsidRPr="00027CEB">
        <w:rPr>
          <w:rFonts w:ascii="Sylfaen" w:hAnsi="Sylfaen"/>
          <w:sz w:val="24"/>
          <w:szCs w:val="24"/>
        </w:rPr>
        <w:t>ზოგიერთმა სამკურნალო საშუალებამ შეიძლება უარყოფითად იმოქმედოს თირკმლის ფუნქციაზე, რამაც შეიძლება გაზარდოს რძემჟავა აციდოზის რისკი, მაგ. არასტეროიდული ანთების საწინააღმდეგო საშუალებები, მათ შორის სელექციური ციკლოოქსიგენაზას (COX) II ინჰიბიტორები, აგფ ინჰიბიტორები, ანგიოტენზინ II რეცეპტორების ანტაგონისტები და შარდმდენები, განსაკუთრებით მარყუჟოვანი შარდმდენები. ასეთი პროდუქტების მეტფორმინთან ერთად მიღების დაწყებისას ან გამოყენებისას აუცილებელია თირკმლის ფუნქციის მკაცრი მონიტორინგი.</w:t>
      </w:r>
    </w:p>
    <w:p w14:paraId="25EEAA91" w14:textId="733478AC" w:rsidR="002C1C31" w:rsidRPr="00027CEB" w:rsidRDefault="002C1C31" w:rsidP="002C1045">
      <w:pPr>
        <w:spacing w:after="0" w:line="276" w:lineRule="auto"/>
        <w:jc w:val="both"/>
        <w:rPr>
          <w:rFonts w:ascii="Sylfaen" w:hAnsi="Sylfaen"/>
          <w:sz w:val="24"/>
          <w:szCs w:val="24"/>
        </w:rPr>
      </w:pPr>
      <w:r w:rsidRPr="00027CEB">
        <w:rPr>
          <w:rFonts w:ascii="Sylfaen" w:hAnsi="Sylfaen"/>
          <w:sz w:val="24"/>
          <w:szCs w:val="24"/>
        </w:rPr>
        <w:t>მედიკამენტები, რომლებსაც აქვთ საკუთარი ჰიპერგლიკემიური აქტივობა (მაგალითად, გლუკოკორტიკოიდები (სისტემური და ადგილობრივი გამოყენებისთვის) და სიმპათომიმეტიკები).</w:t>
      </w:r>
    </w:p>
    <w:p w14:paraId="3F065CE4" w14:textId="36DE4B79" w:rsidR="002C1C31" w:rsidRPr="00027CEB" w:rsidRDefault="002C1C31" w:rsidP="002C1045">
      <w:pPr>
        <w:spacing w:after="0" w:line="276" w:lineRule="auto"/>
        <w:jc w:val="both"/>
        <w:rPr>
          <w:rFonts w:ascii="Sylfaen" w:hAnsi="Sylfaen"/>
          <w:sz w:val="24"/>
          <w:szCs w:val="24"/>
        </w:rPr>
      </w:pPr>
      <w:r w:rsidRPr="00027CEB">
        <w:rPr>
          <w:rFonts w:ascii="Sylfaen" w:hAnsi="Sylfaen"/>
          <w:sz w:val="24"/>
          <w:szCs w:val="24"/>
        </w:rPr>
        <w:t xml:space="preserve">შესაძლოა საჭირო გახდეს სისხლში გლუკოზის უფრო ხშირი მონიტორინგი, განსაკუთრებით მკურნალობის დასაწყისში. საჭიროების შემთხვევაში, მეტფორმინის </w:t>
      </w:r>
      <w:r w:rsidRPr="00027CEB">
        <w:rPr>
          <w:rFonts w:ascii="Sylfaen" w:hAnsi="Sylfaen"/>
          <w:sz w:val="24"/>
          <w:szCs w:val="24"/>
        </w:rPr>
        <w:lastRenderedPageBreak/>
        <w:t>დოზა უნდა დაკორექტირდეს შესაბამისი მედიკამენტით თერაპიის დროს და მისი შეწყვეტის შემდეგ.</w:t>
      </w:r>
    </w:p>
    <w:p w14:paraId="0902437E" w14:textId="412FFA0C" w:rsidR="002C1C31" w:rsidRPr="00027CEB" w:rsidRDefault="002C1C31" w:rsidP="002C1045">
      <w:pPr>
        <w:spacing w:after="0" w:line="276" w:lineRule="auto"/>
        <w:jc w:val="both"/>
        <w:rPr>
          <w:rFonts w:ascii="Sylfaen" w:hAnsi="Sylfaen"/>
          <w:i/>
          <w:iCs/>
          <w:sz w:val="24"/>
          <w:szCs w:val="24"/>
        </w:rPr>
      </w:pPr>
      <w:r w:rsidRPr="00027CEB">
        <w:rPr>
          <w:rFonts w:ascii="Sylfaen" w:hAnsi="Sylfaen"/>
          <w:i/>
          <w:iCs/>
          <w:sz w:val="24"/>
          <w:szCs w:val="24"/>
        </w:rPr>
        <w:t>ორგანული კათიონების ტრანსპორტიორები (OCT)</w:t>
      </w:r>
    </w:p>
    <w:p w14:paraId="68988502" w14:textId="327AD16F" w:rsidR="002C1C31" w:rsidRPr="00027CEB" w:rsidRDefault="002C1C31" w:rsidP="002C1045">
      <w:pPr>
        <w:spacing w:after="0" w:line="276" w:lineRule="auto"/>
        <w:jc w:val="both"/>
        <w:rPr>
          <w:rFonts w:ascii="Sylfaen" w:hAnsi="Sylfaen"/>
          <w:sz w:val="24"/>
          <w:szCs w:val="24"/>
        </w:rPr>
      </w:pPr>
      <w:r w:rsidRPr="00027CEB">
        <w:rPr>
          <w:rFonts w:ascii="Sylfaen" w:hAnsi="Sylfaen"/>
          <w:sz w:val="24"/>
          <w:szCs w:val="24"/>
        </w:rPr>
        <w:t>მეტფორმინი წარმოადგენს როგორც OCT1, ასევე OCT2 ტრანსპორტიორების სუბსტრატს.</w:t>
      </w:r>
    </w:p>
    <w:p w14:paraId="0DC9805C" w14:textId="5D68A280" w:rsidR="002C1C31" w:rsidRPr="00027CEB" w:rsidRDefault="002C1C31" w:rsidP="002C1045">
      <w:pPr>
        <w:spacing w:after="0" w:line="276" w:lineRule="auto"/>
        <w:jc w:val="both"/>
        <w:rPr>
          <w:rFonts w:ascii="Sylfaen" w:hAnsi="Sylfaen"/>
          <w:sz w:val="24"/>
          <w:szCs w:val="24"/>
        </w:rPr>
      </w:pPr>
      <w:r w:rsidRPr="00027CEB">
        <w:rPr>
          <w:rFonts w:ascii="Sylfaen" w:hAnsi="Sylfaen"/>
          <w:sz w:val="24"/>
          <w:szCs w:val="24"/>
        </w:rPr>
        <w:t>მეტფორმინის ერთდროული გამოყენება:</w:t>
      </w:r>
    </w:p>
    <w:p w14:paraId="79FA0911" w14:textId="6E9E35F9" w:rsidR="002C1C31" w:rsidRPr="00027CEB" w:rsidRDefault="002C1C31" w:rsidP="002C1045">
      <w:pPr>
        <w:spacing w:after="0" w:line="276" w:lineRule="auto"/>
        <w:jc w:val="both"/>
        <w:rPr>
          <w:rFonts w:ascii="Sylfaen" w:hAnsi="Sylfaen"/>
          <w:sz w:val="24"/>
          <w:szCs w:val="24"/>
        </w:rPr>
      </w:pPr>
      <w:r w:rsidRPr="00027CEB">
        <w:rPr>
          <w:rFonts w:ascii="Sylfaen" w:hAnsi="Sylfaen"/>
          <w:b/>
          <w:bCs/>
          <w:sz w:val="24"/>
          <w:szCs w:val="24"/>
        </w:rPr>
        <w:t xml:space="preserve">•  </w:t>
      </w:r>
      <w:r w:rsidRPr="00027CEB">
        <w:rPr>
          <w:rFonts w:ascii="Sylfaen" w:hAnsi="Sylfaen"/>
          <w:sz w:val="24"/>
          <w:szCs w:val="24"/>
        </w:rPr>
        <w:t>OCT1 ინჰიბიტორებთან (მაგ., ვერაპამილი) შეიძლება შეამციროს მეტფორმინის ეფექტურობა.</w:t>
      </w:r>
    </w:p>
    <w:p w14:paraId="52DE4F3A" w14:textId="122EF5AC" w:rsidR="002C1C31" w:rsidRPr="00027CEB" w:rsidRDefault="002C1C31" w:rsidP="002C1045">
      <w:pPr>
        <w:spacing w:after="0" w:line="276" w:lineRule="auto"/>
        <w:jc w:val="both"/>
        <w:rPr>
          <w:rFonts w:ascii="Sylfaen" w:hAnsi="Sylfaen"/>
          <w:sz w:val="24"/>
          <w:szCs w:val="24"/>
        </w:rPr>
      </w:pPr>
      <w:r w:rsidRPr="00027CEB">
        <w:rPr>
          <w:rFonts w:ascii="Sylfaen" w:hAnsi="Sylfaen"/>
          <w:b/>
          <w:bCs/>
          <w:sz w:val="24"/>
          <w:szCs w:val="24"/>
        </w:rPr>
        <w:t xml:space="preserve">• </w:t>
      </w:r>
      <w:r w:rsidRPr="00027CEB">
        <w:rPr>
          <w:rFonts w:ascii="Sylfaen" w:hAnsi="Sylfaen"/>
          <w:sz w:val="24"/>
          <w:szCs w:val="24"/>
        </w:rPr>
        <w:t>OCT1 ინდუქტორებმა (მაგ., რიფამპინი) შეიძლება გაზარდონ მეტფორმინის კუჭ-ნაწლავის შეწოვა და ეფექტურობა.</w:t>
      </w:r>
    </w:p>
    <w:p w14:paraId="476EF908" w14:textId="2E9393EA" w:rsidR="002C1C31" w:rsidRPr="00027CEB" w:rsidRDefault="002C1C31" w:rsidP="002C1045">
      <w:pPr>
        <w:spacing w:after="0" w:line="276" w:lineRule="auto"/>
        <w:jc w:val="both"/>
        <w:rPr>
          <w:rFonts w:ascii="Sylfaen" w:hAnsi="Sylfaen"/>
          <w:sz w:val="24"/>
          <w:szCs w:val="24"/>
        </w:rPr>
      </w:pPr>
      <w:r w:rsidRPr="00027CEB">
        <w:rPr>
          <w:rFonts w:ascii="Sylfaen" w:hAnsi="Sylfaen"/>
          <w:b/>
          <w:bCs/>
          <w:sz w:val="24"/>
          <w:szCs w:val="24"/>
        </w:rPr>
        <w:t xml:space="preserve">• </w:t>
      </w:r>
      <w:r w:rsidRPr="00027CEB">
        <w:rPr>
          <w:rFonts w:ascii="Sylfaen" w:hAnsi="Sylfaen"/>
          <w:sz w:val="24"/>
          <w:szCs w:val="24"/>
        </w:rPr>
        <w:t>OCT2 ინჰიბიტორებმა (მაგ., ციმეტიდინი, დოლუტეგრავირი, რანოლაზინი, ტრიმეტოპრიმი, ვანდეტანიბი, ისავუკონაზოლი) შეიძლება შეამცირონ მეტფორმინის თირკმლისმიერი ელიმინაცია და ამით გამოიწვიონ პლაზმური მეტფორმინის კონცენტრაციის მომატება.</w:t>
      </w:r>
    </w:p>
    <w:p w14:paraId="2CC16139" w14:textId="4689739D" w:rsidR="002C1C31" w:rsidRPr="00027CEB" w:rsidRDefault="002C1C31" w:rsidP="002C1045">
      <w:pPr>
        <w:spacing w:after="0" w:line="276" w:lineRule="auto"/>
        <w:jc w:val="both"/>
        <w:rPr>
          <w:rFonts w:ascii="Sylfaen" w:hAnsi="Sylfaen"/>
          <w:sz w:val="24"/>
          <w:szCs w:val="24"/>
        </w:rPr>
      </w:pPr>
      <w:r w:rsidRPr="00027CEB">
        <w:rPr>
          <w:rFonts w:ascii="Sylfaen" w:hAnsi="Sylfaen"/>
          <w:b/>
          <w:bCs/>
          <w:sz w:val="24"/>
          <w:szCs w:val="24"/>
        </w:rPr>
        <w:t>•</w:t>
      </w:r>
      <w:r w:rsidRPr="00027CEB">
        <w:rPr>
          <w:rFonts w:ascii="Sylfaen" w:hAnsi="Sylfaen"/>
          <w:sz w:val="24"/>
          <w:szCs w:val="24"/>
        </w:rPr>
        <w:t xml:space="preserve"> როგორც OCT1-ის, ასევე OCT2-ის ინჰიბიტორებმა (მაგ., კრიზოტინიბი, ოლაპარიბი) შეიძლება შეცვალონ მეტფორმინის ეფექტურობა და თირკმლისმიერი ელიმინაცია.</w:t>
      </w:r>
    </w:p>
    <w:p w14:paraId="22252614" w14:textId="73B4199F" w:rsidR="002C1C31" w:rsidRPr="00027CEB" w:rsidRDefault="002C1C31" w:rsidP="002C1045">
      <w:pPr>
        <w:spacing w:after="0" w:line="276" w:lineRule="auto"/>
        <w:jc w:val="both"/>
        <w:rPr>
          <w:rFonts w:ascii="Sylfaen" w:hAnsi="Sylfaen"/>
          <w:sz w:val="24"/>
          <w:szCs w:val="24"/>
        </w:rPr>
      </w:pPr>
      <w:r w:rsidRPr="00027CEB">
        <w:rPr>
          <w:rFonts w:ascii="Sylfaen" w:hAnsi="Sylfaen"/>
          <w:sz w:val="24"/>
          <w:szCs w:val="24"/>
        </w:rPr>
        <w:t>ამიტომ, სიფრთხილეა საჭირო, განსაკუთრებით თირკმლის უკმარისობის მქონე პაციენტებში, ამ პრეპარატების მეტფორმინთან ერთად მიღებისას, რადგან შესაძლოა გაიზარდოს მეტფორმინის პლაზმური კონცენტრაცია. საჭიროების შემთხვევაში, შეიძლება განიხილებოდეს მეტფორმინის დოზის კორექტირება, რადგან OCT ინჰიბიტორებმა/ინდუქტორებმა შეიძლება შეცვალონ მეტფორმინის ეფექტურობა.</w:t>
      </w:r>
    </w:p>
    <w:p w14:paraId="5F47E969" w14:textId="76D8B470" w:rsidR="002C1C31" w:rsidRPr="00027CEB" w:rsidRDefault="002C1C31" w:rsidP="002C1045">
      <w:pPr>
        <w:spacing w:after="0" w:line="276" w:lineRule="auto"/>
        <w:jc w:val="both"/>
        <w:rPr>
          <w:rFonts w:ascii="Sylfaen" w:hAnsi="Sylfaen"/>
          <w:b/>
          <w:bCs/>
          <w:sz w:val="24"/>
          <w:szCs w:val="24"/>
        </w:rPr>
      </w:pPr>
      <w:r w:rsidRPr="00027CEB">
        <w:rPr>
          <w:rFonts w:ascii="Sylfaen" w:hAnsi="Sylfaen"/>
          <w:b/>
          <w:bCs/>
          <w:sz w:val="24"/>
          <w:szCs w:val="24"/>
        </w:rPr>
        <w:t>4.6. ფერტილობა, ორსულობა და ლაქტაცია</w:t>
      </w:r>
    </w:p>
    <w:p w14:paraId="728F1CB4" w14:textId="1A876C31" w:rsidR="002C1C31" w:rsidRPr="00027CEB" w:rsidRDefault="002C1C31" w:rsidP="002C1045">
      <w:pPr>
        <w:spacing w:after="0" w:line="276" w:lineRule="auto"/>
        <w:jc w:val="both"/>
        <w:rPr>
          <w:rFonts w:ascii="Sylfaen" w:hAnsi="Sylfaen"/>
          <w:b/>
          <w:bCs/>
          <w:sz w:val="24"/>
          <w:szCs w:val="24"/>
        </w:rPr>
      </w:pPr>
      <w:r w:rsidRPr="00027CEB">
        <w:rPr>
          <w:rFonts w:ascii="Sylfaen" w:hAnsi="Sylfaen"/>
          <w:b/>
          <w:bCs/>
          <w:sz w:val="24"/>
          <w:szCs w:val="24"/>
        </w:rPr>
        <w:t>ორსულობა</w:t>
      </w:r>
    </w:p>
    <w:p w14:paraId="354FF6F6" w14:textId="77777777" w:rsidR="002C1C31" w:rsidRPr="00027CEB" w:rsidRDefault="002C1C31" w:rsidP="002C1045">
      <w:pPr>
        <w:spacing w:after="0" w:line="276" w:lineRule="auto"/>
        <w:jc w:val="both"/>
        <w:rPr>
          <w:rFonts w:ascii="Sylfaen" w:hAnsi="Sylfaen"/>
          <w:sz w:val="24"/>
          <w:szCs w:val="24"/>
        </w:rPr>
      </w:pPr>
      <w:r w:rsidRPr="00027CEB">
        <w:rPr>
          <w:rFonts w:ascii="Sylfaen" w:hAnsi="Sylfaen"/>
          <w:sz w:val="24"/>
          <w:szCs w:val="24"/>
        </w:rPr>
        <w:t>პერიკონცეფციურ პერიოდში და ორსულობის დროს არაკონტროლირებადი ჰიპერგლიკემია ასოცირდება თანდაყოლილი ანომალიების, ორსულობის შეწყვეტის, ორსულობით ინდუცირებული ჰიპერტენზიის, პრეეკლამფსიისა და პერინატალური სიკვდილიანობის მომატებულ რისკთან. დედისა და ბავშვისთვის ჰიპერგლიკემიასთან დაკავშირებული არასასურველი გამოსავლების რისკის შესამცირებლად მნიშვნელოვანია, ორსულობის მთელი პერიოდის განმავლობაში სისხლში გლუკოზის დონე შენარჩუნდეს ნორმასთან მაქსიმალურად მიახლოებულ ფარგლებში.</w:t>
      </w:r>
    </w:p>
    <w:p w14:paraId="57C21AC0" w14:textId="77777777" w:rsidR="002C1C31" w:rsidRPr="00027CEB" w:rsidRDefault="002C1C31" w:rsidP="002C1045">
      <w:pPr>
        <w:spacing w:after="0" w:line="276" w:lineRule="auto"/>
        <w:jc w:val="both"/>
        <w:rPr>
          <w:rFonts w:ascii="Sylfaen" w:hAnsi="Sylfaen"/>
          <w:sz w:val="24"/>
          <w:szCs w:val="24"/>
        </w:rPr>
      </w:pPr>
      <w:r w:rsidRPr="00027CEB">
        <w:rPr>
          <w:rFonts w:ascii="Sylfaen" w:hAnsi="Sylfaen"/>
          <w:sz w:val="24"/>
          <w:szCs w:val="24"/>
        </w:rPr>
        <w:t>მეტფორმინი გადის პლაცენტურ ბარიერს და ნაყოფის ორგანიზმში მისი კონცენტრაცია შეიძლება იყოს დედის ორგანიზმში არსებულ კონცენტრაციასთან გათანაბრებული ან მასთან მიახლოებული.</w:t>
      </w:r>
    </w:p>
    <w:p w14:paraId="4C891A5B" w14:textId="77777777" w:rsidR="002C1C31" w:rsidRPr="00027CEB" w:rsidRDefault="002C1C31" w:rsidP="002C1045">
      <w:pPr>
        <w:spacing w:after="0" w:line="276" w:lineRule="auto"/>
        <w:jc w:val="both"/>
        <w:rPr>
          <w:rFonts w:ascii="Sylfaen" w:hAnsi="Sylfaen"/>
          <w:sz w:val="24"/>
          <w:szCs w:val="24"/>
        </w:rPr>
      </w:pPr>
      <w:r w:rsidRPr="00027CEB">
        <w:rPr>
          <w:rFonts w:ascii="Sylfaen" w:hAnsi="Sylfaen"/>
          <w:sz w:val="24"/>
          <w:szCs w:val="24"/>
        </w:rPr>
        <w:t xml:space="preserve">ორსულ ქალებში არსებული ფართო მოცულობის მონაცემები (1000-ზე მეტი ექსპოზიციის შედეგი), რომლებიც მიღებულია რეესტრზე დაფუძნებული კოჰორტული კვლევისა და გამოქვეყნებული მონაცემებიდან (მეტაანალიზები, კლინიკური კვლევები და რეესტრები), მიუთითებს, რომ პერიკონცეფციურ პერიოდში და/ან ორსულობის </w:t>
      </w:r>
      <w:r w:rsidRPr="00027CEB">
        <w:rPr>
          <w:rFonts w:ascii="Sylfaen" w:hAnsi="Sylfaen"/>
          <w:sz w:val="24"/>
          <w:szCs w:val="24"/>
        </w:rPr>
        <w:lastRenderedPageBreak/>
        <w:t>დროს მეტფორმინის ექსპოზიცია არ უკავშირდება თანდაყოლილი ანომალიების ან ნაყოფისა და ახალშობილის მიმართ ტოქსიკური ზემოქმედების გაზრდილ რისკს.</w:t>
      </w:r>
    </w:p>
    <w:p w14:paraId="42C4F065" w14:textId="77777777" w:rsidR="002C1C31" w:rsidRPr="00027CEB" w:rsidRDefault="002C1C31" w:rsidP="002C1045">
      <w:pPr>
        <w:spacing w:after="0" w:line="276" w:lineRule="auto"/>
        <w:jc w:val="both"/>
        <w:rPr>
          <w:rFonts w:ascii="Sylfaen" w:hAnsi="Sylfaen"/>
          <w:sz w:val="24"/>
          <w:szCs w:val="24"/>
        </w:rPr>
      </w:pPr>
      <w:r w:rsidRPr="00027CEB">
        <w:rPr>
          <w:rFonts w:ascii="Sylfaen" w:hAnsi="Sylfaen"/>
          <w:sz w:val="24"/>
          <w:szCs w:val="24"/>
        </w:rPr>
        <w:t>არსებობს შეზღუდული და არაერთმნიშვნელოვანი მტკიცებულებები საშვილოსნოსშიდა პერიოდში მეტფორმინის ექსპოზიციის გავლენის შესახებ ბავშვების სხეულის მასის გრძელვადიან მაჩვენებლებზე. მეტფორმინი, როგორც ჩანს, არ ახდენს გავლენას ორსულობის პერიოდში ექსპოზირებული ბავშვების მოტორულ და სოციალურ განვითარებაზე 4 წლის ასაკამდე, თუმცა გრძელვადიანი შედეგების შესახებ მონაცემები შეზღუდულია.</w:t>
      </w:r>
    </w:p>
    <w:p w14:paraId="18473CA5" w14:textId="77777777" w:rsidR="002C1C31" w:rsidRPr="00027CEB" w:rsidRDefault="002C1C31" w:rsidP="002C1045">
      <w:pPr>
        <w:spacing w:after="0" w:line="276" w:lineRule="auto"/>
        <w:jc w:val="both"/>
        <w:rPr>
          <w:rFonts w:ascii="Sylfaen" w:hAnsi="Sylfaen"/>
          <w:sz w:val="24"/>
          <w:szCs w:val="24"/>
        </w:rPr>
      </w:pPr>
      <w:r w:rsidRPr="00027CEB">
        <w:rPr>
          <w:rFonts w:ascii="Sylfaen" w:hAnsi="Sylfaen"/>
          <w:sz w:val="24"/>
          <w:szCs w:val="24"/>
        </w:rPr>
        <w:t>კლინიკური საჭიროების შემთხვევაში, მეტფორმინის გამოყენება შესაძლებელია განხილულ იქნეს პერიკონცეფციურ პერიოდში და ორსულობის დროს, როგორც ინსულინთან დამატებით ან მის ალტერნატიულ თერაპიად.</w:t>
      </w:r>
    </w:p>
    <w:p w14:paraId="584E664C" w14:textId="4FA28927" w:rsidR="002C1C31" w:rsidRPr="00027CEB" w:rsidRDefault="002C1C31" w:rsidP="002C1045">
      <w:pPr>
        <w:spacing w:after="0" w:line="276" w:lineRule="auto"/>
        <w:jc w:val="both"/>
        <w:rPr>
          <w:rFonts w:ascii="Sylfaen" w:hAnsi="Sylfaen"/>
          <w:b/>
          <w:bCs/>
          <w:sz w:val="24"/>
          <w:szCs w:val="24"/>
        </w:rPr>
      </w:pPr>
      <w:r w:rsidRPr="00027CEB">
        <w:rPr>
          <w:rFonts w:ascii="Sylfaen" w:hAnsi="Sylfaen"/>
          <w:b/>
          <w:bCs/>
          <w:sz w:val="24"/>
          <w:szCs w:val="24"/>
        </w:rPr>
        <w:t>ლაქტაცია</w:t>
      </w:r>
    </w:p>
    <w:p w14:paraId="1C271241" w14:textId="77777777" w:rsidR="002C1C31" w:rsidRPr="00027CEB" w:rsidRDefault="002C1C31" w:rsidP="002C1045">
      <w:pPr>
        <w:spacing w:after="0" w:line="276" w:lineRule="auto"/>
        <w:jc w:val="both"/>
        <w:rPr>
          <w:rFonts w:ascii="Sylfaen" w:hAnsi="Sylfaen"/>
          <w:sz w:val="24"/>
          <w:szCs w:val="24"/>
        </w:rPr>
      </w:pPr>
      <w:r w:rsidRPr="00027CEB">
        <w:rPr>
          <w:rFonts w:ascii="Sylfaen" w:hAnsi="Sylfaen"/>
          <w:sz w:val="24"/>
          <w:szCs w:val="24"/>
        </w:rPr>
        <w:t>მეტფორმინი გამოიყოფა ადამიანის დედის რძეში. ძუძუთი კვებაზე მყოფ ახალშობილებსა და ჩვილებში არასასურველი ეფექტები არ დაფიქსირებულა. თუმცა, არსებული მონაცემები შეზღუდულია, ამიტომ მეტფორმინით მკურნალობის პერიოდში ძუძუთი კვება რეკომენდებული არ არის.</w:t>
      </w:r>
    </w:p>
    <w:p w14:paraId="21F400DC" w14:textId="77777777" w:rsidR="002C1C31" w:rsidRPr="00027CEB" w:rsidRDefault="002C1C31" w:rsidP="002C1045">
      <w:pPr>
        <w:spacing w:after="0" w:line="276" w:lineRule="auto"/>
        <w:jc w:val="both"/>
        <w:rPr>
          <w:rFonts w:ascii="Sylfaen" w:hAnsi="Sylfaen"/>
          <w:sz w:val="24"/>
          <w:szCs w:val="24"/>
        </w:rPr>
      </w:pPr>
      <w:r w:rsidRPr="00027CEB">
        <w:rPr>
          <w:rFonts w:ascii="Sylfaen" w:hAnsi="Sylfaen"/>
          <w:sz w:val="24"/>
          <w:szCs w:val="24"/>
        </w:rPr>
        <w:t>ძუძუთი კვების შეწყვეტის შესახებ გადაწყვეტილება უნდა მიიღოს დედამ, ძუძუთი კვების სარგებლისა და ბავშვისთვის შესაძლო არასასურველი ეფექტების პოტენციური რისკის გათვალისწინებით.</w:t>
      </w:r>
    </w:p>
    <w:p w14:paraId="29748266" w14:textId="7821B04F" w:rsidR="002C1C31" w:rsidRPr="00027CEB" w:rsidRDefault="002C1C31" w:rsidP="002C1045">
      <w:pPr>
        <w:spacing w:after="0" w:line="276" w:lineRule="auto"/>
        <w:jc w:val="both"/>
        <w:rPr>
          <w:rFonts w:ascii="Sylfaen" w:hAnsi="Sylfaen"/>
          <w:b/>
          <w:bCs/>
          <w:sz w:val="24"/>
          <w:szCs w:val="24"/>
        </w:rPr>
      </w:pPr>
      <w:r w:rsidRPr="00027CEB">
        <w:rPr>
          <w:rFonts w:ascii="Sylfaen" w:hAnsi="Sylfaen"/>
          <w:b/>
          <w:bCs/>
          <w:sz w:val="24"/>
          <w:szCs w:val="24"/>
        </w:rPr>
        <w:t>ფერტილობა</w:t>
      </w:r>
    </w:p>
    <w:p w14:paraId="3F75B5D1" w14:textId="66EF225B" w:rsidR="002C1C31" w:rsidRPr="00027CEB" w:rsidRDefault="002C1C31" w:rsidP="002C1045">
      <w:pPr>
        <w:spacing w:after="0" w:line="276" w:lineRule="auto"/>
        <w:jc w:val="both"/>
        <w:rPr>
          <w:rFonts w:ascii="Sylfaen" w:hAnsi="Sylfaen"/>
          <w:sz w:val="24"/>
          <w:szCs w:val="24"/>
        </w:rPr>
      </w:pPr>
      <w:r w:rsidRPr="00027CEB">
        <w:rPr>
          <w:rFonts w:ascii="Sylfaen" w:hAnsi="Sylfaen"/>
          <w:sz w:val="24"/>
          <w:szCs w:val="24"/>
        </w:rPr>
        <w:t>მამრ და მდედრ ვირთაგვებში მეტფორმინის გამოყენებამ, დღეში 600 მგ/კგ-მდე დოზებით, არ მოახდინა გავლენა ფერტილობაზე. აღნიშნული დოზა სხეულის ზედაპირის ფართობის მიხედვით გაანგარიშებისას დაახლოებით სამჯერ აღემატება ადამიანისთვის რეკომენდებულ მაქსიმალურ სადღეღამისო დოზას.</w:t>
      </w:r>
    </w:p>
    <w:p w14:paraId="2AA60BE2" w14:textId="77777777" w:rsidR="002C1C31" w:rsidRPr="00027CEB" w:rsidRDefault="002C1C31" w:rsidP="002C1045">
      <w:pPr>
        <w:spacing w:after="0" w:line="276" w:lineRule="auto"/>
        <w:jc w:val="both"/>
        <w:rPr>
          <w:rFonts w:ascii="Sylfaen" w:hAnsi="Sylfaen"/>
          <w:b/>
          <w:bCs/>
          <w:sz w:val="24"/>
          <w:szCs w:val="24"/>
        </w:rPr>
      </w:pPr>
      <w:r w:rsidRPr="00027CEB">
        <w:rPr>
          <w:rFonts w:ascii="Sylfaen" w:hAnsi="Sylfaen"/>
          <w:b/>
          <w:bCs/>
          <w:sz w:val="24"/>
          <w:szCs w:val="24"/>
        </w:rPr>
        <w:t>4.7 გავლენა ავტომობილის მართვისა და მექანიზმების გამოყენების უნარზე</w:t>
      </w:r>
    </w:p>
    <w:p w14:paraId="3F2296CC" w14:textId="77777777" w:rsidR="002C1C31" w:rsidRPr="00027CEB" w:rsidRDefault="002C1C31" w:rsidP="002C1045">
      <w:pPr>
        <w:spacing w:after="0" w:line="276" w:lineRule="auto"/>
        <w:jc w:val="both"/>
        <w:rPr>
          <w:rFonts w:ascii="Sylfaen" w:hAnsi="Sylfaen"/>
          <w:sz w:val="24"/>
          <w:szCs w:val="24"/>
        </w:rPr>
      </w:pPr>
      <w:r w:rsidRPr="00027CEB">
        <w:rPr>
          <w:rFonts w:ascii="Sylfaen" w:hAnsi="Sylfaen"/>
          <w:sz w:val="24"/>
          <w:szCs w:val="24"/>
        </w:rPr>
        <w:t>მეტფორმინის მონოთერაპია არ იწვევს ჰიპოგლიკემიას და შესაბამისად, არ მოქმედებს ავტომობილის მართვისა და მექანიზმების გამოყენების უნარზე.</w:t>
      </w:r>
    </w:p>
    <w:p w14:paraId="7F05FD8F" w14:textId="6FF5AA00" w:rsidR="002C1C31" w:rsidRPr="00027CEB" w:rsidRDefault="002C1C31" w:rsidP="002C1045">
      <w:pPr>
        <w:spacing w:after="0" w:line="276" w:lineRule="auto"/>
        <w:jc w:val="both"/>
        <w:rPr>
          <w:rFonts w:ascii="Sylfaen" w:hAnsi="Sylfaen"/>
          <w:b/>
          <w:bCs/>
          <w:sz w:val="24"/>
          <w:szCs w:val="24"/>
        </w:rPr>
      </w:pPr>
      <w:r w:rsidRPr="00027CEB">
        <w:rPr>
          <w:rFonts w:ascii="Sylfaen" w:hAnsi="Sylfaen"/>
          <w:sz w:val="24"/>
          <w:szCs w:val="24"/>
        </w:rPr>
        <w:t xml:space="preserve">თუმცა, პაციენტები უნდა იყვნენ გაფრთხილებულნი ჰიპოგლიკემიის რისკის შესახებ, როდესაც მეტფორმინი გამოიყენება სხვა ანტიდიაბეტურ საშუალებებთან (მაგ., სულფონილშარდოვანას </w:t>
      </w:r>
      <w:r w:rsidRPr="00027CEB">
        <w:rPr>
          <w:rFonts w:ascii="Sylfaen" w:hAnsi="Sylfaen"/>
          <w:b/>
          <w:bCs/>
          <w:sz w:val="24"/>
          <w:szCs w:val="24"/>
        </w:rPr>
        <w:t>წარმოებულებთან, ინსულინთან ან მეგლიტინიდებთან) კომბინაციაში.</w:t>
      </w:r>
    </w:p>
    <w:p w14:paraId="4584BDDF" w14:textId="77777777" w:rsidR="002C1C31" w:rsidRPr="00027CEB" w:rsidRDefault="002C1C31" w:rsidP="002C1045">
      <w:pPr>
        <w:spacing w:after="0" w:line="276" w:lineRule="auto"/>
        <w:jc w:val="both"/>
        <w:rPr>
          <w:rFonts w:ascii="Sylfaen" w:hAnsi="Sylfaen"/>
          <w:b/>
          <w:bCs/>
          <w:sz w:val="24"/>
          <w:szCs w:val="24"/>
        </w:rPr>
      </w:pPr>
      <w:r w:rsidRPr="00027CEB">
        <w:rPr>
          <w:rFonts w:ascii="Sylfaen" w:hAnsi="Sylfaen"/>
          <w:b/>
          <w:bCs/>
          <w:sz w:val="24"/>
          <w:szCs w:val="24"/>
        </w:rPr>
        <w:t>4.8 არასასურველი ეფექტები</w:t>
      </w:r>
    </w:p>
    <w:p w14:paraId="1074FBB7" w14:textId="77777777" w:rsidR="002C1C31" w:rsidRPr="00027CEB" w:rsidRDefault="002C1C31" w:rsidP="002C1045">
      <w:pPr>
        <w:spacing w:after="0" w:line="276" w:lineRule="auto"/>
        <w:jc w:val="both"/>
        <w:rPr>
          <w:rFonts w:ascii="Sylfaen" w:hAnsi="Sylfaen"/>
          <w:sz w:val="24"/>
          <w:szCs w:val="24"/>
        </w:rPr>
      </w:pPr>
      <w:r w:rsidRPr="00027CEB">
        <w:rPr>
          <w:rFonts w:ascii="Sylfaen" w:hAnsi="Sylfaen"/>
          <w:sz w:val="24"/>
          <w:szCs w:val="24"/>
        </w:rPr>
        <w:t>მკურნალობის დაწყებისას ყველაზე გავრცელებული გვერდითი რეაქციებია გულისრევა, ღებინება, დიარეა, მუცლის ტკივილი და მადის დაკარგვა, რომლებიც უმეტეს შემთხვევაში სპონტანურად ქრება.</w:t>
      </w:r>
    </w:p>
    <w:p w14:paraId="3E87AF52" w14:textId="7DC5C4CF" w:rsidR="002C1C31" w:rsidRPr="00027CEB" w:rsidRDefault="002C1C31" w:rsidP="002C1045">
      <w:pPr>
        <w:spacing w:after="0" w:line="276" w:lineRule="auto"/>
        <w:jc w:val="both"/>
        <w:rPr>
          <w:rFonts w:ascii="Sylfaen" w:hAnsi="Sylfaen"/>
          <w:sz w:val="24"/>
          <w:szCs w:val="24"/>
        </w:rPr>
      </w:pPr>
      <w:r w:rsidRPr="00027CEB">
        <w:rPr>
          <w:rFonts w:ascii="Sylfaen" w:hAnsi="Sylfaen"/>
          <w:sz w:val="24"/>
          <w:szCs w:val="24"/>
        </w:rPr>
        <w:t>მათი პრევენციისთვის რეკომენდებულია მეტფორმინის მიღება 2 ან 3 დღიური დოზით და დოზების თანდათანობით გაზრდა.</w:t>
      </w:r>
    </w:p>
    <w:p w14:paraId="271C2685" w14:textId="6ED5ABBE" w:rsidR="002C1C31" w:rsidRPr="00027CEB" w:rsidRDefault="002C1C31" w:rsidP="002C1045">
      <w:pPr>
        <w:spacing w:after="0" w:line="276" w:lineRule="auto"/>
        <w:jc w:val="both"/>
        <w:rPr>
          <w:rFonts w:ascii="Sylfaen" w:hAnsi="Sylfaen"/>
          <w:sz w:val="24"/>
          <w:szCs w:val="24"/>
        </w:rPr>
      </w:pPr>
      <w:r w:rsidRPr="00027CEB">
        <w:rPr>
          <w:rFonts w:ascii="Sylfaen" w:hAnsi="Sylfaen"/>
          <w:sz w:val="24"/>
          <w:szCs w:val="24"/>
        </w:rPr>
        <w:lastRenderedPageBreak/>
        <w:t>მეტფორმინით მკურნალობის დროს შეიძლება განვითარდეს შემდეგი გვერდითი მოვლენები. სიხშირეები განისაზღვრება შემდეგნაირად: ძალიან ხშირი: ≥1/10; ხშირი ≥1/100, &lt;1/10; არახშირი ≥1/1,000, &lt;1/100; იშვიათი ≥1/10,000, &lt;1/1,000; ძალიან იშვიათი &lt;1/10,000.</w:t>
      </w:r>
    </w:p>
    <w:p w14:paraId="162A8C3D" w14:textId="4F656107" w:rsidR="002C1C31" w:rsidRPr="00027CEB" w:rsidRDefault="002C1C31" w:rsidP="002C1045">
      <w:pPr>
        <w:spacing w:after="0" w:line="276" w:lineRule="auto"/>
        <w:jc w:val="both"/>
        <w:rPr>
          <w:rFonts w:ascii="Sylfaen" w:hAnsi="Sylfaen"/>
          <w:sz w:val="24"/>
          <w:szCs w:val="24"/>
        </w:rPr>
      </w:pPr>
      <w:r w:rsidRPr="00027CEB">
        <w:rPr>
          <w:rFonts w:ascii="Sylfaen" w:hAnsi="Sylfaen"/>
          <w:sz w:val="24"/>
          <w:szCs w:val="24"/>
        </w:rPr>
        <w:t>თითოეული სიხშირის ჯგუფის ფარგლებში, გვერდითი მოვლენები წარმოდგენილია სიმძიმის კლების მიხედვით.</w:t>
      </w:r>
    </w:p>
    <w:p w14:paraId="74519EA9" w14:textId="61BC8B68" w:rsidR="002C1C31" w:rsidRPr="00027CEB" w:rsidRDefault="002C1C31" w:rsidP="002C1045">
      <w:pPr>
        <w:spacing w:after="0" w:line="276" w:lineRule="auto"/>
        <w:jc w:val="both"/>
        <w:rPr>
          <w:rFonts w:ascii="Sylfaen" w:hAnsi="Sylfaen"/>
          <w:b/>
          <w:bCs/>
          <w:sz w:val="24"/>
          <w:szCs w:val="24"/>
        </w:rPr>
      </w:pPr>
      <w:r w:rsidRPr="00027CEB">
        <w:rPr>
          <w:rFonts w:ascii="Sylfaen" w:hAnsi="Sylfaen"/>
          <w:b/>
          <w:bCs/>
          <w:sz w:val="24"/>
          <w:szCs w:val="24"/>
        </w:rPr>
        <w:t xml:space="preserve">მეტაბოლიზმისა და კვების </w:t>
      </w:r>
      <w:r w:rsidR="00165FE3" w:rsidRPr="00027CEB">
        <w:rPr>
          <w:rFonts w:ascii="Sylfaen" w:hAnsi="Sylfaen"/>
          <w:b/>
          <w:bCs/>
          <w:sz w:val="24"/>
          <w:szCs w:val="24"/>
        </w:rPr>
        <w:t xml:space="preserve">მხრივ </w:t>
      </w:r>
      <w:r w:rsidRPr="00027CEB">
        <w:rPr>
          <w:rFonts w:ascii="Sylfaen" w:hAnsi="Sylfaen"/>
          <w:b/>
          <w:bCs/>
          <w:sz w:val="24"/>
          <w:szCs w:val="24"/>
        </w:rPr>
        <w:t>დარღვევები</w:t>
      </w:r>
    </w:p>
    <w:p w14:paraId="7A40B061" w14:textId="5E579D9D" w:rsidR="002C1C31" w:rsidRPr="00027CEB" w:rsidRDefault="002C1C31" w:rsidP="002C1045">
      <w:pPr>
        <w:spacing w:after="0" w:line="276" w:lineRule="auto"/>
        <w:jc w:val="both"/>
        <w:rPr>
          <w:rFonts w:ascii="Sylfaen" w:hAnsi="Sylfaen"/>
          <w:sz w:val="24"/>
          <w:szCs w:val="24"/>
        </w:rPr>
      </w:pPr>
      <w:r w:rsidRPr="00027CEB">
        <w:rPr>
          <w:rFonts w:ascii="Sylfaen" w:hAnsi="Sylfaen"/>
          <w:i/>
          <w:iCs/>
          <w:sz w:val="24"/>
          <w:szCs w:val="24"/>
        </w:rPr>
        <w:t>ხშირი:</w:t>
      </w:r>
      <w:r w:rsidRPr="00027CEB">
        <w:rPr>
          <w:rFonts w:ascii="Sylfaen" w:hAnsi="Sylfaen"/>
          <w:sz w:val="24"/>
          <w:szCs w:val="24"/>
        </w:rPr>
        <w:t xml:space="preserve"> ვიტამინ B12-ის შემცირება/დეფიციტი (იხ. </w:t>
      </w:r>
      <w:r w:rsidR="00165FE3" w:rsidRPr="00027CEB">
        <w:rPr>
          <w:rFonts w:ascii="Sylfaen" w:hAnsi="Sylfaen"/>
          <w:sz w:val="24"/>
          <w:szCs w:val="24"/>
        </w:rPr>
        <w:t>თავი</w:t>
      </w:r>
      <w:r w:rsidRPr="00027CEB">
        <w:rPr>
          <w:rFonts w:ascii="Sylfaen" w:hAnsi="Sylfaen"/>
          <w:sz w:val="24"/>
          <w:szCs w:val="24"/>
        </w:rPr>
        <w:t xml:space="preserve"> 4.4).</w:t>
      </w:r>
    </w:p>
    <w:p w14:paraId="1EBB642A" w14:textId="3935A5BD" w:rsidR="002C1C31" w:rsidRPr="00027CEB" w:rsidRDefault="002C1C31" w:rsidP="002C1045">
      <w:pPr>
        <w:spacing w:after="0" w:line="276" w:lineRule="auto"/>
        <w:jc w:val="both"/>
        <w:rPr>
          <w:rFonts w:ascii="Sylfaen" w:hAnsi="Sylfaen"/>
          <w:sz w:val="24"/>
          <w:szCs w:val="24"/>
        </w:rPr>
      </w:pPr>
      <w:r w:rsidRPr="00027CEB">
        <w:rPr>
          <w:rFonts w:ascii="Sylfaen" w:hAnsi="Sylfaen"/>
          <w:i/>
          <w:iCs/>
          <w:sz w:val="24"/>
          <w:szCs w:val="24"/>
        </w:rPr>
        <w:t>ძალიან იშვიათი:</w:t>
      </w:r>
      <w:r w:rsidRPr="00027CEB">
        <w:rPr>
          <w:rFonts w:ascii="Sylfaen" w:hAnsi="Sylfaen"/>
          <w:sz w:val="24"/>
          <w:szCs w:val="24"/>
        </w:rPr>
        <w:t xml:space="preserve"> ლაქტოაციდოზი (იხ. </w:t>
      </w:r>
      <w:r w:rsidR="00165FE3" w:rsidRPr="00027CEB">
        <w:rPr>
          <w:rFonts w:ascii="Sylfaen" w:hAnsi="Sylfaen"/>
          <w:sz w:val="24"/>
          <w:szCs w:val="24"/>
        </w:rPr>
        <w:t>თავი</w:t>
      </w:r>
      <w:r w:rsidRPr="00027CEB">
        <w:rPr>
          <w:rFonts w:ascii="Sylfaen" w:hAnsi="Sylfaen"/>
          <w:sz w:val="24"/>
          <w:szCs w:val="24"/>
        </w:rPr>
        <w:t xml:space="preserve"> 4.4).</w:t>
      </w:r>
    </w:p>
    <w:p w14:paraId="15FE5A87" w14:textId="77777777" w:rsidR="002C1C31" w:rsidRPr="00027CEB" w:rsidRDefault="002C1C31" w:rsidP="002C1045">
      <w:pPr>
        <w:spacing w:after="0" w:line="276" w:lineRule="auto"/>
        <w:jc w:val="both"/>
        <w:rPr>
          <w:rFonts w:ascii="Sylfaen" w:hAnsi="Sylfaen"/>
          <w:b/>
          <w:bCs/>
          <w:sz w:val="24"/>
          <w:szCs w:val="24"/>
        </w:rPr>
      </w:pPr>
      <w:r w:rsidRPr="00027CEB">
        <w:rPr>
          <w:rFonts w:ascii="Sylfaen" w:hAnsi="Sylfaen"/>
          <w:b/>
          <w:bCs/>
          <w:sz w:val="24"/>
          <w:szCs w:val="24"/>
        </w:rPr>
        <w:t>ნერვული სისტემის დარღვევები</w:t>
      </w:r>
    </w:p>
    <w:p w14:paraId="7F4834B0" w14:textId="555AA4D0" w:rsidR="002C1C31" w:rsidRPr="00027CEB" w:rsidRDefault="002C1C31" w:rsidP="002C1045">
      <w:pPr>
        <w:spacing w:after="0" w:line="276" w:lineRule="auto"/>
        <w:jc w:val="both"/>
        <w:rPr>
          <w:rFonts w:ascii="Sylfaen" w:hAnsi="Sylfaen"/>
          <w:sz w:val="24"/>
          <w:szCs w:val="24"/>
        </w:rPr>
      </w:pPr>
      <w:r w:rsidRPr="00027CEB">
        <w:rPr>
          <w:rFonts w:ascii="Sylfaen" w:hAnsi="Sylfaen"/>
          <w:i/>
          <w:iCs/>
          <w:sz w:val="24"/>
          <w:szCs w:val="24"/>
        </w:rPr>
        <w:t xml:space="preserve">ხშირი: </w:t>
      </w:r>
      <w:r w:rsidRPr="00027CEB">
        <w:rPr>
          <w:rFonts w:ascii="Sylfaen" w:hAnsi="Sylfaen"/>
          <w:sz w:val="24"/>
          <w:szCs w:val="24"/>
        </w:rPr>
        <w:t xml:space="preserve">გემოს </w:t>
      </w:r>
      <w:r w:rsidR="00165FE3" w:rsidRPr="00027CEB">
        <w:rPr>
          <w:rFonts w:ascii="Sylfaen" w:hAnsi="Sylfaen"/>
          <w:sz w:val="24"/>
          <w:szCs w:val="24"/>
        </w:rPr>
        <w:t xml:space="preserve">შეგრძნების </w:t>
      </w:r>
      <w:r w:rsidRPr="00027CEB">
        <w:rPr>
          <w:rFonts w:ascii="Sylfaen" w:hAnsi="Sylfaen"/>
          <w:sz w:val="24"/>
          <w:szCs w:val="24"/>
        </w:rPr>
        <w:t>დარღვევა.</w:t>
      </w:r>
    </w:p>
    <w:p w14:paraId="6D6DFD65" w14:textId="77777777" w:rsidR="00165FE3" w:rsidRPr="00027CEB" w:rsidRDefault="00165FE3" w:rsidP="002C1045">
      <w:pPr>
        <w:spacing w:after="0" w:line="276" w:lineRule="auto"/>
        <w:jc w:val="both"/>
        <w:rPr>
          <w:rFonts w:ascii="Sylfaen" w:hAnsi="Sylfaen"/>
          <w:b/>
          <w:bCs/>
          <w:sz w:val="24"/>
          <w:szCs w:val="24"/>
        </w:rPr>
      </w:pPr>
      <w:r w:rsidRPr="00027CEB">
        <w:rPr>
          <w:rFonts w:ascii="Sylfaen" w:hAnsi="Sylfaen"/>
          <w:b/>
          <w:bCs/>
          <w:sz w:val="24"/>
          <w:szCs w:val="24"/>
        </w:rPr>
        <w:t>კუჭ-ნაწლავის ტრაქტის დარღვევები</w:t>
      </w:r>
    </w:p>
    <w:p w14:paraId="1171955C" w14:textId="3D5C0366" w:rsidR="00165FE3" w:rsidRPr="00027CEB" w:rsidRDefault="00165FE3" w:rsidP="002C1045">
      <w:pPr>
        <w:spacing w:after="0" w:line="276" w:lineRule="auto"/>
        <w:jc w:val="both"/>
        <w:rPr>
          <w:rFonts w:ascii="Sylfaen" w:hAnsi="Sylfaen"/>
          <w:sz w:val="24"/>
          <w:szCs w:val="24"/>
        </w:rPr>
      </w:pPr>
      <w:r w:rsidRPr="00027CEB">
        <w:rPr>
          <w:rFonts w:ascii="Sylfaen" w:hAnsi="Sylfaen"/>
          <w:i/>
          <w:iCs/>
          <w:sz w:val="24"/>
          <w:szCs w:val="24"/>
        </w:rPr>
        <w:t>ძალიან ხშირი:</w:t>
      </w:r>
      <w:r w:rsidRPr="00027CEB">
        <w:rPr>
          <w:rFonts w:ascii="Sylfaen" w:hAnsi="Sylfaen"/>
          <w:sz w:val="24"/>
          <w:szCs w:val="24"/>
        </w:rPr>
        <w:t xml:space="preserve"> კუჭ-ნაწლავის ტრაქტის დარღვევები, როგორიცაა გულისრევა, ღებინება, დიარეა, მუცლის ტკივილი და მადის დაკარგვა. ეს გვერდითი მოვლენები ყველაზე ხშირად თერაპიის დასაწყისში ვლინდება და შემთხვევათა უმეტესობაში სპონტანურად ქრება. მათი თავიდან ასაცილებლად რეკომენდებულია მეტფორმინის მიღება დღეში 2-ჯერ ან 3-ჯერ, ჭამის დროს ან ჭამის შემდეგ. დოზის თანდათანობითმა გაზრდამ ასევე შეიძლება გააუმჯობესოს კუჭ-ნაწლავის ტრაქტის ტოლერანტობა.</w:t>
      </w:r>
    </w:p>
    <w:p w14:paraId="648A67C9" w14:textId="77777777" w:rsidR="00165FE3" w:rsidRPr="00027CEB" w:rsidRDefault="00165FE3" w:rsidP="002C1045">
      <w:pPr>
        <w:spacing w:after="0" w:line="276" w:lineRule="auto"/>
        <w:jc w:val="both"/>
        <w:rPr>
          <w:rFonts w:ascii="Sylfaen" w:hAnsi="Sylfaen"/>
          <w:b/>
          <w:bCs/>
          <w:sz w:val="24"/>
          <w:szCs w:val="24"/>
        </w:rPr>
      </w:pPr>
      <w:r w:rsidRPr="00027CEB">
        <w:rPr>
          <w:rFonts w:ascii="Sylfaen" w:hAnsi="Sylfaen"/>
          <w:b/>
          <w:bCs/>
          <w:sz w:val="24"/>
          <w:szCs w:val="24"/>
        </w:rPr>
        <w:t>ჰეპატობილიარული დარღვევები</w:t>
      </w:r>
    </w:p>
    <w:p w14:paraId="2CBC64C2" w14:textId="77777777" w:rsidR="00165FE3" w:rsidRPr="00027CEB" w:rsidRDefault="00165FE3" w:rsidP="002C1045">
      <w:pPr>
        <w:spacing w:after="0" w:line="276" w:lineRule="auto"/>
        <w:jc w:val="both"/>
        <w:rPr>
          <w:rFonts w:ascii="Sylfaen" w:hAnsi="Sylfaen"/>
          <w:sz w:val="24"/>
          <w:szCs w:val="24"/>
        </w:rPr>
      </w:pPr>
      <w:r w:rsidRPr="00027CEB">
        <w:rPr>
          <w:rFonts w:ascii="Sylfaen" w:hAnsi="Sylfaen"/>
          <w:i/>
          <w:iCs/>
          <w:sz w:val="24"/>
          <w:szCs w:val="24"/>
        </w:rPr>
        <w:t>ძალიან იშვიათი:</w:t>
      </w:r>
      <w:r w:rsidRPr="00027CEB">
        <w:rPr>
          <w:rFonts w:ascii="Sylfaen" w:hAnsi="Sylfaen"/>
          <w:sz w:val="24"/>
          <w:szCs w:val="24"/>
        </w:rPr>
        <w:t xml:space="preserve"> ღვიძლის ფუნქციური ტესტების დარღვევების ან ჰეპატიტის ცალკეული შემთხვევები, რომლებიც მეტფორმინის მიღების შეწყვეტის შემდეგ ქრება.</w:t>
      </w:r>
    </w:p>
    <w:p w14:paraId="52723F0A" w14:textId="77777777" w:rsidR="00165FE3" w:rsidRPr="00027CEB" w:rsidRDefault="00165FE3" w:rsidP="002C1045">
      <w:pPr>
        <w:spacing w:after="0" w:line="276" w:lineRule="auto"/>
        <w:jc w:val="both"/>
        <w:rPr>
          <w:rFonts w:ascii="Sylfaen" w:hAnsi="Sylfaen"/>
          <w:b/>
          <w:bCs/>
          <w:sz w:val="24"/>
          <w:szCs w:val="24"/>
        </w:rPr>
      </w:pPr>
      <w:r w:rsidRPr="00027CEB">
        <w:rPr>
          <w:rFonts w:ascii="Sylfaen" w:hAnsi="Sylfaen"/>
          <w:b/>
          <w:bCs/>
          <w:sz w:val="24"/>
          <w:szCs w:val="24"/>
        </w:rPr>
        <w:t>კანისა და კანქვეშა ქსოვილის დარღვევები</w:t>
      </w:r>
    </w:p>
    <w:p w14:paraId="0DFB3135" w14:textId="29C6D155" w:rsidR="00165FE3" w:rsidRPr="00027CEB" w:rsidRDefault="00165FE3" w:rsidP="002C1045">
      <w:pPr>
        <w:spacing w:after="0" w:line="276" w:lineRule="auto"/>
        <w:jc w:val="both"/>
        <w:rPr>
          <w:rFonts w:ascii="Sylfaen" w:hAnsi="Sylfaen"/>
          <w:sz w:val="24"/>
          <w:szCs w:val="24"/>
        </w:rPr>
      </w:pPr>
      <w:r w:rsidRPr="00027CEB">
        <w:rPr>
          <w:rFonts w:ascii="Sylfaen" w:hAnsi="Sylfaen"/>
          <w:i/>
          <w:iCs/>
          <w:sz w:val="24"/>
          <w:szCs w:val="24"/>
        </w:rPr>
        <w:t>ძალიან იშვიათი:</w:t>
      </w:r>
      <w:r w:rsidRPr="00027CEB">
        <w:rPr>
          <w:rFonts w:ascii="Sylfaen" w:hAnsi="Sylfaen"/>
          <w:sz w:val="24"/>
          <w:szCs w:val="24"/>
        </w:rPr>
        <w:t xml:space="preserve"> კანის რეაქციები, როგორიცაა ერითემა, ქავილი, ჭინჭრის ციება.</w:t>
      </w:r>
    </w:p>
    <w:p w14:paraId="3B274CCE" w14:textId="77777777" w:rsidR="00165FE3" w:rsidRPr="00027CEB" w:rsidRDefault="00165FE3" w:rsidP="002C1045">
      <w:pPr>
        <w:spacing w:after="0" w:line="276" w:lineRule="auto"/>
        <w:jc w:val="both"/>
        <w:rPr>
          <w:rFonts w:ascii="Sylfaen" w:hAnsi="Sylfaen"/>
          <w:b/>
          <w:bCs/>
          <w:sz w:val="24"/>
          <w:szCs w:val="24"/>
        </w:rPr>
      </w:pPr>
      <w:r w:rsidRPr="00027CEB">
        <w:rPr>
          <w:rFonts w:ascii="Sylfaen" w:hAnsi="Sylfaen"/>
          <w:b/>
          <w:bCs/>
          <w:sz w:val="24"/>
          <w:szCs w:val="24"/>
        </w:rPr>
        <w:t>პედიატრიული პოპულაცია</w:t>
      </w:r>
    </w:p>
    <w:p w14:paraId="4B5971BC" w14:textId="397E87D5" w:rsidR="00165FE3" w:rsidRPr="00027CEB" w:rsidRDefault="00165FE3" w:rsidP="002C1045">
      <w:pPr>
        <w:spacing w:after="0" w:line="276" w:lineRule="auto"/>
        <w:jc w:val="both"/>
        <w:rPr>
          <w:rFonts w:ascii="Sylfaen" w:hAnsi="Sylfaen"/>
          <w:b/>
          <w:bCs/>
          <w:sz w:val="24"/>
          <w:szCs w:val="24"/>
        </w:rPr>
      </w:pPr>
      <w:r w:rsidRPr="00027CEB">
        <w:rPr>
          <w:rFonts w:ascii="Sylfaen" w:hAnsi="Sylfaen"/>
          <w:sz w:val="24"/>
          <w:szCs w:val="24"/>
        </w:rPr>
        <w:t>გამოქვეყნებული და პოსტმარკეტინგული მონაცემების, ასევე კონტროლირებადი კლინიკური კვლევების მიხედვით, რომელშიც მონაწილეობდა 10-16 წლის ასაკის შეზღუდული პედიატრიული პოპულაცია, რომლებიც მკურნალობდნენ 1 წლის განმავლობაში, გვერდითი მოვლენების შესახებ შეტყობინებები ბუნებითა და სიმძიმით მსგავსი იყო მოზრდილებში აღწერილი შემთხვევებისა.</w:t>
      </w:r>
    </w:p>
    <w:p w14:paraId="019EFBD6" w14:textId="3C79F07C" w:rsidR="00165FE3" w:rsidRPr="00027CEB" w:rsidRDefault="00165FE3" w:rsidP="002C1045">
      <w:pPr>
        <w:spacing w:after="0" w:line="276" w:lineRule="auto"/>
        <w:jc w:val="both"/>
        <w:rPr>
          <w:rFonts w:ascii="Sylfaen" w:hAnsi="Sylfaen"/>
          <w:b/>
          <w:bCs/>
          <w:sz w:val="24"/>
          <w:szCs w:val="24"/>
        </w:rPr>
      </w:pPr>
      <w:r w:rsidRPr="00027CEB">
        <w:rPr>
          <w:rFonts w:ascii="Sylfaen" w:hAnsi="Sylfaen"/>
          <w:b/>
          <w:bCs/>
          <w:sz w:val="24"/>
          <w:szCs w:val="24"/>
        </w:rPr>
        <w:t xml:space="preserve">შეტყობინება საეჭვო გვერდითი რეაქციების შესახებ </w:t>
      </w:r>
    </w:p>
    <w:p w14:paraId="462DC8E0" w14:textId="2D0BA555" w:rsidR="00165FE3" w:rsidRPr="00027CEB" w:rsidRDefault="00165FE3" w:rsidP="002C1045">
      <w:pPr>
        <w:spacing w:after="0" w:line="276" w:lineRule="auto"/>
        <w:jc w:val="both"/>
        <w:rPr>
          <w:rFonts w:ascii="Sylfaen" w:hAnsi="Sylfaen"/>
          <w:sz w:val="24"/>
          <w:szCs w:val="24"/>
        </w:rPr>
      </w:pPr>
      <w:r w:rsidRPr="00027CEB">
        <w:rPr>
          <w:rFonts w:ascii="Sylfaen" w:hAnsi="Sylfaen"/>
          <w:sz w:val="24"/>
          <w:szCs w:val="24"/>
        </w:rPr>
        <w:t>სამკურნალო პრეპარატის რეგისტრაციის შემდეგ საეჭვო გვერდითი რეაქციების შესახებ შეტყობინება მნიშვნელოვანია. ეს საშუალებას იძლევა სამკურნალო პრეპარატის სარგებლისა და რისკის ბალანსის მუდმივი მონიტორინგის. ჯანდაცვის სპეციალისტებს მოეთხოვებათ, რომ ნებისმიერი საეჭვო გვერდითი რეაქციის ან სამკურნალო პრეპარატის არაეფექტურობის შესახებ შეტყობინება ეროვნული ანგარიშგების სისტემის მეშვეობით განახორციელონ.</w:t>
      </w:r>
    </w:p>
    <w:p w14:paraId="32D27104" w14:textId="0D40C91D" w:rsidR="00165FE3" w:rsidRPr="00027CEB" w:rsidRDefault="00165FE3" w:rsidP="002C1045">
      <w:pPr>
        <w:spacing w:after="0" w:line="276" w:lineRule="auto"/>
        <w:jc w:val="both"/>
        <w:rPr>
          <w:rFonts w:ascii="Sylfaen" w:hAnsi="Sylfaen"/>
          <w:b/>
          <w:bCs/>
          <w:sz w:val="24"/>
          <w:szCs w:val="24"/>
        </w:rPr>
      </w:pPr>
      <w:r w:rsidRPr="00027CEB">
        <w:rPr>
          <w:rFonts w:ascii="Sylfaen" w:hAnsi="Sylfaen"/>
          <w:b/>
          <w:bCs/>
          <w:sz w:val="24"/>
          <w:szCs w:val="24"/>
        </w:rPr>
        <w:t>4.9. დოზის გადაჭარბება</w:t>
      </w:r>
    </w:p>
    <w:p w14:paraId="09701CB4" w14:textId="57F4AE30" w:rsidR="00165FE3" w:rsidRPr="00027CEB" w:rsidRDefault="00165FE3" w:rsidP="002C1045">
      <w:pPr>
        <w:spacing w:after="0" w:line="276" w:lineRule="auto"/>
        <w:jc w:val="both"/>
        <w:rPr>
          <w:rFonts w:ascii="Sylfaen" w:hAnsi="Sylfaen"/>
          <w:sz w:val="24"/>
          <w:szCs w:val="24"/>
        </w:rPr>
      </w:pPr>
      <w:r w:rsidRPr="00027CEB">
        <w:rPr>
          <w:rFonts w:ascii="Sylfaen" w:hAnsi="Sylfaen"/>
          <w:sz w:val="24"/>
          <w:szCs w:val="24"/>
        </w:rPr>
        <w:lastRenderedPageBreak/>
        <w:t>მეტფორმინის ჰიდროქლორიდის 85 გ-მდე დოზით მიღებისას ჰიპოგლიკემია არ დაფიქსირებულა, თუმცა ასეთ შემთხვევებში ლაქტოაციდოზი დაფიქსირდა. მეტფორმინის მაღალმა დოზამ ან თანმხლებმა რისკებმა შეიძლება გამოიწვიოს ლაქტოაციდოზი. ლაქტოაციდოზი წარმოადგენს სამედიცინო გადაუდებელ შემთხვევას და მკურნალობას საავადმყოფოში საჭიროებს. ლაქტატისა და მეტფორმინის მოცილების ყველაზე ეფექტური მეთოდია ჰემოდიალიზი.</w:t>
      </w:r>
    </w:p>
    <w:p w14:paraId="60CB39A2" w14:textId="1707CFE3" w:rsidR="00165FE3" w:rsidRPr="00027CEB" w:rsidRDefault="00165FE3" w:rsidP="002C1045">
      <w:pPr>
        <w:spacing w:after="0" w:line="276" w:lineRule="auto"/>
        <w:jc w:val="both"/>
        <w:rPr>
          <w:rFonts w:ascii="Sylfaen" w:hAnsi="Sylfaen"/>
          <w:b/>
          <w:bCs/>
          <w:sz w:val="24"/>
          <w:szCs w:val="24"/>
        </w:rPr>
      </w:pPr>
      <w:r w:rsidRPr="00027CEB">
        <w:rPr>
          <w:rFonts w:ascii="Sylfaen" w:hAnsi="Sylfaen"/>
          <w:b/>
          <w:bCs/>
          <w:sz w:val="24"/>
          <w:szCs w:val="24"/>
        </w:rPr>
        <w:t>5. ფარმაკოლოგიური მახასიათებლები</w:t>
      </w:r>
    </w:p>
    <w:p w14:paraId="21BF0877" w14:textId="6832AF01" w:rsidR="00165FE3" w:rsidRPr="00027CEB" w:rsidRDefault="00165FE3" w:rsidP="002C1045">
      <w:pPr>
        <w:spacing w:after="0" w:line="276" w:lineRule="auto"/>
        <w:jc w:val="both"/>
        <w:rPr>
          <w:rFonts w:ascii="Sylfaen" w:hAnsi="Sylfaen"/>
          <w:b/>
          <w:bCs/>
          <w:sz w:val="24"/>
          <w:szCs w:val="24"/>
        </w:rPr>
      </w:pPr>
      <w:r w:rsidRPr="00027CEB">
        <w:rPr>
          <w:rFonts w:ascii="Sylfaen" w:hAnsi="Sylfaen"/>
          <w:b/>
          <w:bCs/>
          <w:sz w:val="24"/>
          <w:szCs w:val="24"/>
        </w:rPr>
        <w:t>5.1. ფარმაკოდინამიკური მახასიათებლები</w:t>
      </w:r>
    </w:p>
    <w:p w14:paraId="365DD515" w14:textId="77777777" w:rsidR="00165FE3" w:rsidRPr="00027CEB" w:rsidRDefault="00165FE3" w:rsidP="002C1045">
      <w:pPr>
        <w:spacing w:after="0" w:line="276" w:lineRule="auto"/>
        <w:jc w:val="both"/>
        <w:rPr>
          <w:rFonts w:ascii="Sylfaen" w:hAnsi="Sylfaen"/>
          <w:sz w:val="24"/>
          <w:szCs w:val="24"/>
        </w:rPr>
      </w:pPr>
      <w:r w:rsidRPr="00027CEB">
        <w:rPr>
          <w:rFonts w:ascii="Sylfaen" w:hAnsi="Sylfaen"/>
          <w:i/>
          <w:iCs/>
          <w:sz w:val="24"/>
          <w:szCs w:val="24"/>
        </w:rPr>
        <w:t>ფარმაკოთერაპიული ჯგუფი:</w:t>
      </w:r>
      <w:r w:rsidRPr="00027CEB">
        <w:rPr>
          <w:rFonts w:ascii="Sylfaen" w:hAnsi="Sylfaen"/>
          <w:sz w:val="24"/>
          <w:szCs w:val="24"/>
        </w:rPr>
        <w:t xml:space="preserve"> სისხლში გლუკოზის დამწევი პრეპარატები. ბიგუანიდები; </w:t>
      </w:r>
    </w:p>
    <w:p w14:paraId="7B70B37E" w14:textId="48C45215" w:rsidR="00165FE3" w:rsidRPr="00027CEB" w:rsidRDefault="00165FE3" w:rsidP="002C1045">
      <w:pPr>
        <w:spacing w:after="0" w:line="276" w:lineRule="auto"/>
        <w:jc w:val="both"/>
        <w:rPr>
          <w:rFonts w:ascii="Sylfaen" w:hAnsi="Sylfaen"/>
          <w:sz w:val="24"/>
          <w:szCs w:val="24"/>
        </w:rPr>
      </w:pPr>
      <w:r w:rsidRPr="00027CEB">
        <w:rPr>
          <w:rFonts w:ascii="Sylfaen" w:hAnsi="Sylfaen"/>
          <w:sz w:val="24"/>
          <w:szCs w:val="24"/>
        </w:rPr>
        <w:t>ათქ კოდი: A10BA02</w:t>
      </w:r>
    </w:p>
    <w:p w14:paraId="6AE3C972" w14:textId="5C3F0A19" w:rsidR="00165FE3" w:rsidRPr="00027CEB" w:rsidRDefault="00165FE3" w:rsidP="002C1045">
      <w:pPr>
        <w:spacing w:after="0" w:line="276" w:lineRule="auto"/>
        <w:jc w:val="both"/>
        <w:rPr>
          <w:rFonts w:ascii="Sylfaen" w:hAnsi="Sylfaen"/>
          <w:b/>
          <w:bCs/>
          <w:sz w:val="24"/>
          <w:szCs w:val="24"/>
        </w:rPr>
      </w:pPr>
      <w:r w:rsidRPr="00027CEB">
        <w:rPr>
          <w:rFonts w:ascii="Sylfaen" w:hAnsi="Sylfaen"/>
          <w:b/>
          <w:bCs/>
          <w:sz w:val="24"/>
          <w:szCs w:val="24"/>
        </w:rPr>
        <w:t>მოქმედების მექანიზმი</w:t>
      </w:r>
    </w:p>
    <w:p w14:paraId="785494D6" w14:textId="797354B1" w:rsidR="00165FE3" w:rsidRPr="00027CEB" w:rsidRDefault="00165FE3" w:rsidP="002C1045">
      <w:pPr>
        <w:spacing w:after="0" w:line="276" w:lineRule="auto"/>
        <w:jc w:val="both"/>
        <w:rPr>
          <w:rFonts w:ascii="Sylfaen" w:hAnsi="Sylfaen"/>
          <w:sz w:val="24"/>
          <w:szCs w:val="24"/>
        </w:rPr>
      </w:pPr>
      <w:r w:rsidRPr="00027CEB">
        <w:rPr>
          <w:rFonts w:ascii="Sylfaen" w:hAnsi="Sylfaen"/>
          <w:sz w:val="24"/>
          <w:szCs w:val="24"/>
        </w:rPr>
        <w:t>მეტფორმინი წარმოადგენს ბიგუანიდს, რომელსაც გააჩნია ანტიჰიპერგლიკემიური ეფექტი როგორც ბაზალური, ასევე პოსტპრანდიული ჰიპერგლიკემიის დროს. იგი არ ასტიმულირებს ინსულინის სეკრეციას და, შესაბამისად, არ იწვევს ჰიპოგლიკემიას.</w:t>
      </w:r>
    </w:p>
    <w:p w14:paraId="01B722C4" w14:textId="588514EB" w:rsidR="00165FE3" w:rsidRPr="00027CEB" w:rsidRDefault="00165FE3" w:rsidP="002C1045">
      <w:pPr>
        <w:spacing w:after="0" w:line="276" w:lineRule="auto"/>
        <w:jc w:val="both"/>
        <w:rPr>
          <w:rFonts w:ascii="Sylfaen" w:hAnsi="Sylfaen"/>
          <w:sz w:val="24"/>
          <w:szCs w:val="24"/>
        </w:rPr>
      </w:pPr>
      <w:r w:rsidRPr="00027CEB">
        <w:rPr>
          <w:rFonts w:ascii="Sylfaen" w:hAnsi="Sylfaen"/>
          <w:sz w:val="24"/>
          <w:szCs w:val="24"/>
        </w:rPr>
        <w:t>მეტფორმინი ამცირებს ბაზალურ ჰიპერინსულინემიას და ინსულინთან კომბინირებული გამოყენებისას ამცირებს ინსულინის საჭიროებას.</w:t>
      </w:r>
    </w:p>
    <w:p w14:paraId="24F62A41" w14:textId="048056B6" w:rsidR="00165FE3" w:rsidRPr="00027CEB" w:rsidRDefault="00165FE3" w:rsidP="002C1045">
      <w:pPr>
        <w:spacing w:after="0" w:line="276" w:lineRule="auto"/>
        <w:jc w:val="both"/>
        <w:rPr>
          <w:rFonts w:ascii="Sylfaen" w:hAnsi="Sylfaen"/>
          <w:sz w:val="24"/>
          <w:szCs w:val="24"/>
        </w:rPr>
      </w:pPr>
      <w:r w:rsidRPr="00027CEB">
        <w:rPr>
          <w:rFonts w:ascii="Sylfaen" w:hAnsi="Sylfaen"/>
          <w:sz w:val="24"/>
          <w:szCs w:val="24"/>
        </w:rPr>
        <w:t>მეტფორმინი ანტიჰიპერგლიკემიურ ეფექტს ახორციელებს მრავალი მექანიზმის საშუალებით:</w:t>
      </w:r>
    </w:p>
    <w:p w14:paraId="12BFD15D" w14:textId="5C4A9816" w:rsidR="00165FE3" w:rsidRPr="00027CEB" w:rsidRDefault="00165FE3" w:rsidP="002C1045">
      <w:pPr>
        <w:spacing w:after="0" w:line="276" w:lineRule="auto"/>
        <w:jc w:val="both"/>
        <w:rPr>
          <w:rFonts w:ascii="Sylfaen" w:hAnsi="Sylfaen"/>
          <w:sz w:val="24"/>
          <w:szCs w:val="24"/>
        </w:rPr>
      </w:pPr>
      <w:r w:rsidRPr="00027CEB">
        <w:rPr>
          <w:rFonts w:ascii="Sylfaen" w:hAnsi="Sylfaen"/>
          <w:sz w:val="24"/>
          <w:szCs w:val="24"/>
        </w:rPr>
        <w:t>მეტფორმინი ამცირებს ღვიძლში გლუკოზის წარმოქმნას.</w:t>
      </w:r>
    </w:p>
    <w:p w14:paraId="63CF96C7" w14:textId="45B36D2A" w:rsidR="00165FE3" w:rsidRPr="00027CEB" w:rsidRDefault="00165FE3" w:rsidP="002C1045">
      <w:pPr>
        <w:spacing w:after="0" w:line="276" w:lineRule="auto"/>
        <w:jc w:val="both"/>
        <w:rPr>
          <w:rFonts w:ascii="Sylfaen" w:hAnsi="Sylfaen"/>
          <w:sz w:val="24"/>
          <w:szCs w:val="24"/>
        </w:rPr>
      </w:pPr>
      <w:r w:rsidRPr="00027CEB">
        <w:rPr>
          <w:rFonts w:ascii="Sylfaen" w:hAnsi="Sylfaen"/>
          <w:sz w:val="24"/>
          <w:szCs w:val="24"/>
        </w:rPr>
        <w:t>მეტფორმინი ხელს უწყობს გლუკოზის პერიფერიულ შეწოვასა და უტილიზაციას, ნაწილობრივ ინსულინის მოქმედების გაძლიერების გზით.</w:t>
      </w:r>
    </w:p>
    <w:p w14:paraId="2DD840C3" w14:textId="4C443D9C" w:rsidR="00165FE3" w:rsidRPr="00027CEB" w:rsidRDefault="00165FE3" w:rsidP="002C1045">
      <w:pPr>
        <w:spacing w:after="0" w:line="276" w:lineRule="auto"/>
        <w:jc w:val="both"/>
        <w:rPr>
          <w:rFonts w:ascii="Sylfaen" w:hAnsi="Sylfaen"/>
          <w:sz w:val="24"/>
          <w:szCs w:val="24"/>
        </w:rPr>
      </w:pPr>
      <w:r w:rsidRPr="00027CEB">
        <w:rPr>
          <w:rFonts w:ascii="Sylfaen" w:hAnsi="Sylfaen"/>
          <w:sz w:val="24"/>
          <w:szCs w:val="24"/>
        </w:rPr>
        <w:t>მეტფორმინი ცვლის ნაწლავში გლუკოზის ცვლას: იზრდება სისხლის მიმოქცევიდან გლუკოზის ათვისება და მცირდება საკვებიდან გლუკოზის აბსორბცია.</w:t>
      </w:r>
    </w:p>
    <w:p w14:paraId="5C3944F7" w14:textId="1BADDF58" w:rsidR="00165FE3" w:rsidRPr="00027CEB" w:rsidRDefault="00165FE3" w:rsidP="002C1045">
      <w:pPr>
        <w:spacing w:after="0" w:line="276" w:lineRule="auto"/>
        <w:jc w:val="both"/>
        <w:rPr>
          <w:rFonts w:ascii="Sylfaen" w:hAnsi="Sylfaen"/>
          <w:sz w:val="24"/>
          <w:szCs w:val="24"/>
        </w:rPr>
      </w:pPr>
      <w:r w:rsidRPr="00027CEB">
        <w:rPr>
          <w:rFonts w:ascii="Sylfaen" w:hAnsi="Sylfaen"/>
          <w:sz w:val="24"/>
          <w:szCs w:val="24"/>
        </w:rPr>
        <w:t>ნაწლავთან დაკავშირებული დამატებითი მექანიზმები მოიცავს გლუკაგონის მსგავსი პეპტიდ-1-ის (GLP-1) გამოყოფის ზრდასა და ნაღვლის მჟავების რეაბსორბციის შემცირებას.</w:t>
      </w:r>
    </w:p>
    <w:p w14:paraId="525D3B80" w14:textId="1A288A8B" w:rsidR="00165FE3" w:rsidRPr="00027CEB" w:rsidRDefault="00165FE3" w:rsidP="002C1045">
      <w:pPr>
        <w:spacing w:after="0" w:line="276" w:lineRule="auto"/>
        <w:jc w:val="both"/>
        <w:rPr>
          <w:rFonts w:ascii="Sylfaen" w:hAnsi="Sylfaen"/>
          <w:sz w:val="24"/>
          <w:szCs w:val="24"/>
        </w:rPr>
      </w:pPr>
      <w:r w:rsidRPr="00027CEB">
        <w:rPr>
          <w:rFonts w:ascii="Sylfaen" w:hAnsi="Sylfaen"/>
          <w:sz w:val="24"/>
          <w:szCs w:val="24"/>
        </w:rPr>
        <w:t>მეტფორმინი ცვლის ნაწლავის მიკრობიომს.</w:t>
      </w:r>
    </w:p>
    <w:p w14:paraId="3B2ADC3A" w14:textId="2057BF7A" w:rsidR="00165FE3" w:rsidRPr="00027CEB" w:rsidRDefault="00165FE3" w:rsidP="002C1045">
      <w:pPr>
        <w:spacing w:after="0" w:line="276" w:lineRule="auto"/>
        <w:jc w:val="both"/>
        <w:rPr>
          <w:rFonts w:ascii="Sylfaen" w:hAnsi="Sylfaen"/>
          <w:sz w:val="24"/>
          <w:szCs w:val="24"/>
        </w:rPr>
      </w:pPr>
      <w:r w:rsidRPr="00027CEB">
        <w:rPr>
          <w:rFonts w:ascii="Sylfaen" w:hAnsi="Sylfaen"/>
          <w:sz w:val="24"/>
          <w:szCs w:val="24"/>
        </w:rPr>
        <w:t>მეტფორმინს შეუძლია გააუმჯობესოს ლიპიდური პროფილი ჰიპერლიპიდემიის მქონე პაციენტებში.</w:t>
      </w:r>
    </w:p>
    <w:p w14:paraId="612A1EF8" w14:textId="61598203" w:rsidR="00165FE3" w:rsidRPr="00027CEB" w:rsidRDefault="00165FE3" w:rsidP="002C1045">
      <w:pPr>
        <w:spacing w:after="0" w:line="276" w:lineRule="auto"/>
        <w:jc w:val="both"/>
        <w:rPr>
          <w:rFonts w:ascii="Sylfaen" w:hAnsi="Sylfaen"/>
          <w:sz w:val="24"/>
          <w:szCs w:val="24"/>
        </w:rPr>
      </w:pPr>
      <w:r w:rsidRPr="00027CEB">
        <w:rPr>
          <w:rFonts w:ascii="Sylfaen" w:hAnsi="Sylfaen"/>
          <w:sz w:val="24"/>
          <w:szCs w:val="24"/>
        </w:rPr>
        <w:t>კლინიკურ კვლევებში მეტფორმინის გამოყენება ასოცირებული იყო სხეულის მასის სტაბილურობასთან ან სხეულის მასის ზომიერ შემცირებასთან.</w:t>
      </w:r>
    </w:p>
    <w:p w14:paraId="2E8DC619" w14:textId="41DD8D00" w:rsidR="00165FE3" w:rsidRPr="00027CEB" w:rsidRDefault="00165FE3" w:rsidP="002C1045">
      <w:pPr>
        <w:spacing w:after="0" w:line="276" w:lineRule="auto"/>
        <w:jc w:val="both"/>
        <w:rPr>
          <w:rFonts w:ascii="Sylfaen" w:hAnsi="Sylfaen"/>
          <w:sz w:val="24"/>
          <w:szCs w:val="24"/>
        </w:rPr>
      </w:pPr>
      <w:r w:rsidRPr="00027CEB">
        <w:rPr>
          <w:rFonts w:ascii="Sylfaen" w:hAnsi="Sylfaen"/>
          <w:sz w:val="24"/>
          <w:szCs w:val="24"/>
        </w:rPr>
        <w:t>მეტფორმინი წარმოადგენს ადენოზინმონოფოსფატ-აქტივირებული პროტეინკინაზის (AMPK) აქტივატორს და ზრდის მემბრანული გლუკოზის ტრანსპორტერების (GLUT) ყველა ტიპის სატრანსპორტო უნარს.</w:t>
      </w:r>
    </w:p>
    <w:p w14:paraId="1864FC10" w14:textId="0163BBC6" w:rsidR="00165FE3" w:rsidRPr="00027CEB" w:rsidRDefault="00165FE3" w:rsidP="002C1045">
      <w:pPr>
        <w:spacing w:after="0" w:line="276" w:lineRule="auto"/>
        <w:jc w:val="both"/>
        <w:rPr>
          <w:rFonts w:ascii="Sylfaen" w:hAnsi="Sylfaen"/>
          <w:b/>
          <w:bCs/>
          <w:sz w:val="24"/>
          <w:szCs w:val="24"/>
        </w:rPr>
      </w:pPr>
      <w:r w:rsidRPr="00027CEB">
        <w:rPr>
          <w:rFonts w:ascii="Sylfaen" w:hAnsi="Sylfaen"/>
          <w:b/>
          <w:bCs/>
          <w:sz w:val="24"/>
          <w:szCs w:val="24"/>
        </w:rPr>
        <w:t>კლინიკური ეფექტურობა</w:t>
      </w:r>
    </w:p>
    <w:p w14:paraId="6A8DEC4A" w14:textId="6A274603" w:rsidR="00165FE3" w:rsidRPr="00027CEB" w:rsidRDefault="00165FE3" w:rsidP="002C1045">
      <w:pPr>
        <w:spacing w:after="0" w:line="276" w:lineRule="auto"/>
        <w:jc w:val="both"/>
        <w:rPr>
          <w:rFonts w:ascii="Sylfaen" w:hAnsi="Sylfaen"/>
          <w:sz w:val="24"/>
          <w:szCs w:val="24"/>
        </w:rPr>
      </w:pPr>
      <w:r w:rsidRPr="00027CEB">
        <w:rPr>
          <w:rFonts w:ascii="Sylfaen" w:hAnsi="Sylfaen"/>
          <w:sz w:val="24"/>
          <w:szCs w:val="24"/>
        </w:rPr>
        <w:lastRenderedPageBreak/>
        <w:t>პერსპექტიულმა რანდომიზებულმა კვლევამ (UKPDS) დაადასტურა სისხლში გლუკოზის დონის ინტენსიური კონტროლის გრძელვადიანი სარგებელი ტიპი 2 შაქრიანი დიაბეტის მქონე ზრდასრულ პაციენტებში.</w:t>
      </w:r>
    </w:p>
    <w:p w14:paraId="0763ED04" w14:textId="7FB5CBEF" w:rsidR="00165FE3" w:rsidRPr="00027CEB" w:rsidRDefault="00165FE3" w:rsidP="002C1045">
      <w:pPr>
        <w:spacing w:after="0" w:line="276" w:lineRule="auto"/>
        <w:jc w:val="both"/>
        <w:rPr>
          <w:rFonts w:ascii="Sylfaen" w:hAnsi="Sylfaen"/>
          <w:sz w:val="24"/>
          <w:szCs w:val="24"/>
        </w:rPr>
      </w:pPr>
      <w:r w:rsidRPr="00027CEB">
        <w:rPr>
          <w:rFonts w:ascii="Sylfaen" w:hAnsi="Sylfaen"/>
          <w:sz w:val="24"/>
          <w:szCs w:val="24"/>
        </w:rPr>
        <w:t>მხოლოდ დიეტოთერაპიის არაეფექტურობის შემდეგ მეტფორმინით ნამკურნალევი ჭარბწონიანი პაციენტების შედეგების ანალიზმა აჩვენა:</w:t>
      </w:r>
    </w:p>
    <w:p w14:paraId="60BD673C" w14:textId="77777777" w:rsidR="00165FE3" w:rsidRPr="00027CEB" w:rsidRDefault="00165FE3" w:rsidP="002C1045">
      <w:pPr>
        <w:pStyle w:val="ListParagraph"/>
        <w:numPr>
          <w:ilvl w:val="0"/>
          <w:numId w:val="4"/>
        </w:numPr>
        <w:spacing w:after="0" w:line="276" w:lineRule="auto"/>
        <w:jc w:val="both"/>
        <w:rPr>
          <w:rFonts w:ascii="Sylfaen" w:hAnsi="Sylfaen"/>
          <w:sz w:val="24"/>
          <w:szCs w:val="24"/>
        </w:rPr>
      </w:pPr>
      <w:r w:rsidRPr="00027CEB">
        <w:rPr>
          <w:rFonts w:ascii="Sylfaen" w:hAnsi="Sylfaen"/>
          <w:sz w:val="24"/>
          <w:szCs w:val="24"/>
        </w:rPr>
        <w:t>დიაბეტთან დაკავშირებული ნებისმიერი გართულების აბსოლუტური რისკის მნიშვნელოვანი შემცირება მეტფორმინის ჯგუფში (29.8 შემთხვევა/1000 პაციენტ-წელზე) მხოლოდ დიეტოთერაპიის ჯგუფთან შედარებით (43.3 შემთხვევა/1000 პაციენტ-წელზე), p=0.0023, ასევე სულფონილშარდოვანას პრეპარატებითა და ინსულინით მონოთერაპიის კომბინირებულ ჯგუფებთან შედარებით (40.1 შემთხვევა/1000 პაციენტ-წელზე), p=0.0034;</w:t>
      </w:r>
    </w:p>
    <w:p w14:paraId="71E40122" w14:textId="77777777" w:rsidR="00165FE3" w:rsidRPr="00027CEB" w:rsidRDefault="00165FE3" w:rsidP="002C1045">
      <w:pPr>
        <w:pStyle w:val="ListParagraph"/>
        <w:numPr>
          <w:ilvl w:val="0"/>
          <w:numId w:val="4"/>
        </w:numPr>
        <w:spacing w:after="0" w:line="276" w:lineRule="auto"/>
        <w:jc w:val="both"/>
        <w:rPr>
          <w:rFonts w:ascii="Sylfaen" w:hAnsi="Sylfaen"/>
          <w:sz w:val="24"/>
          <w:szCs w:val="24"/>
        </w:rPr>
      </w:pPr>
      <w:r w:rsidRPr="00027CEB">
        <w:rPr>
          <w:rFonts w:ascii="Sylfaen" w:hAnsi="Sylfaen"/>
          <w:sz w:val="24"/>
          <w:szCs w:val="24"/>
        </w:rPr>
        <w:t>დიაბეტთან დაკავშირებული სიკვდილიანობის აბსოლუტური რისკის მნიშვნელოვანი შემცირება: მეტფორმინის ჯგუფში – 7.5 შემთხვევა/1000 პაციენტ-წელზე, მხოლოდ დიეტოთერაპიის ჯგუფში – 12.7 შემთხვევა/1000 პაციენტ-წელზე, p=0.017;</w:t>
      </w:r>
    </w:p>
    <w:p w14:paraId="6B76FFA8" w14:textId="530C61D9" w:rsidR="00165FE3" w:rsidRPr="00027CEB" w:rsidRDefault="00165FE3" w:rsidP="002C1045">
      <w:pPr>
        <w:pStyle w:val="ListParagraph"/>
        <w:numPr>
          <w:ilvl w:val="0"/>
          <w:numId w:val="4"/>
        </w:numPr>
        <w:spacing w:after="0" w:line="276" w:lineRule="auto"/>
        <w:jc w:val="both"/>
        <w:rPr>
          <w:rFonts w:ascii="Sylfaen" w:hAnsi="Sylfaen"/>
          <w:sz w:val="24"/>
          <w:szCs w:val="24"/>
        </w:rPr>
      </w:pPr>
      <w:r w:rsidRPr="00027CEB">
        <w:rPr>
          <w:rFonts w:ascii="Sylfaen" w:hAnsi="Sylfaen"/>
          <w:sz w:val="24"/>
          <w:szCs w:val="24"/>
        </w:rPr>
        <w:t>საერთო სიკვდილიანობის აბსოლუტური რისკის მნიშვნელოვანი შემცირება: მეტფორმინის ჯგუფში – 13.5 შემთხვევა/1000 პაციენტ-წელზე, მხოლოდ დიეტოთერაპიის ჯგუფში – 20.6 შემთხვევა/1000 პაციენტ-წელზე (p=0.011), ხოლო სულფონილშარდოვანას პრეპარატებითა და ინსულინით მონოთერაპიის კომბინირებულ ჯგუფებთან შედარებით – 18.9 შემთხვევა/1000 პაციენტ-წელზე (p=0.021).</w:t>
      </w:r>
    </w:p>
    <w:p w14:paraId="1D129C46" w14:textId="5677A6ED" w:rsidR="00165FE3" w:rsidRPr="00027CEB" w:rsidRDefault="00165FE3" w:rsidP="002C1045">
      <w:pPr>
        <w:pStyle w:val="ListParagraph"/>
        <w:numPr>
          <w:ilvl w:val="0"/>
          <w:numId w:val="4"/>
        </w:numPr>
        <w:spacing w:after="0" w:line="276" w:lineRule="auto"/>
        <w:jc w:val="both"/>
        <w:rPr>
          <w:rFonts w:ascii="Sylfaen" w:hAnsi="Sylfaen"/>
          <w:sz w:val="24"/>
          <w:szCs w:val="24"/>
        </w:rPr>
      </w:pPr>
      <w:r w:rsidRPr="00027CEB">
        <w:rPr>
          <w:rFonts w:ascii="Sylfaen" w:hAnsi="Sylfaen"/>
          <w:sz w:val="24"/>
          <w:szCs w:val="24"/>
        </w:rPr>
        <w:t>მიოკარდიუმის ინფარქტის აბსოლუტური რისკის მნიშვნელოვანი შემცირება: მეტფორმინი 11 შემთხვევა/1000 პაციენტ-წელი, მხოლოდ დიეტა 18 შემთხვევა/1000 პაციენტ-წელი (p=0.01).</w:t>
      </w:r>
    </w:p>
    <w:p w14:paraId="59C3788F" w14:textId="77777777"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t>მეტფორმინის, როგორც მეორე ხაზის თერაპიის, სულფონილშარდოვანასთან კომბინაციაში გამოყენების კლინიკური შედეგის მხრივ სარგებელი არ დადასტურებულა.</w:t>
      </w:r>
    </w:p>
    <w:p w14:paraId="013247AF" w14:textId="5E3485D2"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t>ტიპი 1 დიაბეტის დროს მეტფორმინისა და ინსულინის კომბინაცია გამოყენებული იქნა შერჩეულ პაციენტებში, თუმცა ამ კომბინაციის კლინიკური სარგებელი ოფიციალურად დადგენილი არ არის.</w:t>
      </w:r>
    </w:p>
    <w:p w14:paraId="5F22B4EA" w14:textId="77777777" w:rsidR="006D3BA1" w:rsidRPr="00027CEB" w:rsidRDefault="006D3BA1" w:rsidP="002C1045">
      <w:pPr>
        <w:spacing w:after="0" w:line="276" w:lineRule="auto"/>
        <w:jc w:val="both"/>
        <w:rPr>
          <w:rFonts w:ascii="Sylfaen" w:hAnsi="Sylfaen"/>
          <w:b/>
          <w:bCs/>
          <w:sz w:val="24"/>
          <w:szCs w:val="24"/>
        </w:rPr>
      </w:pPr>
      <w:r w:rsidRPr="00027CEB">
        <w:rPr>
          <w:rFonts w:ascii="Sylfaen" w:hAnsi="Sylfaen"/>
          <w:b/>
          <w:bCs/>
          <w:sz w:val="24"/>
          <w:szCs w:val="24"/>
        </w:rPr>
        <w:t>პედიატრიული პოპულაცია</w:t>
      </w:r>
    </w:p>
    <w:p w14:paraId="1FFEC06D" w14:textId="3918029A" w:rsidR="006D3BA1" w:rsidRPr="00027CEB" w:rsidRDefault="006D3BA1" w:rsidP="002C1045">
      <w:pPr>
        <w:spacing w:after="0" w:line="276" w:lineRule="auto"/>
        <w:jc w:val="both"/>
        <w:rPr>
          <w:rFonts w:ascii="Sylfaen" w:hAnsi="Sylfaen"/>
          <w:b/>
          <w:bCs/>
          <w:sz w:val="24"/>
          <w:szCs w:val="24"/>
        </w:rPr>
      </w:pPr>
      <w:r w:rsidRPr="00027CEB">
        <w:rPr>
          <w:rFonts w:ascii="Sylfaen" w:hAnsi="Sylfaen"/>
          <w:sz w:val="24"/>
          <w:szCs w:val="24"/>
        </w:rPr>
        <w:t>კონტროლირებადმა კლინიკურმა კვლევებმა 10-16 წლის ასაკის შეზღუდული პედიატრიული პოპულაციის მონაწილეობით, რომლებიც 1 წლის განმავლობაში მკურნალობდნენ, აჩვენა გლიკემიური კონტროლის მსგავსი რეაქცია, რაც მოზრდილებში დაფიქსირდა.</w:t>
      </w:r>
    </w:p>
    <w:p w14:paraId="6928AED3" w14:textId="7AB63D7A" w:rsidR="006D3BA1" w:rsidRPr="00027CEB" w:rsidRDefault="006D3BA1" w:rsidP="002C1045">
      <w:pPr>
        <w:spacing w:after="0" w:line="276" w:lineRule="auto"/>
        <w:jc w:val="both"/>
        <w:rPr>
          <w:rFonts w:ascii="Sylfaen" w:hAnsi="Sylfaen"/>
          <w:b/>
          <w:bCs/>
          <w:sz w:val="24"/>
          <w:szCs w:val="24"/>
        </w:rPr>
      </w:pPr>
      <w:r w:rsidRPr="00027CEB">
        <w:rPr>
          <w:rFonts w:ascii="Sylfaen" w:hAnsi="Sylfaen"/>
          <w:b/>
          <w:bCs/>
          <w:sz w:val="24"/>
          <w:szCs w:val="24"/>
        </w:rPr>
        <w:t>5.2 ფარმაკოკინეტიკური თვისებები</w:t>
      </w:r>
    </w:p>
    <w:p w14:paraId="4F05AF04" w14:textId="0E2E41D0" w:rsidR="006D3BA1" w:rsidRPr="00027CEB" w:rsidRDefault="006D3BA1" w:rsidP="002C1045">
      <w:pPr>
        <w:spacing w:after="0" w:line="276" w:lineRule="auto"/>
        <w:jc w:val="both"/>
        <w:rPr>
          <w:rFonts w:ascii="Sylfaen" w:hAnsi="Sylfaen"/>
          <w:b/>
          <w:bCs/>
          <w:sz w:val="24"/>
          <w:szCs w:val="24"/>
        </w:rPr>
      </w:pPr>
      <w:r w:rsidRPr="00027CEB">
        <w:rPr>
          <w:rFonts w:ascii="Sylfaen" w:hAnsi="Sylfaen"/>
          <w:b/>
          <w:bCs/>
          <w:sz w:val="24"/>
          <w:szCs w:val="24"/>
        </w:rPr>
        <w:t>აბსორბცია</w:t>
      </w:r>
    </w:p>
    <w:p w14:paraId="3D1DB843" w14:textId="1F9F8302"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lastRenderedPageBreak/>
        <w:t>მეტფორმინის ჰიდროქლორიდის ტაბლეტის პერორალური მიღების შემდეგ პლაზმაში მაქსიმალური კონცენტრაცია (Cmax) მიიღწევა დაახლოებით 2.5 საათში (tmax).</w:t>
      </w:r>
    </w:p>
    <w:p w14:paraId="0E1C3A5E" w14:textId="4571B147"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t>ჯანმრთელ მოხალისეებში 500 მგ ან 850 მგ მეტფორმინის ჰიდროქლორიდის ტაბლეტის აბსოლუტური ბიოშეღწევადობა დაახლოებით 50–60%-ს შეადგენს. პერორალური მიღების შემდეგ განავალში აღმოჩენილი არააბსორბირებული ფრაქცია შეადგენდა მიღებული დოზის 20–30%-ს.</w:t>
      </w:r>
    </w:p>
    <w:p w14:paraId="20944513" w14:textId="35AACA8F"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t>პერორალური მიღების შემდეგ მეტფორმინის აბსორბცია არის არასრული და ექვემდებარება გაჯერებას. მიიჩნევა, რომ მეტფორმინის აბსორბციის ფარმაკოკინეტიკა არაწრფივია.</w:t>
      </w:r>
    </w:p>
    <w:p w14:paraId="4493E788" w14:textId="74299AA6"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t>მეტფორმინის რეკომენდებული დოზებისა და დოზირების რეჟიმების გამოყენებისას პლაზმაში წონასწორული კონცენტრაცია მიიღწევა 24–48 საათის განმავლობაში და, როგორც წესი, 1 მიკროგრამ/მლ-ზე ნაკლებია. კონტროლირებულ კლინიკურ კვლევებში მეტფორმინის პლაზმაში მაქსიმალური კონცენტრაცია (Cmax), მაქსიმალური დოზების გამოყენების შემთხვევაშიც კი, არ აღემატებოდა 5 მიკროგრამ/მლ-ს.</w:t>
      </w:r>
    </w:p>
    <w:p w14:paraId="3C61774B" w14:textId="7B1ED62D"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t>საკვები ამცირებს მეტფორმინის აბსორბციის ხარისხს და მცირედით აყოვნებს მის აბსორბციას. 850 მგ ტაბლეტის პერორალური მიღების შემდეგ აღინიშნა პლაზმაში პიკური კონცენტრაციის 40%-ით შემცირება, „კონცენტრაცია-დროის“ მრუდის ქვეშ არსებული ფართობის (AUC) 25%-ით შემცირება და პლაზმაში მაქსიმალური კონცენტრაციის მიღწევის დროის 35 წუთით გახანგრძლივება. აღნიშნული მონაცემების კლინიკური მნიშვნელობა უცნობია.</w:t>
      </w:r>
    </w:p>
    <w:p w14:paraId="5BCF151B" w14:textId="57F516A3" w:rsidR="006D3BA1" w:rsidRPr="00027CEB" w:rsidRDefault="006D3BA1" w:rsidP="002C1045">
      <w:pPr>
        <w:spacing w:after="0" w:line="276" w:lineRule="auto"/>
        <w:jc w:val="both"/>
        <w:rPr>
          <w:rFonts w:ascii="Sylfaen" w:hAnsi="Sylfaen"/>
          <w:b/>
          <w:bCs/>
          <w:sz w:val="24"/>
          <w:szCs w:val="24"/>
        </w:rPr>
      </w:pPr>
      <w:r w:rsidRPr="00027CEB">
        <w:rPr>
          <w:rFonts w:ascii="Sylfaen" w:hAnsi="Sylfaen"/>
          <w:b/>
          <w:bCs/>
          <w:sz w:val="24"/>
          <w:szCs w:val="24"/>
        </w:rPr>
        <w:t>განაწილება</w:t>
      </w:r>
    </w:p>
    <w:p w14:paraId="17FA41FA" w14:textId="7072601A"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t>მეტფორმინის პლაზმის ცილებთან შეკავშირება უმნიშვნელოა. მეტფორმინი ნაწილდება ერითროციტებში. სისხლში პიკური კონცენტრაცია უფრო დაბალია, ვიდრე პლაზმაში, და მიიღწევა დაახლოებით იმავე დროს. სავარაუდოდ, ერითროციტები წარმოადგენენ განაწილების მეორეულ კომპარტმენტს. განაწილების საშუალო მოცულობა (Vd) მერყეობს 63-დან 276 ლიტრამდე.</w:t>
      </w:r>
    </w:p>
    <w:p w14:paraId="03693BE3" w14:textId="69273E48" w:rsidR="006D3BA1" w:rsidRPr="00027CEB" w:rsidRDefault="006D3BA1" w:rsidP="002C1045">
      <w:pPr>
        <w:spacing w:after="0" w:line="276" w:lineRule="auto"/>
        <w:jc w:val="both"/>
        <w:rPr>
          <w:rFonts w:ascii="Sylfaen" w:hAnsi="Sylfaen"/>
          <w:b/>
          <w:bCs/>
          <w:sz w:val="24"/>
          <w:szCs w:val="24"/>
        </w:rPr>
      </w:pPr>
      <w:r w:rsidRPr="00027CEB">
        <w:rPr>
          <w:rFonts w:ascii="Sylfaen" w:hAnsi="Sylfaen"/>
          <w:b/>
          <w:bCs/>
          <w:sz w:val="24"/>
          <w:szCs w:val="24"/>
        </w:rPr>
        <w:t>მეტაბოლიზმი</w:t>
      </w:r>
    </w:p>
    <w:p w14:paraId="4F7026FA" w14:textId="218D45F2"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t>მეტფორმინი გამოიყოფა შარდით უცვლელი სახით. ადამიანებში მეტფორმინის მეტაბოლიტები იდენტიფიცირებული არ არის.</w:t>
      </w:r>
    </w:p>
    <w:p w14:paraId="7C5FE8EC" w14:textId="5F34962E" w:rsidR="006D3BA1" w:rsidRPr="00027CEB" w:rsidRDefault="006D3BA1" w:rsidP="002C1045">
      <w:pPr>
        <w:spacing w:after="0" w:line="276" w:lineRule="auto"/>
        <w:jc w:val="both"/>
        <w:rPr>
          <w:rFonts w:ascii="Sylfaen" w:hAnsi="Sylfaen"/>
          <w:b/>
          <w:bCs/>
          <w:sz w:val="24"/>
          <w:szCs w:val="24"/>
        </w:rPr>
      </w:pPr>
      <w:r w:rsidRPr="00027CEB">
        <w:rPr>
          <w:rFonts w:ascii="Sylfaen" w:hAnsi="Sylfaen"/>
          <w:b/>
          <w:bCs/>
          <w:sz w:val="24"/>
          <w:szCs w:val="24"/>
        </w:rPr>
        <w:t>ელიმინაცია</w:t>
      </w:r>
    </w:p>
    <w:p w14:paraId="35039282" w14:textId="7F724BC2"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t>მეტფორმინის თირკმლისმიერი კლირენსი აღემატება 400 მლ/წთ-ს, რაც მიუთითებს, რომ მეტფორმინის ელიმინაცია ხდება როგორც გლომერულური ფილტრაციის, ისე ტუბულური სეკრეციის გზით. პერორალური მიღების შემდეგ საბოლოო ელიმინაციის აშკარა ნახევარგამოყოფის პერიოდი დაახლოებით 6.5 საათს შეადგენს.</w:t>
      </w:r>
    </w:p>
    <w:p w14:paraId="690B708F" w14:textId="5ED144A4"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t>თირკმლის ფუნქციის დარღვევისას მეტფორმინის თირკმლისმიერი კლირენსი მცირდება კრეატინინის კლირენსის შემცირების პროპორციულად, რის შედეგადაც ნახევარგამოყოფის პერიოდი ხანგრძლივდება და პლაზმაში მეტფორმინის კონცენტრაცია იზრდება.</w:t>
      </w:r>
    </w:p>
    <w:p w14:paraId="64BDCA36" w14:textId="77777777" w:rsidR="006D3BA1" w:rsidRPr="00027CEB" w:rsidRDefault="006D3BA1" w:rsidP="002C1045">
      <w:pPr>
        <w:spacing w:after="0" w:line="276" w:lineRule="auto"/>
        <w:jc w:val="both"/>
        <w:rPr>
          <w:rFonts w:ascii="Sylfaen" w:hAnsi="Sylfaen"/>
          <w:b/>
          <w:bCs/>
          <w:sz w:val="24"/>
          <w:szCs w:val="24"/>
        </w:rPr>
      </w:pPr>
      <w:r w:rsidRPr="00027CEB">
        <w:rPr>
          <w:rFonts w:ascii="Sylfaen" w:hAnsi="Sylfaen"/>
          <w:b/>
          <w:bCs/>
          <w:sz w:val="24"/>
          <w:szCs w:val="24"/>
        </w:rPr>
        <w:lastRenderedPageBreak/>
        <w:t>პაციენტთა სპეციფიკური პოპულაციების მახასიათებლები</w:t>
      </w:r>
    </w:p>
    <w:p w14:paraId="60036EF4" w14:textId="77777777" w:rsidR="006D3BA1" w:rsidRPr="00027CEB" w:rsidRDefault="006D3BA1" w:rsidP="002C1045">
      <w:pPr>
        <w:spacing w:after="0" w:line="276" w:lineRule="auto"/>
        <w:jc w:val="both"/>
        <w:rPr>
          <w:rFonts w:ascii="Sylfaen" w:hAnsi="Sylfaen"/>
          <w:b/>
          <w:bCs/>
          <w:sz w:val="24"/>
          <w:szCs w:val="24"/>
        </w:rPr>
      </w:pPr>
      <w:r w:rsidRPr="00027CEB">
        <w:rPr>
          <w:rFonts w:ascii="Sylfaen" w:hAnsi="Sylfaen"/>
          <w:b/>
          <w:bCs/>
          <w:sz w:val="24"/>
          <w:szCs w:val="24"/>
        </w:rPr>
        <w:t>თირკმლის უკმარისობა</w:t>
      </w:r>
    </w:p>
    <w:p w14:paraId="1D432876" w14:textId="28B0B293" w:rsidR="006D3BA1" w:rsidRPr="00027CEB" w:rsidRDefault="006D3BA1" w:rsidP="002C1045">
      <w:pPr>
        <w:spacing w:after="0" w:line="276" w:lineRule="auto"/>
        <w:jc w:val="both"/>
        <w:rPr>
          <w:rFonts w:ascii="Sylfaen" w:hAnsi="Sylfaen"/>
          <w:b/>
          <w:bCs/>
          <w:sz w:val="24"/>
          <w:szCs w:val="24"/>
        </w:rPr>
      </w:pPr>
      <w:r w:rsidRPr="00027CEB">
        <w:rPr>
          <w:rFonts w:ascii="Sylfaen" w:hAnsi="Sylfaen"/>
          <w:sz w:val="24"/>
          <w:szCs w:val="24"/>
        </w:rPr>
        <w:t xml:space="preserve">მიღებული მონაცემები თირკმლის ზომიერი უკმარისობის მქონე პაციენტებში შეზღუდულია და ამ ქვეჯგუფში მეტფორმინის სისტემური ექსპოზიციის სანდო შეფასებები ნორმალური თირკმლის ფუნქციის მქონე პაციენტებთან შედარებით შეუძლებელია. ამიტომ, დოზის კორექტირება უნდა მოხდეს კლინიკური ეფექტურობის/ატანიანობის საფუძველზე (იხ. თავი </w:t>
      </w:r>
      <w:r w:rsidRPr="00027CEB">
        <w:rPr>
          <w:rFonts w:ascii="Sylfaen" w:hAnsi="Sylfaen"/>
          <w:b/>
          <w:bCs/>
          <w:sz w:val="24"/>
          <w:szCs w:val="24"/>
        </w:rPr>
        <w:t>4.2).</w:t>
      </w:r>
    </w:p>
    <w:p w14:paraId="06F983CD" w14:textId="3CF46F82" w:rsidR="006D3BA1" w:rsidRPr="00027CEB" w:rsidRDefault="006D3BA1" w:rsidP="002C1045">
      <w:pPr>
        <w:spacing w:after="0" w:line="276" w:lineRule="auto"/>
        <w:jc w:val="both"/>
        <w:rPr>
          <w:rFonts w:ascii="Sylfaen" w:hAnsi="Sylfaen"/>
          <w:sz w:val="24"/>
          <w:szCs w:val="24"/>
        </w:rPr>
      </w:pPr>
      <w:r w:rsidRPr="00027CEB">
        <w:rPr>
          <w:rFonts w:ascii="Sylfaen" w:hAnsi="Sylfaen"/>
          <w:b/>
          <w:bCs/>
          <w:sz w:val="24"/>
          <w:szCs w:val="24"/>
        </w:rPr>
        <w:t>პედიატრიული პოპულაცია</w:t>
      </w:r>
    </w:p>
    <w:p w14:paraId="589D5444" w14:textId="246E0D93"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t>ერთჯერადი დოზის კვლევა: მეტფორმინის ჰიდროქლორიდის 500 მგ-ის ერთჯერადი დოზის მიღების შემდეგ პედიატრიულ პაციენტებში აღინიშნა იმავე ტიპის ფარმაკოკინეტიკური პროფილი, რაც ჯანმრთელ ზრდასრულ პირებში.</w:t>
      </w:r>
    </w:p>
    <w:p w14:paraId="1DBF6960" w14:textId="1003D217"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t>მრავალჯერადი დოზის კვლევა: მონაცემები შემოიფარგლება ერთი კვლევით. პედიატრიულ პაციენტებში 500 მგ მეტფორმინის ჰიდროქლორიდის დღეში ორჯერ, 7 დღის განმავლობაში განმეორებით მიღების შემდეგ, პლაზმაში მაქსიმალური კონცენტრაცია (Cmax) და სისტემური ექსპოზიცია (AUC0-t) შემცირდა შესაბამისად დაახლოებით 33%-ით და 40%-ით, იმ შაქრიანი დიაბეტის მქონე ზრდასრულ პაციენტებთან შედარებით, რომლებიც იღებდნენ 500 მგ-ს დღეში ორჯერ, 14 დღის განმავლობაში. ვინაიდან დოზა ინდივიდუალურად ტიტრირდება გლიკემიური კონტროლის მიხედვით, აღნიშნულ მონაცემებს შეზღუდული კლინიკური მნიშვნელობა აქვს.</w:t>
      </w:r>
    </w:p>
    <w:p w14:paraId="7D9F669D" w14:textId="3496685D" w:rsidR="006D3BA1" w:rsidRPr="00027CEB" w:rsidRDefault="006D3BA1" w:rsidP="002C1045">
      <w:pPr>
        <w:spacing w:after="0" w:line="276" w:lineRule="auto"/>
        <w:jc w:val="both"/>
        <w:rPr>
          <w:rFonts w:ascii="Sylfaen" w:hAnsi="Sylfaen"/>
          <w:b/>
          <w:bCs/>
          <w:sz w:val="24"/>
          <w:szCs w:val="24"/>
        </w:rPr>
      </w:pPr>
      <w:r w:rsidRPr="00027CEB">
        <w:rPr>
          <w:rFonts w:ascii="Sylfaen" w:hAnsi="Sylfaen"/>
          <w:b/>
          <w:bCs/>
          <w:sz w:val="24"/>
          <w:szCs w:val="24"/>
        </w:rPr>
        <w:t>5.3 პრეკლინიკური უსაფრთხოების მონაცემები</w:t>
      </w:r>
    </w:p>
    <w:p w14:paraId="092E8C02" w14:textId="755F9484"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t>პრეკლინიკურმა მონაცემებმა არ გამოავლინა განსაკუთრებული საფრთხე ადამიანისთვის უსაფრთხოების, ფარმაკოლოგიის, განმეორებითი დოზის ტოქსიკურობის, გენოტოქსიკურობის, კანცეროგენული პოტენციალის და რეპროდუქციული ტოქსიკურობის სტანდარტული კვლევების საფუძველზე.</w:t>
      </w:r>
    </w:p>
    <w:p w14:paraId="120713FC" w14:textId="78B231E6" w:rsidR="006D3BA1" w:rsidRPr="00027CEB" w:rsidRDefault="006D3BA1" w:rsidP="002C1045">
      <w:pPr>
        <w:spacing w:after="0" w:line="276" w:lineRule="auto"/>
        <w:jc w:val="both"/>
        <w:rPr>
          <w:rFonts w:ascii="Sylfaen" w:hAnsi="Sylfaen"/>
          <w:b/>
          <w:bCs/>
          <w:sz w:val="24"/>
          <w:szCs w:val="24"/>
        </w:rPr>
      </w:pPr>
      <w:r w:rsidRPr="00027CEB">
        <w:rPr>
          <w:rFonts w:ascii="Sylfaen" w:hAnsi="Sylfaen"/>
          <w:b/>
          <w:bCs/>
          <w:sz w:val="24"/>
          <w:szCs w:val="24"/>
        </w:rPr>
        <w:t>6. ფარმაცევტული მახასიათებლები</w:t>
      </w:r>
    </w:p>
    <w:p w14:paraId="6731367B" w14:textId="32341247" w:rsidR="006D3BA1" w:rsidRPr="00027CEB" w:rsidRDefault="006D3BA1" w:rsidP="002C1045">
      <w:pPr>
        <w:spacing w:after="0" w:line="276" w:lineRule="auto"/>
        <w:jc w:val="both"/>
        <w:rPr>
          <w:rFonts w:ascii="Sylfaen" w:hAnsi="Sylfaen"/>
          <w:b/>
          <w:bCs/>
          <w:sz w:val="24"/>
          <w:szCs w:val="24"/>
        </w:rPr>
      </w:pPr>
      <w:r w:rsidRPr="00027CEB">
        <w:rPr>
          <w:rFonts w:ascii="Sylfaen" w:hAnsi="Sylfaen"/>
          <w:b/>
          <w:bCs/>
          <w:sz w:val="24"/>
          <w:szCs w:val="24"/>
        </w:rPr>
        <w:t>6.1. დამხმარე ნივთიერებების ჩამონათვალი</w:t>
      </w:r>
    </w:p>
    <w:p w14:paraId="212AAD24" w14:textId="77777777" w:rsidR="006D3BA1" w:rsidRPr="00027CEB" w:rsidRDefault="006D3BA1" w:rsidP="002C1045">
      <w:pPr>
        <w:spacing w:after="0" w:line="276" w:lineRule="auto"/>
        <w:jc w:val="both"/>
        <w:rPr>
          <w:rFonts w:ascii="Sylfaen" w:hAnsi="Sylfaen"/>
          <w:i/>
          <w:iCs/>
          <w:sz w:val="24"/>
          <w:szCs w:val="24"/>
        </w:rPr>
      </w:pPr>
      <w:r w:rsidRPr="00027CEB">
        <w:rPr>
          <w:rFonts w:ascii="Sylfaen" w:hAnsi="Sylfaen"/>
          <w:i/>
          <w:iCs/>
          <w:sz w:val="24"/>
          <w:szCs w:val="24"/>
        </w:rPr>
        <w:t>ტაბლეტის ბირთვი</w:t>
      </w:r>
    </w:p>
    <w:p w14:paraId="7D40FC57" w14:textId="77777777"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t>პოვიდონი K 90</w:t>
      </w:r>
    </w:p>
    <w:p w14:paraId="411D93A3" w14:textId="77777777"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t>მაგნიუმის სტეარატი</w:t>
      </w:r>
    </w:p>
    <w:p w14:paraId="26B59BC6" w14:textId="53563194" w:rsidR="006D3BA1" w:rsidRPr="00027CEB" w:rsidRDefault="006D3BA1" w:rsidP="002C1045">
      <w:pPr>
        <w:spacing w:after="0" w:line="276" w:lineRule="auto"/>
        <w:jc w:val="both"/>
        <w:rPr>
          <w:rFonts w:ascii="Sylfaen" w:hAnsi="Sylfaen"/>
          <w:i/>
          <w:iCs/>
          <w:sz w:val="24"/>
          <w:szCs w:val="24"/>
        </w:rPr>
      </w:pPr>
      <w:r w:rsidRPr="00027CEB">
        <w:rPr>
          <w:rFonts w:ascii="Sylfaen" w:hAnsi="Sylfaen"/>
          <w:i/>
          <w:iCs/>
          <w:sz w:val="24"/>
          <w:szCs w:val="24"/>
        </w:rPr>
        <w:t>აპკიანი გარსი</w:t>
      </w:r>
    </w:p>
    <w:p w14:paraId="2025C051" w14:textId="77777777"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t>ჰიპრომელოზა</w:t>
      </w:r>
    </w:p>
    <w:p w14:paraId="634F9E8B" w14:textId="77777777"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t>ტიტანის დიოქსიდი (E171)</w:t>
      </w:r>
    </w:p>
    <w:p w14:paraId="12ADEE29" w14:textId="2CB8D295"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t>მაკროგოლი 4000</w:t>
      </w:r>
    </w:p>
    <w:p w14:paraId="07F3FC67" w14:textId="77777777" w:rsidR="006D3BA1" w:rsidRPr="00027CEB" w:rsidRDefault="006D3BA1" w:rsidP="002C1045">
      <w:pPr>
        <w:spacing w:after="0" w:line="276" w:lineRule="auto"/>
        <w:jc w:val="both"/>
        <w:rPr>
          <w:rFonts w:ascii="Sylfaen" w:hAnsi="Sylfaen"/>
          <w:b/>
          <w:bCs/>
          <w:sz w:val="24"/>
          <w:szCs w:val="24"/>
        </w:rPr>
      </w:pPr>
      <w:r w:rsidRPr="00027CEB">
        <w:rPr>
          <w:rFonts w:ascii="Sylfaen" w:hAnsi="Sylfaen"/>
          <w:b/>
          <w:bCs/>
          <w:sz w:val="24"/>
          <w:szCs w:val="24"/>
        </w:rPr>
        <w:t>6.2 შეუთავსებლობა</w:t>
      </w:r>
    </w:p>
    <w:p w14:paraId="3626B81C" w14:textId="77777777"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t>არ გამოიყენება.</w:t>
      </w:r>
    </w:p>
    <w:p w14:paraId="0671E8F6" w14:textId="499E1A63" w:rsidR="006D3BA1" w:rsidRPr="00027CEB" w:rsidRDefault="006D3BA1" w:rsidP="002C1045">
      <w:pPr>
        <w:spacing w:after="0" w:line="276" w:lineRule="auto"/>
        <w:jc w:val="both"/>
        <w:rPr>
          <w:rFonts w:ascii="Sylfaen" w:hAnsi="Sylfaen"/>
          <w:b/>
          <w:bCs/>
          <w:sz w:val="24"/>
          <w:szCs w:val="24"/>
        </w:rPr>
      </w:pPr>
      <w:r w:rsidRPr="00027CEB">
        <w:rPr>
          <w:rFonts w:ascii="Sylfaen" w:hAnsi="Sylfaen"/>
          <w:b/>
          <w:bCs/>
          <w:sz w:val="24"/>
          <w:szCs w:val="24"/>
        </w:rPr>
        <w:t>6.3 ვარგისობის ვადა</w:t>
      </w:r>
    </w:p>
    <w:p w14:paraId="5B02D03A" w14:textId="77777777"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t>3 წელი.</w:t>
      </w:r>
    </w:p>
    <w:p w14:paraId="15FB1704" w14:textId="77777777" w:rsidR="006D3BA1" w:rsidRPr="00027CEB" w:rsidRDefault="006D3BA1" w:rsidP="002C1045">
      <w:pPr>
        <w:spacing w:after="0" w:line="276" w:lineRule="auto"/>
        <w:jc w:val="both"/>
        <w:rPr>
          <w:rFonts w:ascii="Sylfaen" w:hAnsi="Sylfaen"/>
          <w:b/>
          <w:bCs/>
          <w:sz w:val="24"/>
          <w:szCs w:val="24"/>
        </w:rPr>
      </w:pPr>
      <w:r w:rsidRPr="00027CEB">
        <w:rPr>
          <w:rFonts w:ascii="Sylfaen" w:hAnsi="Sylfaen"/>
          <w:b/>
          <w:bCs/>
          <w:sz w:val="24"/>
          <w:szCs w:val="24"/>
        </w:rPr>
        <w:lastRenderedPageBreak/>
        <w:t>6.4 შენახვის განსაკუთრებული ზომები</w:t>
      </w:r>
    </w:p>
    <w:p w14:paraId="5CAEB50A" w14:textId="77777777"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t>შეინახეთ ბავშვებისთვის მიუწვდომელ და უხილავ ადგილას.</w:t>
      </w:r>
    </w:p>
    <w:p w14:paraId="49737379" w14:textId="5FA57F9B"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t>არ შეინახოთ 30°C-ზე მაღალ ტემპერატურაზე.</w:t>
      </w:r>
    </w:p>
    <w:p w14:paraId="7770A7DE" w14:textId="6A296390" w:rsidR="006D3BA1" w:rsidRPr="00027CEB" w:rsidRDefault="006D3BA1" w:rsidP="002C1045">
      <w:pPr>
        <w:spacing w:after="0" w:line="276" w:lineRule="auto"/>
        <w:jc w:val="both"/>
        <w:rPr>
          <w:rFonts w:ascii="Sylfaen" w:hAnsi="Sylfaen"/>
          <w:b/>
          <w:bCs/>
          <w:sz w:val="24"/>
          <w:szCs w:val="24"/>
        </w:rPr>
      </w:pPr>
      <w:r w:rsidRPr="00027CEB">
        <w:rPr>
          <w:rFonts w:ascii="Sylfaen" w:hAnsi="Sylfaen"/>
          <w:b/>
          <w:bCs/>
          <w:sz w:val="24"/>
          <w:szCs w:val="24"/>
        </w:rPr>
        <w:t>6.5 შეფუთვის ბუნება და შიგთავსი</w:t>
      </w:r>
    </w:p>
    <w:p w14:paraId="37E4ED9B" w14:textId="77777777"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t>ტაბლეტები შეფუთულია PVC-ალუმინის ბლისტერებში.</w:t>
      </w:r>
    </w:p>
    <w:p w14:paraId="6B1D46BB" w14:textId="50DD6AFF"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t>კოლოფში მოთავსებულია 60 ტაბლეტი და ინსტრუქცია.</w:t>
      </w:r>
    </w:p>
    <w:p w14:paraId="0745A0D1" w14:textId="77777777" w:rsidR="006D3BA1" w:rsidRPr="00027CEB" w:rsidRDefault="006D3BA1" w:rsidP="002C1045">
      <w:pPr>
        <w:spacing w:after="0" w:line="276" w:lineRule="auto"/>
        <w:jc w:val="both"/>
        <w:rPr>
          <w:rFonts w:ascii="Sylfaen" w:hAnsi="Sylfaen"/>
          <w:b/>
          <w:bCs/>
          <w:sz w:val="24"/>
          <w:szCs w:val="24"/>
        </w:rPr>
      </w:pPr>
      <w:r w:rsidRPr="00027CEB">
        <w:rPr>
          <w:rFonts w:ascii="Sylfaen" w:hAnsi="Sylfaen"/>
          <w:b/>
          <w:bCs/>
          <w:sz w:val="24"/>
          <w:szCs w:val="24"/>
        </w:rPr>
        <w:t>6.6 განადგურებისა და სხვა დამუშავების განსაკუთრებული სიფრთხილის ზომები</w:t>
      </w:r>
    </w:p>
    <w:p w14:paraId="595E90C0" w14:textId="609097A0" w:rsidR="006D3BA1" w:rsidRPr="00027CEB" w:rsidRDefault="006D3BA1" w:rsidP="002C1045">
      <w:pPr>
        <w:spacing w:after="0" w:line="276" w:lineRule="auto"/>
        <w:jc w:val="both"/>
        <w:rPr>
          <w:rFonts w:ascii="Sylfaen" w:hAnsi="Sylfaen"/>
          <w:sz w:val="24"/>
          <w:szCs w:val="24"/>
        </w:rPr>
      </w:pPr>
      <w:r w:rsidRPr="00027CEB">
        <w:rPr>
          <w:rFonts w:ascii="Sylfaen" w:hAnsi="Sylfaen"/>
          <w:sz w:val="24"/>
          <w:szCs w:val="24"/>
        </w:rPr>
        <w:t>ნებისმიერი გამოუყენებელი პროდუქტი ან ნარჩენი მასალა უნდა განადგურდეს ადგილობრივი მოთხოვნების შესაბამისად.</w:t>
      </w:r>
    </w:p>
    <w:p w14:paraId="42E4EF02" w14:textId="71871B17" w:rsidR="002C1045" w:rsidRPr="00027CEB" w:rsidRDefault="002C1045" w:rsidP="002C1045">
      <w:pPr>
        <w:spacing w:after="0" w:line="276" w:lineRule="auto"/>
        <w:jc w:val="both"/>
        <w:rPr>
          <w:rFonts w:ascii="Sylfaen" w:hAnsi="Sylfaen"/>
          <w:b/>
          <w:bCs/>
          <w:sz w:val="24"/>
          <w:szCs w:val="24"/>
        </w:rPr>
      </w:pPr>
      <w:r w:rsidRPr="00027CEB">
        <w:rPr>
          <w:rFonts w:ascii="Sylfaen" w:hAnsi="Sylfaen"/>
          <w:b/>
          <w:bCs/>
          <w:sz w:val="24"/>
          <w:szCs w:val="24"/>
        </w:rPr>
        <w:t>7. სავაჭრო ავტორიზაციის მფლობელი</w:t>
      </w:r>
    </w:p>
    <w:p w14:paraId="63B20182" w14:textId="690B232B" w:rsidR="002C1045" w:rsidRPr="00027CEB" w:rsidRDefault="002C1045" w:rsidP="002C1045">
      <w:pPr>
        <w:spacing w:after="0" w:line="276" w:lineRule="auto"/>
        <w:jc w:val="both"/>
        <w:rPr>
          <w:rFonts w:ascii="Sylfaen" w:hAnsi="Sylfaen"/>
          <w:sz w:val="24"/>
          <w:szCs w:val="24"/>
        </w:rPr>
      </w:pPr>
      <w:r w:rsidRPr="00027CEB">
        <w:rPr>
          <w:rFonts w:ascii="Sylfaen" w:hAnsi="Sylfaen"/>
          <w:sz w:val="24"/>
          <w:szCs w:val="24"/>
        </w:rPr>
        <w:t>Sandoz Pharmaceuticals d.d., ვეროვსკოვას ქ. 57, 1000 ლუბლიანა, სლოვენია</w:t>
      </w:r>
    </w:p>
    <w:p w14:paraId="3EF0B3A4" w14:textId="3D075065" w:rsidR="002C1045" w:rsidRPr="00027CEB" w:rsidRDefault="002C1045" w:rsidP="002C1045">
      <w:pPr>
        <w:spacing w:after="0" w:line="276" w:lineRule="auto"/>
        <w:jc w:val="both"/>
        <w:rPr>
          <w:rFonts w:ascii="Sylfaen" w:hAnsi="Sylfaen"/>
          <w:sz w:val="24"/>
          <w:szCs w:val="24"/>
        </w:rPr>
      </w:pPr>
      <w:r w:rsidRPr="00027CEB">
        <w:rPr>
          <w:rFonts w:ascii="Sylfaen" w:hAnsi="Sylfaen"/>
          <w:sz w:val="24"/>
          <w:szCs w:val="24"/>
        </w:rPr>
        <w:t>მწარმოებელი: Lek S.A., 16 პოდლიპიეს ქ., 95-010 სტრიკოვი, პოლონეთი</w:t>
      </w:r>
    </w:p>
    <w:p w14:paraId="33286522" w14:textId="77777777" w:rsidR="002C1045" w:rsidRPr="00027CEB" w:rsidRDefault="002C1045" w:rsidP="002C1045">
      <w:pPr>
        <w:spacing w:after="0" w:line="276" w:lineRule="auto"/>
        <w:jc w:val="both"/>
        <w:rPr>
          <w:rFonts w:ascii="Sylfaen" w:hAnsi="Sylfaen"/>
          <w:b/>
          <w:bCs/>
          <w:sz w:val="24"/>
          <w:szCs w:val="24"/>
        </w:rPr>
      </w:pPr>
      <w:r w:rsidRPr="00027CEB">
        <w:rPr>
          <w:rFonts w:ascii="Sylfaen" w:hAnsi="Sylfaen"/>
          <w:b/>
          <w:bCs/>
          <w:sz w:val="24"/>
          <w:szCs w:val="24"/>
        </w:rPr>
        <w:t>8. რეცეპტის სტატუსი</w:t>
      </w:r>
    </w:p>
    <w:p w14:paraId="5F5774E9" w14:textId="77777777" w:rsidR="00027CEB" w:rsidRPr="00027CEB" w:rsidRDefault="00027CEB" w:rsidP="00027CEB">
      <w:pPr>
        <w:spacing w:after="0" w:line="276" w:lineRule="auto"/>
        <w:jc w:val="both"/>
        <w:rPr>
          <w:rFonts w:ascii="Sylfaen" w:hAnsi="Sylfaen"/>
          <w:b/>
          <w:bCs/>
          <w:sz w:val="24"/>
          <w:szCs w:val="24"/>
        </w:rPr>
      </w:pPr>
      <w:r w:rsidRPr="00027CEB">
        <w:rPr>
          <w:rFonts w:ascii="Sylfaen" w:hAnsi="Sylfaen"/>
          <w:b/>
          <w:bCs/>
          <w:sz w:val="24"/>
          <w:szCs w:val="24"/>
        </w:rPr>
        <w:t>ფარმაცევტული პროდუქტის ჯგუფი II, გაიცემა ფორმა №3 რეცეპტით (გადაუდებელი დახმარებისას გაიცემა ურეცეპტოდ)</w:t>
      </w:r>
    </w:p>
    <w:p w14:paraId="71439230" w14:textId="77777777" w:rsidR="002C1045" w:rsidRPr="00027CEB" w:rsidRDefault="002C1045" w:rsidP="002C1045">
      <w:pPr>
        <w:spacing w:after="0" w:line="276" w:lineRule="auto"/>
        <w:jc w:val="both"/>
        <w:rPr>
          <w:rFonts w:ascii="Sylfaen" w:hAnsi="Sylfaen"/>
          <w:b/>
          <w:bCs/>
          <w:sz w:val="24"/>
          <w:szCs w:val="24"/>
        </w:rPr>
      </w:pPr>
      <w:r w:rsidRPr="00027CEB">
        <w:rPr>
          <w:rFonts w:ascii="Sylfaen" w:hAnsi="Sylfaen"/>
          <w:b/>
          <w:bCs/>
          <w:sz w:val="24"/>
          <w:szCs w:val="24"/>
        </w:rPr>
        <w:t>9. ტექსტის გადახედვის თარიღი</w:t>
      </w:r>
    </w:p>
    <w:p w14:paraId="2615AEE4" w14:textId="082EA379" w:rsidR="002C1045" w:rsidRPr="00027CEB" w:rsidRDefault="002C1045" w:rsidP="002C1045">
      <w:pPr>
        <w:spacing w:after="0" w:line="276" w:lineRule="auto"/>
        <w:jc w:val="both"/>
        <w:rPr>
          <w:rFonts w:ascii="Sylfaen" w:hAnsi="Sylfaen"/>
          <w:sz w:val="24"/>
          <w:szCs w:val="24"/>
        </w:rPr>
      </w:pPr>
      <w:r w:rsidRPr="00027CEB">
        <w:rPr>
          <w:rFonts w:ascii="Sylfaen" w:hAnsi="Sylfaen"/>
          <w:sz w:val="24"/>
          <w:szCs w:val="24"/>
        </w:rPr>
        <w:t>2026 წლის ივნისი</w:t>
      </w:r>
    </w:p>
    <w:p w14:paraId="004214AE" w14:textId="022001C6" w:rsidR="002C1045" w:rsidRPr="00027CEB" w:rsidRDefault="002C1045" w:rsidP="002C1045">
      <w:pPr>
        <w:spacing w:after="0" w:line="276" w:lineRule="auto"/>
        <w:jc w:val="both"/>
        <w:rPr>
          <w:rFonts w:ascii="Sylfaen" w:hAnsi="Sylfaen"/>
          <w:sz w:val="24"/>
          <w:szCs w:val="24"/>
        </w:rPr>
      </w:pPr>
    </w:p>
    <w:p w14:paraId="20F0C301" w14:textId="4F75B672" w:rsidR="002C1045" w:rsidRPr="00027CEB" w:rsidRDefault="002C1045" w:rsidP="002C1045">
      <w:pPr>
        <w:spacing w:after="0" w:line="276" w:lineRule="auto"/>
        <w:jc w:val="both"/>
        <w:rPr>
          <w:rFonts w:ascii="Sylfaen" w:hAnsi="Sylfaen"/>
          <w:sz w:val="24"/>
          <w:szCs w:val="24"/>
        </w:rPr>
      </w:pPr>
    </w:p>
    <w:p w14:paraId="71E51D19" w14:textId="7D9A3CF7" w:rsidR="002C1045" w:rsidRPr="00027CEB" w:rsidRDefault="002C1045" w:rsidP="002C1045">
      <w:pPr>
        <w:spacing w:after="0" w:line="276" w:lineRule="auto"/>
        <w:jc w:val="both"/>
        <w:rPr>
          <w:rFonts w:ascii="Sylfaen" w:hAnsi="Sylfaen"/>
          <w:sz w:val="24"/>
          <w:szCs w:val="24"/>
        </w:rPr>
      </w:pPr>
    </w:p>
    <w:p w14:paraId="2121DDB9" w14:textId="2B43BDC7" w:rsidR="002C1045" w:rsidRPr="00027CEB" w:rsidRDefault="002C1045" w:rsidP="002C1045">
      <w:pPr>
        <w:spacing w:after="0" w:line="276" w:lineRule="auto"/>
        <w:jc w:val="both"/>
        <w:rPr>
          <w:rFonts w:ascii="Sylfaen" w:hAnsi="Sylfaen"/>
          <w:sz w:val="24"/>
          <w:szCs w:val="24"/>
        </w:rPr>
      </w:pPr>
    </w:p>
    <w:p w14:paraId="60D43E47" w14:textId="6125451F" w:rsidR="002C1045" w:rsidRPr="00027CEB" w:rsidRDefault="002C1045" w:rsidP="002C1045">
      <w:pPr>
        <w:spacing w:after="0" w:line="276" w:lineRule="auto"/>
        <w:jc w:val="both"/>
        <w:rPr>
          <w:rFonts w:ascii="Sylfaen" w:hAnsi="Sylfaen"/>
          <w:sz w:val="24"/>
          <w:szCs w:val="24"/>
        </w:rPr>
      </w:pPr>
    </w:p>
    <w:sectPr w:rsidR="002C1045" w:rsidRPr="00027CEB" w:rsidSect="002C1045">
      <w:footerReference w:type="default" r:id="rId7"/>
      <w:pgSz w:w="12240" w:h="15840"/>
      <w:pgMar w:top="630" w:right="126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5CFFA" w14:textId="77777777" w:rsidR="0029201A" w:rsidRDefault="0029201A" w:rsidP="00027CEB">
      <w:pPr>
        <w:spacing w:after="0" w:line="240" w:lineRule="auto"/>
      </w:pPr>
      <w:r>
        <w:separator/>
      </w:r>
    </w:p>
  </w:endnote>
  <w:endnote w:type="continuationSeparator" w:id="0">
    <w:p w14:paraId="279B9CF9" w14:textId="77777777" w:rsidR="0029201A" w:rsidRDefault="0029201A" w:rsidP="00027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340849011"/>
      <w:docPartObj>
        <w:docPartGallery w:val="Page Numbers (Bottom of Page)"/>
        <w:docPartUnique/>
      </w:docPartObj>
    </w:sdtPr>
    <w:sdtEndPr>
      <w:rPr>
        <w:noProof/>
      </w:rPr>
    </w:sdtEndPr>
    <w:sdtContent>
      <w:p w14:paraId="4F1F8C02" w14:textId="4A61D0ED" w:rsidR="00027CEB" w:rsidRDefault="00027CEB">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7081429F" w14:textId="77777777" w:rsidR="00027CEB" w:rsidRDefault="00027C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05CD1" w14:textId="77777777" w:rsidR="0029201A" w:rsidRDefault="0029201A" w:rsidP="00027CEB">
      <w:pPr>
        <w:spacing w:after="0" w:line="240" w:lineRule="auto"/>
      </w:pPr>
      <w:r>
        <w:separator/>
      </w:r>
    </w:p>
  </w:footnote>
  <w:footnote w:type="continuationSeparator" w:id="0">
    <w:p w14:paraId="2F5677A5" w14:textId="77777777" w:rsidR="0029201A" w:rsidRDefault="0029201A" w:rsidP="00027C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E495A"/>
    <w:multiLevelType w:val="hybridMultilevel"/>
    <w:tmpl w:val="917EF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23F48"/>
    <w:multiLevelType w:val="hybridMultilevel"/>
    <w:tmpl w:val="EE4A3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1D11B2"/>
    <w:multiLevelType w:val="hybridMultilevel"/>
    <w:tmpl w:val="1AC2D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B35C71"/>
    <w:multiLevelType w:val="hybridMultilevel"/>
    <w:tmpl w:val="4EA21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1690939">
    <w:abstractNumId w:val="1"/>
  </w:num>
  <w:num w:numId="2" w16cid:durableId="102313679">
    <w:abstractNumId w:val="2"/>
  </w:num>
  <w:num w:numId="3" w16cid:durableId="1355226404">
    <w:abstractNumId w:val="0"/>
  </w:num>
  <w:num w:numId="4" w16cid:durableId="12254853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AA3"/>
    <w:rsid w:val="00027CEB"/>
    <w:rsid w:val="000D0269"/>
    <w:rsid w:val="001418B1"/>
    <w:rsid w:val="00165FE3"/>
    <w:rsid w:val="0029201A"/>
    <w:rsid w:val="002C1045"/>
    <w:rsid w:val="002C1C31"/>
    <w:rsid w:val="00407AA3"/>
    <w:rsid w:val="005151A4"/>
    <w:rsid w:val="0069493D"/>
    <w:rsid w:val="006D3BA1"/>
    <w:rsid w:val="006F2F88"/>
    <w:rsid w:val="007C3CF9"/>
    <w:rsid w:val="007D3F16"/>
    <w:rsid w:val="00821458"/>
    <w:rsid w:val="00921246"/>
    <w:rsid w:val="00AC39E6"/>
    <w:rsid w:val="00B91FDC"/>
    <w:rsid w:val="00DB6269"/>
    <w:rsid w:val="00DD12F6"/>
    <w:rsid w:val="00E30407"/>
    <w:rsid w:val="00F61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0F819"/>
  <w15:chartTrackingRefBased/>
  <w15:docId w15:val="{1B1FD11B-CD1E-4102-86C2-D3F8D7051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ka-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0407"/>
    <w:pPr>
      <w:ind w:left="720"/>
      <w:contextualSpacing/>
    </w:pPr>
  </w:style>
  <w:style w:type="table" w:styleId="TableGrid">
    <w:name w:val="Table Grid"/>
    <w:basedOn w:val="TableNormal"/>
    <w:uiPriority w:val="39"/>
    <w:rsid w:val="006F2F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2C1C31"/>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paragraph" w:styleId="NormalWeb">
    <w:name w:val="Normal (Web)"/>
    <w:basedOn w:val="Normal"/>
    <w:uiPriority w:val="99"/>
    <w:semiHidden/>
    <w:unhideWhenUsed/>
    <w:rsid w:val="002C1C31"/>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paragraph" w:styleId="Header">
    <w:name w:val="header"/>
    <w:basedOn w:val="Normal"/>
    <w:link w:val="HeaderChar"/>
    <w:uiPriority w:val="99"/>
    <w:unhideWhenUsed/>
    <w:rsid w:val="00027C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7CEB"/>
    <w:rPr>
      <w:noProof/>
      <w:lang w:val="ka-GE"/>
    </w:rPr>
  </w:style>
  <w:style w:type="paragraph" w:styleId="Footer">
    <w:name w:val="footer"/>
    <w:basedOn w:val="Normal"/>
    <w:link w:val="FooterChar"/>
    <w:uiPriority w:val="99"/>
    <w:unhideWhenUsed/>
    <w:rsid w:val="00027C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7CEB"/>
    <w:rPr>
      <w:noProof/>
      <w:lang w:val="ka-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923299">
      <w:bodyDiv w:val="1"/>
      <w:marLeft w:val="0"/>
      <w:marRight w:val="0"/>
      <w:marTop w:val="0"/>
      <w:marBottom w:val="0"/>
      <w:divBdr>
        <w:top w:val="none" w:sz="0" w:space="0" w:color="auto"/>
        <w:left w:val="none" w:sz="0" w:space="0" w:color="auto"/>
        <w:bottom w:val="none" w:sz="0" w:space="0" w:color="auto"/>
        <w:right w:val="none" w:sz="0" w:space="0" w:color="auto"/>
      </w:divBdr>
    </w:div>
    <w:div w:id="542253927">
      <w:bodyDiv w:val="1"/>
      <w:marLeft w:val="0"/>
      <w:marRight w:val="0"/>
      <w:marTop w:val="0"/>
      <w:marBottom w:val="0"/>
      <w:divBdr>
        <w:top w:val="none" w:sz="0" w:space="0" w:color="auto"/>
        <w:left w:val="none" w:sz="0" w:space="0" w:color="auto"/>
        <w:bottom w:val="none" w:sz="0" w:space="0" w:color="auto"/>
        <w:right w:val="none" w:sz="0" w:space="0" w:color="auto"/>
      </w:divBdr>
    </w:div>
    <w:div w:id="1180849422">
      <w:bodyDiv w:val="1"/>
      <w:marLeft w:val="0"/>
      <w:marRight w:val="0"/>
      <w:marTop w:val="0"/>
      <w:marBottom w:val="0"/>
      <w:divBdr>
        <w:top w:val="none" w:sz="0" w:space="0" w:color="auto"/>
        <w:left w:val="none" w:sz="0" w:space="0" w:color="auto"/>
        <w:bottom w:val="none" w:sz="0" w:space="0" w:color="auto"/>
        <w:right w:val="none" w:sz="0" w:space="0" w:color="auto"/>
      </w:divBdr>
    </w:div>
    <w:div w:id="1752310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374</TotalTime>
  <Pages>14</Pages>
  <Words>4042</Words>
  <Characters>23042</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Tsitsino Kobakhidze</cp:lastModifiedBy>
  <cp:revision>7</cp:revision>
  <dcterms:created xsi:type="dcterms:W3CDTF">2026-06-30T08:53:00Z</dcterms:created>
  <dcterms:modified xsi:type="dcterms:W3CDTF">2026-08-07T12:11:00Z</dcterms:modified>
</cp:coreProperties>
</file>