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1CE474" w14:textId="494897FF" w:rsidR="00A4167B" w:rsidRDefault="0077276F" w:rsidP="00A4167B">
      <w:pPr>
        <w:pStyle w:val="NoSpacing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</w:rPr>
        <w:t xml:space="preserve"> </w:t>
      </w:r>
      <w:r w:rsidR="00A4167B">
        <w:rPr>
          <w:rFonts w:ascii="Sylfaen" w:hAnsi="Sylfaen"/>
          <w:b/>
          <w:bCs/>
          <w:sz w:val="24"/>
          <w:szCs w:val="24"/>
          <w:lang w:val="ka-GE"/>
        </w:rPr>
        <w:t xml:space="preserve">სამკურნალო საშუალების </w:t>
      </w:r>
    </w:p>
    <w:p w14:paraId="4D2C33C2" w14:textId="77777777" w:rsidR="00A4167B" w:rsidRDefault="00A4167B" w:rsidP="00A4167B">
      <w:pPr>
        <w:pStyle w:val="NoSpacing"/>
        <w:jc w:val="center"/>
        <w:rPr>
          <w:rFonts w:ascii="Sylfaen" w:hAnsi="Sylfaen"/>
          <w:b/>
          <w:bCs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სამედიცინო გამოყენების ინსტრუქცია </w:t>
      </w:r>
    </w:p>
    <w:p w14:paraId="61775D22" w14:textId="5DB3FE43" w:rsidR="00502E92" w:rsidRPr="0039402E" w:rsidRDefault="008B70C6" w:rsidP="00A4167B">
      <w:pPr>
        <w:pStyle w:val="NoSpacing"/>
        <w:jc w:val="center"/>
        <w:rPr>
          <w:rFonts w:ascii="Sylfaen" w:hAnsi="Sylfaen"/>
          <w:b/>
          <w:bCs/>
          <w:color w:val="FFFFFF" w:themeColor="background1"/>
          <w:sz w:val="24"/>
          <w:szCs w:val="24"/>
          <w:lang w:val="ka-GE"/>
        </w:rPr>
      </w:pPr>
      <w:r w:rsidRPr="0039402E">
        <w:rPr>
          <w:rFonts w:ascii="Sylfaen" w:hAnsi="Sylfaen"/>
          <w:b/>
          <w:bCs/>
          <w:color w:val="FFFFFF" w:themeColor="background1"/>
          <w:sz w:val="24"/>
          <w:szCs w:val="24"/>
          <w:lang w:val="ka-GE"/>
        </w:rPr>
        <w:t>პაციენტებისთვის</w:t>
      </w:r>
    </w:p>
    <w:p w14:paraId="7A51C99A" w14:textId="2EB00AD6" w:rsidR="00A4167B" w:rsidRDefault="00A4167B" w:rsidP="00A4167B">
      <w:pPr>
        <w:pStyle w:val="NoSpacing"/>
        <w:jc w:val="center"/>
        <w:rPr>
          <w:rFonts w:ascii="Sylfaen" w:hAnsi="Sylfaen"/>
          <w:b/>
          <w:bCs/>
          <w:sz w:val="24"/>
          <w:szCs w:val="24"/>
          <w:lang w:val="ka-GE"/>
        </w:rPr>
      </w:pPr>
    </w:p>
    <w:p w14:paraId="329C912E" w14:textId="657A4641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სავაჭრო დასახელება:</w:t>
      </w:r>
      <w:r>
        <w:rPr>
          <w:rFonts w:ascii="Sylfaen" w:hAnsi="Sylfaen"/>
          <w:sz w:val="24"/>
          <w:szCs w:val="24"/>
          <w:lang w:val="ka-GE"/>
        </w:rPr>
        <w:t xml:space="preserve"> სტოპდიარი</w:t>
      </w:r>
      <w:r w:rsidRPr="0077276F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lang w:val="ka-GE"/>
        </w:rPr>
        <w:t xml:space="preserve"> (</w:t>
      </w:r>
      <w:r w:rsidRPr="0077276F">
        <w:rPr>
          <w:rFonts w:ascii="Sylfaen" w:hAnsi="Sylfaen"/>
          <w:sz w:val="24"/>
          <w:szCs w:val="24"/>
          <w:lang w:val="ka-GE"/>
        </w:rPr>
        <w:t>STOPDIAR</w:t>
      </w:r>
      <w:r w:rsidRPr="0077276F">
        <w:rPr>
          <w:rFonts w:ascii="Sylfaen" w:hAnsi="Sylfaen"/>
          <w:sz w:val="24"/>
          <w:szCs w:val="24"/>
          <w:vertAlign w:val="superscript"/>
          <w:lang w:val="ka-GE"/>
        </w:rPr>
        <w:t>®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1EE60F45" w14:textId="0C5E90F3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 xml:space="preserve">საერთაშორისო არაპატენტირებული დასახელება (სად): </w:t>
      </w: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(</w:t>
      </w:r>
      <w:r w:rsidRPr="0077276F">
        <w:rPr>
          <w:rFonts w:ascii="Sylfaen" w:hAnsi="Sylfaen"/>
          <w:sz w:val="24"/>
          <w:szCs w:val="24"/>
          <w:lang w:val="ka-GE"/>
        </w:rPr>
        <w:t>nifuroxazide</w:t>
      </w:r>
      <w:r>
        <w:rPr>
          <w:rFonts w:ascii="Sylfaen" w:hAnsi="Sylfaen"/>
          <w:sz w:val="24"/>
          <w:szCs w:val="24"/>
          <w:lang w:val="ka-GE"/>
        </w:rPr>
        <w:t>)</w:t>
      </w:r>
    </w:p>
    <w:p w14:paraId="22EB8116" w14:textId="159F2C32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წამლის ფორმა:</w:t>
      </w:r>
      <w:r>
        <w:rPr>
          <w:rFonts w:ascii="Sylfaen" w:hAnsi="Sylfaen"/>
          <w:sz w:val="24"/>
          <w:szCs w:val="24"/>
          <w:lang w:val="ka-GE"/>
        </w:rPr>
        <w:t xml:space="preserve"> აპკიანი გარსით დაფარული ტაბლეტები</w:t>
      </w:r>
    </w:p>
    <w:p w14:paraId="166F4133" w14:textId="77777777" w:rsidR="00984DC8" w:rsidRDefault="00984DC8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54569E1D" w14:textId="42F292AB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შემადგენლობა</w:t>
      </w:r>
    </w:p>
    <w:p w14:paraId="6EF18BFA" w14:textId="36A612D0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თითოეული აპკიანი გარსით დაფარული ტაბლეტი შეიცავს:</w:t>
      </w:r>
    </w:p>
    <w:p w14:paraId="1C2C8C55" w14:textId="270042AF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მოქმედი ნივთიერება: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- 100 მგ;</w:t>
      </w:r>
    </w:p>
    <w:p w14:paraId="500B0086" w14:textId="6BCAA836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დამხმარე ნივთიერებები: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proofErr w:type="spellStart"/>
      <w:r w:rsidR="006A58A2">
        <w:rPr>
          <w:rFonts w:ascii="Sylfaen" w:hAnsi="Sylfaen"/>
          <w:sz w:val="24"/>
          <w:szCs w:val="24"/>
        </w:rPr>
        <w:t>სილ</w:t>
      </w:r>
      <w:r w:rsidR="006A58A2">
        <w:rPr>
          <w:rFonts w:ascii="Sylfaen" w:hAnsi="Sylfaen"/>
          <w:sz w:val="24"/>
          <w:szCs w:val="24"/>
          <w:lang w:val="ka-GE"/>
        </w:rPr>
        <w:t>იციუმის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კოლოიდური უწყლო </w:t>
      </w:r>
      <w:proofErr w:type="spellStart"/>
      <w:r>
        <w:rPr>
          <w:rFonts w:ascii="Sylfaen" w:hAnsi="Sylfaen"/>
          <w:sz w:val="24"/>
          <w:szCs w:val="24"/>
          <w:lang w:val="ka-GE"/>
        </w:rPr>
        <w:t>დიოქსიდი</w:t>
      </w:r>
      <w:proofErr w:type="spellEnd"/>
      <w:r>
        <w:rPr>
          <w:rFonts w:ascii="Sylfaen" w:hAnsi="Sylfaen"/>
          <w:sz w:val="24"/>
          <w:szCs w:val="24"/>
          <w:lang w:val="ka-GE"/>
        </w:rPr>
        <w:t>, კარტოფილის სახამებელი, ჟელატინი, ტალკი, მაგიუმის სტეარატი;</w:t>
      </w:r>
    </w:p>
    <w:p w14:paraId="66E3D9AF" w14:textId="346A507E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გარსის შემადგენლობა:</w:t>
      </w:r>
      <w:r>
        <w:rPr>
          <w:rFonts w:ascii="Sylfaen" w:hAnsi="Sylfaen"/>
          <w:sz w:val="24"/>
          <w:szCs w:val="24"/>
          <w:lang w:val="ka-GE"/>
        </w:rPr>
        <w:t xml:space="preserve"> ჰიპრომელოზა, ტიტანის დიოქსიდი (</w:t>
      </w:r>
      <w:r w:rsidRPr="0077276F">
        <w:rPr>
          <w:rFonts w:ascii="Sylfaen" w:hAnsi="Sylfaen"/>
          <w:sz w:val="24"/>
          <w:szCs w:val="24"/>
          <w:lang w:val="ka-GE"/>
        </w:rPr>
        <w:t>E171</w:t>
      </w:r>
      <w:r>
        <w:rPr>
          <w:rFonts w:ascii="Sylfaen" w:hAnsi="Sylfaen"/>
          <w:sz w:val="24"/>
          <w:szCs w:val="24"/>
          <w:lang w:val="ka-GE"/>
        </w:rPr>
        <w:t>), ტალკი, პოლიეთილენგლიკოლი, ქინოლინის ყვითელი (</w:t>
      </w:r>
      <w:r w:rsidRPr="0077276F">
        <w:rPr>
          <w:rFonts w:ascii="Sylfaen" w:hAnsi="Sylfaen"/>
          <w:sz w:val="24"/>
          <w:szCs w:val="24"/>
          <w:lang w:val="ka-GE"/>
        </w:rPr>
        <w:t>E1</w:t>
      </w:r>
      <w:r>
        <w:rPr>
          <w:rFonts w:ascii="Sylfaen" w:hAnsi="Sylfaen"/>
          <w:sz w:val="24"/>
          <w:szCs w:val="24"/>
          <w:lang w:val="ka-GE"/>
        </w:rPr>
        <w:t>04).</w:t>
      </w:r>
    </w:p>
    <w:p w14:paraId="6D9EC338" w14:textId="77777777" w:rsidR="008B70C6" w:rsidRDefault="008B70C6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C68FA1D" w14:textId="74264891" w:rsidR="00A4167B" w:rsidRPr="008B70C6" w:rsidRDefault="00A4167B" w:rsidP="00A4167B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8B70C6">
        <w:rPr>
          <w:rFonts w:ascii="Sylfaen" w:hAnsi="Sylfaen"/>
          <w:b/>
          <w:bCs/>
          <w:i/>
          <w:iCs/>
          <w:sz w:val="24"/>
          <w:szCs w:val="24"/>
          <w:lang w:val="ka-GE"/>
        </w:rPr>
        <w:t>აღწერილობა:</w:t>
      </w:r>
    </w:p>
    <w:p w14:paraId="7BBAC55A" w14:textId="45FB904C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აპკიანი გარსით დაფარული ტაბლეტები, მრგვალი, ორმხრივამოზნექილი, ყვითელი ფერის, დაახლოებით 9 მმ დიამეტრის.</w:t>
      </w:r>
    </w:p>
    <w:p w14:paraId="5EDB9517" w14:textId="0555C115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5DCE732" w14:textId="1B72C3E6" w:rsidR="00A4167B" w:rsidRPr="008B70C6" w:rsidRDefault="00A4167B" w:rsidP="00A4167B">
      <w:pPr>
        <w:pStyle w:val="NoSpacing"/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 w:rsidRPr="008B70C6">
        <w:rPr>
          <w:rFonts w:ascii="Sylfaen" w:hAnsi="Sylfaen"/>
          <w:b/>
          <w:bCs/>
          <w:i/>
          <w:iCs/>
          <w:sz w:val="24"/>
          <w:szCs w:val="24"/>
          <w:lang w:val="ka-GE"/>
        </w:rPr>
        <w:t>ფარმაკოთერაპიული ჯგუფი</w:t>
      </w:r>
    </w:p>
    <w:p w14:paraId="63843B18" w14:textId="328B4F86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ნაწლავის მიკრობების საწინააღმდეგო სხვა საშუალებები.</w:t>
      </w:r>
    </w:p>
    <w:p w14:paraId="553D937A" w14:textId="364F8809" w:rsidR="00A4167B" w:rsidRPr="0077276F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E43425D" w14:textId="77777777" w:rsidR="00A4167B" w:rsidRPr="00984DC8" w:rsidRDefault="00A4167B" w:rsidP="00A4167B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 w:rsidRPr="00984DC8">
        <w:rPr>
          <w:rFonts w:ascii="Sylfaen" w:hAnsi="Sylfaen"/>
          <w:b/>
          <w:bCs/>
          <w:i/>
          <w:iCs/>
          <w:sz w:val="24"/>
          <w:szCs w:val="24"/>
          <w:lang w:val="ka-GE"/>
        </w:rPr>
        <w:t>ფარმაკოლოგიური თვისებები</w:t>
      </w:r>
    </w:p>
    <w:p w14:paraId="7AEF5F3F" w14:textId="1B73A938" w:rsidR="00A4167B" w:rsidRDefault="00A4167B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5-ნიტროფურანის წარმოებულია. ახდენს ანტიმიკრობულ მოქმედებას ნაწლავის სანათურში </w:t>
      </w:r>
      <w:r w:rsidRPr="00A4167B">
        <w:rPr>
          <w:rFonts w:ascii="Sylfaen" w:hAnsi="Sylfaen"/>
          <w:sz w:val="24"/>
          <w:szCs w:val="24"/>
          <w:lang w:val="ka-GE"/>
        </w:rPr>
        <w:t xml:space="preserve">Staphylococcus </w:t>
      </w:r>
      <w:r w:rsidR="00336067">
        <w:rPr>
          <w:rFonts w:ascii="Sylfaen" w:hAnsi="Sylfaen"/>
          <w:sz w:val="24"/>
          <w:szCs w:val="24"/>
          <w:lang w:val="ka-GE"/>
        </w:rPr>
        <w:t xml:space="preserve">ჯიშის გრამდადებითი ზოგიერთი სახეობის და </w:t>
      </w:r>
      <w:r w:rsidRPr="00A4167B">
        <w:rPr>
          <w:rFonts w:ascii="Sylfaen" w:hAnsi="Sylfaen"/>
          <w:sz w:val="24"/>
          <w:szCs w:val="24"/>
          <w:lang w:val="ka-GE"/>
        </w:rPr>
        <w:t xml:space="preserve">Yersinia spp., Escherichia spp., Citrobacter spp., Enterobacter spp., </w:t>
      </w:r>
      <w:r w:rsidR="00336067" w:rsidRPr="00336067">
        <w:rPr>
          <w:rFonts w:ascii="Sylfaen" w:hAnsi="Sylfaen"/>
          <w:sz w:val="24"/>
          <w:szCs w:val="24"/>
          <w:lang w:val="ka-GE"/>
        </w:rPr>
        <w:t>Klebsiella spp., Salmonella spp.</w:t>
      </w:r>
      <w:r w:rsidR="00336067">
        <w:rPr>
          <w:rFonts w:ascii="Sylfaen" w:hAnsi="Sylfaen"/>
          <w:sz w:val="24"/>
          <w:szCs w:val="24"/>
          <w:lang w:val="ka-GE"/>
        </w:rPr>
        <w:t xml:space="preserve"> ჯიშის </w:t>
      </w:r>
      <w:r w:rsidR="00336067" w:rsidRPr="00A4167B">
        <w:rPr>
          <w:rFonts w:ascii="Sylfaen" w:hAnsi="Sylfaen"/>
          <w:sz w:val="24"/>
          <w:szCs w:val="24"/>
          <w:lang w:val="ka-GE"/>
        </w:rPr>
        <w:t>Enterobacteriaceae</w:t>
      </w:r>
      <w:r w:rsidR="00336067">
        <w:rPr>
          <w:rFonts w:ascii="Sylfaen" w:hAnsi="Sylfaen"/>
          <w:sz w:val="24"/>
          <w:szCs w:val="24"/>
          <w:lang w:val="ka-GE"/>
        </w:rPr>
        <w:t xml:space="preserve"> ოჯახის გრამუარყოფითი ბაქტერიების ზოგიერთი სახეობის მიმართ. </w:t>
      </w:r>
    </w:p>
    <w:p w14:paraId="0FD1DDD5" w14:textId="7AD45820" w:rsidR="00A750BF" w:rsidRPr="00A750BF" w:rsidRDefault="00A750BF" w:rsidP="00A4167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არ ავლენს ანტიბაქტერიულ აქტივობას </w:t>
      </w:r>
      <w:r w:rsidRPr="00A750BF">
        <w:rPr>
          <w:rFonts w:ascii="Sylfaen" w:hAnsi="Sylfaen"/>
          <w:sz w:val="24"/>
          <w:szCs w:val="24"/>
          <w:lang w:val="ka-GE"/>
        </w:rPr>
        <w:t xml:space="preserve">Proteus vulgaris, Proteus mirabilis </w:t>
      </w:r>
      <w:r>
        <w:rPr>
          <w:rFonts w:ascii="Sylfaen" w:hAnsi="Sylfaen"/>
          <w:sz w:val="24"/>
          <w:szCs w:val="24"/>
          <w:lang w:val="ka-GE"/>
        </w:rPr>
        <w:t>და</w:t>
      </w:r>
      <w:r w:rsidRPr="00A750BF">
        <w:rPr>
          <w:rFonts w:ascii="Sylfaen" w:hAnsi="Sylfaen"/>
          <w:sz w:val="24"/>
          <w:szCs w:val="24"/>
          <w:lang w:val="ka-GE"/>
        </w:rPr>
        <w:t xml:space="preserve"> Pseudomonas aeruginosa </w:t>
      </w:r>
      <w:r>
        <w:rPr>
          <w:rFonts w:ascii="Sylfaen" w:hAnsi="Sylfaen"/>
          <w:sz w:val="24"/>
          <w:szCs w:val="24"/>
          <w:lang w:val="ka-GE"/>
        </w:rPr>
        <w:t>სახეობის ბაქტერიების მიმართ.</w:t>
      </w:r>
    </w:p>
    <w:p w14:paraId="367B25BB" w14:textId="766AEBE1" w:rsidR="00A750BF" w:rsidRDefault="004D3BF5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</w:t>
      </w:r>
      <w:r w:rsidR="00A750BF">
        <w:rPr>
          <w:rFonts w:ascii="Sylfaen" w:hAnsi="Sylfaen"/>
          <w:sz w:val="24"/>
          <w:szCs w:val="24"/>
          <w:lang w:val="ka-GE"/>
        </w:rPr>
        <w:t xml:space="preserve">არ ანადგურებს ნაწლავის საპროფიტურ ფლორას. არ იწვევს </w:t>
      </w:r>
      <w:r w:rsidR="00A750BF"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 w:rsidR="00A750BF">
        <w:rPr>
          <w:rFonts w:ascii="Sylfaen" w:hAnsi="Sylfaen"/>
          <w:sz w:val="24"/>
          <w:szCs w:val="24"/>
          <w:lang w:val="ka-GE"/>
        </w:rPr>
        <w:t xml:space="preserve">ს მიმართ მდგრადი შტამების გაჩენას. მოქმედების ზუსტი მექანიზმი უცნობია. </w:t>
      </w:r>
      <w:r w:rsidR="00A750BF" w:rsidRPr="00A4167B">
        <w:rPr>
          <w:rFonts w:ascii="Sylfaen" w:hAnsi="Sylfaen"/>
          <w:sz w:val="24"/>
          <w:szCs w:val="24"/>
          <w:lang w:val="ka-GE"/>
        </w:rPr>
        <w:t>ნიფუროქსაზიდ</w:t>
      </w:r>
      <w:r w:rsidR="00A750BF">
        <w:rPr>
          <w:rFonts w:ascii="Sylfaen" w:hAnsi="Sylfaen"/>
          <w:sz w:val="24"/>
          <w:szCs w:val="24"/>
          <w:lang w:val="ka-GE"/>
        </w:rPr>
        <w:t xml:space="preserve">ს შეუძლია დეჰიდროგენაზების აქტივობის ინჰიბირება და ცილების სინთეზის </w:t>
      </w:r>
      <w:r w:rsidR="006A58A2">
        <w:rPr>
          <w:rFonts w:ascii="Sylfaen" w:hAnsi="Sylfaen"/>
          <w:sz w:val="24"/>
          <w:szCs w:val="24"/>
          <w:lang w:val="ka-GE"/>
        </w:rPr>
        <w:t>მოშლა</w:t>
      </w:r>
      <w:r w:rsidR="00A750BF">
        <w:rPr>
          <w:rFonts w:ascii="Sylfaen" w:hAnsi="Sylfaen"/>
          <w:sz w:val="24"/>
          <w:szCs w:val="24"/>
          <w:lang w:val="ka-GE"/>
        </w:rPr>
        <w:t xml:space="preserve"> ბაქტერიების უჯრედებში. ეფექტურობა არ არის დამოკიდებული </w:t>
      </w:r>
      <w:r w:rsidR="00A750BF" w:rsidRPr="00A750BF">
        <w:rPr>
          <w:rFonts w:ascii="Sylfaen" w:hAnsi="Sylfaen"/>
          <w:sz w:val="24"/>
          <w:szCs w:val="24"/>
          <w:lang w:val="ka-GE"/>
        </w:rPr>
        <w:t>pH</w:t>
      </w:r>
      <w:r w:rsidR="00A750BF">
        <w:rPr>
          <w:rFonts w:ascii="Sylfaen" w:hAnsi="Sylfaen"/>
          <w:sz w:val="24"/>
          <w:szCs w:val="24"/>
          <w:lang w:val="ka-GE"/>
        </w:rPr>
        <w:t>-ზე ნაწლავის სანათურში.</w:t>
      </w:r>
    </w:p>
    <w:p w14:paraId="496BB76F" w14:textId="662631CB" w:rsidR="00A750BF" w:rsidRDefault="004D3BF5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პერორალურად მიღების შემდეგ </w:t>
      </w: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პრაქტიკულად არ შეიწოვება კუჭ-ნაწლავის ტრაქტიდან. იგი უცვლელი სახით გამოიყოფა განავალთან ერთად.</w:t>
      </w:r>
    </w:p>
    <w:p w14:paraId="62511A3A" w14:textId="5C6808F9" w:rsidR="004D3BF5" w:rsidRDefault="004D3BF5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E2D137F" w14:textId="6EE6FAB7" w:rsidR="004D3BF5" w:rsidRDefault="004D3BF5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გამოყენების ჩვენებები</w:t>
      </w:r>
    </w:p>
    <w:p w14:paraId="2E2D4068" w14:textId="4E1F7040" w:rsidR="004D3BF5" w:rsidRDefault="008B70C6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- </w:t>
      </w:r>
      <w:r w:rsidR="004D3BF5" w:rsidRPr="00A4167B">
        <w:rPr>
          <w:rFonts w:ascii="Sylfaen" w:hAnsi="Sylfaen"/>
          <w:sz w:val="24"/>
          <w:szCs w:val="24"/>
          <w:lang w:val="ka-GE"/>
        </w:rPr>
        <w:t>Staphylococcus</w:t>
      </w:r>
      <w:r w:rsidR="004D3BF5">
        <w:rPr>
          <w:rFonts w:ascii="Sylfaen" w:hAnsi="Sylfaen"/>
          <w:sz w:val="24"/>
          <w:szCs w:val="24"/>
          <w:lang w:val="ka-GE"/>
        </w:rPr>
        <w:t xml:space="preserve"> </w:t>
      </w:r>
      <w:r w:rsidR="004D3BF5" w:rsidRPr="00A4167B">
        <w:rPr>
          <w:rFonts w:ascii="Sylfaen" w:hAnsi="Sylfaen"/>
          <w:sz w:val="24"/>
          <w:szCs w:val="24"/>
          <w:lang w:val="ka-GE"/>
        </w:rPr>
        <w:t>spp.,</w:t>
      </w:r>
      <w:r w:rsidR="004D3BF5">
        <w:rPr>
          <w:rFonts w:ascii="Sylfaen" w:hAnsi="Sylfaen"/>
          <w:sz w:val="24"/>
          <w:szCs w:val="24"/>
          <w:lang w:val="ka-GE"/>
        </w:rPr>
        <w:t xml:space="preserve"> </w:t>
      </w:r>
      <w:r w:rsidR="004D3BF5" w:rsidRPr="00336067">
        <w:rPr>
          <w:rFonts w:ascii="Sylfaen" w:hAnsi="Sylfaen"/>
          <w:sz w:val="24"/>
          <w:szCs w:val="24"/>
          <w:lang w:val="ka-GE"/>
        </w:rPr>
        <w:t>Salmonella spp.</w:t>
      </w:r>
      <w:r w:rsidR="007D11A1">
        <w:rPr>
          <w:rFonts w:ascii="Sylfaen" w:hAnsi="Sylfaen"/>
          <w:sz w:val="24"/>
          <w:szCs w:val="24"/>
          <w:lang w:val="ka-GE"/>
        </w:rPr>
        <w:t xml:space="preserve">, </w:t>
      </w:r>
      <w:r w:rsidR="007D11A1" w:rsidRPr="00A4167B">
        <w:rPr>
          <w:rFonts w:ascii="Sylfaen" w:hAnsi="Sylfaen"/>
          <w:sz w:val="24"/>
          <w:szCs w:val="24"/>
          <w:lang w:val="ka-GE"/>
        </w:rPr>
        <w:t>Escherichia</w:t>
      </w:r>
      <w:r w:rsidR="007D11A1">
        <w:rPr>
          <w:rFonts w:ascii="Sylfaen" w:hAnsi="Sylfaen"/>
          <w:sz w:val="24"/>
          <w:szCs w:val="24"/>
          <w:lang w:val="ka-GE"/>
        </w:rPr>
        <w:t xml:space="preserve"> </w:t>
      </w:r>
      <w:r w:rsidR="007D11A1" w:rsidRPr="007D11A1">
        <w:rPr>
          <w:rFonts w:ascii="Sylfaen" w:hAnsi="Sylfaen"/>
          <w:sz w:val="24"/>
          <w:szCs w:val="24"/>
          <w:lang w:val="ka-GE"/>
        </w:rPr>
        <w:t>coli</w:t>
      </w:r>
      <w:r w:rsidR="007D11A1">
        <w:rPr>
          <w:rFonts w:ascii="Sylfaen" w:hAnsi="Sylfaen"/>
          <w:sz w:val="24"/>
          <w:szCs w:val="24"/>
          <w:lang w:val="ka-GE"/>
        </w:rPr>
        <w:t xml:space="preserve"> მგრძნობიარე შტამებით გამოწვეული ბაქტერიული წარმოშობის მწვავე დიარეის მკურნალობა ინვაზიის ნიშნების </w:t>
      </w:r>
      <w:r w:rsidR="006A58A2">
        <w:rPr>
          <w:rFonts w:ascii="Sylfaen" w:hAnsi="Sylfaen"/>
          <w:sz w:val="24"/>
          <w:szCs w:val="24"/>
          <w:lang w:val="ka-GE"/>
        </w:rPr>
        <w:t xml:space="preserve">არ </w:t>
      </w:r>
      <w:r w:rsidR="007D11A1">
        <w:rPr>
          <w:rFonts w:ascii="Sylfaen" w:hAnsi="Sylfaen"/>
          <w:sz w:val="24"/>
          <w:szCs w:val="24"/>
          <w:lang w:val="ka-GE"/>
        </w:rPr>
        <w:t>არსებობისას (მაგალითად, ზოგადი მდგომარეობის გაუარესება, ტემპერატურის მომატება, ტოქსიკოინფექცია და სხვ.).</w:t>
      </w:r>
    </w:p>
    <w:p w14:paraId="66C76D4C" w14:textId="498D1E46" w:rsidR="007D11A1" w:rsidRDefault="007D11A1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proofErr w:type="spellStart"/>
      <w:r>
        <w:rPr>
          <w:rFonts w:ascii="Sylfaen" w:hAnsi="Sylfaen"/>
          <w:sz w:val="24"/>
          <w:szCs w:val="24"/>
          <w:lang w:val="ka-GE"/>
        </w:rPr>
        <w:t>რე</w:t>
      </w:r>
      <w:r w:rsidR="008E6EFA">
        <w:rPr>
          <w:rFonts w:ascii="Sylfaen" w:hAnsi="Sylfaen"/>
          <w:sz w:val="24"/>
          <w:szCs w:val="24"/>
          <w:lang w:val="ka-GE"/>
        </w:rPr>
        <w:t>ჰ</w:t>
      </w:r>
      <w:r>
        <w:rPr>
          <w:rFonts w:ascii="Sylfaen" w:hAnsi="Sylfaen"/>
          <w:sz w:val="24"/>
          <w:szCs w:val="24"/>
          <w:lang w:val="ka-GE"/>
        </w:rPr>
        <w:t>იდრატაციის</w:t>
      </w:r>
      <w:proofErr w:type="spellEnd"/>
      <w:r>
        <w:rPr>
          <w:rFonts w:ascii="Sylfaen" w:hAnsi="Sylfaen"/>
          <w:sz w:val="24"/>
          <w:szCs w:val="24"/>
          <w:lang w:val="ka-GE"/>
        </w:rPr>
        <w:t xml:space="preserve"> დოზა და წესი (პერორალურად ან ვენაში) განისაზღვრება დიარეის სიმძიმის, პაციენტის ასაკის, მდგომარეობის, თანმხლები დაავადებების არსებობის მიხედვით.</w:t>
      </w:r>
    </w:p>
    <w:p w14:paraId="7DAFB6C2" w14:textId="7EB42630" w:rsidR="007D11A1" w:rsidRDefault="007D11A1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02A008A" w14:textId="77777777" w:rsidR="008B70C6" w:rsidRDefault="008B70C6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52AA375" w14:textId="77777777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უკუჩვენებები</w:t>
      </w:r>
    </w:p>
    <w:p w14:paraId="0FCD8BEF" w14:textId="77777777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ს გამოყენება უკუნაჩვენებია ჰიპერმგრძნობელობისას პრეპარატის რომელიმე კომპონენტის მიმართ, ასევე ალერგიული რეაქციებისას 5-ნიტროფურანის წარმოებულების მიმართ. </w:t>
      </w:r>
    </w:p>
    <w:p w14:paraId="5B7E0DCA" w14:textId="01CF684C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ბავშვთა ასაკი 7 წლამდე (წამლის ფორმის თავისებურებების გამო).</w:t>
      </w:r>
    </w:p>
    <w:p w14:paraId="73362F32" w14:textId="77777777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1AAB747E" w14:textId="1B1109E0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სიფრთხილე გამოყენებისას</w:t>
      </w:r>
    </w:p>
    <w:p w14:paraId="3EA0D739" w14:textId="0CA8FB8A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ხანგრძლივი დიარეის შემთხვევაში 3-დღიანი მკურნალობის შემდეგ საჭიროა ექიმთან რჩევისთვის მიმართვა. ექიმმა უნდა განსაზღვროს სიმპტომების მიზეზები და განიხილოს  საკითხი ანტიბიოტიკოთერაპიის დანიშვნის შესახებ.</w:t>
      </w:r>
    </w:p>
    <w:p w14:paraId="62F440A3" w14:textId="49DD86E2" w:rsidR="008B70C6" w:rsidRDefault="006C63AE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პრეპარატი გამოიყენება</w:t>
      </w:r>
      <w:r w:rsidR="008B70C6">
        <w:rPr>
          <w:rFonts w:ascii="Sylfaen" w:hAnsi="Sylfaen"/>
          <w:sz w:val="24"/>
          <w:szCs w:val="24"/>
          <w:lang w:val="ka-GE"/>
        </w:rPr>
        <w:t xml:space="preserve"> </w:t>
      </w:r>
      <w:r>
        <w:rPr>
          <w:rFonts w:ascii="Sylfaen" w:hAnsi="Sylfaen"/>
          <w:sz w:val="24"/>
          <w:szCs w:val="24"/>
          <w:lang w:val="ka-GE"/>
        </w:rPr>
        <w:t>აუცილებლად</w:t>
      </w:r>
      <w:r w:rsidR="008B70C6">
        <w:rPr>
          <w:rFonts w:ascii="Sylfaen" w:hAnsi="Sylfaen"/>
          <w:sz w:val="24"/>
          <w:szCs w:val="24"/>
          <w:lang w:val="ka-GE"/>
        </w:rPr>
        <w:t xml:space="preserve"> დიეტის დაცვით, წვენების, უმი ბოსტნეულისა და ხილის, მწვავე და ძნელად გადასამუშავებელი საკვების გამორიცხვით.</w:t>
      </w:r>
    </w:p>
    <w:p w14:paraId="6F8FB463" w14:textId="669AA5C8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თ მკურნალობის დროს უკუნაჩვენებია ალკოჰოლური სასმელების მიღება, ვინაიდან პრეპარატი ზრდის ორგანიზმის მგრძნობელობას ალკოჰოლის მიმართ და შეუძლია </w:t>
      </w:r>
      <w:r w:rsidR="006C63AE">
        <w:rPr>
          <w:rFonts w:ascii="Sylfaen" w:hAnsi="Sylfaen"/>
          <w:sz w:val="24"/>
          <w:szCs w:val="24"/>
          <w:lang w:val="ka-GE"/>
        </w:rPr>
        <w:t>მოახდინოს</w:t>
      </w:r>
      <w:r>
        <w:rPr>
          <w:rFonts w:ascii="Sylfaen" w:hAnsi="Sylfaen"/>
          <w:sz w:val="24"/>
          <w:szCs w:val="24"/>
          <w:lang w:val="ka-GE"/>
        </w:rPr>
        <w:t xml:space="preserve"> რეაქციის პროვოცირება</w:t>
      </w:r>
      <w:r w:rsidR="006C63AE">
        <w:rPr>
          <w:rFonts w:ascii="Sylfaen" w:hAnsi="Sylfaen"/>
          <w:sz w:val="24"/>
          <w:szCs w:val="24"/>
          <w:lang w:val="ka-GE"/>
        </w:rPr>
        <w:t>, რომელიც გამოიხატება დიარეის გამწვავებით, გულისრევით, მუცლის ტკივილით, კანის ჰიპერემიით, სიცხის შეგრძნებით სახესა და სხეულის ზედა ნაწილში, თავში ხმაურით, გაძნელებული სუნთქვით, ტაქიკარდიით, შიშის შეგრძნებით.</w:t>
      </w:r>
    </w:p>
    <w:p w14:paraId="55D6D421" w14:textId="2D94D41A" w:rsidR="006C63AE" w:rsidRDefault="006C63AE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DF4D218" w14:textId="77777777" w:rsidR="006C63AE" w:rsidRDefault="006C63AE" w:rsidP="006C63AE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პრეპარატის გამოყენება ორსულობის დროს და ლაქტაციის პერიოდში</w:t>
      </w:r>
    </w:p>
    <w:p w14:paraId="742CC64C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CA6213">
        <w:rPr>
          <w:rFonts w:ascii="Sylfaen" w:hAnsi="Sylfaen"/>
          <w:i/>
          <w:iCs/>
          <w:sz w:val="24"/>
          <w:szCs w:val="24"/>
          <w:lang w:val="ka-GE"/>
        </w:rPr>
        <w:t>ნიფუროქსაზიდის გამოყენება ორსულობის პერიოდში:</w:t>
      </w:r>
    </w:p>
    <w:p w14:paraId="74C03ACE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ორსულობის პერიოდში </w:t>
      </w: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>ს გამოყენების შესახებ კლინიკური მონაცემები არ არსებობს.</w:t>
      </w:r>
    </w:p>
    <w:p w14:paraId="0D9CF1F1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ცხოველებზე ჩატარებული კვლევები არ აჩვენებენ არც პირდაპირ, არც ირიბ ზეგავლენას ორსულობის მიმდინარეობაზე, ემბრიონის ან ნაყოფის განვითარებაზე, მშობიარობის მიმდინარეობაზე ან მშობიარობის შემდეგ ბავშვის განვითარებაზე.</w:t>
      </w:r>
    </w:p>
    <w:p w14:paraId="58FA5CD4" w14:textId="478D9EAE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უმჯობესია, თუ </w:t>
      </w: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არ იქნება გამოყენებული ორსულ ქალებში. პრეპარატის დანიშვნამდე მკურნალმა ექიმმა კარგად უნდა შეაფასოს მოსალოდნელი სარგებელი/რისკი მისი გამოყენების გამო.</w:t>
      </w:r>
    </w:p>
    <w:p w14:paraId="17C80649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FA5ED1E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CA6213">
        <w:rPr>
          <w:rFonts w:ascii="Sylfaen" w:hAnsi="Sylfaen"/>
          <w:i/>
          <w:iCs/>
          <w:sz w:val="24"/>
          <w:szCs w:val="24"/>
          <w:lang w:val="ka-GE"/>
        </w:rPr>
        <w:t xml:space="preserve">ნიფუროქსაზიდის გამოყენება </w:t>
      </w:r>
      <w:r>
        <w:rPr>
          <w:rFonts w:ascii="Sylfaen" w:hAnsi="Sylfaen"/>
          <w:i/>
          <w:iCs/>
          <w:sz w:val="24"/>
          <w:szCs w:val="24"/>
          <w:lang w:val="ka-GE"/>
        </w:rPr>
        <w:t>ლაქტაციის</w:t>
      </w:r>
      <w:r w:rsidRPr="00CA6213">
        <w:rPr>
          <w:rFonts w:ascii="Sylfaen" w:hAnsi="Sylfaen"/>
          <w:i/>
          <w:iCs/>
          <w:sz w:val="24"/>
          <w:szCs w:val="24"/>
          <w:lang w:val="ka-GE"/>
        </w:rPr>
        <w:t xml:space="preserve"> პერიოდში:</w:t>
      </w:r>
    </w:p>
    <w:p w14:paraId="4B86867E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არ შეიწოვება კუჭ-ნაწლავის ტრაქტიდან. მაგრამ, საკმარისი კლინიკური მონაცემების არქონის გამო საჭიროა სიფრთხილის დაცვა მეძუძურ ქალებში </w:t>
      </w: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ს დანიშვნისას. </w:t>
      </w:r>
    </w:p>
    <w:p w14:paraId="4199A251" w14:textId="0DFE43BB" w:rsidR="006C63AE" w:rsidRDefault="006C63AE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>ს გამოყენებამდე მეძუძურმა ქალებმა კონსულტაციისთვის უნდა მიმართონ ექიმს.</w:t>
      </w:r>
    </w:p>
    <w:p w14:paraId="6EB83D26" w14:textId="5EDD3B5F" w:rsidR="008B70C6" w:rsidRDefault="008B70C6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86E087B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პრეპარატის ზეგავლენა სატრანსპორტო საშუალებების მართვისა და მექანიზმებთან მუშაობის უნარზე</w:t>
      </w:r>
    </w:p>
    <w:p w14:paraId="70481B9D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არ ახდენს გავლენას სატრანსპორტო საშუალებებისა და მექანიზმების მართვის უნარზე. </w:t>
      </w:r>
    </w:p>
    <w:p w14:paraId="683BA3B2" w14:textId="19585A70" w:rsidR="006C63AE" w:rsidRDefault="006C63AE" w:rsidP="008B70C6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D922CAA" w14:textId="159A6305" w:rsidR="006C63AE" w:rsidRDefault="006C63AE" w:rsidP="008B70C6">
      <w:pPr>
        <w:pStyle w:val="NoSpacing"/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ექიმთან კონსულტაციის გარეშე დადგენილ ვადაზე დიდხანს პრეპარატი არ გამოიყენოთ!</w:t>
      </w:r>
    </w:p>
    <w:p w14:paraId="780863D3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74EA9314" w14:textId="77777777" w:rsidR="006C63AE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ურთიერთქმედება სხვა სამკურნალო საშუალებებთან</w:t>
      </w:r>
    </w:p>
    <w:p w14:paraId="65F8CEB2" w14:textId="52C5CCBD" w:rsidR="00B75D37" w:rsidRDefault="00B75D37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 პრაქტიკულად არ შეიწოვება კუჭ-ნაწლავის ტრაქტიდან.</w:t>
      </w:r>
    </w:p>
    <w:p w14:paraId="26A2E118" w14:textId="77777777" w:rsidR="0029680B" w:rsidRDefault="006C63AE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lastRenderedPageBreak/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>ს გამოყენების დროს მოერიდეთ სხვა პერორალური საშუალებების გამოყენებას პრეპარატის ძლიერი ადბსორციული თვისებების გამო.</w:t>
      </w:r>
      <w:r w:rsidR="0029680B">
        <w:rPr>
          <w:rFonts w:ascii="Sylfaen" w:hAnsi="Sylfaen"/>
          <w:sz w:val="24"/>
          <w:szCs w:val="24"/>
          <w:lang w:val="ka-GE"/>
        </w:rPr>
        <w:t xml:space="preserve"> </w:t>
      </w:r>
    </w:p>
    <w:p w14:paraId="6619692A" w14:textId="707C489A" w:rsidR="006C63AE" w:rsidRDefault="0029680B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>თ მკურნალობის დროს ალკოჰოლის გამოყენებამ შეიძლება გამოიწვიოს დისულფირამის მაგვარი რეაქციები.</w:t>
      </w:r>
    </w:p>
    <w:p w14:paraId="6AFA2644" w14:textId="77777777" w:rsidR="0029680B" w:rsidRDefault="0029680B" w:rsidP="006C63A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9E83AF5" w14:textId="5B67A078" w:rsidR="007D11A1" w:rsidRDefault="007D11A1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გამოყენების წესი და დოზები</w:t>
      </w:r>
    </w:p>
    <w:p w14:paraId="3183F429" w14:textId="54C7CCB4" w:rsidR="007D11A1" w:rsidRDefault="007D11A1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პრეპარატ სტოპდიარის ტაბლეტები განკუთვნილია შიგნით მიღებისთვის.</w:t>
      </w:r>
    </w:p>
    <w:p w14:paraId="1004FCF2" w14:textId="28A39A54" w:rsidR="007D11A1" w:rsidRDefault="007D11A1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მოზრდილებსა და 7 წელზე უფროს ბავშვებში ინიშნება 2 ტაბლეტი 4-ჯერ დღეში. პრეპარატი მიიღება საკვების მიღებისგან დამოუკიდებლად დროის თანაბარი შუალედებით (ყოველ 6 საათში).</w:t>
      </w:r>
    </w:p>
    <w:p w14:paraId="27645ADD" w14:textId="49A32337" w:rsidR="007D11A1" w:rsidRDefault="007D11A1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ტაბლეტი იყლაპება მთლიანად, მცირე რაოდენობით წყლის მიყოლებით, დაუღეჭავად და დანაწევრების გარეშე. სტოპდიარის აპკიანი გარსით დაფარული ტაბლეტების მიღება მწვავე დიარეის სამკურნალოდ რეკომენდებულია 3 დღის განმავლობაში. </w:t>
      </w:r>
      <w:r w:rsidR="000867C0">
        <w:rPr>
          <w:rFonts w:ascii="Sylfaen" w:hAnsi="Sylfaen"/>
          <w:sz w:val="24"/>
          <w:szCs w:val="24"/>
          <w:lang w:val="ka-GE"/>
        </w:rPr>
        <w:t>თუ ამის შემდეგ სიმპტომები არ ალაგდება, საჭიროა ექიმთან მიმართვა.</w:t>
      </w:r>
    </w:p>
    <w:p w14:paraId="23CCD234" w14:textId="4E728139" w:rsidR="000867C0" w:rsidRDefault="0029680B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პრეპარატ სტოპდიარის აპკიანი გარსით დაფარული ტაბლეტების გამოყენება 3 დღეზე მეტ ხანს ექიმთან კონსულტაციის გარეშე აკრძალულია. </w:t>
      </w:r>
    </w:p>
    <w:p w14:paraId="357CD959" w14:textId="77777777" w:rsidR="0029680B" w:rsidRDefault="0029680B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223C162" w14:textId="77777777" w:rsidR="0029680B" w:rsidRDefault="0029680B" w:rsidP="0029680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ჭარბი დოზა</w:t>
      </w:r>
    </w:p>
    <w:p w14:paraId="20BEABEA" w14:textId="77777777" w:rsidR="0029680B" w:rsidRDefault="0029680B" w:rsidP="0029680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პრეპარატის გამოყენებისას ჭარბი დოზის შემთხვევების შესახებ შეტყობინებები დღემდე არ შემოსულა. ჭარბი დოზის შემთხვევაში რეკომენდებულია კუჭის ამორეცხვა და სიმპტომური მკურნალობა.</w:t>
      </w:r>
    </w:p>
    <w:p w14:paraId="57D4A29C" w14:textId="77777777" w:rsidR="0029680B" w:rsidRDefault="0029680B" w:rsidP="00A750BF">
      <w:pPr>
        <w:pStyle w:val="NoSpacing"/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</w:p>
    <w:p w14:paraId="7D0490DA" w14:textId="21C9DA9E" w:rsidR="000867C0" w:rsidRDefault="000867C0" w:rsidP="00A750BF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გვერდითი მოქმედება</w:t>
      </w:r>
    </w:p>
    <w:p w14:paraId="1AEDCD3F" w14:textId="0B3DDAE9" w:rsidR="000867C0" w:rsidRDefault="000867C0" w:rsidP="00A750BF">
      <w:pPr>
        <w:pStyle w:val="NoSpacing"/>
        <w:jc w:val="both"/>
        <w:rPr>
          <w:rFonts w:ascii="Sylfaen" w:hAnsi="Sylfaen"/>
          <w:i/>
          <w:iCs/>
          <w:sz w:val="24"/>
          <w:szCs w:val="24"/>
          <w:lang w:val="ka-GE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>სისხლმბადი და ლიმფური სისტემის მხრივ:</w:t>
      </w:r>
    </w:p>
    <w:p w14:paraId="5F03DF1B" w14:textId="7CF039FC" w:rsidR="000867C0" w:rsidRDefault="000867C0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აღწერილია გრანულოციტოპენიის ერთი შემთხვევა.</w:t>
      </w:r>
    </w:p>
    <w:p w14:paraId="26ED7634" w14:textId="7EDC73E4" w:rsidR="000867C0" w:rsidRDefault="000867C0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A56EB36" w14:textId="2B4195D5" w:rsidR="000867C0" w:rsidRDefault="000867C0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>კუჭ-ნაწლავის ტრაქტის მხრივ:</w:t>
      </w:r>
    </w:p>
    <w:p w14:paraId="0E1DD463" w14:textId="4EF66978" w:rsidR="000867C0" w:rsidRDefault="000867C0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>
        <w:rPr>
          <w:rFonts w:ascii="Sylfaen" w:hAnsi="Sylfaen"/>
          <w:sz w:val="24"/>
          <w:szCs w:val="24"/>
          <w:lang w:val="ka-GE"/>
        </w:rPr>
        <w:t xml:space="preserve">ს მიმართ ინდივიდუალური ჰიპერმგრძნობელობის შემთხვევაში შეიძლება </w:t>
      </w:r>
      <w:r w:rsidR="00D27282">
        <w:rPr>
          <w:rFonts w:ascii="Sylfaen" w:hAnsi="Sylfaen"/>
          <w:sz w:val="24"/>
          <w:szCs w:val="24"/>
          <w:lang w:val="ka-GE"/>
        </w:rPr>
        <w:t xml:space="preserve">გამოვლინდეს ტკივილი მუცელში, ღებინება და დიარეის გამწვავება. </w:t>
      </w:r>
      <w:r w:rsidR="0029680B">
        <w:rPr>
          <w:rFonts w:ascii="Sylfaen" w:hAnsi="Sylfaen"/>
          <w:sz w:val="24"/>
          <w:szCs w:val="24"/>
          <w:lang w:val="ka-GE"/>
        </w:rPr>
        <w:t>იმ შემთხვევაში, თუ აღწერილი სიმპტომები გამოხატულია უმნიშვნელოდ,</w:t>
      </w:r>
      <w:r w:rsidR="00D27282">
        <w:rPr>
          <w:rFonts w:ascii="Sylfaen" w:hAnsi="Sylfaen"/>
          <w:sz w:val="24"/>
          <w:szCs w:val="24"/>
          <w:lang w:val="ka-GE"/>
        </w:rPr>
        <w:t xml:space="preserve"> საჭირო არ არის სპეციალური თერაპიის ჩატარებ</w:t>
      </w:r>
      <w:r w:rsidR="00BA25EE">
        <w:rPr>
          <w:rFonts w:ascii="Sylfaen" w:hAnsi="Sylfaen"/>
          <w:sz w:val="24"/>
          <w:szCs w:val="24"/>
          <w:lang w:val="ka-GE"/>
        </w:rPr>
        <w:t>ა</w:t>
      </w:r>
      <w:r w:rsidR="00D27282">
        <w:rPr>
          <w:rFonts w:ascii="Sylfaen" w:hAnsi="Sylfaen"/>
          <w:sz w:val="24"/>
          <w:szCs w:val="24"/>
          <w:lang w:val="ka-GE"/>
        </w:rPr>
        <w:t xml:space="preserve"> ან </w:t>
      </w:r>
      <w:r w:rsidR="00D27282" w:rsidRPr="00A4167B">
        <w:rPr>
          <w:rFonts w:ascii="Sylfaen" w:hAnsi="Sylfaen"/>
          <w:sz w:val="24"/>
          <w:szCs w:val="24"/>
          <w:lang w:val="ka-GE"/>
        </w:rPr>
        <w:t>ნიფუროქსაზიდი</w:t>
      </w:r>
      <w:r w:rsidR="00D27282">
        <w:rPr>
          <w:rFonts w:ascii="Sylfaen" w:hAnsi="Sylfaen"/>
          <w:sz w:val="24"/>
          <w:szCs w:val="24"/>
          <w:lang w:val="ka-GE"/>
        </w:rPr>
        <w:t xml:space="preserve">ს გამოყენების შეწყვეტა. </w:t>
      </w:r>
      <w:r w:rsidR="0029680B">
        <w:rPr>
          <w:rFonts w:ascii="Sylfaen" w:hAnsi="Sylfaen"/>
          <w:sz w:val="24"/>
          <w:szCs w:val="24"/>
          <w:lang w:val="ka-GE"/>
        </w:rPr>
        <w:t>ზემოჩამოთვლილი სიმპტომების მნიშვნელოვანი ინტენსივობისას სამკურნალო საშ</w:t>
      </w:r>
      <w:r w:rsidR="00601466">
        <w:rPr>
          <w:rFonts w:ascii="Sylfaen" w:hAnsi="Sylfaen"/>
          <w:sz w:val="24"/>
          <w:szCs w:val="24"/>
          <w:lang w:val="ka-GE"/>
        </w:rPr>
        <w:t>უ</w:t>
      </w:r>
      <w:r w:rsidR="0029680B">
        <w:rPr>
          <w:rFonts w:ascii="Sylfaen" w:hAnsi="Sylfaen"/>
          <w:sz w:val="24"/>
          <w:szCs w:val="24"/>
          <w:lang w:val="ka-GE"/>
        </w:rPr>
        <w:t xml:space="preserve">ალების გამოყენება უნდა შეწყდეს. </w:t>
      </w:r>
      <w:r w:rsidR="00BA25EE">
        <w:rPr>
          <w:rFonts w:ascii="Sylfaen" w:hAnsi="Sylfaen"/>
          <w:sz w:val="24"/>
          <w:szCs w:val="24"/>
          <w:lang w:val="ka-GE"/>
        </w:rPr>
        <w:t xml:space="preserve">შემდგომში ავადმყოფმა ნიტროფურანის წარმოებულები არ უნდა მიიღოს. </w:t>
      </w:r>
    </w:p>
    <w:p w14:paraId="286C1319" w14:textId="55257967" w:rsidR="00BA25EE" w:rsidRDefault="00BA25EE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6A2F8518" w14:textId="60D7929E" w:rsidR="00F12FF0" w:rsidRDefault="00F12FF0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i/>
          <w:iCs/>
          <w:sz w:val="24"/>
          <w:szCs w:val="24"/>
          <w:lang w:val="ka-GE"/>
        </w:rPr>
        <w:t>კანისა და კანქვეშა უჯრედისის მხრივ:</w:t>
      </w:r>
    </w:p>
    <w:p w14:paraId="6BD5A9FE" w14:textId="77777777" w:rsidR="00342EBC" w:rsidRDefault="00F12FF0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იშვიათად ვლინდება კანის რეაქციები კანზე გამონაყარის სახით (≥1/10000-დან &lt;1/1000-მდე). აღწერილია პუსტულოზის ერთი შემთხვევა ხანდაზმულ ადამიანში და </w:t>
      </w:r>
      <w:r w:rsidR="00342EBC">
        <w:rPr>
          <w:rFonts w:ascii="Sylfaen" w:hAnsi="Sylfaen"/>
          <w:sz w:val="24"/>
          <w:szCs w:val="24"/>
          <w:lang w:val="ka-GE"/>
        </w:rPr>
        <w:t xml:space="preserve">კვანძებიანი პურიგოს ერთი შემთხვევა </w:t>
      </w:r>
      <w:r w:rsidR="00342EBC" w:rsidRPr="00A4167B">
        <w:rPr>
          <w:rFonts w:ascii="Sylfaen" w:hAnsi="Sylfaen"/>
          <w:sz w:val="24"/>
          <w:szCs w:val="24"/>
          <w:lang w:val="ka-GE"/>
        </w:rPr>
        <w:t>ნიფუროქსაზიდ</w:t>
      </w:r>
      <w:r w:rsidR="00342EBC">
        <w:rPr>
          <w:rFonts w:ascii="Sylfaen" w:hAnsi="Sylfaen"/>
          <w:sz w:val="24"/>
          <w:szCs w:val="24"/>
          <w:lang w:val="ka-GE"/>
        </w:rPr>
        <w:t>ის მიმართ კონტაქტური ალერგიის შედეგად.</w:t>
      </w:r>
    </w:p>
    <w:p w14:paraId="4920A445" w14:textId="4826E479" w:rsidR="00F12FF0" w:rsidRDefault="00342EBC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ჰიპერმგრძნობელობის რეაქციების, როგორებიც არის</w:t>
      </w:r>
      <w:r w:rsidR="00984DC8">
        <w:rPr>
          <w:rFonts w:ascii="Sylfaen" w:hAnsi="Sylfaen"/>
          <w:sz w:val="24"/>
          <w:szCs w:val="24"/>
          <w:lang w:val="ka-GE"/>
        </w:rPr>
        <w:t>:</w:t>
      </w:r>
      <w:r>
        <w:rPr>
          <w:rFonts w:ascii="Sylfaen" w:hAnsi="Sylfaen"/>
          <w:sz w:val="24"/>
          <w:szCs w:val="24"/>
          <w:lang w:val="ka-GE"/>
        </w:rPr>
        <w:t xml:space="preserve"> ქოშინი, სახის, ენის, ტუჩების შეშუპება, გამონაყარი კანზე, ქავილი, წარმოქმნის შემთხვევაში დაუყოვნებლივ უნდა შეწყდეს პრეპარატის გამოყენება.</w:t>
      </w:r>
    </w:p>
    <w:p w14:paraId="37EF95CE" w14:textId="7D52D7CC" w:rsidR="00342EBC" w:rsidRDefault="00342EBC" w:rsidP="00A750BF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75D348CD" w14:textId="1824036B" w:rsidR="002B2CA6" w:rsidRPr="00984DC8" w:rsidRDefault="00984DC8" w:rsidP="00A750BF">
      <w:pPr>
        <w:pStyle w:val="NoSpacing"/>
        <w:jc w:val="both"/>
        <w:rPr>
          <w:rFonts w:ascii="Sylfaen" w:hAnsi="Sylfaen"/>
          <w:b/>
          <w:bCs/>
          <w:i/>
          <w:iCs/>
          <w:sz w:val="24"/>
          <w:szCs w:val="24"/>
          <w:lang w:val="ka-GE"/>
        </w:rPr>
      </w:pPr>
      <w:r>
        <w:rPr>
          <w:rFonts w:ascii="Sylfaen" w:hAnsi="Sylfaen"/>
          <w:b/>
          <w:bCs/>
          <w:i/>
          <w:iCs/>
          <w:sz w:val="24"/>
          <w:szCs w:val="24"/>
          <w:lang w:val="ka-GE"/>
        </w:rPr>
        <w:t>ნებისმიერი გვერდითი რეაქციების წარმოქმნისას აუცილებელია მკურნალ ექიმთან მიმართვა!</w:t>
      </w:r>
    </w:p>
    <w:p w14:paraId="00D8BB89" w14:textId="77777777" w:rsidR="00984DC8" w:rsidRDefault="00984DC8">
      <w:pPr>
        <w:pStyle w:val="NoSpacing"/>
        <w:jc w:val="both"/>
        <w:rPr>
          <w:rFonts w:ascii="Sylfaen" w:hAnsi="Sylfaen"/>
          <w:b/>
          <w:bCs/>
          <w:sz w:val="24"/>
          <w:szCs w:val="24"/>
          <w:lang w:val="ka-GE"/>
        </w:rPr>
      </w:pPr>
    </w:p>
    <w:p w14:paraId="180E0693" w14:textId="38A3D96B" w:rsidR="0010495B" w:rsidRDefault="0010495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ვარგისობის ვადა</w:t>
      </w:r>
    </w:p>
    <w:p w14:paraId="7A831A01" w14:textId="5407CFFF" w:rsidR="0010495B" w:rsidRDefault="0010495B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4 წელი.</w:t>
      </w:r>
    </w:p>
    <w:p w14:paraId="4AC34772" w14:textId="42F088B3" w:rsidR="0010495B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lastRenderedPageBreak/>
        <w:t>შეფუთვაზე მითითებული ვარგისობის ვადის გასვლის შემდეგ გამოყენება არ შეიძლება.</w:t>
      </w:r>
    </w:p>
    <w:p w14:paraId="20B9117F" w14:textId="76E10023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30CF381A" w14:textId="3800F796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შენახვის პირობები</w:t>
      </w:r>
    </w:p>
    <w:p w14:paraId="1827054B" w14:textId="0CA05CF8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ინახება არა უმეტეს 25</w:t>
      </w:r>
      <w:r w:rsidRPr="00DF605E">
        <w:rPr>
          <w:rFonts w:ascii="Sylfaen" w:hAnsi="Sylfaen"/>
          <w:sz w:val="24"/>
          <w:szCs w:val="24"/>
          <w:vertAlign w:val="superscript"/>
          <w:lang w:val="ka-GE"/>
        </w:rPr>
        <w:t>0</w:t>
      </w:r>
      <w:r w:rsidRPr="008E6EFA">
        <w:rPr>
          <w:rFonts w:ascii="Sylfaen" w:hAnsi="Sylfaen"/>
          <w:sz w:val="24"/>
          <w:szCs w:val="24"/>
          <w:lang w:val="ka-GE"/>
        </w:rPr>
        <w:t>C</w:t>
      </w:r>
      <w:r>
        <w:rPr>
          <w:rFonts w:ascii="Sylfaen" w:hAnsi="Sylfaen"/>
          <w:sz w:val="24"/>
          <w:szCs w:val="24"/>
          <w:lang w:val="ka-GE"/>
        </w:rPr>
        <w:t xml:space="preserve"> ტემპერატურაზე. </w:t>
      </w:r>
      <w:r>
        <w:rPr>
          <w:rFonts w:ascii="Sylfaen" w:hAnsi="Sylfaen"/>
          <w:i/>
          <w:iCs/>
          <w:sz w:val="24"/>
          <w:szCs w:val="24"/>
          <w:lang w:val="ka-GE"/>
        </w:rPr>
        <w:t>შეინახეთ ბავშვებისათვის მიუწვდომელ ადგილას!</w:t>
      </w:r>
    </w:p>
    <w:p w14:paraId="7F1B5840" w14:textId="57159E5D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73692D39" w14:textId="065EE139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შეფუთვა</w:t>
      </w:r>
    </w:p>
    <w:p w14:paraId="00F2F0B2" w14:textId="7E919D15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24 აპკიანი გარსით დაფარული ტაბლეტი ალუმინის ფოლგის და პვქ-ფირფიტის ბლისტერში. 1 ბლისტერი მუყაოს კოლოფში გამოყენების ინსტრუქციასთან ერთად.</w:t>
      </w:r>
    </w:p>
    <w:p w14:paraId="334437AD" w14:textId="5B18A3DD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452CA2E5" w14:textId="77777777" w:rsidR="00FA5910" w:rsidRPr="00F01D88" w:rsidRDefault="00FA5910" w:rsidP="00FA5910">
      <w:pPr>
        <w:tabs>
          <w:tab w:val="left" w:pos="1865"/>
          <w:tab w:val="left" w:pos="2313"/>
          <w:tab w:val="left" w:pos="2952"/>
        </w:tabs>
        <w:spacing w:before="120" w:after="120" w:line="240" w:lineRule="auto"/>
        <w:jc w:val="both"/>
        <w:rPr>
          <w:rFonts w:ascii="Sylfaen" w:eastAsia="SimSun" w:hAnsi="Sylfaen"/>
          <w:b/>
          <w:sz w:val="24"/>
          <w:szCs w:val="24"/>
          <w:lang w:val="ka-GE"/>
        </w:rPr>
      </w:pPr>
      <w:r w:rsidRPr="00F01D88">
        <w:rPr>
          <w:rFonts w:ascii="Sylfaen" w:eastAsia="SimSun" w:hAnsi="Sylfaen"/>
          <w:b/>
          <w:sz w:val="24"/>
          <w:szCs w:val="24"/>
          <w:lang w:val="ka-GE"/>
        </w:rPr>
        <w:t>გაცემის წესი:</w:t>
      </w:r>
      <w:r w:rsidRPr="00F01D88">
        <w:rPr>
          <w:rFonts w:ascii="Sylfaen" w:eastAsia="SimSun" w:hAnsi="Sylfaen"/>
          <w:b/>
          <w:sz w:val="24"/>
          <w:szCs w:val="24"/>
          <w:lang w:val="ka-GE"/>
        </w:rPr>
        <w:tab/>
      </w:r>
      <w:r w:rsidRPr="00F01D88">
        <w:rPr>
          <w:rFonts w:ascii="Sylfaen" w:eastAsia="SimSun" w:hAnsi="Sylfaen"/>
          <w:b/>
          <w:sz w:val="24"/>
          <w:szCs w:val="24"/>
          <w:lang w:val="ka-GE"/>
        </w:rPr>
        <w:tab/>
      </w:r>
      <w:r w:rsidRPr="00F01D88">
        <w:rPr>
          <w:rFonts w:ascii="Sylfaen" w:eastAsia="SimSun" w:hAnsi="Sylfaen"/>
          <w:b/>
          <w:sz w:val="24"/>
          <w:szCs w:val="24"/>
          <w:lang w:val="ka-GE"/>
        </w:rPr>
        <w:tab/>
      </w:r>
    </w:p>
    <w:p w14:paraId="5C71F24C" w14:textId="77777777" w:rsidR="00FA5910" w:rsidRPr="00F01D88" w:rsidRDefault="00FA5910" w:rsidP="00FA5910">
      <w:pPr>
        <w:spacing w:before="120" w:after="120" w:line="240" w:lineRule="auto"/>
        <w:jc w:val="both"/>
        <w:rPr>
          <w:rFonts w:ascii="Sylfaen" w:hAnsi="Sylfaen"/>
          <w:sz w:val="24"/>
          <w:szCs w:val="24"/>
          <w:lang w:val="ka-GE"/>
        </w:rPr>
      </w:pPr>
      <w:r w:rsidRPr="00F01D88">
        <w:rPr>
          <w:rFonts w:ascii="Sylfaen" w:eastAsia="SimSun" w:hAnsi="Sylfaen"/>
          <w:bCs/>
          <w:sz w:val="24"/>
          <w:szCs w:val="24"/>
          <w:lang w:val="ka-GE"/>
        </w:rPr>
        <w:t>ფ</w:t>
      </w:r>
      <w:r w:rsidRPr="00F01D88">
        <w:rPr>
          <w:rFonts w:ascii="Sylfaen" w:eastAsia="SimSun" w:hAnsi="Sylfaen" w:cs="Sylfaen"/>
          <w:bCs/>
          <w:sz w:val="24"/>
          <w:szCs w:val="24"/>
          <w:lang w:val="ka-GE"/>
        </w:rPr>
        <w:t>არმაცევტული</w:t>
      </w:r>
      <w:r w:rsidRPr="00F01D88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  <w:r w:rsidRPr="00F01D88">
        <w:rPr>
          <w:rFonts w:ascii="Sylfaen" w:eastAsia="SimSun" w:hAnsi="Sylfaen" w:cs="Sylfaen"/>
          <w:bCs/>
          <w:sz w:val="24"/>
          <w:szCs w:val="24"/>
          <w:lang w:val="ka-GE"/>
        </w:rPr>
        <w:t>პროდუქტის</w:t>
      </w:r>
      <w:r w:rsidRPr="00F01D88">
        <w:rPr>
          <w:rFonts w:ascii="Sylfaen" w:eastAsia="SimSun" w:hAnsi="Sylfaen"/>
          <w:bCs/>
          <w:sz w:val="24"/>
          <w:szCs w:val="24"/>
          <w:lang w:val="ka-GE"/>
        </w:rPr>
        <w:t xml:space="preserve"> </w:t>
      </w:r>
      <w:r w:rsidRPr="00F01D88">
        <w:rPr>
          <w:rFonts w:ascii="Sylfaen" w:eastAsia="SimSun" w:hAnsi="Sylfaen" w:cs="Sylfaen"/>
          <w:bCs/>
          <w:sz w:val="24"/>
          <w:szCs w:val="24"/>
          <w:lang w:val="ka-GE"/>
        </w:rPr>
        <w:t>ჯგუფი</w:t>
      </w:r>
      <w:r w:rsidRPr="00F01D88">
        <w:rPr>
          <w:rFonts w:ascii="Sylfaen" w:eastAsia="SimSun" w:hAnsi="Sylfaen"/>
          <w:bCs/>
          <w:sz w:val="24"/>
          <w:szCs w:val="24"/>
          <w:lang w:val="ka-GE"/>
        </w:rPr>
        <w:t xml:space="preserve"> III, გაიცემა რეცეპტის გარეშე</w:t>
      </w:r>
    </w:p>
    <w:p w14:paraId="56D2B59E" w14:textId="6C8E4889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9819D51" w14:textId="1DBFF910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მწარმოებელი</w:t>
      </w:r>
    </w:p>
    <w:p w14:paraId="68C2AAE9" w14:textId="386CA464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შპს „გედეონ რიხტერი პოლონეთი“, გროძისკ მაზოვეცკი, პოლონეთი</w:t>
      </w:r>
    </w:p>
    <w:p w14:paraId="3AEB581C" w14:textId="6CB83E71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ღსს „გედეონ რიხეტრი“-სთვის, ბუდაპეშტი, უნგრეთი.</w:t>
      </w:r>
    </w:p>
    <w:p w14:paraId="734066CA" w14:textId="08B44966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077084D5" w14:textId="4C7EDFB7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b/>
          <w:bCs/>
          <w:sz w:val="24"/>
          <w:szCs w:val="24"/>
          <w:lang w:val="ka-GE"/>
        </w:rPr>
        <w:t>მწარმოებლისა და განმცხადებლის ინტერესების წარმომდგენი კომპანია</w:t>
      </w:r>
    </w:p>
    <w:p w14:paraId="3A59419A" w14:textId="0A77433F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ღსს „გედეონ რიხეტრი“</w:t>
      </w:r>
    </w:p>
    <w:p w14:paraId="1C5B7752" w14:textId="7DB29471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1103 ბუდაპეშტი, დემრეის ქ., 19-21, უნგრეთი</w:t>
      </w:r>
    </w:p>
    <w:p w14:paraId="46F5A8C3" w14:textId="59582877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</w:p>
    <w:p w14:paraId="26153F17" w14:textId="7B97DF6B" w:rsidR="00DF605E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>ცხელი ხაზის ტელეფონი (ზარი უფასოა!): 7-800-555-00777</w:t>
      </w:r>
    </w:p>
    <w:p w14:paraId="0C62F573" w14:textId="32A93D91" w:rsidR="00DF605E" w:rsidRPr="008E6EFA" w:rsidRDefault="00DF605E">
      <w:pPr>
        <w:pStyle w:val="NoSpacing"/>
        <w:jc w:val="both"/>
        <w:rPr>
          <w:rFonts w:ascii="Sylfaen" w:hAnsi="Sylfaen"/>
          <w:sz w:val="24"/>
          <w:szCs w:val="24"/>
          <w:lang w:val="ka-GE"/>
        </w:rPr>
      </w:pPr>
      <w:r>
        <w:rPr>
          <w:rFonts w:ascii="Sylfaen" w:hAnsi="Sylfaen"/>
          <w:sz w:val="24"/>
          <w:szCs w:val="24"/>
          <w:lang w:val="ka-GE"/>
        </w:rPr>
        <w:t xml:space="preserve">ელექტრონული მისამართი: </w:t>
      </w:r>
      <w:hyperlink r:id="rId6" w:history="1">
        <w:r w:rsidRPr="008E6EFA">
          <w:rPr>
            <w:rStyle w:val="Hyperlink"/>
            <w:rFonts w:ascii="Sylfaen" w:hAnsi="Sylfaen"/>
            <w:sz w:val="24"/>
            <w:szCs w:val="24"/>
            <w:lang w:val="ka-GE"/>
          </w:rPr>
          <w:t>drugsafety@g-richter.ru</w:t>
        </w:r>
      </w:hyperlink>
      <w:r w:rsidRPr="008E6EFA">
        <w:rPr>
          <w:rFonts w:ascii="Sylfaen" w:hAnsi="Sylfaen"/>
          <w:sz w:val="24"/>
          <w:szCs w:val="24"/>
          <w:lang w:val="ka-GE"/>
        </w:rPr>
        <w:t xml:space="preserve"> </w:t>
      </w:r>
    </w:p>
    <w:sectPr w:rsidR="00DF605E" w:rsidRPr="008E6EFA" w:rsidSect="007D11A1">
      <w:footerReference w:type="default" r:id="rId7"/>
      <w:pgSz w:w="12240" w:h="15840"/>
      <w:pgMar w:top="630" w:right="810" w:bottom="540" w:left="99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31786B" w14:textId="77777777" w:rsidR="00E26C55" w:rsidRDefault="00E26C55" w:rsidP="007D11A1">
      <w:pPr>
        <w:spacing w:after="0" w:line="240" w:lineRule="auto"/>
      </w:pPr>
      <w:r>
        <w:separator/>
      </w:r>
    </w:p>
  </w:endnote>
  <w:endnote w:type="continuationSeparator" w:id="0">
    <w:p w14:paraId="1199A3BB" w14:textId="77777777" w:rsidR="00E26C55" w:rsidRDefault="00E26C55" w:rsidP="007D11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130765561"/>
      <w:docPartObj>
        <w:docPartGallery w:val="Page Numbers (Bottom of Page)"/>
        <w:docPartUnique/>
      </w:docPartObj>
    </w:sdtPr>
    <w:sdtEndPr>
      <w:rPr>
        <w:rFonts w:ascii="Sylfaen" w:hAnsi="Sylfaen"/>
        <w:noProof/>
      </w:rPr>
    </w:sdtEndPr>
    <w:sdtContent>
      <w:p w14:paraId="6057482B" w14:textId="133BDC6A" w:rsidR="007D11A1" w:rsidRPr="007D11A1" w:rsidRDefault="007D11A1">
        <w:pPr>
          <w:pStyle w:val="Footer"/>
          <w:jc w:val="right"/>
          <w:rPr>
            <w:rFonts w:ascii="Sylfaen" w:hAnsi="Sylfaen"/>
          </w:rPr>
        </w:pPr>
        <w:r w:rsidRPr="007D11A1">
          <w:rPr>
            <w:rFonts w:ascii="Sylfaen" w:hAnsi="Sylfaen"/>
          </w:rPr>
          <w:fldChar w:fldCharType="begin"/>
        </w:r>
        <w:r w:rsidRPr="007D11A1">
          <w:rPr>
            <w:rFonts w:ascii="Sylfaen" w:hAnsi="Sylfaen"/>
          </w:rPr>
          <w:instrText xml:space="preserve"> PAGE   \* MERGEFORMAT </w:instrText>
        </w:r>
        <w:r w:rsidRPr="007D11A1">
          <w:rPr>
            <w:rFonts w:ascii="Sylfaen" w:hAnsi="Sylfaen"/>
          </w:rPr>
          <w:fldChar w:fldCharType="separate"/>
        </w:r>
        <w:r w:rsidR="00601466">
          <w:rPr>
            <w:rFonts w:ascii="Sylfaen" w:hAnsi="Sylfaen"/>
            <w:noProof/>
          </w:rPr>
          <w:t>4</w:t>
        </w:r>
        <w:r w:rsidRPr="007D11A1">
          <w:rPr>
            <w:rFonts w:ascii="Sylfaen" w:hAnsi="Sylfaen"/>
            <w:noProof/>
          </w:rPr>
          <w:fldChar w:fldCharType="end"/>
        </w:r>
      </w:p>
    </w:sdtContent>
  </w:sdt>
  <w:p w14:paraId="436949E6" w14:textId="77777777" w:rsidR="007D11A1" w:rsidRDefault="007D11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AB0003" w14:textId="77777777" w:rsidR="00E26C55" w:rsidRDefault="00E26C55" w:rsidP="007D11A1">
      <w:pPr>
        <w:spacing w:after="0" w:line="240" w:lineRule="auto"/>
      </w:pPr>
      <w:r>
        <w:separator/>
      </w:r>
    </w:p>
  </w:footnote>
  <w:footnote w:type="continuationSeparator" w:id="0">
    <w:p w14:paraId="223C9060" w14:textId="77777777" w:rsidR="00E26C55" w:rsidRDefault="00E26C55" w:rsidP="007D11A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141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3F4"/>
    <w:rsid w:val="000252C7"/>
    <w:rsid w:val="000867C0"/>
    <w:rsid w:val="0010495B"/>
    <w:rsid w:val="0029680B"/>
    <w:rsid w:val="002B2CA6"/>
    <w:rsid w:val="002B60AF"/>
    <w:rsid w:val="00336067"/>
    <w:rsid w:val="00342EBC"/>
    <w:rsid w:val="0036122C"/>
    <w:rsid w:val="003864BC"/>
    <w:rsid w:val="0039402E"/>
    <w:rsid w:val="003C23F4"/>
    <w:rsid w:val="00497916"/>
    <w:rsid w:val="004D3BF5"/>
    <w:rsid w:val="00502E92"/>
    <w:rsid w:val="00601466"/>
    <w:rsid w:val="006A58A2"/>
    <w:rsid w:val="006C63AE"/>
    <w:rsid w:val="006F1C58"/>
    <w:rsid w:val="00703FC0"/>
    <w:rsid w:val="0077276F"/>
    <w:rsid w:val="007D11A1"/>
    <w:rsid w:val="008877BD"/>
    <w:rsid w:val="008B70C6"/>
    <w:rsid w:val="008C3C83"/>
    <w:rsid w:val="008E6EFA"/>
    <w:rsid w:val="00984DC8"/>
    <w:rsid w:val="00A4167B"/>
    <w:rsid w:val="00A750BF"/>
    <w:rsid w:val="00B75D37"/>
    <w:rsid w:val="00B83230"/>
    <w:rsid w:val="00BA25EE"/>
    <w:rsid w:val="00CA6213"/>
    <w:rsid w:val="00D27282"/>
    <w:rsid w:val="00D53BCD"/>
    <w:rsid w:val="00D604DF"/>
    <w:rsid w:val="00DF605E"/>
    <w:rsid w:val="00E15BF1"/>
    <w:rsid w:val="00E26C55"/>
    <w:rsid w:val="00F01D88"/>
    <w:rsid w:val="00F12FF0"/>
    <w:rsid w:val="00FA5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02BE16"/>
  <w15:chartTrackingRefBased/>
  <w15:docId w15:val="{A244306E-814C-4273-AD2C-6731AAA77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4167B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D1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11A1"/>
  </w:style>
  <w:style w:type="paragraph" w:styleId="Footer">
    <w:name w:val="footer"/>
    <w:basedOn w:val="Normal"/>
    <w:link w:val="FooterChar"/>
    <w:uiPriority w:val="99"/>
    <w:unhideWhenUsed/>
    <w:rsid w:val="007D11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11A1"/>
  </w:style>
  <w:style w:type="character" w:styleId="Hyperlink">
    <w:name w:val="Hyperlink"/>
    <w:basedOn w:val="DefaultParagraphFont"/>
    <w:uiPriority w:val="99"/>
    <w:unhideWhenUsed/>
    <w:rsid w:val="00DF605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DefaultParagraphFont"/>
    <w:uiPriority w:val="99"/>
    <w:semiHidden/>
    <w:unhideWhenUsed/>
    <w:rsid w:val="00DF605E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40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40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drugsafety@g-richter.ru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4</Pages>
  <Words>1112</Words>
  <Characters>6345</Characters>
  <Application>Microsoft Office Word</Application>
  <DocSecurity>0</DocSecurity>
  <Lines>52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Temuri Tchumburidze</cp:lastModifiedBy>
  <cp:revision>23</cp:revision>
  <cp:lastPrinted>2026-06-10T10:21:00Z</cp:lastPrinted>
  <dcterms:created xsi:type="dcterms:W3CDTF">2021-07-13T18:56:00Z</dcterms:created>
  <dcterms:modified xsi:type="dcterms:W3CDTF">2026-07-29T11:16:00Z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3519deac-f191-4f99-9fa5-cd0c317e0fc6</vt:lpwstr>
  </property>
</Properties>
</file>