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A05F1" w14:textId="45EE4E63" w:rsidR="0003170B" w:rsidRPr="004112AB" w:rsidRDefault="0003170B" w:rsidP="0003170B">
      <w:pPr>
        <w:spacing w:after="0" w:line="240" w:lineRule="auto"/>
        <w:ind w:right="-270"/>
        <w:jc w:val="center"/>
        <w:rPr>
          <w:rFonts w:eastAsia="Times New Roman" w:cstheme="minorHAnsi"/>
          <w:b/>
          <w:bCs/>
          <w:color w:val="000000"/>
          <w:sz w:val="24"/>
          <w:szCs w:val="24"/>
        </w:rPr>
      </w:pPr>
      <w:r w:rsidRPr="004112AB">
        <w:rPr>
          <w:rFonts w:eastAsia="Times New Roman" w:cstheme="minorHAnsi"/>
          <w:b/>
          <w:bCs/>
          <w:color w:val="000000"/>
          <w:sz w:val="24"/>
          <w:szCs w:val="24"/>
        </w:rPr>
        <w:t>გამოყენების ინსტრუქცია</w:t>
      </w:r>
    </w:p>
    <w:p w14:paraId="624209A9" w14:textId="77777777" w:rsidR="0003170B" w:rsidRPr="004112AB" w:rsidRDefault="0003170B" w:rsidP="0003170B">
      <w:pPr>
        <w:spacing w:after="0" w:line="240" w:lineRule="auto"/>
        <w:ind w:right="-270"/>
        <w:jc w:val="center"/>
        <w:rPr>
          <w:rFonts w:eastAsia="Times New Roman" w:cstheme="minorHAnsi"/>
          <w:b/>
          <w:bCs/>
          <w:color w:val="000000"/>
          <w:sz w:val="24"/>
          <w:szCs w:val="24"/>
        </w:rPr>
      </w:pPr>
    </w:p>
    <w:p w14:paraId="371B5CFB" w14:textId="5E5540A9" w:rsidR="00A67A6E" w:rsidRPr="004112AB" w:rsidRDefault="00A67A6E" w:rsidP="00BD4A71">
      <w:pPr>
        <w:spacing w:after="0" w:line="240" w:lineRule="auto"/>
        <w:ind w:right="-270"/>
        <w:rPr>
          <w:rFonts w:eastAsia="Times New Roman" w:cstheme="minorHAnsi"/>
          <w:b/>
          <w:bCs/>
          <w:color w:val="000000"/>
          <w:sz w:val="24"/>
          <w:szCs w:val="24"/>
        </w:rPr>
      </w:pPr>
      <w:r w:rsidRPr="004112AB">
        <w:rPr>
          <w:rFonts w:eastAsia="Times New Roman" w:cstheme="minorHAnsi"/>
          <w:b/>
          <w:bCs/>
          <w:color w:val="000000"/>
          <w:sz w:val="24"/>
          <w:szCs w:val="24"/>
        </w:rPr>
        <w:t>მარ</w:t>
      </w:r>
      <w:r w:rsidR="005E1977" w:rsidRPr="004112AB">
        <w:rPr>
          <w:rFonts w:eastAsia="Times New Roman" w:cstheme="minorHAnsi"/>
          <w:b/>
          <w:bCs/>
          <w:color w:val="000000"/>
          <w:sz w:val="24"/>
          <w:szCs w:val="24"/>
        </w:rPr>
        <w:t>კაინი სპინალი 0.5% ჰევი</w:t>
      </w:r>
    </w:p>
    <w:p w14:paraId="2FCAD610" w14:textId="7995028C" w:rsidR="00A67A6E" w:rsidRPr="004112AB" w:rsidRDefault="00A67A6E" w:rsidP="00646E12">
      <w:pPr>
        <w:spacing w:after="0" w:line="240" w:lineRule="auto"/>
        <w:ind w:right="-270"/>
        <w:rPr>
          <w:rFonts w:eastAsia="Times New Roman" w:cstheme="minorHAnsi"/>
          <w:color w:val="000000"/>
          <w:sz w:val="24"/>
          <w:szCs w:val="24"/>
        </w:rPr>
      </w:pPr>
      <w:r w:rsidRPr="004112AB">
        <w:rPr>
          <w:rFonts w:eastAsia="Times New Roman" w:cstheme="minorHAnsi"/>
          <w:color w:val="000000"/>
          <w:sz w:val="24"/>
          <w:szCs w:val="24"/>
        </w:rPr>
        <w:t>ბუპივაკაინი</w:t>
      </w:r>
    </w:p>
    <w:p w14:paraId="1382E53A" w14:textId="77777777" w:rsidR="00A67A6E" w:rsidRPr="004112AB" w:rsidRDefault="00A67A6E" w:rsidP="00646E12">
      <w:pPr>
        <w:spacing w:after="0" w:line="240" w:lineRule="auto"/>
        <w:ind w:right="-270"/>
        <w:rPr>
          <w:rFonts w:eastAsia="Times New Roman" w:cstheme="minorHAnsi"/>
          <w:color w:val="000000"/>
          <w:sz w:val="24"/>
          <w:szCs w:val="24"/>
        </w:rPr>
      </w:pPr>
      <w:r w:rsidRPr="004112AB">
        <w:rPr>
          <w:rFonts w:eastAsia="Times New Roman" w:cstheme="minorHAnsi"/>
          <w:b/>
          <w:bCs/>
          <w:color w:val="000000"/>
          <w:sz w:val="24"/>
          <w:szCs w:val="24"/>
        </w:rPr>
        <w:t>ხსნარი სპინალური ინექციისთვის</w:t>
      </w:r>
    </w:p>
    <w:p w14:paraId="50F5158D" w14:textId="77777777" w:rsidR="006C73E5" w:rsidRPr="004112AB" w:rsidRDefault="006C73E5" w:rsidP="00646E12">
      <w:pPr>
        <w:spacing w:after="0" w:line="240" w:lineRule="auto"/>
        <w:ind w:right="-270"/>
        <w:rPr>
          <w:rFonts w:eastAsia="Times New Roman" w:cstheme="minorHAnsi"/>
          <w:b/>
          <w:bCs/>
          <w:color w:val="000000"/>
          <w:sz w:val="24"/>
          <w:szCs w:val="24"/>
        </w:rPr>
      </w:pPr>
    </w:p>
    <w:p w14:paraId="1FA0AB81" w14:textId="3E0B4223" w:rsidR="00A67A6E" w:rsidRPr="004112AB" w:rsidRDefault="00A67A6E" w:rsidP="00646E12">
      <w:pPr>
        <w:spacing w:after="0" w:line="240" w:lineRule="auto"/>
        <w:ind w:right="-270"/>
        <w:rPr>
          <w:rFonts w:eastAsia="Times New Roman" w:cstheme="minorHAnsi"/>
          <w:color w:val="000000"/>
          <w:sz w:val="24"/>
          <w:szCs w:val="24"/>
        </w:rPr>
      </w:pPr>
      <w:r w:rsidRPr="004112AB">
        <w:rPr>
          <w:rFonts w:eastAsia="Times New Roman" w:cstheme="minorHAnsi"/>
          <w:b/>
          <w:bCs/>
          <w:color w:val="000000"/>
          <w:sz w:val="24"/>
          <w:szCs w:val="24"/>
        </w:rPr>
        <w:t>შემადგენლობა</w:t>
      </w:r>
    </w:p>
    <w:p w14:paraId="71E027A3" w14:textId="77777777" w:rsidR="00A67A6E" w:rsidRPr="004112AB" w:rsidRDefault="00A67A6E" w:rsidP="00646E12">
      <w:pPr>
        <w:spacing w:after="0" w:line="240" w:lineRule="auto"/>
        <w:ind w:right="-270"/>
        <w:rPr>
          <w:rFonts w:eastAsia="Times New Roman" w:cstheme="minorHAnsi"/>
          <w:color w:val="000000"/>
          <w:sz w:val="24"/>
          <w:szCs w:val="24"/>
        </w:rPr>
      </w:pPr>
      <w:r w:rsidRPr="004112AB">
        <w:rPr>
          <w:rFonts w:eastAsia="Times New Roman" w:cstheme="minorHAnsi"/>
          <w:color w:val="000000"/>
          <w:sz w:val="24"/>
          <w:szCs w:val="24"/>
        </w:rPr>
        <w:t>აქტიური ნივთიერებები</w:t>
      </w:r>
    </w:p>
    <w:p w14:paraId="3F5D85C3" w14:textId="2F7C9120"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მარკაინი სპინალი ჰევი 5მგ/მლ: 1</w:t>
      </w:r>
      <w:r w:rsidR="00E35499" w:rsidRPr="004112AB">
        <w:rPr>
          <w:rFonts w:eastAsia="Times New Roman" w:cstheme="minorHAnsi"/>
          <w:color w:val="000000"/>
          <w:sz w:val="24"/>
          <w:szCs w:val="24"/>
        </w:rPr>
        <w:t xml:space="preserve"> </w:t>
      </w:r>
      <w:r w:rsidRPr="004112AB">
        <w:rPr>
          <w:rFonts w:eastAsia="Times New Roman" w:cstheme="minorHAnsi"/>
          <w:color w:val="000000"/>
          <w:sz w:val="24"/>
          <w:szCs w:val="24"/>
        </w:rPr>
        <w:t>მლ შეიცავს: ბუპივაკაინის ჰიდროქლორიდი 5</w:t>
      </w:r>
      <w:r w:rsidR="00E35499" w:rsidRPr="004112AB">
        <w:rPr>
          <w:rFonts w:eastAsia="Times New Roman" w:cstheme="minorHAnsi"/>
          <w:color w:val="000000"/>
          <w:sz w:val="24"/>
          <w:szCs w:val="24"/>
        </w:rPr>
        <w:t xml:space="preserve"> </w:t>
      </w:r>
      <w:r w:rsidRPr="004112AB">
        <w:rPr>
          <w:rFonts w:eastAsia="Times New Roman" w:cstheme="minorHAnsi"/>
          <w:color w:val="000000"/>
          <w:sz w:val="24"/>
          <w:szCs w:val="24"/>
        </w:rPr>
        <w:t>მგ.</w:t>
      </w:r>
    </w:p>
    <w:p w14:paraId="01E152E6" w14:textId="1C656F95"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შემავსებლებისთვის იხ</w:t>
      </w:r>
      <w:r w:rsidR="006C73E5" w:rsidRPr="004112AB">
        <w:rPr>
          <w:rFonts w:eastAsia="Times New Roman" w:cstheme="minorHAnsi"/>
          <w:color w:val="000000"/>
          <w:sz w:val="24"/>
          <w:szCs w:val="24"/>
        </w:rPr>
        <w:t xml:space="preserve">. შემავსებლების </w:t>
      </w:r>
      <w:r w:rsidRPr="004112AB">
        <w:rPr>
          <w:rFonts w:eastAsia="Times New Roman" w:cstheme="minorHAnsi"/>
          <w:color w:val="000000"/>
          <w:sz w:val="24"/>
          <w:szCs w:val="24"/>
        </w:rPr>
        <w:t>სია.</w:t>
      </w:r>
    </w:p>
    <w:p w14:paraId="2DE57FFE" w14:textId="77777777" w:rsidR="006C73E5" w:rsidRPr="004112AB" w:rsidRDefault="006C73E5" w:rsidP="00646E12">
      <w:pPr>
        <w:spacing w:after="0" w:line="240" w:lineRule="auto"/>
        <w:ind w:right="-270"/>
        <w:jc w:val="both"/>
        <w:rPr>
          <w:rFonts w:eastAsia="Times New Roman" w:cstheme="minorHAnsi"/>
          <w:b/>
          <w:bCs/>
          <w:color w:val="000000"/>
          <w:sz w:val="24"/>
          <w:szCs w:val="24"/>
        </w:rPr>
      </w:pPr>
    </w:p>
    <w:p w14:paraId="7D989EFB" w14:textId="65489E15"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ფარმაცევტული ფორმა</w:t>
      </w:r>
    </w:p>
    <w:p w14:paraId="63180794"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საინექციო ხსნარი.</w:t>
      </w:r>
    </w:p>
    <w:p w14:paraId="49892D0F" w14:textId="77777777" w:rsidR="006C73E5" w:rsidRPr="004112AB" w:rsidRDefault="006C73E5" w:rsidP="00646E12">
      <w:pPr>
        <w:spacing w:after="0" w:line="240" w:lineRule="auto"/>
        <w:ind w:right="-270"/>
        <w:jc w:val="both"/>
        <w:rPr>
          <w:rFonts w:eastAsia="Times New Roman" w:cstheme="minorHAnsi"/>
          <w:b/>
          <w:bCs/>
          <w:color w:val="000000"/>
          <w:sz w:val="24"/>
          <w:szCs w:val="24"/>
        </w:rPr>
      </w:pPr>
    </w:p>
    <w:p w14:paraId="73765659" w14:textId="1CF3A18C"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თერაპიული ჩვენება</w:t>
      </w:r>
    </w:p>
    <w:p w14:paraId="1DDB99C8"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მარკაინი სპინალი ჰევი ნაჩვენებია ინტრათეკალური (სუბარაქნოიდული, სპინალური) ანესთეზიისთვის ქირურგიული და სამეანო პროცედურებისას.</w:t>
      </w:r>
    </w:p>
    <w:p w14:paraId="430394E2" w14:textId="77777777" w:rsidR="006C73E5" w:rsidRPr="004112AB" w:rsidRDefault="006C73E5" w:rsidP="00646E12">
      <w:pPr>
        <w:spacing w:after="0" w:line="240" w:lineRule="auto"/>
        <w:ind w:right="-270"/>
        <w:jc w:val="both"/>
        <w:rPr>
          <w:rFonts w:eastAsia="Times New Roman" w:cstheme="minorHAnsi"/>
          <w:color w:val="000000"/>
          <w:sz w:val="24"/>
          <w:szCs w:val="24"/>
        </w:rPr>
      </w:pPr>
    </w:p>
    <w:p w14:paraId="0A6025A9" w14:textId="2E9270F1"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მარკაინი სპინალი ჰევი ნაჩვენებია მუცლის ქვედა ნაწილის ოპერაციებისთვის (საკეისრო კვეთის ჩათვლით), უროლოგიური და ქვედა კიდურების ოპერაციებისას, ბარძაყის ოპერაციის ჩათვლით, რომელიც 1,5-3 საათი გრძელდება (იხ. აგრეთვე დოზირება და მიღების მეთოდი).</w:t>
      </w:r>
    </w:p>
    <w:p w14:paraId="17F3A366" w14:textId="77777777" w:rsidR="006C73E5" w:rsidRPr="004112AB" w:rsidRDefault="006C73E5" w:rsidP="00646E12">
      <w:pPr>
        <w:spacing w:after="0" w:line="240" w:lineRule="auto"/>
        <w:ind w:right="-270"/>
        <w:jc w:val="both"/>
        <w:rPr>
          <w:rFonts w:eastAsia="Times New Roman" w:cstheme="minorHAnsi"/>
          <w:b/>
          <w:bCs/>
          <w:color w:val="000000"/>
          <w:sz w:val="24"/>
          <w:szCs w:val="24"/>
        </w:rPr>
      </w:pPr>
    </w:p>
    <w:p w14:paraId="5A42E594" w14:textId="7B7378F1"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დოზირება და მიღების მეთოდი</w:t>
      </w:r>
    </w:p>
    <w:p w14:paraId="536E36A8"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მოზრდილები</w:t>
      </w:r>
    </w:p>
    <w:p w14:paraId="4633A758" w14:textId="199D47DB"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 xml:space="preserve">დოზირების შემდეგი რეკომენდაციები არის გაიდლაინი </w:t>
      </w:r>
      <w:r w:rsidR="007E03C7" w:rsidRPr="004112AB">
        <w:rPr>
          <w:rFonts w:eastAsia="Times New Roman" w:cstheme="minorHAnsi"/>
          <w:color w:val="000000"/>
          <w:sz w:val="24"/>
          <w:szCs w:val="24"/>
        </w:rPr>
        <w:t xml:space="preserve">საშუალოდ </w:t>
      </w:r>
      <w:r w:rsidRPr="004112AB">
        <w:rPr>
          <w:rFonts w:eastAsia="Times New Roman" w:cstheme="minorHAnsi"/>
          <w:color w:val="000000"/>
          <w:sz w:val="24"/>
          <w:szCs w:val="24"/>
        </w:rPr>
        <w:t>მოზრდილებში უფრო ხშირად გამოყენებული მეთოდისთვის.</w:t>
      </w:r>
    </w:p>
    <w:p w14:paraId="46A7AC6A" w14:textId="0D4ADFB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 xml:space="preserve">საჭირო დოზის გაანგარიშებისას მნიშვნელოვანია ექიმის </w:t>
      </w:r>
      <w:r w:rsidR="007E03C7" w:rsidRPr="004112AB">
        <w:rPr>
          <w:rFonts w:eastAsia="Times New Roman" w:cstheme="minorHAnsi"/>
          <w:color w:val="000000"/>
          <w:sz w:val="24"/>
          <w:szCs w:val="24"/>
        </w:rPr>
        <w:t xml:space="preserve">გამოცდილება და მის </w:t>
      </w:r>
      <w:r w:rsidRPr="004112AB">
        <w:rPr>
          <w:rFonts w:eastAsia="Times New Roman" w:cstheme="minorHAnsi"/>
          <w:color w:val="000000"/>
          <w:sz w:val="24"/>
          <w:szCs w:val="24"/>
        </w:rPr>
        <w:t>მიერ პაციენტის ფიზიკური მდგომარეობის ცოდნა. უნდა გამოიყენონ ადე</w:t>
      </w:r>
      <w:r w:rsidR="00D51AA9" w:rsidRPr="004112AB">
        <w:rPr>
          <w:rFonts w:eastAsia="Times New Roman" w:cstheme="minorHAnsi"/>
          <w:color w:val="000000"/>
          <w:sz w:val="24"/>
          <w:szCs w:val="24"/>
        </w:rPr>
        <w:t>კ</w:t>
      </w:r>
      <w:r w:rsidRPr="004112AB">
        <w:rPr>
          <w:rFonts w:eastAsia="Times New Roman" w:cstheme="minorHAnsi"/>
          <w:color w:val="000000"/>
          <w:sz w:val="24"/>
          <w:szCs w:val="24"/>
        </w:rPr>
        <w:t xml:space="preserve">ვატური ანესთეზიის მისაღწევი მინიმალური დოზა. ხანგრძლივობა ვარირებს დოზასთან ერთად, მაშინ როდესაც სეგმენტური გავრცელების </w:t>
      </w:r>
      <w:r w:rsidR="007E03C7" w:rsidRPr="004112AB">
        <w:rPr>
          <w:rFonts w:eastAsia="Times New Roman" w:cstheme="minorHAnsi"/>
          <w:color w:val="000000"/>
          <w:sz w:val="24"/>
          <w:szCs w:val="24"/>
        </w:rPr>
        <w:t xml:space="preserve">პროგნოზირება </w:t>
      </w:r>
      <w:r w:rsidRPr="004112AB">
        <w:rPr>
          <w:rFonts w:eastAsia="Times New Roman" w:cstheme="minorHAnsi"/>
          <w:color w:val="000000"/>
          <w:sz w:val="24"/>
          <w:szCs w:val="24"/>
        </w:rPr>
        <w:t>გართულებულია განსაკუთრებით იზობარული (ჩვეულებრივი) ხსნარის გამოყენებისას.</w:t>
      </w:r>
    </w:p>
    <w:p w14:paraId="3B3CEE57" w14:textId="77777777" w:rsidR="006C73E5" w:rsidRPr="004112AB" w:rsidRDefault="006C73E5" w:rsidP="00646E12">
      <w:pPr>
        <w:spacing w:after="0" w:line="240" w:lineRule="auto"/>
        <w:ind w:right="-270"/>
        <w:jc w:val="both"/>
        <w:rPr>
          <w:rFonts w:eastAsia="Times New Roman" w:cstheme="minorHAnsi"/>
          <w:color w:val="000000"/>
          <w:sz w:val="24"/>
          <w:szCs w:val="24"/>
        </w:rPr>
      </w:pPr>
    </w:p>
    <w:p w14:paraId="298E495B" w14:textId="434EA5D6"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დოზა უნდა შემცირდეს ხანდაზმულებში და ორსულობის ბოლო პერიოდში მყოფ პაციენტებში.</w:t>
      </w:r>
    </w:p>
    <w:p w14:paraId="19422911" w14:textId="77777777" w:rsidR="00D51AA9" w:rsidRPr="004112AB" w:rsidRDefault="00D51AA9" w:rsidP="00646E12">
      <w:pPr>
        <w:spacing w:after="0" w:line="240" w:lineRule="auto"/>
        <w:ind w:right="-270"/>
        <w:jc w:val="both"/>
        <w:rPr>
          <w:rFonts w:eastAsia="Times New Roman" w:cstheme="minorHAnsi"/>
          <w:color w:val="000000"/>
          <w:sz w:val="24"/>
          <w:szCs w:val="24"/>
        </w:rPr>
      </w:pPr>
    </w:p>
    <w:tbl>
      <w:tblPr>
        <w:tblW w:w="9547" w:type="dxa"/>
        <w:tblCellMar>
          <w:left w:w="0" w:type="dxa"/>
          <w:right w:w="0" w:type="dxa"/>
        </w:tblCellMar>
        <w:tblLook w:val="04A0" w:firstRow="1" w:lastRow="0" w:firstColumn="1" w:lastColumn="0" w:noHBand="0" w:noVBand="1"/>
      </w:tblPr>
      <w:tblGrid>
        <w:gridCol w:w="2597"/>
        <w:gridCol w:w="1868"/>
        <w:gridCol w:w="1023"/>
        <w:gridCol w:w="761"/>
        <w:gridCol w:w="1125"/>
        <w:gridCol w:w="2173"/>
      </w:tblGrid>
      <w:tr w:rsidR="00A67A6E" w:rsidRPr="004112AB" w14:paraId="357E000D" w14:textId="77777777" w:rsidTr="007E03C7">
        <w:tc>
          <w:tcPr>
            <w:tcW w:w="2790" w:type="dxa"/>
            <w:tcBorders>
              <w:top w:val="nil"/>
              <w:left w:val="nil"/>
              <w:bottom w:val="single" w:sz="4" w:space="0" w:color="auto"/>
              <w:right w:val="nil"/>
            </w:tcBorders>
            <w:tcMar>
              <w:top w:w="0" w:type="dxa"/>
              <w:left w:w="108" w:type="dxa"/>
              <w:bottom w:w="0" w:type="dxa"/>
              <w:right w:w="108" w:type="dxa"/>
            </w:tcMar>
            <w:hideMark/>
          </w:tcPr>
          <w:p w14:paraId="52A102A5" w14:textId="77777777" w:rsidR="00A67A6E" w:rsidRPr="004112AB" w:rsidRDefault="00A67A6E" w:rsidP="00646E12">
            <w:pPr>
              <w:spacing w:after="0" w:line="240" w:lineRule="auto"/>
              <w:ind w:right="-15"/>
              <w:jc w:val="both"/>
              <w:rPr>
                <w:rFonts w:eastAsia="Times New Roman" w:cstheme="minorHAnsi"/>
                <w:b/>
                <w:bCs/>
                <w:sz w:val="24"/>
                <w:szCs w:val="24"/>
              </w:rPr>
            </w:pPr>
            <w:r w:rsidRPr="004112AB">
              <w:rPr>
                <w:rFonts w:eastAsia="Times New Roman" w:cstheme="minorHAnsi"/>
                <w:b/>
                <w:bCs/>
                <w:sz w:val="24"/>
                <w:szCs w:val="24"/>
              </w:rPr>
              <w:t>დოზირების რეკომენდაციები</w:t>
            </w:r>
          </w:p>
        </w:tc>
        <w:tc>
          <w:tcPr>
            <w:tcW w:w="1731" w:type="dxa"/>
            <w:tcBorders>
              <w:top w:val="nil"/>
              <w:left w:val="nil"/>
              <w:bottom w:val="single" w:sz="4" w:space="0" w:color="auto"/>
              <w:right w:val="nil"/>
            </w:tcBorders>
            <w:tcMar>
              <w:top w:w="0" w:type="dxa"/>
              <w:left w:w="108" w:type="dxa"/>
              <w:bottom w:w="0" w:type="dxa"/>
              <w:right w:w="108" w:type="dxa"/>
            </w:tcMar>
            <w:hideMark/>
          </w:tcPr>
          <w:p w14:paraId="05EF64F0" w14:textId="77777777" w:rsidR="00A67A6E" w:rsidRPr="004112AB" w:rsidRDefault="00A67A6E" w:rsidP="00646E12">
            <w:pPr>
              <w:spacing w:after="0" w:line="240" w:lineRule="auto"/>
              <w:ind w:right="-270"/>
              <w:jc w:val="both"/>
              <w:rPr>
                <w:rFonts w:eastAsia="Times New Roman" w:cstheme="minorHAnsi"/>
                <w:b/>
                <w:bCs/>
                <w:sz w:val="24"/>
                <w:szCs w:val="24"/>
              </w:rPr>
            </w:pPr>
            <w:r w:rsidRPr="004112AB">
              <w:rPr>
                <w:rFonts w:eastAsia="Times New Roman" w:cstheme="minorHAnsi"/>
                <w:b/>
                <w:bCs/>
                <w:sz w:val="24"/>
                <w:szCs w:val="24"/>
              </w:rPr>
              <w:t>კონცენტრაცია</w:t>
            </w:r>
          </w:p>
          <w:p w14:paraId="4BFFFB5E" w14:textId="77777777" w:rsidR="00A67A6E" w:rsidRPr="004112AB" w:rsidRDefault="00A67A6E" w:rsidP="00646E12">
            <w:pPr>
              <w:spacing w:after="0" w:line="240" w:lineRule="auto"/>
              <w:ind w:right="-270"/>
              <w:jc w:val="both"/>
              <w:rPr>
                <w:rFonts w:eastAsia="Times New Roman" w:cstheme="minorHAnsi"/>
                <w:b/>
                <w:bCs/>
                <w:sz w:val="24"/>
                <w:szCs w:val="24"/>
              </w:rPr>
            </w:pPr>
            <w:r w:rsidRPr="004112AB">
              <w:rPr>
                <w:rFonts w:eastAsia="Times New Roman" w:cstheme="minorHAnsi"/>
                <w:b/>
                <w:bCs/>
                <w:sz w:val="24"/>
                <w:szCs w:val="24"/>
              </w:rPr>
              <w:t>მგ/მლ</w:t>
            </w:r>
          </w:p>
        </w:tc>
        <w:tc>
          <w:tcPr>
            <w:tcW w:w="1088" w:type="dxa"/>
            <w:tcBorders>
              <w:top w:val="nil"/>
              <w:left w:val="nil"/>
              <w:bottom w:val="single" w:sz="4" w:space="0" w:color="auto"/>
              <w:right w:val="nil"/>
            </w:tcBorders>
            <w:tcMar>
              <w:top w:w="0" w:type="dxa"/>
              <w:left w:w="108" w:type="dxa"/>
              <w:bottom w:w="0" w:type="dxa"/>
              <w:right w:w="108" w:type="dxa"/>
            </w:tcMar>
            <w:hideMark/>
          </w:tcPr>
          <w:p w14:paraId="365B171F" w14:textId="77777777" w:rsidR="00A67A6E" w:rsidRPr="004112AB" w:rsidRDefault="00A67A6E" w:rsidP="00646E12">
            <w:pPr>
              <w:spacing w:after="0" w:line="240" w:lineRule="auto"/>
              <w:ind w:right="-270"/>
              <w:jc w:val="both"/>
              <w:rPr>
                <w:rFonts w:eastAsia="Times New Roman" w:cstheme="minorHAnsi"/>
                <w:b/>
                <w:bCs/>
                <w:sz w:val="24"/>
                <w:szCs w:val="24"/>
              </w:rPr>
            </w:pPr>
            <w:r w:rsidRPr="004112AB">
              <w:rPr>
                <w:rFonts w:eastAsia="Times New Roman" w:cstheme="minorHAnsi"/>
                <w:b/>
                <w:bCs/>
                <w:sz w:val="24"/>
                <w:szCs w:val="24"/>
              </w:rPr>
              <w:t>დოზა</w:t>
            </w:r>
          </w:p>
          <w:p w14:paraId="5F92CF29" w14:textId="77777777" w:rsidR="00A67A6E" w:rsidRPr="004112AB" w:rsidRDefault="00A67A6E" w:rsidP="00646E12">
            <w:pPr>
              <w:spacing w:after="0" w:line="240" w:lineRule="auto"/>
              <w:ind w:right="-270"/>
              <w:jc w:val="both"/>
              <w:rPr>
                <w:rFonts w:eastAsia="Times New Roman" w:cstheme="minorHAnsi"/>
                <w:b/>
                <w:bCs/>
                <w:sz w:val="24"/>
                <w:szCs w:val="24"/>
              </w:rPr>
            </w:pPr>
            <w:r w:rsidRPr="004112AB">
              <w:rPr>
                <w:rFonts w:eastAsia="Times New Roman" w:cstheme="minorHAnsi"/>
                <w:b/>
                <w:bCs/>
                <w:sz w:val="24"/>
                <w:szCs w:val="24"/>
              </w:rPr>
              <w:t>მლ</w:t>
            </w:r>
          </w:p>
        </w:tc>
        <w:tc>
          <w:tcPr>
            <w:tcW w:w="825" w:type="dxa"/>
            <w:tcBorders>
              <w:top w:val="nil"/>
              <w:left w:val="nil"/>
              <w:bottom w:val="single" w:sz="4" w:space="0" w:color="auto"/>
              <w:right w:val="nil"/>
            </w:tcBorders>
            <w:tcMar>
              <w:top w:w="0" w:type="dxa"/>
              <w:left w:w="108" w:type="dxa"/>
              <w:bottom w:w="0" w:type="dxa"/>
              <w:right w:w="108" w:type="dxa"/>
            </w:tcMar>
            <w:hideMark/>
          </w:tcPr>
          <w:p w14:paraId="1E223C00" w14:textId="77777777" w:rsidR="00A67A6E" w:rsidRPr="004112AB" w:rsidRDefault="00A67A6E" w:rsidP="00646E12">
            <w:pPr>
              <w:spacing w:after="0" w:line="240" w:lineRule="auto"/>
              <w:ind w:right="-270"/>
              <w:jc w:val="both"/>
              <w:rPr>
                <w:rFonts w:eastAsia="Times New Roman" w:cstheme="minorHAnsi"/>
                <w:b/>
                <w:bCs/>
                <w:sz w:val="24"/>
                <w:szCs w:val="24"/>
              </w:rPr>
            </w:pPr>
            <w:r w:rsidRPr="004112AB">
              <w:rPr>
                <w:rFonts w:eastAsia="Times New Roman" w:cstheme="minorHAnsi"/>
                <w:b/>
                <w:bCs/>
                <w:sz w:val="24"/>
                <w:szCs w:val="24"/>
              </w:rPr>
              <w:t>მგ</w:t>
            </w:r>
          </w:p>
        </w:tc>
        <w:tc>
          <w:tcPr>
            <w:tcW w:w="1082" w:type="dxa"/>
            <w:tcBorders>
              <w:top w:val="nil"/>
              <w:left w:val="nil"/>
              <w:bottom w:val="single" w:sz="4" w:space="0" w:color="auto"/>
              <w:right w:val="nil"/>
            </w:tcBorders>
            <w:tcMar>
              <w:top w:w="0" w:type="dxa"/>
              <w:left w:w="108" w:type="dxa"/>
              <w:bottom w:w="0" w:type="dxa"/>
              <w:right w:w="108" w:type="dxa"/>
            </w:tcMar>
            <w:hideMark/>
          </w:tcPr>
          <w:p w14:paraId="22649941" w14:textId="12A899E9" w:rsidR="00A67A6E" w:rsidRPr="004112AB" w:rsidRDefault="00A67A6E" w:rsidP="00646E12">
            <w:pPr>
              <w:spacing w:after="0" w:line="240" w:lineRule="auto"/>
              <w:ind w:right="-270"/>
              <w:jc w:val="both"/>
              <w:rPr>
                <w:rFonts w:eastAsia="Times New Roman" w:cstheme="minorHAnsi"/>
                <w:b/>
                <w:bCs/>
                <w:sz w:val="24"/>
                <w:szCs w:val="24"/>
              </w:rPr>
            </w:pPr>
            <w:r w:rsidRPr="004112AB">
              <w:rPr>
                <w:rFonts w:eastAsia="Times New Roman" w:cstheme="minorHAnsi"/>
                <w:b/>
                <w:bCs/>
                <w:sz w:val="24"/>
                <w:szCs w:val="24"/>
              </w:rPr>
              <w:t>დაწყებ</w:t>
            </w:r>
            <w:r w:rsidR="006C73E5" w:rsidRPr="004112AB">
              <w:rPr>
                <w:rFonts w:eastAsia="Times New Roman" w:cstheme="minorHAnsi"/>
                <w:b/>
                <w:bCs/>
                <w:sz w:val="24"/>
                <w:szCs w:val="24"/>
              </w:rPr>
              <w:t>ა</w:t>
            </w:r>
            <w:r w:rsidRPr="004112AB">
              <w:rPr>
                <w:rFonts w:eastAsia="Times New Roman" w:cstheme="minorHAnsi"/>
                <w:b/>
                <w:bCs/>
                <w:sz w:val="24"/>
                <w:szCs w:val="24"/>
              </w:rPr>
              <w:t xml:space="preserve">  (</w:t>
            </w:r>
            <w:r w:rsidR="006C73E5" w:rsidRPr="004112AB">
              <w:rPr>
                <w:rFonts w:eastAsia="Times New Roman" w:cstheme="minorHAnsi"/>
                <w:b/>
                <w:bCs/>
                <w:sz w:val="24"/>
                <w:szCs w:val="24"/>
              </w:rPr>
              <w:t>წთ</w:t>
            </w:r>
            <w:r w:rsidRPr="004112AB">
              <w:rPr>
                <w:rFonts w:eastAsia="Times New Roman" w:cstheme="minorHAnsi"/>
                <w:b/>
                <w:bCs/>
                <w:sz w:val="24"/>
                <w:szCs w:val="24"/>
              </w:rPr>
              <w:t>)</w:t>
            </w:r>
          </w:p>
        </w:tc>
        <w:tc>
          <w:tcPr>
            <w:tcW w:w="2031" w:type="dxa"/>
            <w:tcBorders>
              <w:top w:val="nil"/>
              <w:left w:val="nil"/>
              <w:bottom w:val="single" w:sz="4" w:space="0" w:color="auto"/>
              <w:right w:val="nil"/>
            </w:tcBorders>
            <w:tcMar>
              <w:top w:w="0" w:type="dxa"/>
              <w:left w:w="108" w:type="dxa"/>
              <w:bottom w:w="0" w:type="dxa"/>
              <w:right w:w="108" w:type="dxa"/>
            </w:tcMar>
            <w:hideMark/>
          </w:tcPr>
          <w:p w14:paraId="08581082" w14:textId="78D03E9E" w:rsidR="00A67A6E" w:rsidRPr="004112AB" w:rsidRDefault="00A67A6E" w:rsidP="00646E12">
            <w:pPr>
              <w:tabs>
                <w:tab w:val="left" w:pos="1560"/>
              </w:tabs>
              <w:spacing w:after="0" w:line="240" w:lineRule="auto"/>
              <w:ind w:right="255"/>
              <w:jc w:val="both"/>
              <w:rPr>
                <w:rFonts w:eastAsia="Times New Roman" w:cstheme="minorHAnsi"/>
                <w:b/>
                <w:bCs/>
                <w:sz w:val="24"/>
                <w:szCs w:val="24"/>
              </w:rPr>
            </w:pPr>
            <w:r w:rsidRPr="004112AB">
              <w:rPr>
                <w:rFonts w:eastAsia="Times New Roman" w:cstheme="minorHAnsi"/>
                <w:b/>
                <w:bCs/>
                <w:sz w:val="24"/>
                <w:szCs w:val="24"/>
              </w:rPr>
              <w:t>ხანგრძლივობა (სთ</w:t>
            </w:r>
            <w:r w:rsidR="00D51AA9" w:rsidRPr="004112AB">
              <w:rPr>
                <w:rFonts w:eastAsia="Times New Roman" w:cstheme="minorHAnsi"/>
                <w:b/>
                <w:bCs/>
                <w:sz w:val="24"/>
                <w:szCs w:val="24"/>
              </w:rPr>
              <w:t>)</w:t>
            </w:r>
          </w:p>
        </w:tc>
      </w:tr>
      <w:tr w:rsidR="00A67A6E" w:rsidRPr="004112AB" w14:paraId="2E0EF320" w14:textId="77777777" w:rsidTr="007E03C7">
        <w:trPr>
          <w:trHeight w:val="818"/>
        </w:trPr>
        <w:tc>
          <w:tcPr>
            <w:tcW w:w="2790" w:type="dxa"/>
            <w:tcBorders>
              <w:top w:val="single" w:sz="4" w:space="0" w:color="auto"/>
              <w:left w:val="nil"/>
              <w:bottom w:val="nil"/>
              <w:right w:val="nil"/>
            </w:tcBorders>
            <w:tcMar>
              <w:top w:w="0" w:type="dxa"/>
              <w:left w:w="108" w:type="dxa"/>
              <w:bottom w:w="0" w:type="dxa"/>
              <w:right w:w="108" w:type="dxa"/>
            </w:tcMar>
            <w:hideMark/>
          </w:tcPr>
          <w:p w14:paraId="3DD4CEBC" w14:textId="77777777" w:rsidR="00A67A6E" w:rsidRPr="004112AB" w:rsidRDefault="00A67A6E" w:rsidP="00646E12">
            <w:pPr>
              <w:spacing w:after="0" w:line="240" w:lineRule="auto"/>
              <w:ind w:right="-15"/>
              <w:jc w:val="both"/>
              <w:rPr>
                <w:rFonts w:eastAsia="Times New Roman" w:cstheme="minorHAnsi"/>
                <w:b/>
                <w:bCs/>
                <w:sz w:val="24"/>
                <w:szCs w:val="24"/>
              </w:rPr>
            </w:pPr>
            <w:r w:rsidRPr="004112AB">
              <w:rPr>
                <w:rFonts w:eastAsia="Times New Roman" w:cstheme="minorHAnsi"/>
                <w:b/>
                <w:bCs/>
                <w:sz w:val="24"/>
                <w:szCs w:val="24"/>
              </w:rPr>
              <w:t>მარკაინი სპინალი ჰევი</w:t>
            </w:r>
          </w:p>
          <w:p w14:paraId="280BDE3C" w14:textId="77777777" w:rsidR="00A67A6E" w:rsidRPr="004112AB" w:rsidRDefault="00A67A6E" w:rsidP="00646E12">
            <w:pPr>
              <w:spacing w:after="0" w:line="240" w:lineRule="auto"/>
              <w:ind w:right="-15"/>
              <w:jc w:val="both"/>
              <w:rPr>
                <w:rFonts w:eastAsia="Times New Roman" w:cstheme="minorHAnsi"/>
                <w:sz w:val="24"/>
                <w:szCs w:val="24"/>
              </w:rPr>
            </w:pPr>
            <w:r w:rsidRPr="004112AB">
              <w:rPr>
                <w:rFonts w:eastAsia="Times New Roman" w:cstheme="minorHAnsi"/>
                <w:sz w:val="24"/>
                <w:szCs w:val="24"/>
              </w:rPr>
              <w:t>უროლოგიური</w:t>
            </w:r>
          </w:p>
          <w:p w14:paraId="6A5978C3" w14:textId="5E94CFBF" w:rsidR="00A67A6E" w:rsidRPr="004112AB" w:rsidRDefault="00A67A6E" w:rsidP="00646E12">
            <w:pPr>
              <w:spacing w:after="0" w:line="240" w:lineRule="auto"/>
              <w:ind w:right="-15"/>
              <w:jc w:val="both"/>
              <w:rPr>
                <w:rFonts w:eastAsia="Times New Roman" w:cstheme="minorHAnsi"/>
                <w:sz w:val="24"/>
                <w:szCs w:val="24"/>
              </w:rPr>
            </w:pPr>
          </w:p>
        </w:tc>
        <w:tc>
          <w:tcPr>
            <w:tcW w:w="1731" w:type="dxa"/>
            <w:tcBorders>
              <w:top w:val="single" w:sz="4" w:space="0" w:color="auto"/>
              <w:left w:val="nil"/>
              <w:bottom w:val="nil"/>
              <w:right w:val="nil"/>
            </w:tcBorders>
            <w:tcMar>
              <w:top w:w="0" w:type="dxa"/>
              <w:left w:w="108" w:type="dxa"/>
              <w:bottom w:w="0" w:type="dxa"/>
              <w:right w:w="108" w:type="dxa"/>
            </w:tcMar>
            <w:hideMark/>
          </w:tcPr>
          <w:p w14:paraId="057AD04C"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5.0</w:t>
            </w:r>
          </w:p>
        </w:tc>
        <w:tc>
          <w:tcPr>
            <w:tcW w:w="1088" w:type="dxa"/>
            <w:tcBorders>
              <w:top w:val="single" w:sz="4" w:space="0" w:color="auto"/>
              <w:left w:val="nil"/>
              <w:bottom w:val="nil"/>
              <w:right w:val="nil"/>
            </w:tcBorders>
            <w:tcMar>
              <w:top w:w="0" w:type="dxa"/>
              <w:left w:w="108" w:type="dxa"/>
              <w:bottom w:w="0" w:type="dxa"/>
              <w:right w:w="108" w:type="dxa"/>
            </w:tcMar>
            <w:hideMark/>
          </w:tcPr>
          <w:p w14:paraId="5395A5F6"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1.5-3</w:t>
            </w:r>
          </w:p>
        </w:tc>
        <w:tc>
          <w:tcPr>
            <w:tcW w:w="825" w:type="dxa"/>
            <w:tcBorders>
              <w:top w:val="single" w:sz="4" w:space="0" w:color="auto"/>
              <w:left w:val="nil"/>
              <w:bottom w:val="nil"/>
              <w:right w:val="nil"/>
            </w:tcBorders>
            <w:tcMar>
              <w:top w:w="0" w:type="dxa"/>
              <w:left w:w="108" w:type="dxa"/>
              <w:bottom w:w="0" w:type="dxa"/>
              <w:right w:w="108" w:type="dxa"/>
            </w:tcMar>
            <w:hideMark/>
          </w:tcPr>
          <w:p w14:paraId="2F0CAA9B"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7.5-15</w:t>
            </w:r>
          </w:p>
        </w:tc>
        <w:tc>
          <w:tcPr>
            <w:tcW w:w="1082" w:type="dxa"/>
            <w:tcBorders>
              <w:top w:val="single" w:sz="4" w:space="0" w:color="auto"/>
              <w:left w:val="nil"/>
              <w:bottom w:val="nil"/>
              <w:right w:val="nil"/>
            </w:tcBorders>
            <w:tcMar>
              <w:top w:w="0" w:type="dxa"/>
              <w:left w:w="108" w:type="dxa"/>
              <w:bottom w:w="0" w:type="dxa"/>
              <w:right w:w="108" w:type="dxa"/>
            </w:tcMar>
            <w:hideMark/>
          </w:tcPr>
          <w:p w14:paraId="13F9C6CA"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5-8</w:t>
            </w:r>
          </w:p>
        </w:tc>
        <w:tc>
          <w:tcPr>
            <w:tcW w:w="2031" w:type="dxa"/>
            <w:tcBorders>
              <w:top w:val="single" w:sz="4" w:space="0" w:color="auto"/>
              <w:left w:val="nil"/>
              <w:bottom w:val="nil"/>
              <w:right w:val="nil"/>
            </w:tcBorders>
            <w:tcMar>
              <w:top w:w="0" w:type="dxa"/>
              <w:left w:w="108" w:type="dxa"/>
              <w:bottom w:w="0" w:type="dxa"/>
              <w:right w:w="108" w:type="dxa"/>
            </w:tcMar>
            <w:hideMark/>
          </w:tcPr>
          <w:p w14:paraId="704BFBFC" w14:textId="77777777" w:rsidR="00A67A6E" w:rsidRPr="004112AB" w:rsidRDefault="00A67A6E" w:rsidP="00646E12">
            <w:pPr>
              <w:tabs>
                <w:tab w:val="left" w:pos="1560"/>
              </w:tabs>
              <w:spacing w:after="0" w:line="240" w:lineRule="auto"/>
              <w:ind w:right="255"/>
              <w:jc w:val="both"/>
              <w:rPr>
                <w:rFonts w:eastAsia="Times New Roman" w:cstheme="minorHAnsi"/>
                <w:sz w:val="24"/>
                <w:szCs w:val="24"/>
              </w:rPr>
            </w:pPr>
            <w:r w:rsidRPr="004112AB">
              <w:rPr>
                <w:rFonts w:eastAsia="Times New Roman" w:cstheme="minorHAnsi"/>
                <w:sz w:val="24"/>
                <w:szCs w:val="24"/>
              </w:rPr>
              <w:t>2-3</w:t>
            </w:r>
          </w:p>
        </w:tc>
      </w:tr>
      <w:tr w:rsidR="00A67A6E" w:rsidRPr="004112AB" w14:paraId="5561B7C5" w14:textId="77777777" w:rsidTr="006C73E5">
        <w:tc>
          <w:tcPr>
            <w:tcW w:w="2790" w:type="dxa"/>
            <w:tcBorders>
              <w:top w:val="nil"/>
              <w:left w:val="nil"/>
              <w:bottom w:val="nil"/>
              <w:right w:val="nil"/>
            </w:tcBorders>
            <w:tcMar>
              <w:top w:w="0" w:type="dxa"/>
              <w:left w:w="108" w:type="dxa"/>
              <w:bottom w:w="0" w:type="dxa"/>
              <w:right w:w="108" w:type="dxa"/>
            </w:tcMar>
            <w:hideMark/>
          </w:tcPr>
          <w:p w14:paraId="0E91E0C7" w14:textId="77777777" w:rsidR="00A67A6E" w:rsidRPr="004112AB" w:rsidRDefault="00A67A6E" w:rsidP="00646E12">
            <w:pPr>
              <w:spacing w:after="0" w:line="240" w:lineRule="auto"/>
              <w:ind w:right="-15"/>
              <w:jc w:val="both"/>
              <w:rPr>
                <w:rFonts w:eastAsia="Times New Roman" w:cstheme="minorHAnsi"/>
                <w:sz w:val="24"/>
                <w:szCs w:val="24"/>
              </w:rPr>
            </w:pPr>
            <w:r w:rsidRPr="004112AB">
              <w:rPr>
                <w:rFonts w:eastAsia="Times New Roman" w:cstheme="minorHAnsi"/>
                <w:sz w:val="24"/>
                <w:szCs w:val="24"/>
              </w:rPr>
              <w:t xml:space="preserve">მუცლის ქვედა ნაწილის ოპერაცია (საკეისრო კვეთის ჩათვლით), ქვედა კიდურების ოპერაცია </w:t>
            </w:r>
            <w:r w:rsidRPr="004112AB">
              <w:rPr>
                <w:rFonts w:eastAsia="Times New Roman" w:cstheme="minorHAnsi"/>
                <w:sz w:val="24"/>
                <w:szCs w:val="24"/>
              </w:rPr>
              <w:lastRenderedPageBreak/>
              <w:t>ბარძაყის ოპერაციის ჩათვლით</w:t>
            </w:r>
          </w:p>
        </w:tc>
        <w:tc>
          <w:tcPr>
            <w:tcW w:w="1731" w:type="dxa"/>
            <w:tcBorders>
              <w:top w:val="nil"/>
              <w:left w:val="nil"/>
              <w:bottom w:val="nil"/>
              <w:right w:val="nil"/>
            </w:tcBorders>
            <w:tcMar>
              <w:top w:w="0" w:type="dxa"/>
              <w:left w:w="108" w:type="dxa"/>
              <w:bottom w:w="0" w:type="dxa"/>
              <w:right w:w="108" w:type="dxa"/>
            </w:tcMar>
            <w:hideMark/>
          </w:tcPr>
          <w:p w14:paraId="0D68F715"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lastRenderedPageBreak/>
              <w:t>5.0</w:t>
            </w:r>
          </w:p>
        </w:tc>
        <w:tc>
          <w:tcPr>
            <w:tcW w:w="1088" w:type="dxa"/>
            <w:tcBorders>
              <w:top w:val="nil"/>
              <w:left w:val="nil"/>
              <w:bottom w:val="nil"/>
              <w:right w:val="nil"/>
            </w:tcBorders>
            <w:tcMar>
              <w:top w:w="0" w:type="dxa"/>
              <w:left w:w="108" w:type="dxa"/>
              <w:bottom w:w="0" w:type="dxa"/>
              <w:right w:w="108" w:type="dxa"/>
            </w:tcMar>
            <w:hideMark/>
          </w:tcPr>
          <w:p w14:paraId="0EDB8A5E"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2-4</w:t>
            </w:r>
          </w:p>
        </w:tc>
        <w:tc>
          <w:tcPr>
            <w:tcW w:w="825" w:type="dxa"/>
            <w:tcBorders>
              <w:top w:val="nil"/>
              <w:left w:val="nil"/>
              <w:bottom w:val="nil"/>
              <w:right w:val="nil"/>
            </w:tcBorders>
            <w:tcMar>
              <w:top w:w="0" w:type="dxa"/>
              <w:left w:w="108" w:type="dxa"/>
              <w:bottom w:w="0" w:type="dxa"/>
              <w:right w:w="108" w:type="dxa"/>
            </w:tcMar>
            <w:hideMark/>
          </w:tcPr>
          <w:p w14:paraId="1757F24C"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10-20</w:t>
            </w:r>
          </w:p>
        </w:tc>
        <w:tc>
          <w:tcPr>
            <w:tcW w:w="1082" w:type="dxa"/>
            <w:tcBorders>
              <w:top w:val="nil"/>
              <w:left w:val="nil"/>
              <w:bottom w:val="nil"/>
              <w:right w:val="nil"/>
            </w:tcBorders>
            <w:tcMar>
              <w:top w:w="0" w:type="dxa"/>
              <w:left w:w="108" w:type="dxa"/>
              <w:bottom w:w="0" w:type="dxa"/>
              <w:right w:w="108" w:type="dxa"/>
            </w:tcMar>
            <w:hideMark/>
          </w:tcPr>
          <w:p w14:paraId="23F6FF4A"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5-8</w:t>
            </w:r>
          </w:p>
        </w:tc>
        <w:tc>
          <w:tcPr>
            <w:tcW w:w="2031" w:type="dxa"/>
            <w:tcBorders>
              <w:top w:val="nil"/>
              <w:left w:val="nil"/>
              <w:bottom w:val="nil"/>
              <w:right w:val="nil"/>
            </w:tcBorders>
            <w:tcMar>
              <w:top w:w="0" w:type="dxa"/>
              <w:left w:w="108" w:type="dxa"/>
              <w:bottom w:w="0" w:type="dxa"/>
              <w:right w:w="108" w:type="dxa"/>
            </w:tcMar>
            <w:hideMark/>
          </w:tcPr>
          <w:p w14:paraId="55AC7DC4" w14:textId="77777777" w:rsidR="00A67A6E" w:rsidRPr="004112AB" w:rsidRDefault="00A67A6E" w:rsidP="00646E12">
            <w:pPr>
              <w:tabs>
                <w:tab w:val="left" w:pos="1560"/>
              </w:tabs>
              <w:spacing w:after="0" w:line="240" w:lineRule="auto"/>
              <w:ind w:right="255"/>
              <w:jc w:val="both"/>
              <w:rPr>
                <w:rFonts w:eastAsia="Times New Roman" w:cstheme="minorHAnsi"/>
                <w:sz w:val="24"/>
                <w:szCs w:val="24"/>
              </w:rPr>
            </w:pPr>
            <w:r w:rsidRPr="004112AB">
              <w:rPr>
                <w:rFonts w:eastAsia="Times New Roman" w:cstheme="minorHAnsi"/>
                <w:sz w:val="24"/>
                <w:szCs w:val="24"/>
              </w:rPr>
              <w:t>1.5-3</w:t>
            </w:r>
          </w:p>
        </w:tc>
      </w:tr>
    </w:tbl>
    <w:p w14:paraId="52E20109" w14:textId="77777777" w:rsidR="006C73E5" w:rsidRPr="004112AB" w:rsidRDefault="006C73E5" w:rsidP="00646E12">
      <w:pPr>
        <w:spacing w:after="0" w:line="240" w:lineRule="auto"/>
        <w:ind w:right="-270"/>
        <w:jc w:val="both"/>
        <w:rPr>
          <w:rFonts w:eastAsia="Times New Roman" w:cstheme="minorHAnsi"/>
          <w:color w:val="000000"/>
          <w:sz w:val="24"/>
          <w:szCs w:val="24"/>
        </w:rPr>
      </w:pPr>
    </w:p>
    <w:p w14:paraId="7D17DACD" w14:textId="69253152"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ინექციის რეკომენდებული ადგილია L3-L4 მალთაშუა სივრცე.</w:t>
      </w:r>
    </w:p>
    <w:p w14:paraId="6E4FFFD6" w14:textId="7E4F187C"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40კგ-მდე წონის ბავშვები</w:t>
      </w:r>
    </w:p>
    <w:p w14:paraId="0E1697CD"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მარკაინი სპინალი ჰევი შეიძლება გამოყენებული იყოს ბავშვებში.</w:t>
      </w:r>
    </w:p>
    <w:p w14:paraId="13CA4C0C"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პატარა ბავშვებს და მოზრდილებს შორის ერთ-ერთი განხსვავებაა ცერებროსპინალური სითხის შედარებით მაღალი მოცულობა ჩვილებში და ახალშობილებში, რის გამოც საჭიროა უფრო მეტი მგ/კგ დოზა მოზრდილების მსგავსი ბლოკის მისაღწევად.</w:t>
      </w:r>
    </w:p>
    <w:p w14:paraId="52D42127" w14:textId="0DF2AF00" w:rsidR="00A67A6E" w:rsidRPr="004112AB" w:rsidRDefault="00A67A6E" w:rsidP="00646E12">
      <w:pPr>
        <w:spacing w:after="0" w:line="240" w:lineRule="auto"/>
        <w:ind w:right="-270"/>
        <w:jc w:val="both"/>
        <w:rPr>
          <w:rFonts w:eastAsia="Times New Roman" w:cstheme="minorHAnsi"/>
          <w:color w:val="000000"/>
          <w:sz w:val="24"/>
          <w:szCs w:val="24"/>
        </w:rPr>
      </w:pPr>
    </w:p>
    <w:tbl>
      <w:tblPr>
        <w:tblW w:w="0" w:type="auto"/>
        <w:tblCellMar>
          <w:left w:w="0" w:type="dxa"/>
          <w:right w:w="0" w:type="dxa"/>
        </w:tblCellMar>
        <w:tblLook w:val="04A0" w:firstRow="1" w:lastRow="0" w:firstColumn="1" w:lastColumn="0" w:noHBand="0" w:noVBand="1"/>
      </w:tblPr>
      <w:tblGrid>
        <w:gridCol w:w="4684"/>
        <w:gridCol w:w="4676"/>
      </w:tblGrid>
      <w:tr w:rsidR="00A67A6E" w:rsidRPr="004112AB" w14:paraId="7F1CC421" w14:textId="77777777" w:rsidTr="00A67A6E">
        <w:tc>
          <w:tcPr>
            <w:tcW w:w="9576" w:type="dxa"/>
            <w:gridSpan w:val="2"/>
            <w:tcBorders>
              <w:top w:val="nil"/>
              <w:left w:val="nil"/>
              <w:bottom w:val="nil"/>
              <w:right w:val="nil"/>
            </w:tcBorders>
            <w:tcMar>
              <w:top w:w="0" w:type="dxa"/>
              <w:left w:w="108" w:type="dxa"/>
              <w:bottom w:w="0" w:type="dxa"/>
              <w:right w:w="108" w:type="dxa"/>
            </w:tcMar>
            <w:hideMark/>
          </w:tcPr>
          <w:p w14:paraId="2F08C93C"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b/>
                <w:bCs/>
                <w:sz w:val="24"/>
                <w:szCs w:val="24"/>
              </w:rPr>
              <w:t>დოზირების რეკომენდაციები ბავშვებში</w:t>
            </w:r>
          </w:p>
        </w:tc>
      </w:tr>
      <w:tr w:rsidR="00A67A6E" w:rsidRPr="004112AB" w14:paraId="25FE505A" w14:textId="77777777" w:rsidTr="007E03C7">
        <w:tc>
          <w:tcPr>
            <w:tcW w:w="4788" w:type="dxa"/>
            <w:tcBorders>
              <w:top w:val="nil"/>
              <w:left w:val="nil"/>
              <w:bottom w:val="single" w:sz="4" w:space="0" w:color="auto"/>
              <w:right w:val="nil"/>
            </w:tcBorders>
            <w:tcMar>
              <w:top w:w="0" w:type="dxa"/>
              <w:left w:w="108" w:type="dxa"/>
              <w:bottom w:w="0" w:type="dxa"/>
              <w:right w:w="108" w:type="dxa"/>
            </w:tcMar>
            <w:hideMark/>
          </w:tcPr>
          <w:p w14:paraId="0D9D352E" w14:textId="77777777" w:rsidR="00A67A6E" w:rsidRPr="004112AB" w:rsidRDefault="00A67A6E" w:rsidP="00646E12">
            <w:pPr>
              <w:spacing w:after="0" w:line="240" w:lineRule="auto"/>
              <w:ind w:right="-270"/>
              <w:jc w:val="both"/>
              <w:rPr>
                <w:rFonts w:eastAsia="Times New Roman" w:cstheme="minorHAnsi"/>
                <w:b/>
                <w:bCs/>
                <w:sz w:val="24"/>
                <w:szCs w:val="24"/>
              </w:rPr>
            </w:pPr>
            <w:r w:rsidRPr="004112AB">
              <w:rPr>
                <w:rFonts w:eastAsia="Times New Roman" w:cstheme="minorHAnsi"/>
                <w:b/>
                <w:bCs/>
                <w:sz w:val="24"/>
                <w:szCs w:val="24"/>
              </w:rPr>
              <w:t>სხეულის წონა (კგ)</w:t>
            </w:r>
          </w:p>
        </w:tc>
        <w:tc>
          <w:tcPr>
            <w:tcW w:w="4788" w:type="dxa"/>
            <w:tcBorders>
              <w:top w:val="nil"/>
              <w:left w:val="nil"/>
              <w:bottom w:val="single" w:sz="4" w:space="0" w:color="auto"/>
              <w:right w:val="nil"/>
            </w:tcBorders>
            <w:tcMar>
              <w:top w:w="0" w:type="dxa"/>
              <w:left w:w="108" w:type="dxa"/>
              <w:bottom w:w="0" w:type="dxa"/>
              <w:right w:w="108" w:type="dxa"/>
            </w:tcMar>
            <w:hideMark/>
          </w:tcPr>
          <w:p w14:paraId="630DDDAE" w14:textId="77777777" w:rsidR="00A67A6E" w:rsidRPr="004112AB" w:rsidRDefault="00A67A6E" w:rsidP="00646E12">
            <w:pPr>
              <w:spacing w:after="0" w:line="240" w:lineRule="auto"/>
              <w:ind w:right="-270"/>
              <w:jc w:val="both"/>
              <w:rPr>
                <w:rFonts w:eastAsia="Times New Roman" w:cstheme="minorHAnsi"/>
                <w:b/>
                <w:bCs/>
                <w:sz w:val="24"/>
                <w:szCs w:val="24"/>
              </w:rPr>
            </w:pPr>
            <w:r w:rsidRPr="004112AB">
              <w:rPr>
                <w:rFonts w:eastAsia="Times New Roman" w:cstheme="minorHAnsi"/>
                <w:b/>
                <w:bCs/>
                <w:sz w:val="24"/>
                <w:szCs w:val="24"/>
              </w:rPr>
              <w:t>დოზა (მგ/კგ)</w:t>
            </w:r>
          </w:p>
        </w:tc>
      </w:tr>
      <w:tr w:rsidR="00A67A6E" w:rsidRPr="004112AB" w14:paraId="5CB76906" w14:textId="77777777" w:rsidTr="007E03C7">
        <w:tc>
          <w:tcPr>
            <w:tcW w:w="4788" w:type="dxa"/>
            <w:tcBorders>
              <w:top w:val="single" w:sz="4" w:space="0" w:color="auto"/>
              <w:left w:val="nil"/>
              <w:bottom w:val="nil"/>
              <w:right w:val="nil"/>
            </w:tcBorders>
            <w:tcMar>
              <w:top w:w="0" w:type="dxa"/>
              <w:left w:w="108" w:type="dxa"/>
              <w:bottom w:w="0" w:type="dxa"/>
              <w:right w:w="108" w:type="dxa"/>
            </w:tcMar>
            <w:hideMark/>
          </w:tcPr>
          <w:p w14:paraId="285D5501"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&lt;5</w:t>
            </w:r>
          </w:p>
        </w:tc>
        <w:tc>
          <w:tcPr>
            <w:tcW w:w="4788" w:type="dxa"/>
            <w:tcBorders>
              <w:top w:val="single" w:sz="4" w:space="0" w:color="auto"/>
              <w:left w:val="nil"/>
              <w:bottom w:val="nil"/>
              <w:right w:val="nil"/>
            </w:tcBorders>
            <w:tcMar>
              <w:top w:w="0" w:type="dxa"/>
              <w:left w:w="108" w:type="dxa"/>
              <w:bottom w:w="0" w:type="dxa"/>
              <w:right w:w="108" w:type="dxa"/>
            </w:tcMar>
            <w:hideMark/>
          </w:tcPr>
          <w:p w14:paraId="1F92C5B5"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0.40-0,50 მგ/კგ</w:t>
            </w:r>
          </w:p>
        </w:tc>
      </w:tr>
      <w:tr w:rsidR="00A67A6E" w:rsidRPr="004112AB" w14:paraId="1FC555BC" w14:textId="77777777" w:rsidTr="00A67A6E">
        <w:tc>
          <w:tcPr>
            <w:tcW w:w="4788" w:type="dxa"/>
            <w:tcBorders>
              <w:top w:val="nil"/>
              <w:left w:val="nil"/>
              <w:bottom w:val="nil"/>
              <w:right w:val="nil"/>
            </w:tcBorders>
            <w:tcMar>
              <w:top w:w="0" w:type="dxa"/>
              <w:left w:w="108" w:type="dxa"/>
              <w:bottom w:w="0" w:type="dxa"/>
              <w:right w:w="108" w:type="dxa"/>
            </w:tcMar>
            <w:hideMark/>
          </w:tcPr>
          <w:p w14:paraId="0344F4D5"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5-10</w:t>
            </w:r>
          </w:p>
        </w:tc>
        <w:tc>
          <w:tcPr>
            <w:tcW w:w="4788" w:type="dxa"/>
            <w:tcBorders>
              <w:top w:val="nil"/>
              <w:left w:val="nil"/>
              <w:bottom w:val="nil"/>
              <w:right w:val="nil"/>
            </w:tcBorders>
            <w:tcMar>
              <w:top w:w="0" w:type="dxa"/>
              <w:left w:w="108" w:type="dxa"/>
              <w:bottom w:w="0" w:type="dxa"/>
              <w:right w:w="108" w:type="dxa"/>
            </w:tcMar>
            <w:hideMark/>
          </w:tcPr>
          <w:p w14:paraId="07714734"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0.30-0,40 მგ/კგ</w:t>
            </w:r>
          </w:p>
        </w:tc>
      </w:tr>
      <w:tr w:rsidR="00A67A6E" w:rsidRPr="004112AB" w14:paraId="47AB571C" w14:textId="77777777" w:rsidTr="00A67A6E">
        <w:tc>
          <w:tcPr>
            <w:tcW w:w="4788" w:type="dxa"/>
            <w:tcBorders>
              <w:top w:val="nil"/>
              <w:left w:val="nil"/>
              <w:bottom w:val="nil"/>
              <w:right w:val="nil"/>
            </w:tcBorders>
            <w:tcMar>
              <w:top w:w="0" w:type="dxa"/>
              <w:left w:w="108" w:type="dxa"/>
              <w:bottom w:w="0" w:type="dxa"/>
              <w:right w:w="108" w:type="dxa"/>
            </w:tcMar>
            <w:hideMark/>
          </w:tcPr>
          <w:p w14:paraId="7076CE79"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15-40</w:t>
            </w:r>
          </w:p>
        </w:tc>
        <w:tc>
          <w:tcPr>
            <w:tcW w:w="4788" w:type="dxa"/>
            <w:tcBorders>
              <w:top w:val="nil"/>
              <w:left w:val="nil"/>
              <w:bottom w:val="nil"/>
              <w:right w:val="nil"/>
            </w:tcBorders>
            <w:tcMar>
              <w:top w:w="0" w:type="dxa"/>
              <w:left w:w="108" w:type="dxa"/>
              <w:bottom w:w="0" w:type="dxa"/>
              <w:right w:w="108" w:type="dxa"/>
            </w:tcMar>
            <w:hideMark/>
          </w:tcPr>
          <w:p w14:paraId="18DBE9F7"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0.25-0,30 მგ/კგ</w:t>
            </w:r>
          </w:p>
        </w:tc>
      </w:tr>
    </w:tbl>
    <w:p w14:paraId="7E588AD0" w14:textId="77777777" w:rsidR="007E03C7" w:rsidRPr="004112AB" w:rsidRDefault="007E03C7" w:rsidP="00646E12">
      <w:pPr>
        <w:spacing w:after="0" w:line="240" w:lineRule="auto"/>
        <w:ind w:right="-270"/>
        <w:jc w:val="both"/>
        <w:rPr>
          <w:rFonts w:eastAsia="Times New Roman" w:cstheme="minorHAnsi"/>
          <w:b/>
          <w:bCs/>
          <w:color w:val="000000"/>
          <w:sz w:val="24"/>
          <w:szCs w:val="24"/>
        </w:rPr>
      </w:pPr>
    </w:p>
    <w:p w14:paraId="2849F2EC" w14:textId="4937D7A4"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უკუჩვენება</w:t>
      </w:r>
    </w:p>
    <w:p w14:paraId="37F922D9" w14:textId="77777777" w:rsidR="00A67A6E" w:rsidRPr="004112AB" w:rsidRDefault="00A67A6E" w:rsidP="00E35499">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მომატებული მგრძნობელობა ამიდური ტიპის ადგილობრივი საანესთეზიო საშუალებების ან შემავსებლების მიმართ.</w:t>
      </w:r>
    </w:p>
    <w:p w14:paraId="14602280" w14:textId="77777777" w:rsidR="00D51AA9" w:rsidRPr="004112AB" w:rsidRDefault="00A67A6E" w:rsidP="00E35499">
      <w:pPr>
        <w:spacing w:after="0" w:line="240" w:lineRule="auto"/>
        <w:ind w:right="-270"/>
        <w:jc w:val="both"/>
        <w:rPr>
          <w:rFonts w:cstheme="minorHAnsi"/>
          <w:color w:val="000000"/>
          <w:sz w:val="24"/>
          <w:szCs w:val="24"/>
        </w:rPr>
      </w:pPr>
      <w:r w:rsidRPr="004112AB">
        <w:rPr>
          <w:rFonts w:cstheme="minorHAnsi"/>
          <w:color w:val="000000"/>
          <w:sz w:val="24"/>
          <w:szCs w:val="24"/>
        </w:rPr>
        <w:t>უნდა გაითვალისწინონ ინტრათეკალურ ანესთეზიასთან დაკავშირებული ზოგადი უკუჩვენებები:</w:t>
      </w:r>
      <w:r w:rsidRPr="004112AB">
        <w:rPr>
          <w:rFonts w:cstheme="minorHAnsi"/>
          <w:color w:val="000000"/>
          <w:sz w:val="24"/>
          <w:szCs w:val="24"/>
        </w:rPr>
        <w:br/>
      </w:r>
    </w:p>
    <w:p w14:paraId="1128D390" w14:textId="2D51D1B7" w:rsidR="00D51AA9" w:rsidRPr="004112AB" w:rsidRDefault="00A67A6E" w:rsidP="00E35499">
      <w:pPr>
        <w:pStyle w:val="ListParagraph"/>
        <w:numPr>
          <w:ilvl w:val="0"/>
          <w:numId w:val="3"/>
        </w:numPr>
        <w:spacing w:before="0" w:beforeAutospacing="0" w:after="0"/>
        <w:ind w:right="-270"/>
        <w:jc w:val="both"/>
        <w:rPr>
          <w:rFonts w:asciiTheme="minorHAnsi" w:hAnsiTheme="minorHAnsi" w:cstheme="minorHAnsi"/>
          <w:color w:val="000000"/>
        </w:rPr>
      </w:pPr>
      <w:r w:rsidRPr="004112AB">
        <w:rPr>
          <w:rFonts w:asciiTheme="minorHAnsi" w:hAnsiTheme="minorHAnsi" w:cstheme="minorHAnsi"/>
          <w:color w:val="000000"/>
        </w:rPr>
        <w:t>ცენტრალური ნერვული სისტემის მწვავე აქტიური დაავადებები, როგორიცაა მ</w:t>
      </w:r>
      <w:r w:rsidR="00E35499" w:rsidRPr="004112AB">
        <w:rPr>
          <w:rFonts w:asciiTheme="minorHAnsi" w:hAnsiTheme="minorHAnsi" w:cstheme="minorHAnsi"/>
          <w:color w:val="000000"/>
        </w:rPr>
        <w:t>ე</w:t>
      </w:r>
      <w:r w:rsidRPr="004112AB">
        <w:rPr>
          <w:rFonts w:asciiTheme="minorHAnsi" w:hAnsiTheme="minorHAnsi" w:cstheme="minorHAnsi"/>
          <w:color w:val="000000"/>
        </w:rPr>
        <w:t>ნინგიტი, სიმსივნეები, პოლიომიელიტი და კრანიალური ჰემორაგია.</w:t>
      </w:r>
    </w:p>
    <w:p w14:paraId="05E8862D" w14:textId="77777777" w:rsidR="00D51AA9" w:rsidRPr="004112AB" w:rsidRDefault="00A67A6E" w:rsidP="00E35499">
      <w:pPr>
        <w:pStyle w:val="ListParagraph"/>
        <w:numPr>
          <w:ilvl w:val="0"/>
          <w:numId w:val="3"/>
        </w:numPr>
        <w:spacing w:before="0" w:beforeAutospacing="0" w:after="0"/>
        <w:ind w:right="-270"/>
        <w:jc w:val="both"/>
        <w:rPr>
          <w:rFonts w:asciiTheme="minorHAnsi" w:hAnsiTheme="minorHAnsi" w:cstheme="minorHAnsi"/>
          <w:color w:val="000000"/>
        </w:rPr>
      </w:pPr>
      <w:r w:rsidRPr="004112AB">
        <w:rPr>
          <w:rFonts w:asciiTheme="minorHAnsi" w:hAnsiTheme="minorHAnsi" w:cstheme="minorHAnsi"/>
          <w:color w:val="000000"/>
        </w:rPr>
        <w:t>სპინალური სტენოზი და ხერხემლის სვეტის აქტიური დაავადება (სპონდილიტი, სიმსივნე) ან ბოლო დროს გადატანილი ტრავმა</w:t>
      </w:r>
      <w:r w:rsidR="00D51AA9" w:rsidRPr="004112AB">
        <w:rPr>
          <w:rFonts w:asciiTheme="minorHAnsi" w:hAnsiTheme="minorHAnsi" w:cstheme="minorHAnsi"/>
          <w:color w:val="000000"/>
        </w:rPr>
        <w:t xml:space="preserve"> (მაგ. მოტეხილობა)</w:t>
      </w:r>
    </w:p>
    <w:p w14:paraId="54AD2E44" w14:textId="77777777" w:rsidR="00D51AA9" w:rsidRPr="004112AB" w:rsidRDefault="00A67A6E" w:rsidP="00E35499">
      <w:pPr>
        <w:pStyle w:val="ListParagraph"/>
        <w:numPr>
          <w:ilvl w:val="0"/>
          <w:numId w:val="3"/>
        </w:numPr>
        <w:spacing w:before="0" w:beforeAutospacing="0" w:after="0"/>
        <w:ind w:right="-270"/>
        <w:jc w:val="both"/>
        <w:rPr>
          <w:rFonts w:asciiTheme="minorHAnsi" w:hAnsiTheme="minorHAnsi" w:cstheme="minorHAnsi"/>
          <w:color w:val="000000"/>
        </w:rPr>
      </w:pPr>
      <w:r w:rsidRPr="004112AB">
        <w:rPr>
          <w:rFonts w:asciiTheme="minorHAnsi" w:hAnsiTheme="minorHAnsi" w:cstheme="minorHAnsi"/>
          <w:color w:val="000000"/>
        </w:rPr>
        <w:t> სეპტიცემია</w:t>
      </w:r>
    </w:p>
    <w:p w14:paraId="4DF01ACB" w14:textId="74C3077D" w:rsidR="00D51AA9" w:rsidRPr="004112AB" w:rsidRDefault="00A67A6E" w:rsidP="00E35499">
      <w:pPr>
        <w:pStyle w:val="ListParagraph"/>
        <w:numPr>
          <w:ilvl w:val="0"/>
          <w:numId w:val="3"/>
        </w:numPr>
        <w:spacing w:before="0" w:beforeAutospacing="0" w:after="0"/>
        <w:ind w:right="-270"/>
        <w:jc w:val="both"/>
        <w:rPr>
          <w:rFonts w:asciiTheme="minorHAnsi" w:hAnsiTheme="minorHAnsi" w:cstheme="minorHAnsi"/>
          <w:color w:val="000000"/>
        </w:rPr>
      </w:pPr>
      <w:r w:rsidRPr="004112AB">
        <w:rPr>
          <w:rFonts w:asciiTheme="minorHAnsi" w:hAnsiTheme="minorHAnsi" w:cstheme="minorHAnsi"/>
          <w:color w:val="000000"/>
        </w:rPr>
        <w:t xml:space="preserve">პერნიციოზული ანემია </w:t>
      </w:r>
      <w:r w:rsidR="007E03C7" w:rsidRPr="004112AB">
        <w:rPr>
          <w:rFonts w:asciiTheme="minorHAnsi" w:hAnsiTheme="minorHAnsi" w:cstheme="minorHAnsi"/>
          <w:color w:val="000000"/>
        </w:rPr>
        <w:t>ზურგის ტვინის</w:t>
      </w:r>
      <w:r w:rsidRPr="004112AB">
        <w:rPr>
          <w:rFonts w:asciiTheme="minorHAnsi" w:hAnsiTheme="minorHAnsi" w:cstheme="minorHAnsi"/>
          <w:color w:val="000000"/>
        </w:rPr>
        <w:t xml:space="preserve"> ქვემწვავე კომბინირებული დეგენერაციით</w:t>
      </w:r>
    </w:p>
    <w:p w14:paraId="0000AD6A" w14:textId="77777777" w:rsidR="00C60AC6" w:rsidRPr="004112AB" w:rsidRDefault="00A67A6E" w:rsidP="00E35499">
      <w:pPr>
        <w:pStyle w:val="ListParagraph"/>
        <w:numPr>
          <w:ilvl w:val="0"/>
          <w:numId w:val="3"/>
        </w:numPr>
        <w:spacing w:before="0" w:beforeAutospacing="0" w:after="0"/>
        <w:ind w:right="-270"/>
        <w:jc w:val="both"/>
        <w:rPr>
          <w:rFonts w:asciiTheme="minorHAnsi" w:hAnsiTheme="minorHAnsi" w:cstheme="minorHAnsi"/>
          <w:color w:val="000000"/>
        </w:rPr>
      </w:pPr>
      <w:r w:rsidRPr="004112AB">
        <w:rPr>
          <w:rFonts w:asciiTheme="minorHAnsi" w:hAnsiTheme="minorHAnsi" w:cstheme="minorHAnsi"/>
          <w:color w:val="000000"/>
        </w:rPr>
        <w:t>კანის პიოგენური ინფექცია პუნქციის ადგილას ან მის ახლო</w:t>
      </w:r>
      <w:r w:rsidR="00C60AC6" w:rsidRPr="004112AB">
        <w:rPr>
          <w:rFonts w:asciiTheme="minorHAnsi" w:hAnsiTheme="minorHAnsi" w:cstheme="minorHAnsi"/>
          <w:color w:val="000000"/>
        </w:rPr>
        <w:t>ს</w:t>
      </w:r>
    </w:p>
    <w:p w14:paraId="103F927C" w14:textId="77777777" w:rsidR="00C60AC6" w:rsidRPr="004112AB" w:rsidRDefault="00A67A6E" w:rsidP="00E35499">
      <w:pPr>
        <w:pStyle w:val="ListParagraph"/>
        <w:numPr>
          <w:ilvl w:val="0"/>
          <w:numId w:val="3"/>
        </w:numPr>
        <w:spacing w:before="0" w:beforeAutospacing="0" w:after="0"/>
        <w:ind w:right="-270"/>
        <w:jc w:val="both"/>
        <w:rPr>
          <w:rFonts w:asciiTheme="minorHAnsi" w:hAnsiTheme="minorHAnsi" w:cstheme="minorHAnsi"/>
          <w:color w:val="000000"/>
        </w:rPr>
      </w:pPr>
      <w:r w:rsidRPr="004112AB">
        <w:rPr>
          <w:rFonts w:asciiTheme="minorHAnsi" w:hAnsiTheme="minorHAnsi" w:cstheme="minorHAnsi"/>
          <w:color w:val="000000"/>
        </w:rPr>
        <w:t>კარდიოგენური ან ჰიპოვოლემიური შოკი</w:t>
      </w:r>
    </w:p>
    <w:p w14:paraId="04C3697E" w14:textId="5328605C" w:rsidR="00A67A6E" w:rsidRPr="004112AB" w:rsidRDefault="00A67A6E" w:rsidP="00E35499">
      <w:pPr>
        <w:pStyle w:val="ListParagraph"/>
        <w:numPr>
          <w:ilvl w:val="0"/>
          <w:numId w:val="3"/>
        </w:numPr>
        <w:spacing w:before="0" w:beforeAutospacing="0" w:after="0"/>
        <w:ind w:right="-270"/>
        <w:jc w:val="both"/>
        <w:rPr>
          <w:rFonts w:asciiTheme="minorHAnsi" w:hAnsiTheme="minorHAnsi" w:cstheme="minorHAnsi"/>
          <w:color w:val="000000"/>
        </w:rPr>
      </w:pPr>
      <w:r w:rsidRPr="004112AB">
        <w:rPr>
          <w:rFonts w:asciiTheme="minorHAnsi" w:hAnsiTheme="minorHAnsi" w:cstheme="minorHAnsi"/>
          <w:color w:val="000000"/>
        </w:rPr>
        <w:t>კოაგულაციის დარღვევები ან მიმდინარე ანტიკოაგულაციური თერაპია.</w:t>
      </w:r>
    </w:p>
    <w:p w14:paraId="57B2C2A4"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განსაკუთრებული გაფრთხილებები და უსაფრთხოების ზომები გამოყენებისას</w:t>
      </w:r>
    </w:p>
    <w:p w14:paraId="23891BFE" w14:textId="77777777" w:rsidR="00C60AC6"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 xml:space="preserve">ინტრათეკალური ანესთეზია უნდა განხორციელდეს მხოლოდ საკმარისი ცოდნის და გამოცდილების მქონე კლინიცისტების მიერ ან მათი მეთვალყურეობის ქვეშ. </w:t>
      </w:r>
    </w:p>
    <w:p w14:paraId="5638FAC7" w14:textId="50148725" w:rsidR="001F3D23" w:rsidRPr="004112AB" w:rsidRDefault="001F3D23"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რეგიონალური საანესთეზიო პროცედურები ყოველთვის უნდა ჩატარდეს სათანადოდ აღჭურვილ და პერსონალით დაკომპლექტებულ სივრცეში მონიტორინგისა და გადაუდებელი რეანიმაციისთვის საჭირო აღჭურვილობითა და მედიკამენტებით.</w:t>
      </w:r>
    </w:p>
    <w:p w14:paraId="199C4230" w14:textId="77777777" w:rsidR="001F3D23" w:rsidRPr="004112AB" w:rsidRDefault="001F3D23" w:rsidP="00646E12">
      <w:pPr>
        <w:spacing w:after="0" w:line="240" w:lineRule="auto"/>
        <w:ind w:right="-270"/>
        <w:jc w:val="both"/>
        <w:rPr>
          <w:rFonts w:eastAsia="Times New Roman" w:cstheme="minorHAnsi"/>
          <w:color w:val="000000"/>
          <w:sz w:val="24"/>
          <w:szCs w:val="24"/>
        </w:rPr>
      </w:pPr>
    </w:p>
    <w:p w14:paraId="7FE1EC6F" w14:textId="7B1254CF"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 xml:space="preserve">ინტრათეკალური ანესთეზიის დაწყებამდე </w:t>
      </w:r>
      <w:r w:rsidR="0063278B" w:rsidRPr="004112AB">
        <w:rPr>
          <w:rFonts w:eastAsia="Times New Roman" w:cstheme="minorHAnsi"/>
          <w:color w:val="000000"/>
          <w:sz w:val="24"/>
          <w:szCs w:val="24"/>
        </w:rPr>
        <w:t xml:space="preserve">ადგილზე </w:t>
      </w:r>
      <w:r w:rsidR="00A4500B" w:rsidRPr="004112AB">
        <w:rPr>
          <w:rFonts w:eastAsia="Times New Roman" w:cstheme="minorHAnsi"/>
          <w:color w:val="000000"/>
          <w:sz w:val="24"/>
          <w:szCs w:val="24"/>
        </w:rPr>
        <w:t>მზად</w:t>
      </w:r>
      <w:r w:rsidRPr="004112AB">
        <w:rPr>
          <w:rFonts w:eastAsia="Times New Roman" w:cstheme="minorHAnsi"/>
          <w:color w:val="000000"/>
          <w:sz w:val="24"/>
          <w:szCs w:val="24"/>
        </w:rPr>
        <w:t xml:space="preserve"> უნდა იყოს ინტრავენური </w:t>
      </w:r>
      <w:r w:rsidR="00A4500B" w:rsidRPr="004112AB">
        <w:rPr>
          <w:rFonts w:eastAsia="Times New Roman" w:cstheme="minorHAnsi"/>
          <w:color w:val="000000"/>
          <w:sz w:val="24"/>
          <w:szCs w:val="24"/>
        </w:rPr>
        <w:t>პორტი, მაგ.</w:t>
      </w:r>
      <w:r w:rsidRPr="004112AB">
        <w:rPr>
          <w:rFonts w:eastAsia="Times New Roman" w:cstheme="minorHAnsi"/>
          <w:color w:val="000000"/>
          <w:sz w:val="24"/>
          <w:szCs w:val="24"/>
        </w:rPr>
        <w:t xml:space="preserve"> </w:t>
      </w:r>
      <w:r w:rsidR="00504D0C" w:rsidRPr="004112AB">
        <w:rPr>
          <w:rFonts w:eastAsia="Times New Roman" w:cstheme="minorHAnsi"/>
          <w:color w:val="000000"/>
          <w:sz w:val="24"/>
          <w:szCs w:val="24"/>
        </w:rPr>
        <w:t xml:space="preserve"> ინტრავენური ინფუზია</w:t>
      </w:r>
      <w:r w:rsidRPr="004112AB">
        <w:rPr>
          <w:rFonts w:eastAsia="Times New Roman" w:cstheme="minorHAnsi"/>
          <w:color w:val="000000"/>
          <w:sz w:val="24"/>
          <w:szCs w:val="24"/>
        </w:rPr>
        <w:t>.</w:t>
      </w:r>
    </w:p>
    <w:p w14:paraId="224FF5A3" w14:textId="4E05DD90"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კლინიცისტებმა უნდა გაიარონ ჩასატარებელი პროცედურის ადექვატური და შესაბამისი ტრენინგი და უნდა იცნობდნენ გვერდითი ეფექტების, სისტემური ტოქსიურობის და სხვა გართულებების დიაგნოზის და მკურნალობის საშუალებებს (იხ. დოზის გადაჭარბება).</w:t>
      </w:r>
    </w:p>
    <w:p w14:paraId="708F3625" w14:textId="668EB2E8"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 xml:space="preserve">ცუდი ზოგადი მდგომარეობის მქონე პაციენტები ასაკის ან სხვა ხელშემწყობი ფაქტორების გამო, როგორიცაა, გულის გამტარებლობის ნაწილობრივი ან სრული ბლოკადა, თირკმლის ან ღვიძლის შორსწასული დისფუნქცია, განსაკუთრებულ ყურადღებას საჭიროებენ </w:t>
      </w:r>
      <w:r w:rsidRPr="004112AB">
        <w:rPr>
          <w:rFonts w:eastAsia="Times New Roman" w:cstheme="minorHAnsi"/>
          <w:color w:val="000000"/>
          <w:sz w:val="24"/>
          <w:szCs w:val="24"/>
        </w:rPr>
        <w:lastRenderedPageBreak/>
        <w:t>მიუხედავად იმისა, რომ ამ შემთხვევაში რეგიონ</w:t>
      </w:r>
      <w:r w:rsidR="00D53325" w:rsidRPr="004112AB">
        <w:rPr>
          <w:rFonts w:eastAsia="Times New Roman" w:cstheme="minorHAnsi"/>
          <w:color w:val="000000"/>
          <w:sz w:val="24"/>
          <w:szCs w:val="24"/>
        </w:rPr>
        <w:t>ა</w:t>
      </w:r>
      <w:r w:rsidRPr="004112AB">
        <w:rPr>
          <w:rFonts w:eastAsia="Times New Roman" w:cstheme="minorHAnsi"/>
          <w:color w:val="000000"/>
          <w:sz w:val="24"/>
          <w:szCs w:val="24"/>
        </w:rPr>
        <w:t>ლ</w:t>
      </w:r>
      <w:r w:rsidR="00D53325" w:rsidRPr="004112AB">
        <w:rPr>
          <w:rFonts w:eastAsia="Times New Roman" w:cstheme="minorHAnsi"/>
          <w:color w:val="000000"/>
          <w:sz w:val="24"/>
          <w:szCs w:val="24"/>
        </w:rPr>
        <w:t>ურ</w:t>
      </w:r>
      <w:r w:rsidRPr="004112AB">
        <w:rPr>
          <w:rFonts w:eastAsia="Times New Roman" w:cstheme="minorHAnsi"/>
          <w:color w:val="000000"/>
          <w:sz w:val="24"/>
          <w:szCs w:val="24"/>
        </w:rPr>
        <w:t>ი ანესთეზია შეიძლება ოპერაციისას ოპტიმალური არჩევანი იყოს.</w:t>
      </w:r>
    </w:p>
    <w:p w14:paraId="411D11AB" w14:textId="2108B488"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პაციენტები, რომლებიც III კლასის ანტიარითმული პრეპარატებით მკურნალობენ (მაგ. ამიოდარონი) უნდა იმყოფებოდნენ ინტენსიური დაკვირვების ქვეშ, უნდა ტარდებოდეს ეკგ მონიტო</w:t>
      </w:r>
      <w:r w:rsidR="00530A98" w:rsidRPr="004112AB">
        <w:rPr>
          <w:rFonts w:eastAsia="Times New Roman" w:cstheme="minorHAnsi"/>
          <w:color w:val="000000"/>
          <w:sz w:val="24"/>
          <w:szCs w:val="24"/>
        </w:rPr>
        <w:t xml:space="preserve"> </w:t>
      </w:r>
      <w:r w:rsidRPr="004112AB">
        <w:rPr>
          <w:rFonts w:eastAsia="Times New Roman" w:cstheme="minorHAnsi"/>
          <w:color w:val="000000"/>
          <w:sz w:val="24"/>
          <w:szCs w:val="24"/>
        </w:rPr>
        <w:t>რინგი, რადგან შეიძლება აღინიშნოს ადიტიური კარდიული ეფექტები (იხ. ურთიერთქმედება).</w:t>
      </w:r>
    </w:p>
    <w:p w14:paraId="0D2169B5" w14:textId="20C1C536" w:rsidR="00C60AC6"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 xml:space="preserve">როგორც ყველა </w:t>
      </w:r>
      <w:r w:rsidR="00C60AC6" w:rsidRPr="004112AB">
        <w:rPr>
          <w:rFonts w:eastAsia="Times New Roman" w:cstheme="minorHAnsi"/>
          <w:color w:val="000000"/>
          <w:sz w:val="24"/>
          <w:szCs w:val="24"/>
        </w:rPr>
        <w:t xml:space="preserve">ლოკალურმა </w:t>
      </w:r>
      <w:r w:rsidRPr="004112AB">
        <w:rPr>
          <w:rFonts w:eastAsia="Times New Roman" w:cstheme="minorHAnsi"/>
          <w:color w:val="000000"/>
          <w:sz w:val="24"/>
          <w:szCs w:val="24"/>
        </w:rPr>
        <w:t xml:space="preserve">საანესთეზიო საშუალებამ, საანესთეზიო პროცედურების დროს გამოყენებისას და სისხლში მაღალი კონცენტრაციის დროს ბუპივაკაინმა შეიძლება გამოიწვიოს მწვავე ტოქსიურობის ეფექტები ცენტრალურ ნერვულ სისტემასა და გულ-სისხლძარღვთა სისტემაზე. ეს განსაკუთრებით საყურადღებოა </w:t>
      </w:r>
      <w:r w:rsidR="0063278B" w:rsidRPr="004112AB">
        <w:rPr>
          <w:rFonts w:eastAsia="Times New Roman" w:cstheme="minorHAnsi"/>
          <w:color w:val="000000"/>
          <w:sz w:val="24"/>
          <w:szCs w:val="24"/>
        </w:rPr>
        <w:t xml:space="preserve">შემთხვევით </w:t>
      </w:r>
      <w:r w:rsidRPr="004112AB">
        <w:rPr>
          <w:rFonts w:eastAsia="Times New Roman" w:cstheme="minorHAnsi"/>
          <w:color w:val="000000"/>
          <w:sz w:val="24"/>
          <w:szCs w:val="24"/>
        </w:rPr>
        <w:t xml:space="preserve">სისხლძარღვში შეყვანის დროს. ბუპივაკაინის მაღალი სისტემური კონცენტრაციისას აღწერილია პარკუჭოვანი არითმია, პარკუჭების ფიბრილაცია, უეცარი კარდიოვასკულური კოლაფსი და სიკვდილი. თუმცა მაღალი სისტემური კონცენტრაცია მოსალოდნელი არ არის ინტრათეკალური ანესთეზიისთვის გამოყენებული დოზის შეყვანისას. </w:t>
      </w:r>
    </w:p>
    <w:p w14:paraId="133B9A13" w14:textId="6EB6BD78"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სპინალური ანესთეზიი</w:t>
      </w:r>
      <w:r w:rsidR="00E35499" w:rsidRPr="004112AB">
        <w:rPr>
          <w:rFonts w:eastAsia="Times New Roman" w:cstheme="minorHAnsi"/>
          <w:color w:val="000000"/>
          <w:sz w:val="24"/>
          <w:szCs w:val="24"/>
        </w:rPr>
        <w:t>ს შემდგომი იშვიათი, თუმცა მძიმე</w:t>
      </w:r>
      <w:r w:rsidRPr="004112AB">
        <w:rPr>
          <w:rFonts w:eastAsia="Times New Roman" w:cstheme="minorHAnsi"/>
          <w:color w:val="000000"/>
          <w:sz w:val="24"/>
          <w:szCs w:val="24"/>
        </w:rPr>
        <w:t xml:space="preserve"> გვერდითი რეაქციაა </w:t>
      </w:r>
      <w:r w:rsidR="0063278B" w:rsidRPr="004112AB">
        <w:rPr>
          <w:rFonts w:eastAsia="Times New Roman" w:cstheme="minorHAnsi"/>
          <w:color w:val="000000"/>
          <w:sz w:val="24"/>
          <w:szCs w:val="24"/>
        </w:rPr>
        <w:t xml:space="preserve">მაღალი ან </w:t>
      </w:r>
      <w:r w:rsidRPr="004112AB">
        <w:rPr>
          <w:rFonts w:eastAsia="Times New Roman" w:cstheme="minorHAnsi"/>
          <w:color w:val="000000"/>
          <w:sz w:val="24"/>
          <w:szCs w:val="24"/>
        </w:rPr>
        <w:t xml:space="preserve">ტოტალური სპინალური ბლოკი, რაც იწვევს კარდიოვასკულურ და </w:t>
      </w:r>
      <w:r w:rsidR="0063278B" w:rsidRPr="004112AB">
        <w:rPr>
          <w:rFonts w:eastAsia="Times New Roman" w:cstheme="minorHAnsi"/>
          <w:color w:val="000000"/>
          <w:sz w:val="24"/>
          <w:szCs w:val="24"/>
        </w:rPr>
        <w:t>რესპირატორულ</w:t>
      </w:r>
      <w:r w:rsidRPr="004112AB">
        <w:rPr>
          <w:rFonts w:eastAsia="Times New Roman" w:cstheme="minorHAnsi"/>
          <w:color w:val="000000"/>
          <w:sz w:val="24"/>
          <w:szCs w:val="24"/>
        </w:rPr>
        <w:t xml:space="preserve"> დეპრესიას. კარდიოვასკულური დეპრესია განპირონებულია ჭარბი სიმპათიკური ბლოკით, რამაც შეიძლება გამოიწვიოს ღრმა ჰიპოტენზია ან ბრადიკარდია და გულის გაჩერებაც. რესპირატორული დეპრესია შეიძლება განპირობებული იყოს სასუნთქი კუნთების ინერვაციის ბლოკადით</w:t>
      </w:r>
      <w:r w:rsidR="0063278B" w:rsidRPr="004112AB">
        <w:rPr>
          <w:rFonts w:eastAsia="Times New Roman" w:cstheme="minorHAnsi"/>
          <w:color w:val="000000"/>
          <w:sz w:val="24"/>
          <w:szCs w:val="24"/>
        </w:rPr>
        <w:t>,</w:t>
      </w:r>
      <w:r w:rsidRPr="004112AB">
        <w:rPr>
          <w:rFonts w:eastAsia="Times New Roman" w:cstheme="minorHAnsi"/>
          <w:color w:val="000000"/>
          <w:sz w:val="24"/>
          <w:szCs w:val="24"/>
        </w:rPr>
        <w:t xml:space="preserve"> დიაფრაგმის ჩათვლით.</w:t>
      </w:r>
    </w:p>
    <w:p w14:paraId="42291CD4" w14:textId="6DB5A566"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 xml:space="preserve">ხანდაზმულ და ორსულობის ბოლო </w:t>
      </w:r>
      <w:r w:rsidR="00C60AC6" w:rsidRPr="004112AB">
        <w:rPr>
          <w:rFonts w:eastAsia="Times New Roman" w:cstheme="minorHAnsi"/>
          <w:color w:val="000000"/>
          <w:sz w:val="24"/>
          <w:szCs w:val="24"/>
        </w:rPr>
        <w:t>სტადიაში</w:t>
      </w:r>
      <w:r w:rsidRPr="004112AB">
        <w:rPr>
          <w:rFonts w:eastAsia="Times New Roman" w:cstheme="minorHAnsi"/>
          <w:color w:val="000000"/>
          <w:sz w:val="24"/>
          <w:szCs w:val="24"/>
        </w:rPr>
        <w:t xml:space="preserve"> მყოფ პაციენტებში მომატებულია მაღალი ან ტოტალური სპინალური ბლოკადის რისკი. აქედან გამომდინარე</w:t>
      </w:r>
      <w:r w:rsidR="00C60AC6" w:rsidRPr="004112AB">
        <w:rPr>
          <w:rFonts w:eastAsia="Times New Roman" w:cstheme="minorHAnsi"/>
          <w:color w:val="000000"/>
          <w:sz w:val="24"/>
          <w:szCs w:val="24"/>
        </w:rPr>
        <w:t>,</w:t>
      </w:r>
      <w:r w:rsidRPr="004112AB">
        <w:rPr>
          <w:rFonts w:eastAsia="Times New Roman" w:cstheme="minorHAnsi"/>
          <w:color w:val="000000"/>
          <w:sz w:val="24"/>
          <w:szCs w:val="24"/>
        </w:rPr>
        <w:t xml:space="preserve"> ასეთ პაციენტებში საჭიროა დოზის შემცირება (იხ. დოზირება და მიღების მეთოდი).</w:t>
      </w:r>
    </w:p>
    <w:p w14:paraId="4FEB98B9" w14:textId="38881164" w:rsidR="002978FC" w:rsidRPr="004112AB" w:rsidRDefault="002978FC"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ინტრათეკალურმა ანესთეზიამ შეიძლება გამოიწვიოს ჰიპოტენზია და ბრადიკარდია. ასეთი ეფექტების რისკი შეიძლება შემცირდეს, მაგალითად, ვაზოპრესორის მიღებით. ჰიპოტენზიის განვითარების შემთხვევაში სიმპათომიმეტური საშუალებებით მკურნალობა დაუყოვნებლივ უნდა დაიწყოს ინტრავენურად, აუცილებლობის შემთხვევაში მიღება განმეორდეს.</w:t>
      </w:r>
    </w:p>
    <w:p w14:paraId="27265573" w14:textId="189CDBF2" w:rsidR="008C09E5" w:rsidRPr="004112AB" w:rsidRDefault="001F3FAD"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მძიმე ჰიპოტენზია შეიძლება განვითარდეს ჰიპოვოლემიის შედეგად სისხლდენის ან დეჰიდრატაციის ან აორტოკავალური ოკლუზიის შედეგად პაციენტებში მასიური ასციტით, მუცლის დიდი სიმსივნეებით ან გვიანი ორსულობის დროს.</w:t>
      </w:r>
      <w:r w:rsidR="006F5DC4" w:rsidRPr="004112AB">
        <w:rPr>
          <w:rFonts w:eastAsia="Times New Roman" w:cstheme="minorHAnsi"/>
          <w:color w:val="000000"/>
          <w:sz w:val="24"/>
          <w:szCs w:val="24"/>
        </w:rPr>
        <w:t xml:space="preserve"> </w:t>
      </w:r>
      <w:r w:rsidR="005825B5" w:rsidRPr="004112AB">
        <w:rPr>
          <w:rFonts w:eastAsia="Times New Roman" w:cstheme="minorHAnsi"/>
          <w:color w:val="000000"/>
          <w:sz w:val="24"/>
          <w:szCs w:val="24"/>
        </w:rPr>
        <w:t>მძიმე ჰიპოტენზია შეიძლება განვითარდეს ჰიპოვოლემიის შედეგად სისხლდენის ან დეჰიდრატაციის ან აორტოკავალური ოკლუზიის შედეგად პაციენტებში მასიური ასციტით, მუცლის დიდი სიმსივნეებით ან გვიანი ორსულობის დროს.</w:t>
      </w:r>
      <w:r w:rsidR="006F5DC4" w:rsidRPr="004112AB">
        <w:rPr>
          <w:rFonts w:eastAsia="Times New Roman" w:cstheme="minorHAnsi"/>
          <w:color w:val="000000"/>
          <w:sz w:val="24"/>
          <w:szCs w:val="24"/>
        </w:rPr>
        <w:t xml:space="preserve"> გულის დეკომპენსაციის მქონე პაციენტებში თავიდან უნდა იქნას აცილებული მძიმე ჰიპოტენზია.</w:t>
      </w:r>
    </w:p>
    <w:p w14:paraId="49E6C3F0"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ჰიპოვოლემიის მქონე პაციენტებში ინტრათეკალური ანესთეზიის დროს შეიძლება განვითარდეს უეცარი ან მძიმე ჰიპოტენზია, გამოყენებული ადგილობრივი საანესთეზიო საშუალების მიუხედავად. მოზრდილებში ინტრათეკალური ანესთეზიის შემდეგ დაფიქსირებული ხშირი ჰიპოტენზია ნაკლებად ვითარდება 8 წლამდე ასაკის ბავშვებში.</w:t>
      </w:r>
    </w:p>
    <w:p w14:paraId="1B776BE8" w14:textId="72B65A49"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ნევროლოგიური დაზიანება ინტრათეკალური ანესთეზიის შემდგომი იშვიათი მოვლენაა და შეიძლება გამოიწვიოს პარესთეზია, ანესთეზია, მოტორული სისუსტე და დამბლა. იშვიათად ეს მოვლენები მუდმივი</w:t>
      </w:r>
      <w:r w:rsidR="0063278B" w:rsidRPr="004112AB">
        <w:rPr>
          <w:rFonts w:eastAsia="Times New Roman" w:cstheme="minorHAnsi"/>
          <w:color w:val="000000"/>
          <w:sz w:val="24"/>
          <w:szCs w:val="24"/>
        </w:rPr>
        <w:t xml:space="preserve"> ხასიათისაა. </w:t>
      </w:r>
    </w:p>
    <w:p w14:paraId="1AF032D1" w14:textId="41F764D6"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ნევროლოგიურ დარღვევებ</w:t>
      </w:r>
      <w:r w:rsidR="00090FCA" w:rsidRPr="004112AB">
        <w:rPr>
          <w:rFonts w:eastAsia="Times New Roman" w:cstheme="minorHAnsi"/>
          <w:color w:val="000000"/>
          <w:sz w:val="24"/>
          <w:szCs w:val="24"/>
        </w:rPr>
        <w:t>ზე</w:t>
      </w:r>
      <w:r w:rsidRPr="004112AB">
        <w:rPr>
          <w:rFonts w:eastAsia="Times New Roman" w:cstheme="minorHAnsi"/>
          <w:color w:val="000000"/>
          <w:sz w:val="24"/>
          <w:szCs w:val="24"/>
        </w:rPr>
        <w:t>, როგორიცაა გაფანტული სკლეროზი, ჰემი</w:t>
      </w:r>
      <w:r w:rsidR="00090FCA" w:rsidRPr="004112AB">
        <w:rPr>
          <w:rFonts w:eastAsia="Times New Roman" w:cstheme="minorHAnsi"/>
          <w:color w:val="000000"/>
          <w:sz w:val="24"/>
          <w:szCs w:val="24"/>
        </w:rPr>
        <w:t>პ</w:t>
      </w:r>
      <w:r w:rsidRPr="004112AB">
        <w:rPr>
          <w:rFonts w:eastAsia="Times New Roman" w:cstheme="minorHAnsi"/>
          <w:color w:val="000000"/>
          <w:sz w:val="24"/>
          <w:szCs w:val="24"/>
        </w:rPr>
        <w:t>ლეგია, პარაპლეგია და ნერვ</w:t>
      </w:r>
      <w:r w:rsidR="00090FCA" w:rsidRPr="004112AB">
        <w:rPr>
          <w:rFonts w:eastAsia="Times New Roman" w:cstheme="minorHAnsi"/>
          <w:color w:val="000000"/>
          <w:sz w:val="24"/>
          <w:szCs w:val="24"/>
        </w:rPr>
        <w:t>-</w:t>
      </w:r>
      <w:r w:rsidRPr="004112AB">
        <w:rPr>
          <w:rFonts w:eastAsia="Times New Roman" w:cstheme="minorHAnsi"/>
          <w:color w:val="000000"/>
          <w:sz w:val="24"/>
          <w:szCs w:val="24"/>
        </w:rPr>
        <w:t>კუნთოვანი დარღევები, ჩვეულებრივ ინტრათეკალური ანესთეზი</w:t>
      </w:r>
      <w:r w:rsidR="00090FCA" w:rsidRPr="004112AB">
        <w:rPr>
          <w:rFonts w:eastAsia="Times New Roman" w:cstheme="minorHAnsi"/>
          <w:color w:val="000000"/>
          <w:sz w:val="24"/>
          <w:szCs w:val="24"/>
        </w:rPr>
        <w:t>ა უარყოფითად არ მოქმედებს</w:t>
      </w:r>
      <w:r w:rsidRPr="004112AB">
        <w:rPr>
          <w:rFonts w:eastAsia="Times New Roman" w:cstheme="minorHAnsi"/>
          <w:color w:val="000000"/>
          <w:sz w:val="24"/>
          <w:szCs w:val="24"/>
        </w:rPr>
        <w:t>, მაგრამ ამ დროს საჭიროა სიფრთხილე. მკურნალობის დაწყებამდე უნდა გაითვალისწინონ აჭარბებს თუ არა პოტენციური სარგებელი პაციენტის</w:t>
      </w:r>
      <w:r w:rsidR="00C60AC6" w:rsidRPr="004112AB">
        <w:rPr>
          <w:rFonts w:eastAsia="Times New Roman" w:cstheme="minorHAnsi"/>
          <w:color w:val="000000"/>
          <w:sz w:val="24"/>
          <w:szCs w:val="24"/>
        </w:rPr>
        <w:t>თვის</w:t>
      </w:r>
      <w:r w:rsidRPr="004112AB">
        <w:rPr>
          <w:rFonts w:eastAsia="Times New Roman" w:cstheme="minorHAnsi"/>
          <w:color w:val="000000"/>
          <w:sz w:val="24"/>
          <w:szCs w:val="24"/>
        </w:rPr>
        <w:t xml:space="preserve"> შესაძლო რისკს.</w:t>
      </w:r>
    </w:p>
    <w:p w14:paraId="03D46955" w14:textId="77777777" w:rsidR="00504D0C" w:rsidRPr="004112AB" w:rsidRDefault="00504D0C" w:rsidP="00646E12">
      <w:pPr>
        <w:spacing w:after="0" w:line="240" w:lineRule="auto"/>
        <w:ind w:right="-270"/>
        <w:jc w:val="both"/>
        <w:rPr>
          <w:rFonts w:eastAsia="Times New Roman" w:cstheme="minorHAnsi"/>
          <w:b/>
          <w:bCs/>
          <w:color w:val="000000"/>
          <w:sz w:val="24"/>
          <w:szCs w:val="24"/>
        </w:rPr>
      </w:pPr>
    </w:p>
    <w:p w14:paraId="0BDA492E" w14:textId="26541C75"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ურთიერთქმედება</w:t>
      </w:r>
    </w:p>
    <w:p w14:paraId="5036279A"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ბუპივაკაინი სიფრთხილით უნდა გამოიყენონ პაციენტებში, რომლებიც იღებენ სხვა საანესთეზიო საშუალებებს ან ამიდური ტიპის პრეპარატებთან სტრუქტურულად დაკავშირებულ მედიკამენტებს, როგორიცაა ზოგიერთი ანტიარითმიური საშუალება – ლიდოკაინი ან მექსილეთინი, რადგან სისტემური გვერდითი ეფექტები ადიტიურია. ბუპივაკაინის და III კლასის ანტიარითმიული საშუალებების (მაგ. ამიოდარონი) სპეციფიური ურთიერთქმედების კვლევები არ ჩატარებულა, მაგრამ საჭიროა სიფრთხილე (იხ. აგრეთვე განსაკუთრებული გაფრთხილებები და უსაფრთხოების ზომები გამოყენებისას).</w:t>
      </w:r>
    </w:p>
    <w:p w14:paraId="6496F1FA" w14:textId="77777777" w:rsidR="00504D0C" w:rsidRPr="004112AB" w:rsidRDefault="00504D0C" w:rsidP="00646E12">
      <w:pPr>
        <w:spacing w:after="0" w:line="240" w:lineRule="auto"/>
        <w:ind w:right="-270"/>
        <w:jc w:val="both"/>
        <w:rPr>
          <w:rFonts w:eastAsia="Times New Roman" w:cstheme="minorHAnsi"/>
          <w:b/>
          <w:bCs/>
          <w:color w:val="000000"/>
          <w:sz w:val="24"/>
          <w:szCs w:val="24"/>
        </w:rPr>
      </w:pPr>
    </w:p>
    <w:p w14:paraId="4708D9B9" w14:textId="06D99788"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ორსულობა და ლაქტაცია</w:t>
      </w:r>
    </w:p>
    <w:p w14:paraId="3995632D"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ორსულობა</w:t>
      </w:r>
    </w:p>
    <w:p w14:paraId="30668E03" w14:textId="77777777" w:rsidR="00090FCA" w:rsidRPr="004112AB" w:rsidRDefault="00504D0C"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გო</w:t>
      </w:r>
      <w:r w:rsidR="00090FCA" w:rsidRPr="004112AB">
        <w:rPr>
          <w:rFonts w:eastAsia="Times New Roman" w:cstheme="minorHAnsi"/>
          <w:color w:val="000000"/>
          <w:sz w:val="24"/>
          <w:szCs w:val="24"/>
        </w:rPr>
        <w:t>ნი</w:t>
      </w:r>
      <w:r w:rsidRPr="004112AB">
        <w:rPr>
          <w:rFonts w:eastAsia="Times New Roman" w:cstheme="minorHAnsi"/>
          <w:color w:val="000000"/>
          <w:sz w:val="24"/>
          <w:szCs w:val="24"/>
        </w:rPr>
        <w:t>ვრულია ვივარაუდოთ, რომ  ორსული და შვილოსნობის უნარის მქონე ქალთა დიდ რაოდენობას  მიღებული</w:t>
      </w:r>
      <w:r w:rsidR="00090FCA" w:rsidRPr="004112AB">
        <w:rPr>
          <w:rFonts w:eastAsia="Times New Roman" w:cstheme="minorHAnsi"/>
          <w:color w:val="000000"/>
          <w:sz w:val="24"/>
          <w:szCs w:val="24"/>
        </w:rPr>
        <w:t xml:space="preserve"> აქვს ბუპივიკაინი</w:t>
      </w:r>
      <w:r w:rsidRPr="004112AB">
        <w:rPr>
          <w:rFonts w:eastAsia="Times New Roman" w:cstheme="minorHAnsi"/>
          <w:color w:val="000000"/>
          <w:sz w:val="24"/>
          <w:szCs w:val="24"/>
        </w:rPr>
        <w:t xml:space="preserve">. </w:t>
      </w:r>
      <w:r w:rsidR="00A67A6E" w:rsidRPr="004112AB">
        <w:rPr>
          <w:rFonts w:eastAsia="Times New Roman" w:cstheme="minorHAnsi"/>
          <w:color w:val="000000"/>
          <w:sz w:val="24"/>
          <w:szCs w:val="24"/>
        </w:rPr>
        <w:t xml:space="preserve"> </w:t>
      </w:r>
    </w:p>
    <w:p w14:paraId="330A8E70" w14:textId="14DBCA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ამ დრომდე აღწერილი არ არის რეპროდუქციული პროცესის სპეციფიური დარღვევ</w:t>
      </w:r>
      <w:r w:rsidR="00090FCA" w:rsidRPr="004112AB">
        <w:rPr>
          <w:rFonts w:eastAsia="Times New Roman" w:cstheme="minorHAnsi"/>
          <w:color w:val="000000"/>
          <w:sz w:val="24"/>
          <w:szCs w:val="24"/>
        </w:rPr>
        <w:t>ები</w:t>
      </w:r>
      <w:r w:rsidRPr="004112AB">
        <w:rPr>
          <w:rFonts w:eastAsia="Times New Roman" w:cstheme="minorHAnsi"/>
          <w:color w:val="000000"/>
          <w:sz w:val="24"/>
          <w:szCs w:val="24"/>
        </w:rPr>
        <w:t>,</w:t>
      </w:r>
      <w:r w:rsidR="00090FCA" w:rsidRPr="004112AB">
        <w:rPr>
          <w:rFonts w:eastAsia="Times New Roman" w:cstheme="minorHAnsi"/>
          <w:color w:val="000000"/>
          <w:sz w:val="24"/>
          <w:szCs w:val="24"/>
        </w:rPr>
        <w:t xml:space="preserve"> ანუ, </w:t>
      </w:r>
      <w:r w:rsidRPr="004112AB">
        <w:rPr>
          <w:rFonts w:eastAsia="Times New Roman" w:cstheme="minorHAnsi"/>
          <w:color w:val="000000"/>
          <w:sz w:val="24"/>
          <w:szCs w:val="24"/>
        </w:rPr>
        <w:t xml:space="preserve"> აღწერილი არ არის მალფორმაციების </w:t>
      </w:r>
      <w:r w:rsidR="00090FCA" w:rsidRPr="004112AB">
        <w:rPr>
          <w:rFonts w:eastAsia="Times New Roman" w:cstheme="minorHAnsi"/>
          <w:color w:val="000000"/>
          <w:sz w:val="24"/>
          <w:szCs w:val="24"/>
        </w:rPr>
        <w:t>სიხშირის ზრდა</w:t>
      </w:r>
      <w:r w:rsidRPr="004112AB">
        <w:rPr>
          <w:rFonts w:eastAsia="Times New Roman" w:cstheme="minorHAnsi"/>
          <w:color w:val="000000"/>
          <w:sz w:val="24"/>
          <w:szCs w:val="24"/>
        </w:rPr>
        <w:t xml:space="preserve"> (იხ. ფარმაკოკინეტიკური მახასიათებლები). აღსანიშნავია, რომ ორსულობის ბოლო სტადიაში უნდა მოხდეს დოზის შემცირება (იხ. აგრეთვე დოზირება და მიღების მეთოდი).</w:t>
      </w:r>
    </w:p>
    <w:p w14:paraId="09A25CF6" w14:textId="77777777" w:rsidR="00504D0C" w:rsidRPr="004112AB" w:rsidRDefault="00504D0C" w:rsidP="00646E12">
      <w:pPr>
        <w:spacing w:after="0" w:line="240" w:lineRule="auto"/>
        <w:ind w:right="-270"/>
        <w:jc w:val="both"/>
        <w:rPr>
          <w:rFonts w:eastAsia="Times New Roman" w:cstheme="minorHAnsi"/>
          <w:color w:val="000000"/>
          <w:sz w:val="24"/>
          <w:szCs w:val="24"/>
        </w:rPr>
      </w:pPr>
    </w:p>
    <w:p w14:paraId="2AE546A8" w14:textId="112D159A"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ლაქტაცია</w:t>
      </w:r>
    </w:p>
    <w:p w14:paraId="38D46583" w14:textId="2F35493C"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 xml:space="preserve">ბუპივაკაინი აღწევს </w:t>
      </w:r>
      <w:r w:rsidR="00090FCA" w:rsidRPr="004112AB">
        <w:rPr>
          <w:rFonts w:eastAsia="Times New Roman" w:cstheme="minorHAnsi"/>
          <w:color w:val="000000"/>
          <w:sz w:val="24"/>
          <w:szCs w:val="24"/>
        </w:rPr>
        <w:t xml:space="preserve">დედის </w:t>
      </w:r>
      <w:r w:rsidRPr="004112AB">
        <w:rPr>
          <w:rFonts w:eastAsia="Times New Roman" w:cstheme="minorHAnsi"/>
          <w:color w:val="000000"/>
          <w:sz w:val="24"/>
          <w:szCs w:val="24"/>
        </w:rPr>
        <w:t>რძეში, მაგრამ იმდენად მცირე რაოდენობით, რომ ჩვეულებრივ</w:t>
      </w:r>
      <w:r w:rsidR="00301E0F" w:rsidRPr="004112AB">
        <w:rPr>
          <w:rFonts w:eastAsia="Times New Roman" w:cstheme="minorHAnsi"/>
          <w:color w:val="000000"/>
          <w:sz w:val="24"/>
          <w:szCs w:val="24"/>
        </w:rPr>
        <w:t>,</w:t>
      </w:r>
      <w:r w:rsidRPr="004112AB">
        <w:rPr>
          <w:rFonts w:eastAsia="Times New Roman" w:cstheme="minorHAnsi"/>
          <w:color w:val="000000"/>
          <w:sz w:val="24"/>
          <w:szCs w:val="24"/>
        </w:rPr>
        <w:t xml:space="preserve"> </w:t>
      </w:r>
      <w:r w:rsidR="00301E0F" w:rsidRPr="004112AB">
        <w:rPr>
          <w:rFonts w:eastAsia="Times New Roman" w:cstheme="minorHAnsi"/>
          <w:color w:val="000000"/>
          <w:sz w:val="24"/>
          <w:szCs w:val="24"/>
        </w:rPr>
        <w:t xml:space="preserve">არ არსებობს ახალშობილზე მისი ზემოქმედების </w:t>
      </w:r>
      <w:r w:rsidRPr="004112AB">
        <w:rPr>
          <w:rFonts w:eastAsia="Times New Roman" w:cstheme="minorHAnsi"/>
          <w:color w:val="000000"/>
          <w:sz w:val="24"/>
          <w:szCs w:val="24"/>
        </w:rPr>
        <w:t>რისკ</w:t>
      </w:r>
      <w:r w:rsidR="00301E0F" w:rsidRPr="004112AB">
        <w:rPr>
          <w:rFonts w:eastAsia="Times New Roman" w:cstheme="minorHAnsi"/>
          <w:color w:val="000000"/>
          <w:sz w:val="24"/>
          <w:szCs w:val="24"/>
        </w:rPr>
        <w:t>ი.</w:t>
      </w:r>
    </w:p>
    <w:p w14:paraId="0C30081E" w14:textId="77777777" w:rsidR="00301E0F" w:rsidRPr="004112AB" w:rsidRDefault="00301E0F" w:rsidP="00646E12">
      <w:pPr>
        <w:spacing w:after="0" w:line="240" w:lineRule="auto"/>
        <w:ind w:right="-270"/>
        <w:jc w:val="both"/>
        <w:rPr>
          <w:rFonts w:eastAsia="Times New Roman" w:cstheme="minorHAnsi"/>
          <w:b/>
          <w:bCs/>
          <w:color w:val="000000"/>
          <w:sz w:val="24"/>
          <w:szCs w:val="24"/>
        </w:rPr>
      </w:pPr>
    </w:p>
    <w:p w14:paraId="0DEB2762" w14:textId="2A474BB4"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გავლენა ავტომობილის მართვის და მექანიზმებთან მუშაობის უნარზე</w:t>
      </w:r>
    </w:p>
    <w:p w14:paraId="11528264"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პირდაპირი საანესთეზიო ეფექტის გარდა ადგილობრივ საანესთეზიო საშუალებებს შეიძლება ძალიან მცირე ეფექტი ქონდეს მენტალურ ფუნქციასა და კოორდინაციაზე, ცნს ტოქსიურობის არ არსებობის შემთხვევაშიც და შეიძლება დროებით დააზიანოს ლოკომოცია და კონცენტრაცია.</w:t>
      </w:r>
    </w:p>
    <w:p w14:paraId="434E4B6A" w14:textId="5A9F05F4" w:rsidR="00504D0C" w:rsidRPr="004112AB" w:rsidRDefault="00D270E4" w:rsidP="00D270E4">
      <w:pPr>
        <w:tabs>
          <w:tab w:val="left" w:pos="2517"/>
        </w:tabs>
        <w:spacing w:after="0" w:line="240" w:lineRule="auto"/>
        <w:ind w:right="-270"/>
        <w:jc w:val="both"/>
        <w:rPr>
          <w:rFonts w:eastAsia="Times New Roman" w:cstheme="minorHAnsi"/>
          <w:b/>
          <w:bCs/>
          <w:color w:val="000000"/>
          <w:sz w:val="24"/>
          <w:szCs w:val="24"/>
        </w:rPr>
      </w:pPr>
      <w:r w:rsidRPr="004112AB">
        <w:rPr>
          <w:rFonts w:eastAsia="Times New Roman" w:cstheme="minorHAnsi"/>
          <w:b/>
          <w:bCs/>
          <w:color w:val="000000"/>
          <w:sz w:val="24"/>
          <w:szCs w:val="24"/>
        </w:rPr>
        <w:tab/>
      </w:r>
    </w:p>
    <w:p w14:paraId="21B440A7" w14:textId="77777777" w:rsidR="00D270E4" w:rsidRPr="004112AB" w:rsidRDefault="00D270E4" w:rsidP="00D270E4">
      <w:pPr>
        <w:tabs>
          <w:tab w:val="left" w:pos="2517"/>
        </w:tabs>
        <w:spacing w:after="0" w:line="240" w:lineRule="auto"/>
        <w:ind w:right="-270"/>
        <w:jc w:val="both"/>
        <w:rPr>
          <w:rFonts w:eastAsia="Times New Roman" w:cstheme="minorHAnsi"/>
          <w:b/>
          <w:bCs/>
          <w:color w:val="000000"/>
          <w:sz w:val="24"/>
          <w:szCs w:val="24"/>
        </w:rPr>
      </w:pPr>
    </w:p>
    <w:p w14:paraId="148E57A3" w14:textId="1055B6B1"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არასასურველი ეფექტები</w:t>
      </w:r>
    </w:p>
    <w:p w14:paraId="1E611B77" w14:textId="7EEB94F4"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მარკაინი სპინალი ჰევის გვერდითი რეაქციების პროფილ</w:t>
      </w:r>
      <w:r w:rsidR="00C60AC6" w:rsidRPr="004112AB">
        <w:rPr>
          <w:rFonts w:eastAsia="Times New Roman" w:cstheme="minorHAnsi"/>
          <w:color w:val="000000"/>
          <w:sz w:val="24"/>
          <w:szCs w:val="24"/>
        </w:rPr>
        <w:t>ი</w:t>
      </w:r>
      <w:r w:rsidRPr="004112AB">
        <w:rPr>
          <w:rFonts w:eastAsia="Times New Roman" w:cstheme="minorHAnsi"/>
          <w:color w:val="000000"/>
          <w:sz w:val="24"/>
          <w:szCs w:val="24"/>
        </w:rPr>
        <w:t xml:space="preserve"> სხვა </w:t>
      </w:r>
      <w:r w:rsidR="00B947C3" w:rsidRPr="004112AB">
        <w:rPr>
          <w:rFonts w:eastAsia="Times New Roman" w:cstheme="minorHAnsi"/>
          <w:color w:val="000000"/>
          <w:sz w:val="24"/>
          <w:szCs w:val="24"/>
        </w:rPr>
        <w:t>ხანგრძლივი მოქმედების</w:t>
      </w:r>
      <w:r w:rsidR="00B947C3" w:rsidRPr="004112AB">
        <w:rPr>
          <w:rFonts w:eastAsia="Times New Roman" w:cstheme="minorHAnsi"/>
          <w:color w:val="FF0000"/>
          <w:sz w:val="24"/>
          <w:szCs w:val="24"/>
        </w:rPr>
        <w:t xml:space="preserve"> </w:t>
      </w:r>
      <w:r w:rsidRPr="004112AB">
        <w:rPr>
          <w:rFonts w:eastAsia="Times New Roman" w:cstheme="minorHAnsi"/>
          <w:color w:val="000000"/>
          <w:sz w:val="24"/>
          <w:szCs w:val="24"/>
        </w:rPr>
        <w:t>ადგილობრივი საანესთეზიო საშუალებების მსგავსია, რომლებიც გამოიყენება ინტრათეკალური ანესთეზიისთვის.</w:t>
      </w:r>
      <w:r w:rsidR="00301E0F" w:rsidRPr="004112AB">
        <w:rPr>
          <w:rFonts w:eastAsia="Times New Roman" w:cstheme="minorHAnsi"/>
          <w:color w:val="000000"/>
          <w:sz w:val="24"/>
          <w:szCs w:val="24"/>
        </w:rPr>
        <w:t xml:space="preserve"> </w:t>
      </w:r>
      <w:r w:rsidR="003F05C9" w:rsidRPr="004112AB">
        <w:rPr>
          <w:rFonts w:eastAsia="Times New Roman" w:cstheme="minorHAnsi"/>
          <w:color w:val="000000"/>
          <w:sz w:val="24"/>
          <w:szCs w:val="24"/>
        </w:rPr>
        <w:t xml:space="preserve">ამ </w:t>
      </w:r>
      <w:r w:rsidRPr="004112AB">
        <w:rPr>
          <w:rFonts w:eastAsia="Times New Roman" w:cstheme="minorHAnsi"/>
          <w:color w:val="000000"/>
          <w:sz w:val="24"/>
          <w:szCs w:val="24"/>
        </w:rPr>
        <w:t>პრეპარატის მიერ გამოწვეული გვერდითი რეაქციები ძნელი გასარჩევია ნერვული ბლოკის ფიზიოლოგიური ეფექტებისგან (მაგ. სისხლის წნევის დაქვეითება, ბრადიკარდია, შარდის დროებითი შეკავება), ნემსის ჩხვლეტით პირდაპირ (მაგ. სპინალური ჰემატომა) ან ირიბად გამოწვეული მოვლენებისგან (მაგ. მენინგიტი, ეპიდურული აბსცესი) ან ცერებროსპინალურ გაჟონვასთან დაკავშირებული რეაქციებისგან (მაგ. პოსტდურალური პუნქციის შემდგომი თავის ტკივილი).</w:t>
      </w:r>
    </w:p>
    <w:p w14:paraId="523C2329" w14:textId="77777777" w:rsidR="00504D0C" w:rsidRPr="004112AB" w:rsidRDefault="00504D0C" w:rsidP="00646E12">
      <w:pPr>
        <w:spacing w:after="0" w:line="240" w:lineRule="auto"/>
        <w:ind w:right="-270"/>
        <w:jc w:val="both"/>
        <w:rPr>
          <w:rFonts w:eastAsia="Times New Roman" w:cstheme="minorHAnsi"/>
          <w:color w:val="000000"/>
          <w:sz w:val="24"/>
          <w:szCs w:val="24"/>
        </w:rPr>
      </w:pPr>
    </w:p>
    <w:p w14:paraId="3012101B" w14:textId="681DB90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პრეპარატის გვერდითი რეაქციების ცხრილი</w:t>
      </w:r>
    </w:p>
    <w:p w14:paraId="57503947" w14:textId="77777777" w:rsidR="00504D0C" w:rsidRPr="004112AB" w:rsidRDefault="00504D0C" w:rsidP="00646E12">
      <w:pPr>
        <w:spacing w:after="0" w:line="240" w:lineRule="auto"/>
        <w:ind w:right="-270"/>
        <w:jc w:val="both"/>
        <w:rPr>
          <w:rFonts w:eastAsia="Times New Roman" w:cstheme="minorHAnsi"/>
          <w:color w:val="000000"/>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39"/>
        <w:gridCol w:w="6379"/>
      </w:tblGrid>
      <w:tr w:rsidR="00A67A6E" w:rsidRPr="004112AB" w14:paraId="18F2503C" w14:textId="77777777" w:rsidTr="00531779">
        <w:tc>
          <w:tcPr>
            <w:tcW w:w="3539" w:type="dxa"/>
            <w:tcMar>
              <w:top w:w="0" w:type="dxa"/>
              <w:left w:w="108" w:type="dxa"/>
              <w:bottom w:w="0" w:type="dxa"/>
              <w:right w:w="108" w:type="dxa"/>
            </w:tcMar>
            <w:hideMark/>
          </w:tcPr>
          <w:p w14:paraId="4000A10B" w14:textId="77777777"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ძალიან ხშირი (&gt;1/10)</w:t>
            </w:r>
          </w:p>
        </w:tc>
        <w:tc>
          <w:tcPr>
            <w:tcW w:w="6379" w:type="dxa"/>
            <w:tcMar>
              <w:top w:w="0" w:type="dxa"/>
              <w:left w:w="108" w:type="dxa"/>
              <w:bottom w:w="0" w:type="dxa"/>
              <w:right w:w="108" w:type="dxa"/>
            </w:tcMar>
            <w:hideMark/>
          </w:tcPr>
          <w:p w14:paraId="732EF68A" w14:textId="702C922F" w:rsidR="00A67A6E" w:rsidRPr="004112AB" w:rsidRDefault="00A67A6E" w:rsidP="00646E12">
            <w:pPr>
              <w:spacing w:after="0" w:line="240" w:lineRule="auto"/>
              <w:ind w:right="166"/>
              <w:jc w:val="both"/>
              <w:rPr>
                <w:rFonts w:eastAsia="Times New Roman" w:cstheme="minorHAnsi"/>
                <w:color w:val="000000" w:themeColor="text1"/>
                <w:sz w:val="24"/>
                <w:szCs w:val="24"/>
              </w:rPr>
            </w:pPr>
            <w:r w:rsidRPr="004112AB">
              <w:rPr>
                <w:rFonts w:eastAsia="Times New Roman" w:cstheme="minorHAnsi"/>
                <w:color w:val="000000" w:themeColor="text1"/>
                <w:sz w:val="24"/>
                <w:szCs w:val="24"/>
              </w:rPr>
              <w:t>გულის</w:t>
            </w:r>
            <w:r w:rsidR="00504D0C" w:rsidRPr="004112AB">
              <w:rPr>
                <w:rFonts w:eastAsia="Times New Roman" w:cstheme="minorHAnsi"/>
                <w:color w:val="000000" w:themeColor="text1"/>
                <w:sz w:val="24"/>
                <w:szCs w:val="24"/>
              </w:rPr>
              <w:t xml:space="preserve"> მხრივ</w:t>
            </w:r>
            <w:r w:rsidRPr="004112AB">
              <w:rPr>
                <w:rFonts w:eastAsia="Times New Roman" w:cstheme="minorHAnsi"/>
                <w:color w:val="000000" w:themeColor="text1"/>
                <w:sz w:val="24"/>
                <w:szCs w:val="24"/>
              </w:rPr>
              <w:t xml:space="preserve"> დარღვევები: ჰიპოტენზია, ბრადიკარდია</w:t>
            </w:r>
          </w:p>
          <w:p w14:paraId="6BB4FA46" w14:textId="77777777" w:rsidR="00A67A6E" w:rsidRPr="004112AB" w:rsidRDefault="00A67A6E" w:rsidP="00646E12">
            <w:pPr>
              <w:spacing w:after="0" w:line="240" w:lineRule="auto"/>
              <w:ind w:right="166"/>
              <w:jc w:val="both"/>
              <w:rPr>
                <w:rFonts w:eastAsia="Times New Roman" w:cstheme="minorHAnsi"/>
                <w:color w:val="000000" w:themeColor="text1"/>
                <w:sz w:val="24"/>
                <w:szCs w:val="24"/>
              </w:rPr>
            </w:pPr>
            <w:r w:rsidRPr="004112AB">
              <w:rPr>
                <w:rFonts w:eastAsia="Times New Roman" w:cstheme="minorHAnsi"/>
                <w:color w:val="000000" w:themeColor="text1"/>
                <w:sz w:val="24"/>
                <w:szCs w:val="24"/>
              </w:rPr>
              <w:t>გასტროინტესტინური დარღვევები: გულისრევა</w:t>
            </w:r>
          </w:p>
        </w:tc>
      </w:tr>
      <w:tr w:rsidR="00A67A6E" w:rsidRPr="004112AB" w14:paraId="74199499" w14:textId="77777777" w:rsidTr="00531779">
        <w:tc>
          <w:tcPr>
            <w:tcW w:w="3539" w:type="dxa"/>
            <w:tcMar>
              <w:top w:w="0" w:type="dxa"/>
              <w:left w:w="108" w:type="dxa"/>
              <w:bottom w:w="0" w:type="dxa"/>
              <w:right w:w="108" w:type="dxa"/>
            </w:tcMar>
            <w:hideMark/>
          </w:tcPr>
          <w:p w14:paraId="22FCCA91" w14:textId="3EE8B4E5"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lastRenderedPageBreak/>
              <w:t xml:space="preserve">ხშირი </w:t>
            </w:r>
            <w:r w:rsidR="003F05C9" w:rsidRPr="004112AB">
              <w:rPr>
                <w:rFonts w:eastAsia="Times New Roman" w:cstheme="minorHAnsi"/>
                <w:sz w:val="24"/>
                <w:szCs w:val="24"/>
              </w:rPr>
              <w:t>(&gt;</w:t>
            </w:r>
            <w:r w:rsidRPr="004112AB">
              <w:rPr>
                <w:rFonts w:eastAsia="Times New Roman" w:cstheme="minorHAnsi"/>
                <w:sz w:val="24"/>
                <w:szCs w:val="24"/>
              </w:rPr>
              <w:t>1/100</w:t>
            </w:r>
            <w:r w:rsidR="003F05C9" w:rsidRPr="004112AB">
              <w:rPr>
                <w:rFonts w:eastAsia="Times New Roman" w:cstheme="minorHAnsi"/>
                <w:sz w:val="24"/>
                <w:szCs w:val="24"/>
              </w:rPr>
              <w:t xml:space="preserve"> &lt;</w:t>
            </w:r>
            <w:r w:rsidRPr="004112AB">
              <w:rPr>
                <w:rFonts w:eastAsia="Times New Roman" w:cstheme="minorHAnsi"/>
                <w:sz w:val="24"/>
                <w:szCs w:val="24"/>
              </w:rPr>
              <w:t>1/10)</w:t>
            </w:r>
          </w:p>
        </w:tc>
        <w:tc>
          <w:tcPr>
            <w:tcW w:w="6379" w:type="dxa"/>
            <w:tcMar>
              <w:top w:w="0" w:type="dxa"/>
              <w:left w:w="108" w:type="dxa"/>
              <w:bottom w:w="0" w:type="dxa"/>
              <w:right w:w="108" w:type="dxa"/>
            </w:tcMar>
            <w:hideMark/>
          </w:tcPr>
          <w:p w14:paraId="56F3DC10" w14:textId="12FD7D5B" w:rsidR="00A67A6E" w:rsidRPr="004112AB" w:rsidRDefault="00475C85" w:rsidP="00475C85">
            <w:pPr>
              <w:spacing w:after="0" w:line="240" w:lineRule="auto"/>
              <w:ind w:right="166"/>
              <w:rPr>
                <w:rFonts w:eastAsia="Times New Roman" w:cstheme="minorHAnsi"/>
                <w:color w:val="000000" w:themeColor="text1"/>
                <w:sz w:val="24"/>
                <w:szCs w:val="24"/>
              </w:rPr>
            </w:pPr>
            <w:r w:rsidRPr="004112AB">
              <w:rPr>
                <w:rFonts w:eastAsia="Times New Roman" w:cstheme="minorHAnsi"/>
                <w:color w:val="000000" w:themeColor="text1"/>
                <w:sz w:val="24"/>
                <w:szCs w:val="24"/>
              </w:rPr>
              <w:t>დარღვევები ნერვული სისტემის მხრივ</w:t>
            </w:r>
            <w:r w:rsidR="00A67A6E" w:rsidRPr="004112AB">
              <w:rPr>
                <w:rFonts w:eastAsia="Times New Roman" w:cstheme="minorHAnsi"/>
                <w:color w:val="000000" w:themeColor="text1"/>
                <w:sz w:val="24"/>
                <w:szCs w:val="24"/>
              </w:rPr>
              <w:t>: პოსტდურალური პუნქციის შემდგომი თავის ტკივილი)</w:t>
            </w:r>
          </w:p>
          <w:p w14:paraId="644E4546" w14:textId="77777777" w:rsidR="00A67A6E" w:rsidRPr="004112AB" w:rsidRDefault="00A67A6E" w:rsidP="00475C85">
            <w:pPr>
              <w:spacing w:after="0" w:line="240" w:lineRule="auto"/>
              <w:ind w:right="166"/>
              <w:rPr>
                <w:rFonts w:eastAsia="Times New Roman" w:cstheme="minorHAnsi"/>
                <w:color w:val="000000" w:themeColor="text1"/>
                <w:sz w:val="24"/>
                <w:szCs w:val="24"/>
              </w:rPr>
            </w:pPr>
            <w:r w:rsidRPr="004112AB">
              <w:rPr>
                <w:rFonts w:eastAsia="Times New Roman" w:cstheme="minorHAnsi"/>
                <w:color w:val="000000" w:themeColor="text1"/>
                <w:sz w:val="24"/>
                <w:szCs w:val="24"/>
              </w:rPr>
              <w:t>გასტროინტესტინური დარღვევები: ღებინება</w:t>
            </w:r>
          </w:p>
          <w:p w14:paraId="29C48B1D" w14:textId="782B932D" w:rsidR="00A67A6E" w:rsidRPr="004112AB" w:rsidRDefault="00475C85" w:rsidP="00646E12">
            <w:pPr>
              <w:spacing w:after="0" w:line="240" w:lineRule="auto"/>
              <w:ind w:right="166"/>
              <w:jc w:val="both"/>
              <w:rPr>
                <w:rFonts w:eastAsia="Times New Roman" w:cstheme="minorHAnsi"/>
                <w:color w:val="000000" w:themeColor="text1"/>
                <w:sz w:val="24"/>
                <w:szCs w:val="24"/>
              </w:rPr>
            </w:pPr>
            <w:r w:rsidRPr="004112AB">
              <w:rPr>
                <w:rFonts w:eastAsia="Times New Roman" w:cstheme="minorHAnsi"/>
                <w:color w:val="000000" w:themeColor="text1"/>
                <w:sz w:val="24"/>
                <w:szCs w:val="24"/>
              </w:rPr>
              <w:t xml:space="preserve">დარღვევები თირკმლისა და საშარდე სისტემის მხრივ:  </w:t>
            </w:r>
            <w:r w:rsidR="00A67A6E" w:rsidRPr="004112AB">
              <w:rPr>
                <w:rFonts w:eastAsia="Times New Roman" w:cstheme="minorHAnsi"/>
                <w:color w:val="000000" w:themeColor="text1"/>
                <w:sz w:val="24"/>
                <w:szCs w:val="24"/>
              </w:rPr>
              <w:t>შარდის რეტენცია, შარდის შეუკავებლობა</w:t>
            </w:r>
          </w:p>
        </w:tc>
      </w:tr>
      <w:tr w:rsidR="00A67A6E" w:rsidRPr="004112AB" w14:paraId="13DBEF4A" w14:textId="77777777" w:rsidTr="00531779">
        <w:tc>
          <w:tcPr>
            <w:tcW w:w="3539" w:type="dxa"/>
            <w:tcMar>
              <w:top w:w="0" w:type="dxa"/>
              <w:left w:w="108" w:type="dxa"/>
              <w:bottom w:w="0" w:type="dxa"/>
              <w:right w:w="108" w:type="dxa"/>
            </w:tcMar>
            <w:hideMark/>
          </w:tcPr>
          <w:p w14:paraId="213889AC" w14:textId="77777777" w:rsidR="00F43877"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 xml:space="preserve">ნაკლებად ხშირი </w:t>
            </w:r>
          </w:p>
          <w:p w14:paraId="1466B336" w14:textId="41C0EC5D"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w:t>
            </w:r>
            <w:r w:rsidR="003F05C9" w:rsidRPr="004112AB">
              <w:rPr>
                <w:rFonts w:eastAsia="Times New Roman" w:cstheme="minorHAnsi"/>
                <w:sz w:val="24"/>
                <w:szCs w:val="24"/>
              </w:rPr>
              <w:t>&gt;</w:t>
            </w:r>
            <w:r w:rsidRPr="004112AB">
              <w:rPr>
                <w:rFonts w:eastAsia="Times New Roman" w:cstheme="minorHAnsi"/>
                <w:sz w:val="24"/>
                <w:szCs w:val="24"/>
              </w:rPr>
              <w:t>1/1</w:t>
            </w:r>
            <w:r w:rsidR="00F43877" w:rsidRPr="004112AB">
              <w:rPr>
                <w:rFonts w:eastAsia="Times New Roman" w:cstheme="minorHAnsi"/>
                <w:sz w:val="24"/>
                <w:szCs w:val="24"/>
              </w:rPr>
              <w:t>,</w:t>
            </w:r>
            <w:r w:rsidRPr="004112AB">
              <w:rPr>
                <w:rFonts w:eastAsia="Times New Roman" w:cstheme="minorHAnsi"/>
                <w:sz w:val="24"/>
                <w:szCs w:val="24"/>
              </w:rPr>
              <w:t>000</w:t>
            </w:r>
            <w:r w:rsidR="003F05C9" w:rsidRPr="004112AB">
              <w:rPr>
                <w:rFonts w:eastAsia="Times New Roman" w:cstheme="minorHAnsi"/>
                <w:sz w:val="24"/>
                <w:szCs w:val="24"/>
              </w:rPr>
              <w:t xml:space="preserve"> &lt;</w:t>
            </w:r>
            <w:r w:rsidRPr="004112AB">
              <w:rPr>
                <w:rFonts w:eastAsia="Times New Roman" w:cstheme="minorHAnsi"/>
                <w:sz w:val="24"/>
                <w:szCs w:val="24"/>
              </w:rPr>
              <w:t>1/100)</w:t>
            </w:r>
          </w:p>
        </w:tc>
        <w:tc>
          <w:tcPr>
            <w:tcW w:w="6379" w:type="dxa"/>
            <w:tcMar>
              <w:top w:w="0" w:type="dxa"/>
              <w:left w:w="108" w:type="dxa"/>
              <w:bottom w:w="0" w:type="dxa"/>
              <w:right w:w="108" w:type="dxa"/>
            </w:tcMar>
            <w:hideMark/>
          </w:tcPr>
          <w:p w14:paraId="4B51AB17" w14:textId="77777777" w:rsidR="00873721" w:rsidRPr="004112AB" w:rsidRDefault="00475C85" w:rsidP="00646E12">
            <w:pPr>
              <w:spacing w:after="0" w:line="240" w:lineRule="auto"/>
              <w:ind w:right="166"/>
              <w:jc w:val="both"/>
              <w:rPr>
                <w:rFonts w:eastAsia="Times New Roman" w:cstheme="minorHAnsi"/>
                <w:color w:val="000000" w:themeColor="text1"/>
                <w:sz w:val="24"/>
                <w:szCs w:val="24"/>
              </w:rPr>
            </w:pPr>
            <w:r w:rsidRPr="004112AB">
              <w:rPr>
                <w:rFonts w:eastAsia="Times New Roman" w:cstheme="minorHAnsi"/>
                <w:color w:val="000000" w:themeColor="text1"/>
                <w:sz w:val="24"/>
                <w:szCs w:val="24"/>
              </w:rPr>
              <w:t>დარღვევები ნერვული სისტემის მხრივ</w:t>
            </w:r>
            <w:r w:rsidR="00A67A6E" w:rsidRPr="004112AB">
              <w:rPr>
                <w:rFonts w:eastAsia="Times New Roman" w:cstheme="minorHAnsi"/>
                <w:color w:val="000000" w:themeColor="text1"/>
                <w:sz w:val="24"/>
                <w:szCs w:val="24"/>
              </w:rPr>
              <w:t>: პარესთეზია, პარეზი, დიზესთეზია</w:t>
            </w:r>
            <w:r w:rsidR="006E3D56" w:rsidRPr="004112AB">
              <w:rPr>
                <w:rFonts w:eastAsia="Times New Roman" w:cstheme="minorHAnsi"/>
                <w:color w:val="000000" w:themeColor="text1"/>
                <w:sz w:val="24"/>
                <w:szCs w:val="24"/>
              </w:rPr>
              <w:t xml:space="preserve"> </w:t>
            </w:r>
          </w:p>
          <w:p w14:paraId="06F5842A" w14:textId="41152D23" w:rsidR="00A67A6E" w:rsidRPr="004112AB" w:rsidRDefault="00A67A6E" w:rsidP="00646E12">
            <w:pPr>
              <w:spacing w:after="0" w:line="240" w:lineRule="auto"/>
              <w:ind w:right="166"/>
              <w:jc w:val="both"/>
              <w:rPr>
                <w:rFonts w:eastAsia="Times New Roman" w:cstheme="minorHAnsi"/>
                <w:color w:val="000000" w:themeColor="text1"/>
                <w:sz w:val="24"/>
                <w:szCs w:val="24"/>
              </w:rPr>
            </w:pPr>
            <w:r w:rsidRPr="004112AB">
              <w:rPr>
                <w:rFonts w:eastAsia="Times New Roman" w:cstheme="minorHAnsi"/>
                <w:color w:val="000000" w:themeColor="text1"/>
                <w:sz w:val="24"/>
                <w:szCs w:val="24"/>
              </w:rPr>
              <w:t>ძვალ-კ</w:t>
            </w:r>
            <w:r w:rsidR="00873721" w:rsidRPr="004112AB">
              <w:rPr>
                <w:rFonts w:eastAsia="Times New Roman" w:cstheme="minorHAnsi"/>
                <w:color w:val="000000" w:themeColor="text1"/>
                <w:sz w:val="24"/>
                <w:szCs w:val="24"/>
              </w:rPr>
              <w:t xml:space="preserve">უნთოვანი, შემაერთებელი </w:t>
            </w:r>
            <w:r w:rsidR="006E3D56" w:rsidRPr="004112AB">
              <w:rPr>
                <w:rFonts w:eastAsia="Times New Roman" w:cstheme="minorHAnsi"/>
                <w:color w:val="000000" w:themeColor="text1"/>
                <w:sz w:val="24"/>
                <w:szCs w:val="24"/>
              </w:rPr>
              <w:t xml:space="preserve">ქსოვილისა და </w:t>
            </w:r>
            <w:r w:rsidRPr="004112AB">
              <w:rPr>
                <w:rFonts w:eastAsia="Times New Roman" w:cstheme="minorHAnsi"/>
                <w:color w:val="000000" w:themeColor="text1"/>
                <w:sz w:val="24"/>
                <w:szCs w:val="24"/>
              </w:rPr>
              <w:t xml:space="preserve">ძვლის </w:t>
            </w:r>
            <w:r w:rsidR="00301E0F" w:rsidRPr="004112AB">
              <w:rPr>
                <w:rFonts w:eastAsia="Times New Roman" w:cstheme="minorHAnsi"/>
                <w:color w:val="000000" w:themeColor="text1"/>
                <w:sz w:val="24"/>
                <w:szCs w:val="24"/>
              </w:rPr>
              <w:t xml:space="preserve">მხრივ </w:t>
            </w:r>
            <w:r w:rsidRPr="004112AB">
              <w:rPr>
                <w:rFonts w:eastAsia="Times New Roman" w:cstheme="minorHAnsi"/>
                <w:color w:val="000000" w:themeColor="text1"/>
                <w:sz w:val="24"/>
                <w:szCs w:val="24"/>
              </w:rPr>
              <w:t xml:space="preserve">დარღვევები: კუნთების </w:t>
            </w:r>
            <w:r w:rsidR="00090FCA" w:rsidRPr="004112AB">
              <w:rPr>
                <w:rFonts w:eastAsia="Times New Roman" w:cstheme="minorHAnsi"/>
                <w:color w:val="000000" w:themeColor="text1"/>
                <w:sz w:val="24"/>
                <w:szCs w:val="24"/>
              </w:rPr>
              <w:t>სისუსტე</w:t>
            </w:r>
            <w:r w:rsidRPr="004112AB">
              <w:rPr>
                <w:rFonts w:eastAsia="Times New Roman" w:cstheme="minorHAnsi"/>
                <w:color w:val="000000" w:themeColor="text1"/>
                <w:sz w:val="24"/>
                <w:szCs w:val="24"/>
              </w:rPr>
              <w:t>, ზურგის ტკივილი</w:t>
            </w:r>
          </w:p>
        </w:tc>
      </w:tr>
      <w:tr w:rsidR="00A67A6E" w:rsidRPr="004112AB" w14:paraId="22C445C8" w14:textId="77777777" w:rsidTr="00531779">
        <w:tc>
          <w:tcPr>
            <w:tcW w:w="3539" w:type="dxa"/>
            <w:tcMar>
              <w:top w:w="0" w:type="dxa"/>
              <w:left w:w="108" w:type="dxa"/>
              <w:bottom w:w="0" w:type="dxa"/>
              <w:right w:w="108" w:type="dxa"/>
            </w:tcMar>
            <w:hideMark/>
          </w:tcPr>
          <w:p w14:paraId="7777ADEA" w14:textId="2730E128" w:rsidR="00A67A6E" w:rsidRPr="004112AB" w:rsidRDefault="00A67A6E" w:rsidP="00646E12">
            <w:pPr>
              <w:spacing w:after="0" w:line="240" w:lineRule="auto"/>
              <w:ind w:right="-270"/>
              <w:jc w:val="both"/>
              <w:rPr>
                <w:rFonts w:eastAsia="Times New Roman" w:cstheme="minorHAnsi"/>
                <w:sz w:val="24"/>
                <w:szCs w:val="24"/>
              </w:rPr>
            </w:pPr>
            <w:r w:rsidRPr="004112AB">
              <w:rPr>
                <w:rFonts w:eastAsia="Times New Roman" w:cstheme="minorHAnsi"/>
                <w:sz w:val="24"/>
                <w:szCs w:val="24"/>
              </w:rPr>
              <w:t xml:space="preserve">იშვიათი </w:t>
            </w:r>
            <w:r w:rsidR="003F05C9" w:rsidRPr="004112AB">
              <w:rPr>
                <w:rFonts w:eastAsia="Times New Roman" w:cstheme="minorHAnsi"/>
                <w:sz w:val="24"/>
                <w:szCs w:val="24"/>
              </w:rPr>
              <w:t>(&lt;</w:t>
            </w:r>
            <w:r w:rsidRPr="004112AB">
              <w:rPr>
                <w:rFonts w:eastAsia="Times New Roman" w:cstheme="minorHAnsi"/>
                <w:sz w:val="24"/>
                <w:szCs w:val="24"/>
              </w:rPr>
              <w:t>1/1</w:t>
            </w:r>
            <w:r w:rsidR="00F43877" w:rsidRPr="004112AB">
              <w:rPr>
                <w:rFonts w:eastAsia="Times New Roman" w:cstheme="minorHAnsi"/>
                <w:sz w:val="24"/>
                <w:szCs w:val="24"/>
              </w:rPr>
              <w:t>,</w:t>
            </w:r>
            <w:r w:rsidRPr="004112AB">
              <w:rPr>
                <w:rFonts w:eastAsia="Times New Roman" w:cstheme="minorHAnsi"/>
                <w:sz w:val="24"/>
                <w:szCs w:val="24"/>
              </w:rPr>
              <w:t>000)</w:t>
            </w:r>
          </w:p>
        </w:tc>
        <w:tc>
          <w:tcPr>
            <w:tcW w:w="6379" w:type="dxa"/>
            <w:tcMar>
              <w:top w:w="0" w:type="dxa"/>
              <w:left w:w="108" w:type="dxa"/>
              <w:bottom w:w="0" w:type="dxa"/>
              <w:right w:w="108" w:type="dxa"/>
            </w:tcMar>
            <w:hideMark/>
          </w:tcPr>
          <w:p w14:paraId="4557E783" w14:textId="58521B34" w:rsidR="00A67A6E" w:rsidRPr="004112AB" w:rsidRDefault="00A67A6E" w:rsidP="00646E12">
            <w:pPr>
              <w:spacing w:after="0" w:line="240" w:lineRule="auto"/>
              <w:ind w:right="166"/>
              <w:jc w:val="both"/>
              <w:rPr>
                <w:rFonts w:eastAsia="Times New Roman" w:cstheme="minorHAnsi"/>
                <w:sz w:val="24"/>
                <w:szCs w:val="24"/>
              </w:rPr>
            </w:pPr>
            <w:r w:rsidRPr="004112AB">
              <w:rPr>
                <w:rFonts w:eastAsia="Times New Roman" w:cstheme="minorHAnsi"/>
                <w:sz w:val="24"/>
                <w:szCs w:val="24"/>
              </w:rPr>
              <w:t>გულის</w:t>
            </w:r>
            <w:r w:rsidR="00301E0F" w:rsidRPr="004112AB">
              <w:rPr>
                <w:rFonts w:eastAsia="Times New Roman" w:cstheme="minorHAnsi"/>
                <w:sz w:val="24"/>
                <w:szCs w:val="24"/>
              </w:rPr>
              <w:t xml:space="preserve"> მხრივ</w:t>
            </w:r>
            <w:r w:rsidRPr="004112AB">
              <w:rPr>
                <w:rFonts w:eastAsia="Times New Roman" w:cstheme="minorHAnsi"/>
                <w:sz w:val="24"/>
                <w:szCs w:val="24"/>
              </w:rPr>
              <w:t xml:space="preserve"> დარღვევები: გულის გაჩერება</w:t>
            </w:r>
          </w:p>
          <w:p w14:paraId="58597005" w14:textId="2BFDC62E" w:rsidR="00A67A6E" w:rsidRPr="004112AB" w:rsidRDefault="00483802" w:rsidP="00646E12">
            <w:pPr>
              <w:spacing w:after="0" w:line="240" w:lineRule="auto"/>
              <w:ind w:right="166"/>
              <w:jc w:val="both"/>
              <w:rPr>
                <w:rFonts w:eastAsia="Times New Roman" w:cstheme="minorHAnsi"/>
                <w:sz w:val="24"/>
                <w:szCs w:val="24"/>
              </w:rPr>
            </w:pPr>
            <w:r w:rsidRPr="004112AB">
              <w:rPr>
                <w:rFonts w:eastAsia="Times New Roman" w:cstheme="minorHAnsi"/>
                <w:sz w:val="24"/>
                <w:szCs w:val="24"/>
              </w:rPr>
              <w:t xml:space="preserve">დარღვევები </w:t>
            </w:r>
            <w:r w:rsidR="00A67A6E" w:rsidRPr="004112AB">
              <w:rPr>
                <w:rFonts w:eastAsia="Times New Roman" w:cstheme="minorHAnsi"/>
                <w:sz w:val="24"/>
                <w:szCs w:val="24"/>
              </w:rPr>
              <w:t>იმუნური სისტემის</w:t>
            </w:r>
            <w:r w:rsidRPr="004112AB">
              <w:rPr>
                <w:rFonts w:eastAsia="Times New Roman" w:cstheme="minorHAnsi"/>
                <w:sz w:val="24"/>
                <w:szCs w:val="24"/>
              </w:rPr>
              <w:t xml:space="preserve"> მხრივ:</w:t>
            </w:r>
            <w:r w:rsidR="00A67A6E" w:rsidRPr="004112AB">
              <w:rPr>
                <w:rFonts w:eastAsia="Times New Roman" w:cstheme="minorHAnsi"/>
                <w:sz w:val="24"/>
                <w:szCs w:val="24"/>
              </w:rPr>
              <w:t xml:space="preserve"> ალერგიული რეაქციები, ანაფილაქსიური შოკი</w:t>
            </w:r>
          </w:p>
          <w:p w14:paraId="7A2B4B13" w14:textId="42193E59" w:rsidR="00A67A6E" w:rsidRPr="004112AB" w:rsidRDefault="00483802" w:rsidP="00483802">
            <w:pPr>
              <w:spacing w:after="0" w:line="240" w:lineRule="auto"/>
              <w:ind w:right="166"/>
              <w:rPr>
                <w:rFonts w:eastAsia="Times New Roman" w:cstheme="minorHAnsi"/>
                <w:sz w:val="24"/>
                <w:szCs w:val="24"/>
              </w:rPr>
            </w:pPr>
            <w:r w:rsidRPr="004112AB">
              <w:rPr>
                <w:rFonts w:eastAsia="Times New Roman" w:cstheme="minorHAnsi"/>
                <w:sz w:val="24"/>
                <w:szCs w:val="24"/>
              </w:rPr>
              <w:t xml:space="preserve">დარღვევები </w:t>
            </w:r>
            <w:r w:rsidR="00A67A6E" w:rsidRPr="004112AB">
              <w:rPr>
                <w:rFonts w:eastAsia="Times New Roman" w:cstheme="minorHAnsi"/>
                <w:sz w:val="24"/>
                <w:szCs w:val="24"/>
              </w:rPr>
              <w:t>ნერვული სისტემის</w:t>
            </w:r>
            <w:r w:rsidRPr="004112AB">
              <w:rPr>
                <w:rFonts w:eastAsia="Times New Roman" w:cstheme="minorHAnsi"/>
                <w:sz w:val="24"/>
                <w:szCs w:val="24"/>
              </w:rPr>
              <w:t xml:space="preserve"> მხრივ:</w:t>
            </w:r>
            <w:r w:rsidR="00A67A6E" w:rsidRPr="004112AB">
              <w:rPr>
                <w:rFonts w:eastAsia="Times New Roman" w:cstheme="minorHAnsi"/>
                <w:sz w:val="24"/>
                <w:szCs w:val="24"/>
              </w:rPr>
              <w:t xml:space="preserve"> გაუთვალისწინებელი ტოტალური სპინალური ბლოკადა, პარაპლეგია, დამბლა, ნეიროპათია, არაქნოიდიტი</w:t>
            </w:r>
            <w:r w:rsidR="00403698" w:rsidRPr="004112AB">
              <w:rPr>
                <w:rFonts w:eastAsia="Times New Roman" w:cstheme="minorHAnsi"/>
                <w:sz w:val="24"/>
                <w:szCs w:val="24"/>
              </w:rPr>
              <w:t>.</w:t>
            </w:r>
          </w:p>
          <w:p w14:paraId="69EC213E" w14:textId="50F2A570" w:rsidR="001E155E" w:rsidRPr="004112AB" w:rsidRDefault="00A67A6E" w:rsidP="00646E12">
            <w:pPr>
              <w:spacing w:after="0" w:line="240" w:lineRule="auto"/>
              <w:ind w:right="166"/>
              <w:jc w:val="both"/>
              <w:rPr>
                <w:rFonts w:eastAsia="Times New Roman" w:cstheme="minorHAnsi"/>
                <w:sz w:val="24"/>
                <w:szCs w:val="24"/>
              </w:rPr>
            </w:pPr>
            <w:r w:rsidRPr="004112AB">
              <w:rPr>
                <w:rFonts w:eastAsia="Times New Roman" w:cstheme="minorHAnsi"/>
                <w:sz w:val="24"/>
                <w:szCs w:val="24"/>
              </w:rPr>
              <w:t>რესპირატორული დარღვევები: სუნთქვის დათრგუნვა</w:t>
            </w:r>
            <w:r w:rsidR="00403698" w:rsidRPr="004112AB">
              <w:rPr>
                <w:rFonts w:eastAsia="Times New Roman" w:cstheme="minorHAnsi"/>
                <w:sz w:val="24"/>
                <w:szCs w:val="24"/>
              </w:rPr>
              <w:t>.</w:t>
            </w:r>
          </w:p>
        </w:tc>
      </w:tr>
    </w:tbl>
    <w:p w14:paraId="6BEBDAEC" w14:textId="77777777" w:rsidR="00504D0C" w:rsidRPr="004112AB" w:rsidRDefault="00504D0C" w:rsidP="00646E12">
      <w:pPr>
        <w:spacing w:after="0" w:line="240" w:lineRule="auto"/>
        <w:ind w:right="-270"/>
        <w:jc w:val="both"/>
        <w:rPr>
          <w:rFonts w:eastAsia="Times New Roman" w:cstheme="minorHAnsi"/>
          <w:b/>
          <w:bCs/>
          <w:color w:val="000000"/>
          <w:sz w:val="24"/>
          <w:szCs w:val="24"/>
        </w:rPr>
      </w:pPr>
    </w:p>
    <w:p w14:paraId="1358D41C" w14:textId="0C59CBCB"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დოზის გადაჭარბება</w:t>
      </w:r>
    </w:p>
    <w:p w14:paraId="51CDE860"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მწვავე სისტემური ტოქსიურობა</w:t>
      </w:r>
    </w:p>
    <w:p w14:paraId="6358792C" w14:textId="144DB50F"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რეკომენ</w:t>
      </w:r>
      <w:r w:rsidR="003F05C9" w:rsidRPr="004112AB">
        <w:rPr>
          <w:rFonts w:eastAsia="Times New Roman" w:cstheme="minorHAnsi"/>
          <w:color w:val="000000"/>
          <w:sz w:val="24"/>
          <w:szCs w:val="24"/>
        </w:rPr>
        <w:t>დ</w:t>
      </w:r>
      <w:r w:rsidRPr="004112AB">
        <w:rPr>
          <w:rFonts w:eastAsia="Times New Roman" w:cstheme="minorHAnsi"/>
          <w:color w:val="000000"/>
          <w:sz w:val="24"/>
          <w:szCs w:val="24"/>
        </w:rPr>
        <w:t>აციების შესაბამისად გამოყენებისას მარკაინი სპინალი ჰევი არ აღწევს სისხლში იმდენად მაღალ კონცენტრაციას, რომ სისტემური ტოქსიურობა გამოიწვიოს. თუმცა თუ ერთდროულად გამოიყენება ადგილობრივი საანესთეზიო საშუალებები, ტოქსიური ეფექტები ადიტიურია და შეიძლება განვითარდეს სისტემური ტოქსიურობა.</w:t>
      </w:r>
    </w:p>
    <w:p w14:paraId="2A82E997" w14:textId="77777777" w:rsidR="00504D0C" w:rsidRPr="004112AB" w:rsidRDefault="00504D0C" w:rsidP="00646E12">
      <w:pPr>
        <w:spacing w:after="0" w:line="240" w:lineRule="auto"/>
        <w:ind w:right="-270"/>
        <w:jc w:val="both"/>
        <w:rPr>
          <w:rFonts w:eastAsia="Times New Roman" w:cstheme="minorHAnsi"/>
          <w:color w:val="000000"/>
          <w:sz w:val="24"/>
          <w:szCs w:val="24"/>
          <w:highlight w:val="yellow"/>
        </w:rPr>
      </w:pPr>
    </w:p>
    <w:p w14:paraId="7B2A2EFA" w14:textId="77777777" w:rsidR="002D01CD" w:rsidRPr="004112AB" w:rsidRDefault="002D01CD" w:rsidP="00646E12">
      <w:pPr>
        <w:spacing w:after="0" w:line="240" w:lineRule="auto"/>
        <w:ind w:right="-270"/>
        <w:jc w:val="both"/>
        <w:rPr>
          <w:rFonts w:eastAsia="Times New Roman" w:cstheme="minorHAnsi"/>
          <w:color w:val="000000"/>
          <w:sz w:val="24"/>
          <w:szCs w:val="24"/>
        </w:rPr>
      </w:pPr>
    </w:p>
    <w:p w14:paraId="542D8611" w14:textId="57B5F94F"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მწვავე სისტემური ტოქსიურობის მკურნალობა</w:t>
      </w:r>
    </w:p>
    <w:p w14:paraId="717D2865" w14:textId="1FBA93A0"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მწვავე სისტემური ტოქსიურობის ან ტოტალური სპინალური ბლოკის ნიშნების განვითარების შემთხვევაში დაუყოვნებლივ უნდა შეწყდეს ადგილობრივი საანესთეზიო საშუალების ინექცია და უნდა დაიწყოს კარდიოვასკულური და ნევროლოგიური სიმპტომების (კონვულსიები, ცნს დათრგუნვა) ადე</w:t>
      </w:r>
      <w:r w:rsidR="00504D0C" w:rsidRPr="004112AB">
        <w:rPr>
          <w:rFonts w:eastAsia="Times New Roman" w:cstheme="minorHAnsi"/>
          <w:color w:val="000000"/>
          <w:sz w:val="24"/>
          <w:szCs w:val="24"/>
        </w:rPr>
        <w:t>კ</w:t>
      </w:r>
      <w:r w:rsidRPr="004112AB">
        <w:rPr>
          <w:rFonts w:eastAsia="Times New Roman" w:cstheme="minorHAnsi"/>
          <w:color w:val="000000"/>
          <w:sz w:val="24"/>
          <w:szCs w:val="24"/>
        </w:rPr>
        <w:t>ვატური მკურნალობა.</w:t>
      </w:r>
    </w:p>
    <w:p w14:paraId="69838BF2" w14:textId="1F64D368" w:rsidR="00A67A6E" w:rsidRPr="004112AB" w:rsidRDefault="00D270E4"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სისხლის მიმოქცევ</w:t>
      </w:r>
      <w:r w:rsidR="00A67A6E" w:rsidRPr="004112AB">
        <w:rPr>
          <w:rFonts w:eastAsia="Times New Roman" w:cstheme="minorHAnsi"/>
          <w:color w:val="000000"/>
          <w:sz w:val="24"/>
          <w:szCs w:val="24"/>
        </w:rPr>
        <w:t>ის შეჩერებისას უნდა ჩატარდეს დაუყოვნებელი გულ-ფილტვის რეანიმაცია. სასიცოცხლო მნიშვნელობისაა ოტპიმალური ოქსიგენაცია, ვენტილაცია და ცირკულაციის უზრუნველყოფა, აგრეთვე აციდოზის მკურნალობა.</w:t>
      </w:r>
    </w:p>
    <w:p w14:paraId="75A8B692" w14:textId="7E97B8B6"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თუ სახეზეა კარდიოვასკულური დეპრესია (ჰიპოტენზია, ბრადიკარდია)</w:t>
      </w:r>
      <w:r w:rsidR="00D270E4" w:rsidRPr="004112AB">
        <w:rPr>
          <w:rFonts w:eastAsia="Times New Roman" w:cstheme="minorHAnsi"/>
          <w:color w:val="000000"/>
          <w:sz w:val="24"/>
          <w:szCs w:val="24"/>
        </w:rPr>
        <w:t>,</w:t>
      </w:r>
      <w:r w:rsidRPr="004112AB">
        <w:rPr>
          <w:rFonts w:eastAsia="Times New Roman" w:cstheme="minorHAnsi"/>
          <w:color w:val="000000"/>
          <w:sz w:val="24"/>
          <w:szCs w:val="24"/>
        </w:rPr>
        <w:t xml:space="preserve"> უნდა შეი</w:t>
      </w:r>
      <w:r w:rsidR="009643AB" w:rsidRPr="004112AB">
        <w:rPr>
          <w:rFonts w:eastAsia="Times New Roman" w:cstheme="minorHAnsi"/>
          <w:color w:val="000000"/>
          <w:sz w:val="24"/>
          <w:szCs w:val="24"/>
        </w:rPr>
        <w:t>ყ</w:t>
      </w:r>
      <w:r w:rsidRPr="004112AB">
        <w:rPr>
          <w:rFonts w:eastAsia="Times New Roman" w:cstheme="minorHAnsi"/>
          <w:color w:val="000000"/>
          <w:sz w:val="24"/>
          <w:szCs w:val="24"/>
        </w:rPr>
        <w:t>ვანონ ეფედრინი 5</w:t>
      </w:r>
      <w:r w:rsidR="00504D0C" w:rsidRPr="004112AB">
        <w:rPr>
          <w:rFonts w:eastAsia="Times New Roman" w:cstheme="minorHAnsi"/>
          <w:color w:val="000000"/>
          <w:sz w:val="24"/>
          <w:szCs w:val="24"/>
        </w:rPr>
        <w:t>-10</w:t>
      </w:r>
      <w:r w:rsidR="00873721" w:rsidRPr="004112AB">
        <w:rPr>
          <w:rFonts w:eastAsia="Times New Roman" w:cstheme="minorHAnsi"/>
          <w:color w:val="000000"/>
          <w:sz w:val="24"/>
          <w:szCs w:val="24"/>
        </w:rPr>
        <w:t xml:space="preserve"> </w:t>
      </w:r>
      <w:r w:rsidRPr="004112AB">
        <w:rPr>
          <w:rFonts w:eastAsia="Times New Roman" w:cstheme="minorHAnsi"/>
          <w:color w:val="000000"/>
          <w:sz w:val="24"/>
          <w:szCs w:val="24"/>
        </w:rPr>
        <w:t xml:space="preserve">მგ ინტრავენურად, აუცილებლობისას დოზა უნდა განმეორდეს 2-3 წუთის შემდეგ. ბავშვებს უნდა მისცენ </w:t>
      </w:r>
      <w:r w:rsidR="009643AB" w:rsidRPr="004112AB">
        <w:rPr>
          <w:rFonts w:eastAsia="Times New Roman" w:cstheme="minorHAnsi"/>
          <w:color w:val="000000"/>
          <w:sz w:val="24"/>
          <w:szCs w:val="24"/>
        </w:rPr>
        <w:t xml:space="preserve">ეფედრინის დოზები </w:t>
      </w:r>
      <w:r w:rsidRPr="004112AB">
        <w:rPr>
          <w:rFonts w:eastAsia="Times New Roman" w:cstheme="minorHAnsi"/>
          <w:color w:val="000000"/>
          <w:sz w:val="24"/>
          <w:szCs w:val="24"/>
        </w:rPr>
        <w:t>მათი ასაკის და წონის შესაბამისა</w:t>
      </w:r>
      <w:r w:rsidR="009643AB" w:rsidRPr="004112AB">
        <w:rPr>
          <w:rFonts w:eastAsia="Times New Roman" w:cstheme="minorHAnsi"/>
          <w:color w:val="000000"/>
          <w:sz w:val="24"/>
          <w:szCs w:val="24"/>
        </w:rPr>
        <w:t>დ</w:t>
      </w:r>
      <w:r w:rsidRPr="004112AB">
        <w:rPr>
          <w:rFonts w:eastAsia="Times New Roman" w:cstheme="minorHAnsi"/>
          <w:color w:val="000000"/>
          <w:sz w:val="24"/>
          <w:szCs w:val="24"/>
        </w:rPr>
        <w:t>.</w:t>
      </w:r>
    </w:p>
    <w:p w14:paraId="5AD7E37B" w14:textId="030EADE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თუ კონვულსიები ვითარდება სისტემური ტოქსიურობის გამო, მკურნალობის მიზანია ოქსიგენაციის შენარჩუნება, კონვულსიების შეჩერება და ცირკულაციის შენარჩუნება. აუცილებლობისას საჭიროა ჟანგბადის მიცემა და ვენტილაცია (ნიღაბი, ბალონი ან ტრაქეის ინტუბაცია). თუ კონვულსიები სპონტანურად არ ჩერდება 15-20 წამის შემდეგ, საჭიროა ანტიკონვულსიური პრეპარატის ინტრავენურად შეყვანა. თიოპენტინ ნატრიუმი 1-3</w:t>
      </w:r>
      <w:r w:rsidR="00D270E4" w:rsidRPr="004112AB">
        <w:rPr>
          <w:rFonts w:eastAsia="Times New Roman" w:cstheme="minorHAnsi"/>
          <w:color w:val="000000"/>
          <w:sz w:val="24"/>
          <w:szCs w:val="24"/>
        </w:rPr>
        <w:t xml:space="preserve"> </w:t>
      </w:r>
      <w:r w:rsidRPr="004112AB">
        <w:rPr>
          <w:rFonts w:eastAsia="Times New Roman" w:cstheme="minorHAnsi"/>
          <w:color w:val="000000"/>
          <w:sz w:val="24"/>
          <w:szCs w:val="24"/>
        </w:rPr>
        <w:t xml:space="preserve">მგ/კგ ინტრავენურად სწრაფად მოხსნის კრუნჩხვას. ალტერნატივის სახით შეიძლება გამოიყენონ დიაზეპამი </w:t>
      </w:r>
      <w:r w:rsidR="00504D0C" w:rsidRPr="004112AB">
        <w:rPr>
          <w:rFonts w:eastAsia="Times New Roman" w:cstheme="minorHAnsi"/>
          <w:color w:val="000000"/>
          <w:sz w:val="24"/>
          <w:szCs w:val="24"/>
        </w:rPr>
        <w:t>0.</w:t>
      </w:r>
      <w:r w:rsidRPr="004112AB">
        <w:rPr>
          <w:rFonts w:eastAsia="Times New Roman" w:cstheme="minorHAnsi"/>
          <w:color w:val="000000"/>
          <w:sz w:val="24"/>
          <w:szCs w:val="24"/>
        </w:rPr>
        <w:t>1</w:t>
      </w:r>
      <w:r w:rsidR="00D270E4" w:rsidRPr="004112AB">
        <w:rPr>
          <w:rFonts w:eastAsia="Times New Roman" w:cstheme="minorHAnsi"/>
          <w:color w:val="000000"/>
          <w:sz w:val="24"/>
          <w:szCs w:val="24"/>
        </w:rPr>
        <w:t xml:space="preserve"> </w:t>
      </w:r>
      <w:r w:rsidRPr="004112AB">
        <w:rPr>
          <w:rFonts w:eastAsia="Times New Roman" w:cstheme="minorHAnsi"/>
          <w:color w:val="000000"/>
          <w:sz w:val="24"/>
          <w:szCs w:val="24"/>
        </w:rPr>
        <w:t xml:space="preserve">მგ/კგ ინტრავენურად, თუმცა მისი მოქმედება უფრო ნელი იქნება. გახანგრძლივებულმა კრუნჩხვებმა შეიძლება საფრთხე შეუქმნას პაციენტის </w:t>
      </w:r>
      <w:r w:rsidRPr="004112AB">
        <w:rPr>
          <w:rFonts w:eastAsia="Times New Roman" w:cstheme="minorHAnsi"/>
          <w:color w:val="000000"/>
          <w:sz w:val="24"/>
          <w:szCs w:val="24"/>
        </w:rPr>
        <w:lastRenderedPageBreak/>
        <w:t>ვენტილაციას და ოქსიგენაციას. ამ შემთხვევაში მიორელაქსანტის (მაგ. სუქცინილქოლინი 1</w:t>
      </w:r>
      <w:r w:rsidR="00D270E4" w:rsidRPr="004112AB">
        <w:rPr>
          <w:rFonts w:eastAsia="Times New Roman" w:cstheme="minorHAnsi"/>
          <w:color w:val="000000"/>
          <w:sz w:val="24"/>
          <w:szCs w:val="24"/>
        </w:rPr>
        <w:t xml:space="preserve"> </w:t>
      </w:r>
      <w:r w:rsidRPr="004112AB">
        <w:rPr>
          <w:rFonts w:eastAsia="Times New Roman" w:cstheme="minorHAnsi"/>
          <w:color w:val="000000"/>
          <w:sz w:val="24"/>
          <w:szCs w:val="24"/>
        </w:rPr>
        <w:t>მგ/კგ) კუნთში ინექცია სწრაფად შეაჩერებს კრუნჩხვას და შესაძლებელი იქნება ვენტილაციის და ოქსიგენაციის კონტროლი. ამგვარ სიტუაციებში უნდა გაითვალისწინონ ენდოტრაქეალური ინტუბაცია.</w:t>
      </w:r>
    </w:p>
    <w:p w14:paraId="021B89C6" w14:textId="77777777" w:rsidR="005F558D" w:rsidRPr="004112AB" w:rsidRDefault="005F558D" w:rsidP="00646E12">
      <w:pPr>
        <w:spacing w:after="0" w:line="240" w:lineRule="auto"/>
        <w:ind w:right="-270"/>
        <w:jc w:val="both"/>
        <w:rPr>
          <w:rFonts w:eastAsia="Times New Roman" w:cstheme="minorHAnsi"/>
          <w:b/>
          <w:bCs/>
          <w:color w:val="000000"/>
          <w:sz w:val="24"/>
          <w:szCs w:val="24"/>
        </w:rPr>
      </w:pPr>
    </w:p>
    <w:p w14:paraId="2EB358EE" w14:textId="56D9F1BB"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ფარმაკოდინამიური მახასიათებლები</w:t>
      </w:r>
    </w:p>
    <w:p w14:paraId="31676333" w14:textId="7581278D"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ფარმაკოთერაპიული ჯგუფი (ათქ კოდი): N01B B01</w:t>
      </w:r>
    </w:p>
    <w:p w14:paraId="665572F7"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ბუპივაკაინი წარმოადგენს ამიდური ტიპის ადგილობრივ საანესთეზიო საშუალებას. ინტრათეკალურად შეყვანისას სწრაფად დგება ეფექტი და აქვს საშუალო-დიდი ხანგრძლივობა. ხანგრძლივობა დოზადამოკიდებულია.</w:t>
      </w:r>
    </w:p>
    <w:p w14:paraId="77286CF5"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სხვა ადგილობრივი საანესთეზიო საშუალებების მსგავსად, ბუპივაკაინი იწვევს ნერვულ ბოჭკოებში იმპულსის გადაცემის დროებით ბლოკადას, ხელს უშლის ნატრიუმის იონების ნერვის მემბრანის შიგნით მოძრაობას.</w:t>
      </w:r>
    </w:p>
    <w:p w14:paraId="64E8DD2D" w14:textId="6FF2528A"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მარკა</w:t>
      </w:r>
      <w:r w:rsidR="005F558D" w:rsidRPr="004112AB">
        <w:rPr>
          <w:rFonts w:eastAsia="Times New Roman" w:cstheme="minorHAnsi"/>
          <w:color w:val="000000"/>
          <w:sz w:val="24"/>
          <w:szCs w:val="24"/>
        </w:rPr>
        <w:t>ი</w:t>
      </w:r>
      <w:r w:rsidRPr="004112AB">
        <w:rPr>
          <w:rFonts w:eastAsia="Times New Roman" w:cstheme="minorHAnsi"/>
          <w:color w:val="000000"/>
          <w:sz w:val="24"/>
          <w:szCs w:val="24"/>
        </w:rPr>
        <w:t xml:space="preserve">ნი სპინალი ჰევი ჰიპერბარულია და ინტრათეკალურ სივრცეში მის პირველ გავრცელებაზე მოქმედებს გრავიტაცია. მცირე დოზის გამო ინტრათეკალური განაწილება განაპირობებს შედარებით მცირე კონცენტრაციას და ადგილობრივი საანესთეზიო საშუალებების მოქმედება შედარებით ხანმოკლეა. </w:t>
      </w:r>
      <w:r w:rsidR="009643AB" w:rsidRPr="004112AB">
        <w:rPr>
          <w:rFonts w:eastAsia="Times New Roman" w:cstheme="minorHAnsi"/>
          <w:color w:val="000000"/>
          <w:sz w:val="24"/>
          <w:szCs w:val="24"/>
        </w:rPr>
        <w:t>მარტივი</w:t>
      </w:r>
      <w:r w:rsidRPr="004112AB">
        <w:rPr>
          <w:rFonts w:eastAsia="Times New Roman" w:cstheme="minorHAnsi"/>
          <w:color w:val="000000"/>
          <w:sz w:val="24"/>
          <w:szCs w:val="24"/>
        </w:rPr>
        <w:t xml:space="preserve"> ხსნარები (დექსტროზის გარეშე) იწვევს ბლოკის ნაკლებად </w:t>
      </w:r>
      <w:r w:rsidR="009643AB" w:rsidRPr="004112AB">
        <w:rPr>
          <w:rFonts w:eastAsia="Times New Roman" w:cstheme="minorHAnsi"/>
          <w:color w:val="000000"/>
          <w:sz w:val="24"/>
          <w:szCs w:val="24"/>
        </w:rPr>
        <w:t>პროგნოზირებად</w:t>
      </w:r>
      <w:r w:rsidRPr="004112AB">
        <w:rPr>
          <w:rFonts w:eastAsia="Times New Roman" w:cstheme="minorHAnsi"/>
          <w:color w:val="000000"/>
          <w:sz w:val="24"/>
          <w:szCs w:val="24"/>
        </w:rPr>
        <w:t xml:space="preserve"> დონეს, მაგრამ მათი ეფექტი უფრო ხანგრძლივია, ვიდრე ჰიპერბარული საშუალებების.</w:t>
      </w:r>
    </w:p>
    <w:p w14:paraId="48867B4C" w14:textId="77777777" w:rsidR="005F558D" w:rsidRPr="004112AB" w:rsidRDefault="005F558D" w:rsidP="00646E12">
      <w:pPr>
        <w:spacing w:after="0" w:line="240" w:lineRule="auto"/>
        <w:ind w:right="-270"/>
        <w:jc w:val="both"/>
        <w:rPr>
          <w:rFonts w:eastAsia="Times New Roman" w:cstheme="minorHAnsi"/>
          <w:b/>
          <w:bCs/>
          <w:color w:val="000000"/>
          <w:sz w:val="24"/>
          <w:szCs w:val="24"/>
        </w:rPr>
      </w:pPr>
    </w:p>
    <w:p w14:paraId="64F9E680" w14:textId="75D6B263"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ფარმაკოკინეტიკური მახასიათებლები</w:t>
      </w:r>
    </w:p>
    <w:p w14:paraId="04C55CF0" w14:textId="228B074E" w:rsidR="009643AB"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ბუპივაკაინის </w:t>
      </w:r>
      <w:r w:rsidR="005F558D" w:rsidRPr="004112AB">
        <w:rPr>
          <w:rFonts w:eastAsia="Times New Roman" w:cstheme="minorHAnsi"/>
          <w:color w:val="000000"/>
          <w:sz w:val="24"/>
          <w:szCs w:val="24"/>
        </w:rPr>
        <w:t>p</w:t>
      </w:r>
      <w:r w:rsidRPr="004112AB">
        <w:rPr>
          <w:rFonts w:eastAsia="Times New Roman" w:cstheme="minorHAnsi"/>
          <w:color w:val="000000"/>
          <w:sz w:val="24"/>
          <w:szCs w:val="24"/>
        </w:rPr>
        <w:t>K</w:t>
      </w:r>
      <w:r w:rsidR="005F558D" w:rsidRPr="004112AB">
        <w:rPr>
          <w:rFonts w:eastAsia="Times New Roman" w:cstheme="minorHAnsi"/>
          <w:color w:val="000000"/>
          <w:sz w:val="24"/>
          <w:szCs w:val="24"/>
        </w:rPr>
        <w:t>a</w:t>
      </w:r>
      <w:r w:rsidRPr="004112AB">
        <w:rPr>
          <w:rFonts w:eastAsia="Times New Roman" w:cstheme="minorHAnsi"/>
          <w:color w:val="000000"/>
          <w:sz w:val="24"/>
          <w:szCs w:val="24"/>
        </w:rPr>
        <w:t> შეადგე</w:t>
      </w:r>
      <w:r w:rsidR="009643AB" w:rsidRPr="004112AB">
        <w:rPr>
          <w:rFonts w:eastAsia="Times New Roman" w:cstheme="minorHAnsi"/>
          <w:color w:val="000000"/>
          <w:sz w:val="24"/>
          <w:szCs w:val="24"/>
        </w:rPr>
        <w:t>ნ</w:t>
      </w:r>
      <w:r w:rsidRPr="004112AB">
        <w:rPr>
          <w:rFonts w:eastAsia="Times New Roman" w:cstheme="minorHAnsi"/>
          <w:color w:val="000000"/>
          <w:sz w:val="24"/>
          <w:szCs w:val="24"/>
        </w:rPr>
        <w:t>ს 8.2-ს, დაყოფის კოეფიციენტი-346 (25°</w:t>
      </w:r>
      <w:r w:rsidR="005F558D" w:rsidRPr="004112AB">
        <w:rPr>
          <w:rFonts w:eastAsia="Times New Roman" w:cstheme="minorHAnsi"/>
          <w:color w:val="000000"/>
          <w:sz w:val="24"/>
          <w:szCs w:val="24"/>
        </w:rPr>
        <w:t>C</w:t>
      </w:r>
      <w:r w:rsidRPr="004112AB">
        <w:rPr>
          <w:rFonts w:eastAsia="Times New Roman" w:cstheme="minorHAnsi"/>
          <w:color w:val="000000"/>
          <w:sz w:val="24"/>
          <w:szCs w:val="24"/>
        </w:rPr>
        <w:t xml:space="preserve"> </w:t>
      </w:r>
      <w:r w:rsidR="005F558D" w:rsidRPr="004112AB">
        <w:rPr>
          <w:rFonts w:eastAsia="Times New Roman" w:cstheme="minorHAnsi"/>
          <w:color w:val="000000"/>
          <w:sz w:val="24"/>
          <w:szCs w:val="24"/>
        </w:rPr>
        <w:t>n</w:t>
      </w:r>
      <w:r w:rsidRPr="004112AB">
        <w:rPr>
          <w:rFonts w:eastAsia="Times New Roman" w:cstheme="minorHAnsi"/>
          <w:color w:val="000000"/>
          <w:sz w:val="24"/>
          <w:szCs w:val="24"/>
        </w:rPr>
        <w:t>-ოქტანოლი/ფოსფატური ბუფერი, </w:t>
      </w:r>
      <w:r w:rsidR="005F558D" w:rsidRPr="004112AB">
        <w:rPr>
          <w:rFonts w:eastAsia="Times New Roman" w:cstheme="minorHAnsi"/>
          <w:color w:val="000000"/>
          <w:sz w:val="24"/>
          <w:szCs w:val="24"/>
        </w:rPr>
        <w:t>p</w:t>
      </w:r>
      <w:r w:rsidRPr="004112AB">
        <w:rPr>
          <w:rFonts w:eastAsia="Times New Roman" w:cstheme="minorHAnsi"/>
          <w:color w:val="000000"/>
          <w:sz w:val="24"/>
          <w:szCs w:val="24"/>
        </w:rPr>
        <w:t>H 7.4). მეტაბოლიტებს გააჩნიათ ბუპივაკაინზე ნაკლები ფარმაკოლოგიური მოქმედება.</w:t>
      </w:r>
    </w:p>
    <w:p w14:paraId="1C1229B0"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ბუპივაკაინი ავლენს სუბარაქნოიდული სივრცეებიდან სრულ და ბიფაზურ აბსორბციას, ორი ფაზის ნახევარგამოყოფის პერიოდი 50 და 408 წუთია. აბსორბციის ნელი ფაზა ბუპივაკაინის ელიმინაციის სისწრაფის შემზღუდველი ფაქტორია, რითიც აიხსნება ტერმინალური ნახევარგამოყოფის პერიოდის უფრო დიდი ხანგრძლივობა სუბარაქნოიდული შეყვანისას ინტრავენურ მიღებასთან შედარებით. ინტრათეკალური შეყვანის შემდეგ სისხლში ბუპივაკაინის კონცენტრაცია ადგილობრივი ანესთეზიის დროს გამოყენებულ სხვა ადგილობრივ საშუალებებზე დაბალია ინტრათეკალურად მცირე დოზის საჭიროების გამო. ზოგადად პლაზმაში მაქსიმალური კონცენტრაცია შეადგენს დაახლოებით 0.4მგ/ლ-ს 100მგ-ს ინექციისას. ეს ნიშნავს, რომ 20მგ დოზის დროს პლაზმაში დაფიქსირებული დონე იქნება 01.მგ/ლ.</w:t>
      </w:r>
    </w:p>
    <w:p w14:paraId="64CA9987" w14:textId="77777777" w:rsidR="005B70CA"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 xml:space="preserve">ინტრავენური ინექციის შემდეგ პლაზმიდან ბუპივაკაინის ტოტალური კლირენსი შეადგენს 0.58ლ/წთ-ს, განაწილების მოცულობა </w:t>
      </w:r>
      <w:r w:rsidR="001023AD" w:rsidRPr="004112AB">
        <w:rPr>
          <w:rFonts w:eastAsia="Times New Roman" w:cstheme="minorHAnsi"/>
          <w:color w:val="000000"/>
          <w:sz w:val="24"/>
          <w:szCs w:val="24"/>
        </w:rPr>
        <w:t>წონასწორულ</w:t>
      </w:r>
      <w:r w:rsidRPr="004112AB">
        <w:rPr>
          <w:rFonts w:eastAsia="Times New Roman" w:cstheme="minorHAnsi"/>
          <w:color w:val="000000"/>
          <w:sz w:val="24"/>
          <w:szCs w:val="24"/>
        </w:rPr>
        <w:t xml:space="preserve"> მდგომარეობაში 73ლ-ს, ტერმინალური ნახევარგამოყოფის პერიოდი 2.7 საათს და ღვიძლით ექსკრეციის საშუალო მნიშვნელობა 0.3</w:t>
      </w:r>
      <w:r w:rsidR="009643AB" w:rsidRPr="004112AB">
        <w:rPr>
          <w:rFonts w:eastAsia="Times New Roman" w:cstheme="minorHAnsi"/>
          <w:color w:val="000000"/>
          <w:sz w:val="24"/>
          <w:szCs w:val="24"/>
        </w:rPr>
        <w:t>8</w:t>
      </w:r>
      <w:r w:rsidRPr="004112AB">
        <w:rPr>
          <w:rFonts w:eastAsia="Times New Roman" w:cstheme="minorHAnsi"/>
          <w:color w:val="000000"/>
          <w:sz w:val="24"/>
          <w:szCs w:val="24"/>
        </w:rPr>
        <w:t>-ს</w:t>
      </w:r>
      <w:r w:rsidR="005B70CA" w:rsidRPr="004112AB">
        <w:rPr>
          <w:rFonts w:eastAsia="Times New Roman" w:cstheme="minorHAnsi"/>
          <w:color w:val="000000"/>
          <w:sz w:val="24"/>
          <w:szCs w:val="24"/>
        </w:rPr>
        <w:t xml:space="preserve">, ინტრავენური შეყვანის შემდეგ. </w:t>
      </w:r>
      <w:r w:rsidRPr="004112AB">
        <w:rPr>
          <w:rFonts w:eastAsia="Times New Roman" w:cstheme="minorHAnsi"/>
          <w:color w:val="000000"/>
          <w:sz w:val="24"/>
          <w:szCs w:val="24"/>
        </w:rPr>
        <w:t xml:space="preserve">პლაზმაში ძირითადად უკავშირდება ალფა-I-მჟავა გლიკოპროტეინს, პლაზმის ცილებთან კავშირი შეადგენს 96%-ს. ბუპივაკაინის კლირენსი თითქმის სრულად განპირობებულია ღვიძლში მეტაბოლიზმით და უფრო მგრძნობიარეა ღვიძლის შიდა ფერმენტების ფუნქციისადმი, ვიდრე მისი პერფუზიის მიმართ. </w:t>
      </w:r>
    </w:p>
    <w:p w14:paraId="71B37EA3" w14:textId="5740E9CB" w:rsidR="005F558D"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 xml:space="preserve">ბუპივაკაინი </w:t>
      </w:r>
      <w:r w:rsidR="008F1DA8" w:rsidRPr="004112AB">
        <w:rPr>
          <w:rFonts w:eastAsia="Times New Roman" w:cstheme="minorHAnsi"/>
          <w:color w:val="000000"/>
          <w:sz w:val="24"/>
          <w:szCs w:val="24"/>
        </w:rPr>
        <w:t xml:space="preserve">ადვილად </w:t>
      </w:r>
      <w:r w:rsidRPr="004112AB">
        <w:rPr>
          <w:rFonts w:eastAsia="Times New Roman" w:cstheme="minorHAnsi"/>
          <w:color w:val="000000"/>
          <w:sz w:val="24"/>
          <w:szCs w:val="24"/>
        </w:rPr>
        <w:t>გადის პლაცენტაში და სწრაფად მიიღწევა წონასწორ</w:t>
      </w:r>
      <w:r w:rsidR="008F1DA8" w:rsidRPr="004112AB">
        <w:rPr>
          <w:rFonts w:eastAsia="Times New Roman" w:cstheme="minorHAnsi"/>
          <w:color w:val="000000"/>
          <w:sz w:val="24"/>
          <w:szCs w:val="24"/>
        </w:rPr>
        <w:t>ული მდგომარეობა</w:t>
      </w:r>
      <w:r w:rsidRPr="004112AB">
        <w:rPr>
          <w:rFonts w:eastAsia="Times New Roman" w:cstheme="minorHAnsi"/>
          <w:color w:val="000000"/>
          <w:sz w:val="24"/>
          <w:szCs w:val="24"/>
        </w:rPr>
        <w:t xml:space="preserve"> შეუკავშირებელი კონცენტრაციის </w:t>
      </w:r>
      <w:r w:rsidR="008F1DA8" w:rsidRPr="004112AB">
        <w:rPr>
          <w:rFonts w:eastAsia="Times New Roman" w:cstheme="minorHAnsi"/>
          <w:color w:val="000000"/>
          <w:sz w:val="24"/>
          <w:szCs w:val="24"/>
        </w:rPr>
        <w:t>მიმართ</w:t>
      </w:r>
      <w:r w:rsidRPr="004112AB">
        <w:rPr>
          <w:rFonts w:eastAsia="Times New Roman" w:cstheme="minorHAnsi"/>
          <w:color w:val="000000"/>
          <w:sz w:val="24"/>
          <w:szCs w:val="24"/>
        </w:rPr>
        <w:t>. ნაყოფის პლაზმის ცილებთან კავშირის ხარისხი უფრო დაბალია, ვიდრე დედის ორგანიზმში, რაც განაპირობებს ნაყოფის პლაზმაში უფრო დაბალ კონცენტრაციას.</w:t>
      </w:r>
    </w:p>
    <w:p w14:paraId="4DC110B1" w14:textId="705605EE" w:rsidR="005F558D"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lastRenderedPageBreak/>
        <w:t>ბუპივაკაინი გამოიყოფა რძეში, მაგრამ იმდენად მცირე რაოდენობით, რომ ბავშვისთვის საფრთხეს არ წარმოადგენს.</w:t>
      </w:r>
    </w:p>
    <w:p w14:paraId="563B9F95" w14:textId="01B04120"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ბუპივაკაინი ექსტენსიურად მეტაბოლიზდება ღვიძლში ძირითადად არომატული ჰიდროქსოლირებით 4-ჰიდროქსი ბუპივაკაინად და N-დეალკილირებით PPX-ად, ორივე შემთხვევაში მედიატორია ციტოქრომ P4503A4. 24 საათის განმავლობაში ბუპივაკაინის დაახლოებით 1% გამოიყოფა შარდში უცვლელი სახით,</w:t>
      </w:r>
      <w:r w:rsidR="008F1DA8" w:rsidRPr="004112AB">
        <w:rPr>
          <w:rFonts w:eastAsia="Times New Roman" w:cstheme="minorHAnsi"/>
          <w:color w:val="000000"/>
          <w:sz w:val="24"/>
          <w:szCs w:val="24"/>
        </w:rPr>
        <w:t xml:space="preserve"> ხოლო</w:t>
      </w:r>
      <w:r w:rsidRPr="004112AB">
        <w:rPr>
          <w:rFonts w:eastAsia="Times New Roman" w:cstheme="minorHAnsi"/>
          <w:color w:val="000000"/>
          <w:sz w:val="24"/>
          <w:szCs w:val="24"/>
        </w:rPr>
        <w:t xml:space="preserve"> დაახლოებით 5% </w:t>
      </w:r>
      <w:r w:rsidR="008F1DA8" w:rsidRPr="004112AB">
        <w:rPr>
          <w:rFonts w:eastAsia="Times New Roman" w:cstheme="minorHAnsi"/>
          <w:color w:val="000000"/>
          <w:sz w:val="24"/>
          <w:szCs w:val="24"/>
        </w:rPr>
        <w:t xml:space="preserve"> - </w:t>
      </w:r>
      <w:r w:rsidRPr="004112AB">
        <w:rPr>
          <w:rFonts w:eastAsia="Times New Roman" w:cstheme="minorHAnsi"/>
          <w:color w:val="000000"/>
          <w:sz w:val="24"/>
          <w:szCs w:val="24"/>
        </w:rPr>
        <w:t>PPX-სახით. ბუპივაკაინის მუდმივი მიღებისას და მის შემდეგ პლაზმაში PPX-ის და 4-ჰიდროქსიბუპივაკაინის კონცენტრაცია დაბალია წინამორბედ წამალთან შედარებით.</w:t>
      </w:r>
    </w:p>
    <w:p w14:paraId="579534C6" w14:textId="77777777" w:rsidR="005F558D" w:rsidRPr="004112AB" w:rsidRDefault="005F558D" w:rsidP="00646E12">
      <w:pPr>
        <w:spacing w:after="0" w:line="240" w:lineRule="auto"/>
        <w:ind w:right="-270"/>
        <w:jc w:val="both"/>
        <w:rPr>
          <w:rFonts w:eastAsia="Times New Roman" w:cstheme="minorHAnsi"/>
          <w:b/>
          <w:bCs/>
          <w:color w:val="000000"/>
          <w:sz w:val="24"/>
          <w:szCs w:val="24"/>
        </w:rPr>
      </w:pPr>
    </w:p>
    <w:p w14:paraId="09980EBE" w14:textId="02AA3A8F"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კლინიკამდელი უსაფრთხოების მონაცემები</w:t>
      </w:r>
    </w:p>
    <w:p w14:paraId="297A541C" w14:textId="2FECCBC1"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ბუპივაკაინის ფარმაკოლოგიური უსაფრთხოების, ერთჯერადი და განმეორებითი დოზების ტოქსიურობის, რეპროდუქციული ტოქსიურობის, მუტაგენური პოტენციალის და ადგილობრივი ტოქსიურობის კვლევებში არ გამოვლინდა ადამიანისთვის საფრთხეები გარდა იმ მოვლენებისა, რომლებიც მოსალოდნელია ბუპივაკაინის მაღალი დოზით გამოყენების დროს აღნიშნული ფარმაკოლოგიური მოქმედებით (მაგ. ცნს ნიშნები და კარდიოტოქსიურობა).</w:t>
      </w:r>
    </w:p>
    <w:p w14:paraId="0137EF7F" w14:textId="77777777" w:rsidR="005F558D" w:rsidRPr="004112AB" w:rsidRDefault="005F558D" w:rsidP="00646E12">
      <w:pPr>
        <w:spacing w:after="0" w:line="240" w:lineRule="auto"/>
        <w:ind w:right="-270"/>
        <w:jc w:val="both"/>
        <w:rPr>
          <w:rFonts w:eastAsia="Times New Roman" w:cstheme="minorHAnsi"/>
          <w:b/>
          <w:bCs/>
          <w:color w:val="000000"/>
          <w:sz w:val="24"/>
          <w:szCs w:val="24"/>
        </w:rPr>
      </w:pPr>
    </w:p>
    <w:p w14:paraId="020E77AF" w14:textId="12166BF2"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შემავსებლების ჩამონათვალი</w:t>
      </w:r>
    </w:p>
    <w:p w14:paraId="001227C1" w14:textId="07E3A56E"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დექსტროზას მონოჰიდრატი, 80.0</w:t>
      </w:r>
      <w:r w:rsidR="00873721" w:rsidRPr="004112AB">
        <w:rPr>
          <w:rFonts w:eastAsia="Times New Roman" w:cstheme="minorHAnsi"/>
          <w:color w:val="000000"/>
          <w:sz w:val="24"/>
          <w:szCs w:val="24"/>
        </w:rPr>
        <w:t xml:space="preserve"> </w:t>
      </w:r>
      <w:r w:rsidRPr="004112AB">
        <w:rPr>
          <w:rFonts w:eastAsia="Times New Roman" w:cstheme="minorHAnsi"/>
          <w:color w:val="000000"/>
          <w:sz w:val="24"/>
          <w:szCs w:val="24"/>
        </w:rPr>
        <w:t>მგ.</w:t>
      </w:r>
    </w:p>
    <w:p w14:paraId="538BCCEA" w14:textId="5F21D3CC"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ნატრიუმის ჰიდროქსიდი და/ან ქლორწყლბადმჟავა pH-ის კორექციისთვის 4.0-6.0 ფარგლებში.</w:t>
      </w:r>
    </w:p>
    <w:p w14:paraId="35410784" w14:textId="4E6AB928"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საინექციო წყალი 1</w:t>
      </w:r>
      <w:r w:rsidR="00873721" w:rsidRPr="004112AB">
        <w:rPr>
          <w:rFonts w:eastAsia="Times New Roman" w:cstheme="minorHAnsi"/>
          <w:color w:val="000000"/>
          <w:sz w:val="24"/>
          <w:szCs w:val="24"/>
        </w:rPr>
        <w:t xml:space="preserve"> </w:t>
      </w:r>
      <w:r w:rsidRPr="004112AB">
        <w:rPr>
          <w:rFonts w:eastAsia="Times New Roman" w:cstheme="minorHAnsi"/>
          <w:color w:val="000000"/>
          <w:sz w:val="24"/>
          <w:szCs w:val="24"/>
        </w:rPr>
        <w:t>მლ.</w:t>
      </w:r>
    </w:p>
    <w:p w14:paraId="1ACA2C0C" w14:textId="0BBDF80A"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ხსნარის შედარებითი სიმკვრივე შეადგენს 1.026-ს 20°C ტემპერატურაზე (შეესაბამება 1.021-ს 37°C ტემპერატურაზე).</w:t>
      </w:r>
    </w:p>
    <w:p w14:paraId="219849BA" w14:textId="4F4150DE" w:rsidR="00C64FE1" w:rsidRPr="00D90755" w:rsidRDefault="00C64FE1" w:rsidP="00C64FE1">
      <w:pPr>
        <w:tabs>
          <w:tab w:val="left" w:pos="6860"/>
        </w:tabs>
        <w:spacing w:before="120" w:after="120" w:line="240" w:lineRule="auto"/>
        <w:jc w:val="both"/>
        <w:rPr>
          <w:rFonts w:ascii="Sylfaen" w:eastAsia="SimSun" w:hAnsi="Sylfaen"/>
          <w:bCs/>
        </w:rPr>
      </w:pPr>
      <w:r w:rsidRPr="00C64FE1">
        <w:rPr>
          <w:rFonts w:ascii="Sylfaen" w:eastAsia="SimSun" w:hAnsi="Sylfaen"/>
          <w:b/>
        </w:rPr>
        <w:t>გაცემის წესი</w:t>
      </w:r>
      <w:r>
        <w:rPr>
          <w:rFonts w:ascii="Sylfaen" w:eastAsia="SimSun" w:hAnsi="Sylfaen"/>
          <w:bCs/>
        </w:rPr>
        <w:t xml:space="preserve"> - </w:t>
      </w:r>
      <w:r>
        <w:rPr>
          <w:rFonts w:ascii="Sylfaen" w:eastAsia="SimSun" w:hAnsi="Sylfaen"/>
          <w:bCs/>
        </w:rPr>
        <w:t xml:space="preserve">ფარმაცევტული პროდუქტის ჯგუფი II, გაიცემა ფორმა </w:t>
      </w:r>
      <w:r>
        <w:rPr>
          <w:rFonts w:ascii="Sylfaen" w:hAnsi="Sylfaen"/>
        </w:rPr>
        <w:t>№</w:t>
      </w:r>
      <w:r>
        <w:rPr>
          <w:rFonts w:ascii="Sylfaen" w:eastAsia="SimSun" w:hAnsi="Sylfaen"/>
          <w:bCs/>
        </w:rPr>
        <w:t>3 რეცეპტით</w:t>
      </w:r>
    </w:p>
    <w:p w14:paraId="3AB446C3" w14:textId="77777777" w:rsidR="005F558D" w:rsidRPr="004112AB" w:rsidRDefault="005F558D" w:rsidP="00646E12">
      <w:pPr>
        <w:spacing w:after="0" w:line="240" w:lineRule="auto"/>
        <w:ind w:right="-270"/>
        <w:jc w:val="both"/>
        <w:rPr>
          <w:rFonts w:eastAsia="Times New Roman" w:cstheme="minorHAnsi"/>
          <w:b/>
          <w:bCs/>
          <w:color w:val="000000"/>
          <w:sz w:val="24"/>
          <w:szCs w:val="24"/>
        </w:rPr>
      </w:pPr>
    </w:p>
    <w:p w14:paraId="3558745B" w14:textId="59EB80AD"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შეუთავსებლობა</w:t>
      </w:r>
    </w:p>
    <w:p w14:paraId="1D74918A"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სპინალურ ხსნარებზე დამატება ჩვეულებრივ რეკომენდებული არ არის.</w:t>
      </w:r>
    </w:p>
    <w:p w14:paraId="22DE332B" w14:textId="77777777" w:rsidR="005F558D" w:rsidRPr="004112AB" w:rsidRDefault="005F558D" w:rsidP="00646E12">
      <w:pPr>
        <w:spacing w:after="0" w:line="240" w:lineRule="auto"/>
        <w:ind w:right="-270"/>
        <w:jc w:val="both"/>
        <w:rPr>
          <w:rFonts w:eastAsia="Times New Roman" w:cstheme="minorHAnsi"/>
          <w:b/>
          <w:bCs/>
          <w:color w:val="000000"/>
          <w:sz w:val="24"/>
          <w:szCs w:val="24"/>
        </w:rPr>
      </w:pPr>
    </w:p>
    <w:p w14:paraId="4C67E3E0" w14:textId="310B8AF2"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შენახვის ვადა</w:t>
      </w:r>
    </w:p>
    <w:p w14:paraId="489DD686" w14:textId="7D2FB166"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გთხოვთ</w:t>
      </w:r>
      <w:r w:rsidR="005F558D" w:rsidRPr="004112AB">
        <w:rPr>
          <w:rFonts w:eastAsia="Times New Roman" w:cstheme="minorHAnsi"/>
          <w:color w:val="000000"/>
          <w:sz w:val="24"/>
          <w:szCs w:val="24"/>
        </w:rPr>
        <w:t>,</w:t>
      </w:r>
      <w:r w:rsidRPr="004112AB">
        <w:rPr>
          <w:rFonts w:eastAsia="Times New Roman" w:cstheme="minorHAnsi"/>
          <w:color w:val="000000"/>
          <w:sz w:val="24"/>
          <w:szCs w:val="24"/>
        </w:rPr>
        <w:t xml:space="preserve"> იხილეთ გარე შეფუთვა.</w:t>
      </w:r>
    </w:p>
    <w:p w14:paraId="1451A04F" w14:textId="77777777" w:rsidR="005F558D" w:rsidRPr="004112AB" w:rsidRDefault="005F558D" w:rsidP="00646E12">
      <w:pPr>
        <w:spacing w:after="0" w:line="240" w:lineRule="auto"/>
        <w:ind w:right="-270"/>
        <w:jc w:val="both"/>
        <w:rPr>
          <w:rFonts w:eastAsia="Times New Roman" w:cstheme="minorHAnsi"/>
          <w:b/>
          <w:bCs/>
          <w:color w:val="000000"/>
          <w:sz w:val="24"/>
          <w:szCs w:val="24"/>
        </w:rPr>
      </w:pPr>
    </w:p>
    <w:p w14:paraId="10EE3E1E" w14:textId="432F9AC7" w:rsidR="00A67A6E" w:rsidRPr="004112AB" w:rsidRDefault="00A67A6E" w:rsidP="00646E12">
      <w:pPr>
        <w:spacing w:after="0" w:line="240" w:lineRule="auto"/>
        <w:ind w:right="-270"/>
        <w:jc w:val="both"/>
        <w:rPr>
          <w:rFonts w:eastAsia="Times New Roman" w:cstheme="minorHAnsi"/>
          <w:b/>
          <w:bCs/>
          <w:color w:val="000000"/>
          <w:sz w:val="24"/>
          <w:szCs w:val="24"/>
        </w:rPr>
      </w:pPr>
      <w:r w:rsidRPr="004112AB">
        <w:rPr>
          <w:rFonts w:eastAsia="Times New Roman" w:cstheme="minorHAnsi"/>
          <w:b/>
          <w:bCs/>
          <w:color w:val="000000"/>
          <w:sz w:val="24"/>
          <w:szCs w:val="24"/>
        </w:rPr>
        <w:t>განსაკუთრებული უსაფრთხოების ზომები შენახვისთვის</w:t>
      </w:r>
    </w:p>
    <w:p w14:paraId="1ED1BF0C" w14:textId="24B5331D"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არ შეინახოთ 25°C –ზე მაღალ ტემპერატურაზე. არ გაყინოთ.</w:t>
      </w:r>
    </w:p>
    <w:p w14:paraId="2F00CE66" w14:textId="77777777" w:rsidR="005F558D" w:rsidRPr="004112AB" w:rsidRDefault="005F558D" w:rsidP="00646E12">
      <w:pPr>
        <w:spacing w:after="0" w:line="240" w:lineRule="auto"/>
        <w:ind w:right="-270"/>
        <w:jc w:val="both"/>
        <w:rPr>
          <w:rFonts w:eastAsia="Times New Roman" w:cstheme="minorHAnsi"/>
          <w:b/>
          <w:bCs/>
          <w:color w:val="000000"/>
          <w:sz w:val="24"/>
          <w:szCs w:val="24"/>
        </w:rPr>
      </w:pPr>
    </w:p>
    <w:p w14:paraId="23B80085" w14:textId="1A7FAC4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შეფუთვის ზომა</w:t>
      </w:r>
    </w:p>
    <w:p w14:paraId="64F8B7AB" w14:textId="35947C43"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გთხოვთ იხილეთ გარე შეფუთვა.</w:t>
      </w:r>
    </w:p>
    <w:p w14:paraId="530E7C28" w14:textId="77777777" w:rsidR="005F558D" w:rsidRPr="004112AB" w:rsidRDefault="005F558D" w:rsidP="00646E12">
      <w:pPr>
        <w:spacing w:after="0" w:line="240" w:lineRule="auto"/>
        <w:ind w:right="-270"/>
        <w:jc w:val="both"/>
        <w:rPr>
          <w:rFonts w:eastAsia="Times New Roman" w:cstheme="minorHAnsi"/>
          <w:b/>
          <w:bCs/>
          <w:color w:val="000000"/>
          <w:sz w:val="24"/>
          <w:szCs w:val="24"/>
        </w:rPr>
      </w:pPr>
    </w:p>
    <w:p w14:paraId="22443C56" w14:textId="4CFAF825"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შეფუთვის აღწერა და შემადგენლობა</w:t>
      </w:r>
    </w:p>
    <w:p w14:paraId="2ECB77C6" w14:textId="77777777"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მარკაინი სპინალი ჰევი გამოდის I ტიპის მინის ამპულებში ბლისტერით/ბლისტერის გარეშე.</w:t>
      </w:r>
    </w:p>
    <w:p w14:paraId="091C7767" w14:textId="77777777" w:rsidR="008F1DA8" w:rsidRPr="004112AB" w:rsidRDefault="008F1DA8" w:rsidP="00646E12">
      <w:pPr>
        <w:spacing w:after="0" w:line="240" w:lineRule="auto"/>
        <w:ind w:right="-270"/>
        <w:jc w:val="both"/>
        <w:rPr>
          <w:rFonts w:eastAsia="Times New Roman" w:cstheme="minorHAnsi"/>
          <w:b/>
          <w:bCs/>
          <w:color w:val="000000"/>
          <w:sz w:val="24"/>
          <w:szCs w:val="24"/>
        </w:rPr>
      </w:pPr>
    </w:p>
    <w:p w14:paraId="40FDE7C0" w14:textId="77777777" w:rsidR="002D01CD" w:rsidRPr="004112AB" w:rsidRDefault="002D01CD" w:rsidP="00646E12">
      <w:pPr>
        <w:spacing w:after="0" w:line="240" w:lineRule="auto"/>
        <w:ind w:right="-270"/>
        <w:jc w:val="both"/>
        <w:rPr>
          <w:rFonts w:eastAsia="Times New Roman" w:cstheme="minorHAnsi"/>
          <w:b/>
          <w:bCs/>
          <w:color w:val="000000"/>
          <w:sz w:val="24"/>
          <w:szCs w:val="24"/>
        </w:rPr>
      </w:pPr>
    </w:p>
    <w:p w14:paraId="58AEE1CF" w14:textId="77777777" w:rsidR="002D01CD" w:rsidRPr="004112AB" w:rsidRDefault="002D01CD" w:rsidP="00646E12">
      <w:pPr>
        <w:spacing w:after="0" w:line="240" w:lineRule="auto"/>
        <w:ind w:right="-270"/>
        <w:jc w:val="both"/>
        <w:rPr>
          <w:rFonts w:eastAsia="Times New Roman" w:cstheme="minorHAnsi"/>
          <w:b/>
          <w:bCs/>
          <w:color w:val="000000"/>
          <w:sz w:val="24"/>
          <w:szCs w:val="24"/>
        </w:rPr>
      </w:pPr>
    </w:p>
    <w:p w14:paraId="7596CAEF" w14:textId="77777777" w:rsidR="0002411D" w:rsidRPr="004112AB" w:rsidRDefault="0002411D" w:rsidP="0002411D">
      <w:pPr>
        <w:spacing w:before="120" w:after="120" w:line="240" w:lineRule="auto"/>
        <w:jc w:val="both"/>
        <w:rPr>
          <w:rFonts w:ascii="Sylfaen" w:eastAsia="SimSun" w:hAnsi="Sylfaen"/>
          <w:b/>
          <w:color w:val="FFFFFF" w:themeColor="background1"/>
        </w:rPr>
      </w:pPr>
      <w:r w:rsidRPr="004112AB">
        <w:rPr>
          <w:rFonts w:ascii="Sylfaen" w:eastAsia="SimSun" w:hAnsi="Sylfaen"/>
          <w:b/>
          <w:color w:val="FFFFFF" w:themeColor="background1"/>
        </w:rPr>
        <w:t>გაცემის წესი:</w:t>
      </w:r>
    </w:p>
    <w:p w14:paraId="34F42D7C" w14:textId="77777777" w:rsidR="0002411D" w:rsidRPr="004112AB" w:rsidRDefault="0002411D" w:rsidP="0002411D">
      <w:pPr>
        <w:spacing w:before="120" w:after="120" w:line="240" w:lineRule="auto"/>
        <w:jc w:val="both"/>
        <w:rPr>
          <w:rFonts w:ascii="Sylfaen" w:eastAsia="SimSun" w:hAnsi="Sylfaen"/>
          <w:bCs/>
          <w:color w:val="FFFFFF" w:themeColor="background1"/>
        </w:rPr>
      </w:pPr>
      <w:r w:rsidRPr="004112AB">
        <w:rPr>
          <w:rFonts w:ascii="Sylfaen" w:eastAsia="SimSun" w:hAnsi="Sylfaen"/>
          <w:bCs/>
          <w:color w:val="FFFFFF" w:themeColor="background1"/>
        </w:rPr>
        <w:lastRenderedPageBreak/>
        <w:t xml:space="preserve">ფარმაცევტული პროდუქტის ჯგუფი </w:t>
      </w:r>
      <w:r w:rsidRPr="004112AB">
        <w:rPr>
          <w:rFonts w:ascii="Sylfaen" w:hAnsi="Sylfaen"/>
          <w:color w:val="FFFFFF" w:themeColor="background1"/>
        </w:rPr>
        <w:t xml:space="preserve">II, </w:t>
      </w:r>
      <w:r w:rsidRPr="004112AB">
        <w:rPr>
          <w:rFonts w:ascii="Sylfaen" w:hAnsi="Sylfaen" w:cs="Sylfaen"/>
          <w:color w:val="FFFFFF" w:themeColor="background1"/>
        </w:rPr>
        <w:t>გაიცემა</w:t>
      </w:r>
      <w:r w:rsidRPr="004112AB">
        <w:rPr>
          <w:rFonts w:ascii="Sylfaen" w:hAnsi="Sylfaen"/>
          <w:color w:val="FFFFFF" w:themeColor="background1"/>
        </w:rPr>
        <w:t xml:space="preserve"> </w:t>
      </w:r>
      <w:r w:rsidRPr="004112AB">
        <w:rPr>
          <w:rFonts w:ascii="Sylfaen" w:hAnsi="Sylfaen" w:cs="Sylfaen"/>
          <w:color w:val="FFFFFF" w:themeColor="background1"/>
        </w:rPr>
        <w:t>ფორმა</w:t>
      </w:r>
      <w:r w:rsidRPr="004112AB">
        <w:rPr>
          <w:rFonts w:ascii="Sylfaen" w:hAnsi="Sylfaen"/>
          <w:color w:val="FFFFFF" w:themeColor="background1"/>
        </w:rPr>
        <w:t xml:space="preserve"> №3 </w:t>
      </w:r>
      <w:r w:rsidRPr="004112AB">
        <w:rPr>
          <w:rFonts w:ascii="Sylfaen" w:hAnsi="Sylfaen" w:cs="Sylfaen"/>
          <w:color w:val="FFFFFF" w:themeColor="background1"/>
        </w:rPr>
        <w:t>რეცეპტით</w:t>
      </w:r>
    </w:p>
    <w:p w14:paraId="3B93EC3D" w14:textId="77777777" w:rsidR="002D01CD" w:rsidRPr="004112AB" w:rsidRDefault="002D01CD" w:rsidP="00646E12">
      <w:pPr>
        <w:spacing w:after="0" w:line="240" w:lineRule="auto"/>
        <w:ind w:right="-270"/>
        <w:jc w:val="both"/>
        <w:rPr>
          <w:rFonts w:eastAsia="Times New Roman" w:cstheme="minorHAnsi"/>
          <w:b/>
          <w:bCs/>
          <w:color w:val="000000"/>
          <w:sz w:val="24"/>
          <w:szCs w:val="24"/>
        </w:rPr>
      </w:pPr>
    </w:p>
    <w:p w14:paraId="1E791216" w14:textId="268AF2DE" w:rsidR="005F558D" w:rsidRPr="004112AB" w:rsidRDefault="00A67A6E" w:rsidP="00646E12">
      <w:pPr>
        <w:spacing w:after="0" w:line="240" w:lineRule="auto"/>
        <w:ind w:right="-270"/>
        <w:jc w:val="both"/>
        <w:rPr>
          <w:rFonts w:eastAsia="Times New Roman" w:cstheme="minorHAnsi"/>
          <w:b/>
          <w:bCs/>
          <w:color w:val="000000"/>
          <w:sz w:val="24"/>
          <w:szCs w:val="24"/>
        </w:rPr>
      </w:pPr>
      <w:r w:rsidRPr="004112AB">
        <w:rPr>
          <w:rFonts w:eastAsia="Times New Roman" w:cstheme="minorHAnsi"/>
          <w:b/>
          <w:bCs/>
          <w:color w:val="000000"/>
          <w:sz w:val="24"/>
          <w:szCs w:val="24"/>
        </w:rPr>
        <w:t>ინსტრუქცია გამოყენებისთვის/</w:t>
      </w:r>
      <w:r w:rsidR="005F558D" w:rsidRPr="004112AB">
        <w:rPr>
          <w:rFonts w:eastAsia="Times New Roman" w:cstheme="minorHAnsi"/>
          <w:b/>
          <w:bCs/>
          <w:color w:val="000000"/>
          <w:sz w:val="24"/>
          <w:szCs w:val="24"/>
        </w:rPr>
        <w:t xml:space="preserve">მოპყრობისათვის </w:t>
      </w:r>
    </w:p>
    <w:p w14:paraId="41B1F22C" w14:textId="751AC15D"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მარკაინი სპინალი ჰევი არ შეიცავს კონსერვანტებს და განკუთვნილია მხოლოდ ერთჯერადი გამოყენებისთვის. ნებისმიერი ნარჩენი ხსნარი უნდა განადგურდეს.</w:t>
      </w:r>
    </w:p>
    <w:p w14:paraId="62A4559A" w14:textId="241D526F"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color w:val="000000"/>
          <w:sz w:val="24"/>
          <w:szCs w:val="24"/>
        </w:rPr>
        <w:t>რადგან მარკაინი სპინალი ჰევი შეიცავს გლუკოზას, ავტოკლავირებისას შეიძლება განვითარდეს კარამელიზაცია. აქედან გამომდინარე</w:t>
      </w:r>
      <w:r w:rsidR="008F1DA8" w:rsidRPr="004112AB">
        <w:rPr>
          <w:rFonts w:eastAsia="Times New Roman" w:cstheme="minorHAnsi"/>
          <w:color w:val="000000"/>
          <w:sz w:val="24"/>
          <w:szCs w:val="24"/>
        </w:rPr>
        <w:t>,</w:t>
      </w:r>
      <w:r w:rsidRPr="004112AB">
        <w:rPr>
          <w:rFonts w:eastAsia="Times New Roman" w:cstheme="minorHAnsi"/>
          <w:color w:val="000000"/>
          <w:sz w:val="24"/>
          <w:szCs w:val="24"/>
        </w:rPr>
        <w:t xml:space="preserve"> არ შეიძლება ამ პრეპარატის ხელახლა სტერილიზაცია.</w:t>
      </w:r>
    </w:p>
    <w:p w14:paraId="0DF088F5" w14:textId="77777777" w:rsidR="005F558D" w:rsidRPr="004112AB" w:rsidRDefault="005F558D" w:rsidP="00646E12">
      <w:pPr>
        <w:spacing w:after="0" w:line="240" w:lineRule="auto"/>
        <w:ind w:right="-270"/>
        <w:jc w:val="both"/>
        <w:rPr>
          <w:rFonts w:eastAsia="Times New Roman" w:cstheme="minorHAnsi"/>
          <w:b/>
          <w:bCs/>
          <w:color w:val="000000"/>
          <w:sz w:val="24"/>
          <w:szCs w:val="24"/>
        </w:rPr>
      </w:pPr>
    </w:p>
    <w:p w14:paraId="0144179F" w14:textId="61B0E7D4" w:rsidR="00A67A6E" w:rsidRPr="004112AB" w:rsidRDefault="00A67A6E" w:rsidP="00646E12">
      <w:pPr>
        <w:spacing w:after="0" w:line="240" w:lineRule="auto"/>
        <w:ind w:right="-270"/>
        <w:jc w:val="both"/>
        <w:rPr>
          <w:rFonts w:eastAsia="Times New Roman" w:cstheme="minorHAnsi"/>
          <w:color w:val="000000"/>
          <w:sz w:val="24"/>
          <w:szCs w:val="24"/>
        </w:rPr>
      </w:pPr>
      <w:r w:rsidRPr="004112AB">
        <w:rPr>
          <w:rFonts w:eastAsia="Times New Roman" w:cstheme="minorHAnsi"/>
          <w:b/>
          <w:bCs/>
          <w:color w:val="000000"/>
          <w:sz w:val="24"/>
          <w:szCs w:val="24"/>
        </w:rPr>
        <w:t xml:space="preserve">ტექსტის </w:t>
      </w:r>
      <w:r w:rsidR="008F1DA8" w:rsidRPr="004112AB">
        <w:rPr>
          <w:rFonts w:eastAsia="Times New Roman" w:cstheme="minorHAnsi"/>
          <w:b/>
          <w:bCs/>
          <w:color w:val="000000"/>
          <w:sz w:val="24"/>
          <w:szCs w:val="24"/>
        </w:rPr>
        <w:t>გადახედვის</w:t>
      </w:r>
      <w:r w:rsidRPr="004112AB">
        <w:rPr>
          <w:rFonts w:eastAsia="Times New Roman" w:cstheme="minorHAnsi"/>
          <w:b/>
          <w:bCs/>
          <w:color w:val="000000"/>
          <w:sz w:val="24"/>
          <w:szCs w:val="24"/>
        </w:rPr>
        <w:t xml:space="preserve"> თარიღი</w:t>
      </w:r>
    </w:p>
    <w:p w14:paraId="6EF0AA67" w14:textId="3279B764" w:rsidR="00A67A6E" w:rsidRPr="004112AB" w:rsidRDefault="006F5DC4" w:rsidP="00646E12">
      <w:pPr>
        <w:autoSpaceDE w:val="0"/>
        <w:autoSpaceDN w:val="0"/>
        <w:adjustRightInd w:val="0"/>
        <w:spacing w:after="0" w:line="240" w:lineRule="auto"/>
        <w:ind w:right="-270"/>
        <w:rPr>
          <w:rFonts w:cstheme="minorHAnsi"/>
          <w:sz w:val="24"/>
          <w:szCs w:val="24"/>
        </w:rPr>
      </w:pPr>
      <w:r w:rsidRPr="004112AB">
        <w:rPr>
          <w:rFonts w:cstheme="minorHAnsi"/>
          <w:sz w:val="24"/>
          <w:szCs w:val="24"/>
        </w:rPr>
        <w:t>2023</w:t>
      </w:r>
      <w:r w:rsidR="005F558D" w:rsidRPr="004112AB">
        <w:rPr>
          <w:rFonts w:cstheme="minorHAnsi"/>
          <w:sz w:val="24"/>
          <w:szCs w:val="24"/>
        </w:rPr>
        <w:t xml:space="preserve"> წლის თებერვალი</w:t>
      </w:r>
    </w:p>
    <w:p w14:paraId="108184F8" w14:textId="77777777" w:rsidR="005F558D" w:rsidRPr="004112AB" w:rsidRDefault="005F558D" w:rsidP="00646E12">
      <w:pPr>
        <w:autoSpaceDE w:val="0"/>
        <w:autoSpaceDN w:val="0"/>
        <w:adjustRightInd w:val="0"/>
        <w:spacing w:after="0" w:line="240" w:lineRule="auto"/>
        <w:ind w:right="-270"/>
        <w:rPr>
          <w:rFonts w:cstheme="minorHAnsi"/>
          <w:sz w:val="24"/>
          <w:szCs w:val="24"/>
        </w:rPr>
      </w:pPr>
    </w:p>
    <w:p w14:paraId="6D390D2E" w14:textId="7DC3479A" w:rsidR="00A67A6E" w:rsidRPr="004112AB" w:rsidRDefault="00873721" w:rsidP="00D270E4">
      <w:pPr>
        <w:autoSpaceDE w:val="0"/>
        <w:autoSpaceDN w:val="0"/>
        <w:adjustRightInd w:val="0"/>
        <w:spacing w:after="0" w:line="240" w:lineRule="auto"/>
        <w:ind w:right="-270"/>
        <w:jc w:val="both"/>
        <w:rPr>
          <w:rFonts w:cstheme="minorHAnsi"/>
          <w:sz w:val="24"/>
          <w:szCs w:val="24"/>
        </w:rPr>
      </w:pPr>
      <w:r w:rsidRPr="004112AB">
        <w:rPr>
          <w:rFonts w:cstheme="minorHAnsi"/>
          <w:sz w:val="24"/>
          <w:szCs w:val="24"/>
        </w:rPr>
        <w:t>წარმოებულია</w:t>
      </w:r>
      <w:r w:rsidR="00C90BED" w:rsidRPr="004112AB">
        <w:rPr>
          <w:rFonts w:cstheme="minorHAnsi"/>
          <w:sz w:val="24"/>
          <w:szCs w:val="24"/>
        </w:rPr>
        <w:t xml:space="preserve"> </w:t>
      </w:r>
      <w:r w:rsidR="005F558D" w:rsidRPr="004112AB">
        <w:rPr>
          <w:rFonts w:cstheme="minorHAnsi"/>
          <w:sz w:val="24"/>
          <w:szCs w:val="24"/>
        </w:rPr>
        <w:t>სენექსი/</w:t>
      </w:r>
      <w:r w:rsidR="00A67A6E" w:rsidRPr="004112AB">
        <w:rPr>
          <w:rFonts w:cstheme="minorHAnsi"/>
          <w:sz w:val="24"/>
          <w:szCs w:val="24"/>
        </w:rPr>
        <w:t>CENEXI, 52 rue Marcel et Jacques Gaucher,</w:t>
      </w:r>
      <w:r w:rsidR="00D270E4" w:rsidRPr="004112AB">
        <w:rPr>
          <w:rFonts w:cstheme="minorHAnsi"/>
          <w:sz w:val="24"/>
          <w:szCs w:val="24"/>
        </w:rPr>
        <w:t xml:space="preserve"> </w:t>
      </w:r>
      <w:r w:rsidR="00A67A6E" w:rsidRPr="004112AB">
        <w:rPr>
          <w:rFonts w:cstheme="minorHAnsi"/>
          <w:sz w:val="24"/>
          <w:szCs w:val="24"/>
        </w:rPr>
        <w:t xml:space="preserve">94120 Fontenay-sous-Bois, </w:t>
      </w:r>
      <w:r w:rsidRPr="004112AB">
        <w:rPr>
          <w:rFonts w:cstheme="minorHAnsi"/>
          <w:sz w:val="24"/>
          <w:szCs w:val="24"/>
        </w:rPr>
        <w:t>საფრანგეთ</w:t>
      </w:r>
      <w:r w:rsidR="005F558D" w:rsidRPr="004112AB">
        <w:rPr>
          <w:rFonts w:cstheme="minorHAnsi"/>
          <w:sz w:val="24"/>
          <w:szCs w:val="24"/>
        </w:rPr>
        <w:t>ი</w:t>
      </w:r>
      <w:r w:rsidRPr="004112AB">
        <w:rPr>
          <w:rFonts w:cstheme="minorHAnsi"/>
          <w:sz w:val="24"/>
          <w:szCs w:val="24"/>
        </w:rPr>
        <w:t>-ს მიერ</w:t>
      </w:r>
      <w:r w:rsidR="005F558D" w:rsidRPr="004112AB">
        <w:rPr>
          <w:rFonts w:cstheme="minorHAnsi"/>
          <w:sz w:val="24"/>
          <w:szCs w:val="24"/>
        </w:rPr>
        <w:t xml:space="preserve"> კომპანია ასპენისათვის/</w:t>
      </w:r>
      <w:r w:rsidR="00A67A6E" w:rsidRPr="004112AB">
        <w:rPr>
          <w:rFonts w:cstheme="minorHAnsi"/>
          <w:sz w:val="24"/>
          <w:szCs w:val="24"/>
        </w:rPr>
        <w:t xml:space="preserve"> Aspen</w:t>
      </w:r>
    </w:p>
    <w:p w14:paraId="40BB90BA" w14:textId="77777777" w:rsidR="00A67A6E" w:rsidRPr="004112AB" w:rsidRDefault="00A67A6E" w:rsidP="00646E12">
      <w:pPr>
        <w:autoSpaceDE w:val="0"/>
        <w:autoSpaceDN w:val="0"/>
        <w:adjustRightInd w:val="0"/>
        <w:spacing w:after="0" w:line="240" w:lineRule="auto"/>
        <w:ind w:right="-270"/>
        <w:rPr>
          <w:rFonts w:cstheme="minorHAnsi"/>
          <w:sz w:val="24"/>
          <w:szCs w:val="24"/>
        </w:rPr>
      </w:pPr>
    </w:p>
    <w:p w14:paraId="76AC0283" w14:textId="4B8D7302" w:rsidR="00A67A6E" w:rsidRPr="004112AB" w:rsidRDefault="005F558D" w:rsidP="00D270E4">
      <w:pPr>
        <w:autoSpaceDE w:val="0"/>
        <w:autoSpaceDN w:val="0"/>
        <w:adjustRightInd w:val="0"/>
        <w:spacing w:after="0" w:line="240" w:lineRule="auto"/>
        <w:ind w:right="-270"/>
        <w:jc w:val="both"/>
        <w:rPr>
          <w:rFonts w:cstheme="minorHAnsi"/>
          <w:sz w:val="24"/>
          <w:szCs w:val="24"/>
        </w:rPr>
      </w:pPr>
      <w:r w:rsidRPr="004112AB">
        <w:rPr>
          <w:rFonts w:cstheme="minorHAnsi"/>
          <w:sz w:val="24"/>
          <w:szCs w:val="24"/>
        </w:rPr>
        <w:t xml:space="preserve">სავაჭრო ნიშნები მიეკუთვნება </w:t>
      </w:r>
      <w:r w:rsidR="00C90BED" w:rsidRPr="004112AB">
        <w:rPr>
          <w:rFonts w:cstheme="minorHAnsi"/>
          <w:sz w:val="24"/>
          <w:szCs w:val="24"/>
        </w:rPr>
        <w:t>ან</w:t>
      </w:r>
      <w:r w:rsidR="008F1DA8" w:rsidRPr="004112AB">
        <w:rPr>
          <w:rFonts w:cstheme="minorHAnsi"/>
          <w:sz w:val="24"/>
          <w:szCs w:val="24"/>
        </w:rPr>
        <w:t xml:space="preserve"> ლიცენზირებულია</w:t>
      </w:r>
      <w:r w:rsidRPr="004112AB">
        <w:rPr>
          <w:rFonts w:cstheme="minorHAnsi"/>
          <w:sz w:val="24"/>
          <w:szCs w:val="24"/>
        </w:rPr>
        <w:t xml:space="preserve"> ასპენის კომპანიების ჯგუფის</w:t>
      </w:r>
      <w:r w:rsidR="008F1DA8" w:rsidRPr="004112AB">
        <w:rPr>
          <w:rFonts w:cstheme="minorHAnsi"/>
          <w:sz w:val="24"/>
          <w:szCs w:val="24"/>
        </w:rPr>
        <w:t>თვის</w:t>
      </w:r>
      <w:r w:rsidRPr="004112AB">
        <w:rPr>
          <w:rFonts w:cstheme="minorHAnsi"/>
          <w:sz w:val="24"/>
          <w:szCs w:val="24"/>
        </w:rPr>
        <w:t xml:space="preserve"> (Aspen group of companies)</w:t>
      </w:r>
      <w:r w:rsidR="008F1DA8" w:rsidRPr="004112AB">
        <w:rPr>
          <w:rFonts w:cstheme="minorHAnsi"/>
          <w:sz w:val="24"/>
          <w:szCs w:val="24"/>
        </w:rPr>
        <w:t>.</w:t>
      </w:r>
    </w:p>
    <w:p w14:paraId="3FE95EB7" w14:textId="7049FF5A" w:rsidR="00A67A6E" w:rsidRPr="004112AB" w:rsidRDefault="006F5DC4" w:rsidP="00646E12">
      <w:pPr>
        <w:autoSpaceDE w:val="0"/>
        <w:autoSpaceDN w:val="0"/>
        <w:adjustRightInd w:val="0"/>
        <w:spacing w:after="0" w:line="240" w:lineRule="auto"/>
        <w:ind w:right="-270"/>
        <w:rPr>
          <w:rFonts w:cstheme="minorHAnsi"/>
          <w:sz w:val="24"/>
          <w:szCs w:val="24"/>
        </w:rPr>
      </w:pPr>
      <w:r w:rsidRPr="004112AB">
        <w:rPr>
          <w:rFonts w:cstheme="minorHAnsi"/>
          <w:sz w:val="24"/>
          <w:szCs w:val="24"/>
        </w:rPr>
        <w:t>© 2023</w:t>
      </w:r>
      <w:r w:rsidR="00A67A6E" w:rsidRPr="004112AB">
        <w:rPr>
          <w:rFonts w:cstheme="minorHAnsi"/>
          <w:sz w:val="24"/>
          <w:szCs w:val="24"/>
        </w:rPr>
        <w:t xml:space="preserve"> Aspen </w:t>
      </w:r>
      <w:r w:rsidR="005F558D" w:rsidRPr="004112AB">
        <w:rPr>
          <w:rFonts w:cstheme="minorHAnsi"/>
          <w:sz w:val="24"/>
          <w:szCs w:val="24"/>
        </w:rPr>
        <w:t>კომპანიების ჯგუფი ან მისი ლიცენზიარი</w:t>
      </w:r>
      <w:r w:rsidR="00A67A6E" w:rsidRPr="004112AB">
        <w:rPr>
          <w:rFonts w:cstheme="minorHAnsi"/>
          <w:sz w:val="24"/>
          <w:szCs w:val="24"/>
        </w:rPr>
        <w:t>.</w:t>
      </w:r>
    </w:p>
    <w:p w14:paraId="76E36785" w14:textId="6D5C1AB2" w:rsidR="00A67A6E" w:rsidRPr="004112AB" w:rsidRDefault="005F558D" w:rsidP="00646E12">
      <w:pPr>
        <w:autoSpaceDE w:val="0"/>
        <w:autoSpaceDN w:val="0"/>
        <w:adjustRightInd w:val="0"/>
        <w:spacing w:after="0" w:line="240" w:lineRule="auto"/>
        <w:ind w:right="-270"/>
        <w:rPr>
          <w:rFonts w:cstheme="minorHAnsi"/>
          <w:sz w:val="24"/>
          <w:szCs w:val="24"/>
        </w:rPr>
      </w:pPr>
      <w:r w:rsidRPr="004112AB">
        <w:rPr>
          <w:rFonts w:cstheme="minorHAnsi"/>
          <w:sz w:val="24"/>
          <w:szCs w:val="24"/>
        </w:rPr>
        <w:t>ყველა უფლება დაცულია</w:t>
      </w:r>
      <w:r w:rsidR="00A67A6E" w:rsidRPr="004112AB">
        <w:rPr>
          <w:rFonts w:cstheme="minorHAnsi"/>
          <w:sz w:val="24"/>
          <w:szCs w:val="24"/>
        </w:rPr>
        <w:t>.</w:t>
      </w:r>
    </w:p>
    <w:p w14:paraId="1A675B56" w14:textId="4D913A1C" w:rsidR="00B051DD" w:rsidRPr="004112AB" w:rsidRDefault="00B051DD" w:rsidP="00646E12">
      <w:pPr>
        <w:spacing w:line="240" w:lineRule="auto"/>
        <w:ind w:right="-270"/>
        <w:rPr>
          <w:rFonts w:cstheme="minorHAnsi"/>
          <w:b/>
          <w:sz w:val="24"/>
          <w:szCs w:val="24"/>
        </w:rPr>
      </w:pPr>
    </w:p>
    <w:sectPr w:rsidR="00B051DD" w:rsidRPr="004112AB" w:rsidSect="00646E12">
      <w:footerReference w:type="default" r:id="rId8"/>
      <w:pgSz w:w="12240" w:h="15840"/>
      <w:pgMar w:top="1080" w:right="1440" w:bottom="990" w:left="1440" w:header="720" w:footer="2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71480" w14:textId="77777777" w:rsidR="005F5554" w:rsidRDefault="005F5554" w:rsidP="00646E12">
      <w:pPr>
        <w:spacing w:after="0" w:line="240" w:lineRule="auto"/>
      </w:pPr>
      <w:r>
        <w:separator/>
      </w:r>
    </w:p>
  </w:endnote>
  <w:endnote w:type="continuationSeparator" w:id="0">
    <w:p w14:paraId="0CB7437E" w14:textId="77777777" w:rsidR="005F5554" w:rsidRDefault="005F5554" w:rsidP="00646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303184"/>
      <w:docPartObj>
        <w:docPartGallery w:val="Page Numbers (Bottom of Page)"/>
        <w:docPartUnique/>
      </w:docPartObj>
    </w:sdtPr>
    <w:sdtEndPr>
      <w:rPr>
        <w:sz w:val="18"/>
        <w:szCs w:val="18"/>
      </w:rPr>
    </w:sdtEndPr>
    <w:sdtContent>
      <w:p w14:paraId="1C9D1E62" w14:textId="4B0B212D" w:rsidR="00646E12" w:rsidRPr="00646E12" w:rsidRDefault="00646E12">
        <w:pPr>
          <w:pStyle w:val="Footer"/>
          <w:jc w:val="right"/>
          <w:rPr>
            <w:sz w:val="18"/>
            <w:szCs w:val="18"/>
          </w:rPr>
        </w:pPr>
        <w:r w:rsidRPr="00646E12">
          <w:rPr>
            <w:noProof w:val="0"/>
            <w:sz w:val="18"/>
            <w:szCs w:val="18"/>
          </w:rPr>
          <w:fldChar w:fldCharType="begin"/>
        </w:r>
        <w:r w:rsidRPr="00646E12">
          <w:rPr>
            <w:sz w:val="18"/>
            <w:szCs w:val="18"/>
          </w:rPr>
          <w:instrText xml:space="preserve"> PAGE   \* MERGEFORMAT </w:instrText>
        </w:r>
        <w:r w:rsidRPr="00646E12">
          <w:rPr>
            <w:noProof w:val="0"/>
            <w:sz w:val="18"/>
            <w:szCs w:val="18"/>
          </w:rPr>
          <w:fldChar w:fldCharType="separate"/>
        </w:r>
        <w:r w:rsidR="00B875E6">
          <w:rPr>
            <w:sz w:val="18"/>
            <w:szCs w:val="18"/>
          </w:rPr>
          <w:t>7</w:t>
        </w:r>
        <w:r w:rsidRPr="00646E12">
          <w:rPr>
            <w:sz w:val="18"/>
            <w:szCs w:val="18"/>
          </w:rPr>
          <w:fldChar w:fldCharType="end"/>
        </w:r>
      </w:p>
    </w:sdtContent>
  </w:sdt>
  <w:p w14:paraId="4AA1F839" w14:textId="77777777" w:rsidR="00646E12" w:rsidRDefault="00646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1C8F4" w14:textId="77777777" w:rsidR="005F5554" w:rsidRDefault="005F5554" w:rsidP="00646E12">
      <w:pPr>
        <w:spacing w:after="0" w:line="240" w:lineRule="auto"/>
      </w:pPr>
      <w:r>
        <w:separator/>
      </w:r>
    </w:p>
  </w:footnote>
  <w:footnote w:type="continuationSeparator" w:id="0">
    <w:p w14:paraId="6E85DBF1" w14:textId="77777777" w:rsidR="005F5554" w:rsidRDefault="005F5554" w:rsidP="00646E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5211A"/>
    <w:multiLevelType w:val="hybridMultilevel"/>
    <w:tmpl w:val="55EA4B7E"/>
    <w:lvl w:ilvl="0" w:tplc="9C28143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C202F0"/>
    <w:multiLevelType w:val="hybridMultilevel"/>
    <w:tmpl w:val="DC44D6E6"/>
    <w:lvl w:ilvl="0" w:tplc="9C28143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E10243"/>
    <w:multiLevelType w:val="hybridMultilevel"/>
    <w:tmpl w:val="ED2EC3A4"/>
    <w:lvl w:ilvl="0" w:tplc="9C28143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844408">
    <w:abstractNumId w:val="0"/>
  </w:num>
  <w:num w:numId="2" w16cid:durableId="72970106">
    <w:abstractNumId w:val="1"/>
  </w:num>
  <w:num w:numId="3" w16cid:durableId="1739011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A6E"/>
    <w:rsid w:val="0002411D"/>
    <w:rsid w:val="0003170B"/>
    <w:rsid w:val="00090FCA"/>
    <w:rsid w:val="00094C8C"/>
    <w:rsid w:val="001023AD"/>
    <w:rsid w:val="001E155E"/>
    <w:rsid w:val="001F1280"/>
    <w:rsid w:val="001F3D23"/>
    <w:rsid w:val="001F3FAD"/>
    <w:rsid w:val="00273341"/>
    <w:rsid w:val="002978FC"/>
    <w:rsid w:val="002D01CD"/>
    <w:rsid w:val="00301E0F"/>
    <w:rsid w:val="00365419"/>
    <w:rsid w:val="00382A4A"/>
    <w:rsid w:val="003F05C9"/>
    <w:rsid w:val="004034AF"/>
    <w:rsid w:val="00403698"/>
    <w:rsid w:val="004112AB"/>
    <w:rsid w:val="00442F14"/>
    <w:rsid w:val="00463300"/>
    <w:rsid w:val="00475C85"/>
    <w:rsid w:val="00483802"/>
    <w:rsid w:val="00504D0C"/>
    <w:rsid w:val="00530A98"/>
    <w:rsid w:val="00531779"/>
    <w:rsid w:val="00555CFB"/>
    <w:rsid w:val="005825B5"/>
    <w:rsid w:val="005B70CA"/>
    <w:rsid w:val="005E1977"/>
    <w:rsid w:val="005F5554"/>
    <w:rsid w:val="005F558D"/>
    <w:rsid w:val="0063278B"/>
    <w:rsid w:val="006336E9"/>
    <w:rsid w:val="00645036"/>
    <w:rsid w:val="00646E12"/>
    <w:rsid w:val="0065768E"/>
    <w:rsid w:val="006C73E5"/>
    <w:rsid w:val="006E3D56"/>
    <w:rsid w:val="006F5DC4"/>
    <w:rsid w:val="00783A13"/>
    <w:rsid w:val="007E03C7"/>
    <w:rsid w:val="00834CD8"/>
    <w:rsid w:val="00854CF0"/>
    <w:rsid w:val="00873721"/>
    <w:rsid w:val="008846A8"/>
    <w:rsid w:val="008B5EC8"/>
    <w:rsid w:val="008C09E5"/>
    <w:rsid w:val="008D0B6D"/>
    <w:rsid w:val="008F1DA8"/>
    <w:rsid w:val="008F3CCF"/>
    <w:rsid w:val="009108F2"/>
    <w:rsid w:val="009643AB"/>
    <w:rsid w:val="009A2B4A"/>
    <w:rsid w:val="00A4500B"/>
    <w:rsid w:val="00A67A6E"/>
    <w:rsid w:val="00A845B8"/>
    <w:rsid w:val="00A91ECE"/>
    <w:rsid w:val="00AF3D37"/>
    <w:rsid w:val="00B051DD"/>
    <w:rsid w:val="00B12611"/>
    <w:rsid w:val="00B255D5"/>
    <w:rsid w:val="00B875E6"/>
    <w:rsid w:val="00B947C3"/>
    <w:rsid w:val="00BA6619"/>
    <w:rsid w:val="00BD4A71"/>
    <w:rsid w:val="00C31D50"/>
    <w:rsid w:val="00C60AC6"/>
    <w:rsid w:val="00C64FE1"/>
    <w:rsid w:val="00C90BED"/>
    <w:rsid w:val="00CA70A7"/>
    <w:rsid w:val="00CC0A09"/>
    <w:rsid w:val="00D270E4"/>
    <w:rsid w:val="00D51AA9"/>
    <w:rsid w:val="00D53325"/>
    <w:rsid w:val="00D57C13"/>
    <w:rsid w:val="00D74D0E"/>
    <w:rsid w:val="00DC54EE"/>
    <w:rsid w:val="00E35499"/>
    <w:rsid w:val="00E84310"/>
    <w:rsid w:val="00F22E1B"/>
    <w:rsid w:val="00F43877"/>
    <w:rsid w:val="00F54B5D"/>
    <w:rsid w:val="00F92663"/>
    <w:rsid w:val="00FD7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159A8"/>
  <w15:chartTrackingRefBased/>
  <w15:docId w15:val="{A9A789B1-41EF-4A32-9A49-8EF75339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CFB"/>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7A6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46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E12"/>
  </w:style>
  <w:style w:type="paragraph" w:styleId="Footer">
    <w:name w:val="footer"/>
    <w:basedOn w:val="Normal"/>
    <w:link w:val="FooterChar"/>
    <w:uiPriority w:val="99"/>
    <w:unhideWhenUsed/>
    <w:rsid w:val="00646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E12"/>
  </w:style>
  <w:style w:type="paragraph" w:styleId="BalloonText">
    <w:name w:val="Balloon Text"/>
    <w:basedOn w:val="Normal"/>
    <w:link w:val="BalloonTextChar"/>
    <w:uiPriority w:val="99"/>
    <w:semiHidden/>
    <w:unhideWhenUsed/>
    <w:rsid w:val="00475C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C85"/>
    <w:rPr>
      <w:rFonts w:ascii="Segoe UI" w:hAnsi="Segoe UI" w:cs="Segoe UI"/>
      <w:sz w:val="18"/>
      <w:szCs w:val="18"/>
    </w:rPr>
  </w:style>
  <w:style w:type="character" w:styleId="Emphasis">
    <w:name w:val="Emphasis"/>
    <w:basedOn w:val="DefaultParagraphFont"/>
    <w:uiPriority w:val="20"/>
    <w:qFormat/>
    <w:rsid w:val="002978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6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DBA7D-33EA-4AD3-83B4-F58C413F8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8</Pages>
  <Words>2487</Words>
  <Characters>14180</Characters>
  <Application>Microsoft Office Word</Application>
  <DocSecurity>0</DocSecurity>
  <Lines>118</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 Birkaya</dc:creator>
  <cp:keywords/>
  <dc:description/>
  <cp:lastModifiedBy>Eteri Chokheli</cp:lastModifiedBy>
  <cp:revision>38</cp:revision>
  <cp:lastPrinted>2024-05-11T15:54:00Z</cp:lastPrinted>
  <dcterms:created xsi:type="dcterms:W3CDTF">2021-04-28T17:23:00Z</dcterms:created>
  <dcterms:modified xsi:type="dcterms:W3CDTF">2026-08-25T07:44:00Z</dcterms:modified>
</cp:coreProperties>
</file>