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DC673" w14:textId="266D70DE" w:rsidR="006952FF" w:rsidRDefault="00E54B8E" w:rsidP="00D86C4E">
      <w:pPr>
        <w:pStyle w:val="P68B1DB1-Normal1"/>
        <w:jc w:val="both"/>
      </w:pPr>
      <w:proofErr w:type="spellStart"/>
      <w:r>
        <w:t>ლორისტა</w:t>
      </w:r>
      <w:proofErr w:type="spellEnd"/>
      <w:r>
        <w:rPr>
          <w:vertAlign w:val="superscript"/>
        </w:rPr>
        <w:t xml:space="preserve">® </w:t>
      </w:r>
    </w:p>
    <w:p w14:paraId="58A4586C" w14:textId="4F8FAA39" w:rsidR="006952FF" w:rsidRDefault="00E54B8E" w:rsidP="00D86C4E">
      <w:pPr>
        <w:pStyle w:val="P68B1DB1-Normal2"/>
        <w:jc w:val="both"/>
      </w:pPr>
      <w:proofErr w:type="spellStart"/>
      <w:r>
        <w:t>ლოზარტანი</w:t>
      </w:r>
      <w:proofErr w:type="spellEnd"/>
    </w:p>
    <w:p w14:paraId="558221AD" w14:textId="7C52C2EF" w:rsidR="006952FF" w:rsidRDefault="006952FF" w:rsidP="00D86C4E">
      <w:pPr>
        <w:jc w:val="both"/>
        <w:rPr>
          <w:rFonts w:ascii="Sylfaen" w:hAnsi="Sylfaen"/>
        </w:rPr>
      </w:pPr>
    </w:p>
    <w:p w14:paraId="1BA54075" w14:textId="0AFA0453" w:rsidR="006952FF" w:rsidRDefault="00E54B8E" w:rsidP="00520312">
      <w:pPr>
        <w:pStyle w:val="P68B1DB1-Normal2"/>
        <w:jc w:val="center"/>
        <w:rPr>
          <w:b/>
          <w:bCs/>
        </w:rPr>
      </w:pPr>
      <w:r w:rsidRPr="00520312">
        <w:rPr>
          <w:b/>
          <w:bCs/>
        </w:rPr>
        <w:t>გამოყენების ინსტრუქცია</w:t>
      </w:r>
    </w:p>
    <w:p w14:paraId="5E2FA7DB" w14:textId="77777777" w:rsidR="00520312" w:rsidRPr="00520312" w:rsidRDefault="00520312" w:rsidP="00520312">
      <w:pPr>
        <w:pStyle w:val="P68B1DB1-Normal2"/>
        <w:jc w:val="center"/>
        <w:rPr>
          <w:b/>
          <w:bCs/>
        </w:rPr>
      </w:pPr>
    </w:p>
    <w:p w14:paraId="7174EA78" w14:textId="77777777" w:rsidR="00520312" w:rsidRPr="00520312" w:rsidRDefault="00520312" w:rsidP="00D86C4E">
      <w:pPr>
        <w:pStyle w:val="P68B1DB1-Normal2"/>
        <w:jc w:val="both"/>
        <w:rPr>
          <w:b/>
          <w:bCs/>
        </w:rPr>
      </w:pPr>
    </w:p>
    <w:p w14:paraId="178EC931" w14:textId="77777777" w:rsidR="006952FF" w:rsidRDefault="00E54B8E" w:rsidP="00D86C4E">
      <w:pPr>
        <w:pStyle w:val="P68B1DB1-Normal1"/>
        <w:jc w:val="both"/>
      </w:pPr>
      <w:r>
        <w:t xml:space="preserve">სავაჭრო დასახელება </w:t>
      </w:r>
    </w:p>
    <w:p w14:paraId="5AAC8B6B" w14:textId="77777777" w:rsidR="006952FF" w:rsidRDefault="00E54B8E" w:rsidP="00D86C4E">
      <w:pPr>
        <w:pStyle w:val="P68B1DB1-Normal2"/>
        <w:jc w:val="both"/>
      </w:pPr>
      <w:proofErr w:type="spellStart"/>
      <w:r>
        <w:t>ლორისტა</w:t>
      </w:r>
      <w:proofErr w:type="spellEnd"/>
      <w:r>
        <w:t xml:space="preserve"> (</w:t>
      </w:r>
      <w:proofErr w:type="spellStart"/>
      <w:r>
        <w:t>Lorista</w:t>
      </w:r>
      <w:proofErr w:type="spellEnd"/>
      <w:r>
        <w:t>)</w:t>
      </w:r>
    </w:p>
    <w:p w14:paraId="2DA68100" w14:textId="01FB0F83" w:rsidR="006952FF" w:rsidRDefault="00E54B8E" w:rsidP="00D86C4E">
      <w:pPr>
        <w:pStyle w:val="P68B1DB1-Normal2"/>
        <w:jc w:val="both"/>
      </w:pPr>
      <w:r>
        <w:t xml:space="preserve"> </w:t>
      </w:r>
    </w:p>
    <w:p w14:paraId="3F329745" w14:textId="77777777" w:rsidR="006952FF" w:rsidRDefault="00E54B8E" w:rsidP="00D86C4E">
      <w:pPr>
        <w:pStyle w:val="P68B1DB1-Normal1"/>
        <w:jc w:val="both"/>
      </w:pPr>
      <w:r>
        <w:t xml:space="preserve">საერთაშორისო </w:t>
      </w:r>
      <w:proofErr w:type="spellStart"/>
      <w:r>
        <w:t>არაპატენტირებული</w:t>
      </w:r>
      <w:proofErr w:type="spellEnd"/>
      <w:r>
        <w:t xml:space="preserve"> დასახელება</w:t>
      </w:r>
    </w:p>
    <w:p w14:paraId="286D7977" w14:textId="77777777" w:rsidR="006952FF" w:rsidRDefault="00E54B8E" w:rsidP="00D86C4E">
      <w:pPr>
        <w:pStyle w:val="P68B1DB1-Normal2"/>
        <w:jc w:val="both"/>
      </w:pPr>
      <w:proofErr w:type="spellStart"/>
      <w:r>
        <w:t>ლოზარტანი</w:t>
      </w:r>
      <w:proofErr w:type="spellEnd"/>
      <w:r>
        <w:t xml:space="preserve"> (</w:t>
      </w:r>
      <w:proofErr w:type="spellStart"/>
      <w:r>
        <w:t>losartan</w:t>
      </w:r>
      <w:proofErr w:type="spellEnd"/>
      <w:r>
        <w:t>)</w:t>
      </w:r>
    </w:p>
    <w:p w14:paraId="67AFB530" w14:textId="4E737A95" w:rsidR="006952FF" w:rsidRDefault="00E54B8E" w:rsidP="00D86C4E">
      <w:pPr>
        <w:pStyle w:val="P68B1DB1-Normal2"/>
        <w:jc w:val="both"/>
      </w:pPr>
      <w:r>
        <w:t xml:space="preserve"> </w:t>
      </w:r>
    </w:p>
    <w:p w14:paraId="5AC6EA9F" w14:textId="12E2168C" w:rsidR="006952FF" w:rsidRDefault="00E54B8E" w:rsidP="00D86C4E">
      <w:pPr>
        <w:pStyle w:val="P68B1DB1-Normal1"/>
        <w:jc w:val="both"/>
      </w:pPr>
      <w:proofErr w:type="spellStart"/>
      <w:r>
        <w:t>სამკურნალწამლო</w:t>
      </w:r>
      <w:proofErr w:type="spellEnd"/>
      <w:r>
        <w:t xml:space="preserve"> ფორმა</w:t>
      </w:r>
    </w:p>
    <w:p w14:paraId="0AD98BCC" w14:textId="77777777" w:rsidR="006952FF" w:rsidRDefault="00E54B8E" w:rsidP="00D86C4E">
      <w:pPr>
        <w:pStyle w:val="P68B1DB1-Normal2"/>
        <w:jc w:val="both"/>
      </w:pPr>
      <w:proofErr w:type="spellStart"/>
      <w:r>
        <w:t>აპკიანი</w:t>
      </w:r>
      <w:proofErr w:type="spellEnd"/>
      <w:r>
        <w:t xml:space="preserve"> გარსით დაფარული ტაბლეტები. </w:t>
      </w:r>
    </w:p>
    <w:p w14:paraId="2140EA82" w14:textId="77777777" w:rsidR="006952FF" w:rsidRDefault="006952FF" w:rsidP="00D86C4E">
      <w:pPr>
        <w:jc w:val="both"/>
        <w:rPr>
          <w:rFonts w:ascii="Sylfaen" w:hAnsi="Sylfaen"/>
        </w:rPr>
      </w:pPr>
    </w:p>
    <w:p w14:paraId="1C23BD17" w14:textId="0687C298" w:rsidR="006952FF" w:rsidRDefault="00E54B8E" w:rsidP="00D86C4E">
      <w:pPr>
        <w:pStyle w:val="P68B1DB1-Normal1"/>
        <w:jc w:val="both"/>
      </w:pPr>
      <w:r>
        <w:t xml:space="preserve">შემადგენლობა </w:t>
      </w:r>
    </w:p>
    <w:p w14:paraId="56D4C21D" w14:textId="77777777" w:rsidR="006952FF" w:rsidRPr="00D86C4E" w:rsidRDefault="00E54B8E" w:rsidP="00D86C4E">
      <w:pPr>
        <w:pStyle w:val="P68B1DB1-Normal2"/>
        <w:jc w:val="both"/>
        <w:rPr>
          <w:b/>
          <w:bCs/>
        </w:rPr>
      </w:pPr>
      <w:r w:rsidRPr="00D86C4E">
        <w:rPr>
          <w:b/>
          <w:bCs/>
        </w:rPr>
        <w:t xml:space="preserve">1 ტაბლეტი შეიცავს: </w:t>
      </w:r>
    </w:p>
    <w:p w14:paraId="2219E157" w14:textId="77777777" w:rsidR="006952FF" w:rsidRDefault="00E54B8E" w:rsidP="00D86C4E">
      <w:pPr>
        <w:pStyle w:val="P68B1DB1-Normal2"/>
        <w:jc w:val="both"/>
      </w:pPr>
      <w:r>
        <w:rPr>
          <w:i/>
        </w:rPr>
        <w:t>აქტიური ნივთიერება:</w:t>
      </w:r>
      <w:r>
        <w:t xml:space="preserve"> 25 </w:t>
      </w:r>
      <w:proofErr w:type="spellStart"/>
      <w:r>
        <w:t>მგ</w:t>
      </w:r>
      <w:proofErr w:type="spellEnd"/>
      <w:r>
        <w:t xml:space="preserve">, 50 </w:t>
      </w:r>
      <w:proofErr w:type="spellStart"/>
      <w:r>
        <w:t>მგ</w:t>
      </w:r>
      <w:proofErr w:type="spellEnd"/>
      <w:r>
        <w:t xml:space="preserve">, 100 </w:t>
      </w:r>
      <w:proofErr w:type="spellStart"/>
      <w:r>
        <w:t>მგ</w:t>
      </w:r>
      <w:proofErr w:type="spellEnd"/>
      <w:r>
        <w:t xml:space="preserve"> კალიუმის </w:t>
      </w:r>
      <w:proofErr w:type="spellStart"/>
      <w:r>
        <w:t>ლოზარტანი</w:t>
      </w:r>
      <w:proofErr w:type="spellEnd"/>
      <w:r>
        <w:t xml:space="preserve">. </w:t>
      </w:r>
    </w:p>
    <w:p w14:paraId="55E6931B" w14:textId="2BB2BA6F" w:rsidR="006952FF" w:rsidRDefault="00E54B8E" w:rsidP="00D86C4E">
      <w:pPr>
        <w:pStyle w:val="P68B1DB1-Normal2"/>
        <w:jc w:val="both"/>
      </w:pPr>
      <w:r>
        <w:rPr>
          <w:i/>
        </w:rPr>
        <w:t>დამხმარე ნივთიერებები:</w:t>
      </w:r>
      <w:r>
        <w:t xml:space="preserve"> სიმინდის სახამებელი, </w:t>
      </w:r>
      <w:proofErr w:type="spellStart"/>
      <w:r>
        <w:t>პრეჟელატინირებული</w:t>
      </w:r>
      <w:proofErr w:type="spellEnd"/>
      <w:r>
        <w:t xml:space="preserve"> სახამებელი, მიკროკრისტალური ცელულოზა, სილიციუმის უწყლო კოლოიდური </w:t>
      </w:r>
      <w:proofErr w:type="spellStart"/>
      <w:r>
        <w:t>დიოქსიდი</w:t>
      </w:r>
      <w:proofErr w:type="spellEnd"/>
      <w:r>
        <w:t xml:space="preserve">, მაგნიუმის </w:t>
      </w:r>
      <w:proofErr w:type="spellStart"/>
      <w:r>
        <w:t>სტეარატი</w:t>
      </w:r>
      <w:proofErr w:type="spellEnd"/>
      <w:r>
        <w:t xml:space="preserve">, ცელულოზა, ლაქტოზას </w:t>
      </w:r>
      <w:proofErr w:type="spellStart"/>
      <w:r>
        <w:t>მონოჰიდრატი</w:t>
      </w:r>
      <w:proofErr w:type="spellEnd"/>
      <w:r>
        <w:t xml:space="preserve">, </w:t>
      </w:r>
      <w:proofErr w:type="spellStart"/>
      <w:r>
        <w:t>ჰიპრომელოზა</w:t>
      </w:r>
      <w:proofErr w:type="spellEnd"/>
      <w:r>
        <w:t xml:space="preserve">, ტალკი, </w:t>
      </w:r>
      <w:proofErr w:type="spellStart"/>
      <w:r>
        <w:t>პროპილენგლიკოლი</w:t>
      </w:r>
      <w:proofErr w:type="spellEnd"/>
      <w:r>
        <w:t xml:space="preserve">, ტიტანის </w:t>
      </w:r>
      <w:proofErr w:type="spellStart"/>
      <w:r>
        <w:t>დიოქსიდი</w:t>
      </w:r>
      <w:proofErr w:type="spellEnd"/>
      <w:r>
        <w:t xml:space="preserve"> (E 171), საღებავი </w:t>
      </w:r>
      <w:proofErr w:type="spellStart"/>
      <w:r>
        <w:t>ქინოლინის</w:t>
      </w:r>
      <w:proofErr w:type="spellEnd"/>
      <w:r>
        <w:t xml:space="preserve"> ყვითელი* (E104). </w:t>
      </w:r>
    </w:p>
    <w:p w14:paraId="09A65E1C" w14:textId="12231452" w:rsidR="006952FF" w:rsidRDefault="00E54B8E" w:rsidP="00D86C4E">
      <w:pPr>
        <w:pStyle w:val="P68B1DB1-Normal2"/>
        <w:jc w:val="both"/>
      </w:pPr>
      <w:r>
        <w:t>*</w:t>
      </w:r>
      <w:proofErr w:type="spellStart"/>
      <w:r>
        <w:t>ქინოლინის</w:t>
      </w:r>
      <w:proofErr w:type="spellEnd"/>
      <w:r>
        <w:t xml:space="preserve"> ყვითელი გამოიყენება 25 </w:t>
      </w:r>
      <w:proofErr w:type="spellStart"/>
      <w:r>
        <w:t>მგ</w:t>
      </w:r>
      <w:proofErr w:type="spellEnd"/>
      <w:r>
        <w:t xml:space="preserve"> ტაბლეტების წარმოების დროს და არ გამოიყენება 50 და 100 </w:t>
      </w:r>
      <w:proofErr w:type="spellStart"/>
      <w:r>
        <w:t>მგ</w:t>
      </w:r>
      <w:proofErr w:type="spellEnd"/>
      <w:r>
        <w:t xml:space="preserve"> ტაბლეტების წარმოების დროს.</w:t>
      </w:r>
    </w:p>
    <w:p w14:paraId="66CF3ECA" w14:textId="77777777" w:rsidR="006952FF" w:rsidRDefault="006952FF" w:rsidP="00D86C4E">
      <w:pPr>
        <w:jc w:val="both"/>
        <w:rPr>
          <w:rFonts w:ascii="Sylfaen" w:hAnsi="Sylfaen"/>
        </w:rPr>
      </w:pPr>
    </w:p>
    <w:p w14:paraId="4E750FD8" w14:textId="37A8C3A5" w:rsidR="006952FF" w:rsidRDefault="00E54B8E" w:rsidP="00D86C4E">
      <w:pPr>
        <w:pStyle w:val="P68B1DB1-Normal1"/>
        <w:jc w:val="both"/>
      </w:pPr>
      <w:r>
        <w:t>აღწერა</w:t>
      </w:r>
    </w:p>
    <w:p w14:paraId="3B27A46F" w14:textId="77777777" w:rsidR="006952FF" w:rsidRDefault="00E54B8E" w:rsidP="00D86C4E">
      <w:pPr>
        <w:pStyle w:val="P68B1DB1-Normal2"/>
        <w:jc w:val="both"/>
      </w:pPr>
      <w:r w:rsidRPr="00D86C4E">
        <w:rPr>
          <w:b/>
          <w:bCs/>
          <w:u w:val="single"/>
        </w:rPr>
        <w:t xml:space="preserve">25 </w:t>
      </w:r>
      <w:proofErr w:type="spellStart"/>
      <w:r w:rsidRPr="00D86C4E">
        <w:rPr>
          <w:b/>
          <w:bCs/>
          <w:u w:val="single"/>
        </w:rPr>
        <w:t>მგ</w:t>
      </w:r>
      <w:proofErr w:type="spellEnd"/>
      <w:r w:rsidRPr="00D86C4E">
        <w:rPr>
          <w:b/>
          <w:bCs/>
          <w:u w:val="single"/>
        </w:rPr>
        <w:t xml:space="preserve"> ტაბლეტები.</w:t>
      </w:r>
      <w:r>
        <w:t xml:space="preserve"> ოვალური, ორივე მხრიდან ოდნავ ამოზნექილი, ყვითელი ფერის </w:t>
      </w:r>
      <w:proofErr w:type="spellStart"/>
      <w:r>
        <w:t>აპკიანი</w:t>
      </w:r>
      <w:proofErr w:type="spellEnd"/>
      <w:r>
        <w:t xml:space="preserve"> გარსით დაფარული ტაბლეტები, რომლებსაც ერთ მხარეს აქვს ჭრილი. </w:t>
      </w:r>
    </w:p>
    <w:p w14:paraId="7BEDA9BB" w14:textId="77777777" w:rsidR="006952FF" w:rsidRDefault="00E54B8E" w:rsidP="00D86C4E">
      <w:pPr>
        <w:pStyle w:val="P68B1DB1-Normal2"/>
        <w:jc w:val="both"/>
      </w:pPr>
      <w:r w:rsidRPr="00D86C4E">
        <w:rPr>
          <w:b/>
          <w:bCs/>
          <w:u w:val="single"/>
        </w:rPr>
        <w:t xml:space="preserve">50 </w:t>
      </w:r>
      <w:proofErr w:type="spellStart"/>
      <w:r w:rsidRPr="00D86C4E">
        <w:rPr>
          <w:b/>
          <w:bCs/>
          <w:u w:val="single"/>
        </w:rPr>
        <w:t>მგ</w:t>
      </w:r>
      <w:proofErr w:type="spellEnd"/>
      <w:r w:rsidRPr="00D86C4E">
        <w:rPr>
          <w:b/>
          <w:bCs/>
          <w:u w:val="single"/>
        </w:rPr>
        <w:t xml:space="preserve"> ტაბლეტები.</w:t>
      </w:r>
      <w:r>
        <w:t xml:space="preserve"> მრგვალი, ორივე მხრიდან ოდნავ ამოზნექილი, თეთრი ფერის </w:t>
      </w:r>
      <w:proofErr w:type="spellStart"/>
      <w:r>
        <w:t>აპკიანი</w:t>
      </w:r>
      <w:proofErr w:type="spellEnd"/>
      <w:r>
        <w:t xml:space="preserve"> გარსით დაფარული ტაბლეტები, ერთ მხარეს ჭრილით, აქვს გამყოფი ხაზი. </w:t>
      </w:r>
    </w:p>
    <w:p w14:paraId="0E0D49E8" w14:textId="3E75A89A" w:rsidR="006952FF" w:rsidRDefault="00E54B8E" w:rsidP="00D86C4E">
      <w:pPr>
        <w:pStyle w:val="P68B1DB1-Normal2"/>
        <w:jc w:val="both"/>
      </w:pPr>
      <w:r w:rsidRPr="00D86C4E">
        <w:rPr>
          <w:b/>
          <w:bCs/>
          <w:u w:val="single"/>
        </w:rPr>
        <w:t xml:space="preserve">100 </w:t>
      </w:r>
      <w:proofErr w:type="spellStart"/>
      <w:r w:rsidRPr="00D86C4E">
        <w:rPr>
          <w:b/>
          <w:bCs/>
          <w:u w:val="single"/>
        </w:rPr>
        <w:t>მგ</w:t>
      </w:r>
      <w:proofErr w:type="spellEnd"/>
      <w:r w:rsidRPr="00D86C4E">
        <w:rPr>
          <w:b/>
          <w:bCs/>
          <w:u w:val="single"/>
        </w:rPr>
        <w:t xml:space="preserve"> ტაბლეტები.</w:t>
      </w:r>
      <w:r>
        <w:t xml:space="preserve"> ოვალური, ორივე მხრიდან ოდნავ ამოზნექილი, თეთრი ფერის </w:t>
      </w:r>
      <w:proofErr w:type="spellStart"/>
      <w:r>
        <w:t>აპკიანი</w:t>
      </w:r>
      <w:proofErr w:type="spellEnd"/>
      <w:r>
        <w:t xml:space="preserve"> გარსით დაფარული ტაბლეტები.</w:t>
      </w:r>
    </w:p>
    <w:p w14:paraId="42D1EE97" w14:textId="0ABAFE1C" w:rsidR="006952FF" w:rsidRDefault="006952FF" w:rsidP="00D86C4E">
      <w:pPr>
        <w:jc w:val="both"/>
        <w:rPr>
          <w:rFonts w:ascii="Sylfaen" w:hAnsi="Sylfaen"/>
        </w:rPr>
      </w:pPr>
    </w:p>
    <w:p w14:paraId="5123D4D0" w14:textId="77777777" w:rsidR="006952FF" w:rsidRDefault="00E54B8E" w:rsidP="00D86C4E">
      <w:pPr>
        <w:pStyle w:val="P68B1DB1-Normal1"/>
        <w:jc w:val="both"/>
      </w:pPr>
      <w:proofErr w:type="spellStart"/>
      <w:r>
        <w:t>ფარმაკოთერაპიული</w:t>
      </w:r>
      <w:proofErr w:type="spellEnd"/>
      <w:r>
        <w:t xml:space="preserve"> ჯგუფი</w:t>
      </w:r>
    </w:p>
    <w:p w14:paraId="42B33730" w14:textId="66A81517" w:rsidR="006952FF" w:rsidRDefault="00E54B8E" w:rsidP="00D86C4E">
      <w:pPr>
        <w:pStyle w:val="P68B1DB1-Normal2"/>
        <w:jc w:val="both"/>
      </w:pPr>
      <w:proofErr w:type="spellStart"/>
      <w:r>
        <w:t>ანგიოტენზინ</w:t>
      </w:r>
      <w:proofErr w:type="spellEnd"/>
      <w:r>
        <w:t xml:space="preserve"> II რეცეპტორების ანტაგონისტი. </w:t>
      </w:r>
      <w:proofErr w:type="spellStart"/>
      <w:r>
        <w:t>ათქ</w:t>
      </w:r>
      <w:proofErr w:type="spellEnd"/>
      <w:r>
        <w:t xml:space="preserve"> კოდი [СО9САО1].</w:t>
      </w:r>
    </w:p>
    <w:p w14:paraId="516C4B3C" w14:textId="428F3009" w:rsidR="006952FF" w:rsidRDefault="006952FF" w:rsidP="00D86C4E">
      <w:pPr>
        <w:jc w:val="both"/>
        <w:rPr>
          <w:rFonts w:ascii="Sylfaen" w:hAnsi="Sylfaen"/>
        </w:rPr>
      </w:pPr>
    </w:p>
    <w:p w14:paraId="244BB034" w14:textId="77777777" w:rsidR="006952FF" w:rsidRDefault="00E54B8E" w:rsidP="00D86C4E">
      <w:pPr>
        <w:pStyle w:val="P68B1DB1-Normal1"/>
        <w:jc w:val="both"/>
      </w:pPr>
      <w:r>
        <w:t>ფარმაკოლოგიური თვისებები</w:t>
      </w:r>
    </w:p>
    <w:p w14:paraId="06B388F8" w14:textId="77777777" w:rsidR="006952FF" w:rsidRDefault="00E54B8E" w:rsidP="00D86C4E">
      <w:pPr>
        <w:pStyle w:val="P68B1DB1-Normal3"/>
        <w:jc w:val="both"/>
      </w:pPr>
      <w:proofErr w:type="spellStart"/>
      <w:r>
        <w:t>ფარმაკოდინამიკა</w:t>
      </w:r>
      <w:proofErr w:type="spellEnd"/>
    </w:p>
    <w:p w14:paraId="25F4D8FC" w14:textId="77777777" w:rsidR="006952FF" w:rsidRDefault="00E54B8E" w:rsidP="00D86C4E">
      <w:pPr>
        <w:pStyle w:val="P68B1DB1-Normal2"/>
        <w:jc w:val="both"/>
      </w:pPr>
      <w:proofErr w:type="spellStart"/>
      <w:r>
        <w:t>ლოზარტანი</w:t>
      </w:r>
      <w:proofErr w:type="spellEnd"/>
      <w:r>
        <w:t xml:space="preserve"> -  </w:t>
      </w:r>
      <w:proofErr w:type="spellStart"/>
      <w:r>
        <w:t>ანგიოტენზინ</w:t>
      </w:r>
      <w:proofErr w:type="spellEnd"/>
      <w:r>
        <w:t xml:space="preserve"> II რეცეპტორების (AT</w:t>
      </w:r>
      <w:r>
        <w:rPr>
          <w:vertAlign w:val="subscript"/>
        </w:rPr>
        <w:t>1</w:t>
      </w:r>
      <w:r>
        <w:t xml:space="preserve"> ტიპის) ანტაგონისტი </w:t>
      </w:r>
      <w:proofErr w:type="spellStart"/>
      <w:r>
        <w:t>პერორალური</w:t>
      </w:r>
      <w:proofErr w:type="spellEnd"/>
      <w:r>
        <w:t xml:space="preserve"> გამოყენებისათვის. ძლიერი </w:t>
      </w:r>
      <w:proofErr w:type="spellStart"/>
      <w:r>
        <w:t>ვაზოკონსტრიქტორი</w:t>
      </w:r>
      <w:proofErr w:type="spellEnd"/>
      <w:r>
        <w:t xml:space="preserve"> </w:t>
      </w:r>
      <w:proofErr w:type="spellStart"/>
      <w:r>
        <w:t>ანგიოტენზინ</w:t>
      </w:r>
      <w:proofErr w:type="spellEnd"/>
      <w:r>
        <w:t xml:space="preserve"> II წარმოადგენს </w:t>
      </w:r>
      <w:proofErr w:type="spellStart"/>
      <w:r>
        <w:t>რენინ-ანგიოტენზინის</w:t>
      </w:r>
      <w:proofErr w:type="spellEnd"/>
      <w:r>
        <w:t xml:space="preserve"> სისტემის მთავარ აქტიურ ჰორმონს და მნიშვნელოვან ფაქტორს </w:t>
      </w:r>
      <w:proofErr w:type="spellStart"/>
      <w:r>
        <w:t>ჰიპერტენზიის</w:t>
      </w:r>
      <w:proofErr w:type="spellEnd"/>
      <w:r>
        <w:t xml:space="preserve"> </w:t>
      </w:r>
      <w:proofErr w:type="spellStart"/>
      <w:r>
        <w:t>პათოფიზიოლოგიაში</w:t>
      </w:r>
      <w:proofErr w:type="spellEnd"/>
      <w:r>
        <w:t xml:space="preserve">. </w:t>
      </w:r>
      <w:proofErr w:type="spellStart"/>
      <w:r>
        <w:t>ანგიოტენზინ</w:t>
      </w:r>
      <w:proofErr w:type="spellEnd"/>
      <w:r>
        <w:t xml:space="preserve"> II უკავშირდება AT</w:t>
      </w:r>
      <w:r>
        <w:rPr>
          <w:vertAlign w:val="subscript"/>
        </w:rPr>
        <w:t>1</w:t>
      </w:r>
      <w:r>
        <w:t xml:space="preserve"> რეცეპტორს, რომელიც გვხვდება </w:t>
      </w:r>
      <w:r>
        <w:lastRenderedPageBreak/>
        <w:t xml:space="preserve">მრავალ ქსოვილში (მაგალითად, სისხლძარღვების გლუვ კუნთებში, თირკმელზედა ჯირკვლებში, თირკმელებში და გულში) და იწვევს მრავალ მნიშვნელოვან ბიოლოგიურ ეფექტს, მათ შორის </w:t>
      </w:r>
      <w:proofErr w:type="spellStart"/>
      <w:r>
        <w:t>ვასკონსტრიქციას</w:t>
      </w:r>
      <w:proofErr w:type="spellEnd"/>
      <w:r>
        <w:t xml:space="preserve"> და </w:t>
      </w:r>
      <w:proofErr w:type="spellStart"/>
      <w:r>
        <w:t>ალდოსტერონის</w:t>
      </w:r>
      <w:proofErr w:type="spellEnd"/>
      <w:r>
        <w:t xml:space="preserve"> </w:t>
      </w:r>
      <w:proofErr w:type="spellStart"/>
      <w:r>
        <w:t>გამონთავისუფლებას</w:t>
      </w:r>
      <w:proofErr w:type="spellEnd"/>
      <w:r>
        <w:t xml:space="preserve">. </w:t>
      </w:r>
      <w:proofErr w:type="spellStart"/>
      <w:r>
        <w:t>ანგიოტენზინ</w:t>
      </w:r>
      <w:proofErr w:type="spellEnd"/>
      <w:r>
        <w:t xml:space="preserve"> II ასევე ასტიმულირებს </w:t>
      </w:r>
      <w:proofErr w:type="spellStart"/>
      <w:r>
        <w:t>გლუვკუნთოვანი</w:t>
      </w:r>
      <w:proofErr w:type="spellEnd"/>
      <w:r>
        <w:t xml:space="preserve"> უჯრედების </w:t>
      </w:r>
      <w:proofErr w:type="spellStart"/>
      <w:r>
        <w:t>პროლიფერაციას</w:t>
      </w:r>
      <w:proofErr w:type="spellEnd"/>
      <w:r>
        <w:t>.</w:t>
      </w:r>
    </w:p>
    <w:p w14:paraId="2AF871DE" w14:textId="36D8DBC7" w:rsidR="006952FF" w:rsidRDefault="00E54B8E" w:rsidP="00D86C4E">
      <w:pPr>
        <w:pStyle w:val="P68B1DB1-Normal2"/>
        <w:jc w:val="both"/>
      </w:pPr>
      <w:proofErr w:type="spellStart"/>
      <w:r>
        <w:t>ლოზარტანი</w:t>
      </w:r>
      <w:proofErr w:type="spellEnd"/>
      <w:r>
        <w:t xml:space="preserve"> სელექციურად უკავშირდება AT</w:t>
      </w:r>
      <w:r>
        <w:rPr>
          <w:vertAlign w:val="subscript"/>
        </w:rPr>
        <w:t>1</w:t>
      </w:r>
      <w:r>
        <w:t xml:space="preserve"> რეცეპტორს. </w:t>
      </w:r>
      <w:proofErr w:type="spellStart"/>
      <w:r>
        <w:t>In</w:t>
      </w:r>
      <w:proofErr w:type="spellEnd"/>
      <w:r>
        <w:t xml:space="preserve"> </w:t>
      </w:r>
      <w:proofErr w:type="spellStart"/>
      <w:r>
        <w:t>vitro</w:t>
      </w:r>
      <w:proofErr w:type="spellEnd"/>
      <w:r>
        <w:t xml:space="preserve"> და </w:t>
      </w:r>
      <w:proofErr w:type="spellStart"/>
      <w:r>
        <w:t>in</w:t>
      </w:r>
      <w:proofErr w:type="spellEnd"/>
      <w:r>
        <w:t xml:space="preserve"> </w:t>
      </w:r>
      <w:proofErr w:type="spellStart"/>
      <w:r>
        <w:t>vivo</w:t>
      </w:r>
      <w:proofErr w:type="spellEnd"/>
      <w:r>
        <w:t xml:space="preserve"> პირობებში </w:t>
      </w:r>
      <w:proofErr w:type="spellStart"/>
      <w:r>
        <w:t>ლოზარტანი</w:t>
      </w:r>
      <w:proofErr w:type="spellEnd"/>
      <w:r>
        <w:t xml:space="preserve"> და მისი ფარმაკოლოგიურად აქტიური </w:t>
      </w:r>
      <w:proofErr w:type="spellStart"/>
      <w:r>
        <w:t>კარბოქსილის</w:t>
      </w:r>
      <w:proofErr w:type="spellEnd"/>
      <w:r>
        <w:t xml:space="preserve"> მეტაბოლიტი - E-3174 ბლოკავს </w:t>
      </w:r>
      <w:proofErr w:type="spellStart"/>
      <w:r>
        <w:t>ანგიოტენზინ</w:t>
      </w:r>
      <w:proofErr w:type="spellEnd"/>
      <w:r>
        <w:t xml:space="preserve"> II-ის ყველა ფიზიოლოგიურად მნიშვნელოვან ეფექტს, მისი სინთეზის წყაროს ან გზის მიუხედავად.</w:t>
      </w:r>
    </w:p>
    <w:p w14:paraId="18350B6C" w14:textId="46476CE8" w:rsidR="006952FF" w:rsidRDefault="00E54B8E" w:rsidP="00D86C4E">
      <w:pPr>
        <w:pStyle w:val="P68B1DB1-Normal2"/>
        <w:jc w:val="both"/>
      </w:pPr>
      <w:proofErr w:type="spellStart"/>
      <w:r>
        <w:t>ლოზარტანი</w:t>
      </w:r>
      <w:proofErr w:type="spellEnd"/>
      <w:r>
        <w:t xml:space="preserve"> არ ახდენს </w:t>
      </w:r>
      <w:proofErr w:type="spellStart"/>
      <w:r>
        <w:t>აგონისტურ</w:t>
      </w:r>
      <w:proofErr w:type="spellEnd"/>
      <w:r>
        <w:t xml:space="preserve"> მოქმედებას და არ ბლოკავს სხვა ჰორმონების რეცეპტორებს ან იონურ არხებს, რომლებიც მნიშვნელოვან როლს ასრულებენ გულ-სისხლძარღვთა სისტემის ფუნქციის რეგულირებაში. გარდა ამისა, </w:t>
      </w:r>
      <w:proofErr w:type="spellStart"/>
      <w:r>
        <w:t>ლოზარტანი</w:t>
      </w:r>
      <w:proofErr w:type="spellEnd"/>
      <w:r>
        <w:t xml:space="preserve"> არ თრგუნავს </w:t>
      </w:r>
      <w:proofErr w:type="spellStart"/>
      <w:r>
        <w:t>აგფ</w:t>
      </w:r>
      <w:proofErr w:type="spellEnd"/>
      <w:r>
        <w:t>-ს (</w:t>
      </w:r>
      <w:proofErr w:type="spellStart"/>
      <w:r>
        <w:t>კინინაზა</w:t>
      </w:r>
      <w:proofErr w:type="spellEnd"/>
      <w:r>
        <w:t xml:space="preserve"> II), ფერმენტს, რომელიც შლის </w:t>
      </w:r>
      <w:proofErr w:type="spellStart"/>
      <w:r>
        <w:t>ბრადიკინინს</w:t>
      </w:r>
      <w:proofErr w:type="spellEnd"/>
      <w:r>
        <w:t xml:space="preserve">. შესაბამისად, არ ხდება </w:t>
      </w:r>
      <w:proofErr w:type="spellStart"/>
      <w:r>
        <w:t>ბრადიკინინით</w:t>
      </w:r>
      <w:proofErr w:type="spellEnd"/>
      <w:r>
        <w:t xml:space="preserve"> განპირობებული გვერდითი ეფექტების გაძლიერება.</w:t>
      </w:r>
    </w:p>
    <w:p w14:paraId="4603E36F" w14:textId="5B2B57A7" w:rsidR="006952FF" w:rsidRDefault="00E54B8E" w:rsidP="00D86C4E">
      <w:pPr>
        <w:pStyle w:val="P68B1DB1-Normal2"/>
        <w:jc w:val="both"/>
      </w:pPr>
      <w:proofErr w:type="spellStart"/>
      <w:r>
        <w:t>ლოზარტანის</w:t>
      </w:r>
      <w:proofErr w:type="spellEnd"/>
      <w:r>
        <w:t xml:space="preserve"> გამოყენების დროს, </w:t>
      </w:r>
      <w:proofErr w:type="spellStart"/>
      <w:r>
        <w:t>რენინის</w:t>
      </w:r>
      <w:proofErr w:type="spellEnd"/>
      <w:r>
        <w:t xml:space="preserve"> სეკრეციაზე </w:t>
      </w:r>
      <w:proofErr w:type="spellStart"/>
      <w:r>
        <w:t>ანგიოტენზინ</w:t>
      </w:r>
      <w:proofErr w:type="spellEnd"/>
      <w:r>
        <w:t xml:space="preserve"> II-ის უარყოფითი უკურეაქციის აღმოფხვრა იწვევს სისხლის პლაზმაში </w:t>
      </w:r>
      <w:proofErr w:type="spellStart"/>
      <w:r>
        <w:t>რენინის</w:t>
      </w:r>
      <w:proofErr w:type="spellEnd"/>
      <w:r>
        <w:t xml:space="preserve"> აქტივობის (პრა) ზრდას. სისხლის პლაზმაში </w:t>
      </w:r>
      <w:proofErr w:type="spellStart"/>
      <w:r>
        <w:t>რენინის</w:t>
      </w:r>
      <w:proofErr w:type="spellEnd"/>
      <w:r>
        <w:t xml:space="preserve"> აქტივობის ზრდა იწვევს </w:t>
      </w:r>
      <w:proofErr w:type="spellStart"/>
      <w:r>
        <w:t>ანგიოტენზინ</w:t>
      </w:r>
      <w:proofErr w:type="spellEnd"/>
      <w:r>
        <w:t xml:space="preserve"> II–ის კონცენტრაციის მატებას სისხლის პლაზმაში. ამ მატების მიუხედავად, </w:t>
      </w:r>
      <w:proofErr w:type="spellStart"/>
      <w:r>
        <w:t>ანტიჰიპერტენზიული</w:t>
      </w:r>
      <w:proofErr w:type="spellEnd"/>
      <w:r>
        <w:t xml:space="preserve"> აქტივობა და სისხლის პლაზმაში </w:t>
      </w:r>
      <w:proofErr w:type="spellStart"/>
      <w:r>
        <w:t>ალდოსტერონის</w:t>
      </w:r>
      <w:proofErr w:type="spellEnd"/>
      <w:r>
        <w:t xml:space="preserve"> კონცენტრაციის შემცირება ნარჩუნდება, რაც მიუთითებს </w:t>
      </w:r>
      <w:proofErr w:type="spellStart"/>
      <w:r>
        <w:t>ანგიოტენზინ</w:t>
      </w:r>
      <w:proofErr w:type="spellEnd"/>
      <w:r>
        <w:t xml:space="preserve"> II რეცეპტორების ეფექტურ ბლოკადაზე. </w:t>
      </w:r>
      <w:proofErr w:type="spellStart"/>
      <w:r>
        <w:t>ლოზარტანის</w:t>
      </w:r>
      <w:proofErr w:type="spellEnd"/>
      <w:r>
        <w:t xml:space="preserve"> მიღების შეწყვეტის შემდეგ, სისხლის პლაზმაში </w:t>
      </w:r>
      <w:proofErr w:type="spellStart"/>
      <w:r>
        <w:t>რენინის</w:t>
      </w:r>
      <w:proofErr w:type="spellEnd"/>
      <w:r>
        <w:t xml:space="preserve"> აქტივობა და </w:t>
      </w:r>
      <w:proofErr w:type="spellStart"/>
      <w:r>
        <w:t>ანგიოტენზინ</w:t>
      </w:r>
      <w:proofErr w:type="spellEnd"/>
      <w:r>
        <w:t xml:space="preserve"> II-ის შემცველობის მაჩვენებლები 3 დღის განმავლობაში უბრუნდება საწყის მნიშვნელობებს.</w:t>
      </w:r>
    </w:p>
    <w:p w14:paraId="28CE9489" w14:textId="00DFB3DF" w:rsidR="006952FF" w:rsidRDefault="00E54B8E" w:rsidP="00D86C4E">
      <w:pPr>
        <w:pStyle w:val="P68B1DB1-Normal2"/>
        <w:jc w:val="both"/>
      </w:pPr>
      <w:r>
        <w:t xml:space="preserve">ისევე როგორც </w:t>
      </w:r>
      <w:proofErr w:type="spellStart"/>
      <w:r>
        <w:t>ლოზარტანს</w:t>
      </w:r>
      <w:proofErr w:type="spellEnd"/>
      <w:r>
        <w:t xml:space="preserve">, მის აქტიურ </w:t>
      </w:r>
      <w:proofErr w:type="spellStart"/>
      <w:r>
        <w:t>მეტაბოლიტს</w:t>
      </w:r>
      <w:proofErr w:type="spellEnd"/>
      <w:r>
        <w:t xml:space="preserve"> გააჩნია უფრო მაღალი </w:t>
      </w:r>
      <w:proofErr w:type="spellStart"/>
      <w:r>
        <w:t>აფინურობა</w:t>
      </w:r>
      <w:proofErr w:type="spellEnd"/>
      <w:r>
        <w:t xml:space="preserve"> АТ</w:t>
      </w:r>
      <w:r>
        <w:rPr>
          <w:vertAlign w:val="subscript"/>
        </w:rPr>
        <w:t>1</w:t>
      </w:r>
      <w:r>
        <w:t xml:space="preserve"> რეცეპტორის მიმართ, ვიდრე АТ</w:t>
      </w:r>
      <w:r>
        <w:rPr>
          <w:vertAlign w:val="subscript"/>
        </w:rPr>
        <w:t>2</w:t>
      </w:r>
      <w:r>
        <w:t xml:space="preserve"> რეცეპტორის მიმართ. აქტიური მეტაბოლიტი 10-40-ჯერ უფრო აქტიურია, ვიდრე </w:t>
      </w:r>
      <w:proofErr w:type="spellStart"/>
      <w:r>
        <w:t>ლოზარტანი</w:t>
      </w:r>
      <w:proofErr w:type="spellEnd"/>
      <w:r>
        <w:t>, წონაზე გადაანგარიშებით.</w:t>
      </w:r>
    </w:p>
    <w:p w14:paraId="21042A96" w14:textId="6D454983" w:rsidR="006952FF" w:rsidRDefault="006952FF" w:rsidP="00D86C4E">
      <w:pPr>
        <w:jc w:val="both"/>
        <w:rPr>
          <w:rFonts w:ascii="Sylfaen" w:hAnsi="Sylfaen"/>
        </w:rPr>
      </w:pPr>
    </w:p>
    <w:p w14:paraId="3F67FD7E" w14:textId="16703043" w:rsidR="006952FF" w:rsidRPr="00D86C4E" w:rsidRDefault="00E54B8E" w:rsidP="00D86C4E">
      <w:pPr>
        <w:pStyle w:val="P68B1DB1-Normal2"/>
        <w:jc w:val="both"/>
        <w:rPr>
          <w:b/>
          <w:bCs/>
          <w:i/>
        </w:rPr>
      </w:pPr>
      <w:r w:rsidRPr="00D86C4E">
        <w:rPr>
          <w:b/>
          <w:bCs/>
          <w:noProof/>
        </w:rPr>
        <mc:AlternateContent>
          <mc:Choice Requires="wps">
            <w:drawing>
              <wp:anchor distT="0" distB="0" distL="114300" distR="114300" simplePos="0" relativeHeight="251659264" behindDoc="0" locked="0" layoutInCell="1" allowOverlap="1" wp14:anchorId="1B17B992" wp14:editId="7836E144">
                <wp:simplePos x="0" y="0"/>
                <wp:positionH relativeFrom="page">
                  <wp:posOffset>784860</wp:posOffset>
                </wp:positionH>
                <wp:positionV relativeFrom="paragraph">
                  <wp:posOffset>-91440</wp:posOffset>
                </wp:positionV>
                <wp:extent cx="0" cy="0"/>
                <wp:effectExtent l="0" t="0" r="0" b="0"/>
                <wp:wrapNone/>
                <wp:docPr id="56"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61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50F87A5C" id="Line 49"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1.8pt,-7.2pt" to="61.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" strokeweight=".16961mm">
                <o:lock v:ext="edit" shapetype="f"/>
                <w10:wrap anchorx="page"/>
              </v:line>
            </w:pict>
          </mc:Fallback>
        </mc:AlternateContent>
      </w:r>
      <w:proofErr w:type="spellStart"/>
      <w:r w:rsidRPr="00D86C4E">
        <w:rPr>
          <w:b/>
          <w:bCs/>
          <w:i/>
        </w:rPr>
        <w:t>ფარმაკოკინეტიკა</w:t>
      </w:r>
      <w:proofErr w:type="spellEnd"/>
    </w:p>
    <w:p w14:paraId="1374ABA9" w14:textId="1633395C" w:rsidR="006952FF" w:rsidRDefault="00E54B8E" w:rsidP="00D86C4E">
      <w:pPr>
        <w:pStyle w:val="P68B1DB1-Normal2"/>
        <w:jc w:val="both"/>
      </w:pPr>
      <w:proofErr w:type="spellStart"/>
      <w:r>
        <w:t>ლოზარტანი</w:t>
      </w:r>
      <w:proofErr w:type="spellEnd"/>
      <w:r>
        <w:t xml:space="preserve"> კარგად შეიწოვება კუჭ-ნაწლავის ტრაქტიდან. ღვიძლში "პირველი გავლის" დროს განიცდის მნიშვნელოვან მეტაბოლიზმს, აქტიური </w:t>
      </w:r>
      <w:proofErr w:type="spellStart"/>
      <w:r>
        <w:t>მეტაბოლიტის</w:t>
      </w:r>
      <w:proofErr w:type="spellEnd"/>
      <w:r>
        <w:t xml:space="preserve"> (EXP-3174) და არააქტიური მეტაბოლიტების წარმოქმნით. </w:t>
      </w:r>
      <w:proofErr w:type="spellStart"/>
      <w:r>
        <w:t>ბიოშეღწევადობა</w:t>
      </w:r>
      <w:proofErr w:type="spellEnd"/>
      <w:r>
        <w:t xml:space="preserve"> დაახლოებით 33%-ს შეადგენს. პრეპარატის საკვებთან ერთად მიღება არ ახდენს კლინიკურად მნიშვნელოვან გავლენას შრატში მის კონცენტრაციაზე. სისხლის პლაზმაში </w:t>
      </w:r>
      <w:proofErr w:type="spellStart"/>
      <w:r>
        <w:t>ლოზარტანის</w:t>
      </w:r>
      <w:proofErr w:type="spellEnd"/>
      <w:r>
        <w:t xml:space="preserve"> მაქსიმალური კონცენტრაცია მიიღწევა </w:t>
      </w:r>
      <w:proofErr w:type="spellStart"/>
      <w:r>
        <w:t>პერორალურად</w:t>
      </w:r>
      <w:proofErr w:type="spellEnd"/>
      <w:r>
        <w:t xml:space="preserve"> მიღებიდან 1 საათის შემდეგ, ხოლო EXP-3174-ის მაქსიმალური კონცენტრაცია - 3-4 საათის შემდეგ.</w:t>
      </w:r>
    </w:p>
    <w:p w14:paraId="7DEA208C" w14:textId="77777777" w:rsidR="006952FF" w:rsidRDefault="00E54B8E" w:rsidP="00D86C4E">
      <w:pPr>
        <w:pStyle w:val="P68B1DB1-Normal2"/>
        <w:jc w:val="both"/>
      </w:pPr>
      <w:proofErr w:type="spellStart"/>
      <w:r>
        <w:t>ლოზარტანის</w:t>
      </w:r>
      <w:proofErr w:type="spellEnd"/>
      <w:r>
        <w:t xml:space="preserve"> და EXP-3174-ის 99%-ზე მეტი უკავშირდება სისხლის პლაზმის ცილებს, ძირითადად ალბუმინს. </w:t>
      </w:r>
      <w:proofErr w:type="spellStart"/>
      <w:r>
        <w:t>ლოზარტანის</w:t>
      </w:r>
      <w:proofErr w:type="spellEnd"/>
      <w:r>
        <w:t xml:space="preserve"> განაწილების მოცულობა 34 ლიტრს შეადგენს. პრაქტიკულად არ აღწევს </w:t>
      </w:r>
      <w:proofErr w:type="spellStart"/>
      <w:r>
        <w:t>ჰემატოენცეფალურ</w:t>
      </w:r>
      <w:proofErr w:type="spellEnd"/>
      <w:r>
        <w:t xml:space="preserve"> ბარიერში.</w:t>
      </w:r>
    </w:p>
    <w:p w14:paraId="177B8DCE" w14:textId="5859DC5C" w:rsidR="006952FF" w:rsidRDefault="00E54B8E" w:rsidP="00D86C4E">
      <w:pPr>
        <w:pStyle w:val="P68B1DB1-Normal2"/>
        <w:jc w:val="both"/>
      </w:pPr>
      <w:proofErr w:type="spellStart"/>
      <w:r>
        <w:t>ლოზარტანი</w:t>
      </w:r>
      <w:proofErr w:type="spellEnd"/>
      <w:r>
        <w:t xml:space="preserve"> </w:t>
      </w:r>
      <w:proofErr w:type="spellStart"/>
      <w:r>
        <w:t>მეტაბოლიზდება</w:t>
      </w:r>
      <w:proofErr w:type="spellEnd"/>
      <w:r>
        <w:t xml:space="preserve"> აქტიური - EXP-3174 (14%) და არააქტიური მეტაბოლიტების წარმოქმნით, მათ შორის ორი ძირითადი </w:t>
      </w:r>
      <w:proofErr w:type="spellStart"/>
      <w:r>
        <w:t>მეტაბოლიტის</w:t>
      </w:r>
      <w:proofErr w:type="spellEnd"/>
      <w:r>
        <w:t xml:space="preserve">, რომლებიც წარმოიქმნება </w:t>
      </w:r>
      <w:proofErr w:type="spellStart"/>
      <w:r>
        <w:t>ბუთილის</w:t>
      </w:r>
      <w:proofErr w:type="spellEnd"/>
      <w:r>
        <w:t xml:space="preserve"> ჯგუფის ჯაჭვის </w:t>
      </w:r>
      <w:proofErr w:type="spellStart"/>
      <w:r>
        <w:t>ჰიდროქსილირების</w:t>
      </w:r>
      <w:proofErr w:type="spellEnd"/>
      <w:r>
        <w:t xml:space="preserve"> გზით და ნაკლებად მნიშვნელოვანი N-2-ტეტრაზოლის </w:t>
      </w:r>
      <w:proofErr w:type="spellStart"/>
      <w:r>
        <w:t>გლუკურონიდის</w:t>
      </w:r>
      <w:proofErr w:type="spellEnd"/>
      <w:r>
        <w:t xml:space="preserve"> მეტაბოლიტი.</w:t>
      </w:r>
    </w:p>
    <w:p w14:paraId="4CC4A173" w14:textId="4196B305" w:rsidR="006952FF" w:rsidRDefault="00E54B8E" w:rsidP="00D86C4E">
      <w:pPr>
        <w:pStyle w:val="P68B1DB1-Normal2"/>
        <w:jc w:val="both"/>
      </w:pPr>
      <w:proofErr w:type="spellStart"/>
      <w:r>
        <w:t>ლოზარტანის</w:t>
      </w:r>
      <w:proofErr w:type="spellEnd"/>
      <w:r>
        <w:t xml:space="preserve"> და EXP-3174-ის პლაზმური კლირენსი არის შესაბამისად, დაახლოებით 10 მლ/წმ (600 მლ/</w:t>
      </w:r>
      <w:proofErr w:type="spellStart"/>
      <w:r>
        <w:t>წთ</w:t>
      </w:r>
      <w:proofErr w:type="spellEnd"/>
      <w:r>
        <w:t>) და 0,83 მლ/წმ (50 მლ/</w:t>
      </w:r>
      <w:proofErr w:type="spellStart"/>
      <w:r>
        <w:t>წთ</w:t>
      </w:r>
      <w:proofErr w:type="spellEnd"/>
      <w:r>
        <w:t xml:space="preserve">). </w:t>
      </w:r>
      <w:proofErr w:type="spellStart"/>
      <w:r>
        <w:t>ლოზარტანის</w:t>
      </w:r>
      <w:proofErr w:type="spellEnd"/>
      <w:r>
        <w:t xml:space="preserve"> და EXP-3174-ის </w:t>
      </w:r>
      <w:proofErr w:type="spellStart"/>
      <w:r>
        <w:t>თირკმლისმიერი</w:t>
      </w:r>
      <w:proofErr w:type="spellEnd"/>
      <w:r>
        <w:t xml:space="preserve"> </w:t>
      </w:r>
      <w:r>
        <w:lastRenderedPageBreak/>
        <w:t>კლირენსი არის დაახლოებით 1,23 მლ/წმ (74 მლ/</w:t>
      </w:r>
      <w:proofErr w:type="spellStart"/>
      <w:r>
        <w:t>წთ</w:t>
      </w:r>
      <w:proofErr w:type="spellEnd"/>
      <w:r>
        <w:t>) და 0,43 მლ/წმ (26 მლ/</w:t>
      </w:r>
      <w:proofErr w:type="spellStart"/>
      <w:r>
        <w:t>წთ</w:t>
      </w:r>
      <w:proofErr w:type="spellEnd"/>
      <w:r>
        <w:t xml:space="preserve">). </w:t>
      </w:r>
      <w:proofErr w:type="spellStart"/>
      <w:r>
        <w:t>ლოზარტანის</w:t>
      </w:r>
      <w:proofErr w:type="spellEnd"/>
      <w:r>
        <w:t xml:space="preserve"> და EXP-3174-ის </w:t>
      </w:r>
      <w:proofErr w:type="spellStart"/>
      <w:r>
        <w:t>ნახევარგამოყოფის</w:t>
      </w:r>
      <w:proofErr w:type="spellEnd"/>
      <w:r>
        <w:t xml:space="preserve"> პერიოდი არის შესაბამისად, 2 საათი და 6-9 საათი.</w:t>
      </w:r>
    </w:p>
    <w:p w14:paraId="3EA23100" w14:textId="77777777" w:rsidR="006952FF" w:rsidRDefault="00E54B8E" w:rsidP="00D86C4E">
      <w:pPr>
        <w:pStyle w:val="P68B1DB1-Normal2"/>
        <w:jc w:val="both"/>
      </w:pPr>
      <w:r>
        <w:t xml:space="preserve">პრეპარატის დაახლოებით 58% გამოიყოფა ნაღველთან ერთად, 35% - თირკმელების საშუალებით. </w:t>
      </w:r>
    </w:p>
    <w:p w14:paraId="2E728A60" w14:textId="2A98AFEF" w:rsidR="006952FF" w:rsidRDefault="00E54B8E" w:rsidP="00D86C4E">
      <w:pPr>
        <w:pStyle w:val="P68B1DB1-Normal4"/>
        <w:jc w:val="both"/>
      </w:pPr>
      <w:r>
        <w:t>პაციენტების ცალკეული ჯგუფები</w:t>
      </w:r>
    </w:p>
    <w:p w14:paraId="7B33574B" w14:textId="77777777" w:rsidR="006952FF" w:rsidRDefault="00E54B8E" w:rsidP="00D86C4E">
      <w:pPr>
        <w:pStyle w:val="P68B1DB1-Normal2"/>
        <w:jc w:val="both"/>
      </w:pPr>
      <w:r>
        <w:t xml:space="preserve">არტერიული </w:t>
      </w:r>
      <w:proofErr w:type="spellStart"/>
      <w:r>
        <w:t>ჰიპერტენზიის</w:t>
      </w:r>
      <w:proofErr w:type="spellEnd"/>
      <w:r>
        <w:t xml:space="preserve"> მქონე ხანდაზმული ასაკის პაციენტების სისხლის პლაზმაში </w:t>
      </w:r>
      <w:proofErr w:type="spellStart"/>
      <w:r>
        <w:t>ლოზარტანის</w:t>
      </w:r>
      <w:proofErr w:type="spellEnd"/>
      <w:r>
        <w:t xml:space="preserve"> და მისი აქტიური </w:t>
      </w:r>
      <w:proofErr w:type="spellStart"/>
      <w:r>
        <w:t>მეტაბოლიტის</w:t>
      </w:r>
      <w:proofErr w:type="spellEnd"/>
      <w:r>
        <w:t xml:space="preserve"> კონცენტრაცია, არტერიული </w:t>
      </w:r>
      <w:proofErr w:type="spellStart"/>
      <w:r>
        <w:t>ჰიპერტენზიის</w:t>
      </w:r>
      <w:proofErr w:type="spellEnd"/>
      <w:r>
        <w:t xml:space="preserve"> მქონე ახალგაზრდა პაციენტების იგივე მაჩვენებლებისაგან მნიშვნელოვნად არ განსხვავდება.</w:t>
      </w:r>
    </w:p>
    <w:p w14:paraId="7BA8D0F4" w14:textId="77777777" w:rsidR="006952FF" w:rsidRDefault="00E54B8E" w:rsidP="00D86C4E">
      <w:pPr>
        <w:pStyle w:val="P68B1DB1-Normal2"/>
        <w:jc w:val="both"/>
      </w:pPr>
      <w:r>
        <w:t xml:space="preserve">არტერიული </w:t>
      </w:r>
      <w:proofErr w:type="spellStart"/>
      <w:r>
        <w:t>ჰიპერტენზიის</w:t>
      </w:r>
      <w:proofErr w:type="spellEnd"/>
      <w:r>
        <w:t xml:space="preserve"> მქონე ქალებში, სისხლის პლაზმაში </w:t>
      </w:r>
      <w:proofErr w:type="spellStart"/>
      <w:r>
        <w:t>ლოზარტანის</w:t>
      </w:r>
      <w:proofErr w:type="spellEnd"/>
      <w:r>
        <w:t xml:space="preserve"> კონცენტრაციის მნიშვნელობები, მამაკაცებში შესაბამის მნიშვნელობებზე ორჯერ მეტი იყო. ამავე დროს, აქტიური </w:t>
      </w:r>
      <w:proofErr w:type="spellStart"/>
      <w:r>
        <w:t>მეტაბოლიტის</w:t>
      </w:r>
      <w:proofErr w:type="spellEnd"/>
      <w:r>
        <w:t xml:space="preserve"> კონცენტრაცია მამაკაცებსა და ქალებში არ განსხვავდებოდა.</w:t>
      </w:r>
    </w:p>
    <w:p w14:paraId="16651276" w14:textId="521791D4" w:rsidR="006952FF" w:rsidRDefault="00E54B8E" w:rsidP="00D86C4E">
      <w:pPr>
        <w:pStyle w:val="P68B1DB1-Normal2"/>
        <w:jc w:val="both"/>
      </w:pPr>
      <w:proofErr w:type="spellStart"/>
      <w:r>
        <w:t>ლოზარტანის</w:t>
      </w:r>
      <w:proofErr w:type="spellEnd"/>
      <w:r>
        <w:t xml:space="preserve"> </w:t>
      </w:r>
      <w:proofErr w:type="spellStart"/>
      <w:r>
        <w:t>პერორალური</w:t>
      </w:r>
      <w:proofErr w:type="spellEnd"/>
      <w:r>
        <w:t xml:space="preserve"> მიღების შემდეგ მსუბუქიდან ზომიერ ხარისხამდე ღვიძლის ალკოჰოლური ციროზის მქონე პაციენტებში, </w:t>
      </w:r>
      <w:proofErr w:type="spellStart"/>
      <w:r>
        <w:t>ლოზარტანის</w:t>
      </w:r>
      <w:proofErr w:type="spellEnd"/>
      <w:r>
        <w:t xml:space="preserve"> და მისი აქტიური </w:t>
      </w:r>
      <w:proofErr w:type="spellStart"/>
      <w:r>
        <w:t>მეტაბოლიტის</w:t>
      </w:r>
      <w:proofErr w:type="spellEnd"/>
      <w:r>
        <w:t xml:space="preserve"> კონცენტრაცია შესაბამისად, 5 და 1.7-ჯერ მეტი იყო, ვიდრე ახალგაზრდა მოხალისე მამაკაცებში.</w:t>
      </w:r>
    </w:p>
    <w:p w14:paraId="18D64355" w14:textId="38E91314" w:rsidR="006952FF" w:rsidRDefault="00E54B8E" w:rsidP="00D86C4E">
      <w:pPr>
        <w:pStyle w:val="P68B1DB1-Normal2"/>
        <w:jc w:val="both"/>
      </w:pPr>
      <w:r>
        <w:t>10 მლ/</w:t>
      </w:r>
      <w:proofErr w:type="spellStart"/>
      <w:r>
        <w:t>წთ</w:t>
      </w:r>
      <w:proofErr w:type="spellEnd"/>
      <w:r>
        <w:t xml:space="preserve">-ზე მეტი </w:t>
      </w:r>
      <w:proofErr w:type="spellStart"/>
      <w:r>
        <w:t>კრეატინინის</w:t>
      </w:r>
      <w:proofErr w:type="spellEnd"/>
      <w:r>
        <w:t xml:space="preserve"> კლირენსი მქონე პაციენტებში პლაზმაში </w:t>
      </w:r>
      <w:proofErr w:type="spellStart"/>
      <w:r>
        <w:t>ლოზარტანის</w:t>
      </w:r>
      <w:proofErr w:type="spellEnd"/>
      <w:r>
        <w:t xml:space="preserve"> კონცენტრაცია არ შეცვლილა. თირკმელების ნორმალური ფუნქციის მქონე პაციენტებთან შედარების დროს, </w:t>
      </w:r>
      <w:proofErr w:type="spellStart"/>
      <w:r>
        <w:t>ლოზარტანის</w:t>
      </w:r>
      <w:proofErr w:type="spellEnd"/>
      <w:r>
        <w:t xml:space="preserve"> AUC ჰემოდიალიზზე მყოფი პაციენტების მაჩვენებლებზე დაახლოებით 2-ჯერ მეტი იყო.</w:t>
      </w:r>
    </w:p>
    <w:p w14:paraId="6EE1E2C7" w14:textId="37BF4C9D" w:rsidR="006952FF" w:rsidRDefault="00E54B8E" w:rsidP="00D86C4E">
      <w:pPr>
        <w:pStyle w:val="P68B1DB1-Normal2"/>
        <w:jc w:val="both"/>
      </w:pPr>
      <w:r>
        <w:t xml:space="preserve">თირკმლის ფუნქციის დარღვევის მქონე პაციენტებში ან ჰემოდიალიზზე მყოფ პაციენტებში, სისხლის პლაზმაში აქტიური </w:t>
      </w:r>
      <w:proofErr w:type="spellStart"/>
      <w:r>
        <w:t>მეტაბოლიტის</w:t>
      </w:r>
      <w:proofErr w:type="spellEnd"/>
      <w:r>
        <w:t xml:space="preserve"> კონცენტრაცია არ შეცვლილა.</w:t>
      </w:r>
    </w:p>
    <w:p w14:paraId="6AC5D065" w14:textId="77777777" w:rsidR="006952FF" w:rsidRDefault="00E54B8E" w:rsidP="00D86C4E">
      <w:pPr>
        <w:pStyle w:val="P68B1DB1-Normal2"/>
        <w:jc w:val="both"/>
      </w:pPr>
      <w:r>
        <w:t xml:space="preserve">არც </w:t>
      </w:r>
      <w:proofErr w:type="spellStart"/>
      <w:r>
        <w:t>ლოზარტანი</w:t>
      </w:r>
      <w:proofErr w:type="spellEnd"/>
      <w:r>
        <w:t xml:space="preserve"> და არც მისი აქტიური მეტაბოლიტი არ გამოიდევნება ჰემოდიალიზის პროცედურის საშუალებით.</w:t>
      </w:r>
    </w:p>
    <w:p w14:paraId="2F70E2AB" w14:textId="77777777" w:rsidR="006952FF" w:rsidRDefault="006952FF" w:rsidP="00D86C4E">
      <w:pPr>
        <w:jc w:val="both"/>
        <w:rPr>
          <w:rFonts w:ascii="Sylfaen" w:hAnsi="Sylfaen"/>
        </w:rPr>
      </w:pPr>
    </w:p>
    <w:p w14:paraId="18B475EB" w14:textId="77777777" w:rsidR="006952FF" w:rsidRDefault="00E54B8E" w:rsidP="00D86C4E">
      <w:pPr>
        <w:pStyle w:val="P68B1DB1-Normal1"/>
        <w:jc w:val="both"/>
      </w:pPr>
      <w:r>
        <w:t>გამოყენების ჩვენებები</w:t>
      </w:r>
    </w:p>
    <w:p w14:paraId="5E1C69E6" w14:textId="77777777" w:rsidR="006952FF" w:rsidRDefault="00E54B8E" w:rsidP="00D86C4E">
      <w:pPr>
        <w:pStyle w:val="P68B1DB1-ListParagraph5"/>
        <w:numPr>
          <w:ilvl w:val="0"/>
          <w:numId w:val="1"/>
        </w:numPr>
        <w:jc w:val="both"/>
      </w:pPr>
      <w:proofErr w:type="spellStart"/>
      <w:r>
        <w:t>ესენციალური</w:t>
      </w:r>
      <w:proofErr w:type="spellEnd"/>
      <w:r>
        <w:t xml:space="preserve"> </w:t>
      </w:r>
      <w:proofErr w:type="spellStart"/>
      <w:r>
        <w:t>ჰიპერტენზიის</w:t>
      </w:r>
      <w:proofErr w:type="spellEnd"/>
      <w:r>
        <w:t xml:space="preserve"> მკურნალობა მოზრდილებში და 6-18 წლის ასაკის ბავშვებში და მოზარდებში.</w:t>
      </w:r>
    </w:p>
    <w:p w14:paraId="7EF4AD77" w14:textId="77777777" w:rsidR="006952FF" w:rsidRDefault="00E54B8E" w:rsidP="00D86C4E">
      <w:pPr>
        <w:pStyle w:val="P68B1DB1-ListParagraph5"/>
        <w:numPr>
          <w:ilvl w:val="0"/>
          <w:numId w:val="1"/>
        </w:numPr>
        <w:jc w:val="both"/>
      </w:pPr>
      <w:r>
        <w:t xml:space="preserve">თირკმლის დაავადების მკურნალობა </w:t>
      </w:r>
      <w:proofErr w:type="spellStart"/>
      <w:r>
        <w:t>ჰიპერტენზიის</w:t>
      </w:r>
      <w:proofErr w:type="spellEnd"/>
      <w:r>
        <w:t xml:space="preserve"> და </w:t>
      </w:r>
      <m:oMath>
        <m:r>
          <w:rPr>
            <w:rFonts w:ascii="Cambria Math" w:hAnsi="Cambria Math"/>
            <w:lang w:val="ru-RU"/>
          </w:rPr>
          <m:t>≥</m:t>
        </m:r>
      </m:oMath>
      <w:r>
        <w:t xml:space="preserve">0,5 გ/დღეში </w:t>
      </w:r>
      <w:proofErr w:type="spellStart"/>
      <w:r>
        <w:t>პროტეინურიით</w:t>
      </w:r>
      <w:proofErr w:type="spellEnd"/>
      <w:r>
        <w:t xml:space="preserve"> მე-2 ტიპის შაქრიანი დიაბეტის მქონე მოზრდილ პაციენტებში, როგორც </w:t>
      </w:r>
      <w:proofErr w:type="spellStart"/>
      <w:r>
        <w:t>ანტიჰიპერტენზიული</w:t>
      </w:r>
      <w:proofErr w:type="spellEnd"/>
      <w:r>
        <w:t xml:space="preserve"> მკურნალობის ნაწილი. </w:t>
      </w:r>
    </w:p>
    <w:p w14:paraId="031778DF" w14:textId="62E1C70A" w:rsidR="006952FF" w:rsidRDefault="00E54B8E" w:rsidP="00D86C4E">
      <w:pPr>
        <w:pStyle w:val="P68B1DB1-ListParagraph5"/>
        <w:numPr>
          <w:ilvl w:val="0"/>
          <w:numId w:val="1"/>
        </w:numPr>
        <w:jc w:val="both"/>
      </w:pPr>
      <w:r>
        <w:t xml:space="preserve">გულის ქრონიკული უკმარისობის მკურნალობა მოზრდილ პაციენტებში, როდესაც </w:t>
      </w:r>
      <w:proofErr w:type="spellStart"/>
      <w:r>
        <w:t>ანგიოტენზინ</w:t>
      </w:r>
      <w:proofErr w:type="spellEnd"/>
      <w:r>
        <w:t>-გარდამქმნელი ფერმენტის (</w:t>
      </w:r>
      <w:proofErr w:type="spellStart"/>
      <w:r>
        <w:t>აგფ</w:t>
      </w:r>
      <w:proofErr w:type="spellEnd"/>
      <w:r>
        <w:t xml:space="preserve">) </w:t>
      </w:r>
      <w:proofErr w:type="spellStart"/>
      <w:r>
        <w:t>ინჰიბიტორებით</w:t>
      </w:r>
      <w:proofErr w:type="spellEnd"/>
      <w:r>
        <w:t xml:space="preserve"> მკურნალობა არ არის ეფექტური შეუთავსებლობის, განსაკუთრებით ხველის ან უკუჩვენების გამო. </w:t>
      </w:r>
      <w:proofErr w:type="spellStart"/>
      <w:r>
        <w:t>აგფ</w:t>
      </w:r>
      <w:proofErr w:type="spellEnd"/>
      <w:r>
        <w:t xml:space="preserve"> </w:t>
      </w:r>
      <w:proofErr w:type="spellStart"/>
      <w:r>
        <w:t>ინჰიბიტორით</w:t>
      </w:r>
      <w:proofErr w:type="spellEnd"/>
      <w:r>
        <w:t xml:space="preserve"> </w:t>
      </w:r>
      <w:proofErr w:type="spellStart"/>
      <w:r>
        <w:t>სტაბილიზირებული</w:t>
      </w:r>
      <w:proofErr w:type="spellEnd"/>
      <w:r>
        <w:t xml:space="preserve"> გულის უკმარისობის მქონე პაციენტები, არ უნდა გადავიდნენ </w:t>
      </w:r>
      <w:proofErr w:type="spellStart"/>
      <w:r>
        <w:t>ლოზარტანზე</w:t>
      </w:r>
      <w:proofErr w:type="spellEnd"/>
      <w:r>
        <w:t xml:space="preserve">. პაციენტებს უნდა ჰქონდეთ </w:t>
      </w:r>
      <m:oMath>
        <m:r>
          <w:rPr>
            <w:rFonts w:ascii="Cambria Math" w:hAnsi="Cambria Math"/>
            <w:lang w:val="ru-RU"/>
          </w:rPr>
          <m:t>≤</m:t>
        </m:r>
      </m:oMath>
      <w:r>
        <w:t>40% მარცხენა პარკუჭის განდევნის ფრაქცია და უნდა იყვნენ კლინიკურად სტაბილური და იცავდნენ გულის ქრონიკული უკმარისობის მკურნალობის დადგენილ სქემებს.</w:t>
      </w:r>
    </w:p>
    <w:p w14:paraId="16220753" w14:textId="5560B4CA" w:rsidR="006952FF" w:rsidRDefault="00E54B8E" w:rsidP="00D86C4E">
      <w:pPr>
        <w:pStyle w:val="P68B1DB1-ListParagraph5"/>
        <w:numPr>
          <w:ilvl w:val="0"/>
          <w:numId w:val="1"/>
        </w:numPr>
        <w:jc w:val="both"/>
      </w:pPr>
      <w:r>
        <w:t xml:space="preserve">ინსულტის რისკის შემცირება </w:t>
      </w:r>
      <w:proofErr w:type="spellStart"/>
      <w:r>
        <w:t>ჰიპერტენზიის</w:t>
      </w:r>
      <w:proofErr w:type="spellEnd"/>
      <w:r>
        <w:t xml:space="preserve"> მქონე მოზრდილ პაციენტებში, რომელთაც </w:t>
      </w:r>
      <w:proofErr w:type="spellStart"/>
      <w:r>
        <w:t>ეკგ</w:t>
      </w:r>
      <w:proofErr w:type="spellEnd"/>
      <w:r>
        <w:t xml:space="preserve"> – ით დადასტურებული აქვთ მარცხენა პარკუჭის ჰიპერტროფია.</w:t>
      </w:r>
    </w:p>
    <w:p w14:paraId="7A047AAD" w14:textId="260C0E52" w:rsidR="006952FF" w:rsidRDefault="006952FF" w:rsidP="00D86C4E">
      <w:pPr>
        <w:jc w:val="both"/>
        <w:rPr>
          <w:rFonts w:ascii="Sylfaen" w:hAnsi="Sylfaen"/>
        </w:rPr>
      </w:pPr>
    </w:p>
    <w:p w14:paraId="062F27E7" w14:textId="77777777" w:rsidR="006952FF" w:rsidRDefault="00E54B8E" w:rsidP="00D86C4E">
      <w:pPr>
        <w:pStyle w:val="P68B1DB1-Normal1"/>
        <w:jc w:val="both"/>
      </w:pPr>
      <w:r>
        <w:t xml:space="preserve">გამოყენების წესი და დოზები </w:t>
      </w:r>
    </w:p>
    <w:p w14:paraId="5A1A7C05" w14:textId="2F40DFBB" w:rsidR="006952FF" w:rsidRDefault="00E54B8E" w:rsidP="00D86C4E">
      <w:pPr>
        <w:pStyle w:val="P68B1DB1-Normal2"/>
        <w:jc w:val="both"/>
      </w:pPr>
      <w:r>
        <w:rPr>
          <w:i/>
        </w:rPr>
        <w:t xml:space="preserve">არტერიული </w:t>
      </w:r>
      <w:proofErr w:type="spellStart"/>
      <w:r>
        <w:rPr>
          <w:i/>
        </w:rPr>
        <w:t>ჰიპერტენზია</w:t>
      </w:r>
      <w:proofErr w:type="spellEnd"/>
      <w:r>
        <w:rPr>
          <w:i/>
        </w:rPr>
        <w:t>:</w:t>
      </w:r>
      <w:r>
        <w:t xml:space="preserve"> პაციენტთა უმრავლესობისთვის სტანდარტული საწყისი და </w:t>
      </w:r>
      <w:proofErr w:type="spellStart"/>
      <w:r>
        <w:t>შემანარჩუნებელი</w:t>
      </w:r>
      <w:proofErr w:type="spellEnd"/>
      <w:r>
        <w:t xml:space="preserve"> დოზა არის 50 </w:t>
      </w:r>
      <w:proofErr w:type="spellStart"/>
      <w:r>
        <w:t>მგ</w:t>
      </w:r>
      <w:proofErr w:type="spellEnd"/>
      <w:r>
        <w:t xml:space="preserve"> დღე-ღამეში ერთხელ. მაქსიმალური </w:t>
      </w:r>
      <w:proofErr w:type="spellStart"/>
      <w:r>
        <w:t>ანტიჰიპერტენზიული</w:t>
      </w:r>
      <w:proofErr w:type="spellEnd"/>
      <w:r>
        <w:t xml:space="preserve"> </w:t>
      </w:r>
      <w:r>
        <w:lastRenderedPageBreak/>
        <w:t xml:space="preserve">ეფექტი მიიღწევა თერაპიის დაწყებიდან 3-6 კვირის შემდეგ. ზოგიერთ პაციენტში, უფრო მეტი ეფექტის მისაღწევად, დოზა შეიძლება გაიზარდოს 100 </w:t>
      </w:r>
      <w:proofErr w:type="spellStart"/>
      <w:r>
        <w:t>მგ</w:t>
      </w:r>
      <w:proofErr w:type="spellEnd"/>
      <w:r>
        <w:t xml:space="preserve">-მდე დღე-ღამეში ერთხელ (დილით). </w:t>
      </w:r>
      <w:proofErr w:type="spellStart"/>
      <w:r>
        <w:t>ლოზარტანის</w:t>
      </w:r>
      <w:proofErr w:type="spellEnd"/>
      <w:r>
        <w:t xml:space="preserve"> მიღება შეიძლება სხვა </w:t>
      </w:r>
      <w:proofErr w:type="spellStart"/>
      <w:r>
        <w:t>ანტიჰიპერტენზიულ</w:t>
      </w:r>
      <w:proofErr w:type="spellEnd"/>
      <w:r>
        <w:t xml:space="preserve"> საშუალებებთან, განსაკუთრებით შარდმდენებთან ერთად (მაგ. </w:t>
      </w:r>
      <w:proofErr w:type="spellStart"/>
      <w:r>
        <w:t>ჰიდროქლორთიაზიდი</w:t>
      </w:r>
      <w:proofErr w:type="spellEnd"/>
      <w:r>
        <w:t xml:space="preserve">) (იხ. პუნქტები  უკუჩვენებები, გაფრთხილებები და განსაკუთრებული მითითებები, ურთიერთქმედება სხვა სამკურნალო საშუალებებთან). </w:t>
      </w:r>
    </w:p>
    <w:p w14:paraId="208DDF14" w14:textId="77777777" w:rsidR="006952FF" w:rsidRDefault="00E54B8E" w:rsidP="00D86C4E">
      <w:pPr>
        <w:pStyle w:val="P68B1DB1-Normal2"/>
        <w:jc w:val="both"/>
      </w:pPr>
      <w:proofErr w:type="spellStart"/>
      <w:r>
        <w:rPr>
          <w:i/>
        </w:rPr>
        <w:t>ჰიპერტენზიის</w:t>
      </w:r>
      <w:proofErr w:type="spellEnd"/>
      <w:r>
        <w:rPr>
          <w:i/>
        </w:rPr>
        <w:t xml:space="preserve"> და </w:t>
      </w:r>
      <m:oMath>
        <m:r>
          <w:rPr>
            <w:rFonts w:ascii="Cambria Math" w:hAnsi="Cambria Math"/>
            <w:lang w:val="ru-RU"/>
          </w:rPr>
          <m:t>≥</m:t>
        </m:r>
      </m:oMath>
      <w:r>
        <w:rPr>
          <w:i/>
        </w:rPr>
        <w:t xml:space="preserve">0,5 გ/დღე-ღამეში </w:t>
      </w:r>
      <w:proofErr w:type="spellStart"/>
      <w:r>
        <w:rPr>
          <w:i/>
        </w:rPr>
        <w:t>პროტეინურიით</w:t>
      </w:r>
      <w:proofErr w:type="spellEnd"/>
      <w:r>
        <w:rPr>
          <w:i/>
        </w:rPr>
        <w:t xml:space="preserve"> II ტიპის დიაბეტის მქონე პაციენტები:</w:t>
      </w:r>
      <w:r>
        <w:t xml:space="preserve"> სტანდარტული საწყისი დოზა არის 50 </w:t>
      </w:r>
      <w:proofErr w:type="spellStart"/>
      <w:r>
        <w:t>მგ</w:t>
      </w:r>
      <w:proofErr w:type="spellEnd"/>
      <w:r>
        <w:t xml:space="preserve"> დღე-ღამეში ერთხელ. თერაპიის დაწყებიდან ერთი თვის შემდეგ და შემდგომ პერიოდში, არტერიული წნევის შემცირების ხარისხის გათვალისწინებით დოზა შეიძლება გაიზარდოს 100 </w:t>
      </w:r>
      <w:proofErr w:type="spellStart"/>
      <w:r>
        <w:t>მგ</w:t>
      </w:r>
      <w:proofErr w:type="spellEnd"/>
      <w:r>
        <w:t xml:space="preserve">-მდე დღე-ღამეში ერთხელ. </w:t>
      </w:r>
      <w:proofErr w:type="spellStart"/>
      <w:r>
        <w:t>ლოზარტანის</w:t>
      </w:r>
      <w:proofErr w:type="spellEnd"/>
      <w:r>
        <w:t xml:space="preserve"> მიღება შეიძლება სხვა </w:t>
      </w:r>
      <w:proofErr w:type="spellStart"/>
      <w:r>
        <w:t>ანტიჰიპერტენზიულ</w:t>
      </w:r>
      <w:proofErr w:type="spellEnd"/>
      <w:r>
        <w:t xml:space="preserve"> საშუალებებთან (მაგ. შარდმდენებთან, კალციუმის არხების </w:t>
      </w:r>
      <w:proofErr w:type="spellStart"/>
      <w:r>
        <w:t>ბლოკატორებთან</w:t>
      </w:r>
      <w:proofErr w:type="spellEnd"/>
      <w:r>
        <w:t>, ალფა- ან ბეტა-</w:t>
      </w:r>
      <w:proofErr w:type="spellStart"/>
      <w:r>
        <w:t>ადრენობლოკატორებთან</w:t>
      </w:r>
      <w:proofErr w:type="spellEnd"/>
      <w:r>
        <w:t xml:space="preserve">, ცენტრალური მოქმედების </w:t>
      </w:r>
      <w:proofErr w:type="spellStart"/>
      <w:r>
        <w:t>ჰიპოტენზიურ</w:t>
      </w:r>
      <w:proofErr w:type="spellEnd"/>
      <w:r>
        <w:t xml:space="preserve"> საშუალებებთან), ასევე ინსულინთან და სხვა </w:t>
      </w:r>
      <w:proofErr w:type="spellStart"/>
      <w:r>
        <w:t>ჰიპოგლიკემიურ</w:t>
      </w:r>
      <w:proofErr w:type="spellEnd"/>
      <w:r>
        <w:t xml:space="preserve"> საშუალებებთან კომბინაციაში </w:t>
      </w:r>
    </w:p>
    <w:p w14:paraId="7DB3BEBB" w14:textId="77777777" w:rsidR="006952FF" w:rsidRDefault="00E54B8E" w:rsidP="00D86C4E">
      <w:pPr>
        <w:pStyle w:val="P68B1DB1-Normal2"/>
        <w:jc w:val="both"/>
      </w:pPr>
      <w:r>
        <w:t xml:space="preserve">(მაგალითად, </w:t>
      </w:r>
      <w:proofErr w:type="spellStart"/>
      <w:r>
        <w:t>სულფონილშარდოვანას</w:t>
      </w:r>
      <w:proofErr w:type="spellEnd"/>
      <w:r>
        <w:t xml:space="preserve"> წარმოებულებთან, </w:t>
      </w:r>
      <w:proofErr w:type="spellStart"/>
      <w:r>
        <w:t>გლიტაზონებთან</w:t>
      </w:r>
      <w:proofErr w:type="spellEnd"/>
      <w:r>
        <w:t xml:space="preserve"> და </w:t>
      </w:r>
      <w:proofErr w:type="spellStart"/>
      <w:r>
        <w:t>გლუკოზიდაზას</w:t>
      </w:r>
      <w:proofErr w:type="spellEnd"/>
      <w:r>
        <w:t xml:space="preserve"> </w:t>
      </w:r>
      <w:proofErr w:type="spellStart"/>
      <w:r>
        <w:t>ინჰიბიტორებთან</w:t>
      </w:r>
      <w:proofErr w:type="spellEnd"/>
      <w:r>
        <w:t xml:space="preserve">). </w:t>
      </w:r>
    </w:p>
    <w:p w14:paraId="73A8FC2C" w14:textId="0A85F464" w:rsidR="006952FF" w:rsidRDefault="00E54B8E" w:rsidP="00D86C4E">
      <w:pPr>
        <w:pStyle w:val="P68B1DB1-Normal2"/>
        <w:jc w:val="both"/>
      </w:pPr>
      <w:r>
        <w:rPr>
          <w:i/>
        </w:rPr>
        <w:t>გულის უკმარისობა:</w:t>
      </w:r>
      <w:r>
        <w:t xml:space="preserve"> გულის უკმარისობის მქონე პაციენტებში </w:t>
      </w:r>
      <w:proofErr w:type="spellStart"/>
      <w:r>
        <w:t>ლოზარტანის</w:t>
      </w:r>
      <w:proofErr w:type="spellEnd"/>
      <w:r>
        <w:t xml:space="preserve"> სტანდარტული საწყისი დოზა არის 12,5 </w:t>
      </w:r>
      <w:proofErr w:type="spellStart"/>
      <w:r>
        <w:t>მგ</w:t>
      </w:r>
      <w:proofErr w:type="spellEnd"/>
      <w:r>
        <w:t xml:space="preserve"> დღე-ღამეში ერთხელ. როგორც წესი, დოზის შერჩევა უნდა მოხდეს ყოველკვირეული ინტერვალებით (ანუ 12,5 </w:t>
      </w:r>
      <w:proofErr w:type="spellStart"/>
      <w:r>
        <w:t>მგ</w:t>
      </w:r>
      <w:proofErr w:type="spellEnd"/>
      <w:r>
        <w:t xml:space="preserve"> დღე-ღამეში, 25 </w:t>
      </w:r>
      <w:proofErr w:type="spellStart"/>
      <w:r>
        <w:t>მგ</w:t>
      </w:r>
      <w:proofErr w:type="spellEnd"/>
      <w:r>
        <w:t xml:space="preserve"> დღე-ღამეში, 50 </w:t>
      </w:r>
      <w:proofErr w:type="spellStart"/>
      <w:r>
        <w:t>მგ</w:t>
      </w:r>
      <w:proofErr w:type="spellEnd"/>
      <w:r>
        <w:t xml:space="preserve"> დღე-ღამეში, 100 </w:t>
      </w:r>
      <w:proofErr w:type="spellStart"/>
      <w:r>
        <w:t>მგ</w:t>
      </w:r>
      <w:proofErr w:type="spellEnd"/>
      <w:r>
        <w:t xml:space="preserve"> დღე-ღამეში, მაქსიმალურ დოზამდე - 150 </w:t>
      </w:r>
      <w:proofErr w:type="spellStart"/>
      <w:r>
        <w:t>მგ</w:t>
      </w:r>
      <w:proofErr w:type="spellEnd"/>
      <w:r>
        <w:t xml:space="preserve"> დღე-ღამეში ერთხელ), ინდივიდუალური ტოლერანტობის გათვალისწინებით. </w:t>
      </w:r>
    </w:p>
    <w:p w14:paraId="34DF2815" w14:textId="77777777" w:rsidR="006952FF" w:rsidRDefault="00E54B8E" w:rsidP="00D86C4E">
      <w:pPr>
        <w:pStyle w:val="P68B1DB1-Normal2"/>
        <w:jc w:val="both"/>
      </w:pPr>
      <w:r>
        <w:rPr>
          <w:i/>
        </w:rPr>
        <w:t xml:space="preserve">ინსულტის რისკის შემცირება არტერიული </w:t>
      </w:r>
      <w:proofErr w:type="spellStart"/>
      <w:r>
        <w:rPr>
          <w:i/>
        </w:rPr>
        <w:t>ჰიპერტენზიის</w:t>
      </w:r>
      <w:proofErr w:type="spellEnd"/>
      <w:r>
        <w:rPr>
          <w:i/>
        </w:rPr>
        <w:t xml:space="preserve"> მქონე პაციენტებში, რომელთაც </w:t>
      </w:r>
      <w:proofErr w:type="spellStart"/>
      <w:r>
        <w:rPr>
          <w:i/>
        </w:rPr>
        <w:t>ეკგ</w:t>
      </w:r>
      <w:proofErr w:type="spellEnd"/>
      <w:r>
        <w:rPr>
          <w:i/>
        </w:rPr>
        <w:t xml:space="preserve"> – ის მონაცემებით დადასტურებული აქვთ მარცხენა პარკუჭის ჰიპერტროფია:</w:t>
      </w:r>
      <w:r>
        <w:t xml:space="preserve"> სტანდარტული საწყისი დოზა არის 50 </w:t>
      </w:r>
      <w:proofErr w:type="spellStart"/>
      <w:r>
        <w:t>მგ</w:t>
      </w:r>
      <w:proofErr w:type="spellEnd"/>
      <w:r>
        <w:t xml:space="preserve"> </w:t>
      </w:r>
      <w:proofErr w:type="spellStart"/>
      <w:r>
        <w:t>ლოზარტანი</w:t>
      </w:r>
      <w:proofErr w:type="spellEnd"/>
      <w:r>
        <w:t xml:space="preserve"> დღე-ღამეში ერთხელ. ამის შემდეგ რეკომენდებულია თერაპიაზე </w:t>
      </w:r>
      <w:proofErr w:type="spellStart"/>
      <w:r>
        <w:t>ჰიდროქლოროთიაზიდის</w:t>
      </w:r>
      <w:proofErr w:type="spellEnd"/>
      <w:r>
        <w:t xml:space="preserve"> დაბალი დოზის დამატება და/ან </w:t>
      </w:r>
      <w:proofErr w:type="spellStart"/>
      <w:r>
        <w:t>ლოზარტანის</w:t>
      </w:r>
      <w:proofErr w:type="spellEnd"/>
      <w:r>
        <w:t xml:space="preserve"> დოზის გაზრდა 100 </w:t>
      </w:r>
      <w:proofErr w:type="spellStart"/>
      <w:r>
        <w:t>მგ</w:t>
      </w:r>
      <w:proofErr w:type="spellEnd"/>
      <w:r>
        <w:t xml:space="preserve">-მდე დღე-ღამეში ერთხელ, არტერიული წნევის შემცირების ხარისხის გათვალისწინებით. </w:t>
      </w:r>
    </w:p>
    <w:p w14:paraId="4990514B" w14:textId="77777777" w:rsidR="00D86C4E" w:rsidRPr="00D86C4E" w:rsidRDefault="00D86C4E" w:rsidP="00D86C4E">
      <w:pPr>
        <w:pStyle w:val="P68B1DB1-Normal2"/>
        <w:jc w:val="both"/>
      </w:pPr>
    </w:p>
    <w:p w14:paraId="70119075" w14:textId="77777777" w:rsidR="006952FF" w:rsidRPr="00D86C4E" w:rsidRDefault="00E54B8E" w:rsidP="00D86C4E">
      <w:pPr>
        <w:pStyle w:val="P68B1DB1-Normal6"/>
        <w:jc w:val="both"/>
        <w:rPr>
          <w:b/>
          <w:bCs/>
        </w:rPr>
      </w:pPr>
      <w:r w:rsidRPr="00D86C4E">
        <w:rPr>
          <w:b/>
          <w:bCs/>
        </w:rPr>
        <w:t xml:space="preserve">პაციენტების განსაკუთრებული ჯგუფები </w:t>
      </w:r>
    </w:p>
    <w:p w14:paraId="6CDFC8BE" w14:textId="77777777" w:rsidR="006952FF" w:rsidRDefault="00E54B8E" w:rsidP="00D86C4E">
      <w:pPr>
        <w:pStyle w:val="P68B1DB1-Normal2"/>
        <w:jc w:val="both"/>
      </w:pPr>
      <w:r>
        <w:t xml:space="preserve">გამოყენება </w:t>
      </w:r>
      <w:proofErr w:type="spellStart"/>
      <w:r>
        <w:t>ინტრავასკულარული</w:t>
      </w:r>
      <w:proofErr w:type="spellEnd"/>
      <w:r>
        <w:t xml:space="preserve"> მოცულობის განლევის მქონე პაციენტებში: </w:t>
      </w:r>
      <w:proofErr w:type="spellStart"/>
      <w:r>
        <w:t>ინტრავასკულური</w:t>
      </w:r>
      <w:proofErr w:type="spellEnd"/>
      <w:r>
        <w:t xml:space="preserve"> მოცულობის განლევის მქონე პაციენტებში (მაგ., პაციენტები, რომლებიც იღებენ შარდმდენების მაღალ დოზებს), უნდა განიხილებოდეს საწყისი დოზა 25 </w:t>
      </w:r>
      <w:proofErr w:type="spellStart"/>
      <w:r>
        <w:t>მგ</w:t>
      </w:r>
      <w:proofErr w:type="spellEnd"/>
      <w:r>
        <w:t xml:space="preserve"> დღე-ღამეში ერთხელ (იხ. პუნქტი გაფრთხილებები და განსაკუთრებული მითითებები). </w:t>
      </w:r>
    </w:p>
    <w:p w14:paraId="43DFCA8D" w14:textId="77777777" w:rsidR="006952FF" w:rsidRDefault="00E54B8E" w:rsidP="00D86C4E">
      <w:pPr>
        <w:pStyle w:val="P68B1DB1-Normal2"/>
        <w:jc w:val="both"/>
      </w:pPr>
      <w:r>
        <w:rPr>
          <w:i/>
        </w:rPr>
        <w:t xml:space="preserve">გამოყენება თირკმელების ფუნქციის დარღვევის მქონე და ჰემოდიალიზზე მყოფ პაციენტებში: </w:t>
      </w:r>
      <w:r>
        <w:t xml:space="preserve">თირკმელების ფუნქციის დარღვევის მქონე და ჰემოდიალიზზე მყოფ პაციენტებში საწყისი დოზის კორექტირება აუცილებელი არ არის. </w:t>
      </w:r>
    </w:p>
    <w:p w14:paraId="6025251F" w14:textId="12117C72" w:rsidR="006952FF" w:rsidRDefault="00E54B8E" w:rsidP="00D86C4E">
      <w:pPr>
        <w:pStyle w:val="P68B1DB1-Normal2"/>
        <w:jc w:val="both"/>
      </w:pPr>
      <w:r>
        <w:rPr>
          <w:i/>
        </w:rPr>
        <w:t>გამოყენება ღვიძლის ფუნქციის დარღვევის მქონე პაციენტებში:</w:t>
      </w:r>
      <w:r>
        <w:t xml:space="preserve"> ანამნეზში ღვიძლის ფუნქციის დარღვევის მქონე პაციენტებისათვის, უნდა განიხილებოდეს უფრო დაბალი დოზა. ღვიძლის მძიმე უკმარისობის მქონე პაციენტებში თერაპიული გამოცდილება არ არსებობს. ამასთან დაკავშირებით, ღვიძლის მძიმე უკმარისობის მქონე პაციენტებში </w:t>
      </w:r>
      <w:proofErr w:type="spellStart"/>
      <w:r>
        <w:t>ლოზარტანი</w:t>
      </w:r>
      <w:proofErr w:type="spellEnd"/>
      <w:r>
        <w:t xml:space="preserve"> </w:t>
      </w:r>
      <w:proofErr w:type="spellStart"/>
      <w:r>
        <w:t>უკუნაჩვენებია</w:t>
      </w:r>
      <w:proofErr w:type="spellEnd"/>
      <w:r>
        <w:t xml:space="preserve"> (იხ. პუნქტები უკუჩვენებები და გაფრთხილებები და განსაკუთრებული მითითებები). </w:t>
      </w:r>
    </w:p>
    <w:p w14:paraId="0C0DF918" w14:textId="77777777" w:rsidR="006952FF" w:rsidRDefault="00E54B8E" w:rsidP="00D86C4E">
      <w:pPr>
        <w:pStyle w:val="P68B1DB1-Normal3"/>
        <w:jc w:val="both"/>
      </w:pPr>
      <w:r>
        <w:t xml:space="preserve">ბავშვები </w:t>
      </w:r>
    </w:p>
    <w:p w14:paraId="0F19D79A" w14:textId="77777777" w:rsidR="006952FF" w:rsidRDefault="00E54B8E" w:rsidP="00D86C4E">
      <w:pPr>
        <w:pStyle w:val="P68B1DB1-Normal2"/>
        <w:jc w:val="both"/>
      </w:pPr>
      <w:r>
        <w:lastRenderedPageBreak/>
        <w:t xml:space="preserve">6 თვე - 6 წელი: </w:t>
      </w:r>
    </w:p>
    <w:p w14:paraId="6D70E62A" w14:textId="77777777" w:rsidR="006952FF" w:rsidRDefault="00E54B8E" w:rsidP="00D86C4E">
      <w:pPr>
        <w:pStyle w:val="P68B1DB1-Normal2"/>
        <w:jc w:val="both"/>
      </w:pPr>
      <w:r>
        <w:t xml:space="preserve">6 თვიდან 6 წლამდე ასაკის ბავშვებში უსაფრთხოება და ეფექტურობა დადგენილი არ არის. ამ მომენტისათვის ხელმისაწვდომი მონაცემები აღწერილია ფარმაკოლოგიური თვისებების პუნქტში, მაგრამ შეუძლებელია დოზირების რეჟიმის შესახებ რეკომენდაციების გაკეთება. </w:t>
      </w:r>
    </w:p>
    <w:p w14:paraId="1F3AD471" w14:textId="77777777" w:rsidR="006952FF" w:rsidRDefault="00E54B8E" w:rsidP="00D86C4E">
      <w:pPr>
        <w:pStyle w:val="P68B1DB1-Normal2"/>
        <w:jc w:val="both"/>
      </w:pPr>
      <w:r>
        <w:t xml:space="preserve">6 - 18 წლის: </w:t>
      </w:r>
    </w:p>
    <w:p w14:paraId="2EF4BE35" w14:textId="78DB0E3B" w:rsidR="006952FF" w:rsidRDefault="00E54B8E" w:rsidP="00D86C4E">
      <w:pPr>
        <w:pStyle w:val="P68B1DB1-Normal2"/>
        <w:jc w:val="both"/>
      </w:pPr>
      <w:r>
        <w:t xml:space="preserve">&gt;20 დან &lt;50კგ პაციენტებისათვის, რომელთაც შეუძლიათ ტაბლეტების გადაყლაპვა, რეკომენდებული დოზა არის 25 </w:t>
      </w:r>
      <w:proofErr w:type="spellStart"/>
      <w:r>
        <w:t>მგ</w:t>
      </w:r>
      <w:proofErr w:type="spellEnd"/>
      <w:r>
        <w:t xml:space="preserve"> დღე-ღამეში ერთხელ (გამონაკლის შემთხვევებში დოზა შეიძლება გაიზარდოს მაქსიმალურ დოზამდე - 50 </w:t>
      </w:r>
      <w:proofErr w:type="spellStart"/>
      <w:r>
        <w:t>მგ</w:t>
      </w:r>
      <w:proofErr w:type="spellEnd"/>
      <w:r>
        <w:t xml:space="preserve">-მდე დღე-ღამეში ერთხელ). დოზის კორექტირება უნდა მოხდეს არტერიული წნევის რეაგირების შესაბამისად. &gt;50 კგ პაციენტებისათვის, სტანდარტული დოზა არის 50 </w:t>
      </w:r>
      <w:proofErr w:type="spellStart"/>
      <w:r>
        <w:t>მგ</w:t>
      </w:r>
      <w:proofErr w:type="spellEnd"/>
      <w:r>
        <w:t xml:space="preserve"> დღე-ღამეში ერთხელ. გამონაკლის შემთხვევებში შესაძლებელია დოზის კორექტირება მაქსიმალურ დოზამდე - 100 </w:t>
      </w:r>
      <w:proofErr w:type="spellStart"/>
      <w:r>
        <w:t>მგ</w:t>
      </w:r>
      <w:proofErr w:type="spellEnd"/>
      <w:r>
        <w:t xml:space="preserve">-მდე დღე-ღამეში ერთხელ. არ არის შესწავლილი ბავშვებში დღე-ღამეში 1,4 </w:t>
      </w:r>
      <w:proofErr w:type="spellStart"/>
      <w:r>
        <w:t>მგ</w:t>
      </w:r>
      <w:proofErr w:type="spellEnd"/>
      <w:r>
        <w:t xml:space="preserve">/კგ-ზე მეტი (ან 100 </w:t>
      </w:r>
      <w:proofErr w:type="spellStart"/>
      <w:r>
        <w:t>მგ</w:t>
      </w:r>
      <w:proofErr w:type="spellEnd"/>
      <w:r>
        <w:t xml:space="preserve">-ზე მეტი) დოზა. </w:t>
      </w:r>
      <w:proofErr w:type="spellStart"/>
      <w:r>
        <w:t>ლოზარტანის</w:t>
      </w:r>
      <w:proofErr w:type="spellEnd"/>
      <w:r>
        <w:t xml:space="preserve"> გამოყენება არ არის რეკომენდებული 6 წლამდე ასაკის ბავშვებში, რადგან პაციენტთა ამ ჯგუფებში არსებობს შეზღუდული მონაცემები. პრეპარატის გამოყენება არ არის რეკომენდებული &lt;30 მლ/</w:t>
      </w:r>
      <w:proofErr w:type="spellStart"/>
      <w:r>
        <w:t>წთ</w:t>
      </w:r>
      <w:proofErr w:type="spellEnd"/>
      <w:r>
        <w:t>/1,73 მ</w:t>
      </w:r>
      <w:r>
        <w:rPr>
          <w:vertAlign w:val="superscript"/>
        </w:rPr>
        <w:t>2</w:t>
      </w:r>
      <w:r>
        <w:t xml:space="preserve"> </w:t>
      </w:r>
      <w:proofErr w:type="spellStart"/>
      <w:r>
        <w:t>გორგლოვანი</w:t>
      </w:r>
      <w:proofErr w:type="spellEnd"/>
      <w:r>
        <w:t xml:space="preserve"> ფილტრაციის სიჩქარის მქონე ბავშვებში, რადგან მონაცემები არ არის ხელმისაწვდომი (ასევე იხ. პუნქტი გაფრთხილებები და განსაკუთრებული მითითებები). </w:t>
      </w:r>
      <w:proofErr w:type="spellStart"/>
      <w:r>
        <w:t>ლოზარტანის</w:t>
      </w:r>
      <w:proofErr w:type="spellEnd"/>
      <w:r>
        <w:t xml:space="preserve"> გამოყენება ასევე არ არის რეკომენდებული ღვიძლის ფუნქციის დარღვევის მქონე ბავშვებში (ასევე იხ. პუნქტი გაფრთხილებები და განსაკუთრებული მითითებები). </w:t>
      </w:r>
    </w:p>
    <w:p w14:paraId="378E3150" w14:textId="1547890C" w:rsidR="006952FF" w:rsidRDefault="00E54B8E" w:rsidP="00D86C4E">
      <w:pPr>
        <w:pStyle w:val="P68B1DB1-Normal2"/>
        <w:jc w:val="both"/>
      </w:pPr>
      <w:r>
        <w:rPr>
          <w:i/>
        </w:rPr>
        <w:t>გამოყენება ხანდაზმული ასაკის პაციენტებში:</w:t>
      </w:r>
      <w:r>
        <w:t xml:space="preserve"> მიუხედავად იმისა, რომ 75 წელზე უფროსი ასაკის პაციენტებში მკურნალობის დაწყება უნდა განიხილებოდეს 25 </w:t>
      </w:r>
      <w:proofErr w:type="spellStart"/>
      <w:r>
        <w:t>მგ</w:t>
      </w:r>
      <w:proofErr w:type="spellEnd"/>
      <w:r>
        <w:t xml:space="preserve"> დოზით, ჩვეულებრივ, ხანდაზმული ასაკის პაციენტებში დოზის კორექტირება საჭირო არ არის.</w:t>
      </w:r>
    </w:p>
    <w:p w14:paraId="7461552B" w14:textId="550D3B38" w:rsidR="006952FF" w:rsidRDefault="006952FF" w:rsidP="00D86C4E">
      <w:pPr>
        <w:jc w:val="both"/>
        <w:rPr>
          <w:rFonts w:ascii="Sylfaen" w:hAnsi="Sylfaen"/>
        </w:rPr>
      </w:pPr>
    </w:p>
    <w:p w14:paraId="79191CFF" w14:textId="77777777" w:rsidR="006952FF" w:rsidRDefault="00E54B8E" w:rsidP="00D86C4E">
      <w:pPr>
        <w:pStyle w:val="P68B1DB1-Normal1"/>
        <w:jc w:val="both"/>
      </w:pPr>
      <w:r>
        <w:t xml:space="preserve">გვერდითი მოქმედება </w:t>
      </w:r>
    </w:p>
    <w:p w14:paraId="77A5C30F" w14:textId="537A622A" w:rsidR="006952FF" w:rsidRDefault="00E54B8E" w:rsidP="00D86C4E">
      <w:pPr>
        <w:pStyle w:val="P68B1DB1-Normal2"/>
        <w:jc w:val="both"/>
      </w:pPr>
      <w:r>
        <w:t xml:space="preserve">კალიუმის </w:t>
      </w:r>
      <w:proofErr w:type="spellStart"/>
      <w:r>
        <w:t>ლოზარტანით</w:t>
      </w:r>
      <w:proofErr w:type="spellEnd"/>
      <w:r>
        <w:t xml:space="preserve"> მკურნალობის დროს შეიძლება განვითარდეს გვერდითი ეფექტები, რომლებიც დაყოფილია განვითარების სიხშირის მიხედვით შემდეგნაირად:</w:t>
      </w:r>
    </w:p>
    <w:p w14:paraId="24970E0C" w14:textId="652971AE" w:rsidR="006952FF" w:rsidRDefault="00E54B8E" w:rsidP="00D86C4E">
      <w:pPr>
        <w:pStyle w:val="P68B1DB1-ListParagraph5"/>
        <w:numPr>
          <w:ilvl w:val="0"/>
          <w:numId w:val="2"/>
        </w:numPr>
        <w:jc w:val="both"/>
      </w:pPr>
      <w:r>
        <w:t xml:space="preserve">ძალიან ხშირი (&gt;1/10); </w:t>
      </w:r>
    </w:p>
    <w:p w14:paraId="52029B4E" w14:textId="25EA9D84" w:rsidR="006952FF" w:rsidRDefault="00E54B8E" w:rsidP="00D86C4E">
      <w:pPr>
        <w:pStyle w:val="P68B1DB1-ListParagraph5"/>
        <w:numPr>
          <w:ilvl w:val="0"/>
          <w:numId w:val="2"/>
        </w:numPr>
        <w:jc w:val="both"/>
      </w:pPr>
      <w:r>
        <w:t xml:space="preserve">ხშირი (&gt;1/100 და &lt;1/10); </w:t>
      </w:r>
    </w:p>
    <w:p w14:paraId="490CDAF9" w14:textId="34A98794" w:rsidR="006952FF" w:rsidRDefault="00E54B8E" w:rsidP="00D86C4E">
      <w:pPr>
        <w:pStyle w:val="P68B1DB1-ListParagraph5"/>
        <w:numPr>
          <w:ilvl w:val="0"/>
          <w:numId w:val="2"/>
        </w:numPr>
        <w:jc w:val="both"/>
      </w:pPr>
      <w:r>
        <w:t xml:space="preserve">არახშირი (&gt;1/1000 და &lt;1/100); </w:t>
      </w:r>
    </w:p>
    <w:p w14:paraId="0D3961EB" w14:textId="66C2FC33" w:rsidR="006952FF" w:rsidRDefault="00E54B8E" w:rsidP="00D86C4E">
      <w:pPr>
        <w:pStyle w:val="P68B1DB1-ListParagraph5"/>
        <w:numPr>
          <w:ilvl w:val="0"/>
          <w:numId w:val="2"/>
        </w:numPr>
        <w:jc w:val="both"/>
      </w:pPr>
      <w:r>
        <w:t xml:space="preserve">იშვიათი (&gt;1/10000 და &lt;1/1000); </w:t>
      </w:r>
    </w:p>
    <w:p w14:paraId="0A32B10C" w14:textId="27C70FA5" w:rsidR="006952FF" w:rsidRDefault="00E54B8E" w:rsidP="00D86C4E">
      <w:pPr>
        <w:pStyle w:val="P68B1DB1-ListParagraph5"/>
        <w:numPr>
          <w:ilvl w:val="0"/>
          <w:numId w:val="2"/>
        </w:numPr>
        <w:jc w:val="both"/>
      </w:pPr>
      <w:r>
        <w:t>ძალიან იშვიათი (&lt;1/10000, ცალკეული შეტყობინებების ჩათვლით).</w:t>
      </w:r>
    </w:p>
    <w:p w14:paraId="73D96F0E" w14:textId="77867221" w:rsidR="006952FF" w:rsidRDefault="006952FF" w:rsidP="00D86C4E">
      <w:pPr>
        <w:jc w:val="both"/>
        <w:rPr>
          <w:rFonts w:ascii="Sylfaen" w:hAnsi="Sylfaen"/>
        </w:rPr>
      </w:pPr>
    </w:p>
    <w:p w14:paraId="2B00E339" w14:textId="77777777" w:rsidR="006952FF" w:rsidRDefault="00E54B8E" w:rsidP="00D86C4E">
      <w:pPr>
        <w:pStyle w:val="P68B1DB1-Normal2"/>
        <w:jc w:val="both"/>
      </w:pPr>
      <w:r>
        <w:t xml:space="preserve">გვერდითი ეფექტების სიხშირე სხვადასხვა ორგანოების და სისტემების მხრივ: </w:t>
      </w:r>
    </w:p>
    <w:p w14:paraId="7BD55A8A" w14:textId="39395965" w:rsidR="006952FF" w:rsidRDefault="00E54B8E" w:rsidP="00D86C4E">
      <w:pPr>
        <w:pStyle w:val="P68B1DB1-Normal2"/>
        <w:jc w:val="both"/>
      </w:pPr>
      <w:r>
        <w:rPr>
          <w:i/>
        </w:rPr>
        <w:t>დარღვევები სისხლის და ლიმფური სისტემის მხრივ:</w:t>
      </w:r>
      <w:r>
        <w:t xml:space="preserve"> ხშირად - ანემია, სიხშირე უცნობია - </w:t>
      </w:r>
      <w:proofErr w:type="spellStart"/>
      <w:r>
        <w:t>თრომბოციტოპენია</w:t>
      </w:r>
      <w:proofErr w:type="spellEnd"/>
    </w:p>
    <w:p w14:paraId="3530EDE7" w14:textId="61521CA6" w:rsidR="006952FF" w:rsidRDefault="00E54B8E" w:rsidP="00D86C4E">
      <w:pPr>
        <w:pStyle w:val="P68B1DB1-Normal2"/>
        <w:jc w:val="both"/>
      </w:pPr>
      <w:r>
        <w:rPr>
          <w:i/>
        </w:rPr>
        <w:t>დარღვევები იმუნური სისტემის მხრივ:</w:t>
      </w:r>
      <w:r>
        <w:t xml:space="preserve"> იშვიათად - </w:t>
      </w:r>
      <w:proofErr w:type="spellStart"/>
      <w:r>
        <w:t>ჰიპერმგრძნობელობის</w:t>
      </w:r>
      <w:proofErr w:type="spellEnd"/>
      <w:r>
        <w:t xml:space="preserve"> რეაქციები, </w:t>
      </w:r>
      <w:proofErr w:type="spellStart"/>
      <w:r>
        <w:t>ანაფილაქსიური</w:t>
      </w:r>
      <w:proofErr w:type="spellEnd"/>
      <w:r>
        <w:t xml:space="preserve"> რეაქციები, </w:t>
      </w:r>
      <w:proofErr w:type="spellStart"/>
      <w:r>
        <w:t>ანგიონევროზული</w:t>
      </w:r>
      <w:proofErr w:type="spellEnd"/>
      <w:r>
        <w:t xml:space="preserve"> შეშუპება* და ვასკულიტი**</w:t>
      </w:r>
    </w:p>
    <w:p w14:paraId="71184270" w14:textId="77777777" w:rsidR="006952FF" w:rsidRDefault="00E54B8E" w:rsidP="00D86C4E">
      <w:pPr>
        <w:pStyle w:val="P68B1DB1-Normal2"/>
        <w:jc w:val="both"/>
      </w:pPr>
      <w:r>
        <w:rPr>
          <w:i/>
        </w:rPr>
        <w:t>ფსიქიკის დარღვევები:</w:t>
      </w:r>
      <w:r>
        <w:t xml:space="preserve"> სიხშირე უცნობია - დეპრესია </w:t>
      </w:r>
    </w:p>
    <w:p w14:paraId="4AB9B6FA" w14:textId="77777777" w:rsidR="006952FF" w:rsidRDefault="00E54B8E" w:rsidP="00D86C4E">
      <w:pPr>
        <w:pStyle w:val="P68B1DB1-Normal2"/>
        <w:jc w:val="both"/>
      </w:pPr>
      <w:r>
        <w:rPr>
          <w:i/>
        </w:rPr>
        <w:t>დარღვევები ნერვული სისტემის მხრივ:</w:t>
      </w:r>
      <w:r>
        <w:t xml:space="preserve"> ხშირად - თავბრუსხვევა, არახშირად - ძილიანობა, თავის ტკივილი, ძილის დარღვევა, იშვიათად - </w:t>
      </w:r>
      <w:proofErr w:type="spellStart"/>
      <w:r>
        <w:t>პარესთეზია</w:t>
      </w:r>
      <w:proofErr w:type="spellEnd"/>
      <w:r>
        <w:t xml:space="preserve">, სიხშირე უცნობია - შაკიკი, </w:t>
      </w:r>
      <w:proofErr w:type="spellStart"/>
      <w:r>
        <w:t>დისგევზია</w:t>
      </w:r>
      <w:proofErr w:type="spellEnd"/>
      <w:r>
        <w:t xml:space="preserve"> </w:t>
      </w:r>
    </w:p>
    <w:p w14:paraId="51AD6B10" w14:textId="77777777" w:rsidR="006952FF" w:rsidRDefault="00E54B8E" w:rsidP="00D86C4E">
      <w:pPr>
        <w:pStyle w:val="P68B1DB1-Normal2"/>
        <w:jc w:val="both"/>
      </w:pPr>
      <w:r>
        <w:rPr>
          <w:i/>
        </w:rPr>
        <w:lastRenderedPageBreak/>
        <w:t>დარღვევები სმენის ორგანოს მხრივ და ლაბირინთის დარღვევები:</w:t>
      </w:r>
      <w:r>
        <w:t xml:space="preserve"> ხშირად - </w:t>
      </w:r>
      <w:proofErr w:type="spellStart"/>
      <w:r>
        <w:t>ვერტიგო</w:t>
      </w:r>
      <w:proofErr w:type="spellEnd"/>
      <w:r>
        <w:t xml:space="preserve">, სიხშირე უცნობია - </w:t>
      </w:r>
      <w:proofErr w:type="spellStart"/>
      <w:r>
        <w:t>ტინიტუსი</w:t>
      </w:r>
      <w:proofErr w:type="spellEnd"/>
      <w:r>
        <w:t xml:space="preserve"> </w:t>
      </w:r>
    </w:p>
    <w:p w14:paraId="04F12147" w14:textId="6B0190BA" w:rsidR="006952FF" w:rsidRDefault="00E54B8E" w:rsidP="00D86C4E">
      <w:pPr>
        <w:pStyle w:val="P68B1DB1-Normal2"/>
        <w:jc w:val="both"/>
      </w:pPr>
      <w:r>
        <w:rPr>
          <w:i/>
        </w:rPr>
        <w:t>დარღვევები გულის მხრივ:</w:t>
      </w:r>
      <w:r>
        <w:t xml:space="preserve"> არახშირად - გულისცემის შეგრძნება, სტენოკარდია, იშვიათად - სინკოპე, </w:t>
      </w:r>
      <w:proofErr w:type="spellStart"/>
      <w:r>
        <w:t>წინაგულების</w:t>
      </w:r>
      <w:proofErr w:type="spellEnd"/>
      <w:r>
        <w:t xml:space="preserve"> ფიბრილაცია, ტვინის სისხლის მიმოქცევის მწვავე დარღვევა </w:t>
      </w:r>
    </w:p>
    <w:p w14:paraId="319659D1" w14:textId="2585123B" w:rsidR="006952FF" w:rsidRDefault="00E54B8E" w:rsidP="00D86C4E">
      <w:pPr>
        <w:pStyle w:val="P68B1DB1-Normal2"/>
        <w:jc w:val="both"/>
      </w:pPr>
      <w:r>
        <w:rPr>
          <w:i/>
        </w:rPr>
        <w:t>დარღვევები სისხლძარღვების მხრივ:</w:t>
      </w:r>
      <w:r>
        <w:t xml:space="preserve"> ხშირად - (</w:t>
      </w:r>
      <w:proofErr w:type="spellStart"/>
      <w:r>
        <w:t>ორთოსტატიკური</w:t>
      </w:r>
      <w:proofErr w:type="spellEnd"/>
      <w:r>
        <w:t xml:space="preserve">) </w:t>
      </w:r>
      <w:proofErr w:type="spellStart"/>
      <w:r>
        <w:t>ჰიპოტენზია</w:t>
      </w:r>
      <w:proofErr w:type="spellEnd"/>
      <w:r>
        <w:t xml:space="preserve"> (მათ შორის დოზაზე დამოკიდებული </w:t>
      </w:r>
      <w:proofErr w:type="spellStart"/>
      <w:r>
        <w:t>ორთოსტატიკური</w:t>
      </w:r>
      <w:proofErr w:type="spellEnd"/>
      <w:r>
        <w:t xml:space="preserve"> ეფექტები)</w:t>
      </w:r>
    </w:p>
    <w:p w14:paraId="7000632A" w14:textId="77777777" w:rsidR="006952FF" w:rsidRDefault="00E54B8E" w:rsidP="00D86C4E">
      <w:pPr>
        <w:pStyle w:val="P68B1DB1-Normal2"/>
        <w:jc w:val="both"/>
      </w:pPr>
      <w:r>
        <w:rPr>
          <w:i/>
        </w:rPr>
        <w:t xml:space="preserve">დარღვევები სასუნთქი სისტემის, გულმკერდის და </w:t>
      </w:r>
      <w:proofErr w:type="spellStart"/>
      <w:r>
        <w:rPr>
          <w:i/>
        </w:rPr>
        <w:t>შუასაყარის</w:t>
      </w:r>
      <w:proofErr w:type="spellEnd"/>
      <w:r>
        <w:rPr>
          <w:i/>
        </w:rPr>
        <w:t xml:space="preserve"> ორგანოების მხრივ:</w:t>
      </w:r>
      <w:r>
        <w:t xml:space="preserve"> არახშირად - </w:t>
      </w:r>
      <w:proofErr w:type="spellStart"/>
      <w:r>
        <w:t>დისპნოე</w:t>
      </w:r>
      <w:proofErr w:type="spellEnd"/>
      <w:r>
        <w:t xml:space="preserve">, ხველა </w:t>
      </w:r>
    </w:p>
    <w:p w14:paraId="59E943F5" w14:textId="77777777" w:rsidR="006952FF" w:rsidRDefault="00E54B8E" w:rsidP="00D86C4E">
      <w:pPr>
        <w:pStyle w:val="P68B1DB1-Normal2"/>
        <w:jc w:val="both"/>
      </w:pPr>
      <w:r>
        <w:rPr>
          <w:i/>
        </w:rPr>
        <w:t>დარღვევები კუჭ-ნაწლავის ტრაქტის მხრივ:</w:t>
      </w:r>
      <w:r>
        <w:t xml:space="preserve"> არახშირად - ტკივილი მუცლის არეში, ნაწლავების გაუვალობა, დიარეა, გულისრევა, ღებინება </w:t>
      </w:r>
    </w:p>
    <w:p w14:paraId="7ADBFE41" w14:textId="77777777" w:rsidR="006952FF" w:rsidRDefault="00E54B8E" w:rsidP="00D86C4E">
      <w:pPr>
        <w:pStyle w:val="P68B1DB1-Normal2"/>
        <w:jc w:val="both"/>
      </w:pPr>
      <w:r>
        <w:rPr>
          <w:i/>
        </w:rPr>
        <w:t xml:space="preserve">დარღვევები ღვიძლის და </w:t>
      </w:r>
      <w:proofErr w:type="spellStart"/>
      <w:r>
        <w:rPr>
          <w:i/>
        </w:rPr>
        <w:t>სანაღვლე</w:t>
      </w:r>
      <w:proofErr w:type="spellEnd"/>
      <w:r>
        <w:rPr>
          <w:i/>
        </w:rPr>
        <w:t xml:space="preserve"> გზების მხრივ:</w:t>
      </w:r>
      <w:r>
        <w:t xml:space="preserve"> იშვიათად - ჰეპატიტი, სიხშირე უცნობია - პანკრეატიტი, ღვიძლის ფუნქციის დარღვევა </w:t>
      </w:r>
    </w:p>
    <w:p w14:paraId="2621EA44" w14:textId="39F96B6C" w:rsidR="006952FF" w:rsidRDefault="00E54B8E" w:rsidP="00D86C4E">
      <w:pPr>
        <w:pStyle w:val="P68B1DB1-Normal2"/>
        <w:jc w:val="both"/>
      </w:pPr>
      <w:r>
        <w:rPr>
          <w:i/>
        </w:rPr>
        <w:t>დარღვევები კანის და კანქვეშა ქსოვილების მხრივ:</w:t>
      </w:r>
      <w:r>
        <w:t xml:space="preserve"> არახშირად - ჭინჭრის ციება, ქავილი, გამონაყარი, სიხშირე უცნობია - </w:t>
      </w:r>
      <w:proofErr w:type="spellStart"/>
      <w:r>
        <w:t>ფოტომგრძნობელობა</w:t>
      </w:r>
      <w:proofErr w:type="spellEnd"/>
    </w:p>
    <w:p w14:paraId="78178D0C" w14:textId="5242C506" w:rsidR="006952FF" w:rsidRDefault="00E54B8E" w:rsidP="00D86C4E">
      <w:pPr>
        <w:pStyle w:val="P68B1DB1-Normal2"/>
        <w:jc w:val="both"/>
      </w:pPr>
      <w:r>
        <w:rPr>
          <w:i/>
        </w:rPr>
        <w:t>დარღვევები ჩონჩხ-კუნთოვანი და შემაერთებელი ქსოვილის მხრივ:</w:t>
      </w:r>
      <w:r>
        <w:t xml:space="preserve"> სიხშირე უცნობია - </w:t>
      </w:r>
      <w:proofErr w:type="spellStart"/>
      <w:r>
        <w:t>მიალგია</w:t>
      </w:r>
      <w:proofErr w:type="spellEnd"/>
      <w:r>
        <w:t xml:space="preserve">, </w:t>
      </w:r>
      <w:proofErr w:type="spellStart"/>
      <w:r>
        <w:t>ართრალგია</w:t>
      </w:r>
      <w:proofErr w:type="spellEnd"/>
      <w:r>
        <w:t xml:space="preserve"> </w:t>
      </w:r>
      <w:proofErr w:type="spellStart"/>
      <w:r>
        <w:t>რაბდომიოლიზი</w:t>
      </w:r>
      <w:proofErr w:type="spellEnd"/>
    </w:p>
    <w:p w14:paraId="3A8B06D6" w14:textId="48E781ED" w:rsidR="006952FF" w:rsidRDefault="00E54B8E" w:rsidP="00D86C4E">
      <w:pPr>
        <w:pStyle w:val="P68B1DB1-Normal2"/>
        <w:jc w:val="both"/>
      </w:pPr>
      <w:r>
        <w:rPr>
          <w:i/>
        </w:rPr>
        <w:t>დარღვევები თირკმელების და საშარდე გზების მხრივ:</w:t>
      </w:r>
      <w:r>
        <w:t xml:space="preserve"> ხშირად - თირკმელების ფუნქციის დარღვევა, თირკმლის უკმარისობა</w:t>
      </w:r>
    </w:p>
    <w:p w14:paraId="64B5EBD6" w14:textId="77777777" w:rsidR="006952FF" w:rsidRDefault="00E54B8E" w:rsidP="00D86C4E">
      <w:pPr>
        <w:pStyle w:val="P68B1DB1-Normal2"/>
        <w:jc w:val="both"/>
      </w:pPr>
      <w:r>
        <w:rPr>
          <w:i/>
        </w:rPr>
        <w:t>დარღვევები სასქესო ორგანოების და სარძევე ჯირკვლების მხრივ:</w:t>
      </w:r>
      <w:r>
        <w:t xml:space="preserve"> სიხშირე უცნობია - </w:t>
      </w:r>
      <w:proofErr w:type="spellStart"/>
      <w:r>
        <w:t>ერექციული</w:t>
      </w:r>
      <w:proofErr w:type="spellEnd"/>
      <w:r>
        <w:t xml:space="preserve"> დისფუნქცია/იმპოტენცია</w:t>
      </w:r>
    </w:p>
    <w:p w14:paraId="029214CA" w14:textId="74703131" w:rsidR="006952FF" w:rsidRDefault="00E54B8E" w:rsidP="00D86C4E">
      <w:pPr>
        <w:pStyle w:val="P68B1DB1-Normal2"/>
        <w:jc w:val="both"/>
      </w:pPr>
      <w:r>
        <w:rPr>
          <w:i/>
        </w:rPr>
        <w:t>ზოგადი დარღვევები და დარღვევები შეყვანის ადგილას:</w:t>
      </w:r>
      <w:r>
        <w:t xml:space="preserve"> ხშირად - ასთენია, მომატებული დაღლილობა, არახშირად - შეშუპება, სიხშირე უცნობია - ზოგადი სისუსტე</w:t>
      </w:r>
    </w:p>
    <w:p w14:paraId="4F69CA0A" w14:textId="41A5ACFB" w:rsidR="006952FF" w:rsidRDefault="00E54B8E" w:rsidP="00D86C4E">
      <w:pPr>
        <w:pStyle w:val="P68B1DB1-Normal2"/>
        <w:jc w:val="both"/>
      </w:pPr>
      <w:r>
        <w:rPr>
          <w:i/>
        </w:rPr>
        <w:t>ლაბორატორიული და ინსტრუმენტული მონაცემები:</w:t>
      </w:r>
      <w:r>
        <w:t xml:space="preserve"> ხშირად - </w:t>
      </w:r>
      <w:proofErr w:type="spellStart"/>
      <w:r>
        <w:t>ჰიპერკალიემია</w:t>
      </w:r>
      <w:proofErr w:type="spellEnd"/>
      <w:r>
        <w:t xml:space="preserve">,  სისხლის შარდოვანას, შრატის </w:t>
      </w:r>
      <w:proofErr w:type="spellStart"/>
      <w:r>
        <w:t>კრეატინინის</w:t>
      </w:r>
      <w:proofErr w:type="spellEnd"/>
      <w:r>
        <w:t xml:space="preserve"> და შრატის კალიუმის მომატებული კონცენტრაცია, ჰიპოგლიკემია, იშვიათად - </w:t>
      </w:r>
      <w:proofErr w:type="spellStart"/>
      <w:r>
        <w:t>ალანინამინოტრანსფერაზას</w:t>
      </w:r>
      <w:proofErr w:type="spellEnd"/>
      <w:r>
        <w:t xml:space="preserve"> (ALT) მომატება, სიხშირე უცნობია - </w:t>
      </w:r>
      <w:proofErr w:type="spellStart"/>
      <w:r>
        <w:t>ჰიპონატრიემია</w:t>
      </w:r>
      <w:proofErr w:type="spellEnd"/>
    </w:p>
    <w:p w14:paraId="4FBCCB6E" w14:textId="0BE9F3DA" w:rsidR="006952FF" w:rsidRDefault="006952FF" w:rsidP="00D86C4E">
      <w:pPr>
        <w:jc w:val="both"/>
        <w:rPr>
          <w:rFonts w:ascii="Sylfaen" w:hAnsi="Sylfaen"/>
        </w:rPr>
      </w:pPr>
    </w:p>
    <w:p w14:paraId="18AFBB93" w14:textId="4203B353" w:rsidR="006952FF" w:rsidRDefault="00E54B8E" w:rsidP="00D86C4E">
      <w:pPr>
        <w:pStyle w:val="P68B1DB1-Normal1"/>
        <w:jc w:val="both"/>
      </w:pPr>
      <w:r>
        <w:t>უკუჩვენებები</w:t>
      </w:r>
    </w:p>
    <w:p w14:paraId="293C9D6E" w14:textId="06A7ABB3" w:rsidR="006952FF" w:rsidRDefault="00E54B8E" w:rsidP="00D86C4E">
      <w:pPr>
        <w:pStyle w:val="P68B1DB1-ListParagraph5"/>
        <w:numPr>
          <w:ilvl w:val="0"/>
          <w:numId w:val="3"/>
        </w:numPr>
        <w:jc w:val="both"/>
      </w:pPr>
      <w:r>
        <w:t>მომატებული მგრძნობელობა აქტიური ნივთიერების ან რომელიმე დამხმარე ნივთიერების მიმართ, რომლებიც ჩამოთვლილია პუნქტში გაფრთხილებები და განსაკუთრებული მითითებები და პუნქტში 6.1.</w:t>
      </w:r>
    </w:p>
    <w:p w14:paraId="1BD1A614" w14:textId="77777777" w:rsidR="006952FF" w:rsidRDefault="00E54B8E" w:rsidP="00D86C4E">
      <w:pPr>
        <w:pStyle w:val="P68B1DB1-ListParagraph5"/>
        <w:numPr>
          <w:ilvl w:val="0"/>
          <w:numId w:val="3"/>
        </w:numPr>
        <w:jc w:val="both"/>
      </w:pPr>
      <w:r>
        <w:t>ორსულობის მე-2 და მე-3 ტრიმესტრი (იხ. პუნქტი გაფრთხილებები და განსაკუთრებული მითითებები).</w:t>
      </w:r>
    </w:p>
    <w:p w14:paraId="6972A62D" w14:textId="624DDA63" w:rsidR="006952FF" w:rsidRDefault="00E54B8E" w:rsidP="00D86C4E">
      <w:pPr>
        <w:pStyle w:val="P68B1DB1-ListParagraph5"/>
        <w:numPr>
          <w:ilvl w:val="0"/>
          <w:numId w:val="3"/>
        </w:numPr>
        <w:jc w:val="both"/>
      </w:pPr>
      <w:r>
        <w:t>ღვიძლის ფუნქციის მძიმე დარღვევა</w:t>
      </w:r>
    </w:p>
    <w:p w14:paraId="5FBFFD60" w14:textId="52E1AE5A" w:rsidR="006952FF" w:rsidRDefault="00E54B8E" w:rsidP="00D86C4E">
      <w:pPr>
        <w:pStyle w:val="P68B1DB1-ListParagraph5"/>
        <w:numPr>
          <w:ilvl w:val="0"/>
          <w:numId w:val="3"/>
        </w:numPr>
        <w:jc w:val="both"/>
      </w:pPr>
      <w:proofErr w:type="spellStart"/>
      <w:r>
        <w:t>ლოზარტანის</w:t>
      </w:r>
      <w:proofErr w:type="spellEnd"/>
      <w:r>
        <w:t xml:space="preserve"> ერთდროულად გამოყენება </w:t>
      </w:r>
      <w:proofErr w:type="spellStart"/>
      <w:r>
        <w:t>ალისკირენის</w:t>
      </w:r>
      <w:proofErr w:type="spellEnd"/>
      <w:r>
        <w:t xml:space="preserve"> შემცველ პრეპარატებთან </w:t>
      </w:r>
      <w:proofErr w:type="spellStart"/>
      <w:r>
        <w:t>უკუნაჩვენებია</w:t>
      </w:r>
      <w:proofErr w:type="spellEnd"/>
      <w:r>
        <w:t xml:space="preserve"> შაქრიანი დიაბეტის ან თირკმლის უკმარისობის მქონე პაციენტებში (</w:t>
      </w:r>
      <w:proofErr w:type="spellStart"/>
      <w:r>
        <w:t>გფს</w:t>
      </w:r>
      <w:proofErr w:type="spellEnd"/>
      <w:r>
        <w:t xml:space="preserve"> &lt;60 მლ/</w:t>
      </w:r>
      <w:proofErr w:type="spellStart"/>
      <w:r>
        <w:t>წთ</w:t>
      </w:r>
      <w:proofErr w:type="spellEnd"/>
      <w:r>
        <w:t>/1,73 მ</w:t>
      </w:r>
      <w:r>
        <w:rPr>
          <w:vertAlign w:val="superscript"/>
        </w:rPr>
        <w:t>2</w:t>
      </w:r>
      <w:r>
        <w:t>) (იხ. პუნქტი ურთიერთქმედება სხვა სამკურნალო საშუალებებთან).</w:t>
      </w:r>
    </w:p>
    <w:p w14:paraId="36EA98C0" w14:textId="3BFD58E7" w:rsidR="006952FF" w:rsidRDefault="006952FF" w:rsidP="00D86C4E">
      <w:pPr>
        <w:jc w:val="both"/>
        <w:rPr>
          <w:rFonts w:ascii="Sylfaen" w:hAnsi="Sylfaen"/>
        </w:rPr>
      </w:pPr>
    </w:p>
    <w:p w14:paraId="5423E74A" w14:textId="3B18570C" w:rsidR="006952FF" w:rsidRDefault="00E54B8E" w:rsidP="00D86C4E">
      <w:pPr>
        <w:pStyle w:val="P68B1DB1-Normal1"/>
        <w:jc w:val="both"/>
      </w:pPr>
      <w:r>
        <w:t>გაფრთხილებები და განსაკუთრებული მითითებები</w:t>
      </w:r>
    </w:p>
    <w:p w14:paraId="006CD4AF" w14:textId="2FD047DF" w:rsidR="006952FF" w:rsidRDefault="00E54B8E" w:rsidP="00D86C4E">
      <w:pPr>
        <w:pStyle w:val="P68B1DB1-Normal7"/>
        <w:jc w:val="both"/>
      </w:pPr>
      <w:r>
        <w:t>მომატებული მგრძნობელობა</w:t>
      </w:r>
    </w:p>
    <w:p w14:paraId="17B0C469" w14:textId="4DF4C81F" w:rsidR="006952FF" w:rsidRDefault="00E54B8E" w:rsidP="00D86C4E">
      <w:pPr>
        <w:pStyle w:val="P68B1DB1-Normal2"/>
        <w:jc w:val="both"/>
      </w:pPr>
      <w:proofErr w:type="spellStart"/>
      <w:r>
        <w:lastRenderedPageBreak/>
        <w:t>ანგიონევროზული</w:t>
      </w:r>
      <w:proofErr w:type="spellEnd"/>
      <w:r>
        <w:t xml:space="preserve"> შეშუპება ანამნეზში </w:t>
      </w:r>
      <w:proofErr w:type="spellStart"/>
      <w:r>
        <w:t>ანგიონევროზული</w:t>
      </w:r>
      <w:proofErr w:type="spellEnd"/>
      <w:r>
        <w:t xml:space="preserve"> შეშუპების მქონე პაციენტები (სახის, ტუჩების, ხახის / ხორხის და/ან ენის შეშუპება) უნდა იმყოფებოდნენ ექიმის მკაცრი მეთვალყურეობის ქვეშ (იხ. პუნქტი გვერდითი მოვლენები). </w:t>
      </w:r>
    </w:p>
    <w:p w14:paraId="736BA69D" w14:textId="42AE3C4E" w:rsidR="006952FF" w:rsidRDefault="00E54B8E" w:rsidP="00D86C4E">
      <w:pPr>
        <w:pStyle w:val="P68B1DB1-Normal7"/>
        <w:jc w:val="both"/>
      </w:pPr>
      <w:proofErr w:type="spellStart"/>
      <w:r>
        <w:t>ჰიპოტენზია</w:t>
      </w:r>
      <w:proofErr w:type="spellEnd"/>
      <w:r>
        <w:t xml:space="preserve"> და წყლის და </w:t>
      </w:r>
      <w:proofErr w:type="spellStart"/>
      <w:r>
        <w:t>ელექტროლიტების</w:t>
      </w:r>
      <w:proofErr w:type="spellEnd"/>
      <w:r>
        <w:t xml:space="preserve"> ბალანსის დარღვევა</w:t>
      </w:r>
    </w:p>
    <w:p w14:paraId="03E3D744" w14:textId="77777777" w:rsidR="006952FF" w:rsidRDefault="00E54B8E" w:rsidP="00D86C4E">
      <w:pPr>
        <w:pStyle w:val="P68B1DB1-Normal2"/>
        <w:jc w:val="both"/>
      </w:pPr>
      <w:r>
        <w:t xml:space="preserve">შარდმდენების მაღალი დოზებით მკურნალობის, საკვები მარილის შეზღუდული მიღების, დიარეის ან ღებინების გამო </w:t>
      </w:r>
      <w:proofErr w:type="spellStart"/>
      <w:r>
        <w:t>უჯრედშიდა</w:t>
      </w:r>
      <w:proofErr w:type="spellEnd"/>
      <w:r>
        <w:t xml:space="preserve"> სითხის და/ან ნატრიუმის დეფიციტის მქონე პაციენტებში შეიძლება განვითარდეს სიმპტომური </w:t>
      </w:r>
      <w:proofErr w:type="spellStart"/>
      <w:r>
        <w:t>ჰიპოტენზია</w:t>
      </w:r>
      <w:proofErr w:type="spellEnd"/>
      <w:r>
        <w:t xml:space="preserve">, განსაკუთრებით პირველი დოზის შემდეგ. </w:t>
      </w:r>
      <w:proofErr w:type="spellStart"/>
      <w:r>
        <w:t>ლოზარტანის</w:t>
      </w:r>
      <w:proofErr w:type="spellEnd"/>
      <w:r>
        <w:t xml:space="preserve"> გამოყენებამდე უნდა მოხდეს ასეთი მდგომარეობების კორექცია ან უფრო დაბალი საწყისი დოზის გამოყენება (იხ. პუნქტი გამოყენების წესი და დოზები). ეს ასევე ეხება 6-დან 18 წლამდე ასაკის ბავშვებს. </w:t>
      </w:r>
    </w:p>
    <w:p w14:paraId="56C5F37D" w14:textId="314C5D85" w:rsidR="006952FF" w:rsidRDefault="00E54B8E" w:rsidP="00D86C4E">
      <w:pPr>
        <w:pStyle w:val="P68B1DB1-Normal7"/>
        <w:jc w:val="both"/>
      </w:pPr>
      <w:r>
        <w:t>ელექტროლიტური დისბალანსი</w:t>
      </w:r>
    </w:p>
    <w:p w14:paraId="01486C17" w14:textId="49EAF87E" w:rsidR="006952FF" w:rsidRDefault="00E54B8E" w:rsidP="00D86C4E">
      <w:pPr>
        <w:pStyle w:val="P68B1DB1-Normal2"/>
        <w:jc w:val="both"/>
      </w:pPr>
      <w:r>
        <w:t xml:space="preserve">ელექტროლიტური დისბალანსი დამახასიათებელია თირკმელების ფუნქციის დარღვევის მქონე პაციენტებისათვის, შაქრიანი დიაბეტით ან მის გარეშე, ამიტომ მათ განსაკუთრებული ყურადღება უნდა მიექცეს. </w:t>
      </w:r>
      <w:proofErr w:type="spellStart"/>
      <w:r>
        <w:t>ნეფროპათიით</w:t>
      </w:r>
      <w:proofErr w:type="spellEnd"/>
      <w:r>
        <w:t xml:space="preserve"> მე-2 ტიპის დიაბეტის მქონე პაციენტების მონაწილეობით ჩატარებული კლინიკური კვლევის ფარგლებში, </w:t>
      </w:r>
      <w:proofErr w:type="spellStart"/>
      <w:r>
        <w:t>ჰიპერკალიემიის</w:t>
      </w:r>
      <w:proofErr w:type="spellEnd"/>
      <w:r>
        <w:t xml:space="preserve"> განვითარების სიხშირე უფრო მაღალი იყო ჯგუფში, რომელშიც იღებდნენ </w:t>
      </w:r>
      <w:proofErr w:type="spellStart"/>
      <w:r>
        <w:t>ლოზარტანს</w:t>
      </w:r>
      <w:proofErr w:type="spellEnd"/>
      <w:r>
        <w:t xml:space="preserve">, იმ ჯგუფთან შედარებით,  რომელშიც იღებდნენ პლაცებოს (იხ. პუნქტი გვერდითი მოვლენები). ამასთან დაკავშირებით, უნდა მოხდეს სისხლის პლაზმაში კალიუმის კონცენტრაციის და </w:t>
      </w:r>
      <w:proofErr w:type="spellStart"/>
      <w:r>
        <w:t>კრეატინინის</w:t>
      </w:r>
      <w:proofErr w:type="spellEnd"/>
      <w:r>
        <w:t xml:space="preserve"> კლირენსის მნიშვნელობების საგულდაგულო მონიტორინგი; განსაკუთრებით გულის უკმარისობის და 30-50 მლ/</w:t>
      </w:r>
      <w:proofErr w:type="spellStart"/>
      <w:r>
        <w:t>წთ</w:t>
      </w:r>
      <w:proofErr w:type="spellEnd"/>
      <w:r>
        <w:t xml:space="preserve"> დიაპაზონში </w:t>
      </w:r>
      <w:proofErr w:type="spellStart"/>
      <w:r>
        <w:t>კრეატინინის</w:t>
      </w:r>
      <w:proofErr w:type="spellEnd"/>
      <w:r>
        <w:t xml:space="preserve"> კლირენსის მქონე პაციენტებში.</w:t>
      </w:r>
    </w:p>
    <w:p w14:paraId="3F9BFDDE" w14:textId="77777777" w:rsidR="006952FF" w:rsidRDefault="00E54B8E" w:rsidP="00D86C4E">
      <w:pPr>
        <w:pStyle w:val="P68B1DB1-Normal2"/>
        <w:jc w:val="both"/>
      </w:pPr>
      <w:r>
        <w:t xml:space="preserve">არ არის რეკომენდებული </w:t>
      </w:r>
      <w:proofErr w:type="spellStart"/>
      <w:r>
        <w:t>ლოზარტანთან</w:t>
      </w:r>
      <w:proofErr w:type="spellEnd"/>
      <w:r>
        <w:t xml:space="preserve"> ერთად კალიუმის დამზოგველი შარდმდენების, კალიუმის პრეპარატების და კალიუმის შემცველი მარილის შემცვლელების გამოყენება (იხ. პუნქტი ურთიერთქმედება სხვა სამკურნალო საშუალებებთან). </w:t>
      </w:r>
    </w:p>
    <w:p w14:paraId="5E670397" w14:textId="05D723B7" w:rsidR="006952FF" w:rsidRDefault="00E54B8E" w:rsidP="00D86C4E">
      <w:pPr>
        <w:pStyle w:val="P68B1DB1-Normal7"/>
        <w:jc w:val="both"/>
      </w:pPr>
      <w:r>
        <w:t>ღვიძლის ფუნქციის დარღვევა</w:t>
      </w:r>
    </w:p>
    <w:p w14:paraId="31019ECF" w14:textId="77777777" w:rsidR="006952FF" w:rsidRDefault="00E54B8E" w:rsidP="00D86C4E">
      <w:pPr>
        <w:pStyle w:val="P68B1DB1-Normal2"/>
        <w:jc w:val="both"/>
      </w:pPr>
      <w:proofErr w:type="spellStart"/>
      <w:r>
        <w:t>ფარმაკოკინეტიკური</w:t>
      </w:r>
      <w:proofErr w:type="spellEnd"/>
      <w:r>
        <w:t xml:space="preserve"> კვლევების მონაცემები მიუთითებს, რომ ღვიძლის ციროზის მქონე პაციენტებში სისხლის პლაზმაში </w:t>
      </w:r>
      <w:proofErr w:type="spellStart"/>
      <w:r>
        <w:t>ლოზარტანის</w:t>
      </w:r>
      <w:proofErr w:type="spellEnd"/>
      <w:r>
        <w:t xml:space="preserve"> კონცენტრაცია მნიშვნელოვნად იმატებს, ამიტომ, ანამნეზში ღვიძლის ფუნქციის დარღვევის მქონე პაციენტებში, უნდა მოხდეს უფრო დაბალი დოზის გამოყენება. ღვიძლის ფუნქციის მძიმე დარღვევების მქონე პაციენტებში </w:t>
      </w:r>
      <w:proofErr w:type="spellStart"/>
      <w:r>
        <w:t>ლოზარტანის</w:t>
      </w:r>
      <w:proofErr w:type="spellEnd"/>
      <w:r>
        <w:t xml:space="preserve"> გამოყენების თერაპიული გამოცდილება არ არსებობს. ამიტომ, </w:t>
      </w:r>
      <w:proofErr w:type="spellStart"/>
      <w:r>
        <w:t>ლოზარტანი</w:t>
      </w:r>
      <w:proofErr w:type="spellEnd"/>
      <w:r>
        <w:t xml:space="preserve"> </w:t>
      </w:r>
      <w:proofErr w:type="spellStart"/>
      <w:r>
        <w:t>უკუნაჩვენებია</w:t>
      </w:r>
      <w:proofErr w:type="spellEnd"/>
      <w:r>
        <w:t xml:space="preserve"> ღვიძლის ფუნქციის მძიმე დარღვევების მქონე პაციენტებისათვის (იხ. პუნქტები გამოყენების წესი და დოზები, უკუჩვენებები და ფარმაკოლოგიური თვისებები). </w:t>
      </w:r>
    </w:p>
    <w:p w14:paraId="69912705" w14:textId="77777777" w:rsidR="006952FF" w:rsidRDefault="00E54B8E" w:rsidP="00D86C4E">
      <w:pPr>
        <w:pStyle w:val="P68B1DB1-Normal2"/>
        <w:jc w:val="both"/>
      </w:pPr>
      <w:proofErr w:type="spellStart"/>
      <w:r>
        <w:t>ლოზარტანი</w:t>
      </w:r>
      <w:proofErr w:type="spellEnd"/>
      <w:r>
        <w:t xml:space="preserve"> არ არის რეკომენდებული ღვიძლის ფუნქციის დარღვევის მქონე ბავშვებისათვის (იხ. პუნქტი გამოყენების წესი და დოზები). </w:t>
      </w:r>
    </w:p>
    <w:p w14:paraId="263634B5" w14:textId="655E51C3" w:rsidR="006952FF" w:rsidRDefault="00E54B8E" w:rsidP="00D86C4E">
      <w:pPr>
        <w:pStyle w:val="P68B1DB1-Normal7"/>
        <w:jc w:val="both"/>
      </w:pPr>
      <w:r>
        <w:t>თირკმელების ფუნქციის დარღვევა</w:t>
      </w:r>
    </w:p>
    <w:p w14:paraId="33E8F790" w14:textId="647993E4" w:rsidR="006952FF" w:rsidRDefault="00E54B8E" w:rsidP="00D86C4E">
      <w:pPr>
        <w:pStyle w:val="P68B1DB1-Normal2"/>
        <w:jc w:val="both"/>
      </w:pPr>
      <w:proofErr w:type="spellStart"/>
      <w:r>
        <w:t>რენინ-ანგიოტენზინ-ალდოსტერონის</w:t>
      </w:r>
      <w:proofErr w:type="spellEnd"/>
      <w:r>
        <w:t xml:space="preserve"> სისტემის </w:t>
      </w:r>
      <w:proofErr w:type="spellStart"/>
      <w:r>
        <w:t>ინჰიბირების</w:t>
      </w:r>
      <w:proofErr w:type="spellEnd"/>
      <w:r>
        <w:t xml:space="preserve"> შედეგად აღინიშნა თირკმლის ფუნქციის ცვლილებები, მათ შორის თირკმლის უკმარისობის განვითარება (განსაკუთრებით იმ პაციენტებში, რომელთა თირკმლის ფუნქცია დამოკიდებულია </w:t>
      </w:r>
      <w:proofErr w:type="spellStart"/>
      <w:r>
        <w:t>რენინ-ანგიოტენზინ-ალდოსტერონის</w:t>
      </w:r>
      <w:proofErr w:type="spellEnd"/>
      <w:r>
        <w:t xml:space="preserve"> სისტემაზე, მაგალითად, ანამნეზში გულის მძიმე უკმარისობის ან თირკმლის დისფუნქციის მქონე პაციენტებში). ისევე როგორც სხვა პრეპარატების შემთხვევაში, რომლებიც გავლენას ახდენენ </w:t>
      </w:r>
      <w:proofErr w:type="spellStart"/>
      <w:r>
        <w:t>რენინ-ანგიოტენზინ-ალდოსტერონის</w:t>
      </w:r>
      <w:proofErr w:type="spellEnd"/>
      <w:r>
        <w:t xml:space="preserve"> სისტემაზე, თირკმლის არტერიის ორმხრივი სტენოზის ან ერთადერთი თირკმლის არტერიის სტენოზის მქონე პაციენტებში აღინიშნებოდა სისხლში შარდოვანას და შრატში </w:t>
      </w:r>
      <w:proofErr w:type="spellStart"/>
      <w:r>
        <w:t>კრეატინინის</w:t>
      </w:r>
      <w:proofErr w:type="spellEnd"/>
      <w:r>
        <w:t xml:space="preserve"> კონცენტრაციის მომატება; </w:t>
      </w:r>
      <w:r>
        <w:lastRenderedPageBreak/>
        <w:t xml:space="preserve">თირკმელების ფუნქციის ეს ცვლილებები შეიძლება შექცევადი იყოს თერაპიის შეწყვეტის შემდეგ. </w:t>
      </w:r>
      <w:proofErr w:type="spellStart"/>
      <w:r>
        <w:t>ლოზარტანის</w:t>
      </w:r>
      <w:proofErr w:type="spellEnd"/>
      <w:r>
        <w:t xml:space="preserve"> გამოყენება უნდა მოხდეს სიფრთხილით თირკმლის არტერიის ორმხრივი სტენოზის ან ერთადერთი თირკმლის არტერიის სტენოზის მქონე პაციენტებში. </w:t>
      </w:r>
    </w:p>
    <w:p w14:paraId="19B24B6C" w14:textId="4A50C017" w:rsidR="006952FF" w:rsidRDefault="00E54B8E" w:rsidP="00D86C4E">
      <w:pPr>
        <w:pStyle w:val="P68B1DB1-Normal3"/>
        <w:jc w:val="both"/>
      </w:pPr>
      <w:r>
        <w:t xml:space="preserve">გამოიყენება თირკმელების ფუნქციის დარღვევის მქონე ბავშვებში </w:t>
      </w:r>
    </w:p>
    <w:p w14:paraId="3225640F" w14:textId="77777777" w:rsidR="006952FF" w:rsidRDefault="00E54B8E" w:rsidP="00D86C4E">
      <w:pPr>
        <w:pStyle w:val="P68B1DB1-Normal2"/>
        <w:jc w:val="both"/>
      </w:pPr>
      <w:r>
        <w:t xml:space="preserve">მონაცემების არარსებობის გამო, </w:t>
      </w:r>
      <w:proofErr w:type="spellStart"/>
      <w:r>
        <w:t>ლოზარტანი</w:t>
      </w:r>
      <w:proofErr w:type="spellEnd"/>
      <w:r>
        <w:t xml:space="preserve"> არ არის რეკომენდებული &lt;30 მლ/</w:t>
      </w:r>
      <w:proofErr w:type="spellStart"/>
      <w:r>
        <w:t>წთ</w:t>
      </w:r>
      <w:proofErr w:type="spellEnd"/>
      <w:r>
        <w:t>/1,73 მ</w:t>
      </w:r>
      <w:r>
        <w:rPr>
          <w:vertAlign w:val="superscript"/>
        </w:rPr>
        <w:t>2</w:t>
      </w:r>
      <w:r>
        <w:t xml:space="preserve"> </w:t>
      </w:r>
      <w:proofErr w:type="spellStart"/>
      <w:r>
        <w:t>გორგლოვანი</w:t>
      </w:r>
      <w:proofErr w:type="spellEnd"/>
      <w:r>
        <w:t xml:space="preserve"> ფილტრაციის სიჩქარის მქონე ბავშვებისათვის (იხ. პუნქტი გამოყენების წესი და დოზები). </w:t>
      </w:r>
    </w:p>
    <w:p w14:paraId="5F7C5BD4" w14:textId="77777777" w:rsidR="006952FF" w:rsidRDefault="00E54B8E" w:rsidP="00D86C4E">
      <w:pPr>
        <w:pStyle w:val="P68B1DB1-Normal2"/>
        <w:jc w:val="both"/>
      </w:pPr>
      <w:proofErr w:type="spellStart"/>
      <w:r>
        <w:t>ლოზარტანით</w:t>
      </w:r>
      <w:proofErr w:type="spellEnd"/>
      <w:r>
        <w:t xml:space="preserve"> მკურნალობის დროს უნდა მოხდეს თირკმელების ფუნქციის რეგულარული კონტროლი, რადგან იგი შეიძლება დაქვეითდეს. ეს განსაკუთრებით ეხება იმ შემთხვევებს, როდესაც </w:t>
      </w:r>
      <w:proofErr w:type="spellStart"/>
      <w:r>
        <w:t>ლოზარტანი</w:t>
      </w:r>
      <w:proofErr w:type="spellEnd"/>
      <w:r>
        <w:t xml:space="preserve"> მიიღება ისეთი სხვა მდგომარეობების არსებობისას (ცხელება, </w:t>
      </w:r>
      <w:proofErr w:type="spellStart"/>
      <w:r>
        <w:t>დეჰიდრატაცია</w:t>
      </w:r>
      <w:proofErr w:type="spellEnd"/>
      <w:r>
        <w:t xml:space="preserve">), რომლებმაც შეიძლება დაარღვიოს თირკმელების ფუნქცია. </w:t>
      </w:r>
    </w:p>
    <w:p w14:paraId="68043DA8" w14:textId="77777777" w:rsidR="006952FF" w:rsidRDefault="00E54B8E" w:rsidP="00D86C4E">
      <w:pPr>
        <w:pStyle w:val="P68B1DB1-Normal2"/>
        <w:jc w:val="both"/>
      </w:pPr>
      <w:proofErr w:type="spellStart"/>
      <w:r>
        <w:t>ლოზარტანის</w:t>
      </w:r>
      <w:proofErr w:type="spellEnd"/>
      <w:r>
        <w:t xml:space="preserve"> და </w:t>
      </w:r>
      <w:proofErr w:type="spellStart"/>
      <w:r>
        <w:t>აგფ</w:t>
      </w:r>
      <w:proofErr w:type="spellEnd"/>
      <w:r>
        <w:t xml:space="preserve"> ინჰიბიტორების ერთდროულმა გამოყენებამ აჩვენა თირკმელების ფუნქციის დარღვევა. ამიტომ, ერთდროული გამოყენება რეკომენდებული არ არის (იხ. პუნქტი ურთიერთქმედება სხვა სამკურნალო საშუალებებთან). </w:t>
      </w:r>
    </w:p>
    <w:p w14:paraId="05BE448E" w14:textId="16E6017C" w:rsidR="006952FF" w:rsidRDefault="00E54B8E" w:rsidP="00D86C4E">
      <w:pPr>
        <w:pStyle w:val="P68B1DB1-Normal7"/>
        <w:jc w:val="both"/>
      </w:pPr>
      <w:r>
        <w:t>თირკმლის გადანერგვა</w:t>
      </w:r>
    </w:p>
    <w:p w14:paraId="6F58ABFD" w14:textId="77777777" w:rsidR="006952FF" w:rsidRDefault="00E54B8E" w:rsidP="00D86C4E">
      <w:pPr>
        <w:pStyle w:val="P68B1DB1-Normal2"/>
        <w:jc w:val="both"/>
      </w:pPr>
      <w:r>
        <w:t xml:space="preserve">ცოტა ხნით ადრე გადანერგილი თირკმლის მქონე პაციენტებში გამოყენების გამოცდილება არ არსებობს. </w:t>
      </w:r>
    </w:p>
    <w:p w14:paraId="5270E5A5" w14:textId="77777777" w:rsidR="006952FF" w:rsidRDefault="00E54B8E" w:rsidP="00D86C4E">
      <w:pPr>
        <w:pStyle w:val="P68B1DB1-Normal7"/>
        <w:jc w:val="both"/>
      </w:pPr>
      <w:r>
        <w:t xml:space="preserve">პირველადი </w:t>
      </w:r>
      <w:proofErr w:type="spellStart"/>
      <w:r>
        <w:t>ჰიპერალდოსტერონიზმი</w:t>
      </w:r>
      <w:proofErr w:type="spellEnd"/>
      <w:r>
        <w:t xml:space="preserve"> </w:t>
      </w:r>
    </w:p>
    <w:p w14:paraId="7F5DDAFE" w14:textId="5026D184" w:rsidR="006952FF" w:rsidRDefault="00E54B8E" w:rsidP="00D86C4E">
      <w:pPr>
        <w:pStyle w:val="P68B1DB1-Normal2"/>
        <w:jc w:val="both"/>
      </w:pPr>
      <w:r>
        <w:t xml:space="preserve">პირველადი </w:t>
      </w:r>
      <w:proofErr w:type="spellStart"/>
      <w:r>
        <w:t>ჰიპერალდოსტერონიზმის</w:t>
      </w:r>
      <w:proofErr w:type="spellEnd"/>
      <w:r>
        <w:t xml:space="preserve"> </w:t>
      </w:r>
      <w:proofErr w:type="spellStart"/>
      <w:r>
        <w:t>მეონე</w:t>
      </w:r>
      <w:proofErr w:type="spellEnd"/>
      <w:r>
        <w:t xml:space="preserve"> პაციენტებში, როგორც წესი, </w:t>
      </w:r>
      <w:proofErr w:type="spellStart"/>
      <w:r>
        <w:t>რენინ-ანგიოტენზინის</w:t>
      </w:r>
      <w:proofErr w:type="spellEnd"/>
      <w:r>
        <w:t xml:space="preserve"> სისტემის </w:t>
      </w:r>
      <w:proofErr w:type="spellStart"/>
      <w:r>
        <w:t>ინჰიბირების</w:t>
      </w:r>
      <w:proofErr w:type="spellEnd"/>
      <w:r>
        <w:t xml:space="preserve"> საშუალებით მოქმედი </w:t>
      </w:r>
      <w:proofErr w:type="spellStart"/>
      <w:r>
        <w:t>ანტიჰიპერტენზიული</w:t>
      </w:r>
      <w:proofErr w:type="spellEnd"/>
      <w:r>
        <w:t xml:space="preserve"> საშუალებებით თერაპიაზე დადებითი პასუხი არ აღინიშნება. ამის გამო, </w:t>
      </w:r>
      <w:proofErr w:type="spellStart"/>
      <w:r>
        <w:t>ლოზარტანის</w:t>
      </w:r>
      <w:proofErr w:type="spellEnd"/>
      <w:r>
        <w:t xml:space="preserve"> გამოყენება რეკომენდებული არ არის. </w:t>
      </w:r>
    </w:p>
    <w:p w14:paraId="4EA72E78" w14:textId="77777777" w:rsidR="006952FF" w:rsidRDefault="00E54B8E" w:rsidP="00D86C4E">
      <w:pPr>
        <w:pStyle w:val="P68B1DB1-Normal7"/>
        <w:jc w:val="both"/>
      </w:pPr>
      <w:r>
        <w:t xml:space="preserve">გულის იშემიური დაავადება და </w:t>
      </w:r>
      <w:proofErr w:type="spellStart"/>
      <w:r>
        <w:t>ცერებროვასკულური</w:t>
      </w:r>
      <w:proofErr w:type="spellEnd"/>
      <w:r>
        <w:t xml:space="preserve"> დაავადება </w:t>
      </w:r>
    </w:p>
    <w:p w14:paraId="7EAE9685" w14:textId="77777777" w:rsidR="006952FF" w:rsidRDefault="00E54B8E" w:rsidP="00D86C4E">
      <w:pPr>
        <w:pStyle w:val="P68B1DB1-Normal2"/>
        <w:jc w:val="both"/>
      </w:pPr>
      <w:r>
        <w:t xml:space="preserve">როგორც ნებისმიერი სხვა </w:t>
      </w:r>
      <w:proofErr w:type="spellStart"/>
      <w:r>
        <w:t>ანტიჰიპერტენზიული</w:t>
      </w:r>
      <w:proofErr w:type="spellEnd"/>
      <w:r>
        <w:t xml:space="preserve"> საშუალების შემთხვევაში, გულის იშემიური დაავადების და </w:t>
      </w:r>
      <w:proofErr w:type="spellStart"/>
      <w:r>
        <w:t>ცერებროვასკულური</w:t>
      </w:r>
      <w:proofErr w:type="spellEnd"/>
      <w:r>
        <w:t xml:space="preserve"> დაავადების მქონე პაციენტებში არტერიული წნევის ზედმეტმა შემცირებამ, შეიძლება გამოიწვიოს მიოკარდიუმის ინფარქტის ან ინსულტის განვითარება. </w:t>
      </w:r>
    </w:p>
    <w:p w14:paraId="0AD15FDC" w14:textId="77777777" w:rsidR="006952FF" w:rsidRDefault="00E54B8E" w:rsidP="00D86C4E">
      <w:pPr>
        <w:pStyle w:val="P68B1DB1-Normal7"/>
        <w:jc w:val="both"/>
      </w:pPr>
      <w:r>
        <w:t xml:space="preserve">გულის უკმარისობა </w:t>
      </w:r>
    </w:p>
    <w:p w14:paraId="1D5731FF" w14:textId="77777777" w:rsidR="006952FF" w:rsidRDefault="00E54B8E" w:rsidP="00D86C4E">
      <w:pPr>
        <w:pStyle w:val="P68B1DB1-Normal2"/>
        <w:jc w:val="both"/>
      </w:pPr>
      <w:r>
        <w:t xml:space="preserve">ისევე, როგორც ნებისმიერი სხვა სამკურნალო საშუალების გამოყენებისას, რომლებიც გავლენას ახდენენ </w:t>
      </w:r>
      <w:proofErr w:type="spellStart"/>
      <w:r>
        <w:t>რენინ-ანგიოტენზინის</w:t>
      </w:r>
      <w:proofErr w:type="spellEnd"/>
      <w:r>
        <w:t xml:space="preserve"> სისტემაზე, გულის უკმარისობის მქონე პაციენტებში, თირკმლის </w:t>
      </w:r>
      <w:proofErr w:type="spellStart"/>
      <w:r>
        <w:t>ფუქციის</w:t>
      </w:r>
      <w:proofErr w:type="spellEnd"/>
      <w:r>
        <w:t xml:space="preserve"> დარღვევით ან მის გარეშე, არსებობს მძიმე არტერიული </w:t>
      </w:r>
      <w:proofErr w:type="spellStart"/>
      <w:r>
        <w:t>ჰიპოტენზიის</w:t>
      </w:r>
      <w:proofErr w:type="spellEnd"/>
      <w:r>
        <w:t xml:space="preserve"> და თირკმელების (ხშირად მწვავე) ფუნქციის დარღვევის განვითარების რისკი. </w:t>
      </w:r>
    </w:p>
    <w:p w14:paraId="564BC659" w14:textId="7C40A857" w:rsidR="006952FF" w:rsidRDefault="00E54B8E" w:rsidP="00D86C4E">
      <w:pPr>
        <w:pStyle w:val="P68B1DB1-Normal2"/>
        <w:jc w:val="both"/>
      </w:pPr>
      <w:r>
        <w:t xml:space="preserve">არ არსებობს </w:t>
      </w:r>
      <w:proofErr w:type="spellStart"/>
      <w:r>
        <w:t>ლოზარტანის</w:t>
      </w:r>
      <w:proofErr w:type="spellEnd"/>
      <w:r>
        <w:t xml:space="preserve"> გამოყენების საკმარისი თერაპიული გამოცდილება გულის უკმარისობის და თანმხლები თირკმლის მძიმე უკმარისობის, გულის მძიმე უკმარისობის (NYHA IV კლასი), ასევე, გულის უკმარისობის და სიცოცხლისათვის საშიში  სიმპტომური არითმიების მქონე პაციენტებში. ამიტომ, პაციენტთა ამ ჯგუფებში </w:t>
      </w:r>
      <w:proofErr w:type="spellStart"/>
      <w:r>
        <w:t>ლოზარტანის</w:t>
      </w:r>
      <w:proofErr w:type="spellEnd"/>
      <w:r>
        <w:t xml:space="preserve"> გამოყენება უნდა მოხდეს სიფრთხილით. </w:t>
      </w:r>
      <w:proofErr w:type="spellStart"/>
      <w:r>
        <w:t>ლოზარტანის</w:t>
      </w:r>
      <w:proofErr w:type="spellEnd"/>
      <w:r>
        <w:t xml:space="preserve"> ბეტა-</w:t>
      </w:r>
      <w:proofErr w:type="spellStart"/>
      <w:r>
        <w:t>ბლოკატორებთან</w:t>
      </w:r>
      <w:proofErr w:type="spellEnd"/>
      <w:r>
        <w:t xml:space="preserve"> კომბინაციის გამოყენება უნდა მოხდეს  სიფრთხილით.</w:t>
      </w:r>
    </w:p>
    <w:p w14:paraId="5EE11C3E" w14:textId="77777777" w:rsidR="006952FF" w:rsidRDefault="00E54B8E" w:rsidP="00D86C4E">
      <w:pPr>
        <w:pStyle w:val="P68B1DB1-Normal7"/>
        <w:jc w:val="both"/>
      </w:pPr>
      <w:r>
        <w:t xml:space="preserve">აორტის და </w:t>
      </w:r>
      <w:proofErr w:type="spellStart"/>
      <w:r>
        <w:t>მიტრალური</w:t>
      </w:r>
      <w:proofErr w:type="spellEnd"/>
      <w:r>
        <w:t xml:space="preserve"> სარქვლის სტენოზი, </w:t>
      </w:r>
      <w:proofErr w:type="spellStart"/>
      <w:r>
        <w:t>ჰიპერტროფული</w:t>
      </w:r>
      <w:proofErr w:type="spellEnd"/>
      <w:r>
        <w:t xml:space="preserve"> ობსტრუქციული კარდიომიოპათია</w:t>
      </w:r>
    </w:p>
    <w:p w14:paraId="2AACC326" w14:textId="7D055CCC" w:rsidR="006952FF" w:rsidRDefault="00E54B8E" w:rsidP="00D86C4E">
      <w:pPr>
        <w:pStyle w:val="P68B1DB1-Normal2"/>
        <w:jc w:val="both"/>
      </w:pPr>
      <w:r>
        <w:lastRenderedPageBreak/>
        <w:t xml:space="preserve">ისევე, როგორც სხვა </w:t>
      </w:r>
      <w:proofErr w:type="spellStart"/>
      <w:r>
        <w:t>ვაზოდილატორების</w:t>
      </w:r>
      <w:proofErr w:type="spellEnd"/>
      <w:r>
        <w:t xml:space="preserve"> შემთხვევაში, აორტის ან </w:t>
      </w:r>
      <w:proofErr w:type="spellStart"/>
      <w:r>
        <w:t>მიტრალური</w:t>
      </w:r>
      <w:proofErr w:type="spellEnd"/>
      <w:r>
        <w:t xml:space="preserve"> სტენოზის ან </w:t>
      </w:r>
      <w:proofErr w:type="spellStart"/>
      <w:r>
        <w:t>ჰიპერტროფული</w:t>
      </w:r>
      <w:proofErr w:type="spellEnd"/>
      <w:r>
        <w:t xml:space="preserve"> ობსტრუქციული კარდიომიოპათიის მქონე პაციენტების მკურნალობის დროს უნდა მოხდეს განსაკუთრებული სიფრთხილის დაცვა. </w:t>
      </w:r>
    </w:p>
    <w:p w14:paraId="40C7620B" w14:textId="77777777" w:rsidR="006952FF" w:rsidRDefault="00E54B8E" w:rsidP="00D86C4E">
      <w:pPr>
        <w:pStyle w:val="P68B1DB1-Normal7"/>
        <w:jc w:val="both"/>
      </w:pPr>
      <w:r>
        <w:t xml:space="preserve">ორსულობა </w:t>
      </w:r>
    </w:p>
    <w:p w14:paraId="53E8A3AF" w14:textId="77777777" w:rsidR="006952FF" w:rsidRDefault="00E54B8E" w:rsidP="00D86C4E">
      <w:pPr>
        <w:pStyle w:val="P68B1DB1-Normal2"/>
        <w:jc w:val="both"/>
      </w:pPr>
      <w:r>
        <w:t xml:space="preserve">ორსულობის პერიოდში არ უნდა მოხდეს </w:t>
      </w:r>
      <w:proofErr w:type="spellStart"/>
      <w:r>
        <w:t>ლოზარტანით</w:t>
      </w:r>
      <w:proofErr w:type="spellEnd"/>
      <w:r>
        <w:t xml:space="preserve"> თერაპიის დაწყება. თუ პაციენტებში, რომლებიც დაორსულებას გეგმავენ, </w:t>
      </w:r>
      <w:proofErr w:type="spellStart"/>
      <w:r>
        <w:t>ლოზარტანით</w:t>
      </w:r>
      <w:proofErr w:type="spellEnd"/>
      <w:r>
        <w:t xml:space="preserve"> </w:t>
      </w:r>
      <w:proofErr w:type="spellStart"/>
      <w:r>
        <w:t>ჰიპოტენზიური</w:t>
      </w:r>
      <w:proofErr w:type="spellEnd"/>
      <w:r>
        <w:t xml:space="preserve"> თერაპიის გაგრძელება არ ითვლება აუცილებლად, </w:t>
      </w:r>
      <w:proofErr w:type="spellStart"/>
      <w:r>
        <w:t>ლოზარტანი</w:t>
      </w:r>
      <w:proofErr w:type="spellEnd"/>
      <w:r>
        <w:t xml:space="preserve"> უნდა შეიცვალოს ალტერნატიული </w:t>
      </w:r>
      <w:proofErr w:type="spellStart"/>
      <w:r>
        <w:t>ჰიპოტენზიური</w:t>
      </w:r>
      <w:proofErr w:type="spellEnd"/>
      <w:r>
        <w:t xml:space="preserve"> საშუალებებით, რომლებსაც აქვთ ორსულობის დროს გამოყენების დადგენილი უსაფრთხოება. ორსულობის </w:t>
      </w:r>
      <w:proofErr w:type="spellStart"/>
      <w:r>
        <w:t>დიაგნოზირების</w:t>
      </w:r>
      <w:proofErr w:type="spellEnd"/>
      <w:r>
        <w:t xml:space="preserve"> დროს, </w:t>
      </w:r>
      <w:proofErr w:type="spellStart"/>
      <w:r>
        <w:t>ლოზარტანის</w:t>
      </w:r>
      <w:proofErr w:type="spellEnd"/>
      <w:r>
        <w:t xml:space="preserve"> გამოყენება დაუყოვნებლივ უნდა შეწყდეს და აუცილებლობის შემთხვევაში, დაიწყოს ალტერნატიული თერაპია (იხ. პუნქტი უკუჩვენებები). </w:t>
      </w:r>
    </w:p>
    <w:p w14:paraId="1EDC5C19" w14:textId="43FF910D" w:rsidR="006952FF" w:rsidRDefault="00E54B8E" w:rsidP="00D86C4E">
      <w:pPr>
        <w:pStyle w:val="P68B1DB1-Normal7"/>
        <w:jc w:val="both"/>
      </w:pPr>
      <w:r>
        <w:t>სხვა გაფრთხილებები და სიფრთხილის ზომები</w:t>
      </w:r>
    </w:p>
    <w:p w14:paraId="06C5F7AA" w14:textId="77777777" w:rsidR="006952FF" w:rsidRDefault="00E54B8E" w:rsidP="00D86C4E">
      <w:pPr>
        <w:pStyle w:val="P68B1DB1-Normal2"/>
        <w:jc w:val="both"/>
      </w:pPr>
      <w:r>
        <w:t xml:space="preserve">დაკვირვების თანახმად, </w:t>
      </w:r>
      <w:proofErr w:type="spellStart"/>
      <w:r>
        <w:t>ანგიოტენზინგარდამქმნელი</w:t>
      </w:r>
      <w:proofErr w:type="spellEnd"/>
      <w:r>
        <w:t xml:space="preserve"> ფერმენტის ინჰიბიტორები, </w:t>
      </w:r>
      <w:proofErr w:type="spellStart"/>
      <w:r>
        <w:t>ლოზარტანი</w:t>
      </w:r>
      <w:proofErr w:type="spellEnd"/>
      <w:r>
        <w:t xml:space="preserve"> და </w:t>
      </w:r>
      <w:proofErr w:type="spellStart"/>
      <w:r>
        <w:t>ანგიოტენზინის</w:t>
      </w:r>
      <w:proofErr w:type="spellEnd"/>
      <w:r>
        <w:t xml:space="preserve"> სხვა ანტაგონისტები როგორც ჩანს, ნაკლებად ეფექტურია არტერიული წნევის შესამცირებლად </w:t>
      </w:r>
      <w:proofErr w:type="spellStart"/>
      <w:r>
        <w:t>ნეგროიდული</w:t>
      </w:r>
      <w:proofErr w:type="spellEnd"/>
      <w:r>
        <w:t xml:space="preserve"> რასის პაციენტებში, ვიდრე სხვა რასის წარმომადგენლებში, სავარაუდოდ, იმ მდგომარეობების უფრო მეტად გავრცელების გამო </w:t>
      </w:r>
      <w:proofErr w:type="spellStart"/>
      <w:r>
        <w:t>ჰიპერტენზიის</w:t>
      </w:r>
      <w:proofErr w:type="spellEnd"/>
      <w:r>
        <w:t xml:space="preserve"> მქონე </w:t>
      </w:r>
      <w:proofErr w:type="spellStart"/>
      <w:r>
        <w:t>ნეგროიდული</w:t>
      </w:r>
      <w:proofErr w:type="spellEnd"/>
      <w:r>
        <w:t xml:space="preserve"> რასის პაციენტების პოპულაციაში, რომლებსაც ახასიათებს </w:t>
      </w:r>
      <w:proofErr w:type="spellStart"/>
      <w:r>
        <w:t>რენინის</w:t>
      </w:r>
      <w:proofErr w:type="spellEnd"/>
      <w:r>
        <w:t xml:space="preserve"> მაღალი შემცველობა. </w:t>
      </w:r>
    </w:p>
    <w:p w14:paraId="73BADA4B" w14:textId="3E6C7EF5" w:rsidR="006952FF" w:rsidRDefault="00E54B8E" w:rsidP="00D86C4E">
      <w:pPr>
        <w:pStyle w:val="P68B1DB1-Normal7"/>
        <w:jc w:val="both"/>
      </w:pPr>
      <w:proofErr w:type="spellStart"/>
      <w:r>
        <w:t>რენინ-ანგიოტენზინ-ალდოსტერონის</w:t>
      </w:r>
      <w:proofErr w:type="spellEnd"/>
      <w:r>
        <w:t xml:space="preserve"> სისტემის (</w:t>
      </w:r>
      <w:proofErr w:type="spellStart"/>
      <w:r>
        <w:t>რაას</w:t>
      </w:r>
      <w:proofErr w:type="spellEnd"/>
      <w:r>
        <w:t>) ორმაგი ბლოკადა</w:t>
      </w:r>
    </w:p>
    <w:p w14:paraId="62556F86" w14:textId="77777777" w:rsidR="006952FF" w:rsidRDefault="00E54B8E" w:rsidP="00D86C4E">
      <w:pPr>
        <w:pStyle w:val="P68B1DB1-Normal2"/>
        <w:jc w:val="both"/>
      </w:pPr>
      <w:r>
        <w:t xml:space="preserve">არსებობს იმის მტკიცებულებები, რომ </w:t>
      </w:r>
      <w:proofErr w:type="spellStart"/>
      <w:r>
        <w:t>აგფ</w:t>
      </w:r>
      <w:proofErr w:type="spellEnd"/>
      <w:r>
        <w:t xml:space="preserve"> ინჰიბიტორების, </w:t>
      </w:r>
      <w:proofErr w:type="spellStart"/>
      <w:r>
        <w:t>ანგიოტენზინ</w:t>
      </w:r>
      <w:proofErr w:type="spellEnd"/>
      <w:r>
        <w:t xml:space="preserve"> II რეცეპტორების </w:t>
      </w:r>
      <w:proofErr w:type="spellStart"/>
      <w:r>
        <w:t>ბლოკატორების</w:t>
      </w:r>
      <w:proofErr w:type="spellEnd"/>
      <w:r>
        <w:t xml:space="preserve"> ან </w:t>
      </w:r>
      <w:proofErr w:type="spellStart"/>
      <w:r>
        <w:t>ალისკირენის</w:t>
      </w:r>
      <w:proofErr w:type="spellEnd"/>
      <w:r>
        <w:t xml:space="preserve"> ერთდროული გამოყენება ზრდის არტერიული </w:t>
      </w:r>
      <w:proofErr w:type="spellStart"/>
      <w:r>
        <w:t>ჰიპოტენზიის</w:t>
      </w:r>
      <w:proofErr w:type="spellEnd"/>
      <w:r>
        <w:t xml:space="preserve">, </w:t>
      </w:r>
      <w:proofErr w:type="spellStart"/>
      <w:r>
        <w:t>ჰიპერკალიემიისა</w:t>
      </w:r>
      <w:proofErr w:type="spellEnd"/>
      <w:r>
        <w:t xml:space="preserve"> და თირკმელების ფუნქციის დარღვევის (მათ შორის თირკმლის მწვავე უკმარისობის) განვითარების რისკს. ამასთან დაკავშირებით, არ არის რეკომენდებული </w:t>
      </w:r>
      <w:proofErr w:type="spellStart"/>
      <w:r>
        <w:t>რენინ-ანგიოტენზინ-ალდოსტერონის</w:t>
      </w:r>
      <w:proofErr w:type="spellEnd"/>
      <w:r>
        <w:t xml:space="preserve"> სისტემის ორმაგი ბლოკადა </w:t>
      </w:r>
      <w:proofErr w:type="spellStart"/>
      <w:r>
        <w:t>აგფ</w:t>
      </w:r>
      <w:proofErr w:type="spellEnd"/>
      <w:r>
        <w:t xml:space="preserve"> ინჰიბიტორების, </w:t>
      </w:r>
      <w:proofErr w:type="spellStart"/>
      <w:r>
        <w:t>ანგიოტენზინ</w:t>
      </w:r>
      <w:proofErr w:type="spellEnd"/>
      <w:r>
        <w:t xml:space="preserve"> II რეცეპტორების </w:t>
      </w:r>
      <w:proofErr w:type="spellStart"/>
      <w:r>
        <w:t>ბლოკატორების</w:t>
      </w:r>
      <w:proofErr w:type="spellEnd"/>
      <w:r>
        <w:t xml:space="preserve"> ან </w:t>
      </w:r>
      <w:proofErr w:type="spellStart"/>
      <w:r>
        <w:t>ალისკირენის</w:t>
      </w:r>
      <w:proofErr w:type="spellEnd"/>
      <w:r>
        <w:t xml:space="preserve"> კომბინირებული გამოყენების გზით (იხ. პუნქტი ურთიერთქმედება სხვა სამკურნალო საშუალებებთან). </w:t>
      </w:r>
    </w:p>
    <w:p w14:paraId="02A44053" w14:textId="77777777" w:rsidR="006952FF" w:rsidRDefault="00E54B8E" w:rsidP="00D86C4E">
      <w:pPr>
        <w:pStyle w:val="P68B1DB1-Normal2"/>
        <w:jc w:val="both"/>
      </w:pPr>
      <w:r>
        <w:t xml:space="preserve">თუ ორმაგი ბლოკადა ითვლება აბსოლუტურად აუცილებლად, ეს უნდა განხორციელდეს მხოლოდ სპეციალისტის მეთვალყურეობის ქვეშ და უნდა დაექვემდებაროს თირკმელების ფუნქციის, ელექტროლიტებისა და არტერიული წნევის სათანადო მონიტორინგს. </w:t>
      </w:r>
    </w:p>
    <w:p w14:paraId="57870751" w14:textId="2C6AAA03" w:rsidR="006952FF" w:rsidRDefault="00E54B8E" w:rsidP="00D86C4E">
      <w:pPr>
        <w:pStyle w:val="P68B1DB1-Normal2"/>
        <w:jc w:val="both"/>
      </w:pPr>
      <w:r>
        <w:t xml:space="preserve">არ უნდა მოხდეს ერთდროულად </w:t>
      </w:r>
      <w:proofErr w:type="spellStart"/>
      <w:r>
        <w:t>აგფ</w:t>
      </w:r>
      <w:proofErr w:type="spellEnd"/>
      <w:r>
        <w:t xml:space="preserve"> ინჰიბიტორების და </w:t>
      </w:r>
      <w:proofErr w:type="spellStart"/>
      <w:r>
        <w:t>ანგიოტენზინ</w:t>
      </w:r>
      <w:proofErr w:type="spellEnd"/>
      <w:r>
        <w:t xml:space="preserve"> II რეცეპტორების </w:t>
      </w:r>
      <w:proofErr w:type="spellStart"/>
      <w:r>
        <w:t>ბლოკატორების</w:t>
      </w:r>
      <w:proofErr w:type="spellEnd"/>
      <w:r>
        <w:t xml:space="preserve"> გამოყენება დიაბეტური </w:t>
      </w:r>
      <w:proofErr w:type="spellStart"/>
      <w:r>
        <w:t>ნეფროპათიის</w:t>
      </w:r>
      <w:proofErr w:type="spellEnd"/>
      <w:r>
        <w:t xml:space="preserve"> მქონე პაციენტებში.</w:t>
      </w:r>
    </w:p>
    <w:p w14:paraId="13090FD5" w14:textId="5DB11094" w:rsidR="006952FF" w:rsidRDefault="006952FF" w:rsidP="00D86C4E">
      <w:pPr>
        <w:jc w:val="both"/>
        <w:rPr>
          <w:rFonts w:ascii="Sylfaen" w:hAnsi="Sylfaen"/>
        </w:rPr>
      </w:pPr>
    </w:p>
    <w:p w14:paraId="6F7AA523" w14:textId="77777777" w:rsidR="006952FF" w:rsidRDefault="00E54B8E" w:rsidP="00D86C4E">
      <w:pPr>
        <w:pStyle w:val="P68B1DB1-Normal1"/>
        <w:jc w:val="both"/>
      </w:pPr>
      <w:r>
        <w:t xml:space="preserve">ურთიერთქმედება სხვა სამკურნალო საშუალებებთან </w:t>
      </w:r>
    </w:p>
    <w:p w14:paraId="4F1E28E0" w14:textId="77777777" w:rsidR="006952FF" w:rsidRDefault="00E54B8E" w:rsidP="00D86C4E">
      <w:pPr>
        <w:pStyle w:val="P68B1DB1-Normal2"/>
        <w:jc w:val="both"/>
      </w:pPr>
      <w:r>
        <w:t xml:space="preserve">სხვა </w:t>
      </w:r>
      <w:proofErr w:type="spellStart"/>
      <w:r>
        <w:t>ჰიპოტენზიურ</w:t>
      </w:r>
      <w:proofErr w:type="spellEnd"/>
      <w:r>
        <w:t xml:space="preserve"> საშუალებებს შეუძლიათ </w:t>
      </w:r>
      <w:proofErr w:type="spellStart"/>
      <w:r>
        <w:t>ლოზარტანის</w:t>
      </w:r>
      <w:proofErr w:type="spellEnd"/>
      <w:r>
        <w:t xml:space="preserve"> </w:t>
      </w:r>
      <w:proofErr w:type="spellStart"/>
      <w:r>
        <w:t>ანტიჰიპერტენზიული</w:t>
      </w:r>
      <w:proofErr w:type="spellEnd"/>
      <w:r>
        <w:t xml:space="preserve"> მოქმედების გაძლიერება. ისეთ სხვა პრეპარატებთან ერთად გამოყენებამ, რომლებმაც გვერდითი ეფექტის სახით შეიძლება გამოიწვიოს არტერიული </w:t>
      </w:r>
      <w:proofErr w:type="spellStart"/>
      <w:r>
        <w:t>ჰიპოტენზია</w:t>
      </w:r>
      <w:proofErr w:type="spellEnd"/>
      <w:r>
        <w:t xml:space="preserve">, (როგორებიც არის, </w:t>
      </w:r>
      <w:proofErr w:type="spellStart"/>
      <w:r>
        <w:t>ტრიციკლური</w:t>
      </w:r>
      <w:proofErr w:type="spellEnd"/>
      <w:r>
        <w:t xml:space="preserve"> ანტიდეპრესანტები, </w:t>
      </w:r>
      <w:proofErr w:type="spellStart"/>
      <w:r>
        <w:t>ნეიროლეპტიკები</w:t>
      </w:r>
      <w:proofErr w:type="spellEnd"/>
      <w:r>
        <w:t xml:space="preserve">, </w:t>
      </w:r>
      <w:proofErr w:type="spellStart"/>
      <w:r>
        <w:t>ბაკლოფენი</w:t>
      </w:r>
      <w:proofErr w:type="spellEnd"/>
      <w:r>
        <w:t xml:space="preserve"> და </w:t>
      </w:r>
      <w:proofErr w:type="spellStart"/>
      <w:r>
        <w:t>ამიფოსტინი</w:t>
      </w:r>
      <w:proofErr w:type="spellEnd"/>
      <w:r>
        <w:t xml:space="preserve">), შეიძლება გაზარდოს არტერიული </w:t>
      </w:r>
      <w:proofErr w:type="spellStart"/>
      <w:r>
        <w:t>ჰიპოტენზიის</w:t>
      </w:r>
      <w:proofErr w:type="spellEnd"/>
      <w:r>
        <w:t xml:space="preserve"> განვითარების რისკი. </w:t>
      </w:r>
    </w:p>
    <w:p w14:paraId="5312E846" w14:textId="2C09C203" w:rsidR="006952FF" w:rsidRDefault="00E54B8E" w:rsidP="00D86C4E">
      <w:pPr>
        <w:pStyle w:val="P68B1DB1-Normal2"/>
        <w:jc w:val="both"/>
      </w:pPr>
      <w:proofErr w:type="spellStart"/>
      <w:r>
        <w:t>ლოზარტანი</w:t>
      </w:r>
      <w:proofErr w:type="spellEnd"/>
      <w:r>
        <w:t xml:space="preserve"> ძირითადად </w:t>
      </w:r>
      <w:proofErr w:type="spellStart"/>
      <w:r>
        <w:t>მეტაბოლიზდება</w:t>
      </w:r>
      <w:proofErr w:type="spellEnd"/>
      <w:r>
        <w:t xml:space="preserve"> </w:t>
      </w:r>
      <w:proofErr w:type="spellStart"/>
      <w:r>
        <w:t>ციტოქრომ</w:t>
      </w:r>
      <w:proofErr w:type="spellEnd"/>
      <w:r>
        <w:t xml:space="preserve"> P450 (CYP) 2C9–ით, </w:t>
      </w:r>
      <w:proofErr w:type="spellStart"/>
      <w:r>
        <w:t>კარბოქსილის</w:t>
      </w:r>
      <w:proofErr w:type="spellEnd"/>
      <w:r>
        <w:t xml:space="preserve"> მჟავას აქტიურ </w:t>
      </w:r>
      <w:proofErr w:type="spellStart"/>
      <w:r>
        <w:t>მეტაბოლიტად</w:t>
      </w:r>
      <w:proofErr w:type="spellEnd"/>
      <w:r>
        <w:t xml:space="preserve">. კლინიკური კვლევების დროს დადგინდა, რომ </w:t>
      </w:r>
      <w:proofErr w:type="spellStart"/>
      <w:r>
        <w:t>ფლუკონაზოლი</w:t>
      </w:r>
      <w:proofErr w:type="spellEnd"/>
      <w:r>
        <w:t xml:space="preserve"> (CYP2C9-ის ინჰიბიტორი) დაახლოებით 50%-ით ამცირებს აქტიური </w:t>
      </w:r>
      <w:proofErr w:type="spellStart"/>
      <w:r>
        <w:t>მეტაბოლიტის</w:t>
      </w:r>
      <w:proofErr w:type="spellEnd"/>
      <w:r>
        <w:t xml:space="preserve"> ზემოქმედებას. აღმოჩნდა, რომ </w:t>
      </w:r>
      <w:proofErr w:type="spellStart"/>
      <w:r>
        <w:t>ლოზარტანის</w:t>
      </w:r>
      <w:proofErr w:type="spellEnd"/>
      <w:r>
        <w:t xml:space="preserve"> </w:t>
      </w:r>
      <w:proofErr w:type="spellStart"/>
      <w:r>
        <w:t>რიფამპიცინთან</w:t>
      </w:r>
      <w:proofErr w:type="spellEnd"/>
      <w:r>
        <w:t xml:space="preserve"> (</w:t>
      </w:r>
      <w:proofErr w:type="spellStart"/>
      <w:r>
        <w:t>მეტაბოლური</w:t>
      </w:r>
      <w:proofErr w:type="spellEnd"/>
      <w:r>
        <w:t xml:space="preserve"> ფერმენტების </w:t>
      </w:r>
      <w:r>
        <w:lastRenderedPageBreak/>
        <w:t xml:space="preserve">სტიმულატორი) ერთად გამოყენებამ განაპირობა აქტიური </w:t>
      </w:r>
      <w:proofErr w:type="spellStart"/>
      <w:r>
        <w:t>მეტაბოლიტის</w:t>
      </w:r>
      <w:proofErr w:type="spellEnd"/>
      <w:r>
        <w:t xml:space="preserve"> პლაზმური კონცენტრაციის 40%-ით შემცირება. ამ ეფექტების კლინიკური მნიშვნელობა უცნობია. </w:t>
      </w:r>
      <w:proofErr w:type="spellStart"/>
      <w:r>
        <w:t>ფლუვასტატინთან</w:t>
      </w:r>
      <w:proofErr w:type="spellEnd"/>
      <w:r>
        <w:t xml:space="preserve"> (CYP2C9-ის სუსტი ინჰიბიტორი) ერთდროულად მკურნალობისას ზემოქმედებაში განსხვავება არ აღნიშნულა. </w:t>
      </w:r>
    </w:p>
    <w:p w14:paraId="3225BA06" w14:textId="0D64C4E9" w:rsidR="006952FF" w:rsidRDefault="00E54B8E" w:rsidP="00D86C4E">
      <w:pPr>
        <w:pStyle w:val="P68B1DB1-Normal2"/>
        <w:jc w:val="both"/>
      </w:pPr>
      <w:r>
        <w:t xml:space="preserve">სხვა სამკურნალო საშუალებებით მკურნალობის მსგავსად, რომლებიც ბლოკავენ </w:t>
      </w:r>
      <w:proofErr w:type="spellStart"/>
      <w:r>
        <w:t>ანგიოტენზინ</w:t>
      </w:r>
      <w:proofErr w:type="spellEnd"/>
      <w:r>
        <w:t xml:space="preserve"> II-ს ან მის ეფექტებს, ისეთ სხვა სამკურნალო საშუალებებთან, რომლებიც ინარჩუნებენ კალიუმს (მაგ., კალიუმის დამზოგველი შარდმდენები: </w:t>
      </w:r>
      <w:proofErr w:type="spellStart"/>
      <w:r>
        <w:t>ამილორიდი</w:t>
      </w:r>
      <w:proofErr w:type="spellEnd"/>
      <w:r>
        <w:t xml:space="preserve">, </w:t>
      </w:r>
      <w:proofErr w:type="spellStart"/>
      <w:r>
        <w:t>ტრიამტერენი</w:t>
      </w:r>
      <w:proofErr w:type="spellEnd"/>
      <w:r>
        <w:t xml:space="preserve">, </w:t>
      </w:r>
      <w:proofErr w:type="spellStart"/>
      <w:r>
        <w:t>სპირონოლაქტონი</w:t>
      </w:r>
      <w:proofErr w:type="spellEnd"/>
      <w:r>
        <w:t xml:space="preserve">) ან ზრდიან კალიუმის დონეს (მაგ. ჰეპარინი), კალიუმის პრეპარატებთან ან კალიუმის შემცველ მარილის </w:t>
      </w:r>
      <w:proofErr w:type="spellStart"/>
      <w:r>
        <w:t>შემცვლელებთან</w:t>
      </w:r>
      <w:proofErr w:type="spellEnd"/>
      <w:r>
        <w:t xml:space="preserve"> ერთდროულად გამოყენებამ, შეიძლება გამოიწვიოს სისხლის შრატში კალიუმის მომატება. ამ სამკურნალო საშუალებების კომბინირებული გამოყენება რეკომენდებული არ არის. </w:t>
      </w:r>
    </w:p>
    <w:p w14:paraId="6C5E3611" w14:textId="695A31B9" w:rsidR="006952FF" w:rsidRDefault="00E54B8E" w:rsidP="00D86C4E">
      <w:pPr>
        <w:pStyle w:val="P68B1DB1-Normal2"/>
        <w:jc w:val="both"/>
      </w:pPr>
      <w:r>
        <w:t xml:space="preserve">ლითიუმის </w:t>
      </w:r>
      <w:proofErr w:type="spellStart"/>
      <w:r>
        <w:t>აგფ</w:t>
      </w:r>
      <w:proofErr w:type="spellEnd"/>
      <w:r>
        <w:t xml:space="preserve"> </w:t>
      </w:r>
      <w:proofErr w:type="spellStart"/>
      <w:r>
        <w:t>ინჰიბიტორებთან</w:t>
      </w:r>
      <w:proofErr w:type="spellEnd"/>
      <w:r>
        <w:t xml:space="preserve"> ერთდროულად მიღების შემთხვევებში აღინიშნა სისხლის შრატში ლითიუმის კონცენტრაციის და ტოქსიკურობის შექცევადი მომატება. ძალიან იშვიათი შემთხვევები ასევე დაფიქსირებულია </w:t>
      </w:r>
      <w:proofErr w:type="spellStart"/>
      <w:r>
        <w:t>ანგიოტენზინ</w:t>
      </w:r>
      <w:proofErr w:type="spellEnd"/>
      <w:r>
        <w:t xml:space="preserve"> II რეცეპტორების ანტაგონისტებთან ერთად მიღების დროს. ლითიუმის და </w:t>
      </w:r>
      <w:proofErr w:type="spellStart"/>
      <w:r>
        <w:t>ლოზარტანის</w:t>
      </w:r>
      <w:proofErr w:type="spellEnd"/>
      <w:r>
        <w:t xml:space="preserve"> ერთდროულად მიღება უნდა მოხდეს სიფრთხილით. თუ ეს კომბინაცია აუცილებელია, პრეპარატების </w:t>
      </w:r>
      <w:proofErr w:type="spellStart"/>
      <w:r>
        <w:t>ერდროულად</w:t>
      </w:r>
      <w:proofErr w:type="spellEnd"/>
      <w:r>
        <w:t xml:space="preserve"> გამოყენების პერიოდში რეკომენდებულია სისხლის შრატში </w:t>
      </w:r>
      <w:proofErr w:type="spellStart"/>
      <w:r>
        <w:t>ლიმიუმის</w:t>
      </w:r>
      <w:proofErr w:type="spellEnd"/>
      <w:r>
        <w:t xml:space="preserve"> დონის მონიტორინგი. </w:t>
      </w:r>
    </w:p>
    <w:p w14:paraId="754D2BB9" w14:textId="77777777" w:rsidR="006952FF" w:rsidRDefault="00E54B8E" w:rsidP="00D86C4E">
      <w:pPr>
        <w:pStyle w:val="P68B1DB1-Normal2"/>
        <w:jc w:val="both"/>
      </w:pPr>
      <w:proofErr w:type="spellStart"/>
      <w:r>
        <w:t>ანგიოტენზინ</w:t>
      </w:r>
      <w:proofErr w:type="spellEnd"/>
      <w:r>
        <w:t xml:space="preserve"> II რეცეპტორების ანტაგონისტების </w:t>
      </w:r>
      <w:proofErr w:type="spellStart"/>
      <w:r>
        <w:t>არასტეროიდულ</w:t>
      </w:r>
      <w:proofErr w:type="spellEnd"/>
      <w:r>
        <w:t xml:space="preserve"> ანთების საწინააღმდეგო საშუალებებთან (მაგალითად, ცოგ-2-ის სელექციური ინჰიბიტორები, აცეტილსალიცილის მჟავა ანთების საწინააღმდეგო დოზებში) ერთად და </w:t>
      </w:r>
      <w:proofErr w:type="spellStart"/>
      <w:r>
        <w:t>არასელექციურ</w:t>
      </w:r>
      <w:proofErr w:type="spellEnd"/>
      <w:r>
        <w:t xml:space="preserve"> </w:t>
      </w:r>
      <w:proofErr w:type="spellStart"/>
      <w:r>
        <w:t>არასტეროიდულ</w:t>
      </w:r>
      <w:proofErr w:type="spellEnd"/>
      <w:r>
        <w:t xml:space="preserve"> ანთების საწინააღმდეგო საშუალებებთან ერთად გამოყენებისას, შესაძლებელია აღინიშნოს </w:t>
      </w:r>
      <w:proofErr w:type="spellStart"/>
      <w:r>
        <w:t>ანტიჰიპერტენზიული</w:t>
      </w:r>
      <w:proofErr w:type="spellEnd"/>
      <w:r>
        <w:t xml:space="preserve"> მოქმედების შესუსტება. </w:t>
      </w:r>
      <w:proofErr w:type="spellStart"/>
      <w:r>
        <w:t>ანგიოტენზინ</w:t>
      </w:r>
      <w:proofErr w:type="spellEnd"/>
      <w:r>
        <w:t xml:space="preserve"> II რეცეპტორების ანტაგონისტების ან შარდმდენების და </w:t>
      </w:r>
      <w:proofErr w:type="spellStart"/>
      <w:r>
        <w:t>არასტეროიდული</w:t>
      </w:r>
      <w:proofErr w:type="spellEnd"/>
      <w:r>
        <w:t xml:space="preserve"> ანთების საწინააღმდეგო საშუალებების ერთდროულად გამოყენებამ შეიძლება გამოიწვიოს თირკმელების ფუნქციის გაუარესების, მათ შორის თირკმლის მწვავე უკმარისობის რისკის მატება და შრატში კალიუმის შემცველობის მატება, განსაკუთრებით თირკმელების პირველადი დარღვევების მქონე პაციენტებში. კომბინირებული მკურნალობა უნდა დაინიშნოს სიფრთხილით, განსაკუთრებით ხანდაზმული ასაკის პაციენტებში. კომბინირებული თერაპიის დაწყების შემდეგ და პერიოდულად მკურნალობის დროს უნდა მოხდეს პაციენტების ადეკვატური ჰიდრატაციის უზრუნველყოფა და თირკმელების ფუნქციის გაკონტროლება. </w:t>
      </w:r>
    </w:p>
    <w:p w14:paraId="6CD5F26D" w14:textId="225C760A" w:rsidR="006952FF" w:rsidRDefault="00E54B8E" w:rsidP="00D86C4E">
      <w:pPr>
        <w:pStyle w:val="P68B1DB1-Normal2"/>
        <w:jc w:val="both"/>
      </w:pPr>
      <w:r>
        <w:t xml:space="preserve">კლინიკური კვლევების მონაცემები აჩვენებს, რომ </w:t>
      </w:r>
      <w:proofErr w:type="spellStart"/>
      <w:r>
        <w:t>აგფ</w:t>
      </w:r>
      <w:proofErr w:type="spellEnd"/>
      <w:r>
        <w:t xml:space="preserve"> ინჰიბიტორების, </w:t>
      </w:r>
      <w:proofErr w:type="spellStart"/>
      <w:r>
        <w:t>ანგიოტენზინ</w:t>
      </w:r>
      <w:proofErr w:type="spellEnd"/>
      <w:r>
        <w:t xml:space="preserve"> II რეცეპტორების </w:t>
      </w:r>
      <w:proofErr w:type="spellStart"/>
      <w:r>
        <w:t>ბლოკატორების</w:t>
      </w:r>
      <w:proofErr w:type="spellEnd"/>
      <w:r>
        <w:t xml:space="preserve"> ან </w:t>
      </w:r>
      <w:proofErr w:type="spellStart"/>
      <w:r>
        <w:t>ალისკირენის</w:t>
      </w:r>
      <w:proofErr w:type="spellEnd"/>
      <w:r>
        <w:t xml:space="preserve"> კომბინირებული გამოყენების გზით </w:t>
      </w:r>
      <w:proofErr w:type="spellStart"/>
      <w:r>
        <w:t>რენინ-ანგიოტენზინ-ალდოსტერონის</w:t>
      </w:r>
      <w:proofErr w:type="spellEnd"/>
      <w:r>
        <w:t xml:space="preserve"> სისტემის (</w:t>
      </w:r>
      <w:proofErr w:type="spellStart"/>
      <w:r>
        <w:t>რაას</w:t>
      </w:r>
      <w:proofErr w:type="spellEnd"/>
      <w:r>
        <w:t xml:space="preserve">) ორმაგი ბლოკადა ასოცირდება გვერდითი მოვლენების განვითარების მომატებულ </w:t>
      </w:r>
      <w:proofErr w:type="spellStart"/>
      <w:r>
        <w:t>სიხშრესთან</w:t>
      </w:r>
      <w:proofErr w:type="spellEnd"/>
      <w:r>
        <w:t xml:space="preserve">, როგორებიც არის </w:t>
      </w:r>
      <w:proofErr w:type="spellStart"/>
      <w:r>
        <w:t>ჰიპოტენზია</w:t>
      </w:r>
      <w:proofErr w:type="spellEnd"/>
      <w:r>
        <w:t xml:space="preserve">, </w:t>
      </w:r>
      <w:proofErr w:type="spellStart"/>
      <w:r>
        <w:t>ჰიპერკალიემია</w:t>
      </w:r>
      <w:proofErr w:type="spellEnd"/>
      <w:r>
        <w:t xml:space="preserve"> და თირკმელების ფუნქციის დარღვევა (მათ შორის თირკმლის მწვავე უკმარისობა), ისეთი ერთი სამკურნალო საშუალების გამოყენებასთან შედარებით, რომელიც გავლენას ახდენს </w:t>
      </w:r>
      <w:proofErr w:type="spellStart"/>
      <w:r>
        <w:t>რენინ-ანგიოტენზინ-ალდოსტერონის</w:t>
      </w:r>
      <w:proofErr w:type="spellEnd"/>
      <w:r>
        <w:t xml:space="preserve"> სისტემაზე (იხ. პუნქტები უკუჩვენებები, გაფრთხილებები და განსაკუთრებული მითითებები).</w:t>
      </w:r>
    </w:p>
    <w:p w14:paraId="5029111C" w14:textId="528230D8" w:rsidR="006952FF" w:rsidRDefault="006952FF" w:rsidP="00D86C4E">
      <w:pPr>
        <w:jc w:val="both"/>
        <w:rPr>
          <w:rFonts w:ascii="Sylfaen" w:hAnsi="Sylfaen"/>
        </w:rPr>
      </w:pPr>
    </w:p>
    <w:p w14:paraId="39ED3DD5" w14:textId="77777777" w:rsidR="006952FF" w:rsidRDefault="00E54B8E" w:rsidP="00D86C4E">
      <w:pPr>
        <w:pStyle w:val="P68B1DB1-Normal1"/>
        <w:jc w:val="both"/>
      </w:pPr>
      <w:r>
        <w:t xml:space="preserve">დოზის გადაჭარბება </w:t>
      </w:r>
    </w:p>
    <w:p w14:paraId="5D69DDBB" w14:textId="77777777" w:rsidR="006952FF" w:rsidRDefault="00E54B8E" w:rsidP="00D86C4E">
      <w:pPr>
        <w:pStyle w:val="P68B1DB1-Normal2"/>
        <w:jc w:val="both"/>
      </w:pPr>
      <w:r>
        <w:t xml:space="preserve">ადამიანებში დოზის გადაჭარბების შესახებ ცნობები შეზღუდულია. პრეპარატის დოზის გადაჭარბების ყველაზე მოსალოდნელი შედეგები შეიძლება იყოს არტერიული </w:t>
      </w:r>
      <w:proofErr w:type="spellStart"/>
      <w:r>
        <w:t>ჰიპოტენზია</w:t>
      </w:r>
      <w:proofErr w:type="spellEnd"/>
      <w:r>
        <w:t xml:space="preserve"> და </w:t>
      </w:r>
      <w:r>
        <w:lastRenderedPageBreak/>
        <w:t>ტაქიკარდია; პარასიმპათიკური (</w:t>
      </w:r>
      <w:proofErr w:type="spellStart"/>
      <w:r>
        <w:t>ვაგუსური</w:t>
      </w:r>
      <w:proofErr w:type="spellEnd"/>
      <w:r>
        <w:t xml:space="preserve">) სტიმულაციის გამო, შეიძლება განვითარდეს ბრადიკარდია. </w:t>
      </w:r>
    </w:p>
    <w:p w14:paraId="416C4878" w14:textId="79812DDC" w:rsidR="006952FF" w:rsidRDefault="00E54B8E" w:rsidP="00D86C4E">
      <w:pPr>
        <w:pStyle w:val="P68B1DB1-Normal2"/>
        <w:jc w:val="both"/>
      </w:pPr>
      <w:r>
        <w:rPr>
          <w:i/>
        </w:rPr>
        <w:t>მკურნალობა:</w:t>
      </w:r>
      <w:r>
        <w:t xml:space="preserve"> სიმპტომურად გამოვლენილი </w:t>
      </w:r>
      <w:proofErr w:type="spellStart"/>
      <w:r>
        <w:t>ჰიპოტენზიის</w:t>
      </w:r>
      <w:proofErr w:type="spellEnd"/>
      <w:r>
        <w:t xml:space="preserve"> განვითარების შემთხვევაში ტარდება დამხმარე თერაპია. არც </w:t>
      </w:r>
      <w:proofErr w:type="spellStart"/>
      <w:r>
        <w:t>ლოზარტანი</w:t>
      </w:r>
      <w:proofErr w:type="spellEnd"/>
      <w:r>
        <w:t xml:space="preserve"> და არც მისი აქტიური მეტაბოლიტი არ გამოიდევნება ჰემოდიალიზის დროს.</w:t>
      </w:r>
    </w:p>
    <w:p w14:paraId="6D232CF9" w14:textId="77777777" w:rsidR="006952FF" w:rsidRDefault="006952FF" w:rsidP="00D86C4E">
      <w:pPr>
        <w:jc w:val="both"/>
        <w:rPr>
          <w:rFonts w:ascii="Sylfaen" w:hAnsi="Sylfaen"/>
        </w:rPr>
      </w:pPr>
    </w:p>
    <w:p w14:paraId="7224EEE5" w14:textId="6BC95638" w:rsidR="006952FF" w:rsidRDefault="00E54B8E" w:rsidP="00D86C4E">
      <w:pPr>
        <w:pStyle w:val="P68B1DB1-Normal1"/>
        <w:jc w:val="both"/>
      </w:pPr>
      <w:r>
        <w:t>შენახვის პირობები</w:t>
      </w:r>
    </w:p>
    <w:p w14:paraId="40DBBFB0" w14:textId="77777777" w:rsidR="006952FF" w:rsidRDefault="00E54B8E" w:rsidP="00D86C4E">
      <w:pPr>
        <w:pStyle w:val="P68B1DB1-Normal2"/>
        <w:jc w:val="both"/>
      </w:pPr>
      <w:r>
        <w:t xml:space="preserve">ინახება არაუმეტეს 30°C ტემპერატურაზე. </w:t>
      </w:r>
    </w:p>
    <w:p w14:paraId="0960DF83" w14:textId="77777777" w:rsidR="006952FF" w:rsidRDefault="00E54B8E" w:rsidP="00D86C4E">
      <w:pPr>
        <w:pStyle w:val="P68B1DB1-Normal1"/>
        <w:jc w:val="both"/>
      </w:pPr>
      <w:r>
        <w:t>შეინახეთ ბავშვებისათვის მიუწვდომელ ადგილას.</w:t>
      </w:r>
    </w:p>
    <w:p w14:paraId="0DEDB617" w14:textId="25FD8194" w:rsidR="006952FF" w:rsidRDefault="00E54B8E" w:rsidP="00D86C4E">
      <w:pPr>
        <w:pStyle w:val="P68B1DB1-Normal1"/>
        <w:jc w:val="both"/>
      </w:pPr>
      <w:r>
        <w:t xml:space="preserve"> </w:t>
      </w:r>
    </w:p>
    <w:p w14:paraId="736F3D3C" w14:textId="77777777" w:rsidR="006952FF" w:rsidRDefault="00E54B8E" w:rsidP="00D86C4E">
      <w:pPr>
        <w:pStyle w:val="P68B1DB1-Normal1"/>
        <w:jc w:val="both"/>
      </w:pPr>
      <w:r>
        <w:t xml:space="preserve">ვარგისობის ვადა </w:t>
      </w:r>
    </w:p>
    <w:p w14:paraId="49559D73" w14:textId="77777777" w:rsidR="006952FF" w:rsidRDefault="00E54B8E" w:rsidP="00D86C4E">
      <w:pPr>
        <w:pStyle w:val="P68B1DB1-Normal2"/>
        <w:jc w:val="both"/>
      </w:pPr>
      <w:r>
        <w:t xml:space="preserve">არ გამოიყენოთ შეფუთვაზე მითითებული თარიღის გასვლის შემდეგ. </w:t>
      </w:r>
    </w:p>
    <w:p w14:paraId="079F5903" w14:textId="77777777" w:rsidR="006952FF" w:rsidRDefault="006952FF" w:rsidP="00D86C4E">
      <w:pPr>
        <w:jc w:val="both"/>
        <w:rPr>
          <w:rFonts w:ascii="Sylfaen" w:hAnsi="Sylfaen"/>
        </w:rPr>
      </w:pPr>
    </w:p>
    <w:p w14:paraId="0D8D1F6F" w14:textId="07267CD8" w:rsidR="006952FF" w:rsidRDefault="00E54B8E" w:rsidP="00D86C4E">
      <w:pPr>
        <w:pStyle w:val="P68B1DB1-Normal1"/>
        <w:jc w:val="both"/>
      </w:pPr>
      <w:r>
        <w:t>აფთიაქიდან გაცემის პირობები</w:t>
      </w:r>
    </w:p>
    <w:p w14:paraId="1312652F" w14:textId="69E9FB40" w:rsidR="00487279" w:rsidRPr="00487279" w:rsidRDefault="00487279" w:rsidP="00487279">
      <w:pPr>
        <w:jc w:val="both"/>
        <w:rPr>
          <w:rFonts w:ascii="Sylfaen" w:hAnsi="Sylfaen"/>
          <w:bCs/>
        </w:rPr>
      </w:pPr>
      <w:r w:rsidRPr="00487279">
        <w:rPr>
          <w:rFonts w:ascii="Sylfaen" w:hAnsi="Sylfaen"/>
          <w:bCs/>
        </w:rPr>
        <w:t xml:space="preserve">ფარმაცევტული პროდუქტის ჯგუფი II, გაიცემა ფორმა </w:t>
      </w:r>
      <w:r w:rsidRPr="00487279">
        <w:rPr>
          <w:rFonts w:ascii="Sylfaen" w:hAnsi="Sylfaen"/>
        </w:rPr>
        <w:t>№</w:t>
      </w:r>
      <w:r w:rsidRPr="00487279">
        <w:rPr>
          <w:rFonts w:ascii="Sylfaen" w:hAnsi="Sylfaen"/>
          <w:bCs/>
        </w:rPr>
        <w:t>3 რეცეპტით.</w:t>
      </w:r>
    </w:p>
    <w:p w14:paraId="43C06655" w14:textId="77777777" w:rsidR="00487279" w:rsidRPr="00487279" w:rsidRDefault="00487279" w:rsidP="00487279">
      <w:pPr>
        <w:jc w:val="both"/>
        <w:rPr>
          <w:rFonts w:ascii="Sylfaen" w:hAnsi="Sylfaen"/>
          <w:lang w:val="en-US"/>
        </w:rPr>
      </w:pPr>
    </w:p>
    <w:p w14:paraId="3521A6DD" w14:textId="77777777" w:rsidR="006952FF" w:rsidRDefault="006952FF" w:rsidP="00D86C4E">
      <w:pPr>
        <w:jc w:val="both"/>
        <w:rPr>
          <w:rFonts w:ascii="Sylfaen" w:hAnsi="Sylfaen"/>
        </w:rPr>
      </w:pPr>
    </w:p>
    <w:p w14:paraId="79FBA9E1" w14:textId="6A901926" w:rsidR="006952FF" w:rsidRDefault="00E54B8E" w:rsidP="00D86C4E">
      <w:pPr>
        <w:pStyle w:val="P68B1DB1-Normal1"/>
        <w:jc w:val="both"/>
      </w:pPr>
      <w:r>
        <w:t xml:space="preserve">შეფუთვა </w:t>
      </w:r>
    </w:p>
    <w:p w14:paraId="5ABE4922" w14:textId="77777777" w:rsidR="006952FF" w:rsidRDefault="00E54B8E" w:rsidP="00D86C4E">
      <w:pPr>
        <w:pStyle w:val="P68B1DB1-Normal2"/>
        <w:jc w:val="both"/>
      </w:pPr>
      <w:r>
        <w:t xml:space="preserve">7 ან 14 ტაბლეტი ბლისტერში. 1, 2 ან 4 ბლისტერი მუყაოს კოლოფში. </w:t>
      </w:r>
    </w:p>
    <w:p w14:paraId="35C4D45A" w14:textId="77777777" w:rsidR="006952FF" w:rsidRDefault="006952FF" w:rsidP="00D86C4E">
      <w:pPr>
        <w:jc w:val="both"/>
        <w:rPr>
          <w:rFonts w:ascii="Sylfaen" w:hAnsi="Sylfaen"/>
        </w:rPr>
      </w:pPr>
    </w:p>
    <w:p w14:paraId="46B124A8" w14:textId="670B40E1" w:rsidR="006952FF" w:rsidRDefault="00E54B8E" w:rsidP="00D86C4E">
      <w:pPr>
        <w:pStyle w:val="P68B1DB1-Normal1"/>
        <w:jc w:val="both"/>
      </w:pPr>
      <w:r>
        <w:t xml:space="preserve">რეგისტრაციის მოწმობის მფლობელი </w:t>
      </w:r>
    </w:p>
    <w:p w14:paraId="51089576" w14:textId="77777777" w:rsidR="006952FF" w:rsidRDefault="00E54B8E" w:rsidP="00D86C4E">
      <w:pPr>
        <w:pStyle w:val="P68B1DB1-Normal2"/>
        <w:jc w:val="both"/>
      </w:pPr>
      <w:proofErr w:type="spellStart"/>
      <w:r>
        <w:t>კრკა</w:t>
      </w:r>
      <w:proofErr w:type="spellEnd"/>
      <w:r>
        <w:t xml:space="preserve">, </w:t>
      </w:r>
      <w:proofErr w:type="spellStart"/>
      <w:r>
        <w:t>დ.დ</w:t>
      </w:r>
      <w:proofErr w:type="spellEnd"/>
      <w:r>
        <w:t xml:space="preserve">., ნოვო მესტო, </w:t>
      </w:r>
      <w:proofErr w:type="spellStart"/>
      <w:r>
        <w:t>შმარიეშკა</w:t>
      </w:r>
      <w:proofErr w:type="spellEnd"/>
      <w:r>
        <w:t xml:space="preserve"> </w:t>
      </w:r>
      <w:proofErr w:type="spellStart"/>
      <w:r>
        <w:t>ცესტა</w:t>
      </w:r>
      <w:proofErr w:type="spellEnd"/>
      <w:r>
        <w:t xml:space="preserve"> 6, 8501 ნოვო მესტო, სლოვენია </w:t>
      </w:r>
    </w:p>
    <w:p w14:paraId="0DB0AC09" w14:textId="77777777" w:rsidR="006952FF" w:rsidRDefault="006952FF" w:rsidP="00D86C4E">
      <w:pPr>
        <w:jc w:val="both"/>
        <w:rPr>
          <w:rFonts w:ascii="Sylfaen" w:hAnsi="Sylfaen"/>
        </w:rPr>
      </w:pPr>
    </w:p>
    <w:p w14:paraId="6798A7DB" w14:textId="3C7838D0" w:rsidR="006952FF" w:rsidRDefault="00E54B8E" w:rsidP="00D86C4E">
      <w:pPr>
        <w:pStyle w:val="P68B1DB1-Normal1"/>
        <w:jc w:val="both"/>
      </w:pPr>
      <w:r>
        <w:t>მწარმოებელი</w:t>
      </w:r>
    </w:p>
    <w:p w14:paraId="515AB039" w14:textId="5BC109B8" w:rsidR="006952FF" w:rsidRDefault="00E54B8E" w:rsidP="00D86C4E">
      <w:pPr>
        <w:pStyle w:val="P68B1DB1-Normal2"/>
        <w:jc w:val="both"/>
      </w:pPr>
      <w:proofErr w:type="spellStart"/>
      <w:r>
        <w:t>კრკა</w:t>
      </w:r>
      <w:proofErr w:type="spellEnd"/>
      <w:r>
        <w:t xml:space="preserve">, </w:t>
      </w:r>
      <w:proofErr w:type="spellStart"/>
      <w:r>
        <w:t>დ.დ</w:t>
      </w:r>
      <w:proofErr w:type="spellEnd"/>
      <w:r>
        <w:t xml:space="preserve">., ნოვო მესტო, </w:t>
      </w:r>
      <w:proofErr w:type="spellStart"/>
      <w:r>
        <w:t>შმარიეშკა</w:t>
      </w:r>
      <w:proofErr w:type="spellEnd"/>
      <w:r>
        <w:t xml:space="preserve"> </w:t>
      </w:r>
      <w:proofErr w:type="spellStart"/>
      <w:r>
        <w:t>ცესტა</w:t>
      </w:r>
      <w:proofErr w:type="spellEnd"/>
      <w:r>
        <w:t xml:space="preserve"> 6, 8501 ნოვო </w:t>
      </w:r>
      <w:proofErr w:type="spellStart"/>
      <w:r>
        <w:t>მესტ</w:t>
      </w:r>
      <w:r w:rsidR="00D86C4E">
        <w:t>ზ</w:t>
      </w:r>
      <w:r>
        <w:t>ო</w:t>
      </w:r>
      <w:proofErr w:type="spellEnd"/>
      <w:r>
        <w:t>, სლოვენია</w:t>
      </w:r>
    </w:p>
    <w:sectPr w:rsidR="006952FF" w:rsidSect="00D86C4E">
      <w:headerReference w:type="default" r:id="rId7"/>
      <w:footerReference w:type="default" r:id="rId8"/>
      <w:pgSz w:w="12240" w:h="15840"/>
      <w:pgMar w:top="1440" w:right="720" w:bottom="360" w:left="1080" w:header="36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11D5B" w14:textId="77777777" w:rsidR="00007243" w:rsidRDefault="00007243" w:rsidP="00D86C4E">
      <w:r>
        <w:separator/>
      </w:r>
    </w:p>
  </w:endnote>
  <w:endnote w:type="continuationSeparator" w:id="0">
    <w:p w14:paraId="6F46E049" w14:textId="77777777" w:rsidR="00007243" w:rsidRDefault="00007243" w:rsidP="00D86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Look w:val="04A0" w:firstRow="1" w:lastRow="0" w:firstColumn="1" w:lastColumn="0" w:noHBand="0" w:noVBand="1"/>
    </w:tblPr>
    <w:tblGrid>
      <w:gridCol w:w="5035"/>
      <w:gridCol w:w="5035"/>
    </w:tblGrid>
    <w:tr w:rsidR="00D86C4E" w14:paraId="0B8FA9E6" w14:textId="77777777" w:rsidTr="00E86599">
      <w:tc>
        <w:tcPr>
          <w:tcW w:w="5035" w:type="dxa"/>
        </w:tcPr>
        <w:p w14:paraId="3723C75A" w14:textId="0A909D0E" w:rsidR="00D86C4E" w:rsidRPr="00C91C79" w:rsidRDefault="00D86C4E" w:rsidP="00D86C4E">
          <w:pPr>
            <w:pStyle w:val="Footer"/>
            <w:ind w:right="360"/>
            <w:rPr>
              <w:sz w:val="18"/>
              <w:szCs w:val="18"/>
            </w:rPr>
          </w:pPr>
          <w:r w:rsidRPr="00C91C79">
            <w:rPr>
              <w:sz w:val="18"/>
              <w:szCs w:val="18"/>
            </w:rPr>
            <w:t>PI_Text00043</w:t>
          </w:r>
          <w:r>
            <w:rPr>
              <w:sz w:val="18"/>
              <w:szCs w:val="18"/>
            </w:rPr>
            <w:t>4</w:t>
          </w:r>
          <w:r w:rsidRPr="00C91C79">
            <w:rPr>
              <w:sz w:val="18"/>
              <w:szCs w:val="18"/>
            </w:rPr>
            <w:t>_</w:t>
          </w:r>
          <w:r>
            <w:rPr>
              <w:sz w:val="18"/>
              <w:szCs w:val="18"/>
            </w:rPr>
            <w:t>1</w:t>
          </w:r>
        </w:p>
      </w:tc>
      <w:tc>
        <w:tcPr>
          <w:tcW w:w="5035" w:type="dxa"/>
        </w:tcPr>
        <w:p w14:paraId="72A3A8CD" w14:textId="23B0BEAE" w:rsidR="00D86C4E" w:rsidRPr="00C91C79" w:rsidRDefault="00D86C4E" w:rsidP="00D86C4E">
          <w:pPr>
            <w:pStyle w:val="Footer"/>
            <w:rPr>
              <w:sz w:val="18"/>
              <w:szCs w:val="18"/>
              <w:lang w:val="ka-GE"/>
            </w:rPr>
          </w:pPr>
          <w:r>
            <w:rPr>
              <w:sz w:val="18"/>
              <w:szCs w:val="18"/>
            </w:rPr>
            <w:t xml:space="preserve">06.10.2021 </w:t>
          </w:r>
          <w:r w:rsidRPr="00C91C79">
            <w:rPr>
              <w:sz w:val="18"/>
              <w:szCs w:val="18"/>
            </w:rPr>
            <w:t>-</w:t>
          </w:r>
          <w:proofErr w:type="spellStart"/>
          <w:r w:rsidRPr="00C91C79">
            <w:rPr>
              <w:sz w:val="18"/>
              <w:szCs w:val="18"/>
            </w:rPr>
            <w:t>განახლდა</w:t>
          </w:r>
          <w:proofErr w:type="spellEnd"/>
          <w:r w:rsidRPr="00C91C79">
            <w:rPr>
              <w:sz w:val="18"/>
              <w:szCs w:val="18"/>
            </w:rPr>
            <w:t>:</w:t>
          </w:r>
          <w:r w:rsidRPr="00C91C79">
            <w:rPr>
              <w:sz w:val="18"/>
              <w:szCs w:val="18"/>
              <w:lang w:val="ka-GE"/>
            </w:rPr>
            <w:t xml:space="preserve"> 06.10.2021</w:t>
          </w:r>
        </w:p>
      </w:tc>
    </w:tr>
  </w:tbl>
  <w:p w14:paraId="2175A5E9" w14:textId="77777777" w:rsidR="00D86C4E" w:rsidRDefault="00D86C4E" w:rsidP="00D86C4E">
    <w:pPr>
      <w:pStyle w:val="Footer"/>
    </w:pPr>
  </w:p>
  <w:p w14:paraId="1844297C" w14:textId="31DE45AD" w:rsidR="00D86C4E" w:rsidRPr="00D86C4E" w:rsidRDefault="00D86C4E" w:rsidP="00D86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EF5009" w14:textId="77777777" w:rsidR="00007243" w:rsidRDefault="00007243" w:rsidP="00D86C4E">
      <w:r>
        <w:separator/>
      </w:r>
    </w:p>
  </w:footnote>
  <w:footnote w:type="continuationSeparator" w:id="0">
    <w:p w14:paraId="65FDE3A3" w14:textId="77777777" w:rsidR="00007243" w:rsidRDefault="00007243" w:rsidP="00D86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B4AB7" w14:textId="5878EE31" w:rsidR="00D86C4E" w:rsidRDefault="00D86C4E">
    <w:pPr>
      <w:pStyle w:val="Header"/>
    </w:pPr>
  </w:p>
  <w:tbl>
    <w:tblPr>
      <w:tblStyle w:val="TableGrid"/>
      <w:tblW w:w="0" w:type="auto"/>
      <w:tblLook w:val="04A0" w:firstRow="1" w:lastRow="0" w:firstColumn="1" w:lastColumn="0" w:noHBand="0" w:noVBand="1"/>
    </w:tblPr>
    <w:tblGrid>
      <w:gridCol w:w="7285"/>
      <w:gridCol w:w="2785"/>
    </w:tblGrid>
    <w:tr w:rsidR="00D86C4E" w14:paraId="6AE1A47D" w14:textId="77777777" w:rsidTr="00E86599">
      <w:tc>
        <w:tcPr>
          <w:tcW w:w="7285" w:type="dxa"/>
        </w:tcPr>
        <w:p w14:paraId="129E28D9" w14:textId="77777777" w:rsidR="00D86C4E" w:rsidRPr="00C91C79" w:rsidRDefault="00D86C4E" w:rsidP="00D86C4E">
          <w:pPr>
            <w:pStyle w:val="P68B1DB1-Header8"/>
            <w:rPr>
              <w:sz w:val="18"/>
              <w:szCs w:val="18"/>
            </w:rPr>
          </w:pPr>
          <w:r w:rsidRPr="00C91C79">
            <w:rPr>
              <w:sz w:val="18"/>
              <w:szCs w:val="18"/>
            </w:rPr>
            <w:t>1.3.1</w:t>
          </w:r>
        </w:p>
      </w:tc>
      <w:tc>
        <w:tcPr>
          <w:tcW w:w="2785" w:type="dxa"/>
        </w:tcPr>
        <w:p w14:paraId="5891C28E" w14:textId="77777777" w:rsidR="00D86C4E" w:rsidRPr="00C91C79" w:rsidRDefault="00D86C4E" w:rsidP="00D86C4E">
          <w:pPr>
            <w:pStyle w:val="P68B1DB1-Header8"/>
            <w:rPr>
              <w:sz w:val="18"/>
              <w:szCs w:val="18"/>
            </w:rPr>
          </w:pPr>
          <w:proofErr w:type="spellStart"/>
          <w:r w:rsidRPr="00C91C79">
            <w:rPr>
              <w:sz w:val="18"/>
              <w:szCs w:val="18"/>
            </w:rPr>
            <w:t>ლოზარტანი</w:t>
          </w:r>
          <w:proofErr w:type="spellEnd"/>
        </w:p>
      </w:tc>
    </w:tr>
    <w:tr w:rsidR="00D86C4E" w14:paraId="73EE3535" w14:textId="77777777" w:rsidTr="00E86599">
      <w:tc>
        <w:tcPr>
          <w:tcW w:w="7285" w:type="dxa"/>
        </w:tcPr>
        <w:p w14:paraId="6D70469E" w14:textId="77777777" w:rsidR="00D86C4E" w:rsidRPr="00C91C79" w:rsidRDefault="00D86C4E" w:rsidP="00D86C4E">
          <w:pPr>
            <w:pStyle w:val="P68B1DB1-Header8"/>
            <w:rPr>
              <w:sz w:val="18"/>
              <w:szCs w:val="18"/>
            </w:rPr>
          </w:pPr>
          <w:proofErr w:type="spellStart"/>
          <w:r w:rsidRPr="00C91C79">
            <w:rPr>
              <w:sz w:val="18"/>
              <w:szCs w:val="18"/>
            </w:rPr>
            <w:t>პროდუქტის</w:t>
          </w:r>
          <w:proofErr w:type="spellEnd"/>
          <w:r w:rsidRPr="00C91C79">
            <w:rPr>
              <w:sz w:val="18"/>
              <w:szCs w:val="18"/>
            </w:rPr>
            <w:t xml:space="preserve"> </w:t>
          </w:r>
          <w:proofErr w:type="spellStart"/>
          <w:r w:rsidRPr="00C91C79">
            <w:rPr>
              <w:sz w:val="18"/>
              <w:szCs w:val="18"/>
            </w:rPr>
            <w:t>მახასიათებლების</w:t>
          </w:r>
          <w:proofErr w:type="spellEnd"/>
          <w:r w:rsidRPr="00C91C79">
            <w:rPr>
              <w:sz w:val="18"/>
              <w:szCs w:val="18"/>
            </w:rPr>
            <w:t xml:space="preserve"> </w:t>
          </w:r>
          <w:proofErr w:type="spellStart"/>
          <w:r w:rsidRPr="00C91C79">
            <w:rPr>
              <w:sz w:val="18"/>
              <w:szCs w:val="18"/>
            </w:rPr>
            <w:t>შეჯამება</w:t>
          </w:r>
          <w:proofErr w:type="spellEnd"/>
          <w:r w:rsidRPr="00C91C79">
            <w:rPr>
              <w:sz w:val="18"/>
              <w:szCs w:val="18"/>
            </w:rPr>
            <w:t xml:space="preserve">, </w:t>
          </w:r>
          <w:proofErr w:type="spellStart"/>
          <w:r w:rsidRPr="00C91C79">
            <w:rPr>
              <w:sz w:val="18"/>
              <w:szCs w:val="18"/>
            </w:rPr>
            <w:t>მარკირება</w:t>
          </w:r>
          <w:proofErr w:type="spellEnd"/>
          <w:r w:rsidRPr="00C91C79">
            <w:rPr>
              <w:sz w:val="18"/>
              <w:szCs w:val="18"/>
            </w:rPr>
            <w:t xml:space="preserve"> </w:t>
          </w:r>
          <w:proofErr w:type="spellStart"/>
          <w:r w:rsidRPr="00C91C79">
            <w:rPr>
              <w:sz w:val="18"/>
              <w:szCs w:val="18"/>
            </w:rPr>
            <w:t>და</w:t>
          </w:r>
          <w:proofErr w:type="spellEnd"/>
          <w:r w:rsidRPr="00C91C79">
            <w:rPr>
              <w:sz w:val="18"/>
              <w:szCs w:val="18"/>
            </w:rPr>
            <w:t xml:space="preserve"> </w:t>
          </w:r>
          <w:proofErr w:type="spellStart"/>
          <w:r w:rsidRPr="00C91C79">
            <w:rPr>
              <w:sz w:val="18"/>
              <w:szCs w:val="18"/>
            </w:rPr>
            <w:t>ფურცელ-ჩანართი</w:t>
          </w:r>
          <w:proofErr w:type="spellEnd"/>
        </w:p>
      </w:tc>
      <w:tc>
        <w:tcPr>
          <w:tcW w:w="2785" w:type="dxa"/>
        </w:tcPr>
        <w:p w14:paraId="07521B4E" w14:textId="77777777" w:rsidR="00D86C4E" w:rsidRPr="00C91C79" w:rsidRDefault="00D86C4E" w:rsidP="00D86C4E">
          <w:pPr>
            <w:pStyle w:val="P68B1DB1-Header8"/>
            <w:rPr>
              <w:sz w:val="18"/>
              <w:szCs w:val="18"/>
            </w:rPr>
          </w:pPr>
          <w:r w:rsidRPr="00C91C79">
            <w:rPr>
              <w:sz w:val="18"/>
              <w:szCs w:val="18"/>
            </w:rPr>
            <w:t>GE-</w:t>
          </w:r>
          <w:proofErr w:type="spellStart"/>
          <w:r w:rsidRPr="00C91C79">
            <w:rPr>
              <w:sz w:val="18"/>
              <w:szCs w:val="18"/>
            </w:rPr>
            <w:t>საქართველო</w:t>
          </w:r>
          <w:proofErr w:type="spellEnd"/>
        </w:p>
      </w:tc>
    </w:tr>
  </w:tbl>
  <w:p w14:paraId="4100D6A4" w14:textId="77777777" w:rsidR="00D86C4E" w:rsidRDefault="00D86C4E" w:rsidP="00D86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0351AD"/>
    <w:multiLevelType w:val="hybridMultilevel"/>
    <w:tmpl w:val="57467932"/>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0EA0F67"/>
    <w:multiLevelType w:val="hybridMultilevel"/>
    <w:tmpl w:val="DA048E50"/>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6666C43"/>
    <w:multiLevelType w:val="hybridMultilevel"/>
    <w:tmpl w:val="45787AD4"/>
    <w:lvl w:ilvl="0" w:tplc="3BEAFDE8">
      <w:numFmt w:val="bullet"/>
      <w:lvlText w:val="-"/>
      <w:lvlJc w:val="left"/>
      <w:pPr>
        <w:ind w:left="360" w:hanging="360"/>
      </w:pPr>
      <w:rPr>
        <w:rFonts w:ascii="Sylfaen" w:eastAsiaTheme="minorHAnsi" w:hAnsi="Sylfaen"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35360031">
    <w:abstractNumId w:val="1"/>
  </w:num>
  <w:num w:numId="2" w16cid:durableId="791631777">
    <w:abstractNumId w:val="2"/>
  </w:num>
  <w:num w:numId="3" w16cid:durableId="1914657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FD0"/>
    <w:rsid w:val="00007243"/>
    <w:rsid w:val="00046FD0"/>
    <w:rsid w:val="000C6DFE"/>
    <w:rsid w:val="00274646"/>
    <w:rsid w:val="003B166E"/>
    <w:rsid w:val="003F28B8"/>
    <w:rsid w:val="00487279"/>
    <w:rsid w:val="00502E28"/>
    <w:rsid w:val="00520312"/>
    <w:rsid w:val="00520452"/>
    <w:rsid w:val="00573433"/>
    <w:rsid w:val="006952FF"/>
    <w:rsid w:val="00804AB6"/>
    <w:rsid w:val="009542F8"/>
    <w:rsid w:val="009E1184"/>
    <w:rsid w:val="009F2FD4"/>
    <w:rsid w:val="00BE4B5F"/>
    <w:rsid w:val="00CE63DA"/>
    <w:rsid w:val="00D14CAC"/>
    <w:rsid w:val="00D47D92"/>
    <w:rsid w:val="00D509C2"/>
    <w:rsid w:val="00D86C4E"/>
    <w:rsid w:val="00DB5808"/>
    <w:rsid w:val="00DE10C8"/>
    <w:rsid w:val="00E54B8E"/>
    <w:rsid w:val="00ED03E2"/>
    <w:rsid w:val="00F710D8"/>
    <w:rsid w:val="00FA708E"/>
  </w:rsids>
  <m:mathPr>
    <m:mathFont m:val="Cambria Math"/>
    <m:brkBin m:val="before"/>
    <m:brkBinSub m:val="--"/>
    <m:smallFrac m:val="0"/>
    <m:dispDef/>
    <m:lMargin m:val="0"/>
    <m:rMargin m:val="0"/>
    <m:defJc m:val="centerGroup"/>
    <m:wrapIndent m:val="1440"/>
    <m:intLim m:val="subSup"/>
    <m:naryLim m:val="undOvr"/>
  </m:mathPr>
  <w:themeFontLang w:val="ka-G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564EA"/>
  <w15:chartTrackingRefBased/>
  <w15:docId w15:val="{2B4063F3-2366-F24A-BEA0-403CC196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lang w:val="ka-G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2E28"/>
    <w:pPr>
      <w:ind w:left="720"/>
      <w:contextualSpacing/>
    </w:pPr>
  </w:style>
  <w:style w:type="character" w:styleId="PlaceholderText">
    <w:name w:val="Placeholder Text"/>
    <w:basedOn w:val="DefaultParagraphFont"/>
    <w:uiPriority w:val="99"/>
    <w:semiHidden/>
    <w:rsid w:val="00502E28"/>
    <w:rPr>
      <w:color w:val="808080"/>
    </w:rPr>
  </w:style>
  <w:style w:type="paragraph" w:customStyle="1" w:styleId="P68B1DB1-Normal1">
    <w:name w:val="P68B1DB1-Normal1"/>
    <w:basedOn w:val="Normal"/>
    <w:rPr>
      <w:rFonts w:ascii="Sylfaen" w:hAnsi="Sylfaen"/>
      <w:b/>
    </w:rPr>
  </w:style>
  <w:style w:type="paragraph" w:customStyle="1" w:styleId="P68B1DB1-Normal2">
    <w:name w:val="P68B1DB1-Normal2"/>
    <w:basedOn w:val="Normal"/>
    <w:rPr>
      <w:rFonts w:ascii="Sylfaen" w:hAnsi="Sylfaen"/>
    </w:rPr>
  </w:style>
  <w:style w:type="paragraph" w:customStyle="1" w:styleId="P68B1DB1-Normal3">
    <w:name w:val="P68B1DB1-Normal3"/>
    <w:basedOn w:val="Normal"/>
    <w:rPr>
      <w:rFonts w:ascii="Sylfaen" w:hAnsi="Sylfaen"/>
      <w:i/>
    </w:rPr>
  </w:style>
  <w:style w:type="paragraph" w:customStyle="1" w:styleId="P68B1DB1-Normal4">
    <w:name w:val="P68B1DB1-Normal4"/>
    <w:basedOn w:val="Normal"/>
    <w:rPr>
      <w:rFonts w:ascii="Sylfaen" w:hAnsi="Sylfaen"/>
      <w:u w:val="thick"/>
    </w:rPr>
  </w:style>
  <w:style w:type="paragraph" w:customStyle="1" w:styleId="P68B1DB1-ListParagraph5">
    <w:name w:val="P68B1DB1-ListParagraph5"/>
    <w:basedOn w:val="ListParagraph"/>
    <w:rPr>
      <w:rFonts w:ascii="Sylfaen" w:hAnsi="Sylfaen"/>
    </w:rPr>
  </w:style>
  <w:style w:type="paragraph" w:customStyle="1" w:styleId="P68B1DB1-Normal6">
    <w:name w:val="P68B1DB1-Normal6"/>
    <w:basedOn w:val="Normal"/>
    <w:rPr>
      <w:rFonts w:ascii="Sylfaen" w:hAnsi="Sylfaen"/>
      <w:u w:val="single"/>
    </w:rPr>
  </w:style>
  <w:style w:type="paragraph" w:customStyle="1" w:styleId="P68B1DB1-Normal7">
    <w:name w:val="P68B1DB1-Normal7"/>
    <w:basedOn w:val="Normal"/>
    <w:rPr>
      <w:rFonts w:ascii="Sylfaen" w:hAnsi="Sylfaen"/>
      <w:b/>
      <w:i/>
    </w:rPr>
  </w:style>
  <w:style w:type="paragraph" w:styleId="Header">
    <w:name w:val="header"/>
    <w:basedOn w:val="Normal"/>
    <w:link w:val="HeaderChar"/>
    <w:uiPriority w:val="99"/>
    <w:unhideWhenUsed/>
    <w:rsid w:val="00D86C4E"/>
    <w:pPr>
      <w:tabs>
        <w:tab w:val="center" w:pos="4680"/>
        <w:tab w:val="right" w:pos="9360"/>
      </w:tabs>
    </w:pPr>
  </w:style>
  <w:style w:type="character" w:customStyle="1" w:styleId="HeaderChar">
    <w:name w:val="Header Char"/>
    <w:basedOn w:val="DefaultParagraphFont"/>
    <w:link w:val="Header"/>
    <w:uiPriority w:val="99"/>
    <w:rsid w:val="00D86C4E"/>
  </w:style>
  <w:style w:type="paragraph" w:styleId="Footer">
    <w:name w:val="footer"/>
    <w:basedOn w:val="Normal"/>
    <w:link w:val="FooterChar"/>
    <w:uiPriority w:val="99"/>
    <w:unhideWhenUsed/>
    <w:rsid w:val="00D86C4E"/>
    <w:pPr>
      <w:tabs>
        <w:tab w:val="center" w:pos="4680"/>
        <w:tab w:val="right" w:pos="9360"/>
      </w:tabs>
    </w:pPr>
  </w:style>
  <w:style w:type="character" w:customStyle="1" w:styleId="FooterChar">
    <w:name w:val="Footer Char"/>
    <w:basedOn w:val="DefaultParagraphFont"/>
    <w:link w:val="Footer"/>
    <w:uiPriority w:val="99"/>
    <w:rsid w:val="00D86C4E"/>
  </w:style>
  <w:style w:type="table" w:styleId="TableGrid">
    <w:name w:val="Table Grid"/>
    <w:basedOn w:val="TableNormal"/>
    <w:uiPriority w:val="39"/>
    <w:rsid w:val="00D86C4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8B1DB1-Header8">
    <w:name w:val="P68B1DB1-Header8"/>
    <w:basedOn w:val="Header"/>
    <w:rsid w:val="00D86C4E"/>
    <w:rPr>
      <w:rFonts w:ascii="Sylfaen" w:hAnsi="Sylfae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053128">
      <w:bodyDiv w:val="1"/>
      <w:marLeft w:val="0"/>
      <w:marRight w:val="0"/>
      <w:marTop w:val="0"/>
      <w:marBottom w:val="0"/>
      <w:divBdr>
        <w:top w:val="none" w:sz="0" w:space="0" w:color="auto"/>
        <w:left w:val="none" w:sz="0" w:space="0" w:color="auto"/>
        <w:bottom w:val="none" w:sz="0" w:space="0" w:color="auto"/>
        <w:right w:val="none" w:sz="0" w:space="0" w:color="auto"/>
      </w:divBdr>
    </w:div>
    <w:div w:id="58938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11</Pages>
  <Words>3933</Words>
  <Characters>22420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tkerdzevadze@gea.ge</dc:creator>
  <cp:keywords/>
  <dc:description/>
  <cp:lastModifiedBy>Eteri Chokheli</cp:lastModifiedBy>
  <cp:revision>18</cp:revision>
  <cp:lastPrinted>2026-07-04T11:54:00Z</cp:lastPrinted>
  <dcterms:created xsi:type="dcterms:W3CDTF">2021-04-03T13:21:00Z</dcterms:created>
  <dcterms:modified xsi:type="dcterms:W3CDTF">2026-07-31T09:13:00Z</dcterms:modified>
</cp:coreProperties>
</file>