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005810" w14:textId="1B7A6995" w:rsidR="00A42BC1" w:rsidRPr="00A20314" w:rsidRDefault="00A42BC1" w:rsidP="00A42BC1">
      <w:pPr>
        <w:spacing w:after="0"/>
        <w:rPr>
          <w:rFonts w:ascii="Times New Roman" w:hAnsi="Times New Roman" w:cs="Times New Roman"/>
          <w:sz w:val="16"/>
          <w:szCs w:val="16"/>
        </w:rPr>
      </w:pPr>
      <w:r w:rsidRPr="00A20314">
        <w:rPr>
          <w:rFonts w:ascii="Times New Roman" w:hAnsi="Times New Roman" w:cs="Times New Roman"/>
          <w:sz w:val="16"/>
          <w:szCs w:val="16"/>
        </w:rPr>
        <w:t>შეფუთვ</w:t>
      </w:r>
      <w:r w:rsidR="000A0D1A">
        <w:rPr>
          <w:rFonts w:ascii="Sylfaen" w:hAnsi="Sylfaen" w:cs="Times New Roman"/>
          <w:sz w:val="16"/>
          <w:szCs w:val="16"/>
        </w:rPr>
        <w:t xml:space="preserve">ა მარკირება </w:t>
      </w:r>
      <w:r w:rsidRPr="00A20314">
        <w:rPr>
          <w:rFonts w:ascii="Times New Roman" w:hAnsi="Times New Roman" w:cs="Times New Roman"/>
          <w:sz w:val="16"/>
          <w:szCs w:val="16"/>
        </w:rPr>
        <w:t>Hana Pharm Co., Ltd.</w:t>
      </w:r>
    </w:p>
    <w:p w14:paraId="533F3853" w14:textId="2EAC6A30" w:rsidR="00A42BC1" w:rsidRPr="00A20314" w:rsidRDefault="00A42BC1" w:rsidP="00A42BC1">
      <w:pPr>
        <w:spacing w:after="0"/>
        <w:rPr>
          <w:rFonts w:ascii="Times New Roman" w:hAnsi="Times New Roman" w:cs="Times New Roman"/>
          <w:sz w:val="16"/>
          <w:szCs w:val="16"/>
        </w:rPr>
      </w:pPr>
      <w:r w:rsidRPr="00A20314">
        <w:rPr>
          <w:rFonts w:ascii="Times New Roman" w:hAnsi="Times New Roman" w:cs="Times New Roman"/>
          <w:sz w:val="16"/>
          <w:szCs w:val="16"/>
        </w:rPr>
        <w:t>პროდუქტის დასახელება SEVOFRAN LIQUID ძალაში შესვლის თარიღი: 2026.04.14.</w:t>
      </w:r>
    </w:p>
    <w:p w14:paraId="3B60B22D" w14:textId="0B0A54F2" w:rsidR="00A42BC1" w:rsidRPr="00A20314" w:rsidRDefault="00A42BC1" w:rsidP="00A42BC1">
      <w:pPr>
        <w:spacing w:after="0"/>
        <w:rPr>
          <w:rFonts w:ascii="Times New Roman" w:hAnsi="Times New Roman" w:cs="Times New Roman"/>
          <w:sz w:val="16"/>
          <w:szCs w:val="16"/>
        </w:rPr>
      </w:pPr>
      <w:r w:rsidRPr="00A20314">
        <w:rPr>
          <w:rFonts w:ascii="Times New Roman" w:hAnsi="Times New Roman" w:cs="Times New Roman"/>
          <w:sz w:val="16"/>
          <w:szCs w:val="16"/>
        </w:rPr>
        <w:t>ზომა (მმ ) 100 × 320</w:t>
      </w:r>
      <w:r w:rsidRPr="00A20314">
        <w:rPr>
          <w:sz w:val="16"/>
          <w:szCs w:val="16"/>
        </w:rPr>
        <w:t xml:space="preserve">   </w:t>
      </w:r>
      <w:r w:rsidRPr="00A20314">
        <w:rPr>
          <w:rFonts w:ascii="Times New Roman" w:hAnsi="Times New Roman" w:cs="Times New Roman"/>
          <w:sz w:val="16"/>
          <w:szCs w:val="16"/>
        </w:rPr>
        <w:t>დიზაინი</w:t>
      </w:r>
      <w:r w:rsidR="006363DA">
        <w:rPr>
          <w:rFonts w:ascii="Times New Roman" w:hAnsi="Times New Roman" w:cs="Times New Roman"/>
          <w:sz w:val="16"/>
          <w:szCs w:val="16"/>
        </w:rPr>
        <w:t xml:space="preserve"> </w:t>
      </w:r>
      <w:r w:rsidRPr="00A20314">
        <w:rPr>
          <w:rFonts w:ascii="Times New Roman" w:hAnsi="Times New Roman" w:cs="Times New Roman"/>
          <w:sz w:val="16"/>
          <w:szCs w:val="16"/>
        </w:rPr>
        <w:t xml:space="preserve"> წარმომადგენლის თანაშემწე მენეჯერი იუნ ი-სანგი (02-559-5787)</w:t>
      </w:r>
    </w:p>
    <w:p w14:paraId="07A04304" w14:textId="39B1771C" w:rsidR="00A42BC1" w:rsidRPr="00A20314" w:rsidRDefault="00A42BC1" w:rsidP="00A42BC1">
      <w:pPr>
        <w:spacing w:after="0"/>
        <w:rPr>
          <w:rFonts w:ascii="Times New Roman" w:hAnsi="Times New Roman" w:cs="Times New Roman"/>
          <w:sz w:val="16"/>
          <w:szCs w:val="16"/>
        </w:rPr>
      </w:pPr>
      <w:r w:rsidRPr="00A20314">
        <w:rPr>
          <w:rFonts w:ascii="Times New Roman" w:hAnsi="Times New Roman" w:cs="Times New Roman"/>
          <w:sz w:val="16"/>
          <w:szCs w:val="16"/>
        </w:rPr>
        <w:t xml:space="preserve">ფერი </w:t>
      </w:r>
      <w:r w:rsidRPr="00A20314">
        <w:rPr>
          <w:rFonts w:ascii="Times New Roman" w:hAnsi="Times New Roman" w:cs="Times New Roman"/>
          <w:sz w:val="16"/>
          <w:szCs w:val="16"/>
        </w:rPr>
        <w:tab/>
        <w:t>DIC-396 პროდუქტის განვითარების გუნდი უფროსი იუნ სუ-ბინი</w:t>
      </w:r>
    </w:p>
    <w:p w14:paraId="2A379BB0" w14:textId="0818521F" w:rsidR="00A42BC1" w:rsidRPr="00A20314" w:rsidRDefault="00A42BC1" w:rsidP="00A42BC1">
      <w:pPr>
        <w:spacing w:after="0"/>
        <w:rPr>
          <w:rFonts w:ascii="Times New Roman" w:hAnsi="Times New Roman" w:cs="Times New Roman"/>
          <w:sz w:val="16"/>
          <w:szCs w:val="16"/>
        </w:rPr>
      </w:pPr>
      <w:r w:rsidRPr="00A20314">
        <w:rPr>
          <w:rFonts w:ascii="Times New Roman" w:hAnsi="Times New Roman" w:cs="Times New Roman"/>
          <w:sz w:val="16"/>
          <w:szCs w:val="16"/>
        </w:rPr>
        <w:t xml:space="preserve">სტამბა </w:t>
      </w:r>
      <w:r w:rsidRPr="00A20314">
        <w:rPr>
          <w:rFonts w:ascii="Times New Roman" w:hAnsi="Times New Roman" w:cs="Times New Roman"/>
          <w:sz w:val="16"/>
          <w:szCs w:val="16"/>
        </w:rPr>
        <w:tab/>
        <w:t>დონგინი ბეჭდვ</w:t>
      </w:r>
      <w:r w:rsidR="0031015D">
        <w:rPr>
          <w:rFonts w:ascii="Sylfaen" w:hAnsi="Sylfaen" w:cs="Times New Roman"/>
          <w:sz w:val="16"/>
          <w:szCs w:val="16"/>
        </w:rPr>
        <w:t xml:space="preserve">ა </w:t>
      </w:r>
      <w:r w:rsidR="0031015D">
        <w:rPr>
          <w:rFonts w:ascii="Sylfaen" w:hAnsi="Sylfaen" w:cs="Times New Roman"/>
          <w:sz w:val="16"/>
          <w:szCs w:val="16"/>
          <w:lang w:val="en-GB"/>
        </w:rPr>
        <w:t>land</w:t>
      </w:r>
      <w:r w:rsidRPr="00A20314">
        <w:rPr>
          <w:rFonts w:ascii="Times New Roman" w:hAnsi="Times New Roman" w:cs="Times New Roman"/>
          <w:sz w:val="16"/>
          <w:szCs w:val="16"/>
        </w:rPr>
        <w:t xml:space="preserve"> 00 / </w:t>
      </w:r>
      <w:r w:rsidR="0031015D">
        <w:rPr>
          <w:rFonts w:ascii="Times New Roman" w:hAnsi="Times New Roman" w:cs="Times New Roman"/>
          <w:sz w:val="16"/>
          <w:szCs w:val="16"/>
        </w:rPr>
        <w:t xml:space="preserve">land </w:t>
      </w:r>
      <w:r w:rsidRPr="00A20314">
        <w:rPr>
          <w:rFonts w:ascii="Times New Roman" w:hAnsi="Times New Roman" w:cs="Times New Roman"/>
          <w:sz w:val="16"/>
          <w:szCs w:val="16"/>
        </w:rPr>
        <w:t>00</w:t>
      </w:r>
    </w:p>
    <w:p w14:paraId="325C815C" w14:textId="77777777" w:rsidR="00A42BC1" w:rsidRDefault="00A42BC1" w:rsidP="00A42BC1">
      <w:pPr>
        <w:spacing w:after="0"/>
        <w:rPr>
          <w:rFonts w:ascii="Times New Roman" w:hAnsi="Times New Roman" w:cs="Times New Roman"/>
          <w:sz w:val="24"/>
          <w:szCs w:val="24"/>
        </w:rPr>
      </w:pPr>
    </w:p>
    <w:p w14:paraId="446D0FB4" w14:textId="1D2CF47A" w:rsidR="00A42BC1" w:rsidRPr="00DC7901" w:rsidRDefault="00CB7888" w:rsidP="0055138D">
      <w:pPr>
        <w:spacing w:line="276" w:lineRule="auto"/>
        <w:jc w:val="left"/>
        <w:rPr>
          <w:rFonts w:ascii="Sylfaen" w:hAnsi="Sylfaen" w:cs="Times New Roman"/>
          <w:b/>
          <w:sz w:val="44"/>
          <w:szCs w:val="24"/>
          <w:lang w:val="ka-GE"/>
        </w:rPr>
      </w:pPr>
      <w:r>
        <w:rPr>
          <w:noProof/>
        </w:rPr>
        <mc:AlternateContent>
          <mc:Choice Requires="wps">
            <w:drawing>
              <wp:anchor distT="0" distB="0" distL="114300" distR="114300" simplePos="0" relativeHeight="251661312" behindDoc="0" locked="0" layoutInCell="1" allowOverlap="1" wp14:anchorId="752BFE72" wp14:editId="506D3242">
                <wp:simplePos x="0" y="0"/>
                <wp:positionH relativeFrom="margin">
                  <wp:posOffset>-179070</wp:posOffset>
                </wp:positionH>
                <wp:positionV relativeFrom="paragraph">
                  <wp:posOffset>346710</wp:posOffset>
                </wp:positionV>
                <wp:extent cx="1508760" cy="314325"/>
                <wp:effectExtent l="0" t="0" r="15240" b="28575"/>
                <wp:wrapNone/>
                <wp:docPr id="3" name="Text Box 3"/>
                <wp:cNvGraphicFramePr/>
                <a:graphic xmlns:a="http://schemas.openxmlformats.org/drawingml/2006/main">
                  <a:graphicData uri="http://schemas.microsoft.com/office/word/2010/wordprocessingShape">
                    <wps:wsp>
                      <wps:cNvSpPr txBox="1"/>
                      <wps:spPr>
                        <a:xfrm>
                          <a:off x="0" y="0"/>
                          <a:ext cx="1508760" cy="314325"/>
                        </a:xfrm>
                        <a:prstGeom prst="rect">
                          <a:avLst/>
                        </a:prstGeom>
                        <a:solidFill>
                          <a:schemeClr val="lt1"/>
                        </a:solidFill>
                        <a:ln w="6350">
                          <a:solidFill>
                            <a:prstClr val="black"/>
                          </a:solidFill>
                        </a:ln>
                      </wps:spPr>
                      <wps:txbx>
                        <w:txbxContent>
                          <w:p w14:paraId="396ED2C0" w14:textId="7AE76C39" w:rsidR="00E30093" w:rsidRPr="00CB7888" w:rsidRDefault="00CB7888" w:rsidP="00AC72E6">
                            <w:pPr>
                              <w:rPr>
                                <w:rFonts w:ascii="Sylfaen" w:hAnsi="Sylfaen"/>
                                <w:lang w:val="ka-GE"/>
                              </w:rPr>
                            </w:pPr>
                            <w:r>
                              <w:rPr>
                                <w:rFonts w:ascii="Sylfaen" w:hAnsi="Sylfaen"/>
                                <w:lang w:val="ka-GE"/>
                              </w:rPr>
                              <w:t>მხოლოდ რეცეფტით</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52BFE72" id="_x0000_t202" coordsize="21600,21600" o:spt="202" path="m,l,21600r21600,l21600,xe">
                <v:stroke joinstyle="miter"/>
                <v:path gradientshapeok="t" o:connecttype="rect"/>
              </v:shapetype>
              <v:shape id="Text Box 3" o:spid="_x0000_s1026" type="#_x0000_t202" style="position:absolute;margin-left:-14.1pt;margin-top:27.3pt;width:118.8pt;height:24.7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" fillcolor="white [3201]" strokeweight=".5pt">
                <v:textbox>
                  <w:txbxContent>
                    <w:p w14:paraId="396ED2C0" w14:textId="7AE76C39" w:rsidR="00E30093" w:rsidRPr="00CB7888" w:rsidRDefault="00CB7888" w:rsidP="00AC72E6">
                      <w:pPr>
                        <w:rPr>
                          <w:rFonts w:ascii="Sylfaen" w:hAnsi="Sylfaen"/>
                          <w:lang w:val="ka-GE"/>
                        </w:rPr>
                      </w:pPr>
                      <w:r>
                        <w:rPr>
                          <w:rFonts w:ascii="Sylfaen" w:hAnsi="Sylfaen"/>
                          <w:lang w:val="ka-GE"/>
                        </w:rPr>
                        <w:t>მხოლოდ რეცეფტით</w:t>
                      </w:r>
                    </w:p>
                  </w:txbxContent>
                </v:textbox>
                <w10:wrap anchorx="margin"/>
              </v:shape>
            </w:pict>
          </mc:Fallback>
        </mc:AlternateContent>
      </w:r>
    </w:p>
    <w:p w14:paraId="2E7C8A52" w14:textId="6A641956" w:rsidR="00AC72E6" w:rsidRDefault="00AC72E6" w:rsidP="00A20314">
      <w:pPr>
        <w:spacing w:after="0" w:line="276" w:lineRule="auto"/>
        <w:jc w:val="center"/>
        <w:rPr>
          <w:rFonts w:ascii="Times New Roman" w:hAnsi="Times New Roman" w:cs="Times New Roman"/>
          <w:b/>
          <w:sz w:val="24"/>
          <w:szCs w:val="24"/>
        </w:rPr>
      </w:pPr>
    </w:p>
    <w:p w14:paraId="7AD34819" w14:textId="1E606D61" w:rsidR="00085D54" w:rsidRDefault="00D30AF7" w:rsidP="00A20314">
      <w:pPr>
        <w:spacing w:after="0" w:line="276" w:lineRule="auto"/>
        <w:jc w:val="center"/>
        <w:rPr>
          <w:rFonts w:ascii="Times New Roman" w:hAnsi="Times New Roman" w:cs="Times New Roman"/>
          <w:b/>
          <w:sz w:val="24"/>
          <w:szCs w:val="24"/>
        </w:rPr>
      </w:pPr>
      <w:r>
        <w:rPr>
          <w:rFonts w:ascii="Times New Roman" w:hAnsi="Times New Roman" w:cs="Times New Roman" w:hint="eastAsia"/>
          <w:b/>
          <w:sz w:val="24"/>
          <w:szCs w:val="24"/>
        </w:rPr>
        <w:t>სევოფრანი</w:t>
      </w:r>
      <w:r>
        <w:rPr>
          <w:rFonts w:ascii="Times New Roman" w:hAnsi="Times New Roman" w:cs="Times New Roman"/>
          <w:b/>
          <w:sz w:val="24"/>
          <w:szCs w:val="24"/>
        </w:rPr>
        <w:t xml:space="preserve"> </w:t>
      </w:r>
      <w:r w:rsidR="00952A61">
        <w:rPr>
          <w:rFonts w:ascii="Sylfaen" w:hAnsi="Sylfaen" w:cs="Times New Roman"/>
          <w:b/>
          <w:sz w:val="24"/>
          <w:szCs w:val="24"/>
        </w:rPr>
        <w:t>საინჰალაციო სითხე</w:t>
      </w:r>
    </w:p>
    <w:p w14:paraId="1681DEE5" w14:textId="77777777" w:rsidR="00D30AF7" w:rsidRDefault="00D30AF7" w:rsidP="00A20314">
      <w:pPr>
        <w:spacing w:after="0" w:line="276" w:lineRule="auto"/>
        <w:jc w:val="center"/>
        <w:rPr>
          <w:rFonts w:ascii="Times New Roman" w:hAnsi="Times New Roman" w:cs="Times New Roman"/>
          <w:b/>
          <w:sz w:val="24"/>
          <w:szCs w:val="24"/>
        </w:rPr>
      </w:pPr>
      <w:r>
        <w:rPr>
          <w:rFonts w:ascii="Times New Roman" w:hAnsi="Times New Roman" w:cs="Times New Roman" w:hint="eastAsia"/>
          <w:b/>
          <w:sz w:val="24"/>
          <w:szCs w:val="24"/>
        </w:rPr>
        <w:t>(სევოფლურანი)</w:t>
      </w:r>
    </w:p>
    <w:p w14:paraId="0F50BBC1" w14:textId="77777777" w:rsidR="00D30AF7" w:rsidRDefault="00D30AF7" w:rsidP="00A20314">
      <w:pPr>
        <w:spacing w:after="0" w:line="276" w:lineRule="auto"/>
        <w:jc w:val="left"/>
        <w:rPr>
          <w:rFonts w:ascii="Times New Roman" w:hAnsi="Times New Roman" w:cs="Times New Roman"/>
          <w:b/>
          <w:sz w:val="24"/>
          <w:szCs w:val="24"/>
        </w:rPr>
      </w:pPr>
    </w:p>
    <w:p w14:paraId="273F964F" w14:textId="646D6BA4" w:rsidR="00D30AF7" w:rsidRPr="00D30AF7" w:rsidRDefault="00D17AAB" w:rsidP="00A20314">
      <w:pPr>
        <w:spacing w:after="0" w:line="276" w:lineRule="auto"/>
        <w:jc w:val="left"/>
        <w:rPr>
          <w:rFonts w:ascii="Times New Roman" w:hAnsi="Times New Roman" w:cs="Times New Roman"/>
          <w:b/>
          <w:sz w:val="24"/>
          <w:szCs w:val="24"/>
        </w:rPr>
      </w:pPr>
      <w:r>
        <w:rPr>
          <w:rFonts w:ascii="Times New Roman" w:hAnsi="Times New Roman" w:cs="Times New Roman"/>
          <w:b/>
          <w:sz w:val="24"/>
          <w:szCs w:val="24"/>
        </w:rPr>
        <w:t>[</w:t>
      </w:r>
      <w:r w:rsidR="00983EA3">
        <w:rPr>
          <w:rFonts w:ascii="Sylfaen" w:hAnsi="Sylfaen" w:cs="Times New Roman"/>
          <w:b/>
          <w:sz w:val="24"/>
          <w:szCs w:val="24"/>
        </w:rPr>
        <w:t>შემადგენლობა</w:t>
      </w:r>
      <w:r>
        <w:rPr>
          <w:rFonts w:ascii="Times New Roman" w:hAnsi="Times New Roman" w:cs="Times New Roman"/>
          <w:b/>
          <w:sz w:val="24"/>
          <w:szCs w:val="24"/>
        </w:rPr>
        <w:t>]</w:t>
      </w:r>
    </w:p>
    <w:p w14:paraId="4D761B35" w14:textId="77777777" w:rsidR="00D30AF7" w:rsidRPr="00D30AF7" w:rsidRDefault="00D30AF7" w:rsidP="00A20314">
      <w:pPr>
        <w:spacing w:after="0" w:line="276" w:lineRule="auto"/>
        <w:jc w:val="left"/>
        <w:rPr>
          <w:rFonts w:ascii="Times New Roman" w:hAnsi="Times New Roman" w:cs="Times New Roman"/>
          <w:sz w:val="24"/>
          <w:szCs w:val="24"/>
        </w:rPr>
      </w:pPr>
      <w:r w:rsidRPr="00D30AF7">
        <w:rPr>
          <w:rFonts w:ascii="Times New Roman" w:hAnsi="Times New Roman" w:cs="Times New Roman"/>
          <w:sz w:val="24"/>
          <w:szCs w:val="24"/>
        </w:rPr>
        <w:t>ყოველი 100 მლ შეიცავს:</w:t>
      </w:r>
    </w:p>
    <w:p w14:paraId="46FE972C" w14:textId="77777777" w:rsidR="00D30AF7" w:rsidRPr="00D30AF7" w:rsidRDefault="00D30AF7" w:rsidP="00A20314">
      <w:pPr>
        <w:spacing w:after="0" w:line="276" w:lineRule="auto"/>
        <w:jc w:val="left"/>
        <w:rPr>
          <w:rFonts w:ascii="Times New Roman" w:hAnsi="Times New Roman" w:cs="Times New Roman"/>
          <w:sz w:val="24"/>
          <w:szCs w:val="24"/>
        </w:rPr>
      </w:pPr>
      <w:r w:rsidRPr="00D30AF7">
        <w:rPr>
          <w:rFonts w:ascii="Times New Roman" w:hAnsi="Times New Roman" w:cs="Times New Roman"/>
          <w:sz w:val="24"/>
          <w:szCs w:val="24"/>
        </w:rPr>
        <w:t>სევოფლურანი (USP) . . . . . . . . . . . . . . . . . . . . . . . . . . . . . . . . . 100 მლ</w:t>
      </w:r>
    </w:p>
    <w:p w14:paraId="2FFA4170" w14:textId="77777777" w:rsidR="00D30AF7" w:rsidRDefault="00D30AF7" w:rsidP="00A20314">
      <w:pPr>
        <w:spacing w:after="0" w:line="276" w:lineRule="auto"/>
        <w:jc w:val="left"/>
        <w:rPr>
          <w:rFonts w:ascii="Times New Roman" w:hAnsi="Times New Roman" w:cs="Times New Roman"/>
          <w:b/>
          <w:sz w:val="24"/>
          <w:szCs w:val="24"/>
        </w:rPr>
      </w:pPr>
    </w:p>
    <w:p w14:paraId="2EAD1FFC" w14:textId="77777777" w:rsidR="00D30AF7" w:rsidRPr="00D30AF7" w:rsidRDefault="00D17AAB" w:rsidP="00A20314">
      <w:pPr>
        <w:spacing w:after="0" w:line="276" w:lineRule="auto"/>
        <w:jc w:val="left"/>
        <w:rPr>
          <w:rFonts w:ascii="Times New Roman" w:hAnsi="Times New Roman" w:cs="Times New Roman"/>
          <w:b/>
          <w:sz w:val="24"/>
          <w:szCs w:val="24"/>
        </w:rPr>
      </w:pPr>
      <w:r>
        <w:rPr>
          <w:rFonts w:ascii="Times New Roman" w:hAnsi="Times New Roman" w:cs="Times New Roman"/>
          <w:b/>
          <w:sz w:val="24"/>
          <w:szCs w:val="24"/>
        </w:rPr>
        <w:t>[აღწერა]</w:t>
      </w:r>
    </w:p>
    <w:p w14:paraId="42B0C629" w14:textId="77777777" w:rsidR="00D30AF7" w:rsidRPr="00D30AF7" w:rsidRDefault="00D30AF7" w:rsidP="00A20314">
      <w:pPr>
        <w:spacing w:after="0" w:line="276" w:lineRule="auto"/>
        <w:jc w:val="left"/>
        <w:rPr>
          <w:rFonts w:ascii="Times New Roman" w:hAnsi="Times New Roman" w:cs="Times New Roman"/>
          <w:sz w:val="24"/>
          <w:szCs w:val="24"/>
        </w:rPr>
      </w:pPr>
      <w:r w:rsidRPr="00D30AF7">
        <w:rPr>
          <w:rFonts w:ascii="Times New Roman" w:hAnsi="Times New Roman" w:cs="Times New Roman"/>
          <w:sz w:val="24"/>
          <w:szCs w:val="24"/>
        </w:rPr>
        <w:t>უფერო და გამჭვირვალე ხსნარი ქარვისფერი შუშის ბოთლში</w:t>
      </w:r>
    </w:p>
    <w:p w14:paraId="12AEF4E7" w14:textId="77777777" w:rsidR="00D30AF7" w:rsidRDefault="00D30AF7" w:rsidP="00A20314">
      <w:pPr>
        <w:spacing w:after="0" w:line="276" w:lineRule="auto"/>
        <w:jc w:val="left"/>
        <w:rPr>
          <w:rFonts w:ascii="Times New Roman" w:hAnsi="Times New Roman" w:cs="Times New Roman"/>
          <w:b/>
          <w:sz w:val="24"/>
          <w:szCs w:val="24"/>
        </w:rPr>
      </w:pPr>
    </w:p>
    <w:p w14:paraId="5CF60BDF" w14:textId="77777777" w:rsidR="00D30AF7" w:rsidRPr="00D30AF7" w:rsidRDefault="00D17AAB" w:rsidP="00A20314">
      <w:pPr>
        <w:spacing w:after="0" w:line="276" w:lineRule="auto"/>
        <w:jc w:val="left"/>
        <w:rPr>
          <w:rFonts w:ascii="Times New Roman" w:hAnsi="Times New Roman" w:cs="Times New Roman"/>
          <w:b/>
          <w:sz w:val="24"/>
          <w:szCs w:val="24"/>
        </w:rPr>
      </w:pPr>
      <w:r>
        <w:rPr>
          <w:rFonts w:ascii="Times New Roman" w:hAnsi="Times New Roman" w:cs="Times New Roman"/>
          <w:b/>
          <w:sz w:val="24"/>
          <w:szCs w:val="24"/>
        </w:rPr>
        <w:t>[ჩვენებები]</w:t>
      </w:r>
    </w:p>
    <w:p w14:paraId="66324E90" w14:textId="77777777" w:rsidR="00D30AF7" w:rsidRDefault="00D30AF7" w:rsidP="00A20314">
      <w:pPr>
        <w:spacing w:after="0" w:line="276" w:lineRule="auto"/>
        <w:jc w:val="left"/>
        <w:rPr>
          <w:rFonts w:ascii="Times New Roman" w:hAnsi="Times New Roman" w:cs="Times New Roman"/>
          <w:sz w:val="24"/>
          <w:szCs w:val="24"/>
        </w:rPr>
      </w:pPr>
      <w:r w:rsidRPr="00D30AF7">
        <w:rPr>
          <w:rFonts w:ascii="Times New Roman" w:hAnsi="Times New Roman" w:cs="Times New Roman"/>
          <w:sz w:val="24"/>
          <w:szCs w:val="24"/>
        </w:rPr>
        <w:t>ზოგადი ანესთეზია.</w:t>
      </w:r>
    </w:p>
    <w:p w14:paraId="32FCE160" w14:textId="77777777" w:rsidR="00D30AF7" w:rsidRPr="00D30AF7" w:rsidRDefault="00D30AF7" w:rsidP="00A20314">
      <w:pPr>
        <w:spacing w:after="0" w:line="276" w:lineRule="auto"/>
        <w:jc w:val="left"/>
        <w:rPr>
          <w:rFonts w:ascii="Times New Roman" w:hAnsi="Times New Roman" w:cs="Times New Roman"/>
          <w:sz w:val="24"/>
          <w:szCs w:val="24"/>
        </w:rPr>
      </w:pPr>
    </w:p>
    <w:p w14:paraId="2A5EEB68" w14:textId="77777777" w:rsidR="00113926" w:rsidRDefault="00D17AAB" w:rsidP="00A20314">
      <w:pPr>
        <w:spacing w:after="0" w:line="276" w:lineRule="auto"/>
        <w:jc w:val="left"/>
        <w:rPr>
          <w:rFonts w:ascii="Times New Roman" w:hAnsi="Times New Roman" w:cs="Times New Roman"/>
          <w:b/>
          <w:sz w:val="24"/>
          <w:szCs w:val="24"/>
        </w:rPr>
      </w:pPr>
      <w:r>
        <w:rPr>
          <w:rFonts w:ascii="Times New Roman" w:hAnsi="Times New Roman" w:cs="Times New Roman"/>
          <w:b/>
          <w:sz w:val="24"/>
          <w:szCs w:val="24"/>
        </w:rPr>
        <w:t>[დოზირება და მიღების წესი]</w:t>
      </w:r>
    </w:p>
    <w:p w14:paraId="1679ABDB" w14:textId="77777777" w:rsidR="00222DD6" w:rsidRPr="00222DD6" w:rsidRDefault="00222DD6" w:rsidP="00A20314">
      <w:pPr>
        <w:spacing w:after="0" w:line="276" w:lineRule="auto"/>
        <w:jc w:val="left"/>
        <w:rPr>
          <w:rStyle w:val="Strong"/>
          <w:rFonts w:ascii="Times New Roman" w:hAnsi="Times New Roman" w:cs="Times New Roman"/>
          <w:bCs w:val="0"/>
          <w:sz w:val="24"/>
          <w:szCs w:val="24"/>
        </w:rPr>
      </w:pPr>
      <w:r w:rsidRPr="00DE46DF">
        <w:rPr>
          <w:rStyle w:val="Strong"/>
          <w:rFonts w:ascii="Times New Roman" w:hAnsi="Times New Roman" w:cs="Times New Roman"/>
          <w:b w:val="0"/>
          <w:sz w:val="24"/>
        </w:rPr>
        <w:t>მოზრდილები</w:t>
      </w:r>
      <w:r w:rsidRPr="00551AFF">
        <w:rPr>
          <w:rStyle w:val="Strong"/>
          <w:rFonts w:ascii="Times New Roman" w:hAnsi="Times New Roman" w:cs="Times New Roman"/>
          <w:b w:val="0"/>
          <w:sz w:val="22"/>
        </w:rPr>
        <w:t xml:space="preserve"> </w:t>
      </w:r>
    </w:p>
    <w:p w14:paraId="54C2B771" w14:textId="77777777" w:rsidR="00064098" w:rsidRPr="00113926" w:rsidRDefault="0007724F" w:rsidP="00A20314">
      <w:pPr>
        <w:pStyle w:val="NormalWeb"/>
        <w:numPr>
          <w:ilvl w:val="0"/>
          <w:numId w:val="2"/>
        </w:numPr>
        <w:spacing w:after="0" w:afterAutospacing="0" w:line="276" w:lineRule="auto"/>
        <w:jc w:val="both"/>
        <w:rPr>
          <w:rFonts w:ascii="Times New Roman" w:hAnsi="Times New Roman" w:cs="Times New Roman"/>
          <w:sz w:val="22"/>
          <w:szCs w:val="22"/>
        </w:rPr>
      </w:pPr>
      <w:r w:rsidRPr="00551AFF">
        <w:rPr>
          <w:rStyle w:val="Strong"/>
          <w:rFonts w:ascii="Times New Roman" w:hAnsi="Times New Roman" w:cs="Times New Roman"/>
          <w:b w:val="0"/>
          <w:sz w:val="22"/>
          <w:szCs w:val="22"/>
        </w:rPr>
        <w:t xml:space="preserve">ინდუქცია: </w:t>
      </w:r>
      <w:r w:rsidRPr="00551AFF">
        <w:rPr>
          <w:rFonts w:ascii="Times New Roman" w:hAnsi="Times New Roman" w:cs="Times New Roman"/>
          <w:sz w:val="22"/>
          <w:szCs w:val="22"/>
        </w:rPr>
        <w:br/>
        <w:t xml:space="preserve">სევოფლურანი ინჰალაციის სახით მიიღება ჟანგბადთან ან ჟანგბადისა და აზოტის ოქსიდის ნარევში. გარდა ამისა, ანესთეზიის ინდუქციისთვის ინტრავენური ანესთეზიის შეყვანისას, ეს პრეპარატი შეიძლება შემდგომში შეყვანილი იქნას ჟანგბადთან ან ჟანგბადისა და აზოტის ოქსიდის ნარევში. </w:t>
      </w:r>
      <w:r w:rsidR="007558CF" w:rsidRPr="00551AFF">
        <w:rPr>
          <w:rFonts w:ascii="Times New Roman" w:hAnsi="Times New Roman" w:cs="Times New Roman"/>
          <w:sz w:val="22"/>
          <w:szCs w:val="22"/>
        </w:rPr>
        <w:t>როგორც წესი, ინდუქციისთვის შეიძლება გამოყენებულ იქნას 0.5–5.0%-იანი კონცენტრაცია.</w:t>
      </w:r>
    </w:p>
    <w:p w14:paraId="4D043D72" w14:textId="77777777" w:rsidR="0007724F" w:rsidRPr="00551AFF" w:rsidRDefault="0007724F" w:rsidP="00A20314">
      <w:pPr>
        <w:pStyle w:val="NormalWeb"/>
        <w:numPr>
          <w:ilvl w:val="0"/>
          <w:numId w:val="2"/>
        </w:numPr>
        <w:spacing w:after="0" w:afterAutospacing="0" w:line="276" w:lineRule="auto"/>
        <w:jc w:val="both"/>
        <w:rPr>
          <w:rFonts w:ascii="Times New Roman" w:hAnsi="Times New Roman" w:cs="Times New Roman"/>
          <w:sz w:val="22"/>
          <w:szCs w:val="22"/>
        </w:rPr>
      </w:pPr>
      <w:r w:rsidRPr="00551AFF">
        <w:rPr>
          <w:rStyle w:val="Strong"/>
          <w:rFonts w:ascii="Times New Roman" w:hAnsi="Times New Roman" w:cs="Times New Roman"/>
          <w:b w:val="0"/>
          <w:sz w:val="22"/>
          <w:szCs w:val="22"/>
        </w:rPr>
        <w:t xml:space="preserve">შემანარჩუნებელი თერაპია: </w:t>
      </w:r>
      <w:r w:rsidRPr="00551AFF">
        <w:rPr>
          <w:rFonts w:ascii="Times New Roman" w:hAnsi="Times New Roman" w:cs="Times New Roman"/>
          <w:sz w:val="22"/>
          <w:szCs w:val="22"/>
        </w:rPr>
        <w:br/>
        <w:t xml:space="preserve">შესაბამისი კონცენტრაციის შენარჩუნება ხდება პაციენტის კლინიკური მდგომარეობის მონიტორინგით და მინიმალური ეფექტური კონცენტრაციის შეყვანით აზოტის ოქსიდთან და ჟანგბადთან კომბინაციაში, ანესთეზიის სასურველი სიღრმის შესანარჩუნებლად. </w:t>
      </w:r>
      <w:r w:rsidR="007558CF" w:rsidRPr="00551AFF">
        <w:rPr>
          <w:rFonts w:ascii="Times New Roman" w:hAnsi="Times New Roman" w:cs="Times New Roman"/>
          <w:sz w:val="22"/>
          <w:szCs w:val="22"/>
        </w:rPr>
        <w:t>როგორც წესი, ის შენარჩუნებულია 4.0%-ზე ან უფრო დაბალ დონეზე.</w:t>
      </w:r>
    </w:p>
    <w:p w14:paraId="36B61E9F" w14:textId="77777777" w:rsidR="0007724F" w:rsidRDefault="0007724F" w:rsidP="00A20314">
      <w:pPr>
        <w:widowControl/>
        <w:wordWrap/>
        <w:autoSpaceDE/>
        <w:autoSpaceDN/>
        <w:spacing w:after="0" w:line="276" w:lineRule="auto"/>
        <w:rPr>
          <w:rFonts w:ascii="Times New Roman" w:eastAsia="Gulim" w:hAnsi="Times New Roman" w:cs="Times New Roman"/>
          <w:kern w:val="0"/>
          <w:sz w:val="24"/>
          <w:szCs w:val="24"/>
        </w:rPr>
      </w:pPr>
    </w:p>
    <w:p w14:paraId="03C19C4C" w14:textId="4683B5BA" w:rsidR="00222DD6" w:rsidRPr="00D17AAB" w:rsidRDefault="00D17AAB" w:rsidP="00A20314">
      <w:pPr>
        <w:spacing w:after="0" w:line="276" w:lineRule="auto"/>
        <w:jc w:val="left"/>
        <w:rPr>
          <w:rFonts w:ascii="Times New Roman" w:hAnsi="Times New Roman" w:cs="Times New Roman"/>
          <w:b/>
          <w:sz w:val="24"/>
          <w:szCs w:val="24"/>
        </w:rPr>
      </w:pPr>
      <w:r>
        <w:rPr>
          <w:rFonts w:ascii="Times New Roman" w:hAnsi="Times New Roman" w:cs="Times New Roman"/>
          <w:b/>
          <w:sz w:val="24"/>
          <w:szCs w:val="24"/>
        </w:rPr>
        <w:t>[სიფრთხილის ზომები</w:t>
      </w:r>
      <w:r w:rsidR="000A0D1A">
        <w:rPr>
          <w:rFonts w:ascii="Times New Roman" w:hAnsi="Times New Roman" w:cs="Times New Roman"/>
          <w:b/>
          <w:sz w:val="24"/>
          <w:szCs w:val="24"/>
        </w:rPr>
        <w:t xml:space="preserve"> </w:t>
      </w:r>
      <w:r w:rsidR="000A0D1A">
        <w:rPr>
          <w:rFonts w:ascii="Sylfaen" w:hAnsi="Sylfaen" w:cs="Times New Roman"/>
          <w:b/>
          <w:sz w:val="24"/>
          <w:szCs w:val="24"/>
        </w:rPr>
        <w:t>გამოყენებისას</w:t>
      </w:r>
      <w:r>
        <w:rPr>
          <w:rFonts w:ascii="Times New Roman" w:hAnsi="Times New Roman" w:cs="Times New Roman"/>
          <w:b/>
          <w:sz w:val="24"/>
          <w:szCs w:val="24"/>
        </w:rPr>
        <w:t>]</w:t>
      </w:r>
    </w:p>
    <w:p w14:paraId="3595BD9E" w14:textId="77777777" w:rsidR="0007724F" w:rsidRPr="00D17AAB" w:rsidRDefault="0007724F" w:rsidP="00A20314">
      <w:pPr>
        <w:spacing w:after="0" w:line="276" w:lineRule="auto"/>
        <w:rPr>
          <w:rFonts w:ascii="Times New Roman" w:hAnsi="Times New Roman" w:cs="Times New Roman"/>
          <w:b/>
          <w:sz w:val="22"/>
        </w:rPr>
      </w:pPr>
      <w:r w:rsidRPr="00D17AAB">
        <w:rPr>
          <w:rFonts w:ascii="Times New Roman" w:hAnsi="Times New Roman" w:cs="Times New Roman"/>
          <w:b/>
          <w:sz w:val="22"/>
        </w:rPr>
        <w:t>1. გაფრთხილებები</w:t>
      </w:r>
    </w:p>
    <w:p w14:paraId="4C981E1B" w14:textId="77777777" w:rsidR="0007724F" w:rsidRPr="00D17AAB" w:rsidRDefault="0007724F" w:rsidP="00A20314">
      <w:pPr>
        <w:spacing w:after="0" w:line="276" w:lineRule="auto"/>
        <w:rPr>
          <w:rFonts w:ascii="Times New Roman" w:hAnsi="Times New Roman" w:cs="Times New Roman"/>
          <w:b/>
          <w:sz w:val="22"/>
        </w:rPr>
      </w:pPr>
      <w:r w:rsidRPr="00D17AAB">
        <w:rPr>
          <w:rFonts w:ascii="Times New Roman" w:hAnsi="Times New Roman" w:cs="Times New Roman" w:hint="eastAsia"/>
          <w:b/>
          <w:sz w:val="22"/>
        </w:rPr>
        <w:t xml:space="preserve">1) </w:t>
      </w:r>
      <w:r w:rsidRPr="00D17AAB">
        <w:rPr>
          <w:rFonts w:ascii="Times New Roman" w:hAnsi="Times New Roman" w:cs="Times New Roman"/>
          <w:b/>
          <w:sz w:val="22"/>
        </w:rPr>
        <w:t>ამ პრეპარატმა შეიძლება გამოიწვიოს სუნთქვის დათრგუნვა. სიმპტომები შეიძლება გამწვავდეს ნარკოტიკულ პრემედიკაციასთან ან სუნთქვის დათრგუნვის გამომწვევ სხვა პრეპარატებთან ერთად გამოყენებისას; ამიტომ, საჭიროა სუნთქვის მონიტორინგი და საჭიროების შემთხვევაში დახმარება.</w:t>
      </w:r>
    </w:p>
    <w:p w14:paraId="02C7C522" w14:textId="77777777" w:rsidR="0007724F" w:rsidRPr="00D17AAB" w:rsidRDefault="0007724F" w:rsidP="00A20314">
      <w:pPr>
        <w:spacing w:after="0" w:line="276" w:lineRule="auto"/>
        <w:rPr>
          <w:rFonts w:ascii="Times New Roman" w:hAnsi="Times New Roman" w:cs="Times New Roman"/>
          <w:b/>
          <w:sz w:val="22"/>
        </w:rPr>
      </w:pPr>
      <w:r w:rsidRPr="00D17AAB">
        <w:rPr>
          <w:rFonts w:ascii="Times New Roman" w:hAnsi="Times New Roman" w:cs="Times New Roman" w:hint="eastAsia"/>
          <w:b/>
          <w:sz w:val="22"/>
        </w:rPr>
        <w:t xml:space="preserve">2) </w:t>
      </w:r>
      <w:r w:rsidRPr="00D17AAB">
        <w:rPr>
          <w:rFonts w:ascii="Times New Roman" w:hAnsi="Times New Roman" w:cs="Times New Roman"/>
          <w:b/>
          <w:sz w:val="22"/>
        </w:rPr>
        <w:t xml:space="preserve">ეს პრეპარატი უნდა შეიყვანონ მხოლოდ ანესთეზიოლოგიაში გამოცდილმა ექიმებმა. ანესთეზიის დაწყებამდე უნდა მომზადდეს და დაუყოვნებლივი გამოყენებისთვის მზად იყოს </w:t>
      </w:r>
      <w:r w:rsidRPr="00D17AAB">
        <w:rPr>
          <w:rFonts w:ascii="Times New Roman" w:hAnsi="Times New Roman" w:cs="Times New Roman"/>
          <w:b/>
          <w:sz w:val="22"/>
        </w:rPr>
        <w:lastRenderedPageBreak/>
        <w:t>ისეთი აღჭურვილობა, როგორიცაა ვენტილატორები, ჟანგბადის წყაროები, შემწოვი მოწყობილობები, ხელოვნური სუნთქვის მოწყობილობები და სისხლის მიმოქცევის რეანიმაციის მოწყობილობები.</w:t>
      </w:r>
    </w:p>
    <w:p w14:paraId="44E25C3A" w14:textId="77777777" w:rsidR="0007724F" w:rsidRPr="00D17AAB" w:rsidRDefault="0007724F" w:rsidP="00A20314">
      <w:pPr>
        <w:spacing w:after="0" w:line="276" w:lineRule="auto"/>
        <w:rPr>
          <w:rFonts w:ascii="Times New Roman" w:hAnsi="Times New Roman" w:cs="Times New Roman"/>
          <w:b/>
          <w:sz w:val="22"/>
        </w:rPr>
      </w:pPr>
      <w:r w:rsidRPr="00D17AAB">
        <w:rPr>
          <w:rFonts w:ascii="Times New Roman" w:hAnsi="Times New Roman" w:cs="Times New Roman" w:hint="eastAsia"/>
          <w:b/>
          <w:sz w:val="22"/>
        </w:rPr>
        <w:t xml:space="preserve">3) </w:t>
      </w:r>
      <w:r w:rsidRPr="00D17AAB">
        <w:rPr>
          <w:rFonts w:ascii="Times New Roman" w:hAnsi="Times New Roman" w:cs="Times New Roman"/>
          <w:b/>
          <w:sz w:val="22"/>
        </w:rPr>
        <w:t>ვენტილატორში გამოსაყენებლად მოწოდებული ამ პრეპარატის კონცენტრაცია ზუსტად უნდა გაიზომოს. რადგან ინჰალაციურ ანესთეტიკებს განსხვავებული ფიზიკური თვისებები აქვთ, უნდა იქნას გამოყენებული ამ პრეპარატისთვის განკუთვნილი ვენტილატორი. ინჰალაციური ანესთეტიკების მიღება პაციენტის მდგომარეობის მიხედვით ინდივიდუალურად უნდა მოხდეს. ანესთეზიის გაღრმავებასთან ერთად, არტერიული წნევა და სუნთქვის დათრგუნვა იზრდება.</w:t>
      </w:r>
    </w:p>
    <w:p w14:paraId="3AF903BA" w14:textId="77777777" w:rsidR="0007724F" w:rsidRPr="00D17AAB" w:rsidRDefault="0007724F" w:rsidP="00A20314">
      <w:pPr>
        <w:spacing w:after="0" w:line="276" w:lineRule="auto"/>
        <w:rPr>
          <w:rFonts w:ascii="Times New Roman" w:hAnsi="Times New Roman" w:cs="Times New Roman"/>
          <w:b/>
          <w:sz w:val="22"/>
        </w:rPr>
      </w:pPr>
      <w:r w:rsidRPr="00D17AAB">
        <w:rPr>
          <w:rFonts w:ascii="Times New Roman" w:hAnsi="Times New Roman" w:cs="Times New Roman" w:hint="eastAsia"/>
          <w:b/>
          <w:sz w:val="22"/>
        </w:rPr>
        <w:t xml:space="preserve">4) </w:t>
      </w:r>
      <w:r w:rsidRPr="00D17AAB">
        <w:rPr>
          <w:rFonts w:ascii="Times New Roman" w:hAnsi="Times New Roman" w:cs="Times New Roman"/>
          <w:b/>
          <w:sz w:val="22"/>
        </w:rPr>
        <w:t xml:space="preserve">ოპერაციის შემდგომი პერიოდის განმავლობაში ღვიძლის მსუბუქი, საშუალო ან მძიმე დისფუნქციის შემდეგ ჰეპატიტის შემთხვევები, სიყვითლით ან მის გარეშე, ძალიან იშვიათად დაფიქსირდა. ამ პრეპარატის დანიშვნისას პაციენტებში, რომლებსაც აქვთ ღვიძლის დაავადება ან იღებენ </w:t>
      </w:r>
      <w:r w:rsidR="007558CF" w:rsidRPr="00D17AAB">
        <w:rPr>
          <w:rFonts w:ascii="Times New Roman" w:hAnsi="Times New Roman" w:cs="Times New Roman"/>
          <w:b/>
          <w:sz w:val="22"/>
        </w:rPr>
        <w:t>ღვიძლის დისფუნქციის გამომწვევ მედიკამენტებს, უნდა გამოიყენონ კლინიკური შეფასება. ღვიძლის დაზიანების მომატებული რისკი დაფიქსირდა პაციენტებში, რომლებიც ადრე იღებდნენ ჰალოგენირებულ ნახშირწყალბადოვან ანესთეტიკებს, განსაკუთრებით მაშინ, როდესაც ინტერვალი 3 თვეზე ნაკლებია.</w:t>
      </w:r>
    </w:p>
    <w:p w14:paraId="7E10BB33" w14:textId="77777777" w:rsidR="0007724F" w:rsidRPr="00D17AAB" w:rsidRDefault="0007724F" w:rsidP="00A20314">
      <w:pPr>
        <w:spacing w:after="0" w:line="276" w:lineRule="auto"/>
        <w:rPr>
          <w:rFonts w:ascii="Times New Roman" w:hAnsi="Times New Roman" w:cs="Times New Roman"/>
          <w:b/>
          <w:sz w:val="22"/>
        </w:rPr>
      </w:pPr>
      <w:r w:rsidRPr="00D17AAB">
        <w:rPr>
          <w:rFonts w:ascii="Times New Roman" w:hAnsi="Times New Roman" w:cs="Times New Roman" w:hint="eastAsia"/>
          <w:b/>
          <w:sz w:val="22"/>
        </w:rPr>
        <w:t xml:space="preserve">5) </w:t>
      </w:r>
      <w:r w:rsidRPr="00D17AAB">
        <w:rPr>
          <w:rFonts w:ascii="Times New Roman" w:hAnsi="Times New Roman" w:cs="Times New Roman"/>
          <w:b/>
          <w:sz w:val="22"/>
        </w:rPr>
        <w:t xml:space="preserve">ავთვისებიანი ჰიპერთერმია, მათ შორის კუნთების რიგიდობა და მაღალი სიცხე, შეიძლება განვითარდეს პაციენტებში, რომლებსაც აქვთ მომატებული მგრძნობელობა ინჰალაციური ანესთეტიკების მიმართ. ავთვისებიანი ჰიპერთერმია პოტენციურად ფატალური კლინიკური სინდრომია, რომელმაც შეიძლება გამოიწვიოს მძიმე მეტაბოლური აციდოზი. სიმპტომები შეიძლება მოიცავდეს რიგიდობას, კუნთების რიგიდობას, გულისცემის გახშირებას, ტაქიკარდიას, ციანოზს, ჭრელი ფერის ნაკრებს და/ან არასტაბილურ არტერიულ წნევას. ეს ატიპიური სიმპტომები ასევე შეიძლება შეინიშნოს მსუბუქი ანესთეზიის, თირკმლის მწვავე უკმარისობის, მძიმე მეტაბოლური აციდოზის და ჰიპოტენზიის დროს. კლინიკურ კვლევებში, ავთვისებიანი ჰიპერთერმია აღწერილი იყო, როგორც გვერდითი მოვლენა. თუ ავთვისებიანი ჰიპერთერმია განვითარდა, ანესთეტიკის ( </w:t>
      </w:r>
      <w:r w:rsidR="003D5B5B" w:rsidRPr="00D17AAB">
        <w:rPr>
          <w:rFonts w:ascii="Times New Roman" w:hAnsi="Times New Roman" w:cs="Times New Roman" w:hint="eastAsia"/>
          <w:b/>
          <w:sz w:val="22"/>
        </w:rPr>
        <w:t>მაგ.</w:t>
      </w:r>
      <w:r w:rsidR="008E78DD" w:rsidRPr="00D17AAB">
        <w:rPr>
          <w:rFonts w:ascii="Times New Roman" w:hAnsi="Times New Roman" w:cs="Times New Roman"/>
          <w:b/>
          <w:sz w:val="22"/>
        </w:rPr>
        <w:t xml:space="preserve"> სევორანის მიღება (სევორანი </w:t>
      </w:r>
      <w:r w:rsidRPr="00D17AAB">
        <w:rPr>
          <w:rFonts w:ascii="Times New Roman" w:hAnsi="Times New Roman" w:cs="Times New Roman"/>
          <w:b/>
          <w:sz w:val="22"/>
        </w:rPr>
        <w:t>) უნდა შეწყდეს და დანტროლენ ნატრიუმი უნდა შეიყვანოთ ინტრავენურად (დოზირებისა და დამატებითი ინფორმაციისთვის იხილეთ დანტროლენ ნატრიუმის ინექციის პროდუქტის ეტიკეტირება). უნდა განხორციელდეს დამხმარე თერაპია, მათ შორის აგრესიული გაგრილება და სხეულის ნორმალური ტემპერატურის შენარჩუნება, სუნთქვისა და სისხლის მიმოქცევის მხარდაჭერა და მჟავა-ტუტოვანი და ელექტროლიტური დარღვევების მონიტორინგი.</w:t>
      </w:r>
    </w:p>
    <w:p w14:paraId="62EAA26A" w14:textId="77777777" w:rsidR="0007724F" w:rsidRPr="00D17AAB" w:rsidRDefault="0007724F" w:rsidP="00A20314">
      <w:pPr>
        <w:spacing w:after="0" w:line="276" w:lineRule="auto"/>
        <w:rPr>
          <w:rFonts w:ascii="Times New Roman" w:hAnsi="Times New Roman" w:cs="Times New Roman"/>
          <w:b/>
          <w:sz w:val="22"/>
        </w:rPr>
      </w:pPr>
      <w:r w:rsidRPr="00D17AAB">
        <w:rPr>
          <w:rFonts w:ascii="Times New Roman" w:hAnsi="Times New Roman" w:cs="Times New Roman"/>
          <w:b/>
          <w:sz w:val="22"/>
        </w:rPr>
        <w:t>გარდა ამისა, ამ სიმპტომების გამო შეიძლება განვითარდეს თირკმლის უკმარისობა, ამიტომ სითხის მოცულობა უნდა იყოს მონიტორინგი და შესაბამისად შენარჩუნდეს.</w:t>
      </w:r>
    </w:p>
    <w:p w14:paraId="5E65A555" w14:textId="77777777" w:rsidR="0007724F" w:rsidRPr="00D17AAB" w:rsidRDefault="0007724F" w:rsidP="00A20314">
      <w:pPr>
        <w:spacing w:after="0" w:line="276" w:lineRule="auto"/>
        <w:rPr>
          <w:rFonts w:ascii="Times New Roman" w:hAnsi="Times New Roman" w:cs="Times New Roman"/>
          <w:b/>
          <w:sz w:val="22"/>
        </w:rPr>
      </w:pPr>
      <w:r w:rsidRPr="00D17AAB">
        <w:rPr>
          <w:rFonts w:ascii="Times New Roman" w:hAnsi="Times New Roman" w:cs="Times New Roman"/>
          <w:b/>
          <w:sz w:val="22"/>
        </w:rPr>
        <w:t>ცნობილია, რომ ეს პრეპარატი შეიცავს რიანოდინის რეცეპტორის (RYR1) ან დიჰიდროპირიდინის რეცეპტორის (CACNA1S) გენეტიკურ მუტაციებს, რომლებიც იწვევენ ავთვისებიანი ჰიპერთერმიისადმი მგრძნობელობას, რაც შეიძლება გამოვლინდეს ოჯახური ანამნეზის ან ცნობილი მგრძნობელობის მქონე პაციენტებში.</w:t>
      </w:r>
    </w:p>
    <w:p w14:paraId="7C848C23" w14:textId="77777777" w:rsidR="0007724F" w:rsidRPr="00D17AAB" w:rsidRDefault="00C624BF" w:rsidP="00A20314">
      <w:pPr>
        <w:spacing w:after="0" w:line="276" w:lineRule="auto"/>
        <w:rPr>
          <w:rFonts w:ascii="Times New Roman" w:hAnsi="Times New Roman" w:cs="Times New Roman"/>
          <w:b/>
          <w:sz w:val="22"/>
        </w:rPr>
      </w:pPr>
      <w:r w:rsidRPr="00D17AAB">
        <w:rPr>
          <w:rFonts w:ascii="Times New Roman" w:hAnsi="Times New Roman" w:cs="Times New Roman" w:hint="eastAsia"/>
          <w:b/>
          <w:sz w:val="22"/>
        </w:rPr>
        <w:t xml:space="preserve">6) </w:t>
      </w:r>
      <w:r w:rsidRPr="00D17AAB">
        <w:rPr>
          <w:rFonts w:ascii="Times New Roman" w:hAnsi="Times New Roman" w:cs="Times New Roman"/>
          <w:b/>
          <w:sz w:val="22"/>
        </w:rPr>
        <w:t xml:space="preserve">ქირურგიული ჩარევის შემდგომი ჰიპერკალიემია: ინჰალაციური ანესთეტიკების გამოყენება დაკავშირებულია შრატში კალიუმის კონცენტრაციის მკვეთრ მატებასთან, რამაც ზოგიერთ შემთხვევაში გამოიწვია გულის არითმია და სიკვდილი პედიატრიულ პაციენტებში ოპერაციის შემდეგ. ეს მოვლენები განსაკუთრებით დაფიქსირდა პაციენტებში, რომლებსაც აღენიშნებოდათ როგორც დიაგნოზირებული, ასევე არადიაგნოსტირებული ნერვ-კუნთოვანი დაავადებები. მათ შორის, დიუშენის კუნთოვანი დისტროფიის მქონე პაციენტები განსაკუთრებით დაუცველები არიან. შემთხვევათა უმეტესობა დაკავშირებული იყო ასეთ მდგომარეობებთან. ამ პაციენტებს ასევე აღენიშნებოდათ შრატში კრეატინკინაზას მომატებული დონე და ზოგიერთ შემთხვევაში </w:t>
      </w:r>
      <w:r w:rsidRPr="00D17AAB">
        <w:rPr>
          <w:rFonts w:ascii="Times New Roman" w:hAnsi="Times New Roman" w:cs="Times New Roman"/>
          <w:b/>
          <w:sz w:val="22"/>
        </w:rPr>
        <w:lastRenderedPageBreak/>
        <w:t>განუვითარდათ მიოგლობინურია, რომელიც შეესაბამება რაბდომიოლიზს. სიმპტომების დაწყება და პროგრესირება ცვალებადი იყო და ყველა პაციენტს არ განუვითარდა ფულმინანტური მიმდინარეობა. მიუხედავად იმისა, რომ ყველა პაციენტს არ აღენიშნებოდა ავთვისებიანი ჰიპერთერმიის ნიშნები, ასეთი შემთხვევები შეიძლება ჰგავდეს მის კლინიკურ გამოვლინებას. მკურნალობა უნდა იყოს ორიენტირებული სიცოცხლის შენარჩუნებასა და რეზისტენტული არითმიის აგრესიულ მართვაზე, ხოლო ლატენტური ნერვ-კუნთოვანი დაავადების არსებობა უნდა გამოკვლეული იყოს.</w:t>
      </w:r>
    </w:p>
    <w:p w14:paraId="040107E4" w14:textId="77777777" w:rsidR="0007724F" w:rsidRPr="00D17AAB" w:rsidRDefault="00C624BF" w:rsidP="00A20314">
      <w:pPr>
        <w:spacing w:after="0" w:line="276" w:lineRule="auto"/>
        <w:rPr>
          <w:rFonts w:ascii="Times New Roman" w:hAnsi="Times New Roman" w:cs="Times New Roman"/>
          <w:b/>
          <w:sz w:val="22"/>
        </w:rPr>
      </w:pPr>
      <w:r w:rsidRPr="00D17AAB">
        <w:rPr>
          <w:rFonts w:ascii="Times New Roman" w:hAnsi="Times New Roman" w:cs="Times New Roman" w:hint="eastAsia"/>
          <w:b/>
          <w:sz w:val="22"/>
        </w:rPr>
        <w:t xml:space="preserve">7) </w:t>
      </w:r>
      <w:r w:rsidRPr="00D17AAB">
        <w:rPr>
          <w:rFonts w:ascii="Times New Roman" w:hAnsi="Times New Roman" w:cs="Times New Roman"/>
          <w:b/>
          <w:sz w:val="22"/>
        </w:rPr>
        <w:t>იშვიათად აღინიშნა ტორსადე დე პოინტესი (გამონაკლის შემთხვევებში, ფატალური) და QT ინტერვალის გახანგრძლივება. სიფრთხილეა საჭირო ამ პრეპარატის დანიშვნისას იმ პაციენტებში, რომლებსაც ანამნეზში აღენიშნებათ ასეთი არითმიები.</w:t>
      </w:r>
    </w:p>
    <w:p w14:paraId="36985BF8" w14:textId="77777777" w:rsidR="0007724F" w:rsidRPr="00D17AAB" w:rsidRDefault="00C624BF" w:rsidP="00A20314">
      <w:pPr>
        <w:spacing w:after="0" w:line="276" w:lineRule="auto"/>
        <w:rPr>
          <w:rFonts w:ascii="Times New Roman" w:hAnsi="Times New Roman" w:cs="Times New Roman"/>
          <w:b/>
          <w:sz w:val="22"/>
        </w:rPr>
      </w:pPr>
      <w:r w:rsidRPr="00D17AAB">
        <w:rPr>
          <w:rFonts w:ascii="Times New Roman" w:hAnsi="Times New Roman" w:cs="Times New Roman" w:hint="eastAsia"/>
          <w:b/>
          <w:sz w:val="22"/>
        </w:rPr>
        <w:t xml:space="preserve">8) </w:t>
      </w:r>
      <w:r w:rsidRPr="00D17AAB">
        <w:rPr>
          <w:rFonts w:ascii="Times New Roman" w:hAnsi="Times New Roman" w:cs="Times New Roman"/>
          <w:b/>
          <w:sz w:val="22"/>
        </w:rPr>
        <w:t>გულის დისფუნქციის შემთხვევები დაფიქსირდა პომპეს დაავადების მქონე პედიატრიულ პაციენტებში.</w:t>
      </w:r>
    </w:p>
    <w:p w14:paraId="0E0CFE08" w14:textId="77777777" w:rsidR="0007724F" w:rsidRPr="00D17AAB" w:rsidRDefault="00C624BF" w:rsidP="00A20314">
      <w:pPr>
        <w:spacing w:after="0" w:line="276" w:lineRule="auto"/>
        <w:rPr>
          <w:rFonts w:ascii="Times New Roman" w:hAnsi="Times New Roman" w:cs="Times New Roman"/>
          <w:b/>
          <w:sz w:val="22"/>
        </w:rPr>
      </w:pPr>
      <w:r w:rsidRPr="00D17AAB">
        <w:rPr>
          <w:rFonts w:ascii="Times New Roman" w:hAnsi="Times New Roman" w:cs="Times New Roman" w:hint="eastAsia"/>
          <w:b/>
          <w:sz w:val="22"/>
        </w:rPr>
        <w:t xml:space="preserve">9) </w:t>
      </w:r>
      <w:r w:rsidRPr="00D17AAB">
        <w:rPr>
          <w:rFonts w:ascii="Times New Roman" w:hAnsi="Times New Roman" w:cs="Times New Roman"/>
          <w:b/>
          <w:sz w:val="22"/>
        </w:rPr>
        <w:t>სიფრთხილეა საჭირო ინჰალაციური ანესთეტიკების შემცველი ამ პრეპარატის მიტოქონდრიული დაავადებების მქონე პაციენტებში დანიშვნისას.</w:t>
      </w:r>
    </w:p>
    <w:p w14:paraId="237A3094" w14:textId="77777777" w:rsidR="0007724F" w:rsidRPr="00D17AAB" w:rsidRDefault="00C624BF" w:rsidP="00A20314">
      <w:pPr>
        <w:spacing w:after="0" w:line="276" w:lineRule="auto"/>
        <w:rPr>
          <w:rFonts w:ascii="Times New Roman" w:hAnsi="Times New Roman" w:cs="Times New Roman"/>
          <w:b/>
          <w:sz w:val="22"/>
        </w:rPr>
      </w:pPr>
      <w:r w:rsidRPr="00D17AAB">
        <w:rPr>
          <w:rFonts w:ascii="Times New Roman" w:hAnsi="Times New Roman" w:cs="Times New Roman" w:hint="eastAsia"/>
          <w:b/>
          <w:sz w:val="22"/>
        </w:rPr>
        <w:t xml:space="preserve">10) </w:t>
      </w:r>
      <w:r w:rsidRPr="00D17AAB">
        <w:rPr>
          <w:rFonts w:ascii="Times New Roman" w:hAnsi="Times New Roman" w:cs="Times New Roman"/>
          <w:b/>
          <w:sz w:val="22"/>
        </w:rPr>
        <w:t>ნეიროტოქსიკურობა პედიატრიულ პაციენტებში: ცხოველებზე ჩატარებულმა კვლევებმა აჩვენა, რომ NMDA ანტაგონისტების და/ან აგენტების, რომლებიც აძლიერებენ GABA აქტივობას ტვინის სწრაფი ზრდის პერიოდში (მათ შორის ანესთეტიკები და სედატიური საშუალებები), მიღებამ შეიძლება გამოიწვიოს ნეირონული აპოპტოზი. ასეთი აგენტების 3 საათზე მეტი ხნის განმავლობაში ზემოქმედება შეიძლება დაკავშირებული იყოს ხანგრძლივ კოგნიტურ დეფიციტთან. მიუხედავად იმისა, რომ ამ დასკვნების კლინიკური მნიშვნელობა ბოლომდე დადგენილი არ არის, ადამიანებში დაუცველ პერიოდად ითვლება ორსულობის მესამე ტრიმესტრიდან სიცოცხლის პირველი 3 წლამდე პერიოდი. ზოგიერთი ცხოველებზე ჩატარებული კვლევა ვარაუდობს, რომ ამ ცვლილებებმა შეიძლება გამოიწვიოს ხანგრძლივი კოგნიტური ან ქცევითი დარღვევები. თუმცა, შედეგები დაუზუსტებელი რჩება და მსგავსი ეფექტები შეიძლება არ მოხდეს ადამიანებში. იმ სიტუაციებში, როდესაც პროცედურები სამედიცინო თვალსაზრისით აუცილებელია და მათი გადადება შეუძლებელია (მაგ., ქირურგიული ჩარევა ან გადაუდებელი ჩარევა), პოტენციური რისკები ფრთხილად უნდა შეფასდეს სარგებელთან შედარებით. უნდა იქნას გამოყენებული მხოლოდ მინიმალური ეფექტური დოზა, რაც შეიძლება მოკლე ვადით.</w:t>
      </w:r>
    </w:p>
    <w:p w14:paraId="21A67609" w14:textId="77777777" w:rsidR="0007724F" w:rsidRPr="00551AFF" w:rsidRDefault="0007724F" w:rsidP="00A20314">
      <w:pPr>
        <w:spacing w:after="0" w:line="276" w:lineRule="auto"/>
        <w:rPr>
          <w:rFonts w:ascii="Times New Roman" w:hAnsi="Times New Roman" w:cs="Times New Roman"/>
          <w:sz w:val="22"/>
        </w:rPr>
      </w:pPr>
    </w:p>
    <w:p w14:paraId="0A0AE9B3" w14:textId="77777777" w:rsidR="008E78DD" w:rsidRPr="00D17AAB" w:rsidRDefault="0007724F" w:rsidP="00A20314">
      <w:pPr>
        <w:spacing w:after="0" w:line="276" w:lineRule="auto"/>
        <w:rPr>
          <w:rFonts w:ascii="Times New Roman" w:hAnsi="Times New Roman" w:cs="Times New Roman"/>
          <w:b/>
          <w:sz w:val="22"/>
        </w:rPr>
      </w:pPr>
      <w:r w:rsidRPr="00D17AAB">
        <w:rPr>
          <w:rFonts w:ascii="Times New Roman" w:hAnsi="Times New Roman" w:cs="Times New Roman"/>
          <w:b/>
          <w:sz w:val="22"/>
        </w:rPr>
        <w:t>2. უკუჩვენებები</w:t>
      </w:r>
    </w:p>
    <w:p w14:paraId="5FB434DE" w14:textId="77777777" w:rsidR="0007724F" w:rsidRPr="00551AFF" w:rsidRDefault="00C624BF" w:rsidP="00A20314">
      <w:pPr>
        <w:spacing w:after="0" w:line="276" w:lineRule="auto"/>
        <w:rPr>
          <w:rFonts w:ascii="Times New Roman" w:hAnsi="Times New Roman" w:cs="Times New Roman"/>
          <w:sz w:val="22"/>
        </w:rPr>
      </w:pPr>
      <w:r w:rsidRPr="00551AFF">
        <w:rPr>
          <w:rFonts w:ascii="Times New Roman" w:hAnsi="Times New Roman" w:cs="Times New Roman" w:hint="eastAsia"/>
          <w:sz w:val="22"/>
        </w:rPr>
        <w:t xml:space="preserve">1) </w:t>
      </w:r>
      <w:r w:rsidRPr="00551AFF">
        <w:rPr>
          <w:rFonts w:ascii="Times New Roman" w:hAnsi="Times New Roman" w:cs="Times New Roman"/>
          <w:sz w:val="22"/>
        </w:rPr>
        <w:t>პაციენტები, რომლებსაც ანამნეზში აღენიშნებათ ჰიპერმგრძნობელობა ამ პრეპარატის ან სხვა ჰალოგენირებული ანესთეტიკების მიმართ (მაგ., ამ პრეპარატებით ანესთეზიასთან დაკავშირებული გარდამავალი ღვიძლის ტოქსიკურობა, როგორიცაა ღვიძლის ფერმენტების მომატებული დონე, ცხელება, ლეიკოციტოზი და/ან ეოზინოფილია).</w:t>
      </w:r>
    </w:p>
    <w:p w14:paraId="1F5D155F" w14:textId="77777777" w:rsidR="0007724F" w:rsidRPr="00551AFF" w:rsidRDefault="00C624BF" w:rsidP="00A20314">
      <w:pPr>
        <w:spacing w:after="0" w:line="276" w:lineRule="auto"/>
        <w:rPr>
          <w:rFonts w:ascii="Times New Roman" w:hAnsi="Times New Roman" w:cs="Times New Roman"/>
          <w:sz w:val="22"/>
        </w:rPr>
      </w:pPr>
      <w:r w:rsidRPr="00551AFF">
        <w:rPr>
          <w:rFonts w:ascii="Times New Roman" w:hAnsi="Times New Roman" w:cs="Times New Roman" w:hint="eastAsia"/>
          <w:sz w:val="22"/>
        </w:rPr>
        <w:t xml:space="preserve">2) </w:t>
      </w:r>
      <w:r w:rsidRPr="00551AFF">
        <w:rPr>
          <w:rFonts w:ascii="Times New Roman" w:hAnsi="Times New Roman" w:cs="Times New Roman"/>
          <w:sz w:val="22"/>
        </w:rPr>
        <w:t>პაციენტები, რომლებსაც ჰალოგენირებული ანესთეტიკების ზემოქმედების შემდეგ აღენიშნებოდათ აუხსნელი ცხელება ან სიყვითლე.</w:t>
      </w:r>
    </w:p>
    <w:p w14:paraId="5109A67E" w14:textId="77777777" w:rsidR="0007724F" w:rsidRPr="00551AFF" w:rsidRDefault="00C624BF" w:rsidP="00A20314">
      <w:pPr>
        <w:spacing w:after="0" w:line="276" w:lineRule="auto"/>
        <w:rPr>
          <w:rFonts w:ascii="Times New Roman" w:hAnsi="Times New Roman" w:cs="Times New Roman"/>
          <w:sz w:val="22"/>
        </w:rPr>
      </w:pPr>
      <w:r w:rsidRPr="00551AFF">
        <w:rPr>
          <w:rFonts w:ascii="Times New Roman" w:hAnsi="Times New Roman" w:cs="Times New Roman" w:hint="eastAsia"/>
          <w:sz w:val="22"/>
        </w:rPr>
        <w:t xml:space="preserve">3) </w:t>
      </w:r>
      <w:r w:rsidRPr="00551AFF">
        <w:rPr>
          <w:rFonts w:ascii="Times New Roman" w:hAnsi="Times New Roman" w:cs="Times New Roman"/>
          <w:sz w:val="22"/>
        </w:rPr>
        <w:t>პაციენტები, რომლებსაც აქვთ ავთვისებიანი ჰიპერთერმიის პირადი ან ოჯახური ისტორია, ან რომლებსაც აქვთ ან აქვთ გენეტიკური მიდრეკილება ამ მდგომარეობის მიმართ.</w:t>
      </w:r>
    </w:p>
    <w:p w14:paraId="7A450676" w14:textId="77777777" w:rsidR="0074234E" w:rsidRPr="00551AFF" w:rsidRDefault="0074234E" w:rsidP="00A20314">
      <w:pPr>
        <w:spacing w:after="0" w:line="276" w:lineRule="auto"/>
        <w:rPr>
          <w:rFonts w:ascii="Times New Roman" w:hAnsi="Times New Roman" w:cs="Times New Roman"/>
          <w:sz w:val="22"/>
        </w:rPr>
      </w:pPr>
    </w:p>
    <w:p w14:paraId="4515E324" w14:textId="77777777" w:rsidR="0007724F" w:rsidRPr="00D17AAB" w:rsidRDefault="0007724F" w:rsidP="00A20314">
      <w:pPr>
        <w:spacing w:after="0" w:line="276" w:lineRule="auto"/>
        <w:rPr>
          <w:rFonts w:ascii="Times New Roman" w:hAnsi="Times New Roman" w:cs="Times New Roman"/>
          <w:b/>
          <w:sz w:val="22"/>
        </w:rPr>
      </w:pPr>
      <w:r w:rsidRPr="00D17AAB">
        <w:rPr>
          <w:rFonts w:ascii="Times New Roman" w:hAnsi="Times New Roman" w:cs="Times New Roman"/>
          <w:b/>
          <w:sz w:val="22"/>
        </w:rPr>
        <w:t>3. სიფრთხილით გამოიყენეთ შემდეგ პაციენტებში</w:t>
      </w:r>
    </w:p>
    <w:p w14:paraId="73B7A2BC" w14:textId="77777777" w:rsidR="0007724F" w:rsidRPr="00551AFF" w:rsidRDefault="00C624BF" w:rsidP="00A20314">
      <w:pPr>
        <w:spacing w:after="0" w:line="276" w:lineRule="auto"/>
        <w:rPr>
          <w:rFonts w:ascii="Times New Roman" w:hAnsi="Times New Roman" w:cs="Times New Roman"/>
          <w:sz w:val="22"/>
        </w:rPr>
      </w:pPr>
      <w:r w:rsidRPr="00551AFF">
        <w:rPr>
          <w:rFonts w:ascii="Times New Roman" w:hAnsi="Times New Roman" w:cs="Times New Roman" w:hint="eastAsia"/>
          <w:sz w:val="22"/>
        </w:rPr>
        <w:t xml:space="preserve">1) </w:t>
      </w:r>
      <w:r w:rsidRPr="00551AFF">
        <w:rPr>
          <w:rFonts w:ascii="Times New Roman" w:hAnsi="Times New Roman" w:cs="Times New Roman"/>
          <w:sz w:val="22"/>
        </w:rPr>
        <w:t>პაციენტები ღვიძლის ან სანაღვლე გზების დაავადებით.</w:t>
      </w:r>
    </w:p>
    <w:p w14:paraId="66EAEB26" w14:textId="77777777" w:rsidR="0007724F" w:rsidRPr="00551AFF" w:rsidRDefault="00C624BF" w:rsidP="00A20314">
      <w:pPr>
        <w:spacing w:after="0" w:line="276" w:lineRule="auto"/>
        <w:rPr>
          <w:rFonts w:ascii="Times New Roman" w:hAnsi="Times New Roman" w:cs="Times New Roman"/>
          <w:sz w:val="22"/>
        </w:rPr>
      </w:pPr>
      <w:r w:rsidRPr="00551AFF">
        <w:rPr>
          <w:rFonts w:ascii="Times New Roman" w:hAnsi="Times New Roman" w:cs="Times New Roman" w:hint="eastAsia"/>
          <w:sz w:val="22"/>
        </w:rPr>
        <w:t xml:space="preserve">2) </w:t>
      </w:r>
      <w:r w:rsidRPr="00551AFF">
        <w:rPr>
          <w:rFonts w:ascii="Times New Roman" w:hAnsi="Times New Roman" w:cs="Times New Roman"/>
          <w:sz w:val="22"/>
        </w:rPr>
        <w:t>თირკმლის უკმარისობის მქონე პაციენტები (შრატის კრეატინინი ≥ 1.5 მგ/დლ) — ამ პაციენტებში უსაფრთხოება დადგენილი არ არის, ამიტომ რეკომენდებულია სიფრთხილე.</w:t>
      </w:r>
    </w:p>
    <w:p w14:paraId="5D4BFD86" w14:textId="77777777" w:rsidR="0007724F" w:rsidRPr="00551AFF" w:rsidRDefault="00C624BF" w:rsidP="00A20314">
      <w:pPr>
        <w:spacing w:after="0" w:line="276" w:lineRule="auto"/>
        <w:rPr>
          <w:rFonts w:ascii="Times New Roman" w:hAnsi="Times New Roman" w:cs="Times New Roman"/>
          <w:sz w:val="22"/>
        </w:rPr>
      </w:pPr>
      <w:r w:rsidRPr="00551AFF">
        <w:rPr>
          <w:rFonts w:ascii="Times New Roman" w:hAnsi="Times New Roman" w:cs="Times New Roman" w:hint="eastAsia"/>
          <w:sz w:val="22"/>
        </w:rPr>
        <w:lastRenderedPageBreak/>
        <w:t xml:space="preserve">3) </w:t>
      </w:r>
      <w:r w:rsidRPr="00551AFF">
        <w:rPr>
          <w:rFonts w:ascii="Times New Roman" w:hAnsi="Times New Roman" w:cs="Times New Roman"/>
          <w:sz w:val="22"/>
        </w:rPr>
        <w:t>ხანდაზმული პაციენტები.</w:t>
      </w:r>
    </w:p>
    <w:p w14:paraId="4749ED06" w14:textId="77777777" w:rsidR="0007724F" w:rsidRPr="00551AFF" w:rsidRDefault="00C624BF" w:rsidP="00A20314">
      <w:pPr>
        <w:spacing w:after="0" w:line="276" w:lineRule="auto"/>
        <w:rPr>
          <w:rFonts w:ascii="Times New Roman" w:hAnsi="Times New Roman" w:cs="Times New Roman"/>
          <w:sz w:val="22"/>
        </w:rPr>
      </w:pPr>
      <w:r w:rsidRPr="00551AFF">
        <w:rPr>
          <w:rFonts w:ascii="Times New Roman" w:hAnsi="Times New Roman" w:cs="Times New Roman" w:hint="eastAsia"/>
          <w:sz w:val="22"/>
        </w:rPr>
        <w:t xml:space="preserve">4) </w:t>
      </w:r>
      <w:r w:rsidRPr="00551AFF">
        <w:rPr>
          <w:rFonts w:ascii="Times New Roman" w:hAnsi="Times New Roman" w:cs="Times New Roman"/>
          <w:sz w:val="22"/>
        </w:rPr>
        <w:t>პაციენტები, რომლებსაც აღენიშნებათ კუნთების რიგიდობა კუნთების რელაქსანტების, მაგალითად სუქცინილქოლინის, მიღების გამო (შეიძლება განვითარდეს ავთვისებიანი ჰიპერთერმია).</w:t>
      </w:r>
    </w:p>
    <w:p w14:paraId="7A16D5DE" w14:textId="77777777" w:rsidR="0007724F" w:rsidRPr="00551AFF" w:rsidRDefault="00C624BF" w:rsidP="00A20314">
      <w:pPr>
        <w:spacing w:after="0" w:line="276" w:lineRule="auto"/>
        <w:rPr>
          <w:rFonts w:ascii="Times New Roman" w:hAnsi="Times New Roman" w:cs="Times New Roman"/>
          <w:sz w:val="22"/>
        </w:rPr>
      </w:pPr>
      <w:r w:rsidRPr="00551AFF">
        <w:rPr>
          <w:rFonts w:ascii="Times New Roman" w:hAnsi="Times New Roman" w:cs="Times New Roman" w:hint="eastAsia"/>
          <w:sz w:val="22"/>
        </w:rPr>
        <w:t xml:space="preserve">5) </w:t>
      </w:r>
      <w:r w:rsidRPr="00551AFF">
        <w:rPr>
          <w:rFonts w:ascii="Times New Roman" w:hAnsi="Times New Roman" w:cs="Times New Roman"/>
          <w:sz w:val="22"/>
        </w:rPr>
        <w:t>ორსული პაციენტები</w:t>
      </w:r>
    </w:p>
    <w:p w14:paraId="5917ABEB" w14:textId="77777777" w:rsidR="0007724F" w:rsidRPr="00551AFF" w:rsidRDefault="0007724F" w:rsidP="00A20314">
      <w:pPr>
        <w:spacing w:after="0" w:line="276" w:lineRule="auto"/>
        <w:rPr>
          <w:rFonts w:ascii="Times New Roman" w:hAnsi="Times New Roman" w:cs="Times New Roman"/>
          <w:sz w:val="22"/>
        </w:rPr>
      </w:pPr>
    </w:p>
    <w:p w14:paraId="7C2B4363" w14:textId="77777777" w:rsidR="0007724F" w:rsidRPr="00D17AAB" w:rsidRDefault="0007724F" w:rsidP="00A20314">
      <w:pPr>
        <w:spacing w:after="0" w:line="276" w:lineRule="auto"/>
        <w:rPr>
          <w:rFonts w:ascii="Times New Roman" w:hAnsi="Times New Roman" w:cs="Times New Roman"/>
          <w:b/>
          <w:sz w:val="22"/>
        </w:rPr>
      </w:pPr>
      <w:r w:rsidRPr="00D17AAB">
        <w:rPr>
          <w:rFonts w:ascii="Times New Roman" w:hAnsi="Times New Roman" w:cs="Times New Roman"/>
          <w:b/>
          <w:sz w:val="22"/>
        </w:rPr>
        <w:t>4. გვერდითი რეაქციები</w:t>
      </w:r>
    </w:p>
    <w:p w14:paraId="22C5382F" w14:textId="77777777" w:rsidR="005B6AFB" w:rsidRPr="00551AFF" w:rsidRDefault="005B6AFB" w:rsidP="00A20314">
      <w:pPr>
        <w:spacing w:after="0" w:line="276" w:lineRule="auto"/>
        <w:rPr>
          <w:rFonts w:ascii="Times New Roman" w:hAnsi="Times New Roman" w:cs="Times New Roman"/>
          <w:sz w:val="22"/>
        </w:rPr>
      </w:pPr>
      <w:r w:rsidRPr="00551AFF">
        <w:rPr>
          <w:rFonts w:ascii="Times New Roman" w:hAnsi="Times New Roman" w:cs="Times New Roman"/>
          <w:sz w:val="22"/>
        </w:rPr>
        <w:t>ყველა ძლიერი ინჰალაციური ანესთეტიკის მსგავსად, ამ პრეპარატმაც შეიძლება გამოიწვიოს დოზადამოკიდებული გულ-სისხლძარღვთა და სასუნთქი სისტემის დათრგუნვა. გვერდითი რეაქციების უმეტესობა მსუბუქიდან საშუალო სიმძიმის და გარდამავალია. გულისრევა, ღებინება და დელირიუმი დაფიქსირდა ოპერაციის შემდგომ პერიოდში და შეიძლება იყოს ოპერაციისა და ზოგადი ანესთეზიის ნარჩენი ეფექტები. ეს ასევე შეიძლება მიეწეროს თავად ინჰალაციურ ანესთეტიკურ საშუალებას, ოპერაციის დროს ან მის შემდეგ მიღებულ სხვა პრეპარატებს, ან თავად ქირურგიულ პროცედურას.</w:t>
      </w:r>
    </w:p>
    <w:p w14:paraId="03092970" w14:textId="77777777" w:rsidR="00384B3A" w:rsidRPr="00384B3A" w:rsidRDefault="00384B3A" w:rsidP="00A20314">
      <w:pPr>
        <w:spacing w:after="0" w:line="288" w:lineRule="auto"/>
        <w:rPr>
          <w:rFonts w:ascii="Times New Roman" w:hAnsi="Times New Roman" w:cs="Times New Roman"/>
          <w:sz w:val="22"/>
          <w:lang w:val="mn-MN"/>
        </w:rPr>
      </w:pPr>
      <w:r w:rsidRPr="00384B3A">
        <w:rPr>
          <w:rFonts w:ascii="Times New Roman" w:hAnsi="Times New Roman" w:cs="Times New Roman"/>
          <w:sz w:val="22"/>
          <w:lang w:val="mn-MN"/>
        </w:rPr>
        <w:t>(1) კლინიკურ კვლევებში დაფიქსირებული გვერდითი რეაქციები:</w:t>
      </w:r>
    </w:p>
    <w:p w14:paraId="1187504F" w14:textId="77777777" w:rsidR="00384B3A" w:rsidRPr="00384B3A" w:rsidRDefault="00384B3A" w:rsidP="00A20314">
      <w:pPr>
        <w:spacing w:after="0" w:line="288" w:lineRule="auto"/>
        <w:rPr>
          <w:rFonts w:ascii="Times New Roman" w:eastAsia="Malgun Gothic" w:hAnsi="Times New Roman" w:cs="Times New Roman"/>
          <w:sz w:val="22"/>
        </w:rPr>
      </w:pPr>
      <w:r w:rsidRPr="00384B3A">
        <w:rPr>
          <w:rFonts w:ascii="Times New Roman" w:eastAsia="Malgun Gothic" w:hAnsi="Times New Roman" w:cs="Times New Roman"/>
          <w:sz w:val="22"/>
        </w:rPr>
        <w:t>ყველაზე გავრცელებული გვერდითი რეაქციები (≥10%) იყო გულისრევა, ღებინება, ხველის გაძლიერება და ჰიპოტენზია. გარდა ამისა, ხანდაზმულ პაციენტებში ხშირად აღინიშნებოდა ბრადიკარდია (≥10%), ხოლო პედიატრიულ პაციენტებში - აგზნება (≥10%).</w:t>
      </w:r>
    </w:p>
    <w:p w14:paraId="0F209709" w14:textId="77777777" w:rsidR="00C624BF" w:rsidRPr="00551AFF" w:rsidRDefault="00C624BF" w:rsidP="00A20314">
      <w:pPr>
        <w:spacing w:after="0" w:line="276" w:lineRule="auto"/>
        <w:rPr>
          <w:rFonts w:ascii="Times New Roman" w:hAnsi="Times New Roman" w:cs="Times New Roman"/>
          <w:sz w:val="22"/>
        </w:rPr>
      </w:pPr>
      <w:r w:rsidRPr="00551AFF">
        <w:rPr>
          <w:rFonts w:ascii="Times New Roman" w:hAnsi="Times New Roman" w:cs="Times New Roman" w:hint="eastAsia"/>
          <w:sz w:val="22"/>
        </w:rPr>
        <w:t xml:space="preserve">1) </w:t>
      </w:r>
      <w:r w:rsidR="0007724F" w:rsidRPr="00551AFF">
        <w:rPr>
          <w:rFonts w:ascii="Times New Roman" w:hAnsi="Times New Roman" w:cs="Times New Roman"/>
          <w:sz w:val="22"/>
        </w:rPr>
        <w:t>ავთვისებიანი ჰიპერთერმია:</w:t>
      </w:r>
    </w:p>
    <w:p w14:paraId="704EDE74" w14:textId="77777777" w:rsidR="00C624BF" w:rsidRPr="00551AFF" w:rsidRDefault="00C624BF" w:rsidP="00A20314">
      <w:pPr>
        <w:spacing w:after="0" w:line="276" w:lineRule="auto"/>
        <w:rPr>
          <w:rFonts w:ascii="Times New Roman" w:hAnsi="Times New Roman" w:cs="Times New Roman"/>
          <w:sz w:val="22"/>
        </w:rPr>
      </w:pPr>
      <w:r w:rsidRPr="00551AFF">
        <w:rPr>
          <w:rFonts w:ascii="Times New Roman" w:hAnsi="Times New Roman" w:cs="Times New Roman"/>
          <w:sz w:val="22"/>
        </w:rPr>
        <w:t>ძლიერმა ინჰალაციურმა ანესთეტიკებმა, მათ შორის ამ პრეპარატმა, შეიძლება გამოიწვიოს ჩონჩხის კუნთების ჰიპერმეტაბოლური მდგომარეობა, რომელიც ცნობილია როგორც ავთვისებიანი ჰიპერთერმია, მგრძნობიარე პაციენტებში, რაც ხასიათდება ჟანგბადის მოხმარებით. კლინიკური კვლევების დროს აღწერილია ავთვისებიანი ჰიპერთერმიის ერთი შემთხვევა. პროდრომული ნიშნებია ჰიპერკაპნია და აუხსნელი ტაქიკარდია, არითმიები, არტერიული წნევის რყევები, სხეულის ტემპერატურის სწრაფი მატება, კუნთების რიგიდობა, ციანოზი (სისხლის მუქი წითელი შეფერილობა), აჩქარებული სუნთქვა, ოფლიანობა, აციდოზი, ჰიპერკალიემია, მიოგლობინურია (მოწითალო შარდი), პათოლოგიური გადახურება და სოდა-კირის სწრაფი ფერის შეცვლა. იშვიათად შეიძლება განვითარდეს მძიმე ავთვისებიანი ჰიპერთერმია. ზოგიერთი ეს არასპეციფიკური სიმპტომი შეიძლება ასევე განვითარდეს მსუბუქი ანესთეზიის, მწვავე ჰიპოქსიის, ჰიპერკაპნიის ან ჰიპოვოლემიის დროს. თუ ამ პრეპარატის მიღების დროს განვითარდება ავთვისებიანი ჰიპერთერმია ან მასთან დაკავშირებული სიმპტომები, მიღება დაუყოვნებლივ უნდა შეწყდეს და დაიწყოს შესაბამისი დამხმარე მკურნალობა, მათ შორის დანტროლენ ნატრიუმის ინტრავენური შეყვანა (პაციენტის მართვისთვის იხილეთ დანტროლენ ნატრიუმის პროდუქტის ინფორმაცია), სისტემური გაგრილება, ჰიპერვენტილაცია 100%-იანი ჟანგბადით და მჟავა-ტუტოვანი დისბალანსის კორექცია.</w:t>
      </w:r>
    </w:p>
    <w:p w14:paraId="1CB8EC19" w14:textId="77777777" w:rsidR="00C624BF" w:rsidRPr="00551AFF" w:rsidRDefault="00C624BF" w:rsidP="00A20314">
      <w:pPr>
        <w:spacing w:after="0" w:line="276" w:lineRule="auto"/>
        <w:rPr>
          <w:rFonts w:ascii="Times New Roman" w:hAnsi="Times New Roman" w:cs="Times New Roman"/>
          <w:sz w:val="22"/>
        </w:rPr>
      </w:pPr>
      <w:r w:rsidRPr="00551AFF">
        <w:rPr>
          <w:rFonts w:ascii="Times New Roman" w:hAnsi="Times New Roman" w:cs="Times New Roman"/>
          <w:sz w:val="22"/>
        </w:rPr>
        <w:t>გარდა ამისა, რადგან თირკმლის უკმარისობამ შეიძლება გაართულოს ეს სიმპტომები, ადეკვატური დიურეზის შესანარჩუნებლად უნდა კონტროლდებოდეს შარდის გამოყოფა.</w:t>
      </w:r>
    </w:p>
    <w:p w14:paraId="7D463A8B" w14:textId="77777777" w:rsidR="00C624BF" w:rsidRPr="00551AFF" w:rsidRDefault="00C624BF" w:rsidP="00A20314">
      <w:pPr>
        <w:spacing w:after="0" w:line="276" w:lineRule="auto"/>
        <w:rPr>
          <w:rFonts w:ascii="Times New Roman" w:hAnsi="Times New Roman" w:cs="Times New Roman"/>
          <w:sz w:val="22"/>
        </w:rPr>
      </w:pPr>
      <w:r w:rsidRPr="00551AFF">
        <w:rPr>
          <w:rFonts w:ascii="Times New Roman" w:hAnsi="Times New Roman" w:cs="Times New Roman" w:hint="eastAsia"/>
          <w:sz w:val="22"/>
        </w:rPr>
        <w:t xml:space="preserve">2) </w:t>
      </w:r>
      <w:r w:rsidRPr="00551AFF">
        <w:rPr>
          <w:rFonts w:ascii="Times New Roman" w:hAnsi="Times New Roman" w:cs="Times New Roman"/>
          <w:sz w:val="22"/>
        </w:rPr>
        <w:t>ღვიძლი: შეიძლება გამოვლინდეს ღვიძლის ფუნქციური ტესტების ანომალიები (ALT-ის, ზოგჯერ AST-ის, LDH-ის, საერთო ბილირუბინის მომატება).</w:t>
      </w:r>
    </w:p>
    <w:p w14:paraId="0A40E0EF" w14:textId="77777777" w:rsidR="00C624BF" w:rsidRPr="00551AFF" w:rsidRDefault="00C624BF" w:rsidP="00A20314">
      <w:pPr>
        <w:spacing w:after="0" w:line="276" w:lineRule="auto"/>
        <w:rPr>
          <w:rFonts w:ascii="Times New Roman" w:hAnsi="Times New Roman" w:cs="Times New Roman"/>
          <w:sz w:val="22"/>
        </w:rPr>
      </w:pPr>
      <w:r w:rsidRPr="00551AFF">
        <w:rPr>
          <w:rFonts w:ascii="Times New Roman" w:hAnsi="Times New Roman" w:cs="Times New Roman" w:hint="eastAsia"/>
          <w:sz w:val="22"/>
        </w:rPr>
        <w:t xml:space="preserve">3) </w:t>
      </w:r>
      <w:r w:rsidRPr="00551AFF">
        <w:rPr>
          <w:rFonts w:ascii="Times New Roman" w:hAnsi="Times New Roman" w:cs="Times New Roman"/>
          <w:sz w:val="22"/>
        </w:rPr>
        <w:t>ცენტრალური ნერვული სისტემა: ზოგჯერ შეიძლება განვითარდეს მოუსვენრობა, თავბრუსხვევა, იშვიათად კრუნჩხვითი მოძრაობები, აგზნება, დაბნეულობა და კუნთების რიგიდობა.</w:t>
      </w:r>
    </w:p>
    <w:p w14:paraId="7601DCCE" w14:textId="77777777" w:rsidR="00C624BF" w:rsidRPr="00551AFF" w:rsidRDefault="00C624BF" w:rsidP="00A20314">
      <w:pPr>
        <w:spacing w:after="0" w:line="276" w:lineRule="auto"/>
        <w:rPr>
          <w:rFonts w:ascii="Times New Roman" w:hAnsi="Times New Roman" w:cs="Times New Roman"/>
          <w:sz w:val="22"/>
        </w:rPr>
      </w:pPr>
      <w:r w:rsidRPr="00551AFF">
        <w:rPr>
          <w:rFonts w:ascii="Times New Roman" w:hAnsi="Times New Roman" w:cs="Times New Roman" w:hint="eastAsia"/>
          <w:sz w:val="22"/>
        </w:rPr>
        <w:t xml:space="preserve">4) </w:t>
      </w:r>
      <w:r w:rsidRPr="00551AFF">
        <w:rPr>
          <w:rFonts w:ascii="Times New Roman" w:hAnsi="Times New Roman" w:cs="Times New Roman"/>
          <w:sz w:val="22"/>
        </w:rPr>
        <w:t>ვეგეტატიური ნერვული სისტემა: იშვიათად შეიძლება აღინიშნოს გუგების გაფართოება.</w:t>
      </w:r>
    </w:p>
    <w:p w14:paraId="4080BC94" w14:textId="77777777" w:rsidR="00C624BF" w:rsidRPr="00551AFF" w:rsidRDefault="00C624BF" w:rsidP="00A20314">
      <w:pPr>
        <w:spacing w:after="0" w:line="276" w:lineRule="auto"/>
        <w:rPr>
          <w:rFonts w:ascii="Times New Roman" w:hAnsi="Times New Roman" w:cs="Times New Roman"/>
          <w:sz w:val="22"/>
        </w:rPr>
      </w:pPr>
      <w:r w:rsidRPr="00551AFF">
        <w:rPr>
          <w:rFonts w:ascii="Times New Roman" w:hAnsi="Times New Roman" w:cs="Times New Roman" w:hint="eastAsia"/>
          <w:sz w:val="22"/>
        </w:rPr>
        <w:lastRenderedPageBreak/>
        <w:t xml:space="preserve">5) </w:t>
      </w:r>
      <w:r w:rsidRPr="00551AFF">
        <w:rPr>
          <w:rFonts w:ascii="Times New Roman" w:hAnsi="Times New Roman" w:cs="Times New Roman"/>
          <w:sz w:val="22"/>
        </w:rPr>
        <w:t>სასუნთქი სისტემა: ზოგჯერ შეიძლება განვითარდეს ხველა, სასუნთქი გზების დარღვევები, აპნოე, ასთმა, ჰიპოქსია და ლარინგოსპაზმი.</w:t>
      </w:r>
    </w:p>
    <w:p w14:paraId="25CF496B" w14:textId="77777777" w:rsidR="00C624BF" w:rsidRPr="00551AFF" w:rsidRDefault="00C624BF" w:rsidP="00A20314">
      <w:pPr>
        <w:spacing w:after="0" w:line="276" w:lineRule="auto"/>
        <w:rPr>
          <w:rFonts w:ascii="Times New Roman" w:hAnsi="Times New Roman" w:cs="Times New Roman"/>
          <w:sz w:val="22"/>
        </w:rPr>
      </w:pPr>
      <w:r w:rsidRPr="00551AFF">
        <w:rPr>
          <w:rFonts w:ascii="Times New Roman" w:hAnsi="Times New Roman" w:cs="Times New Roman" w:hint="eastAsia"/>
          <w:sz w:val="22"/>
        </w:rPr>
        <w:t xml:space="preserve">6) </w:t>
      </w:r>
      <w:r w:rsidRPr="00551AFF">
        <w:rPr>
          <w:rFonts w:ascii="Times New Roman" w:hAnsi="Times New Roman" w:cs="Times New Roman"/>
          <w:sz w:val="22"/>
        </w:rPr>
        <w:t>გულ-სისხლძარღვთა სისტემა: ზოგჯერ შეიძლება აღინიშნოს ჰიპოტენზია, ჰიპერტენზია, ბრადიკარდია, ტაქიკარდია, არტერიული წნევის რყევები, არითმიები, ეკგ-ს დარღვევები და იშვიათად გულის გამოტყორცნის შემცირება. ასევე შეიძლება განვითარდეს პარკუჭოვანი ნაადრევი შეკუმშვები, სუპრავენტრიკულური ნაადრევი შეკუმშვები, წინაგულოვანი ნაადრევი შეკუმშვები, ატრიოვენტრიკულური ბლოკადა და ბიგემინია. შეიძლება აღინიშნოს QT ინტერვალის გახანგრძლივება, რომელიც დაკავშირებულია „ტორსადეს დე პოინტესთან“.</w:t>
      </w:r>
    </w:p>
    <w:p w14:paraId="1C404492" w14:textId="77777777" w:rsidR="00C624BF" w:rsidRPr="00551AFF" w:rsidRDefault="00C624BF" w:rsidP="00A20314">
      <w:pPr>
        <w:spacing w:after="0" w:line="276" w:lineRule="auto"/>
        <w:rPr>
          <w:rFonts w:ascii="Times New Roman" w:hAnsi="Times New Roman" w:cs="Times New Roman"/>
          <w:sz w:val="22"/>
        </w:rPr>
      </w:pPr>
      <w:r w:rsidRPr="00551AFF">
        <w:rPr>
          <w:rFonts w:ascii="Times New Roman" w:hAnsi="Times New Roman" w:cs="Times New Roman" w:hint="eastAsia"/>
          <w:sz w:val="22"/>
        </w:rPr>
        <w:t xml:space="preserve">7) </w:t>
      </w:r>
      <w:r w:rsidRPr="00551AFF">
        <w:rPr>
          <w:rFonts w:ascii="Times New Roman" w:hAnsi="Times New Roman" w:cs="Times New Roman"/>
          <w:sz w:val="22"/>
        </w:rPr>
        <w:t>კუჭ-ნაწლავის სისტემა: ზოგჯერ შეიძლება განვითარდეს ღებინება.</w:t>
      </w:r>
    </w:p>
    <w:p w14:paraId="68935F71" w14:textId="77777777" w:rsidR="00C624BF" w:rsidRPr="00551AFF" w:rsidRDefault="00C624BF" w:rsidP="00A20314">
      <w:pPr>
        <w:spacing w:after="0" w:line="276" w:lineRule="auto"/>
        <w:rPr>
          <w:rFonts w:ascii="Times New Roman" w:hAnsi="Times New Roman" w:cs="Times New Roman"/>
          <w:sz w:val="22"/>
        </w:rPr>
      </w:pPr>
      <w:r w:rsidRPr="00551AFF">
        <w:rPr>
          <w:rFonts w:ascii="Times New Roman" w:hAnsi="Times New Roman" w:cs="Times New Roman" w:hint="eastAsia"/>
          <w:sz w:val="22"/>
        </w:rPr>
        <w:t xml:space="preserve">8) </w:t>
      </w:r>
      <w:r w:rsidRPr="00551AFF">
        <w:rPr>
          <w:rFonts w:ascii="Times New Roman" w:hAnsi="Times New Roman" w:cs="Times New Roman"/>
          <w:sz w:val="22"/>
        </w:rPr>
        <w:t>საშარდე სისტემა: ზოგჯერ შეიძლება აღინიშნოს ოლიგურია, პოლიურია და იშვიათად მიოგლობინურია.</w:t>
      </w:r>
    </w:p>
    <w:p w14:paraId="78C15A0C" w14:textId="77777777" w:rsidR="00C624BF" w:rsidRPr="00551AFF" w:rsidRDefault="00C624BF" w:rsidP="00A20314">
      <w:pPr>
        <w:spacing w:after="0" w:line="276" w:lineRule="auto"/>
        <w:rPr>
          <w:rFonts w:ascii="Times New Roman" w:hAnsi="Times New Roman" w:cs="Times New Roman"/>
          <w:sz w:val="22"/>
        </w:rPr>
      </w:pPr>
      <w:r w:rsidRPr="00551AFF">
        <w:rPr>
          <w:rFonts w:ascii="Times New Roman" w:hAnsi="Times New Roman" w:cs="Times New Roman" w:hint="eastAsia"/>
          <w:sz w:val="22"/>
        </w:rPr>
        <w:t xml:space="preserve">9) </w:t>
      </w:r>
      <w:r w:rsidRPr="00551AFF">
        <w:rPr>
          <w:rFonts w:ascii="Times New Roman" w:hAnsi="Times New Roman" w:cs="Times New Roman"/>
          <w:sz w:val="22"/>
        </w:rPr>
        <w:t>კანი: ზოგჯერ შეიძლება გაჩნდეს ერითემა.</w:t>
      </w:r>
    </w:p>
    <w:p w14:paraId="2CA8830F" w14:textId="77777777" w:rsidR="00C624BF" w:rsidRPr="00551AFF" w:rsidRDefault="00C624BF" w:rsidP="00A20314">
      <w:pPr>
        <w:spacing w:after="0" w:line="276" w:lineRule="auto"/>
        <w:rPr>
          <w:rFonts w:ascii="Times New Roman" w:hAnsi="Times New Roman" w:cs="Times New Roman"/>
          <w:sz w:val="22"/>
        </w:rPr>
      </w:pPr>
      <w:r w:rsidRPr="00551AFF">
        <w:rPr>
          <w:rFonts w:ascii="Times New Roman" w:hAnsi="Times New Roman" w:cs="Times New Roman" w:hint="eastAsia"/>
          <w:sz w:val="22"/>
        </w:rPr>
        <w:t xml:space="preserve">10) </w:t>
      </w:r>
      <w:r w:rsidRPr="00551AFF">
        <w:rPr>
          <w:rFonts w:ascii="Times New Roman" w:hAnsi="Times New Roman" w:cs="Times New Roman"/>
          <w:sz w:val="22"/>
        </w:rPr>
        <w:t>ჰემატოლოგიური: შესაძლოა განვითარდეს ლეიკოციტოზი, ლეიკოპენია და გარდამავალი ჰიპერგლიკემია. შრატში არაორგანული ფტორიდის კონცენტრაციის გარდამავალი მატება შეიძლება შეინიშნოს მიღების დროს და მის შემდეგ. ფტორის პიკური დონეები, როგორც წესი, აღინიშნება ანესთეზიის შეწყვეტიდან 2 საათის განმავლობაში და უბრუნდება ოპერაციამდელ დონეს 48 საათის განმავლობაში. კლინიკურ კვლევებში ფტორის მომატებული დონე არ იყო დაკავშირებული თირკმლის ფუნქციის დარღვევასთან.</w:t>
      </w:r>
    </w:p>
    <w:p w14:paraId="57B8A44C" w14:textId="77777777" w:rsidR="00C624BF" w:rsidRPr="00551AFF" w:rsidRDefault="00C624BF" w:rsidP="00A20314">
      <w:pPr>
        <w:spacing w:after="0" w:line="276" w:lineRule="auto"/>
        <w:rPr>
          <w:rFonts w:ascii="Times New Roman" w:hAnsi="Times New Roman" w:cs="Times New Roman"/>
          <w:sz w:val="22"/>
        </w:rPr>
      </w:pPr>
      <w:r w:rsidRPr="00551AFF">
        <w:rPr>
          <w:rFonts w:ascii="Times New Roman" w:hAnsi="Times New Roman" w:cs="Times New Roman" w:hint="eastAsia"/>
          <w:sz w:val="22"/>
        </w:rPr>
        <w:t xml:space="preserve">11) </w:t>
      </w:r>
      <w:r w:rsidRPr="00551AFF">
        <w:rPr>
          <w:rFonts w:ascii="Times New Roman" w:hAnsi="Times New Roman" w:cs="Times New Roman"/>
          <w:sz w:val="22"/>
        </w:rPr>
        <w:t>კუნთოვანი სისტემა: შეიძლება განვითარდეს რაბდომიოლიზი, რომელიც ხასიათდება კუნთების ტკივილით, სისუსტით, კფკ-ს მომატებით და სისხლში ან შარდში მიოგლობინის მომატებით; ამ ნიშნების არსებობის შემთხვევაში, მიღება უნდა შეწყდეს და დაიწყოს შესაბამისი მკურნალობა.</w:t>
      </w:r>
    </w:p>
    <w:p w14:paraId="6183ED3F" w14:textId="77777777" w:rsidR="00C624BF" w:rsidRPr="00551AFF" w:rsidRDefault="00C624BF" w:rsidP="00A20314">
      <w:pPr>
        <w:spacing w:after="0" w:line="276" w:lineRule="auto"/>
        <w:rPr>
          <w:rFonts w:ascii="Times New Roman" w:hAnsi="Times New Roman" w:cs="Times New Roman"/>
          <w:sz w:val="22"/>
        </w:rPr>
      </w:pPr>
      <w:r w:rsidRPr="00551AFF">
        <w:rPr>
          <w:rFonts w:ascii="Times New Roman" w:hAnsi="Times New Roman" w:cs="Times New Roman" w:hint="eastAsia"/>
          <w:sz w:val="22"/>
        </w:rPr>
        <w:t xml:space="preserve">12) </w:t>
      </w:r>
      <w:r w:rsidRPr="00551AFF">
        <w:rPr>
          <w:rFonts w:ascii="Times New Roman" w:hAnsi="Times New Roman" w:cs="Times New Roman"/>
          <w:sz w:val="22"/>
        </w:rPr>
        <w:t>შოკი (ანაფილაქსია): შესაძლოა განვითარდეს შოკი და ანაფილაქტოიდური სიმპტომები; საჭიროა ფრთხილად მონიტორინგი. თუ გამოვლინდება ჰიპოტენზია, ტაქიკარდია, კანის სიწითლე, ჭინჭრის ციება, ბრონქოსპაზმის მსგავსი შეტევები, გენერალიზებული სიწითლე ან სახის შეშუპება, მიღება უნდა შეწყდეს და დაინიშნოს შესაბამისი მკურნალობა.</w:t>
      </w:r>
    </w:p>
    <w:p w14:paraId="1D316A79" w14:textId="77777777" w:rsidR="00C624BF" w:rsidRPr="00551AFF" w:rsidRDefault="00C624BF" w:rsidP="00A20314">
      <w:pPr>
        <w:spacing w:after="0" w:line="276" w:lineRule="auto"/>
        <w:rPr>
          <w:rFonts w:ascii="Times New Roman" w:hAnsi="Times New Roman" w:cs="Times New Roman"/>
          <w:sz w:val="22"/>
        </w:rPr>
      </w:pPr>
      <w:r w:rsidRPr="00551AFF">
        <w:rPr>
          <w:rFonts w:ascii="Times New Roman" w:hAnsi="Times New Roman" w:cs="Times New Roman" w:hint="eastAsia"/>
          <w:sz w:val="22"/>
        </w:rPr>
        <w:t xml:space="preserve">13) </w:t>
      </w:r>
      <w:r w:rsidRPr="00551AFF">
        <w:rPr>
          <w:rFonts w:ascii="Times New Roman" w:hAnsi="Times New Roman" w:cs="Times New Roman"/>
          <w:sz w:val="22"/>
        </w:rPr>
        <w:t>სხვა: შეიძლება განვითარდეს დიაბეტი, კრეატინინის მომატება, შარდის შეკავება, თირკმლის მწვავე უკმარისობა, ზოგჯერ ნერწყვის გამოყოფის მომატება და ცხელება.</w:t>
      </w:r>
    </w:p>
    <w:p w14:paraId="0BCE5C9B" w14:textId="77777777" w:rsidR="005D51A3" w:rsidRPr="00551AFF" w:rsidRDefault="00C624BF" w:rsidP="00A20314">
      <w:pPr>
        <w:spacing w:after="0" w:line="276" w:lineRule="auto"/>
        <w:rPr>
          <w:rFonts w:ascii="Times New Roman" w:hAnsi="Times New Roman" w:cs="Times New Roman"/>
          <w:sz w:val="22"/>
        </w:rPr>
      </w:pPr>
      <w:r w:rsidRPr="00551AFF">
        <w:rPr>
          <w:rFonts w:ascii="Times New Roman" w:hAnsi="Times New Roman" w:cs="Times New Roman" w:hint="eastAsia"/>
          <w:sz w:val="22"/>
        </w:rPr>
        <w:t xml:space="preserve">14) </w:t>
      </w:r>
      <w:r w:rsidRPr="00551AFF">
        <w:rPr>
          <w:rFonts w:ascii="Times New Roman" w:hAnsi="Times New Roman" w:cs="Times New Roman"/>
          <w:sz w:val="22"/>
        </w:rPr>
        <w:t xml:space="preserve">გაღვიძებისას შეიძლება ზოგჯერ განვითარდეს გულისრევა, ღებინება, შემცივნება, თავის ტკივილი, ძილიანობა, აგზნება და დაბნეულობა </w:t>
      </w:r>
      <w:r w:rsidR="00D30AF7">
        <w:rPr>
          <w:rFonts w:ascii="Times New Roman" w:hAnsi="Times New Roman" w:cs="Times New Roman" w:hint="eastAsia"/>
          <w:sz w:val="22"/>
        </w:rPr>
        <w:t>.</w:t>
      </w:r>
    </w:p>
    <w:p w14:paraId="06C36614" w14:textId="77777777" w:rsidR="00C624BF" w:rsidRPr="00551AFF" w:rsidRDefault="00C624BF" w:rsidP="00A20314">
      <w:pPr>
        <w:spacing w:after="0" w:line="276" w:lineRule="auto"/>
        <w:rPr>
          <w:rFonts w:ascii="Times New Roman" w:hAnsi="Times New Roman" w:cs="Times New Roman"/>
          <w:sz w:val="22"/>
        </w:rPr>
      </w:pPr>
      <w:r w:rsidRPr="00551AFF">
        <w:rPr>
          <w:rFonts w:ascii="Times New Roman" w:hAnsi="Times New Roman" w:cs="Times New Roman" w:hint="eastAsia"/>
          <w:sz w:val="22"/>
        </w:rPr>
        <w:t xml:space="preserve">15) </w:t>
      </w:r>
      <w:r w:rsidRPr="00551AFF">
        <w:rPr>
          <w:rFonts w:ascii="Times New Roman" w:hAnsi="Times New Roman" w:cs="Times New Roman"/>
          <w:sz w:val="22"/>
        </w:rPr>
        <w:t>დაზიანება, მოწამვლა და ქირურგიული გართულებები: შესაძლოა განვითარდეს ჰიპოთერმია.</w:t>
      </w:r>
    </w:p>
    <w:p w14:paraId="112FB07C" w14:textId="77777777" w:rsidR="00C624BF" w:rsidRPr="00551AFF" w:rsidRDefault="00C624BF" w:rsidP="00A20314">
      <w:pPr>
        <w:spacing w:after="0" w:line="276" w:lineRule="auto"/>
        <w:rPr>
          <w:rFonts w:ascii="Times New Roman" w:hAnsi="Times New Roman" w:cs="Times New Roman"/>
          <w:sz w:val="22"/>
        </w:rPr>
      </w:pPr>
    </w:p>
    <w:p w14:paraId="6D9246C2" w14:textId="77777777" w:rsidR="0007724F" w:rsidRPr="00551AFF" w:rsidRDefault="0007724F" w:rsidP="00A20314">
      <w:pPr>
        <w:spacing w:after="0" w:line="276" w:lineRule="auto"/>
        <w:rPr>
          <w:rFonts w:ascii="Times New Roman" w:hAnsi="Times New Roman" w:cs="Times New Roman"/>
          <w:sz w:val="22"/>
        </w:rPr>
      </w:pPr>
      <w:r w:rsidRPr="00551AFF">
        <w:rPr>
          <w:rFonts w:ascii="Times New Roman" w:hAnsi="Times New Roman" w:cs="Times New Roman"/>
          <w:sz w:val="22"/>
        </w:rPr>
        <w:t>(2) პოსტმარკეტინგული დაკვირვების დროს დაფიქსირებული გვერდითი რეაქციები:</w:t>
      </w:r>
    </w:p>
    <w:p w14:paraId="1FB165C8" w14:textId="77777777" w:rsidR="0007724F" w:rsidRDefault="005D51A3" w:rsidP="00A20314">
      <w:pPr>
        <w:spacing w:after="0" w:line="276" w:lineRule="auto"/>
        <w:rPr>
          <w:rFonts w:ascii="Times New Roman" w:hAnsi="Times New Roman" w:cs="Times New Roman"/>
          <w:sz w:val="22"/>
        </w:rPr>
      </w:pPr>
      <w:r w:rsidRPr="005D51A3">
        <w:rPr>
          <w:rFonts w:ascii="Times New Roman" w:hAnsi="Times New Roman" w:cs="Times New Roman"/>
          <w:sz w:val="22"/>
        </w:rPr>
        <w:t>მარკეტინგის შემდგომი გვერდითი მოვლენები სპონტანურად დაფიქსირდა. რადგან ეს ცნობები უცნობი ზომისა და ექსპოზიციის მქონე პოპულაციიდან მოდის, შეუძლებელია მათი რეალური სიხშირის სანდოდ შეფასება ან ამ პრეპარატთან მიზეზობრივი კავშირის დადგენა.</w:t>
      </w:r>
    </w:p>
    <w:p w14:paraId="739A734F" w14:textId="77777777" w:rsidR="005D51A3" w:rsidRPr="00551AFF" w:rsidRDefault="005D51A3" w:rsidP="00A20314">
      <w:pPr>
        <w:spacing w:after="0" w:line="276" w:lineRule="auto"/>
        <w:rPr>
          <w:rFonts w:ascii="Times New Roman" w:hAnsi="Times New Roman" w:cs="Times New Roman"/>
          <w:sz w:val="22"/>
        </w:rPr>
      </w:pPr>
      <w:r>
        <w:rPr>
          <w:rFonts w:ascii="Times New Roman" w:hAnsi="Times New Roman" w:cs="Times New Roman"/>
          <w:sz w:val="22"/>
        </w:rPr>
        <w:t>&lt; პოსტმარკეტინგული დაკვირვების დროს დაფიქსირებული გვერდითი რეაქციები &gt;</w:t>
      </w:r>
    </w:p>
    <w:tbl>
      <w:tblPr>
        <w:tblStyle w:val="TableGrid"/>
        <w:tblW w:w="0" w:type="auto"/>
        <w:tblLook w:val="04A0" w:firstRow="1" w:lastRow="0" w:firstColumn="1" w:lastColumn="0" w:noHBand="0" w:noVBand="1"/>
      </w:tblPr>
      <w:tblGrid>
        <w:gridCol w:w="3681"/>
        <w:gridCol w:w="5947"/>
      </w:tblGrid>
      <w:tr w:rsidR="00B147CE" w:rsidRPr="00551AFF" w14:paraId="5C3C1906" w14:textId="77777777" w:rsidTr="005D51A3">
        <w:tc>
          <w:tcPr>
            <w:tcW w:w="3681" w:type="dxa"/>
            <w:vAlign w:val="center"/>
          </w:tcPr>
          <w:p w14:paraId="07468CBF" w14:textId="77777777" w:rsidR="00B147CE" w:rsidRPr="00551AFF" w:rsidRDefault="00B147CE" w:rsidP="00A20314">
            <w:pPr>
              <w:spacing w:line="276" w:lineRule="auto"/>
              <w:rPr>
                <w:rFonts w:ascii="Times New Roman" w:hAnsi="Times New Roman" w:cs="Times New Roman"/>
                <w:sz w:val="22"/>
              </w:rPr>
            </w:pPr>
            <w:r w:rsidRPr="00551AFF">
              <w:rPr>
                <w:rFonts w:ascii="Times New Roman" w:hAnsi="Times New Roman" w:cs="Times New Roman"/>
                <w:sz w:val="22"/>
              </w:rPr>
              <w:t>სისტემური ორგანოს კლასი</w:t>
            </w:r>
          </w:p>
        </w:tc>
        <w:tc>
          <w:tcPr>
            <w:tcW w:w="5947" w:type="dxa"/>
            <w:vAlign w:val="center"/>
          </w:tcPr>
          <w:p w14:paraId="3892365B" w14:textId="77777777" w:rsidR="00B147CE" w:rsidRPr="00551AFF" w:rsidRDefault="00B147CE" w:rsidP="00A20314">
            <w:pPr>
              <w:spacing w:line="276" w:lineRule="auto"/>
              <w:rPr>
                <w:rFonts w:ascii="Times New Roman" w:hAnsi="Times New Roman" w:cs="Times New Roman"/>
                <w:sz w:val="22"/>
              </w:rPr>
            </w:pPr>
            <w:r w:rsidRPr="00551AFF">
              <w:rPr>
                <w:rFonts w:ascii="Times New Roman" w:hAnsi="Times New Roman" w:cs="Times New Roman"/>
                <w:sz w:val="22"/>
              </w:rPr>
              <w:t>გვერდითი რეაქციები</w:t>
            </w:r>
          </w:p>
        </w:tc>
      </w:tr>
      <w:tr w:rsidR="00B147CE" w:rsidRPr="00551AFF" w14:paraId="397B9D06" w14:textId="77777777" w:rsidTr="005D51A3">
        <w:tc>
          <w:tcPr>
            <w:tcW w:w="3681" w:type="dxa"/>
            <w:vAlign w:val="center"/>
          </w:tcPr>
          <w:p w14:paraId="0898DE77" w14:textId="77777777" w:rsidR="00B147CE" w:rsidRPr="00551AFF" w:rsidRDefault="00B147CE" w:rsidP="00A20314">
            <w:pPr>
              <w:spacing w:line="276" w:lineRule="auto"/>
              <w:rPr>
                <w:rFonts w:ascii="Times New Roman" w:hAnsi="Times New Roman" w:cs="Times New Roman"/>
                <w:sz w:val="22"/>
              </w:rPr>
            </w:pPr>
            <w:r w:rsidRPr="00551AFF">
              <w:rPr>
                <w:rFonts w:ascii="Times New Roman" w:hAnsi="Times New Roman" w:cs="Times New Roman"/>
                <w:sz w:val="22"/>
              </w:rPr>
              <w:t>იმუნური სისტემის დარღვევები</w:t>
            </w:r>
          </w:p>
        </w:tc>
        <w:tc>
          <w:tcPr>
            <w:tcW w:w="5947" w:type="dxa"/>
            <w:vAlign w:val="center"/>
          </w:tcPr>
          <w:p w14:paraId="6B9B2231" w14:textId="77777777" w:rsidR="00B147CE" w:rsidRPr="00551AFF" w:rsidRDefault="00B147CE" w:rsidP="00A20314">
            <w:pPr>
              <w:spacing w:line="276" w:lineRule="auto"/>
              <w:rPr>
                <w:rFonts w:ascii="Times New Roman" w:hAnsi="Times New Roman" w:cs="Times New Roman"/>
                <w:sz w:val="22"/>
              </w:rPr>
            </w:pPr>
            <w:r w:rsidRPr="00551AFF">
              <w:rPr>
                <w:rFonts w:ascii="Times New Roman" w:hAnsi="Times New Roman" w:cs="Times New Roman"/>
                <w:sz w:val="22"/>
              </w:rPr>
              <w:t>ანაფილაქსიური რეაქცია***, ანაფილაქტოიდური რეაქცია, ჰიპერმგრძნობელობა***</w:t>
            </w:r>
          </w:p>
        </w:tc>
      </w:tr>
      <w:tr w:rsidR="00B147CE" w:rsidRPr="00551AFF" w14:paraId="2E4A2EBD" w14:textId="77777777" w:rsidTr="005D51A3">
        <w:tc>
          <w:tcPr>
            <w:tcW w:w="3681" w:type="dxa"/>
            <w:vAlign w:val="center"/>
          </w:tcPr>
          <w:p w14:paraId="5643C652" w14:textId="77777777" w:rsidR="00B147CE" w:rsidRPr="00551AFF" w:rsidRDefault="00B147CE" w:rsidP="00A20314">
            <w:pPr>
              <w:spacing w:line="276" w:lineRule="auto"/>
              <w:rPr>
                <w:rFonts w:ascii="Times New Roman" w:hAnsi="Times New Roman" w:cs="Times New Roman"/>
                <w:sz w:val="22"/>
              </w:rPr>
            </w:pPr>
            <w:r w:rsidRPr="00551AFF">
              <w:rPr>
                <w:rFonts w:ascii="Times New Roman" w:hAnsi="Times New Roman" w:cs="Times New Roman"/>
                <w:sz w:val="22"/>
              </w:rPr>
              <w:t>ნერვული სისტემის დარღვევები</w:t>
            </w:r>
          </w:p>
        </w:tc>
        <w:tc>
          <w:tcPr>
            <w:tcW w:w="5947" w:type="dxa"/>
            <w:vAlign w:val="center"/>
          </w:tcPr>
          <w:p w14:paraId="011C1B26" w14:textId="77777777" w:rsidR="00B147CE" w:rsidRPr="00551AFF" w:rsidRDefault="00B147CE" w:rsidP="00A20314">
            <w:pPr>
              <w:spacing w:line="276" w:lineRule="auto"/>
              <w:rPr>
                <w:rFonts w:ascii="Times New Roman" w:hAnsi="Times New Roman" w:cs="Times New Roman"/>
                <w:sz w:val="22"/>
              </w:rPr>
            </w:pPr>
            <w:r w:rsidRPr="00551AFF">
              <w:rPr>
                <w:rFonts w:ascii="Times New Roman" w:hAnsi="Times New Roman" w:cs="Times New Roman"/>
                <w:sz w:val="22"/>
              </w:rPr>
              <w:t>კრუნჩხვები*, დისტონია**</w:t>
            </w:r>
          </w:p>
        </w:tc>
      </w:tr>
      <w:tr w:rsidR="00B147CE" w:rsidRPr="00551AFF" w14:paraId="67B08232" w14:textId="77777777" w:rsidTr="005D51A3">
        <w:tc>
          <w:tcPr>
            <w:tcW w:w="3681" w:type="dxa"/>
            <w:vAlign w:val="center"/>
          </w:tcPr>
          <w:p w14:paraId="6EEFC966" w14:textId="77777777" w:rsidR="00B147CE" w:rsidRPr="00551AFF" w:rsidRDefault="00B147CE" w:rsidP="00A20314">
            <w:pPr>
              <w:spacing w:line="276" w:lineRule="auto"/>
              <w:rPr>
                <w:rFonts w:ascii="Times New Roman" w:hAnsi="Times New Roman" w:cs="Times New Roman"/>
                <w:sz w:val="22"/>
              </w:rPr>
            </w:pPr>
            <w:r w:rsidRPr="00551AFF">
              <w:rPr>
                <w:rFonts w:ascii="Times New Roman" w:hAnsi="Times New Roman" w:cs="Times New Roman"/>
                <w:sz w:val="22"/>
              </w:rPr>
              <w:t>გულის დარღვევები</w:t>
            </w:r>
          </w:p>
        </w:tc>
        <w:tc>
          <w:tcPr>
            <w:tcW w:w="5947" w:type="dxa"/>
            <w:vAlign w:val="center"/>
          </w:tcPr>
          <w:p w14:paraId="000E3100" w14:textId="77777777" w:rsidR="005D51A3" w:rsidRDefault="00B147CE" w:rsidP="00A20314">
            <w:pPr>
              <w:spacing w:line="276" w:lineRule="auto"/>
              <w:rPr>
                <w:rFonts w:ascii="Times New Roman" w:hAnsi="Times New Roman" w:cs="Times New Roman"/>
                <w:sz w:val="22"/>
              </w:rPr>
            </w:pPr>
            <w:r w:rsidRPr="00551AFF">
              <w:rPr>
                <w:rFonts w:ascii="Times New Roman" w:hAnsi="Times New Roman" w:cs="Times New Roman"/>
                <w:sz w:val="22"/>
              </w:rPr>
              <w:t>გულის გაჩერება #,</w:t>
            </w:r>
          </w:p>
          <w:p w14:paraId="3B7A8E43" w14:textId="77777777" w:rsidR="00B147CE" w:rsidRPr="00551AFF" w:rsidRDefault="00B147CE" w:rsidP="00A20314">
            <w:pPr>
              <w:spacing w:line="276" w:lineRule="auto"/>
              <w:rPr>
                <w:rFonts w:ascii="Times New Roman" w:hAnsi="Times New Roman" w:cs="Times New Roman"/>
                <w:sz w:val="22"/>
              </w:rPr>
            </w:pPr>
            <w:r w:rsidRPr="00551AFF">
              <w:rPr>
                <w:rFonts w:ascii="Times New Roman" w:hAnsi="Times New Roman" w:cs="Times New Roman"/>
                <w:sz w:val="22"/>
              </w:rPr>
              <w:t>ბრადიკარდია დაუნის სინდრომის მქონე პაციენტებში</w:t>
            </w:r>
          </w:p>
        </w:tc>
      </w:tr>
      <w:tr w:rsidR="00B147CE" w:rsidRPr="00551AFF" w14:paraId="5EF25C72" w14:textId="77777777" w:rsidTr="005D51A3">
        <w:tc>
          <w:tcPr>
            <w:tcW w:w="3681" w:type="dxa"/>
            <w:vAlign w:val="center"/>
          </w:tcPr>
          <w:p w14:paraId="797FA82E" w14:textId="77777777" w:rsidR="00B147CE" w:rsidRPr="00551AFF" w:rsidRDefault="00B147CE" w:rsidP="00A20314">
            <w:pPr>
              <w:spacing w:line="276" w:lineRule="auto"/>
              <w:rPr>
                <w:rFonts w:ascii="Times New Roman" w:hAnsi="Times New Roman" w:cs="Times New Roman"/>
                <w:sz w:val="22"/>
              </w:rPr>
            </w:pPr>
            <w:r w:rsidRPr="00551AFF">
              <w:rPr>
                <w:rFonts w:ascii="Times New Roman" w:hAnsi="Times New Roman" w:cs="Times New Roman"/>
                <w:sz w:val="22"/>
              </w:rPr>
              <w:t xml:space="preserve">სასუნთქი გზების, გულმკერდის </w:t>
            </w:r>
            <w:r w:rsidRPr="00551AFF">
              <w:rPr>
                <w:rFonts w:ascii="Times New Roman" w:hAnsi="Times New Roman" w:cs="Times New Roman"/>
                <w:sz w:val="22"/>
              </w:rPr>
              <w:lastRenderedPageBreak/>
              <w:t>და შუასაყრის დარღვევები</w:t>
            </w:r>
          </w:p>
        </w:tc>
        <w:tc>
          <w:tcPr>
            <w:tcW w:w="5947" w:type="dxa"/>
            <w:vAlign w:val="center"/>
          </w:tcPr>
          <w:p w14:paraId="3163DBC2" w14:textId="77777777" w:rsidR="00B147CE" w:rsidRPr="00551AFF" w:rsidRDefault="00B147CE" w:rsidP="00A20314">
            <w:pPr>
              <w:spacing w:line="276" w:lineRule="auto"/>
              <w:rPr>
                <w:rFonts w:ascii="Times New Roman" w:hAnsi="Times New Roman" w:cs="Times New Roman"/>
                <w:sz w:val="22"/>
              </w:rPr>
            </w:pPr>
            <w:r w:rsidRPr="00551AFF">
              <w:rPr>
                <w:rFonts w:ascii="Times New Roman" w:hAnsi="Times New Roman" w:cs="Times New Roman"/>
                <w:sz w:val="22"/>
              </w:rPr>
              <w:lastRenderedPageBreak/>
              <w:t>ბრონქოსპაზმი, ქოშინი***, ხიხინი***</w:t>
            </w:r>
          </w:p>
        </w:tc>
      </w:tr>
      <w:tr w:rsidR="00B147CE" w:rsidRPr="00551AFF" w14:paraId="4232D8A5" w14:textId="77777777" w:rsidTr="005D51A3">
        <w:tc>
          <w:tcPr>
            <w:tcW w:w="3681" w:type="dxa"/>
            <w:vAlign w:val="center"/>
          </w:tcPr>
          <w:p w14:paraId="12D15962" w14:textId="77777777" w:rsidR="00B147CE" w:rsidRPr="00551AFF" w:rsidRDefault="00B147CE" w:rsidP="00A20314">
            <w:pPr>
              <w:spacing w:line="276" w:lineRule="auto"/>
              <w:rPr>
                <w:rFonts w:ascii="Times New Roman" w:hAnsi="Times New Roman" w:cs="Times New Roman"/>
                <w:sz w:val="22"/>
              </w:rPr>
            </w:pPr>
            <w:r w:rsidRPr="00551AFF">
              <w:rPr>
                <w:rFonts w:ascii="Times New Roman" w:hAnsi="Times New Roman" w:cs="Times New Roman"/>
                <w:sz w:val="22"/>
              </w:rPr>
              <w:t>ჰეპატობილიარული დარღვევები</w:t>
            </w:r>
          </w:p>
        </w:tc>
        <w:tc>
          <w:tcPr>
            <w:tcW w:w="5947" w:type="dxa"/>
            <w:vAlign w:val="center"/>
          </w:tcPr>
          <w:p w14:paraId="045EC186" w14:textId="77777777" w:rsidR="00B147CE" w:rsidRPr="00551AFF" w:rsidRDefault="00B147CE" w:rsidP="00A20314">
            <w:pPr>
              <w:spacing w:line="276" w:lineRule="auto"/>
              <w:rPr>
                <w:rFonts w:ascii="Times New Roman" w:hAnsi="Times New Roman" w:cs="Times New Roman"/>
                <w:sz w:val="22"/>
              </w:rPr>
            </w:pPr>
            <w:r w:rsidRPr="00551AFF">
              <w:rPr>
                <w:rFonts w:ascii="Times New Roman" w:hAnsi="Times New Roman" w:cs="Times New Roman"/>
                <w:sz w:val="22"/>
              </w:rPr>
              <w:t>ჰეპატიტი, ღვიძლის უკმარისობა, ღვიძლის ნეკროზი</w:t>
            </w:r>
          </w:p>
        </w:tc>
      </w:tr>
      <w:tr w:rsidR="00B147CE" w:rsidRPr="00551AFF" w14:paraId="7D62A384" w14:textId="77777777" w:rsidTr="005D51A3">
        <w:tc>
          <w:tcPr>
            <w:tcW w:w="3681" w:type="dxa"/>
            <w:vAlign w:val="center"/>
          </w:tcPr>
          <w:p w14:paraId="33ADF6CD" w14:textId="77777777" w:rsidR="00B147CE" w:rsidRPr="00551AFF" w:rsidRDefault="00B147CE" w:rsidP="00A20314">
            <w:pPr>
              <w:spacing w:line="276" w:lineRule="auto"/>
              <w:rPr>
                <w:rFonts w:ascii="Times New Roman" w:hAnsi="Times New Roman" w:cs="Times New Roman"/>
                <w:sz w:val="22"/>
              </w:rPr>
            </w:pPr>
            <w:r w:rsidRPr="00551AFF">
              <w:rPr>
                <w:rFonts w:ascii="Times New Roman" w:hAnsi="Times New Roman" w:cs="Times New Roman"/>
                <w:sz w:val="22"/>
              </w:rPr>
              <w:t>კანისა და კანქვეშა ქსოვილის დარღვევები</w:t>
            </w:r>
          </w:p>
        </w:tc>
        <w:tc>
          <w:tcPr>
            <w:tcW w:w="5947" w:type="dxa"/>
            <w:vAlign w:val="center"/>
          </w:tcPr>
          <w:p w14:paraId="33E1ED8A" w14:textId="77777777" w:rsidR="00B147CE" w:rsidRPr="00551AFF" w:rsidRDefault="00B147CE" w:rsidP="00A20314">
            <w:pPr>
              <w:spacing w:line="276" w:lineRule="auto"/>
              <w:rPr>
                <w:rFonts w:ascii="Times New Roman" w:hAnsi="Times New Roman" w:cs="Times New Roman"/>
                <w:sz w:val="22"/>
              </w:rPr>
            </w:pPr>
            <w:r w:rsidRPr="00551AFF">
              <w:rPr>
                <w:rFonts w:ascii="Times New Roman" w:hAnsi="Times New Roman" w:cs="Times New Roman"/>
                <w:sz w:val="22"/>
              </w:rPr>
              <w:t>გამონაყარი***, ჭინჭრის ციება, ქავილი, კონტაქტური დერმატიტი***, სახის შეშუპება***</w:t>
            </w:r>
          </w:p>
        </w:tc>
      </w:tr>
      <w:tr w:rsidR="00B147CE" w:rsidRPr="00551AFF" w14:paraId="203A8F5C" w14:textId="77777777" w:rsidTr="005D51A3">
        <w:tc>
          <w:tcPr>
            <w:tcW w:w="3681" w:type="dxa"/>
            <w:vAlign w:val="center"/>
          </w:tcPr>
          <w:p w14:paraId="4C27FDBB" w14:textId="77777777" w:rsidR="00B147CE" w:rsidRPr="00551AFF" w:rsidRDefault="00B147CE" w:rsidP="00A20314">
            <w:pPr>
              <w:spacing w:line="276" w:lineRule="auto"/>
              <w:rPr>
                <w:rFonts w:ascii="Times New Roman" w:hAnsi="Times New Roman" w:cs="Times New Roman"/>
                <w:sz w:val="22"/>
              </w:rPr>
            </w:pPr>
            <w:r w:rsidRPr="00551AFF">
              <w:rPr>
                <w:rFonts w:ascii="Times New Roman" w:hAnsi="Times New Roman" w:cs="Times New Roman"/>
                <w:sz w:val="22"/>
              </w:rPr>
              <w:t>ზოგადი დარღვევები და შეყვანის ადგილის მდგომარეობები</w:t>
            </w:r>
          </w:p>
        </w:tc>
        <w:tc>
          <w:tcPr>
            <w:tcW w:w="5947" w:type="dxa"/>
            <w:vAlign w:val="center"/>
          </w:tcPr>
          <w:p w14:paraId="353DD5A9" w14:textId="77777777" w:rsidR="00B147CE" w:rsidRPr="00551AFF" w:rsidRDefault="00B147CE" w:rsidP="00A20314">
            <w:pPr>
              <w:spacing w:line="276" w:lineRule="auto"/>
              <w:rPr>
                <w:rFonts w:ascii="Times New Roman" w:hAnsi="Times New Roman" w:cs="Times New Roman"/>
                <w:sz w:val="22"/>
              </w:rPr>
            </w:pPr>
            <w:r w:rsidRPr="00551AFF">
              <w:rPr>
                <w:rFonts w:ascii="Times New Roman" w:hAnsi="Times New Roman" w:cs="Times New Roman"/>
                <w:sz w:val="22"/>
              </w:rPr>
              <w:t>ავთვისებიანი ჰიპერთერმია, დისკომფორტი გულმკერდის არეში</w:t>
            </w:r>
          </w:p>
        </w:tc>
      </w:tr>
      <w:tr w:rsidR="00B147CE" w:rsidRPr="00551AFF" w14:paraId="5C84DA55" w14:textId="77777777" w:rsidTr="005D51A3">
        <w:tc>
          <w:tcPr>
            <w:tcW w:w="9628" w:type="dxa"/>
            <w:gridSpan w:val="2"/>
          </w:tcPr>
          <w:p w14:paraId="019A8388" w14:textId="77777777" w:rsidR="00B147CE" w:rsidRPr="00551AFF" w:rsidRDefault="00B147CE" w:rsidP="00A20314">
            <w:pPr>
              <w:spacing w:line="276" w:lineRule="auto"/>
              <w:rPr>
                <w:rFonts w:ascii="Times New Roman" w:hAnsi="Times New Roman" w:cs="Times New Roman"/>
                <w:sz w:val="22"/>
              </w:rPr>
            </w:pPr>
            <w:r w:rsidRPr="00551AFF">
              <w:rPr>
                <w:rFonts w:ascii="Times New Roman" w:hAnsi="Times New Roman" w:cs="Times New Roman" w:hint="eastAsia"/>
                <w:sz w:val="22"/>
              </w:rPr>
              <w:t xml:space="preserve">* </w:t>
            </w:r>
            <w:r w:rsidRPr="00551AFF">
              <w:rPr>
                <w:rFonts w:ascii="Times New Roman" w:hAnsi="Times New Roman" w:cs="Times New Roman"/>
                <w:sz w:val="22"/>
              </w:rPr>
              <w:t>ამ პრეპარატის მიღების შემდეგ, კრუნჩხვის მსგავსი ქცევები ძალიან იშვიათად აღინიშნა. დაფიქსირებულ შემთხვევებში, ეს ხანმოკლე იყო და ანესთეზიიდან გამოსვლისას ან ოპერაციის შემდგომ პერიოდში რაიმე პათოლოგიური ნიშნები არ დაფიქსირებულა.</w:t>
            </w:r>
          </w:p>
          <w:p w14:paraId="1FB4BA58" w14:textId="77777777" w:rsidR="00B147CE" w:rsidRPr="00551AFF" w:rsidRDefault="00B147CE" w:rsidP="00A20314">
            <w:pPr>
              <w:spacing w:line="276" w:lineRule="auto"/>
              <w:rPr>
                <w:rFonts w:ascii="Times New Roman" w:hAnsi="Times New Roman" w:cs="Times New Roman"/>
                <w:sz w:val="22"/>
              </w:rPr>
            </w:pPr>
            <w:r w:rsidRPr="00551AFF">
              <w:rPr>
                <w:rFonts w:ascii="Times New Roman" w:hAnsi="Times New Roman" w:cs="Times New Roman"/>
                <w:sz w:val="22"/>
              </w:rPr>
              <w:t>** პედიატრიულ პაციენტებში, რომლებიც იღებდნენ ამ პრეპარატს ანესთეზიის ინდუქციისთვის, აღწერილია ამ პრეპარატთან გაურკვეველი კავშირის მქონე დისტონიის შემთხვევები, თუმცა ეს სიმპტომები სპონტანურად გაქრა.</w:t>
            </w:r>
          </w:p>
          <w:p w14:paraId="735D95D0" w14:textId="77777777" w:rsidR="00B147CE" w:rsidRPr="00551AFF" w:rsidRDefault="00B147CE" w:rsidP="00A20314">
            <w:pPr>
              <w:spacing w:line="276" w:lineRule="auto"/>
              <w:rPr>
                <w:rFonts w:ascii="Times New Roman" w:hAnsi="Times New Roman" w:cs="Times New Roman"/>
                <w:sz w:val="22"/>
              </w:rPr>
            </w:pPr>
            <w:r w:rsidRPr="00551AFF">
              <w:rPr>
                <w:rFonts w:ascii="Times New Roman" w:hAnsi="Times New Roman" w:cs="Times New Roman"/>
                <w:sz w:val="22"/>
              </w:rPr>
              <w:t>*** აღწერილია ჰიპერმგრძნობელობის რეაქციები, განსაკუთრებით ინჰალაციური ანესთეტიკების ხანგრძლივი პროფესიული ზემოქმედების შედეგად.</w:t>
            </w:r>
          </w:p>
          <w:p w14:paraId="68493BB7" w14:textId="77777777" w:rsidR="00B147CE" w:rsidRPr="00551AFF" w:rsidRDefault="00B147CE" w:rsidP="00A20314">
            <w:pPr>
              <w:spacing w:line="276" w:lineRule="auto"/>
              <w:rPr>
                <w:rFonts w:ascii="Times New Roman" w:hAnsi="Times New Roman" w:cs="Times New Roman"/>
                <w:sz w:val="22"/>
              </w:rPr>
            </w:pPr>
            <w:r w:rsidRPr="00551AFF">
              <w:rPr>
                <w:rFonts w:ascii="Times New Roman" w:hAnsi="Times New Roman" w:cs="Times New Roman" w:hint="eastAsia"/>
                <w:sz w:val="22"/>
              </w:rPr>
              <w:t xml:space="preserve"># </w:t>
            </w:r>
            <w:r w:rsidRPr="00551AFF">
              <w:rPr>
                <w:rFonts w:ascii="Times New Roman" w:hAnsi="Times New Roman" w:cs="Times New Roman"/>
                <w:sz w:val="22"/>
              </w:rPr>
              <w:t>პოსტმარკეტინგულ ანგარიშებში ამ პრეპარატის მიღების კონტექსტში გულის გაჩერების შემთხვევები ძალიან იშვიათად არის დოკუმენტირებული.</w:t>
            </w:r>
          </w:p>
        </w:tc>
      </w:tr>
    </w:tbl>
    <w:p w14:paraId="6FB8DC92" w14:textId="77777777" w:rsidR="0007724F" w:rsidRPr="00551AFF" w:rsidRDefault="0007724F" w:rsidP="00A20314">
      <w:pPr>
        <w:spacing w:after="0" w:line="276" w:lineRule="auto"/>
        <w:rPr>
          <w:rFonts w:ascii="Times New Roman" w:hAnsi="Times New Roman" w:cs="Times New Roman"/>
          <w:sz w:val="22"/>
        </w:rPr>
      </w:pPr>
    </w:p>
    <w:p w14:paraId="21F2CA3F" w14:textId="77777777" w:rsidR="002D4B3A" w:rsidRPr="00551AFF" w:rsidRDefault="0007724F" w:rsidP="00A20314">
      <w:pPr>
        <w:spacing w:after="0" w:line="276" w:lineRule="auto"/>
        <w:rPr>
          <w:rFonts w:ascii="Times New Roman" w:hAnsi="Times New Roman" w:cs="Times New Roman"/>
          <w:sz w:val="22"/>
        </w:rPr>
      </w:pPr>
      <w:r w:rsidRPr="00551AFF">
        <w:rPr>
          <w:rFonts w:ascii="Times New Roman" w:hAnsi="Times New Roman" w:cs="Times New Roman"/>
          <w:sz w:val="22"/>
        </w:rPr>
        <w:t>(3) აბოტის კლინიკურ პროგრამაში, რომელიც მოიცავდა 5,560 პაციენტს/სუბიექტს, დაფიქსირდა გარდაცვალების 17 შემთხვევა (9 შემთხვევა ამ პრეპარატის გამოყენებისას, 8 კი იზოფლურანის გამოყენებისას). ყველა გარდაცვალების მიზეზი ან უცნობი იყო, ან ჩაითვალა კვლევის პრეპარატთან დაუკავშირებლად.</w:t>
      </w:r>
    </w:p>
    <w:p w14:paraId="7A459A71" w14:textId="77777777" w:rsidR="00EB1DE5" w:rsidRPr="00551AFF" w:rsidRDefault="00EB1DE5" w:rsidP="00A20314">
      <w:pPr>
        <w:spacing w:after="0" w:line="276" w:lineRule="auto"/>
        <w:rPr>
          <w:rFonts w:ascii="Times New Roman" w:hAnsi="Times New Roman" w:cs="Times New Roman"/>
          <w:sz w:val="22"/>
        </w:rPr>
      </w:pPr>
    </w:p>
    <w:p w14:paraId="5B42CCCC" w14:textId="77777777" w:rsidR="0007724F" w:rsidRPr="00D17AAB" w:rsidRDefault="002D4B3A" w:rsidP="00A20314">
      <w:pPr>
        <w:spacing w:after="0" w:line="276" w:lineRule="auto"/>
        <w:rPr>
          <w:rFonts w:ascii="Times New Roman" w:hAnsi="Times New Roman" w:cs="Times New Roman"/>
          <w:b/>
          <w:sz w:val="22"/>
        </w:rPr>
      </w:pPr>
      <w:r w:rsidRPr="00D17AAB">
        <w:rPr>
          <w:rFonts w:ascii="Times New Roman" w:hAnsi="Times New Roman" w:cs="Times New Roman" w:hint="eastAsia"/>
          <w:b/>
          <w:sz w:val="22"/>
        </w:rPr>
        <w:t xml:space="preserve">5. </w:t>
      </w:r>
      <w:r w:rsidRPr="00D17AAB">
        <w:rPr>
          <w:rFonts w:ascii="Times New Roman" w:hAnsi="Times New Roman" w:cs="Times New Roman"/>
          <w:b/>
          <w:sz w:val="22"/>
        </w:rPr>
        <w:t>ზოგადი სიფრთხილის ზომები</w:t>
      </w:r>
    </w:p>
    <w:p w14:paraId="2CB78FBE" w14:textId="77777777" w:rsidR="0007724F" w:rsidRPr="00551AFF" w:rsidRDefault="002D4B3A" w:rsidP="00A20314">
      <w:pPr>
        <w:spacing w:after="0" w:line="276" w:lineRule="auto"/>
        <w:rPr>
          <w:rFonts w:ascii="Times New Roman" w:hAnsi="Times New Roman" w:cs="Times New Roman"/>
          <w:sz w:val="22"/>
        </w:rPr>
      </w:pPr>
      <w:r w:rsidRPr="00551AFF">
        <w:rPr>
          <w:rFonts w:ascii="Times New Roman" w:hAnsi="Times New Roman" w:cs="Times New Roman" w:hint="eastAsia"/>
          <w:sz w:val="22"/>
        </w:rPr>
        <w:t xml:space="preserve">1) </w:t>
      </w:r>
      <w:r w:rsidRPr="00551AFF">
        <w:rPr>
          <w:rFonts w:ascii="Times New Roman" w:hAnsi="Times New Roman" w:cs="Times New Roman"/>
          <w:sz w:val="22"/>
        </w:rPr>
        <w:t>ზოგადი პრინციპის თანახმად, პაციენტები ანესთეზიის ჩატარებამდე უნდა იმარხულონ.</w:t>
      </w:r>
    </w:p>
    <w:p w14:paraId="19123981" w14:textId="77777777" w:rsidR="0007724F" w:rsidRPr="00551AFF" w:rsidRDefault="002D4B3A" w:rsidP="00A20314">
      <w:pPr>
        <w:spacing w:after="0" w:line="276" w:lineRule="auto"/>
        <w:rPr>
          <w:rFonts w:ascii="Times New Roman" w:hAnsi="Times New Roman" w:cs="Times New Roman"/>
          <w:sz w:val="22"/>
        </w:rPr>
      </w:pPr>
      <w:r w:rsidRPr="00551AFF">
        <w:rPr>
          <w:rFonts w:ascii="Times New Roman" w:hAnsi="Times New Roman" w:cs="Times New Roman" w:hint="eastAsia"/>
          <w:sz w:val="22"/>
        </w:rPr>
        <w:t xml:space="preserve">2) </w:t>
      </w:r>
      <w:r w:rsidRPr="00551AFF">
        <w:rPr>
          <w:rFonts w:ascii="Times New Roman" w:hAnsi="Times New Roman" w:cs="Times New Roman"/>
          <w:sz w:val="22"/>
        </w:rPr>
        <w:t>პრემედიკაცია, როგორც წესი, ანესთეზიის წინ ტარდება.</w:t>
      </w:r>
    </w:p>
    <w:p w14:paraId="6B34B64B" w14:textId="77777777" w:rsidR="0007724F" w:rsidRPr="00551AFF" w:rsidRDefault="002D4B3A" w:rsidP="00A20314">
      <w:pPr>
        <w:spacing w:after="0" w:line="276" w:lineRule="auto"/>
        <w:rPr>
          <w:rFonts w:ascii="Times New Roman" w:hAnsi="Times New Roman" w:cs="Times New Roman"/>
          <w:sz w:val="22"/>
        </w:rPr>
      </w:pPr>
      <w:r w:rsidRPr="00551AFF">
        <w:rPr>
          <w:rFonts w:ascii="Times New Roman" w:hAnsi="Times New Roman" w:cs="Times New Roman" w:hint="eastAsia"/>
          <w:sz w:val="22"/>
        </w:rPr>
        <w:t xml:space="preserve">3) </w:t>
      </w:r>
      <w:r w:rsidRPr="00551AFF">
        <w:rPr>
          <w:rFonts w:ascii="Times New Roman" w:hAnsi="Times New Roman" w:cs="Times New Roman"/>
          <w:sz w:val="22"/>
        </w:rPr>
        <w:t>ანესთეზიის დროს განსაკუთრებული ყურადღება უნდა მიექცეს სასუნთქი გზების მართვას და სუნთქვისა და სისხლის მიმოქცევის მდგომარეობის მონიტორინგს.</w:t>
      </w:r>
    </w:p>
    <w:p w14:paraId="6042506F" w14:textId="77777777" w:rsidR="0007724F" w:rsidRPr="00551AFF" w:rsidRDefault="002D4B3A" w:rsidP="00A20314">
      <w:pPr>
        <w:spacing w:after="0" w:line="276" w:lineRule="auto"/>
        <w:rPr>
          <w:rFonts w:ascii="Times New Roman" w:hAnsi="Times New Roman" w:cs="Times New Roman"/>
          <w:sz w:val="22"/>
        </w:rPr>
      </w:pPr>
      <w:r w:rsidRPr="00551AFF">
        <w:rPr>
          <w:rFonts w:ascii="Times New Roman" w:hAnsi="Times New Roman" w:cs="Times New Roman" w:hint="eastAsia"/>
          <w:sz w:val="22"/>
        </w:rPr>
        <w:t xml:space="preserve">4) </w:t>
      </w:r>
      <w:r w:rsidRPr="00551AFF">
        <w:rPr>
          <w:rFonts w:ascii="Times New Roman" w:hAnsi="Times New Roman" w:cs="Times New Roman"/>
          <w:sz w:val="22"/>
        </w:rPr>
        <w:t>ანესთეზიის სიღრმე უნდა იყოს მინიმალური, რაც საჭიროა ქირურგიული ან დიაგნოსტიკური პროცედურისთვის.</w:t>
      </w:r>
    </w:p>
    <w:p w14:paraId="6B148F75" w14:textId="77777777" w:rsidR="0007724F" w:rsidRPr="00551AFF" w:rsidRDefault="002D4B3A" w:rsidP="00A20314">
      <w:pPr>
        <w:spacing w:after="0" w:line="276" w:lineRule="auto"/>
        <w:rPr>
          <w:rFonts w:ascii="Times New Roman" w:hAnsi="Times New Roman" w:cs="Times New Roman"/>
          <w:sz w:val="22"/>
        </w:rPr>
      </w:pPr>
      <w:r w:rsidRPr="00551AFF">
        <w:rPr>
          <w:rFonts w:ascii="Times New Roman" w:hAnsi="Times New Roman" w:cs="Times New Roman" w:hint="eastAsia"/>
          <w:sz w:val="22"/>
        </w:rPr>
        <w:t xml:space="preserve">5) </w:t>
      </w:r>
      <w:r w:rsidRPr="00551AFF">
        <w:rPr>
          <w:rFonts w:ascii="Times New Roman" w:hAnsi="Times New Roman" w:cs="Times New Roman"/>
          <w:sz w:val="22"/>
        </w:rPr>
        <w:t>ანესთეზიის შენარჩუნების დროს, ამ პრეპარატის კონცენტრაციის დოზადამოკიდებულად გაზრდა ამცირებს არტერიულ წნევას. ჭარბი ჰიპოტენზია შეიძლება დაკავშირებული იყოს ანესთეზიის სიღრმესთან და მისი კორექცია შესაძლებელია ინჰალაციური ანესთეტიკის კონცენტრაციის შემცირებით.</w:t>
      </w:r>
    </w:p>
    <w:p w14:paraId="0ED0733E" w14:textId="77777777" w:rsidR="0007724F" w:rsidRPr="00551AFF" w:rsidRDefault="002D4B3A" w:rsidP="00A20314">
      <w:pPr>
        <w:spacing w:after="0" w:line="276" w:lineRule="auto"/>
        <w:rPr>
          <w:rFonts w:ascii="Times New Roman" w:hAnsi="Times New Roman" w:cs="Times New Roman"/>
          <w:sz w:val="22"/>
        </w:rPr>
      </w:pPr>
      <w:r w:rsidRPr="00551AFF">
        <w:rPr>
          <w:rFonts w:ascii="Times New Roman" w:hAnsi="Times New Roman" w:cs="Times New Roman" w:hint="eastAsia"/>
          <w:sz w:val="22"/>
        </w:rPr>
        <w:t xml:space="preserve">6) </w:t>
      </w:r>
      <w:r w:rsidRPr="00551AFF">
        <w:rPr>
          <w:rFonts w:ascii="Times New Roman" w:hAnsi="Times New Roman" w:cs="Times New Roman"/>
          <w:sz w:val="22"/>
        </w:rPr>
        <w:t>რეანიმაციული პალატიდან გადაყვანამდე, ზოგადი ანესთეზიიდან გამოჯანმრთელება უნდა დადასტურდეს საფუძვლიანი შეფასებით.</w:t>
      </w:r>
    </w:p>
    <w:p w14:paraId="6DE1CF30" w14:textId="77777777" w:rsidR="0007724F" w:rsidRPr="00551AFF" w:rsidRDefault="002D4B3A" w:rsidP="00A20314">
      <w:pPr>
        <w:spacing w:after="0" w:line="276" w:lineRule="auto"/>
        <w:rPr>
          <w:rFonts w:ascii="Times New Roman" w:hAnsi="Times New Roman" w:cs="Times New Roman"/>
          <w:sz w:val="22"/>
        </w:rPr>
      </w:pPr>
      <w:r w:rsidRPr="00551AFF">
        <w:rPr>
          <w:rFonts w:ascii="Times New Roman" w:hAnsi="Times New Roman" w:cs="Times New Roman" w:hint="eastAsia"/>
          <w:sz w:val="22"/>
        </w:rPr>
        <w:t xml:space="preserve">7) </w:t>
      </w:r>
      <w:r w:rsidRPr="00551AFF">
        <w:rPr>
          <w:rFonts w:ascii="Times New Roman" w:hAnsi="Times New Roman" w:cs="Times New Roman"/>
          <w:sz w:val="22"/>
        </w:rPr>
        <w:t>ზოგადი ანესთეზიის შემდეგ შეიძლება განვითარდეს გონებრივი სიფხიზლის მოთხოვნით აქტივობების დროებითი დარღვევა; პაციენტებს უნდა ურჩიონ, რომ გონზე მოსვლის შემდეგ გარკვეული დროის განმავლობაში არ მართონ ავტომობილი ან არ იმუშაონ სახიფათო მექანიზმებთან. ცნობიერება, როგორც წესი, აღდგება მიღებიდან რამდენიმე წუთში, მაგრამ კოგნიტურ ფუნქციაზე ზემოქმედება ანესთეზიიდან ორიდან სამ დღემდე პერიოდში არ არის შესწავლილი. სხვა ანესთეტიკების მსგავსად, მსუბუქი ემოციური ცვლილებები შეიძლება გაგრძელდეს მიღებიდან რამდენიმე დღის განმავლობაში.</w:t>
      </w:r>
    </w:p>
    <w:p w14:paraId="0AD65116" w14:textId="77777777" w:rsidR="0007724F" w:rsidRPr="00551AFF" w:rsidRDefault="002D4B3A" w:rsidP="00A20314">
      <w:pPr>
        <w:spacing w:after="0" w:line="276" w:lineRule="auto"/>
        <w:rPr>
          <w:rFonts w:ascii="Times New Roman" w:hAnsi="Times New Roman" w:cs="Times New Roman"/>
          <w:sz w:val="22"/>
        </w:rPr>
      </w:pPr>
      <w:r w:rsidRPr="00551AFF">
        <w:rPr>
          <w:rFonts w:ascii="Times New Roman" w:hAnsi="Times New Roman" w:cs="Times New Roman" w:hint="eastAsia"/>
          <w:sz w:val="22"/>
        </w:rPr>
        <w:t xml:space="preserve">8) </w:t>
      </w:r>
      <w:r w:rsidRPr="00551AFF">
        <w:rPr>
          <w:rFonts w:ascii="Times New Roman" w:hAnsi="Times New Roman" w:cs="Times New Roman"/>
          <w:sz w:val="22"/>
        </w:rPr>
        <w:t xml:space="preserve">ჰალოგენირებულ ანესთეტიკებს შეუძლიათ ნახშირორჟანგის გამომშრალ შთამნთქმელებთან რეაქციის შედეგად წარმოქმნან ნახშირორჟანგი, რაც პოტენციურად ზრდის </w:t>
      </w:r>
      <w:r w:rsidRPr="00551AFF">
        <w:rPr>
          <w:rFonts w:ascii="Times New Roman" w:hAnsi="Times New Roman" w:cs="Times New Roman"/>
          <w:sz w:val="22"/>
        </w:rPr>
        <w:lastRenderedPageBreak/>
        <w:t>კარბოქსიჰემოგლობინის დონეს ზოგიერთ პაციენტში. მიუხედავად იმისა, რომ ამ პრეპარატის შესახებ ასეთი ცნობები არ არსებობს, რისკის მინიმიზაციის მიზნით, ნახშირორჟანგის შთამნთქმელი უნდა შეიცვალოს გამომშრალობის ეჭვის შემთხვევაში, ამ პრეპარატის გამოყენებამდე (ყურადღებით დაიცავით შთამნთქმელის მწარმოებლის ინსტრუქციები).</w:t>
      </w:r>
    </w:p>
    <w:p w14:paraId="5AF17B27" w14:textId="77777777" w:rsidR="00113926" w:rsidRDefault="00113926" w:rsidP="00A20314">
      <w:pPr>
        <w:spacing w:after="0" w:line="276" w:lineRule="auto"/>
        <w:rPr>
          <w:rFonts w:ascii="Times New Roman" w:hAnsi="Times New Roman" w:cs="Times New Roman"/>
          <w:sz w:val="22"/>
        </w:rPr>
      </w:pPr>
    </w:p>
    <w:p w14:paraId="7D0E6FEA" w14:textId="77777777" w:rsidR="0007724F" w:rsidRPr="00551AFF" w:rsidRDefault="002D4B3A" w:rsidP="00A20314">
      <w:pPr>
        <w:spacing w:after="0" w:line="276" w:lineRule="auto"/>
        <w:rPr>
          <w:rFonts w:ascii="Times New Roman" w:hAnsi="Times New Roman" w:cs="Times New Roman"/>
          <w:sz w:val="22"/>
        </w:rPr>
      </w:pPr>
      <w:r w:rsidRPr="00551AFF">
        <w:rPr>
          <w:rFonts w:ascii="Times New Roman" w:hAnsi="Times New Roman" w:cs="Times New Roman" w:hint="eastAsia"/>
          <w:sz w:val="22"/>
        </w:rPr>
        <w:t xml:space="preserve">* </w:t>
      </w:r>
      <w:r w:rsidRPr="00551AFF">
        <w:rPr>
          <w:rFonts w:ascii="Times New Roman" w:hAnsi="Times New Roman" w:cs="Times New Roman"/>
          <w:sz w:val="22"/>
        </w:rPr>
        <w:t xml:space="preserve">გამომშრალი ნახშირორჟანგის აბსორბენტის (CO2 აბსორბენტი) ჩანაცვლება </w:t>
      </w:r>
      <w:r w:rsidR="0007724F" w:rsidRPr="00551AFF">
        <w:rPr>
          <w:rFonts w:ascii="Times New Roman" w:hAnsi="Times New Roman" w:cs="Times New Roman"/>
          <w:sz w:val="22"/>
          <w:vertAlign w:val="subscript"/>
        </w:rPr>
        <w:t xml:space="preserve">: </w:t>
      </w:r>
      <w:r w:rsidR="0007724F" w:rsidRPr="00551AFF">
        <w:rPr>
          <w:rFonts w:ascii="Times New Roman" w:hAnsi="Times New Roman" w:cs="Times New Roman"/>
          <w:sz w:val="22"/>
        </w:rPr>
        <w:t xml:space="preserve">ამ პრეპარატის გამომშრალ CO2 აბსორბენტთან, განსაკუთრებით კალიუმის ჰიდროქსიდის შემცველ პრეპარატებთან (მაგ., ბარალიმი) კომბინაციაში გამოყენებისას </w:t>
      </w:r>
      <w:r w:rsidRPr="00551AFF">
        <w:rPr>
          <w:rFonts w:ascii="Times New Roman" w:hAnsi="Times New Roman" w:cs="Times New Roman"/>
          <w:sz w:val="22"/>
          <w:vertAlign w:val="subscript"/>
        </w:rPr>
        <w:t xml:space="preserve">, </w:t>
      </w:r>
      <w:r w:rsidR="0007724F" w:rsidRPr="00551AFF">
        <w:rPr>
          <w:rFonts w:ascii="Times New Roman" w:hAnsi="Times New Roman" w:cs="Times New Roman"/>
          <w:sz w:val="22"/>
        </w:rPr>
        <w:t>ანესთეზიის აპარატებში გადახურების, კვამლის და/ან სპონტანური ანთების შემთხვევები იშვიათად აღინიშნა. ამ პრეპარატის ჩასუნთქული კონცენტრაციის მოულოდნელი დაგვიანება ვაპორიზატორის პარამეტრებთან შედარებით შეიძლება დაკავშირებული იყოს CO2 აბსორბენტის ბალონის გადახურებასთან.</w:t>
      </w:r>
    </w:p>
    <w:p w14:paraId="2DE861AA" w14:textId="77777777" w:rsidR="0007724F" w:rsidRPr="00551AFF" w:rsidRDefault="0007724F" w:rsidP="00A20314">
      <w:pPr>
        <w:spacing w:after="0" w:line="276" w:lineRule="auto"/>
        <w:rPr>
          <w:rFonts w:ascii="Times New Roman" w:hAnsi="Times New Roman" w:cs="Times New Roman"/>
          <w:sz w:val="22"/>
        </w:rPr>
      </w:pPr>
      <w:r w:rsidRPr="00551AFF">
        <w:rPr>
          <w:rFonts w:ascii="Times New Roman" w:hAnsi="Times New Roman" w:cs="Times New Roman"/>
          <w:sz w:val="22"/>
        </w:rPr>
        <w:t xml:space="preserve">ექსპერიმენტულ ანესთეზიურ წრეებში დაფიქსირდა თერმული რეაქციები, ამ პრეპარატის გაძლიერებული დაშლა და დაშლის პროდუქტების (მეთანოლი, ფორმალდეჰიდი, ნახშირბადის მონოქსიდი და ნაერთები A, B, C და D) წარმოქმნა, ამ პრეპარატის მაქსიმალური კონცენტრაციით (8%) ხანგრძლივი ზემოქმედების (2 საათზე მეტი) შემდეგ, გამშრალი CO2 აბსორბენტების გავლით </w:t>
      </w:r>
      <w:r w:rsidR="002D4B3A" w:rsidRPr="00551AFF">
        <w:rPr>
          <w:rFonts w:ascii="Times New Roman" w:hAnsi="Times New Roman" w:cs="Times New Roman"/>
          <w:sz w:val="22"/>
          <w:vertAlign w:val="subscript"/>
        </w:rPr>
        <w:t xml:space="preserve">. </w:t>
      </w:r>
      <w:r w:rsidRPr="00551AFF">
        <w:rPr>
          <w:rFonts w:ascii="Times New Roman" w:hAnsi="Times New Roman" w:cs="Times New Roman"/>
          <w:sz w:val="22"/>
        </w:rPr>
        <w:t>ცნობილია, რომ ანესთეზიურ წრეებში ნატრიუმის ჰიდროქსიდის აბსორბენტების დროს დაფიქსირებული ფორმალდეჰიდის დონე იწვევს სასუნთქი გზების მსუბუქ გაღიზიანებას. ასეთ ექსტრემალურ ექსპერიმენტულ პირობებში დაფიქსირებული ამ დაშლის პროდუქტების კლინიკური მნიშვნელობა უცნობია.</w:t>
      </w:r>
    </w:p>
    <w:p w14:paraId="46F781C3" w14:textId="77777777" w:rsidR="0007724F" w:rsidRPr="00551AFF" w:rsidRDefault="002D4B3A" w:rsidP="00A20314">
      <w:pPr>
        <w:spacing w:after="0" w:line="276" w:lineRule="auto"/>
        <w:rPr>
          <w:rFonts w:ascii="Times New Roman" w:hAnsi="Times New Roman" w:cs="Times New Roman"/>
          <w:sz w:val="22"/>
        </w:rPr>
      </w:pPr>
      <w:r w:rsidRPr="00551AFF">
        <w:rPr>
          <w:rFonts w:ascii="Times New Roman" w:hAnsi="Times New Roman" w:cs="Times New Roman"/>
          <w:sz w:val="22"/>
          <w:vertAlign w:val="subscript"/>
        </w:rPr>
        <w:t xml:space="preserve">CO2 შთამნთქმელის </w:t>
      </w:r>
      <w:r w:rsidR="0007724F" w:rsidRPr="00551AFF">
        <w:rPr>
          <w:rFonts w:ascii="Times New Roman" w:hAnsi="Times New Roman" w:cs="Times New Roman"/>
          <w:sz w:val="22"/>
        </w:rPr>
        <w:t xml:space="preserve">გამოშრობაზე ეჭვი არსებობს, ამ პრეპარატის მიღებამდე ის უნდა შეიცვალოს. ვინაიდან CO2 შთამნთქმელების უმეტესობის ფერის ინდიკატორები </w:t>
      </w:r>
      <w:r w:rsidRPr="00551AFF">
        <w:rPr>
          <w:rFonts w:ascii="Times New Roman" w:hAnsi="Times New Roman" w:cs="Times New Roman"/>
          <w:sz w:val="22"/>
          <w:vertAlign w:val="subscript"/>
        </w:rPr>
        <w:t xml:space="preserve">გამოშრობის </w:t>
      </w:r>
      <w:r w:rsidR="0007724F" w:rsidRPr="00551AFF">
        <w:rPr>
          <w:rFonts w:ascii="Times New Roman" w:hAnsi="Times New Roman" w:cs="Times New Roman"/>
          <w:sz w:val="22"/>
        </w:rPr>
        <w:t xml:space="preserve">შემდეგ ყოველთვის მნიშვნელოვნად არ იცვლება, ფერის მკვეთრი ცვლილების არარსებობა არ უნდა იქნას განმარტებული, როგორც ადეკვატური ჰიდრატაცია. CO2 შთამნთქმელების რეგულარული შეცვლა </w:t>
      </w:r>
      <w:r w:rsidRPr="00551AFF">
        <w:rPr>
          <w:rFonts w:ascii="Times New Roman" w:hAnsi="Times New Roman" w:cs="Times New Roman"/>
          <w:sz w:val="22"/>
          <w:vertAlign w:val="subscript"/>
        </w:rPr>
        <w:t xml:space="preserve">რეკომენდებულია </w:t>
      </w:r>
      <w:r w:rsidR="0007724F" w:rsidRPr="00551AFF">
        <w:rPr>
          <w:rFonts w:ascii="Times New Roman" w:hAnsi="Times New Roman" w:cs="Times New Roman"/>
          <w:sz w:val="22"/>
        </w:rPr>
        <w:t>ფერის ინდიკატორის სტატუსის მიუხედავად.</w:t>
      </w:r>
    </w:p>
    <w:p w14:paraId="2039E8DD" w14:textId="77777777" w:rsidR="0007724F" w:rsidRPr="00551AFF" w:rsidRDefault="002D4B3A" w:rsidP="00A20314">
      <w:pPr>
        <w:spacing w:after="0" w:line="276" w:lineRule="auto"/>
        <w:rPr>
          <w:rFonts w:ascii="Times New Roman" w:hAnsi="Times New Roman" w:cs="Times New Roman"/>
          <w:sz w:val="22"/>
        </w:rPr>
      </w:pPr>
      <w:r w:rsidRPr="00551AFF">
        <w:rPr>
          <w:rFonts w:ascii="Times New Roman" w:hAnsi="Times New Roman" w:cs="Times New Roman" w:hint="eastAsia"/>
          <w:sz w:val="22"/>
        </w:rPr>
        <w:t xml:space="preserve">9) </w:t>
      </w:r>
      <w:r w:rsidRPr="00551AFF">
        <w:rPr>
          <w:rFonts w:ascii="Times New Roman" w:hAnsi="Times New Roman" w:cs="Times New Roman"/>
          <w:sz w:val="22"/>
        </w:rPr>
        <w:t>გულის იშემიური დაავადების მქონე პაციენტებში მნიშვნელოვანია ჰემოდინამიკური სტაბილურობის შენარჩუნება მიოკარდიუმის იშემიის თავიდან ასაცილებლად.</w:t>
      </w:r>
    </w:p>
    <w:p w14:paraId="68A723A6" w14:textId="77777777" w:rsidR="0007724F" w:rsidRPr="00551AFF" w:rsidRDefault="002D4B3A" w:rsidP="00A20314">
      <w:pPr>
        <w:spacing w:after="0" w:line="276" w:lineRule="auto"/>
        <w:rPr>
          <w:rFonts w:ascii="Times New Roman" w:hAnsi="Times New Roman" w:cs="Times New Roman"/>
          <w:sz w:val="22"/>
        </w:rPr>
      </w:pPr>
      <w:r w:rsidRPr="00551AFF">
        <w:rPr>
          <w:rFonts w:ascii="Times New Roman" w:hAnsi="Times New Roman" w:cs="Times New Roman" w:hint="eastAsia"/>
          <w:sz w:val="22"/>
        </w:rPr>
        <w:t xml:space="preserve">10) </w:t>
      </w:r>
      <w:r w:rsidRPr="00551AFF">
        <w:rPr>
          <w:rFonts w:ascii="Times New Roman" w:hAnsi="Times New Roman" w:cs="Times New Roman"/>
          <w:sz w:val="22"/>
        </w:rPr>
        <w:t>ნეიროქირურგია: ამ პრეპარატის დანიშვნისას ქალასშიდა წნევის მომატების რისკის მქონე პაციენტებში, ის სიფრთხილით უნდა იქნას გამოყენებული ქალასშიდა წნევის დამწევ ზომებთან ერთად, როგორიცაა ჰიპერვენტილაცია.</w:t>
      </w:r>
    </w:p>
    <w:p w14:paraId="6F0F8E70" w14:textId="77777777" w:rsidR="0007724F" w:rsidRPr="00551AFF" w:rsidRDefault="002D4B3A" w:rsidP="00A20314">
      <w:pPr>
        <w:spacing w:after="0" w:line="276" w:lineRule="auto"/>
        <w:rPr>
          <w:rFonts w:ascii="Times New Roman" w:hAnsi="Times New Roman" w:cs="Times New Roman"/>
          <w:sz w:val="22"/>
        </w:rPr>
      </w:pPr>
      <w:r w:rsidRPr="00551AFF">
        <w:rPr>
          <w:rFonts w:ascii="Times New Roman" w:hAnsi="Times New Roman" w:cs="Times New Roman" w:hint="eastAsia"/>
          <w:sz w:val="22"/>
        </w:rPr>
        <w:t xml:space="preserve">11) </w:t>
      </w:r>
      <w:r w:rsidRPr="00551AFF">
        <w:rPr>
          <w:rFonts w:ascii="Times New Roman" w:hAnsi="Times New Roman" w:cs="Times New Roman"/>
          <w:sz w:val="22"/>
        </w:rPr>
        <w:t>კრუნჩხვები: ამ პრეპარატის გამოყენებასთან დაკავშირებული კრუნჩხვები იშვიათად აღინიშნა, ძირითადად პაციენტებში 2 თვის ჩვილებიდან დაწყებული ახალგაზრდა მოზრდილებით დამთავრებული, უმეტესობას არ აღენიშნებოდა წინასწარი რისკ-ფაქტორები. კრუნჩხვების რისკის მქონე პაციენტებში ამ პრეპარატის გამოყენებისას საჭიროა კლინიკური შეფასება.</w:t>
      </w:r>
    </w:p>
    <w:p w14:paraId="42D8578C" w14:textId="77777777" w:rsidR="0007724F" w:rsidRPr="00551AFF" w:rsidRDefault="002D4B3A" w:rsidP="00A20314">
      <w:pPr>
        <w:spacing w:after="0" w:line="276" w:lineRule="auto"/>
        <w:rPr>
          <w:rFonts w:ascii="Times New Roman" w:hAnsi="Times New Roman" w:cs="Times New Roman"/>
          <w:sz w:val="22"/>
        </w:rPr>
      </w:pPr>
      <w:r w:rsidRPr="00551AFF">
        <w:rPr>
          <w:rFonts w:ascii="Times New Roman" w:hAnsi="Times New Roman" w:cs="Times New Roman" w:hint="eastAsia"/>
          <w:sz w:val="22"/>
        </w:rPr>
        <w:t xml:space="preserve">12) </w:t>
      </w:r>
      <w:r w:rsidRPr="00551AFF">
        <w:rPr>
          <w:rFonts w:ascii="Times New Roman" w:hAnsi="Times New Roman" w:cs="Times New Roman"/>
          <w:sz w:val="22"/>
        </w:rPr>
        <w:t>ბრადიკარდია დაუნის სინდრომის დროს: დაუნის სინდრომის მქონე პედიატრიულ პაციენტებში ამ პრეპარატით ინდუქციის დროს, გულის თანდაყოლილი დაავადების სტატუსის მიუხედავად, აღწერილია მძიმე ბრადიკარდია და გულის გაჩერება. ბრადიკარდია უმეტეს შემთხვევაში გაუმჯობესდა პრეპარატის კონცენტრაციის შემცირებით, სასუნთქი გზების მანიპულირებით ან ანტიქოლინერგული საშუალებების ან ეპინეფრინის მიღებით. ინდუქციის დროს გულისცემის სიხშირე უნდა იყოს მჭიდროდ მონიტორინგი და რეკომენდებულია კონცენტრაციის თანდათანობითი გაზრდა, სანამ არ მიიღწევა ანესთეზიის ადეკვატური სიღრმე. პაციენტთა ამ ჯგუფში ამ პრეპარატის შეყვანისას რეკომენდებულია ანტიქოლინერგული საშუალებების და ეპინეფრინის ხელმისაწვდომობა.</w:t>
      </w:r>
    </w:p>
    <w:p w14:paraId="00A36F41" w14:textId="77777777" w:rsidR="0007724F" w:rsidRPr="00551AFF" w:rsidRDefault="0007724F" w:rsidP="00A20314">
      <w:pPr>
        <w:spacing w:after="0" w:line="276" w:lineRule="auto"/>
        <w:rPr>
          <w:rFonts w:ascii="Times New Roman" w:hAnsi="Times New Roman" w:cs="Times New Roman"/>
          <w:sz w:val="22"/>
        </w:rPr>
      </w:pPr>
    </w:p>
    <w:p w14:paraId="18EFB87A" w14:textId="77777777" w:rsidR="0007724F" w:rsidRPr="00D17AAB" w:rsidRDefault="002D4B3A" w:rsidP="00A20314">
      <w:pPr>
        <w:spacing w:after="0" w:line="276" w:lineRule="auto"/>
        <w:rPr>
          <w:rFonts w:ascii="Times New Roman" w:hAnsi="Times New Roman" w:cs="Times New Roman"/>
          <w:b/>
          <w:sz w:val="22"/>
        </w:rPr>
      </w:pPr>
      <w:r w:rsidRPr="00D17AAB">
        <w:rPr>
          <w:rFonts w:ascii="Times New Roman" w:hAnsi="Times New Roman" w:cs="Times New Roman" w:hint="eastAsia"/>
          <w:b/>
          <w:sz w:val="22"/>
        </w:rPr>
        <w:t xml:space="preserve">6. </w:t>
      </w:r>
      <w:r w:rsidRPr="00D17AAB">
        <w:rPr>
          <w:rFonts w:ascii="Times New Roman" w:hAnsi="Times New Roman" w:cs="Times New Roman"/>
          <w:b/>
          <w:sz w:val="22"/>
        </w:rPr>
        <w:t>ურთიერთქმედებები</w:t>
      </w:r>
    </w:p>
    <w:p w14:paraId="3F84EC13" w14:textId="77777777" w:rsidR="0007724F" w:rsidRPr="00551AFF" w:rsidRDefault="002D4B3A" w:rsidP="00A20314">
      <w:pPr>
        <w:spacing w:after="0" w:line="276" w:lineRule="auto"/>
        <w:rPr>
          <w:rFonts w:ascii="Times New Roman" w:hAnsi="Times New Roman" w:cs="Times New Roman"/>
          <w:sz w:val="22"/>
        </w:rPr>
      </w:pPr>
      <w:r w:rsidRPr="00551AFF">
        <w:rPr>
          <w:rFonts w:ascii="Times New Roman" w:hAnsi="Times New Roman" w:cs="Times New Roman" w:hint="eastAsia"/>
          <w:sz w:val="22"/>
        </w:rPr>
        <w:t xml:space="preserve">1) </w:t>
      </w:r>
      <w:r w:rsidRPr="00551AFF">
        <w:rPr>
          <w:rFonts w:ascii="Times New Roman" w:hAnsi="Times New Roman" w:cs="Times New Roman"/>
          <w:sz w:val="22"/>
        </w:rPr>
        <w:t xml:space="preserve">ამ პრეპარატით ანესთეზიის დროს ეპინეფრინის ან ნორეპინეფრინის შეყვანამ შეიძლება გამოიწვიოს არითმიები. </w:t>
      </w:r>
      <w:r w:rsidR="0007724F" w:rsidRPr="00551AFF">
        <w:rPr>
          <w:rFonts w:ascii="Times New Roman" w:hAnsi="Times New Roman" w:cs="Times New Roman"/>
          <w:sz w:val="22"/>
        </w:rPr>
        <w:t>ამ პრეპარატით ანესთეზიის დროს 5 მკგ /კგ-ზე ნაკლები ეპინეფრინის სუბმუკოზური ინექცია ზოგიერთ შემთხვევაში იწვევდა პარკუჭების ნაადრევ შეკუმშვებს (≥3-ჯერ); შემთხვევათა ერთ მესამედში 5–14.9 მკგ /კგ-მა გამოიწვია ასეთი არითმიები . თუმცა, 80 პაციენტში, რომლებიც ამ პრეპარატით ანესთეზიის დროს იღებდნენ ეპინეფრინის საშუალო დოზას 0.76 მკგ /კგ , არითმიები არ დაფიქსირებულა .</w:t>
      </w:r>
    </w:p>
    <w:p w14:paraId="69616C61" w14:textId="77777777" w:rsidR="0007724F" w:rsidRPr="00551AFF" w:rsidRDefault="002D4B3A" w:rsidP="00A20314">
      <w:pPr>
        <w:spacing w:after="0" w:line="276" w:lineRule="auto"/>
        <w:rPr>
          <w:rFonts w:ascii="Times New Roman" w:hAnsi="Times New Roman" w:cs="Times New Roman"/>
          <w:sz w:val="22"/>
        </w:rPr>
      </w:pPr>
      <w:r w:rsidRPr="00551AFF">
        <w:rPr>
          <w:rFonts w:ascii="Times New Roman" w:hAnsi="Times New Roman" w:cs="Times New Roman" w:hint="eastAsia"/>
          <w:sz w:val="22"/>
        </w:rPr>
        <w:t xml:space="preserve">2) </w:t>
      </w:r>
      <w:r w:rsidRPr="00551AFF">
        <w:rPr>
          <w:rFonts w:ascii="Times New Roman" w:hAnsi="Times New Roman" w:cs="Times New Roman"/>
          <w:sz w:val="22"/>
        </w:rPr>
        <w:t xml:space="preserve">ნეირომუსკულური ბლოკატორები: ეს პრეპარატი აძლიერებს არადეპოლარიზებადი ნეირომუსკულური ბლოკატორების ( </w:t>
      </w:r>
      <w:r w:rsidR="0007724F" w:rsidRPr="00551AFF">
        <w:rPr>
          <w:rFonts w:ascii="Times New Roman" w:hAnsi="Times New Roman" w:cs="Times New Roman"/>
          <w:sz w:val="22"/>
        </w:rPr>
        <w:t xml:space="preserve">პანკურონიუმი , ვეკურონიუმი, ატრაკურიუმი და ა.შ.) ინტენსივობას და ხანგრძლივობას; ამ პრეპარატების დოზები უნდა შემცირდეს მათი ერთდროული მიღებისას. როდესაც ეს პრეპარატი გამოიყენება ალფენტანილ-აზოტის ოქსიდის (N </w:t>
      </w:r>
      <w:r w:rsidR="00E42CB6" w:rsidRPr="00E42CB6">
        <w:rPr>
          <w:rFonts w:ascii="Times New Roman" w:hAnsi="Times New Roman" w:cs="Times New Roman"/>
          <w:sz w:val="22"/>
          <w:vertAlign w:val="subscript"/>
        </w:rPr>
        <w:t xml:space="preserve">2 O) ანესთეზიასთან ერთად, ის აძლიერებს </w:t>
      </w:r>
      <w:r w:rsidR="0007724F" w:rsidRPr="00551AFF">
        <w:rPr>
          <w:rFonts w:ascii="Times New Roman" w:hAnsi="Times New Roman" w:cs="Times New Roman"/>
          <w:sz w:val="22"/>
        </w:rPr>
        <w:t xml:space="preserve">პანკურონიუმის , ვეკურონიუმის ან ატრაკურიუმის </w:t>
      </w:r>
      <w:r w:rsidR="00E42CB6">
        <w:rPr>
          <w:rFonts w:ascii="Times New Roman" w:hAnsi="Times New Roman" w:cs="Times New Roman"/>
          <w:sz w:val="22"/>
        </w:rPr>
        <w:t xml:space="preserve">ნეირომუსკულურ ბლოკადას </w:t>
      </w:r>
      <w:r w:rsidR="0007724F" w:rsidRPr="00551AFF">
        <w:rPr>
          <w:rFonts w:ascii="Times New Roman" w:hAnsi="Times New Roman" w:cs="Times New Roman"/>
          <w:sz w:val="22"/>
        </w:rPr>
        <w:t>. როდესაც ეს ნეირომუსკულური ბლოკატორები მიიღება ამ პრეპარატთან ერთად, აუცილებელია კუნთების რელაქსანტის დოზის კორექცია (იზოფლურანის მსგავსად). სუქცინილქოლინის ხანგრძლივობაზე გავლენა არ არის შესწავლილი.</w:t>
      </w:r>
    </w:p>
    <w:p w14:paraId="5987B4BB" w14:textId="77777777" w:rsidR="0007724F" w:rsidRPr="00551AFF" w:rsidRDefault="0007724F" w:rsidP="00A20314">
      <w:pPr>
        <w:spacing w:after="0" w:line="276" w:lineRule="auto"/>
        <w:rPr>
          <w:rFonts w:ascii="Times New Roman" w:hAnsi="Times New Roman" w:cs="Times New Roman"/>
          <w:sz w:val="22"/>
        </w:rPr>
      </w:pPr>
      <w:r w:rsidRPr="00551AFF">
        <w:rPr>
          <w:rFonts w:ascii="Times New Roman" w:hAnsi="Times New Roman" w:cs="Times New Roman"/>
          <w:sz w:val="22"/>
        </w:rPr>
        <w:t>პოტენცირება ვლინდება მიღებიდან რამდენიმე წუთში, ამიტომ ინდუქციის დროს დოზის შემცირებამ შეიძლება შეაფერხოს ინტუბაციისთვის ოპტიმალური პირობების მიღწევა ან გამოიწვიოს კუნთების არასაკმარისი რელაქსაცია.</w:t>
      </w:r>
    </w:p>
    <w:p w14:paraId="462D4E90" w14:textId="77777777" w:rsidR="0007724F" w:rsidRPr="00551AFF" w:rsidRDefault="0007724F" w:rsidP="00A20314">
      <w:pPr>
        <w:spacing w:after="0" w:line="276" w:lineRule="auto"/>
        <w:rPr>
          <w:rFonts w:ascii="Times New Roman" w:hAnsi="Times New Roman" w:cs="Times New Roman"/>
          <w:sz w:val="22"/>
        </w:rPr>
      </w:pPr>
      <w:r w:rsidRPr="00551AFF">
        <w:rPr>
          <w:rFonts w:ascii="Times New Roman" w:hAnsi="Times New Roman" w:cs="Times New Roman"/>
          <w:sz w:val="22"/>
        </w:rPr>
        <w:t>არადეპოლარიზებადი აგენტების (ვეკურონიუმი, პანკურონიუმი , ატრაკურიუმი) შემთხვევაში, თუ კონკრეტული მითითებები არ არსებობს: (1) ინტუბაციისთვის დოზები არ შეამციროთ; (2) დოზები შეიძლება შემცირდეს შემანარჩუნებელი თერაპიის დროს აზოტის ოქსიდის/ოპიოიდური ანესთეზიის დროს გამოყენებულ დოზებთან შედარებით. დამატებითი დოზები უნდა დარეგულირდეს ნერვული სტიმულაციის რეაქციების მიხედვით.</w:t>
      </w:r>
    </w:p>
    <w:p w14:paraId="532BC1FA" w14:textId="77777777" w:rsidR="0007724F" w:rsidRPr="00551AFF" w:rsidRDefault="002D4B3A" w:rsidP="00A20314">
      <w:pPr>
        <w:spacing w:after="0" w:line="276" w:lineRule="auto"/>
        <w:rPr>
          <w:rFonts w:ascii="Times New Roman" w:hAnsi="Times New Roman" w:cs="Times New Roman"/>
          <w:sz w:val="22"/>
        </w:rPr>
      </w:pPr>
      <w:r w:rsidRPr="00551AFF">
        <w:rPr>
          <w:rFonts w:ascii="Times New Roman" w:hAnsi="Times New Roman" w:cs="Times New Roman" w:hint="eastAsia"/>
          <w:sz w:val="22"/>
        </w:rPr>
        <w:t xml:space="preserve">3) </w:t>
      </w:r>
      <w:r w:rsidRPr="00551AFF">
        <w:rPr>
          <w:rFonts w:ascii="Times New Roman" w:hAnsi="Times New Roman" w:cs="Times New Roman"/>
          <w:sz w:val="22"/>
        </w:rPr>
        <w:t>არასელექციური MAO ინჰიბიტორები: ინტრაოპერაციული კრიზისების პოტენციური განვითარების გამო, ოპერაციამდე 2 კვირით ადრე შეწყვიტეთ არასელექციური MAO ინჰიბიტორების მიღება.</w:t>
      </w:r>
    </w:p>
    <w:p w14:paraId="50BD8197" w14:textId="77777777" w:rsidR="0007724F" w:rsidRPr="00551AFF" w:rsidRDefault="002D4B3A" w:rsidP="00A20314">
      <w:pPr>
        <w:spacing w:after="0" w:line="276" w:lineRule="auto"/>
        <w:rPr>
          <w:rFonts w:ascii="Times New Roman" w:hAnsi="Times New Roman" w:cs="Times New Roman"/>
          <w:sz w:val="22"/>
        </w:rPr>
      </w:pPr>
      <w:r w:rsidRPr="00551AFF">
        <w:rPr>
          <w:rFonts w:ascii="Times New Roman" w:hAnsi="Times New Roman" w:cs="Times New Roman" w:hint="eastAsia"/>
          <w:sz w:val="22"/>
        </w:rPr>
        <w:t xml:space="preserve">4) </w:t>
      </w:r>
      <w:r w:rsidRPr="00551AFF">
        <w:rPr>
          <w:rFonts w:ascii="Times New Roman" w:hAnsi="Times New Roman" w:cs="Times New Roman"/>
          <w:sz w:val="22"/>
        </w:rPr>
        <w:t>აზოტის ოქსიდი: სხვა ჰალოგენირებული ინჰალაციური ანესთეტიკების მსგავსად, აზოტის ოქსიდთან ერთად მიღება ამ პრეპარატის მინიმალურ ალვეოლურ კონცენტრაციას (MAC) დაახლოებით 50%-ით ამცირებს მოზრდილებში და 25%-ით ბავშვებში.</w:t>
      </w:r>
    </w:p>
    <w:p w14:paraId="11215BAB" w14:textId="77777777" w:rsidR="0007724F" w:rsidRPr="00551AFF" w:rsidRDefault="002D4B3A" w:rsidP="00A20314">
      <w:pPr>
        <w:spacing w:after="0" w:line="276" w:lineRule="auto"/>
        <w:rPr>
          <w:rFonts w:ascii="Times New Roman" w:hAnsi="Times New Roman" w:cs="Times New Roman"/>
          <w:sz w:val="22"/>
        </w:rPr>
      </w:pPr>
      <w:r w:rsidRPr="00551AFF">
        <w:rPr>
          <w:rFonts w:ascii="Times New Roman" w:hAnsi="Times New Roman" w:cs="Times New Roman" w:hint="eastAsia"/>
          <w:sz w:val="22"/>
        </w:rPr>
        <w:t xml:space="preserve">5) </w:t>
      </w:r>
      <w:r w:rsidRPr="00551AFF">
        <w:rPr>
          <w:rFonts w:ascii="Times New Roman" w:hAnsi="Times New Roman" w:cs="Times New Roman"/>
          <w:sz w:val="22"/>
        </w:rPr>
        <w:t>ბეტა-ადრენერგული სტიმულატორები, როგორიცაა იზოპროტერენოლი და ალფა/ბეტა აგონისტები, როგორიცაა ადრენალინი და ნორადრენალინი, შეიძლება ზრდიდნენ პარკუჭოვანი არითმიების რისკს ამ პრეპარატით ანესთეზიის დროს; საჭიროა სიფრთხილე.</w:t>
      </w:r>
    </w:p>
    <w:p w14:paraId="47C6727B" w14:textId="77777777" w:rsidR="0007724F" w:rsidRPr="00551AFF" w:rsidRDefault="002D4B3A" w:rsidP="00A20314">
      <w:pPr>
        <w:spacing w:after="0" w:line="276" w:lineRule="auto"/>
        <w:rPr>
          <w:rFonts w:ascii="Times New Roman" w:hAnsi="Times New Roman" w:cs="Times New Roman"/>
          <w:sz w:val="22"/>
        </w:rPr>
      </w:pPr>
      <w:r w:rsidRPr="00551AFF">
        <w:rPr>
          <w:rFonts w:ascii="Times New Roman" w:hAnsi="Times New Roman" w:cs="Times New Roman" w:hint="eastAsia"/>
          <w:sz w:val="22"/>
        </w:rPr>
        <w:t xml:space="preserve">6) </w:t>
      </w:r>
      <w:r w:rsidRPr="00551AFF">
        <w:rPr>
          <w:rFonts w:ascii="Times New Roman" w:hAnsi="Times New Roman" w:cs="Times New Roman"/>
          <w:sz w:val="22"/>
        </w:rPr>
        <w:t>კალციუმის არხების ბლოკატორებმა, განსაკუთრებით დიჰიდროპირიდინის წარმოებულებმა, შეიძლება გამოიწვიონ გამოხატული ჰიპოტენზია ამ პრეპარატის მიმღებ პაციენტებში. ერთდროულმა მიღებამ ასევე შეიძლება გაზარდოს დამატებითი უარყოფითი ინოტროპული ეფექტების რისკი.</w:t>
      </w:r>
    </w:p>
    <w:p w14:paraId="2322BDD7" w14:textId="77777777" w:rsidR="0007724F" w:rsidRPr="00551AFF" w:rsidRDefault="002D4B3A" w:rsidP="00A20314">
      <w:pPr>
        <w:spacing w:after="0" w:line="276" w:lineRule="auto"/>
        <w:rPr>
          <w:rFonts w:ascii="Times New Roman" w:hAnsi="Times New Roman" w:cs="Times New Roman"/>
          <w:sz w:val="22"/>
        </w:rPr>
      </w:pPr>
      <w:r w:rsidRPr="00551AFF">
        <w:rPr>
          <w:rFonts w:ascii="Times New Roman" w:hAnsi="Times New Roman" w:cs="Times New Roman" w:hint="eastAsia"/>
          <w:sz w:val="22"/>
        </w:rPr>
        <w:t xml:space="preserve">7) </w:t>
      </w:r>
      <w:r w:rsidRPr="00551AFF">
        <w:rPr>
          <w:rFonts w:ascii="Times New Roman" w:hAnsi="Times New Roman" w:cs="Times New Roman"/>
          <w:sz w:val="22"/>
        </w:rPr>
        <w:t>ინჰალაციური ანესთეტიკებისა და სუქცინილქოლინის კომბინირებული გამოყენება იშვიათად იწვევს შრატის კალიუმის დონის მატებას, რაც ოპერაციის შემდგომ პერიოდში პედიატრიულ პაციენტებში პარკუჭოვანი არითმიების და სიკვდილის მიზეზი ხდება.</w:t>
      </w:r>
    </w:p>
    <w:p w14:paraId="06D99CD4" w14:textId="77777777" w:rsidR="0007724F" w:rsidRPr="00551AFF" w:rsidRDefault="002D4B3A" w:rsidP="00A20314">
      <w:pPr>
        <w:spacing w:after="0" w:line="276" w:lineRule="auto"/>
        <w:rPr>
          <w:rFonts w:ascii="Times New Roman" w:hAnsi="Times New Roman" w:cs="Times New Roman"/>
          <w:sz w:val="22"/>
        </w:rPr>
      </w:pPr>
      <w:r w:rsidRPr="00551AFF">
        <w:rPr>
          <w:rFonts w:ascii="Times New Roman" w:hAnsi="Times New Roman" w:cs="Times New Roman" w:hint="eastAsia"/>
          <w:sz w:val="22"/>
        </w:rPr>
        <w:t xml:space="preserve">8) </w:t>
      </w:r>
      <w:r w:rsidRPr="00551AFF">
        <w:rPr>
          <w:rFonts w:ascii="Times New Roman" w:hAnsi="Times New Roman" w:cs="Times New Roman"/>
          <w:sz w:val="22"/>
        </w:rPr>
        <w:t>ბარბიტურატები ხშირად გამოიყენება ერთდროულად ქირურგიული ჩარევის დროს.</w:t>
      </w:r>
    </w:p>
    <w:p w14:paraId="65621B93" w14:textId="77777777" w:rsidR="0007724F" w:rsidRPr="00551AFF" w:rsidRDefault="002D4B3A" w:rsidP="00A20314">
      <w:pPr>
        <w:spacing w:after="0" w:line="276" w:lineRule="auto"/>
        <w:rPr>
          <w:rFonts w:ascii="Times New Roman" w:hAnsi="Times New Roman" w:cs="Times New Roman"/>
          <w:sz w:val="22"/>
        </w:rPr>
      </w:pPr>
      <w:r w:rsidRPr="00551AFF">
        <w:rPr>
          <w:rFonts w:ascii="Times New Roman" w:hAnsi="Times New Roman" w:cs="Times New Roman" w:hint="eastAsia"/>
          <w:sz w:val="22"/>
        </w:rPr>
        <w:t xml:space="preserve">9) </w:t>
      </w:r>
      <w:r w:rsidRPr="00551AFF">
        <w:rPr>
          <w:rFonts w:ascii="Times New Roman" w:hAnsi="Times New Roman" w:cs="Times New Roman"/>
          <w:sz w:val="22"/>
        </w:rPr>
        <w:t>ითვლება, რომ ბენზოდიაზეპინები და ოპიოიდები ამცირებენ ამ პრეპარატის MAC-ს სხვა ინჰალაციური ანესთეტიკების მსგავსად და ხშირად გამოიყენება ერთად ქირურგიული ჩარევის დროს.</w:t>
      </w:r>
    </w:p>
    <w:p w14:paraId="7FC8B6D5" w14:textId="77777777" w:rsidR="0007724F" w:rsidRPr="00551AFF" w:rsidRDefault="002D4B3A" w:rsidP="00A20314">
      <w:pPr>
        <w:spacing w:after="0" w:line="276" w:lineRule="auto"/>
        <w:rPr>
          <w:rFonts w:ascii="Times New Roman" w:hAnsi="Times New Roman" w:cs="Times New Roman"/>
          <w:sz w:val="22"/>
        </w:rPr>
      </w:pPr>
      <w:r w:rsidRPr="00551AFF">
        <w:rPr>
          <w:rFonts w:ascii="Times New Roman" w:hAnsi="Times New Roman" w:cs="Times New Roman" w:hint="eastAsia"/>
          <w:sz w:val="22"/>
        </w:rPr>
        <w:lastRenderedPageBreak/>
        <w:t xml:space="preserve">10) </w:t>
      </w:r>
      <w:r w:rsidRPr="00551AFF">
        <w:rPr>
          <w:rFonts w:ascii="Times New Roman" w:hAnsi="Times New Roman" w:cs="Times New Roman"/>
          <w:sz w:val="22"/>
        </w:rPr>
        <w:t>CYP2E1 ინდუქტორები: ისეთი ნივთიერებები, როგორიცაა იზონიაზიდი ან ალკოჰოლი, რომლებიც იწვევენ CYP2E1-ის ინდუცირებას, ზრდიან ამ პრეპარატის მეტაბოლიზმს, მნიშვნელოვნად ზრდის სისხლში ფტორის დონეს.</w:t>
      </w:r>
    </w:p>
    <w:p w14:paraId="521B00D0" w14:textId="77777777" w:rsidR="0007724F" w:rsidRPr="00551AFF" w:rsidRDefault="0007724F" w:rsidP="00A20314">
      <w:pPr>
        <w:spacing w:after="0" w:line="276" w:lineRule="auto"/>
        <w:rPr>
          <w:rFonts w:ascii="Times New Roman" w:hAnsi="Times New Roman" w:cs="Times New Roman"/>
          <w:sz w:val="22"/>
        </w:rPr>
      </w:pPr>
    </w:p>
    <w:p w14:paraId="70FB1A14" w14:textId="77777777" w:rsidR="0007724F" w:rsidRPr="00D17AAB" w:rsidRDefault="002D4B3A" w:rsidP="00A20314">
      <w:pPr>
        <w:spacing w:after="0" w:line="276" w:lineRule="auto"/>
        <w:rPr>
          <w:rFonts w:ascii="Times New Roman" w:hAnsi="Times New Roman" w:cs="Times New Roman"/>
          <w:b/>
          <w:sz w:val="22"/>
        </w:rPr>
      </w:pPr>
      <w:r w:rsidRPr="00D17AAB">
        <w:rPr>
          <w:rFonts w:ascii="Times New Roman" w:hAnsi="Times New Roman" w:cs="Times New Roman" w:hint="eastAsia"/>
          <w:b/>
          <w:sz w:val="22"/>
        </w:rPr>
        <w:t xml:space="preserve">7. </w:t>
      </w:r>
      <w:r w:rsidRPr="00D17AAB">
        <w:rPr>
          <w:rFonts w:ascii="Times New Roman" w:hAnsi="Times New Roman" w:cs="Times New Roman"/>
          <w:b/>
          <w:sz w:val="22"/>
        </w:rPr>
        <w:t>გამოყენება ორსულობის დროს</w:t>
      </w:r>
    </w:p>
    <w:p w14:paraId="6C246E65" w14:textId="77777777" w:rsidR="0007724F" w:rsidRPr="00551AFF" w:rsidRDefault="002D4B3A" w:rsidP="00A20314">
      <w:pPr>
        <w:spacing w:after="0" w:line="276" w:lineRule="auto"/>
        <w:rPr>
          <w:rFonts w:ascii="Times New Roman" w:hAnsi="Times New Roman" w:cs="Times New Roman"/>
          <w:sz w:val="22"/>
        </w:rPr>
      </w:pPr>
      <w:r w:rsidRPr="00551AFF">
        <w:rPr>
          <w:rFonts w:ascii="Times New Roman" w:hAnsi="Times New Roman" w:cs="Times New Roman" w:hint="eastAsia"/>
          <w:sz w:val="22"/>
        </w:rPr>
        <w:t xml:space="preserve">1) </w:t>
      </w:r>
      <w:r w:rsidRPr="00551AFF">
        <w:rPr>
          <w:rFonts w:ascii="Times New Roman" w:hAnsi="Times New Roman" w:cs="Times New Roman"/>
          <w:sz w:val="22"/>
        </w:rPr>
        <w:t>ორსულ ქალებში ადეკვატური კვლევები არ ჩატარებულა. რადგან ორსულობის დროს უსაფრთხოება დადგენილი არ არის, ორსულობის დროს (3 თვის განმავლობაში) ან შესაძლო ორსულ ქალებში მიღება უნდა მოხდეს მხოლოდ იმ შემთხვევაში, თუ თერაპიული სარგებელი აღემატება რისკებს.</w:t>
      </w:r>
    </w:p>
    <w:p w14:paraId="4CABFFB8" w14:textId="77777777" w:rsidR="0007724F" w:rsidRPr="00551AFF" w:rsidRDefault="002D4B3A" w:rsidP="00A20314">
      <w:pPr>
        <w:spacing w:after="0" w:line="276" w:lineRule="auto"/>
        <w:rPr>
          <w:rFonts w:ascii="Times New Roman" w:hAnsi="Times New Roman" w:cs="Times New Roman"/>
          <w:sz w:val="22"/>
        </w:rPr>
      </w:pPr>
      <w:r w:rsidRPr="00551AFF">
        <w:rPr>
          <w:rFonts w:ascii="Times New Roman" w:hAnsi="Times New Roman" w:cs="Times New Roman" w:hint="eastAsia"/>
          <w:sz w:val="22"/>
        </w:rPr>
        <w:t xml:space="preserve">2) </w:t>
      </w:r>
      <w:r w:rsidRPr="00551AFF">
        <w:rPr>
          <w:rFonts w:ascii="Times New Roman" w:hAnsi="Times New Roman" w:cs="Times New Roman"/>
          <w:sz w:val="22"/>
        </w:rPr>
        <w:t>სხვა ინჰალაციური ანესთეტიკების მსგავსად, ეს პრეპარატი ადუნებს საშვილოსნოს კუნთებს, რაც პოტენციურად ზრდის საშვილოსნოს სისხლდენის რისკს; აუცილებელია ფრთხილად დაკვირვება და სიფრთხილე. მშობიარობის, განსაკუთრებით ვაგინალური მშობიარობის დროს უსაფრთხოება დადგენილი არ არის.</w:t>
      </w:r>
    </w:p>
    <w:p w14:paraId="7D7E0663" w14:textId="77777777" w:rsidR="0007724F" w:rsidRPr="00551AFF" w:rsidRDefault="002D4B3A" w:rsidP="00A20314">
      <w:pPr>
        <w:spacing w:after="0" w:line="276" w:lineRule="auto"/>
        <w:rPr>
          <w:rFonts w:ascii="Times New Roman" w:hAnsi="Times New Roman" w:cs="Times New Roman"/>
          <w:sz w:val="22"/>
        </w:rPr>
      </w:pPr>
      <w:r w:rsidRPr="00551AFF">
        <w:rPr>
          <w:rFonts w:ascii="Times New Roman" w:hAnsi="Times New Roman" w:cs="Times New Roman" w:hint="eastAsia"/>
          <w:sz w:val="22"/>
        </w:rPr>
        <w:t xml:space="preserve">3) </w:t>
      </w:r>
      <w:r w:rsidRPr="00551AFF">
        <w:rPr>
          <w:rFonts w:ascii="Times New Roman" w:hAnsi="Times New Roman" w:cs="Times New Roman"/>
          <w:sz w:val="22"/>
        </w:rPr>
        <w:t>ვირთხებსა და კურდღლებში რეპროდუქციული ტოქსიკურობის კვლევებმა 1 MAC დოზის მიღებისას არ აჩვენა ნაყოფიერების დარღვევის ან ნაყოფის დაზიანების ნიშნები.</w:t>
      </w:r>
    </w:p>
    <w:p w14:paraId="66C80E48" w14:textId="77777777" w:rsidR="0007724F" w:rsidRPr="00551AFF" w:rsidRDefault="002D4B3A" w:rsidP="00A20314">
      <w:pPr>
        <w:spacing w:after="0" w:line="276" w:lineRule="auto"/>
        <w:rPr>
          <w:rFonts w:ascii="Times New Roman" w:hAnsi="Times New Roman" w:cs="Times New Roman"/>
          <w:sz w:val="22"/>
        </w:rPr>
      </w:pPr>
      <w:r w:rsidRPr="00551AFF">
        <w:rPr>
          <w:rFonts w:ascii="Times New Roman" w:hAnsi="Times New Roman" w:cs="Times New Roman" w:hint="eastAsia"/>
          <w:sz w:val="22"/>
        </w:rPr>
        <w:t xml:space="preserve">4) </w:t>
      </w:r>
      <w:r w:rsidRPr="00551AFF">
        <w:rPr>
          <w:rFonts w:ascii="Times New Roman" w:hAnsi="Times New Roman" w:cs="Times New Roman"/>
          <w:sz w:val="22"/>
        </w:rPr>
        <w:t>ცხოველებზე ჩატარებული კვლევები აჩვენებს, რომ ანესთეტიკები და სედატიური საშუალებები, რომლებიც ბლოკავენ NMDA რეცეპტორებს და/ან აძლიერებენ GABA აქტივობას ტვინის აქტიური განვითარების პერიოდებში, ზრდიან ნეირონულ აპოპტოზს და შეიძლება გამოიწვიონ ხანგრძლივი კოგნიტური დეფიციტი 3 საათზე მეტი ხნის განმავლობაში გამოყენების შემთხვევაში. პრიმატებში ადამიანის ორსულობის პირველი ან მეორე ტრიმესტრის შესაბამისი მონაცემები არ არსებობს.</w:t>
      </w:r>
    </w:p>
    <w:p w14:paraId="23D8C5FC" w14:textId="77777777" w:rsidR="0007724F" w:rsidRPr="00551AFF" w:rsidRDefault="0007724F" w:rsidP="00A20314">
      <w:pPr>
        <w:spacing w:after="0" w:line="276" w:lineRule="auto"/>
        <w:rPr>
          <w:rFonts w:ascii="Times New Roman" w:hAnsi="Times New Roman" w:cs="Times New Roman"/>
          <w:sz w:val="22"/>
        </w:rPr>
      </w:pPr>
    </w:p>
    <w:p w14:paraId="4E30289E" w14:textId="77777777" w:rsidR="0007724F" w:rsidRPr="00D17AAB" w:rsidRDefault="002D4B3A" w:rsidP="00A20314">
      <w:pPr>
        <w:spacing w:after="0" w:line="276" w:lineRule="auto"/>
        <w:rPr>
          <w:rFonts w:ascii="Times New Roman" w:hAnsi="Times New Roman" w:cs="Times New Roman"/>
          <w:b/>
          <w:sz w:val="22"/>
        </w:rPr>
      </w:pPr>
      <w:r w:rsidRPr="00D17AAB">
        <w:rPr>
          <w:rFonts w:ascii="Times New Roman" w:hAnsi="Times New Roman" w:cs="Times New Roman" w:hint="eastAsia"/>
          <w:b/>
          <w:sz w:val="22"/>
        </w:rPr>
        <w:t xml:space="preserve">8. </w:t>
      </w:r>
      <w:r w:rsidRPr="00D17AAB">
        <w:rPr>
          <w:rFonts w:ascii="Times New Roman" w:hAnsi="Times New Roman" w:cs="Times New Roman"/>
          <w:b/>
          <w:sz w:val="22"/>
        </w:rPr>
        <w:t>გამოყენება მეძუძურ დედებში</w:t>
      </w:r>
    </w:p>
    <w:p w14:paraId="28930799" w14:textId="77777777" w:rsidR="0007724F" w:rsidRPr="00551AFF" w:rsidRDefault="0007724F" w:rsidP="00A20314">
      <w:pPr>
        <w:spacing w:after="0" w:line="276" w:lineRule="auto"/>
        <w:rPr>
          <w:rFonts w:ascii="Times New Roman" w:hAnsi="Times New Roman" w:cs="Times New Roman"/>
          <w:sz w:val="22"/>
        </w:rPr>
      </w:pPr>
      <w:r w:rsidRPr="00551AFF">
        <w:rPr>
          <w:rFonts w:ascii="Times New Roman" w:hAnsi="Times New Roman" w:cs="Times New Roman"/>
          <w:sz w:val="22"/>
        </w:rPr>
        <w:t>უცნობია, გამოიყოფა თუ არა ეს პრეპარატი ან მისი მეტაბოლიტები დედის რძეში. მონაცემების ნაკლებობის გამო, ძუძუთი კვება უნდა შეწყდეს მიღებიდან 48 საათის განმავლობაში და ამ პერიოდში გამოწურული რძე უნდა გადაიღვაროს.</w:t>
      </w:r>
    </w:p>
    <w:p w14:paraId="2B973606" w14:textId="77777777" w:rsidR="0007724F" w:rsidRPr="00551AFF" w:rsidRDefault="0007724F" w:rsidP="00A20314">
      <w:pPr>
        <w:spacing w:after="0" w:line="276" w:lineRule="auto"/>
        <w:rPr>
          <w:rFonts w:ascii="Times New Roman" w:hAnsi="Times New Roman" w:cs="Times New Roman"/>
          <w:sz w:val="22"/>
        </w:rPr>
      </w:pPr>
    </w:p>
    <w:p w14:paraId="63005BEB" w14:textId="77777777" w:rsidR="0007724F" w:rsidRPr="00D17AAB" w:rsidRDefault="002D4B3A" w:rsidP="00A20314">
      <w:pPr>
        <w:spacing w:after="0" w:line="276" w:lineRule="auto"/>
        <w:rPr>
          <w:rFonts w:ascii="Times New Roman" w:hAnsi="Times New Roman" w:cs="Times New Roman"/>
          <w:b/>
          <w:sz w:val="22"/>
        </w:rPr>
      </w:pPr>
      <w:r w:rsidRPr="00D17AAB">
        <w:rPr>
          <w:rFonts w:ascii="Times New Roman" w:hAnsi="Times New Roman" w:cs="Times New Roman" w:hint="eastAsia"/>
          <w:b/>
          <w:sz w:val="22"/>
        </w:rPr>
        <w:t xml:space="preserve">9. </w:t>
      </w:r>
      <w:r w:rsidR="0007724F" w:rsidRPr="00D17AAB">
        <w:rPr>
          <w:rFonts w:ascii="Times New Roman" w:hAnsi="Times New Roman" w:cs="Times New Roman"/>
          <w:b/>
          <w:sz w:val="22"/>
        </w:rPr>
        <w:t>გამოყენება პედიატრიულ პაციენტებში</w:t>
      </w:r>
    </w:p>
    <w:p w14:paraId="1FD33B1D" w14:textId="77777777" w:rsidR="0007724F" w:rsidRPr="00551AFF" w:rsidRDefault="0007724F" w:rsidP="00A20314">
      <w:pPr>
        <w:spacing w:after="0" w:line="276" w:lineRule="auto"/>
        <w:rPr>
          <w:rFonts w:ascii="Times New Roman" w:hAnsi="Times New Roman" w:cs="Times New Roman"/>
          <w:sz w:val="22"/>
        </w:rPr>
      </w:pPr>
      <w:r w:rsidRPr="00551AFF">
        <w:rPr>
          <w:rFonts w:ascii="Times New Roman" w:hAnsi="Times New Roman" w:cs="Times New Roman"/>
          <w:sz w:val="22"/>
        </w:rPr>
        <w:t>პედიატრიულ პაციენტებში უსაფრთხოება დადგენილი არ არის. 3 წლამდე ასაკის ბავშვებში ჩატარებულ ზოგიერთ კვლევაში, რომლებიც განმეორებით ან ხანგრძლივი პერიოდის განმავლობაში ექვემდებარებოდნენ ანესთეტიკებს, აღინიშნა კოგნიტური დარღვევების და ქცევითი გვერდითი ეფექტების შესაძლო შემთხვევები. არასასწრაფო ოპერაციის შემთხვევაში, რომელიც მოითხოვს ანესთეზიას, ყურადღებით უნდა შეფასდეს სარგებელი და პოტენციური რისკები.</w:t>
      </w:r>
    </w:p>
    <w:p w14:paraId="058F7ADD" w14:textId="77777777" w:rsidR="002D4B3A" w:rsidRPr="00551AFF" w:rsidRDefault="002D4B3A" w:rsidP="00A20314">
      <w:pPr>
        <w:widowControl/>
        <w:wordWrap/>
        <w:autoSpaceDE/>
        <w:autoSpaceDN/>
        <w:spacing w:after="0" w:line="276" w:lineRule="auto"/>
        <w:rPr>
          <w:rFonts w:ascii="Times New Roman" w:hAnsi="Times New Roman" w:cs="Times New Roman"/>
          <w:sz w:val="22"/>
        </w:rPr>
      </w:pPr>
    </w:p>
    <w:p w14:paraId="6C693405" w14:textId="77777777" w:rsidR="0007724F" w:rsidRPr="00D17AAB" w:rsidRDefault="002D4B3A" w:rsidP="00A20314">
      <w:pPr>
        <w:spacing w:after="0" w:line="276" w:lineRule="auto"/>
        <w:rPr>
          <w:rFonts w:ascii="Times New Roman" w:hAnsi="Times New Roman" w:cs="Times New Roman"/>
          <w:b/>
          <w:sz w:val="22"/>
        </w:rPr>
      </w:pPr>
      <w:r w:rsidRPr="00D17AAB">
        <w:rPr>
          <w:rFonts w:ascii="Times New Roman" w:hAnsi="Times New Roman" w:cs="Times New Roman" w:hint="eastAsia"/>
          <w:b/>
          <w:sz w:val="22"/>
        </w:rPr>
        <w:t xml:space="preserve">10. </w:t>
      </w:r>
      <w:r w:rsidRPr="00D17AAB">
        <w:rPr>
          <w:rFonts w:ascii="Times New Roman" w:hAnsi="Times New Roman" w:cs="Times New Roman"/>
          <w:b/>
          <w:sz w:val="22"/>
        </w:rPr>
        <w:t>გამოყენება ხანდაზმულ პაციენტებში</w:t>
      </w:r>
    </w:p>
    <w:p w14:paraId="1AFD8573" w14:textId="77777777" w:rsidR="0007724F" w:rsidRPr="00551AFF" w:rsidRDefault="002D4B3A" w:rsidP="00A20314">
      <w:pPr>
        <w:spacing w:after="0" w:line="276" w:lineRule="auto"/>
        <w:rPr>
          <w:rFonts w:ascii="Times New Roman" w:hAnsi="Times New Roman" w:cs="Times New Roman"/>
          <w:sz w:val="22"/>
        </w:rPr>
      </w:pPr>
      <w:r w:rsidRPr="00551AFF">
        <w:rPr>
          <w:rFonts w:ascii="Times New Roman" w:hAnsi="Times New Roman" w:cs="Times New Roman" w:hint="eastAsia"/>
          <w:sz w:val="22"/>
        </w:rPr>
        <w:t xml:space="preserve">1) </w:t>
      </w:r>
      <w:r w:rsidRPr="00551AFF">
        <w:rPr>
          <w:rFonts w:ascii="Times New Roman" w:hAnsi="Times New Roman" w:cs="Times New Roman"/>
          <w:sz w:val="22"/>
        </w:rPr>
        <w:t>ოპერაციის შემდგომ პერიოდში შესაძლოა გამოვლინდეს კლინიკური ტესტების დროებითი პათოლოგიური შედეგები.</w:t>
      </w:r>
    </w:p>
    <w:p w14:paraId="0AF55A55" w14:textId="77777777" w:rsidR="0007724F" w:rsidRPr="00551AFF" w:rsidRDefault="002D4B3A" w:rsidP="00A20314">
      <w:pPr>
        <w:spacing w:after="0" w:line="276" w:lineRule="auto"/>
        <w:rPr>
          <w:rFonts w:ascii="Times New Roman" w:hAnsi="Times New Roman" w:cs="Times New Roman"/>
          <w:sz w:val="22"/>
        </w:rPr>
      </w:pPr>
      <w:r w:rsidRPr="00551AFF">
        <w:rPr>
          <w:rFonts w:ascii="Times New Roman" w:hAnsi="Times New Roman" w:cs="Times New Roman" w:hint="eastAsia"/>
          <w:sz w:val="22"/>
        </w:rPr>
        <w:t xml:space="preserve">2) </w:t>
      </w:r>
      <w:r w:rsidRPr="00551AFF">
        <w:rPr>
          <w:rFonts w:ascii="Times New Roman" w:hAnsi="Times New Roman" w:cs="Times New Roman"/>
          <w:sz w:val="22"/>
        </w:rPr>
        <w:t>ხანდაზმულ პაციენტებს, როგორც წესი, აქვთ შემცირებული ფიზიოლოგიური ფუნქცია და უფრო მგრძნობიარენი არიან გვერდითი რეაქციების მიმართ; რეკომენდებულია სიფრთხილე.</w:t>
      </w:r>
    </w:p>
    <w:p w14:paraId="01972249" w14:textId="77777777" w:rsidR="0007724F" w:rsidRPr="00551AFF" w:rsidRDefault="002D4B3A" w:rsidP="00A20314">
      <w:pPr>
        <w:spacing w:after="0" w:line="276" w:lineRule="auto"/>
        <w:rPr>
          <w:rFonts w:ascii="Times New Roman" w:hAnsi="Times New Roman" w:cs="Times New Roman"/>
          <w:sz w:val="22"/>
        </w:rPr>
      </w:pPr>
      <w:r w:rsidRPr="00551AFF">
        <w:rPr>
          <w:rFonts w:ascii="Times New Roman" w:hAnsi="Times New Roman" w:cs="Times New Roman" w:hint="eastAsia"/>
          <w:sz w:val="22"/>
        </w:rPr>
        <w:t xml:space="preserve">3) </w:t>
      </w:r>
      <w:r w:rsidRPr="00551AFF">
        <w:rPr>
          <w:rFonts w:ascii="Times New Roman" w:hAnsi="Times New Roman" w:cs="Times New Roman"/>
          <w:sz w:val="22"/>
        </w:rPr>
        <w:t>ალვეოლური მინიმალური კონცენტრაცია ასაკთან ერთად მცირდება; 80 წლის ასაკში საჭირო საშუალო კონცენტრაცია 20 წლის ასაკში საჭირო კონცენტრაციის დაახლოებით 50%-ია.</w:t>
      </w:r>
    </w:p>
    <w:p w14:paraId="1E0AEEDD" w14:textId="77777777" w:rsidR="0007724F" w:rsidRPr="00551AFF" w:rsidRDefault="0007724F" w:rsidP="00A20314">
      <w:pPr>
        <w:spacing w:after="0" w:line="276" w:lineRule="auto"/>
        <w:rPr>
          <w:rFonts w:ascii="Times New Roman" w:hAnsi="Times New Roman" w:cs="Times New Roman"/>
          <w:sz w:val="22"/>
        </w:rPr>
      </w:pPr>
    </w:p>
    <w:p w14:paraId="247A4B70" w14:textId="77777777" w:rsidR="0007724F" w:rsidRPr="00D17AAB" w:rsidRDefault="002D4B3A" w:rsidP="00A20314">
      <w:pPr>
        <w:spacing w:after="0" w:line="276" w:lineRule="auto"/>
        <w:rPr>
          <w:rFonts w:ascii="Times New Roman" w:hAnsi="Times New Roman" w:cs="Times New Roman"/>
          <w:b/>
          <w:sz w:val="22"/>
        </w:rPr>
      </w:pPr>
      <w:r w:rsidRPr="00D17AAB">
        <w:rPr>
          <w:rFonts w:ascii="Times New Roman" w:hAnsi="Times New Roman" w:cs="Times New Roman" w:hint="eastAsia"/>
          <w:b/>
          <w:sz w:val="22"/>
        </w:rPr>
        <w:t xml:space="preserve">11. </w:t>
      </w:r>
      <w:r w:rsidRPr="00D17AAB">
        <w:rPr>
          <w:rFonts w:ascii="Times New Roman" w:hAnsi="Times New Roman" w:cs="Times New Roman"/>
          <w:b/>
          <w:sz w:val="22"/>
        </w:rPr>
        <w:t>დოზის გადაჭარბება</w:t>
      </w:r>
    </w:p>
    <w:p w14:paraId="02ACBAAE" w14:textId="77777777" w:rsidR="0007724F" w:rsidRPr="00551AFF" w:rsidRDefault="0007724F" w:rsidP="00A20314">
      <w:pPr>
        <w:spacing w:after="0" w:line="276" w:lineRule="auto"/>
        <w:rPr>
          <w:rFonts w:ascii="Times New Roman" w:hAnsi="Times New Roman" w:cs="Times New Roman"/>
          <w:sz w:val="22"/>
        </w:rPr>
      </w:pPr>
      <w:r w:rsidRPr="00551AFF">
        <w:rPr>
          <w:rFonts w:ascii="Times New Roman" w:hAnsi="Times New Roman" w:cs="Times New Roman"/>
          <w:sz w:val="22"/>
        </w:rPr>
        <w:t xml:space="preserve">დოზის გადაჭარბების შემთხვევაში, შეწყვიტეთ მიღება, შეინარჩუნეთ სასუნთქი გზების </w:t>
      </w:r>
      <w:r w:rsidRPr="00551AFF">
        <w:rPr>
          <w:rFonts w:ascii="Times New Roman" w:hAnsi="Times New Roman" w:cs="Times New Roman"/>
          <w:sz w:val="22"/>
        </w:rPr>
        <w:lastRenderedPageBreak/>
        <w:t>გამტარობა, მიაწოდეთ ჟანგბადი დამხმარე ან კონტროლირებადი ვენტილაციით და შესაბამისად, შეინარჩუნეთ გულ-სისხლძარღვთა ფუნქცია.</w:t>
      </w:r>
    </w:p>
    <w:p w14:paraId="37825CC5" w14:textId="77777777" w:rsidR="0007724F" w:rsidRPr="00551AFF" w:rsidRDefault="0007724F" w:rsidP="00A20314">
      <w:pPr>
        <w:spacing w:after="0" w:line="276" w:lineRule="auto"/>
        <w:rPr>
          <w:rFonts w:ascii="Times New Roman" w:hAnsi="Times New Roman" w:cs="Times New Roman"/>
          <w:sz w:val="22"/>
        </w:rPr>
      </w:pPr>
    </w:p>
    <w:p w14:paraId="1F2DD291" w14:textId="77777777" w:rsidR="0007724F" w:rsidRPr="00D17AAB" w:rsidRDefault="002D4B3A" w:rsidP="00A20314">
      <w:pPr>
        <w:spacing w:after="0" w:line="276" w:lineRule="auto"/>
        <w:rPr>
          <w:rFonts w:ascii="Times New Roman" w:hAnsi="Times New Roman" w:cs="Times New Roman"/>
          <w:b/>
          <w:sz w:val="22"/>
        </w:rPr>
      </w:pPr>
      <w:r w:rsidRPr="00D17AAB">
        <w:rPr>
          <w:rFonts w:ascii="Times New Roman" w:hAnsi="Times New Roman" w:cs="Times New Roman" w:hint="eastAsia"/>
          <w:b/>
          <w:sz w:val="22"/>
        </w:rPr>
        <w:t xml:space="preserve">12. </w:t>
      </w:r>
      <w:r w:rsidRPr="00D17AAB">
        <w:rPr>
          <w:rFonts w:ascii="Times New Roman" w:hAnsi="Times New Roman" w:cs="Times New Roman"/>
          <w:b/>
          <w:sz w:val="22"/>
        </w:rPr>
        <w:t>სხვები</w:t>
      </w:r>
    </w:p>
    <w:p w14:paraId="3BF3C112" w14:textId="77777777" w:rsidR="0007724F" w:rsidRPr="00551AFF" w:rsidRDefault="002D4B3A" w:rsidP="00A20314">
      <w:pPr>
        <w:spacing w:after="0" w:line="276" w:lineRule="auto"/>
        <w:rPr>
          <w:rFonts w:ascii="Times New Roman" w:hAnsi="Times New Roman" w:cs="Times New Roman"/>
          <w:sz w:val="22"/>
        </w:rPr>
      </w:pPr>
      <w:r w:rsidRPr="00551AFF">
        <w:rPr>
          <w:rFonts w:ascii="Times New Roman" w:hAnsi="Times New Roman" w:cs="Times New Roman" w:hint="eastAsia"/>
          <w:sz w:val="22"/>
        </w:rPr>
        <w:t xml:space="preserve">1) </w:t>
      </w:r>
      <w:r w:rsidRPr="00551AFF">
        <w:rPr>
          <w:rFonts w:ascii="Times New Roman" w:hAnsi="Times New Roman" w:cs="Times New Roman"/>
          <w:sz w:val="22"/>
        </w:rPr>
        <w:t>ღორებში აღწერილია ავთვისებიანი ჰიპერთერმიისადმი მგრძნობელობა.</w:t>
      </w:r>
    </w:p>
    <w:p w14:paraId="11429274" w14:textId="77777777" w:rsidR="002D4B3A" w:rsidRDefault="002D4B3A" w:rsidP="00A20314">
      <w:pPr>
        <w:spacing w:after="0" w:line="276" w:lineRule="auto"/>
        <w:rPr>
          <w:rFonts w:ascii="Times New Roman" w:hAnsi="Times New Roman" w:cs="Times New Roman"/>
          <w:sz w:val="22"/>
        </w:rPr>
      </w:pPr>
      <w:r w:rsidRPr="00551AFF">
        <w:rPr>
          <w:rFonts w:ascii="Times New Roman" w:hAnsi="Times New Roman" w:cs="Times New Roman" w:hint="eastAsia"/>
          <w:sz w:val="22"/>
        </w:rPr>
        <w:t xml:space="preserve">2) </w:t>
      </w:r>
      <w:r w:rsidRPr="00551AFF">
        <w:rPr>
          <w:rFonts w:ascii="Times New Roman" w:hAnsi="Times New Roman" w:cs="Times New Roman"/>
          <w:sz w:val="22"/>
        </w:rPr>
        <w:t>ნარკოტიკების ბოროტად გამოყენება და დამოკიდებულება უცნობია.</w:t>
      </w:r>
    </w:p>
    <w:p w14:paraId="41F9277C" w14:textId="77777777" w:rsidR="00791BBD" w:rsidRDefault="00791BBD" w:rsidP="00A20314">
      <w:pPr>
        <w:spacing w:after="0" w:line="276" w:lineRule="auto"/>
        <w:rPr>
          <w:rFonts w:ascii="Times New Roman" w:hAnsi="Times New Roman" w:cs="Times New Roman"/>
          <w:sz w:val="22"/>
        </w:rPr>
      </w:pPr>
    </w:p>
    <w:p w14:paraId="0E6C947F" w14:textId="77777777" w:rsidR="00D30AF7" w:rsidRPr="00D30AF7" w:rsidRDefault="00D17AAB" w:rsidP="00A20314">
      <w:pPr>
        <w:spacing w:after="0" w:line="276" w:lineRule="auto"/>
        <w:rPr>
          <w:rFonts w:ascii="Times New Roman" w:hAnsi="Times New Roman" w:cs="Times New Roman"/>
          <w:b/>
          <w:sz w:val="22"/>
        </w:rPr>
      </w:pPr>
      <w:r>
        <w:rPr>
          <w:rFonts w:ascii="Times New Roman" w:hAnsi="Times New Roman" w:cs="Times New Roman"/>
          <w:b/>
          <w:sz w:val="22"/>
        </w:rPr>
        <w:t>[საცავი]</w:t>
      </w:r>
    </w:p>
    <w:p w14:paraId="76897472" w14:textId="77777777" w:rsidR="00D30AF7" w:rsidRPr="00180F2D" w:rsidRDefault="00D30AF7" w:rsidP="00A20314">
      <w:pPr>
        <w:spacing w:after="0" w:line="276" w:lineRule="auto"/>
        <w:rPr>
          <w:rFonts w:ascii="Times New Roman" w:hAnsi="Times New Roman" w:cs="Times New Roman"/>
          <w:sz w:val="22"/>
        </w:rPr>
      </w:pPr>
      <w:r w:rsidRPr="00D30AF7">
        <w:rPr>
          <w:rFonts w:ascii="Times New Roman" w:hAnsi="Times New Roman" w:cs="Times New Roman"/>
          <w:sz w:val="22"/>
        </w:rPr>
        <w:t xml:space="preserve">შეინახეთ ოთახის ტემპერატურაზე (1 </w:t>
      </w:r>
      <w:r w:rsidR="00D17AAB" w:rsidRPr="00D17AAB">
        <w:rPr>
          <w:rFonts w:ascii="Times New Roman" w:hAnsi="Times New Roman" w:cs="Times New Roman" w:hint="eastAsia"/>
          <w:sz w:val="22"/>
        </w:rPr>
        <w:t>°</w:t>
      </w:r>
      <w:r w:rsidR="00D17AAB" w:rsidRPr="00D17AAB">
        <w:rPr>
          <w:rFonts w:ascii="Times New Roman" w:hAnsi="Times New Roman" w:cs="Times New Roman" w:hint="eastAsia"/>
          <w:sz w:val="22"/>
        </w:rPr>
        <w:t xml:space="preserve"> </w:t>
      </w:r>
      <w:r w:rsidR="00D17AAB" w:rsidRPr="00D17AAB">
        <w:rPr>
          <w:rFonts w:ascii="Times New Roman" w:hAnsi="Times New Roman" w:cs="Times New Roman"/>
          <w:sz w:val="22"/>
        </w:rPr>
        <w:t>C ~30°C) დახურულ კონტეინერში</w:t>
      </w:r>
    </w:p>
    <w:p w14:paraId="12452EFB" w14:textId="77777777" w:rsidR="00D30AF7" w:rsidRPr="00180F2D" w:rsidRDefault="00D30AF7" w:rsidP="00A20314">
      <w:pPr>
        <w:spacing w:after="0" w:line="276" w:lineRule="auto"/>
        <w:rPr>
          <w:rFonts w:ascii="Times New Roman" w:hAnsi="Times New Roman" w:cs="Times New Roman"/>
          <w:sz w:val="22"/>
        </w:rPr>
      </w:pPr>
    </w:p>
    <w:p w14:paraId="03280683" w14:textId="77777777" w:rsidR="00D30AF7" w:rsidRPr="00D30AF7" w:rsidRDefault="00D17AAB" w:rsidP="00A20314">
      <w:pPr>
        <w:spacing w:after="0" w:line="276" w:lineRule="auto"/>
        <w:rPr>
          <w:rFonts w:ascii="Times New Roman" w:hAnsi="Times New Roman" w:cs="Times New Roman"/>
          <w:b/>
          <w:sz w:val="22"/>
        </w:rPr>
      </w:pPr>
      <w:r>
        <w:rPr>
          <w:rFonts w:ascii="Times New Roman" w:hAnsi="Times New Roman" w:cs="Times New Roman"/>
          <w:b/>
          <w:sz w:val="22"/>
        </w:rPr>
        <w:t>[შეფუთვის ერთეული]</w:t>
      </w:r>
    </w:p>
    <w:p w14:paraId="40628CD0" w14:textId="63AC341D" w:rsidR="00A20314" w:rsidRDefault="00D30AF7" w:rsidP="00A20314">
      <w:pPr>
        <w:spacing w:after="0" w:line="276" w:lineRule="auto"/>
        <w:rPr>
          <w:rFonts w:ascii="Times New Roman" w:hAnsi="Times New Roman" w:cs="Times New Roman"/>
          <w:sz w:val="22"/>
        </w:rPr>
      </w:pPr>
      <w:r w:rsidRPr="00D30AF7">
        <w:rPr>
          <w:rFonts w:ascii="Times New Roman" w:hAnsi="Times New Roman" w:cs="Times New Roman"/>
          <w:sz w:val="22"/>
        </w:rPr>
        <w:t>250 მლ × 1 ბოთლი</w:t>
      </w:r>
    </w:p>
    <w:p w14:paraId="0EFC6118" w14:textId="77777777" w:rsidR="00A20314" w:rsidRDefault="00A20314" w:rsidP="00A20314">
      <w:pPr>
        <w:spacing w:after="0" w:line="276" w:lineRule="auto"/>
        <w:rPr>
          <w:rFonts w:ascii="Times New Roman" w:hAnsi="Times New Roman" w:cs="Times New Roman"/>
          <w:sz w:val="22"/>
        </w:rPr>
      </w:pPr>
    </w:p>
    <w:p w14:paraId="458A9B55" w14:textId="77777777" w:rsidR="00C56F9C" w:rsidRPr="00C56F9C" w:rsidRDefault="00C56F9C" w:rsidP="00C56F9C">
      <w:pPr>
        <w:spacing w:after="0" w:line="276" w:lineRule="auto"/>
        <w:rPr>
          <w:rFonts w:ascii="Times New Roman" w:hAnsi="Times New Roman" w:cs="Times New Roman"/>
          <w:sz w:val="22"/>
        </w:rPr>
      </w:pPr>
      <w:r w:rsidRPr="00C56F9C">
        <w:rPr>
          <w:rFonts w:ascii="Times New Roman" w:hAnsi="Times New Roman" w:cs="Times New Roman"/>
          <w:sz w:val="22"/>
        </w:rPr>
        <w:t xml:space="preserve">※ ფარმაცევტული ტერმინების განმარტებებისა და სხვა დეტალური ინფორმაციისთვის, გთხოვთ, ეწვიოთ Hana Pharm Co., Ltd.-ის ვებგვერდს (www.hanaph.co.kr ) </w:t>
      </w:r>
    </w:p>
    <w:p w14:paraId="7175F2D4" w14:textId="77777777" w:rsidR="00C56F9C" w:rsidRPr="00C56F9C" w:rsidRDefault="00C56F9C" w:rsidP="00C56F9C">
      <w:pPr>
        <w:spacing w:after="0" w:line="276" w:lineRule="auto"/>
        <w:rPr>
          <w:rFonts w:ascii="Times New Roman" w:hAnsi="Times New Roman" w:cs="Times New Roman"/>
          <w:sz w:val="22"/>
        </w:rPr>
      </w:pPr>
      <w:r w:rsidRPr="00C56F9C">
        <w:rPr>
          <w:rFonts w:ascii="Times New Roman" w:hAnsi="Times New Roman" w:cs="Times New Roman"/>
          <w:sz w:val="22"/>
        </w:rPr>
        <w:t>※ თუ თქვენ შეიძინეთ ვადაგასული, გაფუჭებული, გაფუჭებული ან დაზიანებული პროდუქტი</w:t>
      </w:r>
    </w:p>
    <w:p w14:paraId="54F19EE2" w14:textId="77777777" w:rsidR="00C56F9C" w:rsidRPr="00C56F9C" w:rsidRDefault="00C56F9C" w:rsidP="00C56F9C">
      <w:pPr>
        <w:spacing w:after="0" w:line="276" w:lineRule="auto"/>
        <w:rPr>
          <w:rFonts w:ascii="Times New Roman" w:hAnsi="Times New Roman" w:cs="Times New Roman"/>
          <w:sz w:val="22"/>
        </w:rPr>
      </w:pPr>
      <w:r w:rsidRPr="00C56F9C">
        <w:rPr>
          <w:rFonts w:ascii="Times New Roman" w:hAnsi="Times New Roman" w:cs="Times New Roman"/>
          <w:sz w:val="22"/>
        </w:rPr>
        <w:t>გაცვლა მოხდება შეძენის ადგილზე.</w:t>
      </w:r>
    </w:p>
    <w:p w14:paraId="54692548" w14:textId="77777777" w:rsidR="00C56F9C" w:rsidRPr="00C56F9C" w:rsidRDefault="00C56F9C" w:rsidP="00C56F9C">
      <w:pPr>
        <w:spacing w:after="0" w:line="276" w:lineRule="auto"/>
        <w:rPr>
          <w:rFonts w:ascii="Times New Roman" w:hAnsi="Times New Roman" w:cs="Times New Roman"/>
          <w:sz w:val="22"/>
        </w:rPr>
      </w:pPr>
      <w:r w:rsidRPr="00C56F9C">
        <w:rPr>
          <w:rFonts w:ascii="Times New Roman" w:hAnsi="Times New Roman" w:cs="Times New Roman"/>
          <w:sz w:val="22"/>
        </w:rPr>
        <w:t>※ მომხმარებელთა მომსახურება: 080-577-8004 (უფასო ზარი)</w:t>
      </w:r>
    </w:p>
    <w:p w14:paraId="60C82B8C" w14:textId="77777777" w:rsidR="00C56F9C" w:rsidRPr="00C56F9C" w:rsidRDefault="00C56F9C" w:rsidP="00C56F9C">
      <w:pPr>
        <w:spacing w:after="0" w:line="276" w:lineRule="auto"/>
        <w:rPr>
          <w:rFonts w:ascii="Times New Roman" w:hAnsi="Times New Roman" w:cs="Times New Roman"/>
          <w:sz w:val="22"/>
        </w:rPr>
      </w:pPr>
      <w:r w:rsidRPr="00C56F9C">
        <w:rPr>
          <w:rFonts w:ascii="Times New Roman" w:hAnsi="Times New Roman" w:cs="Times New Roman"/>
          <w:sz w:val="22"/>
        </w:rPr>
        <w:t>※ გვერდითი მოვლენებით გამოწვეული ზიანის კომპენსაციის მისაღებად, გთხოვთ, დაუკავშირდეთ კორეის სურსათისა და წამლის ადმინისტრაციას (1644-6223, 14-3330).</w:t>
      </w:r>
    </w:p>
    <w:p w14:paraId="51357E89" w14:textId="77777777" w:rsidR="00A20314" w:rsidRDefault="00A20314" w:rsidP="00A20314">
      <w:pPr>
        <w:spacing w:after="0" w:line="276" w:lineRule="auto"/>
        <w:rPr>
          <w:rFonts w:ascii="Times New Roman" w:hAnsi="Times New Roman" w:cs="Times New Roman"/>
          <w:sz w:val="22"/>
        </w:rPr>
      </w:pPr>
    </w:p>
    <w:p w14:paraId="2DF29160" w14:textId="77777777" w:rsidR="00A20314" w:rsidRDefault="00A20314" w:rsidP="00A20314">
      <w:pPr>
        <w:spacing w:after="0" w:line="276" w:lineRule="auto"/>
        <w:rPr>
          <w:rFonts w:ascii="Times New Roman" w:hAnsi="Times New Roman" w:cs="Times New Roman"/>
          <w:sz w:val="22"/>
        </w:rPr>
      </w:pPr>
    </w:p>
    <w:p w14:paraId="525412BE" w14:textId="77777777" w:rsidR="00A20314" w:rsidRDefault="00A20314" w:rsidP="00A20314">
      <w:pPr>
        <w:spacing w:after="0" w:line="276" w:lineRule="auto"/>
        <w:rPr>
          <w:rFonts w:ascii="Times New Roman" w:hAnsi="Times New Roman" w:cs="Times New Roman"/>
          <w:sz w:val="22"/>
        </w:rPr>
      </w:pPr>
    </w:p>
    <w:p w14:paraId="0DDBDB80" w14:textId="77777777" w:rsidR="00D30AF7" w:rsidRDefault="00D30AF7" w:rsidP="00A20314">
      <w:pPr>
        <w:spacing w:after="0" w:line="276" w:lineRule="auto"/>
        <w:rPr>
          <w:rFonts w:ascii="Times New Roman" w:hAnsi="Times New Roman" w:cs="Times New Roman"/>
          <w:sz w:val="22"/>
        </w:rPr>
      </w:pPr>
    </w:p>
    <w:p w14:paraId="4680873B" w14:textId="3A045BA2" w:rsidR="00D17AAB" w:rsidRDefault="00D17AAB" w:rsidP="00A20314">
      <w:pPr>
        <w:spacing w:after="0" w:line="276" w:lineRule="auto"/>
        <w:jc w:val="right"/>
        <w:rPr>
          <w:rFonts w:ascii="Times New Roman" w:hAnsi="Times New Roman" w:cs="Times New Roman"/>
          <w:sz w:val="22"/>
        </w:rPr>
      </w:pPr>
      <w:r>
        <w:rPr>
          <w:rFonts w:ascii="Times New Roman" w:hAnsi="Times New Roman" w:cs="Times New Roman"/>
          <w:sz w:val="22"/>
        </w:rPr>
        <w:t xml:space="preserve">მომზადების თარიღი: 2008.02 </w:t>
      </w:r>
      <w:r>
        <w:rPr>
          <w:rFonts w:ascii="Times New Roman" w:hAnsi="Times New Roman" w:cs="Times New Roman" w:hint="eastAsia"/>
          <w:sz w:val="22"/>
        </w:rPr>
        <w:t>.</w:t>
      </w:r>
    </w:p>
    <w:p w14:paraId="4BD0B215" w14:textId="21FB870F" w:rsidR="00D30AF7" w:rsidRDefault="00D17AAB" w:rsidP="00A20314">
      <w:pPr>
        <w:spacing w:after="0" w:line="276" w:lineRule="auto"/>
        <w:jc w:val="right"/>
        <w:rPr>
          <w:rFonts w:ascii="Times New Roman" w:hAnsi="Times New Roman" w:cs="Times New Roman"/>
          <w:sz w:val="22"/>
        </w:rPr>
      </w:pPr>
      <w:r>
        <w:rPr>
          <w:rFonts w:ascii="Times New Roman" w:hAnsi="Times New Roman" w:cs="Times New Roman"/>
          <w:sz w:val="22"/>
        </w:rPr>
        <w:t xml:space="preserve">გადახედვის თარიღი: 2026.04.14. </w:t>
      </w:r>
      <w:r>
        <w:rPr>
          <w:rFonts w:ascii="Times New Roman" w:hAnsi="Times New Roman" w:cs="Times New Roman" w:hint="eastAsia"/>
          <w:sz w:val="22"/>
        </w:rPr>
        <w:t xml:space="preserve">&lt; </w:t>
      </w:r>
      <w:r>
        <w:rPr>
          <w:rFonts w:ascii="Times New Roman" w:hAnsi="Times New Roman" w:cs="Times New Roman"/>
          <w:sz w:val="22"/>
        </w:rPr>
        <w:t xml:space="preserve">H </w:t>
      </w:r>
      <w:r w:rsidR="00D30AF7">
        <w:rPr>
          <w:rFonts w:ascii="Times New Roman" w:hAnsi="Times New Roman" w:cs="Times New Roman" w:hint="eastAsia"/>
          <w:sz w:val="22"/>
        </w:rPr>
        <w:t xml:space="preserve">1 </w:t>
      </w:r>
      <w:r>
        <w:rPr>
          <w:rFonts w:ascii="Times New Roman" w:hAnsi="Times New Roman" w:cs="Times New Roman"/>
          <w:sz w:val="22"/>
        </w:rPr>
        <w:t xml:space="preserve">3 </w:t>
      </w:r>
      <w:r w:rsidR="00D30AF7">
        <w:rPr>
          <w:rFonts w:ascii="Times New Roman" w:hAnsi="Times New Roman" w:cs="Times New Roman" w:hint="eastAsia"/>
          <w:sz w:val="22"/>
        </w:rPr>
        <w:t>&gt;</w:t>
      </w:r>
    </w:p>
    <w:p w14:paraId="204CACB1" w14:textId="77777777" w:rsidR="00D30AF7" w:rsidRDefault="00D30AF7" w:rsidP="00A20314">
      <w:pPr>
        <w:spacing w:after="0" w:line="276" w:lineRule="auto"/>
        <w:rPr>
          <w:rFonts w:ascii="Times New Roman" w:hAnsi="Times New Roman" w:cs="Times New Roman"/>
          <w:sz w:val="22"/>
        </w:rPr>
      </w:pPr>
    </w:p>
    <w:p w14:paraId="52674341" w14:textId="77777777" w:rsidR="0099292C" w:rsidRDefault="0099292C" w:rsidP="0099292C">
      <w:pPr>
        <w:spacing w:after="0" w:line="276" w:lineRule="auto"/>
        <w:jc w:val="left"/>
        <w:rPr>
          <w:rFonts w:ascii="Times New Roman" w:hAnsi="Times New Roman" w:cs="Times New Roman"/>
          <w:sz w:val="22"/>
        </w:rPr>
      </w:pPr>
    </w:p>
    <w:p w14:paraId="5E8BE53C" w14:textId="77777777" w:rsidR="0099292C" w:rsidRPr="008F3B72" w:rsidRDefault="0099292C" w:rsidP="0099292C">
      <w:pPr>
        <w:spacing w:after="0" w:line="276" w:lineRule="auto"/>
        <w:jc w:val="left"/>
        <w:rPr>
          <w:rFonts w:ascii="Sylfaen" w:hAnsi="Sylfaen" w:cs="Times New Roman"/>
          <w:sz w:val="22"/>
        </w:rPr>
      </w:pPr>
      <w:r>
        <w:rPr>
          <w:rFonts w:ascii="Sylfaen" w:hAnsi="Sylfaen" w:cs="Times New Roman"/>
          <w:sz w:val="22"/>
        </w:rPr>
        <w:t>მწარმოებელი*დისტრიბუტორი</w:t>
      </w:r>
    </w:p>
    <w:p w14:paraId="37E619B8" w14:textId="77777777" w:rsidR="0099292C" w:rsidRPr="00D30AF7" w:rsidRDefault="0099292C" w:rsidP="0099292C">
      <w:pPr>
        <w:spacing w:after="0" w:line="276" w:lineRule="auto"/>
        <w:rPr>
          <w:rFonts w:ascii="Times New Roman" w:hAnsi="Times New Roman" w:cs="Times New Roman"/>
          <w:b/>
          <w:sz w:val="22"/>
        </w:rPr>
      </w:pPr>
      <w:r w:rsidRPr="00D30AF7">
        <w:rPr>
          <w:rFonts w:ascii="Times New Roman" w:hAnsi="Times New Roman" w:cs="Times New Roman" w:hint="eastAsia"/>
          <w:b/>
          <w:sz w:val="22"/>
        </w:rPr>
        <w:t>Hana</w:t>
      </w:r>
      <w:r w:rsidRPr="00D30AF7">
        <w:rPr>
          <w:rFonts w:ascii="Times New Roman" w:hAnsi="Times New Roman" w:cs="Times New Roman"/>
          <w:b/>
          <w:sz w:val="22"/>
        </w:rPr>
        <w:t xml:space="preserve"> </w:t>
      </w:r>
      <w:r w:rsidRPr="00D30AF7">
        <w:rPr>
          <w:rFonts w:ascii="Times New Roman" w:hAnsi="Times New Roman" w:cs="Times New Roman" w:hint="eastAsia"/>
          <w:b/>
          <w:sz w:val="22"/>
        </w:rPr>
        <w:t>Pharm.</w:t>
      </w:r>
      <w:r w:rsidRPr="00D30AF7">
        <w:rPr>
          <w:rFonts w:ascii="Times New Roman" w:hAnsi="Times New Roman" w:cs="Times New Roman"/>
          <w:b/>
          <w:sz w:val="22"/>
        </w:rPr>
        <w:t xml:space="preserve"> </w:t>
      </w:r>
      <w:r w:rsidRPr="00D30AF7">
        <w:rPr>
          <w:rFonts w:ascii="Times New Roman" w:hAnsi="Times New Roman" w:cs="Times New Roman" w:hint="eastAsia"/>
          <w:b/>
          <w:sz w:val="22"/>
        </w:rPr>
        <w:t>Co.,</w:t>
      </w:r>
      <w:r w:rsidRPr="00D30AF7">
        <w:rPr>
          <w:rFonts w:ascii="Times New Roman" w:hAnsi="Times New Roman" w:cs="Times New Roman"/>
          <w:b/>
          <w:sz w:val="22"/>
        </w:rPr>
        <w:t xml:space="preserve"> </w:t>
      </w:r>
      <w:r w:rsidRPr="00D30AF7">
        <w:rPr>
          <w:rFonts w:ascii="Times New Roman" w:hAnsi="Times New Roman" w:cs="Times New Roman" w:hint="eastAsia"/>
          <w:b/>
          <w:sz w:val="22"/>
        </w:rPr>
        <w:t>Ltd.</w:t>
      </w:r>
    </w:p>
    <w:p w14:paraId="11758967" w14:textId="77777777" w:rsidR="0099292C" w:rsidRPr="00113926" w:rsidRDefault="0099292C" w:rsidP="0099292C">
      <w:pPr>
        <w:spacing w:after="0" w:line="276" w:lineRule="auto"/>
        <w:rPr>
          <w:rFonts w:ascii="Times New Roman" w:hAnsi="Times New Roman" w:cs="Times New Roman"/>
          <w:sz w:val="22"/>
        </w:rPr>
      </w:pPr>
      <w:r>
        <w:rPr>
          <w:rFonts w:ascii="Times New Roman" w:hAnsi="Times New Roman" w:cs="Times New Roman"/>
          <w:sz w:val="22"/>
        </w:rPr>
        <w:t>Sangsin plant: 133</w:t>
      </w:r>
      <w:r>
        <w:rPr>
          <w:rFonts w:ascii="Times New Roman" w:hAnsi="Times New Roman" w:cs="Times New Roman" w:hint="eastAsia"/>
          <w:sz w:val="22"/>
        </w:rPr>
        <w:t>,</w:t>
      </w:r>
      <w:r w:rsidRPr="00D30AF7">
        <w:rPr>
          <w:rFonts w:ascii="Times New Roman" w:hAnsi="Times New Roman" w:cs="Times New Roman"/>
          <w:sz w:val="22"/>
        </w:rPr>
        <w:t xml:space="preserve"> Jey</w:t>
      </w:r>
      <w:r>
        <w:rPr>
          <w:rFonts w:ascii="Times New Roman" w:hAnsi="Times New Roman" w:cs="Times New Roman"/>
          <w:sz w:val="22"/>
        </w:rPr>
        <w:t xml:space="preserve">akgongdan 3-gil, Hyangnam-eup, </w:t>
      </w:r>
      <w:r w:rsidRPr="00D17AAB">
        <w:rPr>
          <w:rFonts w:ascii="Times New Roman" w:hAnsi="Times New Roman" w:cs="Times New Roman"/>
          <w:sz w:val="22"/>
        </w:rPr>
        <w:t>Manse-gu, H</w:t>
      </w:r>
      <w:r w:rsidRPr="00D30AF7">
        <w:rPr>
          <w:rFonts w:ascii="Times New Roman" w:hAnsi="Times New Roman" w:cs="Times New Roman"/>
          <w:sz w:val="22"/>
        </w:rPr>
        <w:t>waseong-si,</w:t>
      </w:r>
      <w:r>
        <w:rPr>
          <w:rFonts w:ascii="Times New Roman" w:hAnsi="Times New Roman" w:cs="Times New Roman"/>
          <w:sz w:val="22"/>
        </w:rPr>
        <w:t xml:space="preserve"> Gyeonggi-do, </w:t>
      </w:r>
    </w:p>
    <w:p w14:paraId="6524FAEC" w14:textId="77777777" w:rsidR="0099292C" w:rsidRDefault="0099292C" w:rsidP="0099292C">
      <w:pPr>
        <w:spacing w:after="0" w:line="240" w:lineRule="auto"/>
        <w:rPr>
          <w:rFonts w:eastAsiaTheme="minorHAnsi"/>
          <w:szCs w:val="20"/>
        </w:rPr>
      </w:pPr>
    </w:p>
    <w:p w14:paraId="56BB2D03" w14:textId="77777777" w:rsidR="0099292C" w:rsidRDefault="0099292C" w:rsidP="0099292C">
      <w:pPr>
        <w:spacing w:after="0" w:line="240" w:lineRule="auto"/>
        <w:rPr>
          <w:rFonts w:ascii="Times New Roman" w:eastAsiaTheme="minorHAnsi" w:hAnsi="Times New Roman"/>
          <w:szCs w:val="20"/>
          <w:lang w:val="en-GB"/>
        </w:rPr>
      </w:pPr>
      <w:r>
        <w:rPr>
          <w:rFonts w:ascii="Times New Roman" w:eastAsiaTheme="minorHAnsi" w:hAnsi="Times New Roman"/>
          <w:szCs w:val="20"/>
          <w:lang w:val="en-GB"/>
        </w:rPr>
        <w:t>HANA PHARM.CO</w:t>
      </w:r>
      <w:proofErr w:type="gramStart"/>
      <w:r>
        <w:rPr>
          <w:rFonts w:ascii="Times New Roman" w:eastAsiaTheme="minorHAnsi" w:hAnsi="Times New Roman"/>
          <w:szCs w:val="20"/>
          <w:lang w:val="en-GB"/>
        </w:rPr>
        <w:t>.,LTD.</w:t>
      </w:r>
      <w:proofErr w:type="gramEnd"/>
    </w:p>
    <w:p w14:paraId="65BAC0E7" w14:textId="77777777" w:rsidR="0099292C" w:rsidRPr="00CB692C" w:rsidRDefault="0099292C" w:rsidP="0099292C">
      <w:pPr>
        <w:spacing w:after="0" w:line="240" w:lineRule="auto"/>
        <w:rPr>
          <w:rFonts w:ascii="Sylfaen" w:eastAsiaTheme="minorHAnsi" w:hAnsi="Sylfaen"/>
          <w:szCs w:val="20"/>
          <w:lang w:val="en-GB"/>
        </w:rPr>
      </w:pPr>
      <w:r>
        <w:rPr>
          <w:rFonts w:ascii="Sylfaen" w:eastAsiaTheme="minorHAnsi" w:hAnsi="Sylfaen"/>
          <w:szCs w:val="20"/>
          <w:lang w:val="ka-GE"/>
        </w:rPr>
        <w:t>პრეზიდენტი /</w:t>
      </w:r>
      <w:r>
        <w:rPr>
          <w:rFonts w:ascii="Sylfaen" w:eastAsiaTheme="minorHAnsi" w:hAnsi="Sylfaen"/>
          <w:szCs w:val="20"/>
          <w:lang w:val="en-GB"/>
        </w:rPr>
        <w:t xml:space="preserve"> თ. ჰ. </w:t>
      </w:r>
      <w:proofErr w:type="spellStart"/>
      <w:r>
        <w:rPr>
          <w:rFonts w:ascii="Sylfaen" w:eastAsiaTheme="minorHAnsi" w:hAnsi="Sylfaen"/>
          <w:szCs w:val="20"/>
          <w:lang w:val="en-GB"/>
        </w:rPr>
        <w:t>ჩოი</w:t>
      </w:r>
      <w:proofErr w:type="spellEnd"/>
    </w:p>
    <w:p w14:paraId="37CBC3AA" w14:textId="0094A0EE" w:rsidR="00D30AF7" w:rsidRPr="00113926" w:rsidRDefault="00D30AF7" w:rsidP="002B13C1">
      <w:pPr>
        <w:spacing w:after="0" w:line="276" w:lineRule="auto"/>
        <w:rPr>
          <w:rFonts w:ascii="Times New Roman" w:hAnsi="Times New Roman" w:cs="Times New Roman"/>
          <w:sz w:val="22"/>
        </w:rPr>
      </w:pPr>
    </w:p>
    <w:sectPr w:rsidR="00D30AF7" w:rsidRPr="00113926" w:rsidSect="00A20314">
      <w:footerReference w:type="default" r:id="rId8"/>
      <w:pgSz w:w="11906" w:h="16838"/>
      <w:pgMar w:top="851" w:right="1134" w:bottom="1134" w:left="1134" w:header="851" w:footer="567"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6C076E" w14:textId="77777777" w:rsidR="00CA5F07" w:rsidRDefault="00CA5F07" w:rsidP="00E033AF">
      <w:pPr>
        <w:spacing w:after="0" w:line="240" w:lineRule="auto"/>
      </w:pPr>
      <w:r>
        <w:separator/>
      </w:r>
    </w:p>
  </w:endnote>
  <w:endnote w:type="continuationSeparator" w:id="0">
    <w:p w14:paraId="14DC2A4B" w14:textId="77777777" w:rsidR="00CA5F07" w:rsidRDefault="00CA5F07" w:rsidP="00E033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ulim">
    <w:panose1 w:val="020B0600000101010101"/>
    <w:charset w:val="81"/>
    <w:family w:val="swiss"/>
    <w:pitch w:val="variable"/>
    <w:sig w:usb0="B00002AF" w:usb1="69D77CFB" w:usb2="00000030" w:usb3="00000000" w:csb0="0008009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67205382"/>
      <w:docPartObj>
        <w:docPartGallery w:val="Page Numbers (Bottom of Page)"/>
        <w:docPartUnique/>
      </w:docPartObj>
    </w:sdtPr>
    <w:sdtEndPr>
      <w:rPr>
        <w:rFonts w:ascii="Times New Roman" w:hAnsi="Times New Roman" w:cs="Times New Roman"/>
      </w:rPr>
    </w:sdtEndPr>
    <w:sdtContent>
      <w:p w14:paraId="623C951E" w14:textId="77777777" w:rsidR="00E30093" w:rsidRPr="00DD2483" w:rsidRDefault="00E30093" w:rsidP="00DD2483">
        <w:pPr>
          <w:pStyle w:val="Footer"/>
          <w:jc w:val="center"/>
          <w:rPr>
            <w:rFonts w:ascii="Times New Roman" w:hAnsi="Times New Roman" w:cs="Times New Roman"/>
          </w:rPr>
        </w:pPr>
        <w:r w:rsidRPr="00DD2483">
          <w:rPr>
            <w:rFonts w:ascii="Times New Roman" w:hAnsi="Times New Roman" w:cs="Times New Roman"/>
          </w:rPr>
          <w:fldChar w:fldCharType="begin"/>
        </w:r>
        <w:r w:rsidRPr="00DD2483">
          <w:rPr>
            <w:rFonts w:ascii="Times New Roman" w:hAnsi="Times New Roman" w:cs="Times New Roman"/>
          </w:rPr>
          <w:instrText>PAGE   \* MERGEFORMAT</w:instrText>
        </w:r>
        <w:r w:rsidRPr="00DD2483">
          <w:rPr>
            <w:rFonts w:ascii="Times New Roman" w:hAnsi="Times New Roman" w:cs="Times New Roman"/>
          </w:rPr>
          <w:fldChar w:fldCharType="separate"/>
        </w:r>
        <w:r w:rsidR="00C51271" w:rsidRPr="00C51271">
          <w:rPr>
            <w:rFonts w:ascii="Times New Roman" w:hAnsi="Times New Roman" w:cs="Times New Roman"/>
            <w:noProof/>
            <w:lang w:val="ko-KR"/>
          </w:rPr>
          <w:t>1/11</w:t>
        </w:r>
        <w:r w:rsidRPr="00DD2483">
          <w:rPr>
            <w:rFonts w:ascii="Times New Roman" w:hAnsi="Times New Roman" w:cs="Times New Roman"/>
          </w:rPr>
          <w:fldChar w:fldCharType="end"/>
        </w:r>
        <w:r>
          <w:rPr>
            <w:rFonts w:ascii="Times New Roman" w:hAnsi="Times New Roman" w:cs="Times New Roman"/>
          </w:rPr>
          <w:t>​</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7F9378" w14:textId="77777777" w:rsidR="00CA5F07" w:rsidRDefault="00CA5F07" w:rsidP="00E033AF">
      <w:pPr>
        <w:spacing w:after="0" w:line="240" w:lineRule="auto"/>
      </w:pPr>
      <w:r>
        <w:separator/>
      </w:r>
    </w:p>
  </w:footnote>
  <w:footnote w:type="continuationSeparator" w:id="0">
    <w:p w14:paraId="2F187809" w14:textId="77777777" w:rsidR="00CA5F07" w:rsidRDefault="00CA5F07" w:rsidP="00E033A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A76539"/>
    <w:multiLevelType w:val="multilevel"/>
    <w:tmpl w:val="07DA7180"/>
    <w:lvl w:ilvl="0">
      <w:start w:val="1"/>
      <w:numFmt w:val="decimal"/>
      <w:lvlText w:val="%1."/>
      <w:lvlJc w:val="left"/>
      <w:pPr>
        <w:tabs>
          <w:tab w:val="num" w:pos="720"/>
        </w:tabs>
        <w:ind w:left="720" w:hanging="360"/>
      </w:pPr>
      <w:rPr>
        <w:b w:val="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4CB2E37"/>
    <w:multiLevelType w:val="multilevel"/>
    <w:tmpl w:val="611E4CA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 w15:restartNumberingAfterBreak="0">
    <w:nsid w:val="2BDF43E5"/>
    <w:multiLevelType w:val="multilevel"/>
    <w:tmpl w:val="DE6670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CB25294"/>
    <w:multiLevelType w:val="hybridMultilevel"/>
    <w:tmpl w:val="2C088840"/>
    <w:lvl w:ilvl="0" w:tplc="72E64CA0">
      <w:start w:val="1"/>
      <w:numFmt w:val="decimal"/>
      <w:lvlText w:val="%1."/>
      <w:lvlJc w:val="left"/>
      <w:pPr>
        <w:ind w:left="360" w:hanging="360"/>
      </w:pPr>
      <w:rPr>
        <w:rFonts w:hint="default"/>
      </w:rPr>
    </w:lvl>
    <w:lvl w:ilvl="1" w:tplc="04090019" w:tentative="1">
      <w:start w:val="1"/>
      <w:numFmt w:val="upperLetter"/>
      <w:lvlText w:val="%2."/>
      <w:lvlJc w:val="left"/>
      <w:pPr>
        <w:ind w:left="800" w:hanging="400"/>
      </w:pPr>
    </w:lvl>
    <w:lvl w:ilvl="2" w:tplc="0409001B" w:tentative="1">
      <w:start w:val="1"/>
      <w:numFmt w:val="lowerRoman"/>
      <w:lvlText w:val="%3."/>
      <w:lvlJc w:val="right"/>
      <w:pPr>
        <w:ind w:left="1200" w:hanging="400"/>
      </w:pPr>
    </w:lvl>
    <w:lvl w:ilvl="3" w:tplc="0409000F" w:tentative="1">
      <w:start w:val="1"/>
      <w:numFmt w:val="decimal"/>
      <w:lvlText w:val="%4."/>
      <w:lvlJc w:val="left"/>
      <w:pPr>
        <w:ind w:left="1600" w:hanging="400"/>
      </w:pPr>
    </w:lvl>
    <w:lvl w:ilvl="4" w:tplc="04090019" w:tentative="1">
      <w:start w:val="1"/>
      <w:numFmt w:val="upperLetter"/>
      <w:lvlText w:val="%5."/>
      <w:lvlJc w:val="left"/>
      <w:pPr>
        <w:ind w:left="2000" w:hanging="400"/>
      </w:pPr>
    </w:lvl>
    <w:lvl w:ilvl="5" w:tplc="0409001B" w:tentative="1">
      <w:start w:val="1"/>
      <w:numFmt w:val="lowerRoman"/>
      <w:lvlText w:val="%6."/>
      <w:lvlJc w:val="right"/>
      <w:pPr>
        <w:ind w:left="2400" w:hanging="400"/>
      </w:pPr>
    </w:lvl>
    <w:lvl w:ilvl="6" w:tplc="0409000F" w:tentative="1">
      <w:start w:val="1"/>
      <w:numFmt w:val="decimal"/>
      <w:lvlText w:val="%7."/>
      <w:lvlJc w:val="left"/>
      <w:pPr>
        <w:ind w:left="2800" w:hanging="400"/>
      </w:pPr>
    </w:lvl>
    <w:lvl w:ilvl="7" w:tplc="04090019" w:tentative="1">
      <w:start w:val="1"/>
      <w:numFmt w:val="upperLetter"/>
      <w:lvlText w:val="%8."/>
      <w:lvlJc w:val="left"/>
      <w:pPr>
        <w:ind w:left="3200" w:hanging="400"/>
      </w:pPr>
    </w:lvl>
    <w:lvl w:ilvl="8" w:tplc="0409001B" w:tentative="1">
      <w:start w:val="1"/>
      <w:numFmt w:val="lowerRoman"/>
      <w:lvlText w:val="%9."/>
      <w:lvlJc w:val="right"/>
      <w:pPr>
        <w:ind w:left="3600" w:hanging="400"/>
      </w:pPr>
    </w:lvl>
  </w:abstractNum>
  <w:abstractNum w:abstractNumId="4" w15:restartNumberingAfterBreak="0">
    <w:nsid w:val="68722D1F"/>
    <w:multiLevelType w:val="hybridMultilevel"/>
    <w:tmpl w:val="8C8E9648"/>
    <w:lvl w:ilvl="0" w:tplc="E6829BF4">
      <w:start w:val="2022"/>
      <w:numFmt w:val="bullet"/>
      <w:lvlText w:val="◎"/>
      <w:lvlJc w:val="left"/>
      <w:pPr>
        <w:ind w:left="360" w:hanging="360"/>
      </w:pPr>
      <w:rPr>
        <w:rFonts w:ascii="Malgun Gothic" w:eastAsia="Malgun Gothic" w:hAnsi="Malgun Gothic" w:cs="Times New Roman" w:hint="eastAsia"/>
      </w:rPr>
    </w:lvl>
    <w:lvl w:ilvl="1" w:tplc="04090003" w:tentative="1">
      <w:start w:val="1"/>
      <w:numFmt w:val="bullet"/>
      <w:lvlText w:val=""/>
      <w:lvlJc w:val="left"/>
      <w:pPr>
        <w:ind w:left="800" w:hanging="400"/>
      </w:pPr>
      <w:rPr>
        <w:rFonts w:ascii="Wingdings" w:hAnsi="Wingdings" w:hint="default"/>
      </w:rPr>
    </w:lvl>
    <w:lvl w:ilvl="2" w:tplc="04090005" w:tentative="1">
      <w:start w:val="1"/>
      <w:numFmt w:val="bullet"/>
      <w:lvlText w:val=""/>
      <w:lvlJc w:val="left"/>
      <w:pPr>
        <w:ind w:left="1200" w:hanging="400"/>
      </w:pPr>
      <w:rPr>
        <w:rFonts w:ascii="Wingdings" w:hAnsi="Wingdings" w:hint="default"/>
      </w:rPr>
    </w:lvl>
    <w:lvl w:ilvl="3" w:tplc="04090001" w:tentative="1">
      <w:start w:val="1"/>
      <w:numFmt w:val="bullet"/>
      <w:lvlText w:val=""/>
      <w:lvlJc w:val="left"/>
      <w:pPr>
        <w:ind w:left="1600" w:hanging="400"/>
      </w:pPr>
      <w:rPr>
        <w:rFonts w:ascii="Wingdings" w:hAnsi="Wingdings" w:hint="default"/>
      </w:rPr>
    </w:lvl>
    <w:lvl w:ilvl="4" w:tplc="04090003" w:tentative="1">
      <w:start w:val="1"/>
      <w:numFmt w:val="bullet"/>
      <w:lvlText w:val=""/>
      <w:lvlJc w:val="left"/>
      <w:pPr>
        <w:ind w:left="2000" w:hanging="400"/>
      </w:pPr>
      <w:rPr>
        <w:rFonts w:ascii="Wingdings" w:hAnsi="Wingdings" w:hint="default"/>
      </w:rPr>
    </w:lvl>
    <w:lvl w:ilvl="5" w:tplc="04090005" w:tentative="1">
      <w:start w:val="1"/>
      <w:numFmt w:val="bullet"/>
      <w:lvlText w:val=""/>
      <w:lvlJc w:val="left"/>
      <w:pPr>
        <w:ind w:left="2400" w:hanging="400"/>
      </w:pPr>
      <w:rPr>
        <w:rFonts w:ascii="Wingdings" w:hAnsi="Wingdings" w:hint="default"/>
      </w:rPr>
    </w:lvl>
    <w:lvl w:ilvl="6" w:tplc="04090001" w:tentative="1">
      <w:start w:val="1"/>
      <w:numFmt w:val="bullet"/>
      <w:lvlText w:val=""/>
      <w:lvlJc w:val="left"/>
      <w:pPr>
        <w:ind w:left="2800" w:hanging="400"/>
      </w:pPr>
      <w:rPr>
        <w:rFonts w:ascii="Wingdings" w:hAnsi="Wingdings" w:hint="default"/>
      </w:rPr>
    </w:lvl>
    <w:lvl w:ilvl="7" w:tplc="04090003" w:tentative="1">
      <w:start w:val="1"/>
      <w:numFmt w:val="bullet"/>
      <w:lvlText w:val=""/>
      <w:lvlJc w:val="left"/>
      <w:pPr>
        <w:ind w:left="3200" w:hanging="400"/>
      </w:pPr>
      <w:rPr>
        <w:rFonts w:ascii="Wingdings" w:hAnsi="Wingdings" w:hint="default"/>
      </w:rPr>
    </w:lvl>
    <w:lvl w:ilvl="8" w:tplc="04090005" w:tentative="1">
      <w:start w:val="1"/>
      <w:numFmt w:val="bullet"/>
      <w:lvlText w:val=""/>
      <w:lvlJc w:val="left"/>
      <w:pPr>
        <w:ind w:left="3600" w:hanging="400"/>
      </w:pPr>
      <w:rPr>
        <w:rFonts w:ascii="Wingdings" w:hAnsi="Wingdings" w:hint="default"/>
      </w:rPr>
    </w:lvl>
  </w:abstractNum>
  <w:abstractNum w:abstractNumId="5" w15:restartNumberingAfterBreak="0">
    <w:nsid w:val="6DB80730"/>
    <w:multiLevelType w:val="hybridMultilevel"/>
    <w:tmpl w:val="835E30C6"/>
    <w:lvl w:ilvl="0" w:tplc="F1E8E78C">
      <w:start w:val="2"/>
      <w:numFmt w:val="bullet"/>
      <w:lvlText w:val=""/>
      <w:lvlJc w:val="left"/>
      <w:pPr>
        <w:ind w:left="760" w:hanging="360"/>
      </w:pPr>
      <w:rPr>
        <w:rFonts w:ascii="Wingdings" w:eastAsiaTheme="minorEastAsia" w:hAnsi="Wingdings" w:cs="Times New Roman"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6" w15:restartNumberingAfterBreak="0">
    <w:nsid w:val="6F637B19"/>
    <w:multiLevelType w:val="multilevel"/>
    <w:tmpl w:val="789A0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33044330">
    <w:abstractNumId w:val="6"/>
  </w:num>
  <w:num w:numId="2" w16cid:durableId="1554661148">
    <w:abstractNumId w:val="1"/>
  </w:num>
  <w:num w:numId="3" w16cid:durableId="563023998">
    <w:abstractNumId w:val="0"/>
  </w:num>
  <w:num w:numId="4" w16cid:durableId="1507087111">
    <w:abstractNumId w:val="2"/>
  </w:num>
  <w:num w:numId="5" w16cid:durableId="73015733">
    <w:abstractNumId w:val="4"/>
  </w:num>
  <w:num w:numId="6" w16cid:durableId="1760757451">
    <w:abstractNumId w:val="3"/>
  </w:num>
  <w:num w:numId="7" w16cid:durableId="66278243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4DB9"/>
    <w:rsid w:val="00017B9D"/>
    <w:rsid w:val="00064098"/>
    <w:rsid w:val="00071660"/>
    <w:rsid w:val="0007724F"/>
    <w:rsid w:val="00085D54"/>
    <w:rsid w:val="000A0D1A"/>
    <w:rsid w:val="00101ABF"/>
    <w:rsid w:val="00113926"/>
    <w:rsid w:val="00120374"/>
    <w:rsid w:val="001414F7"/>
    <w:rsid w:val="00153C10"/>
    <w:rsid w:val="001666BE"/>
    <w:rsid w:val="00180F2D"/>
    <w:rsid w:val="001D1791"/>
    <w:rsid w:val="00222DD6"/>
    <w:rsid w:val="0025580B"/>
    <w:rsid w:val="002B13C1"/>
    <w:rsid w:val="002C4560"/>
    <w:rsid w:val="002D4B3A"/>
    <w:rsid w:val="002D6FB4"/>
    <w:rsid w:val="002F4D96"/>
    <w:rsid w:val="0031015D"/>
    <w:rsid w:val="00324A56"/>
    <w:rsid w:val="00333032"/>
    <w:rsid w:val="00336BA5"/>
    <w:rsid w:val="0034404D"/>
    <w:rsid w:val="00351BDA"/>
    <w:rsid w:val="00383992"/>
    <w:rsid w:val="00384B3A"/>
    <w:rsid w:val="00384CC0"/>
    <w:rsid w:val="003A65F6"/>
    <w:rsid w:val="003D5B5B"/>
    <w:rsid w:val="003E43DC"/>
    <w:rsid w:val="004259BA"/>
    <w:rsid w:val="00451B55"/>
    <w:rsid w:val="00472970"/>
    <w:rsid w:val="0047505C"/>
    <w:rsid w:val="004B43AD"/>
    <w:rsid w:val="004E09A5"/>
    <w:rsid w:val="00533F78"/>
    <w:rsid w:val="0055138D"/>
    <w:rsid w:val="00551AFF"/>
    <w:rsid w:val="005A0AB0"/>
    <w:rsid w:val="005B6AFB"/>
    <w:rsid w:val="005D51A3"/>
    <w:rsid w:val="005E5459"/>
    <w:rsid w:val="0060675D"/>
    <w:rsid w:val="006075AD"/>
    <w:rsid w:val="00612321"/>
    <w:rsid w:val="006363DA"/>
    <w:rsid w:val="00640E59"/>
    <w:rsid w:val="00671B01"/>
    <w:rsid w:val="006B7501"/>
    <w:rsid w:val="006D3AE5"/>
    <w:rsid w:val="006F6305"/>
    <w:rsid w:val="007168AB"/>
    <w:rsid w:val="00724330"/>
    <w:rsid w:val="0074234E"/>
    <w:rsid w:val="007558CF"/>
    <w:rsid w:val="00763526"/>
    <w:rsid w:val="00774DB9"/>
    <w:rsid w:val="00776716"/>
    <w:rsid w:val="00791BBD"/>
    <w:rsid w:val="007E51AC"/>
    <w:rsid w:val="00814618"/>
    <w:rsid w:val="00822B5F"/>
    <w:rsid w:val="00837075"/>
    <w:rsid w:val="00870063"/>
    <w:rsid w:val="008E2C0F"/>
    <w:rsid w:val="008E34B9"/>
    <w:rsid w:val="008E78DD"/>
    <w:rsid w:val="00913189"/>
    <w:rsid w:val="00952A61"/>
    <w:rsid w:val="009560C1"/>
    <w:rsid w:val="00983EA3"/>
    <w:rsid w:val="0099292C"/>
    <w:rsid w:val="009A110F"/>
    <w:rsid w:val="009B7DF3"/>
    <w:rsid w:val="009C0920"/>
    <w:rsid w:val="009E3514"/>
    <w:rsid w:val="00A20314"/>
    <w:rsid w:val="00A26478"/>
    <w:rsid w:val="00A338D8"/>
    <w:rsid w:val="00A42BC1"/>
    <w:rsid w:val="00A811FD"/>
    <w:rsid w:val="00AC72E6"/>
    <w:rsid w:val="00B03207"/>
    <w:rsid w:val="00B04724"/>
    <w:rsid w:val="00B147CE"/>
    <w:rsid w:val="00B20789"/>
    <w:rsid w:val="00B4576A"/>
    <w:rsid w:val="00B6518E"/>
    <w:rsid w:val="00B95088"/>
    <w:rsid w:val="00BF2729"/>
    <w:rsid w:val="00C40D52"/>
    <w:rsid w:val="00C51271"/>
    <w:rsid w:val="00C56F9C"/>
    <w:rsid w:val="00C624BF"/>
    <w:rsid w:val="00C66AC6"/>
    <w:rsid w:val="00C759FB"/>
    <w:rsid w:val="00CA5F07"/>
    <w:rsid w:val="00CB7888"/>
    <w:rsid w:val="00CE3C92"/>
    <w:rsid w:val="00D110D9"/>
    <w:rsid w:val="00D17AAB"/>
    <w:rsid w:val="00D30AF7"/>
    <w:rsid w:val="00D3323D"/>
    <w:rsid w:val="00D67D63"/>
    <w:rsid w:val="00DC37B0"/>
    <w:rsid w:val="00DC56FB"/>
    <w:rsid w:val="00DC7901"/>
    <w:rsid w:val="00DD0FFD"/>
    <w:rsid w:val="00DD2483"/>
    <w:rsid w:val="00E033AF"/>
    <w:rsid w:val="00E05C1A"/>
    <w:rsid w:val="00E074AA"/>
    <w:rsid w:val="00E30093"/>
    <w:rsid w:val="00E424D2"/>
    <w:rsid w:val="00E42CB6"/>
    <w:rsid w:val="00EB1DE5"/>
    <w:rsid w:val="00EC6DE1"/>
    <w:rsid w:val="00EE4B93"/>
    <w:rsid w:val="00EF16F5"/>
    <w:rsid w:val="00EF3F5D"/>
    <w:rsid w:val="00F37EA1"/>
    <w:rsid w:val="00F627A2"/>
    <w:rsid w:val="00F90EAB"/>
    <w:rsid w:val="00F910E5"/>
    <w:rsid w:val="00FB1E9A"/>
    <w:rsid w:val="00FB263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D80F29"/>
  <w15:chartTrackingRefBased/>
  <w15:docId w15:val="{5E486EA0-995D-4D65-896F-AF2D62142A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Cs w:val="22"/>
        <w:lang w:val="ka"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DF3"/>
    <w:pPr>
      <w:widowControl w:val="0"/>
      <w:wordWrap w:val="0"/>
      <w:autoSpaceDE w:val="0"/>
      <w:autoSpaceDN w:val="0"/>
    </w:pPr>
  </w:style>
  <w:style w:type="paragraph" w:styleId="Heading3">
    <w:name w:val="heading 3"/>
    <w:basedOn w:val="Normal"/>
    <w:link w:val="Heading3Char"/>
    <w:uiPriority w:val="9"/>
    <w:qFormat/>
    <w:rsid w:val="002D4B3A"/>
    <w:pPr>
      <w:widowControl/>
      <w:wordWrap/>
      <w:autoSpaceDE/>
      <w:autoSpaceDN/>
      <w:spacing w:before="100" w:beforeAutospacing="1" w:after="100" w:afterAutospacing="1" w:line="240" w:lineRule="auto"/>
      <w:jc w:val="left"/>
      <w:outlineLvl w:val="2"/>
    </w:pPr>
    <w:rPr>
      <w:rFonts w:ascii="Gulim" w:eastAsia="Gulim" w:hAnsi="Gulim" w:cs="Gulim"/>
      <w:b/>
      <w:bCs/>
      <w:kern w:val="0"/>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B750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640E59"/>
    <w:pPr>
      <w:spacing w:after="0" w:line="240" w:lineRule="auto"/>
    </w:pPr>
    <w:rPr>
      <w:rFonts w:asciiTheme="majorHAnsi" w:eastAsiaTheme="majorEastAsia" w:hAnsiTheme="majorHAnsi" w:cstheme="majorBidi"/>
      <w:sz w:val="18"/>
      <w:szCs w:val="18"/>
    </w:rPr>
  </w:style>
  <w:style w:type="character" w:customStyle="1" w:styleId="BalloonTextChar">
    <w:name w:val="Balloon Text Char"/>
    <w:basedOn w:val="DefaultParagraphFont"/>
    <w:link w:val="BalloonText"/>
    <w:uiPriority w:val="99"/>
    <w:semiHidden/>
    <w:rsid w:val="00640E59"/>
    <w:rPr>
      <w:rFonts w:asciiTheme="majorHAnsi" w:eastAsiaTheme="majorEastAsia" w:hAnsiTheme="majorHAnsi" w:cstheme="majorBidi"/>
      <w:sz w:val="18"/>
      <w:szCs w:val="18"/>
    </w:rPr>
  </w:style>
  <w:style w:type="character" w:styleId="Strong">
    <w:name w:val="Strong"/>
    <w:basedOn w:val="DefaultParagraphFont"/>
    <w:uiPriority w:val="22"/>
    <w:qFormat/>
    <w:rsid w:val="00F90EAB"/>
    <w:rPr>
      <w:b/>
      <w:bCs/>
    </w:rPr>
  </w:style>
  <w:style w:type="paragraph" w:styleId="NormalWeb">
    <w:name w:val="Normal (Web)"/>
    <w:basedOn w:val="Normal"/>
    <w:uiPriority w:val="99"/>
    <w:unhideWhenUsed/>
    <w:rsid w:val="00E05C1A"/>
    <w:pPr>
      <w:widowControl/>
      <w:wordWrap/>
      <w:autoSpaceDE/>
      <w:autoSpaceDN/>
      <w:spacing w:before="100" w:beforeAutospacing="1" w:after="100" w:afterAutospacing="1" w:line="240" w:lineRule="auto"/>
      <w:jc w:val="left"/>
    </w:pPr>
    <w:rPr>
      <w:rFonts w:ascii="Gulim" w:eastAsia="Gulim" w:hAnsi="Gulim" w:cs="Gulim"/>
      <w:kern w:val="0"/>
      <w:sz w:val="24"/>
      <w:szCs w:val="24"/>
    </w:rPr>
  </w:style>
  <w:style w:type="character" w:customStyle="1" w:styleId="Heading3Char">
    <w:name w:val="Heading 3 Char"/>
    <w:basedOn w:val="DefaultParagraphFont"/>
    <w:link w:val="Heading3"/>
    <w:uiPriority w:val="9"/>
    <w:rsid w:val="002D4B3A"/>
    <w:rPr>
      <w:rFonts w:ascii="Gulim" w:eastAsia="Gulim" w:hAnsi="Gulim" w:cs="Gulim"/>
      <w:b/>
      <w:bCs/>
      <w:kern w:val="0"/>
      <w:sz w:val="27"/>
      <w:szCs w:val="27"/>
    </w:rPr>
  </w:style>
  <w:style w:type="character" w:styleId="Emphasis">
    <w:name w:val="Emphasis"/>
    <w:basedOn w:val="DefaultParagraphFont"/>
    <w:uiPriority w:val="20"/>
    <w:qFormat/>
    <w:rsid w:val="002D4B3A"/>
    <w:rPr>
      <w:i/>
      <w:iCs/>
    </w:rPr>
  </w:style>
  <w:style w:type="paragraph" w:styleId="Header">
    <w:name w:val="header"/>
    <w:basedOn w:val="Normal"/>
    <w:link w:val="HeaderChar"/>
    <w:uiPriority w:val="99"/>
    <w:unhideWhenUsed/>
    <w:rsid w:val="00E033AF"/>
    <w:pPr>
      <w:tabs>
        <w:tab w:val="center" w:pos="4513"/>
        <w:tab w:val="right" w:pos="9026"/>
      </w:tabs>
      <w:snapToGrid w:val="0"/>
    </w:pPr>
  </w:style>
  <w:style w:type="character" w:customStyle="1" w:styleId="HeaderChar">
    <w:name w:val="Header Char"/>
    <w:basedOn w:val="DefaultParagraphFont"/>
    <w:link w:val="Header"/>
    <w:uiPriority w:val="99"/>
    <w:rsid w:val="00E033AF"/>
  </w:style>
  <w:style w:type="paragraph" w:styleId="Footer">
    <w:name w:val="footer"/>
    <w:basedOn w:val="Normal"/>
    <w:link w:val="FooterChar"/>
    <w:uiPriority w:val="99"/>
    <w:unhideWhenUsed/>
    <w:rsid w:val="00E033AF"/>
    <w:pPr>
      <w:tabs>
        <w:tab w:val="center" w:pos="4513"/>
        <w:tab w:val="right" w:pos="9026"/>
      </w:tabs>
      <w:snapToGrid w:val="0"/>
    </w:pPr>
  </w:style>
  <w:style w:type="character" w:customStyle="1" w:styleId="FooterChar">
    <w:name w:val="Footer Char"/>
    <w:basedOn w:val="DefaultParagraphFont"/>
    <w:link w:val="Footer"/>
    <w:uiPriority w:val="99"/>
    <w:rsid w:val="00E033AF"/>
  </w:style>
  <w:style w:type="paragraph" w:styleId="ListParagraph">
    <w:name w:val="List Paragraph"/>
    <w:basedOn w:val="Normal"/>
    <w:uiPriority w:val="34"/>
    <w:qFormat/>
    <w:rsid w:val="00222DD6"/>
    <w:pPr>
      <w:ind w:leftChars="400" w:left="800"/>
    </w:pPr>
  </w:style>
  <w:style w:type="character" w:styleId="Hyperlink">
    <w:name w:val="Hyperlink"/>
    <w:basedOn w:val="DefaultParagraphFont"/>
    <w:uiPriority w:val="99"/>
    <w:unhideWhenUsed/>
    <w:rsid w:val="00791BB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751112">
      <w:bodyDiv w:val="1"/>
      <w:marLeft w:val="0"/>
      <w:marRight w:val="0"/>
      <w:marTop w:val="0"/>
      <w:marBottom w:val="0"/>
      <w:divBdr>
        <w:top w:val="none" w:sz="0" w:space="0" w:color="auto"/>
        <w:left w:val="none" w:sz="0" w:space="0" w:color="auto"/>
        <w:bottom w:val="none" w:sz="0" w:space="0" w:color="auto"/>
        <w:right w:val="none" w:sz="0" w:space="0" w:color="auto"/>
      </w:divBdr>
      <w:divsChild>
        <w:div w:id="369770627">
          <w:marLeft w:val="0"/>
          <w:marRight w:val="0"/>
          <w:marTop w:val="0"/>
          <w:marBottom w:val="0"/>
          <w:divBdr>
            <w:top w:val="none" w:sz="0" w:space="0" w:color="auto"/>
            <w:left w:val="none" w:sz="0" w:space="0" w:color="auto"/>
            <w:bottom w:val="none" w:sz="0" w:space="0" w:color="auto"/>
            <w:right w:val="none" w:sz="0" w:space="0" w:color="auto"/>
          </w:divBdr>
        </w:div>
        <w:div w:id="190464022">
          <w:marLeft w:val="0"/>
          <w:marRight w:val="0"/>
          <w:marTop w:val="0"/>
          <w:marBottom w:val="0"/>
          <w:divBdr>
            <w:top w:val="none" w:sz="0" w:space="0" w:color="auto"/>
            <w:left w:val="none" w:sz="0" w:space="0" w:color="auto"/>
            <w:bottom w:val="none" w:sz="0" w:space="0" w:color="auto"/>
            <w:right w:val="none" w:sz="0" w:space="0" w:color="auto"/>
          </w:divBdr>
        </w:div>
        <w:div w:id="754479509">
          <w:marLeft w:val="0"/>
          <w:marRight w:val="0"/>
          <w:marTop w:val="0"/>
          <w:marBottom w:val="0"/>
          <w:divBdr>
            <w:top w:val="none" w:sz="0" w:space="0" w:color="auto"/>
            <w:left w:val="none" w:sz="0" w:space="0" w:color="auto"/>
            <w:bottom w:val="none" w:sz="0" w:space="0" w:color="auto"/>
            <w:right w:val="none" w:sz="0" w:space="0" w:color="auto"/>
          </w:divBdr>
        </w:div>
      </w:divsChild>
    </w:div>
    <w:div w:id="166673489">
      <w:bodyDiv w:val="1"/>
      <w:marLeft w:val="0"/>
      <w:marRight w:val="0"/>
      <w:marTop w:val="0"/>
      <w:marBottom w:val="0"/>
      <w:divBdr>
        <w:top w:val="none" w:sz="0" w:space="0" w:color="auto"/>
        <w:left w:val="none" w:sz="0" w:space="0" w:color="auto"/>
        <w:bottom w:val="none" w:sz="0" w:space="0" w:color="auto"/>
        <w:right w:val="none" w:sz="0" w:space="0" w:color="auto"/>
      </w:divBdr>
    </w:div>
    <w:div w:id="243801455">
      <w:bodyDiv w:val="1"/>
      <w:marLeft w:val="0"/>
      <w:marRight w:val="0"/>
      <w:marTop w:val="0"/>
      <w:marBottom w:val="0"/>
      <w:divBdr>
        <w:top w:val="none" w:sz="0" w:space="0" w:color="auto"/>
        <w:left w:val="none" w:sz="0" w:space="0" w:color="auto"/>
        <w:bottom w:val="none" w:sz="0" w:space="0" w:color="auto"/>
        <w:right w:val="none" w:sz="0" w:space="0" w:color="auto"/>
      </w:divBdr>
    </w:div>
    <w:div w:id="262760895">
      <w:bodyDiv w:val="1"/>
      <w:marLeft w:val="0"/>
      <w:marRight w:val="0"/>
      <w:marTop w:val="0"/>
      <w:marBottom w:val="0"/>
      <w:divBdr>
        <w:top w:val="none" w:sz="0" w:space="0" w:color="auto"/>
        <w:left w:val="none" w:sz="0" w:space="0" w:color="auto"/>
        <w:bottom w:val="none" w:sz="0" w:space="0" w:color="auto"/>
        <w:right w:val="none" w:sz="0" w:space="0" w:color="auto"/>
      </w:divBdr>
    </w:div>
    <w:div w:id="499127407">
      <w:bodyDiv w:val="1"/>
      <w:marLeft w:val="0"/>
      <w:marRight w:val="0"/>
      <w:marTop w:val="0"/>
      <w:marBottom w:val="0"/>
      <w:divBdr>
        <w:top w:val="none" w:sz="0" w:space="0" w:color="auto"/>
        <w:left w:val="none" w:sz="0" w:space="0" w:color="auto"/>
        <w:bottom w:val="none" w:sz="0" w:space="0" w:color="auto"/>
        <w:right w:val="none" w:sz="0" w:space="0" w:color="auto"/>
      </w:divBdr>
    </w:div>
    <w:div w:id="589389844">
      <w:bodyDiv w:val="1"/>
      <w:marLeft w:val="0"/>
      <w:marRight w:val="0"/>
      <w:marTop w:val="0"/>
      <w:marBottom w:val="0"/>
      <w:divBdr>
        <w:top w:val="none" w:sz="0" w:space="0" w:color="auto"/>
        <w:left w:val="none" w:sz="0" w:space="0" w:color="auto"/>
        <w:bottom w:val="none" w:sz="0" w:space="0" w:color="auto"/>
        <w:right w:val="none" w:sz="0" w:space="0" w:color="auto"/>
      </w:divBdr>
      <w:divsChild>
        <w:div w:id="837423706">
          <w:marLeft w:val="0"/>
          <w:marRight w:val="0"/>
          <w:marTop w:val="0"/>
          <w:marBottom w:val="0"/>
          <w:divBdr>
            <w:top w:val="none" w:sz="0" w:space="0" w:color="auto"/>
            <w:left w:val="none" w:sz="0" w:space="0" w:color="auto"/>
            <w:bottom w:val="none" w:sz="0" w:space="0" w:color="auto"/>
            <w:right w:val="none" w:sz="0" w:space="0" w:color="auto"/>
          </w:divBdr>
          <w:divsChild>
            <w:div w:id="877162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4702671">
      <w:bodyDiv w:val="1"/>
      <w:marLeft w:val="0"/>
      <w:marRight w:val="0"/>
      <w:marTop w:val="0"/>
      <w:marBottom w:val="0"/>
      <w:divBdr>
        <w:top w:val="none" w:sz="0" w:space="0" w:color="auto"/>
        <w:left w:val="none" w:sz="0" w:space="0" w:color="auto"/>
        <w:bottom w:val="none" w:sz="0" w:space="0" w:color="auto"/>
        <w:right w:val="none" w:sz="0" w:space="0" w:color="auto"/>
      </w:divBdr>
    </w:div>
    <w:div w:id="850725069">
      <w:bodyDiv w:val="1"/>
      <w:marLeft w:val="0"/>
      <w:marRight w:val="0"/>
      <w:marTop w:val="0"/>
      <w:marBottom w:val="0"/>
      <w:divBdr>
        <w:top w:val="none" w:sz="0" w:space="0" w:color="auto"/>
        <w:left w:val="none" w:sz="0" w:space="0" w:color="auto"/>
        <w:bottom w:val="none" w:sz="0" w:space="0" w:color="auto"/>
        <w:right w:val="none" w:sz="0" w:space="0" w:color="auto"/>
      </w:divBdr>
    </w:div>
    <w:div w:id="865673548">
      <w:bodyDiv w:val="1"/>
      <w:marLeft w:val="0"/>
      <w:marRight w:val="0"/>
      <w:marTop w:val="0"/>
      <w:marBottom w:val="0"/>
      <w:divBdr>
        <w:top w:val="none" w:sz="0" w:space="0" w:color="auto"/>
        <w:left w:val="none" w:sz="0" w:space="0" w:color="auto"/>
        <w:bottom w:val="none" w:sz="0" w:space="0" w:color="auto"/>
        <w:right w:val="none" w:sz="0" w:space="0" w:color="auto"/>
      </w:divBdr>
    </w:div>
    <w:div w:id="881550575">
      <w:bodyDiv w:val="1"/>
      <w:marLeft w:val="0"/>
      <w:marRight w:val="0"/>
      <w:marTop w:val="0"/>
      <w:marBottom w:val="0"/>
      <w:divBdr>
        <w:top w:val="none" w:sz="0" w:space="0" w:color="auto"/>
        <w:left w:val="none" w:sz="0" w:space="0" w:color="auto"/>
        <w:bottom w:val="none" w:sz="0" w:space="0" w:color="auto"/>
        <w:right w:val="none" w:sz="0" w:space="0" w:color="auto"/>
      </w:divBdr>
    </w:div>
    <w:div w:id="1487625645">
      <w:bodyDiv w:val="1"/>
      <w:marLeft w:val="0"/>
      <w:marRight w:val="0"/>
      <w:marTop w:val="0"/>
      <w:marBottom w:val="0"/>
      <w:divBdr>
        <w:top w:val="none" w:sz="0" w:space="0" w:color="auto"/>
        <w:left w:val="none" w:sz="0" w:space="0" w:color="auto"/>
        <w:bottom w:val="none" w:sz="0" w:space="0" w:color="auto"/>
        <w:right w:val="none" w:sz="0" w:space="0" w:color="auto"/>
      </w:divBdr>
    </w:div>
    <w:div w:id="1696033081">
      <w:bodyDiv w:val="1"/>
      <w:marLeft w:val="0"/>
      <w:marRight w:val="0"/>
      <w:marTop w:val="0"/>
      <w:marBottom w:val="0"/>
      <w:divBdr>
        <w:top w:val="none" w:sz="0" w:space="0" w:color="auto"/>
        <w:left w:val="none" w:sz="0" w:space="0" w:color="auto"/>
        <w:bottom w:val="none" w:sz="0" w:space="0" w:color="auto"/>
        <w:right w:val="none" w:sz="0" w:space="0" w:color="auto"/>
      </w:divBdr>
    </w:div>
    <w:div w:id="21277009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맑은 고딕"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08FF3A-D791-4F7F-9EF3-A8A4A4ABD1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3905</Words>
  <Characters>22261</Characters>
  <Application>Microsoft Office Word</Application>
  <DocSecurity>0</DocSecurity>
  <Lines>185</Lines>
  <Paragraphs>52</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26114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김수현 Soohyun</dc:creator>
  <cp:keywords/>
  <dc:description/>
  <cp:lastModifiedBy>Ana-Gigauri</cp:lastModifiedBy>
  <cp:revision>6</cp:revision>
  <cp:lastPrinted>2026-06-22T06:11:00Z</cp:lastPrinted>
  <dcterms:created xsi:type="dcterms:W3CDTF">2026-07-28T12:45:00Z</dcterms:created>
  <dcterms:modified xsi:type="dcterms:W3CDTF">2026-07-28T17:51:00Z</dcterms:modified>
</cp:coreProperties>
</file>