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41FE2"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vanish/>
          <w:kern w:val="0"/>
          <w:sz w:val="24"/>
          <w:szCs w:val="24"/>
          <w:lang w:val="en-GB"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DFC" w:rsidRPr="006C2DFC" w14:paraId="54CC8A66" w14:textId="77777777" w:rsidTr="006C2DFC">
        <w:trPr>
          <w:tblCellSpacing w:w="15" w:type="dxa"/>
        </w:trPr>
        <w:tc>
          <w:tcPr>
            <w:tcW w:w="0" w:type="auto"/>
            <w:vAlign w:val="center"/>
            <w:hideMark/>
          </w:tcPr>
          <w:p w14:paraId="43898F0A" w14:textId="362E0301"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kern w:val="0"/>
                <w:sz w:val="24"/>
                <w:szCs w:val="24"/>
                <w:lang w:val="en-GB" w:eastAsia="en-GB"/>
              </w:rPr>
            </w:pPr>
          </w:p>
        </w:tc>
      </w:tr>
    </w:tbl>
    <w:p w14:paraId="45E64D83"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vanish/>
          <w:kern w:val="0"/>
          <w:sz w:val="24"/>
          <w:szCs w:val="24"/>
          <w:lang w:val="en-GB" w:eastAsia="en-GB"/>
        </w:rPr>
      </w:pPr>
    </w:p>
    <w:p w14:paraId="28952460"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vanish/>
          <w:kern w:val="0"/>
          <w:sz w:val="24"/>
          <w:szCs w:val="24"/>
          <w:lang w:val="en-GB"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C2DFC" w:rsidRPr="006C2DFC" w14:paraId="05E092B8" w14:textId="77777777" w:rsidTr="006C2DFC">
        <w:trPr>
          <w:tblCellSpacing w:w="15" w:type="dxa"/>
        </w:trPr>
        <w:tc>
          <w:tcPr>
            <w:tcW w:w="0" w:type="auto"/>
            <w:vAlign w:val="center"/>
            <w:hideMark/>
          </w:tcPr>
          <w:p w14:paraId="7CA12D58"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kern w:val="0"/>
                <w:sz w:val="24"/>
                <w:szCs w:val="24"/>
                <w:lang w:val="en-GB" w:eastAsia="en-GB"/>
              </w:rPr>
            </w:pPr>
          </w:p>
        </w:tc>
        <w:tc>
          <w:tcPr>
            <w:tcW w:w="0" w:type="auto"/>
            <w:vAlign w:val="center"/>
            <w:hideMark/>
          </w:tcPr>
          <w:p w14:paraId="4E558B32" w14:textId="77777777" w:rsidR="006C2DFC" w:rsidRPr="006C2DFC" w:rsidRDefault="006C2DFC" w:rsidP="006C2DFC">
            <w:pPr>
              <w:widowControl/>
              <w:wordWrap/>
              <w:autoSpaceDE/>
              <w:autoSpaceDN/>
              <w:spacing w:after="0" w:line="240" w:lineRule="auto"/>
              <w:jc w:val="left"/>
              <w:rPr>
                <w:rFonts w:ascii="Times New Roman" w:eastAsia="Times New Roman" w:hAnsi="Times New Roman" w:cs="Times New Roman"/>
                <w:kern w:val="0"/>
                <w:szCs w:val="20"/>
                <w:lang w:val="en-GB" w:eastAsia="en-GB"/>
              </w:rPr>
            </w:pPr>
          </w:p>
        </w:tc>
      </w:tr>
    </w:tbl>
    <w:p w14:paraId="4E6C79A2" w14:textId="2A5A80AD" w:rsidR="006C2DFC" w:rsidRPr="00CC12D1" w:rsidRDefault="006C2DFC" w:rsidP="004001F3">
      <w:pPr>
        <w:spacing w:after="0"/>
        <w:rPr>
          <w:rFonts w:ascii="Times New Roman" w:hAnsi="Times New Roman" w:cs="Times New Roman"/>
          <w:szCs w:val="20"/>
        </w:rPr>
      </w:pPr>
    </w:p>
    <w:p w14:paraId="6B9EA50E" w14:textId="125ED5F7" w:rsidR="006C2DFC" w:rsidRPr="00CC12D1" w:rsidRDefault="006C2DFC" w:rsidP="004001F3">
      <w:pPr>
        <w:spacing w:after="0"/>
        <w:rPr>
          <w:rFonts w:ascii="Times New Roman" w:hAnsi="Times New Roman" w:cs="Times New Roman"/>
          <w:szCs w:val="20"/>
        </w:rPr>
      </w:pPr>
      <w:r w:rsidRPr="00CC12D1">
        <w:rPr>
          <w:rFonts w:ascii="Times New Roman" w:hAnsi="Times New Roman" w:cs="Times New Roman"/>
          <w:szCs w:val="20"/>
        </w:rPr>
        <w:t>შეფუთვ</w:t>
      </w:r>
      <w:r w:rsidR="008D36EA">
        <w:rPr>
          <w:rFonts w:ascii="Sylfaen" w:hAnsi="Sylfaen" w:cs="Times New Roman"/>
          <w:szCs w:val="20"/>
          <w:lang w:val="ka-GE"/>
        </w:rPr>
        <w:t xml:space="preserve">ა მარკირება </w:t>
      </w:r>
      <w:r w:rsidRPr="00CC12D1">
        <w:rPr>
          <w:rFonts w:ascii="Times New Roman" w:hAnsi="Times New Roman" w:cs="Times New Roman"/>
          <w:szCs w:val="20"/>
        </w:rPr>
        <w:t xml:space="preserve"> Hana Pharm Co., Ltd.</w:t>
      </w:r>
    </w:p>
    <w:p w14:paraId="0D3E350A" w14:textId="69541EF4" w:rsidR="006C2DFC" w:rsidRPr="00CC12D1" w:rsidRDefault="006C2DFC" w:rsidP="004001F3">
      <w:pPr>
        <w:spacing w:after="0"/>
        <w:rPr>
          <w:rFonts w:ascii="Times New Roman" w:hAnsi="Times New Roman" w:cs="Times New Roman"/>
          <w:szCs w:val="20"/>
        </w:rPr>
      </w:pPr>
      <w:r w:rsidRPr="00CC12D1">
        <w:rPr>
          <w:rFonts w:ascii="Times New Roman" w:hAnsi="Times New Roman" w:cs="Times New Roman"/>
          <w:szCs w:val="20"/>
        </w:rPr>
        <w:t>პროდუქტის დასახელება IFRAN SOLUTION ძალაში შესვლის თარიღი: 2026.05.11.</w:t>
      </w:r>
    </w:p>
    <w:p w14:paraId="647A2F5B" w14:textId="6DB6CB6E" w:rsidR="006C2DFC" w:rsidRPr="00CC12D1" w:rsidRDefault="006C2DFC" w:rsidP="004001F3">
      <w:pPr>
        <w:spacing w:after="0"/>
        <w:rPr>
          <w:rFonts w:ascii="Times New Roman" w:hAnsi="Times New Roman" w:cs="Times New Roman"/>
          <w:szCs w:val="20"/>
        </w:rPr>
      </w:pPr>
      <w:r w:rsidRPr="00CC12D1">
        <w:rPr>
          <w:rFonts w:ascii="Times New Roman" w:hAnsi="Times New Roman" w:cs="Times New Roman"/>
          <w:szCs w:val="20"/>
        </w:rPr>
        <w:t>ზომა (მმ ) 100 × 325</w:t>
      </w:r>
      <w:r w:rsidRPr="00CC12D1">
        <w:rPr>
          <w:szCs w:val="20"/>
        </w:rPr>
        <w:t xml:space="preserve">   </w:t>
      </w:r>
      <w:r w:rsidRPr="00CC12D1">
        <w:rPr>
          <w:rFonts w:ascii="Times New Roman" w:hAnsi="Times New Roman" w:cs="Times New Roman"/>
          <w:szCs w:val="20"/>
        </w:rPr>
        <w:t>დიზაინი</w:t>
      </w:r>
      <w:r w:rsidR="007B2047">
        <w:rPr>
          <w:rFonts w:ascii="Times New Roman" w:hAnsi="Times New Roman" w:cs="Times New Roman"/>
          <w:szCs w:val="20"/>
        </w:rPr>
        <w:t xml:space="preserve"> </w:t>
      </w:r>
      <w:r w:rsidRPr="00CC12D1">
        <w:rPr>
          <w:rFonts w:ascii="Times New Roman" w:hAnsi="Times New Roman" w:cs="Times New Roman"/>
          <w:szCs w:val="20"/>
        </w:rPr>
        <w:t xml:space="preserve"> წარმომადგენლის თანაშემწე მენეჯერი იუნ ი-სანგი (02-550-5787)</w:t>
      </w:r>
    </w:p>
    <w:p w14:paraId="0FBDAF5B" w14:textId="1CA226BF" w:rsidR="006C2DFC" w:rsidRPr="00CC12D1" w:rsidRDefault="006C2DFC" w:rsidP="004001F3">
      <w:pPr>
        <w:spacing w:after="0"/>
        <w:rPr>
          <w:rFonts w:ascii="Times New Roman" w:hAnsi="Times New Roman" w:cs="Times New Roman"/>
          <w:szCs w:val="20"/>
        </w:rPr>
      </w:pPr>
      <w:r w:rsidRPr="00CC12D1">
        <w:rPr>
          <w:rFonts w:ascii="Times New Roman" w:hAnsi="Times New Roman" w:cs="Times New Roman"/>
          <w:szCs w:val="20"/>
        </w:rPr>
        <w:t xml:space="preserve">ფერი </w:t>
      </w:r>
      <w:r w:rsidRPr="00CC12D1">
        <w:rPr>
          <w:rFonts w:ascii="Times New Roman" w:hAnsi="Times New Roman" w:cs="Times New Roman"/>
          <w:szCs w:val="20"/>
        </w:rPr>
        <w:tab/>
        <w:t>DIC-329 პროდუქტის განვითარების გუნდი უფროსი იუნ სუ-ბინი</w:t>
      </w:r>
    </w:p>
    <w:p w14:paraId="2CCA00E8" w14:textId="45E4B524" w:rsidR="006C2DFC" w:rsidRDefault="006C2DFC" w:rsidP="004001F3">
      <w:pPr>
        <w:spacing w:after="0"/>
        <w:rPr>
          <w:rFonts w:ascii="Times New Roman" w:hAnsi="Times New Roman" w:cs="Times New Roman"/>
          <w:szCs w:val="20"/>
        </w:rPr>
      </w:pPr>
      <w:r w:rsidRPr="00CC12D1">
        <w:rPr>
          <w:rFonts w:ascii="Times New Roman" w:hAnsi="Times New Roman" w:cs="Times New Roman"/>
          <w:szCs w:val="20"/>
        </w:rPr>
        <w:t xml:space="preserve">სტამბა </w:t>
      </w:r>
      <w:r w:rsidRPr="00CC12D1">
        <w:rPr>
          <w:rFonts w:ascii="Times New Roman" w:hAnsi="Times New Roman" w:cs="Times New Roman"/>
          <w:szCs w:val="20"/>
        </w:rPr>
        <w:tab/>
        <w:t>დონგინი ბეჭდვა land 00/land00</w:t>
      </w:r>
    </w:p>
    <w:p w14:paraId="5B17176C" w14:textId="77777777" w:rsidR="00CC12D1" w:rsidRDefault="00CC12D1" w:rsidP="004001F3">
      <w:pPr>
        <w:spacing w:after="0"/>
        <w:rPr>
          <w:rFonts w:ascii="Times New Roman" w:hAnsi="Times New Roman" w:cs="Times New Roman"/>
          <w:sz w:val="24"/>
          <w:szCs w:val="24"/>
        </w:rPr>
      </w:pPr>
    </w:p>
    <w:p w14:paraId="588BA705" w14:textId="77777777" w:rsidR="006C2DFC" w:rsidRDefault="006C2DFC" w:rsidP="004001F3">
      <w:pPr>
        <w:spacing w:after="0"/>
        <w:rPr>
          <w:rFonts w:ascii="Times New Roman" w:hAnsi="Times New Roman" w:cs="Times New Roman"/>
          <w:sz w:val="24"/>
          <w:szCs w:val="24"/>
        </w:rPr>
      </w:pPr>
    </w:p>
    <w:p w14:paraId="49CD0FFD" w14:textId="3E77A9E6" w:rsidR="00E16DFA" w:rsidRDefault="00E16DFA" w:rsidP="004001F3">
      <w:pPr>
        <w:spacing w:after="0"/>
        <w:rPr>
          <w:rFonts w:ascii="Times New Roman" w:hAnsi="Times New Roman" w:cs="Times New Roman"/>
          <w:sz w:val="24"/>
          <w:szCs w:val="24"/>
        </w:rPr>
      </w:pPr>
      <w:r w:rsidRPr="00EC3A2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6DE7CD9" wp14:editId="3E139332">
                <wp:simplePos x="0" y="0"/>
                <wp:positionH relativeFrom="margin">
                  <wp:posOffset>38100</wp:posOffset>
                </wp:positionH>
                <wp:positionV relativeFrom="paragraph">
                  <wp:posOffset>13335</wp:posOffset>
                </wp:positionV>
                <wp:extent cx="1615440" cy="314325"/>
                <wp:effectExtent l="0" t="0" r="22860" b="28575"/>
                <wp:wrapNone/>
                <wp:docPr id="3" name="Text Box 3"/>
                <wp:cNvGraphicFramePr/>
                <a:graphic xmlns:a="http://schemas.openxmlformats.org/drawingml/2006/main">
                  <a:graphicData uri="http://schemas.microsoft.com/office/word/2010/wordprocessingShape">
                    <wps:wsp>
                      <wps:cNvSpPr txBox="1"/>
                      <wps:spPr>
                        <a:xfrm>
                          <a:off x="0" y="0"/>
                          <a:ext cx="1615440" cy="314325"/>
                        </a:xfrm>
                        <a:prstGeom prst="rect">
                          <a:avLst/>
                        </a:prstGeom>
                        <a:solidFill>
                          <a:schemeClr val="lt1"/>
                        </a:solidFill>
                        <a:ln w="6350">
                          <a:solidFill>
                            <a:prstClr val="black"/>
                          </a:solidFill>
                        </a:ln>
                      </wps:spPr>
                      <wps:txbx>
                        <w:txbxContent>
                          <w:p w14:paraId="5C2E3E5B" w14:textId="1002BD35" w:rsidR="003E60D9" w:rsidRPr="00F711F6" w:rsidRDefault="00F711F6">
                            <w:pPr>
                              <w:rPr>
                                <w:rFonts w:ascii="Sylfaen" w:hAnsi="Sylfaen"/>
                                <w:lang w:val="ka-GE"/>
                              </w:rPr>
                            </w:pPr>
                            <w:r>
                              <w:rPr>
                                <w:rFonts w:ascii="Sylfaen" w:hAnsi="Sylfaen"/>
                                <w:lang w:val="ka-GE"/>
                              </w:rPr>
                              <w:t xml:space="preserve">მხოლოდ რეფეცტით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DE7CD9" id="_x0000_t202" coordsize="21600,21600" o:spt="202" path="m,l,21600r21600,l21600,xe">
                <v:stroke joinstyle="miter"/>
                <v:path gradientshapeok="t" o:connecttype="rect"/>
              </v:shapetype>
              <v:shape id="Text Box 3" o:spid="_x0000_s1026" type="#_x0000_t202" style="position:absolute;left:0;text-align:left;margin-left:3pt;margin-top:1.05pt;width:127.2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Nd/NQIAAHwEAAAOAAAAZHJzL2Uyb0RvYy54bWysVE2P2yAQvVfqf0DcG8f5amvFWaVZpaoU&#10;7a6UrfZMMMRWMUOBxE5/fQfsfOy2p6oXPPCGx8ybGc/v2lqRo7CuAp3TdDCkRGgORaX3Of3+vP7w&#10;iRLnmS6YAi1yehKO3i3ev5s3JhMjKEEVwhIk0S5rTE5L702WJI6XomZuAEZoBCXYmnnc2n1SWNYg&#10;e62S0XA4SxqwhbHAhXN4et+BdBH5pRTcP0rphCcqpxibj6uN6y6syWLOsr1lpqx4Hwb7hyhqVml8&#10;9EJ1zzwjB1v9QVVX3IID6Qcc6gSkrLiIOWA26fBNNtuSGRFzQXGcucjk/h8tfzhuzZMlvv0CLRYw&#10;CNIYlzk8DPm00tbhi5ESxFHC00U20XrCw6VZOp1MEOKIjdPJeDQNNMn1trHOfxVQk2Dk1GJZolrs&#10;uHG+cz27hMccqKpYV0rFTWgFsVKWHBkWUfkYI5K/8lKaNDmdjafDSPwKC9SX+zvF+I8+vBsv5FMa&#10;Y77mHizf7tpekB0UJ9TJQtdCzvB1hbwb5vwTs9gzmD/OgX/ERSrAYKC3KCnB/vrbefDHUiJKSYM9&#10;mFP388CsoER901jkz2mU1cfNZPpxhG/YW2R3i+hDvQJUKMWJMzyawd+rsykt1C84LsvwKkJMc3w7&#10;p/5srnw3GThuXCyX0Qnb1DC/0VvDA3WoSNDzuX1h1vT19NgJD3DuVpa9KWvnG25qWB48yCrWPAjc&#10;qdrrji0eu6YfxzBDt/vodf1pLH4DAAD//wMAUEsDBBQABgAIAAAAIQBAfmWp2gAAAAYBAAAPAAAA&#10;ZHJzL2Rvd25yZXYueG1sTI8xT8MwFIR3JP6D9SqxUScRRCHkpQJUWJhoEbMbu7bV+Dmy3TT8e8wE&#10;4+lOd991m8WNbFYhWk8I5boApmjw0pJG+Ny/3jbAYhIkxehJIXyrCJv++qoTrfQX+lDzLmmWSyi2&#10;AsGkNLWcx8EoJ+LaT4qyd/TBiZRl0FwGccnlbuRVUdTcCUt5wYhJvRg1nHZnh7B91g96aEQw20Za&#10;Oy9fx3f9hnizWp4egSW1pL8w/OJndOgz08GfSUY2ItT5SUKoSmDZreriDtgB4b6sgfcd/4/f/wAA&#10;AP//AwBQSwECLQAUAAYACAAAACEAtoM4kv4AAADhAQAAEwAAAAAAAAAAAAAAAAAAAAAAW0NvbnRl&#10;bnRfVHlwZXNdLnhtbFBLAQItABQABgAIAAAAIQA4/SH/1gAAAJQBAAALAAAAAAAAAAAAAAAAAC8B&#10;AABfcmVscy8ucmVsc1BLAQItABQABgAIAAAAIQD9jNd/NQIAAHwEAAAOAAAAAAAAAAAAAAAAAC4C&#10;AABkcnMvZTJvRG9jLnhtbFBLAQItABQABgAIAAAAIQBAfmWp2gAAAAYBAAAPAAAAAAAAAAAAAAAA&#10;AI8EAABkcnMvZG93bnJldi54bWxQSwUGAAAAAAQABADzAAAAlgUAAAAA&#10;" fillcolor="white [3201]" strokeweight=".5pt">
                <v:textbox>
                  <w:txbxContent>
                    <w:p w14:paraId="5C2E3E5B" w14:textId="1002BD35" w:rsidR="003E60D9" w:rsidRPr="00F711F6" w:rsidRDefault="00F711F6">
                      <w:pPr>
                        <w:rPr>
                          <w:rFonts w:ascii="Sylfaen" w:hAnsi="Sylfaen"/>
                          <w:lang w:val="ka-GE"/>
                        </w:rPr>
                      </w:pPr>
                      <w:r>
                        <w:rPr>
                          <w:rFonts w:ascii="Sylfaen" w:hAnsi="Sylfaen"/>
                          <w:lang w:val="ka-GE"/>
                        </w:rPr>
                        <w:t xml:space="preserve">მხოლოდ რეფეცტით </w:t>
                      </w:r>
                    </w:p>
                  </w:txbxContent>
                </v:textbox>
                <w10:wrap anchorx="margin"/>
              </v:shape>
            </w:pict>
          </mc:Fallback>
        </mc:AlternateContent>
      </w:r>
    </w:p>
    <w:p w14:paraId="5AEB400A" w14:textId="77777777" w:rsidR="00E16DFA" w:rsidRPr="00EC3A28" w:rsidRDefault="00E16DFA" w:rsidP="004001F3">
      <w:pPr>
        <w:spacing w:after="0"/>
        <w:rPr>
          <w:rFonts w:ascii="Times New Roman" w:hAnsi="Times New Roman" w:cs="Times New Roman"/>
          <w:sz w:val="24"/>
          <w:szCs w:val="24"/>
        </w:rPr>
      </w:pPr>
    </w:p>
    <w:p w14:paraId="0E04A564" w14:textId="115F2DA1" w:rsidR="003E60D9" w:rsidRPr="00EC3A28" w:rsidRDefault="001B3AAB" w:rsidP="00EC3A28">
      <w:pPr>
        <w:spacing w:after="0"/>
        <w:jc w:val="center"/>
        <w:rPr>
          <w:rFonts w:ascii="Times New Roman" w:hAnsi="Times New Roman" w:cs="Times New Roman"/>
          <w:b/>
          <w:sz w:val="24"/>
          <w:szCs w:val="24"/>
        </w:rPr>
      </w:pPr>
      <w:r w:rsidRPr="00EC3A28">
        <w:rPr>
          <w:rFonts w:ascii="Times New Roman" w:hAnsi="Times New Roman" w:cs="Times New Roman"/>
          <w:b/>
          <w:sz w:val="24"/>
          <w:szCs w:val="24"/>
        </w:rPr>
        <w:t>იფრანი</w:t>
      </w:r>
      <w:r w:rsidR="008D36EA">
        <w:rPr>
          <w:rFonts w:ascii="Times New Roman" w:hAnsi="Times New Roman" w:cs="Times New Roman"/>
          <w:b/>
          <w:sz w:val="24"/>
          <w:szCs w:val="24"/>
        </w:rPr>
        <w:t xml:space="preserve"> </w:t>
      </w:r>
      <w:r w:rsidR="008D36EA">
        <w:rPr>
          <w:rFonts w:ascii="Sylfaen" w:hAnsi="Sylfaen" w:cs="Times New Roman"/>
          <w:b/>
          <w:sz w:val="24"/>
          <w:szCs w:val="24"/>
        </w:rPr>
        <w:t xml:space="preserve">საინჰალაციო სითხე </w:t>
      </w:r>
    </w:p>
    <w:p w14:paraId="63499410" w14:textId="77777777" w:rsidR="00E73697" w:rsidRPr="00EC3A28" w:rsidRDefault="00E73697" w:rsidP="00EC3A28">
      <w:pPr>
        <w:spacing w:after="0"/>
        <w:jc w:val="center"/>
        <w:rPr>
          <w:rFonts w:ascii="Times New Roman" w:hAnsi="Times New Roman" w:cs="Times New Roman"/>
          <w:b/>
          <w:sz w:val="24"/>
          <w:szCs w:val="24"/>
        </w:rPr>
      </w:pPr>
      <w:r w:rsidRPr="00EC3A28">
        <w:rPr>
          <w:rFonts w:ascii="Times New Roman" w:hAnsi="Times New Roman" w:cs="Times New Roman"/>
          <w:b/>
          <w:sz w:val="24"/>
          <w:szCs w:val="24"/>
        </w:rPr>
        <w:t>(იზოფლურანი)</w:t>
      </w:r>
    </w:p>
    <w:p w14:paraId="18C2267F" w14:textId="77777777" w:rsidR="003E60D9" w:rsidRPr="00EC3A28" w:rsidRDefault="003E60D9" w:rsidP="004001F3">
      <w:pPr>
        <w:spacing w:after="0"/>
        <w:rPr>
          <w:rFonts w:ascii="Times New Roman" w:hAnsi="Times New Roman" w:cs="Times New Roman"/>
          <w:sz w:val="24"/>
          <w:szCs w:val="24"/>
        </w:rPr>
      </w:pPr>
    </w:p>
    <w:p w14:paraId="6B4B9333" w14:textId="1A0EA94B" w:rsidR="001B3AAB" w:rsidRPr="006C2DFC" w:rsidRDefault="00F70739" w:rsidP="004001F3">
      <w:pPr>
        <w:spacing w:after="0"/>
        <w:rPr>
          <w:rFonts w:ascii="Sylfaen" w:hAnsi="Sylfaen" w:cs="Times New Roman"/>
          <w:b/>
          <w:sz w:val="24"/>
          <w:szCs w:val="24"/>
          <w:lang w:val="ka-GE"/>
        </w:rPr>
      </w:pPr>
      <w:r w:rsidRPr="00EC3A28">
        <w:rPr>
          <w:rFonts w:ascii="Times New Roman" w:hAnsi="Times New Roman" w:cs="Times New Roman"/>
          <w:b/>
          <w:sz w:val="24"/>
          <w:szCs w:val="24"/>
        </w:rPr>
        <w:t>[</w:t>
      </w:r>
      <w:r w:rsidR="008D36EA">
        <w:rPr>
          <w:rFonts w:ascii="Sylfaen" w:hAnsi="Sylfaen" w:cs="Times New Roman"/>
          <w:b/>
          <w:sz w:val="24"/>
          <w:szCs w:val="24"/>
        </w:rPr>
        <w:t>შემადგენლობა</w:t>
      </w:r>
      <w:r w:rsidRPr="00EC3A28">
        <w:rPr>
          <w:rFonts w:ascii="Times New Roman" w:hAnsi="Times New Roman" w:cs="Times New Roman"/>
          <w:b/>
          <w:sz w:val="24"/>
          <w:szCs w:val="24"/>
        </w:rPr>
        <w:t>]</w:t>
      </w:r>
    </w:p>
    <w:p w14:paraId="4D5B0D27" w14:textId="77777777" w:rsidR="00F70739" w:rsidRPr="00EC3A28" w:rsidRDefault="00F70739" w:rsidP="004001F3">
      <w:pPr>
        <w:spacing w:after="0"/>
        <w:rPr>
          <w:rFonts w:ascii="Times New Roman" w:hAnsi="Times New Roman" w:cs="Times New Roman"/>
          <w:sz w:val="24"/>
          <w:szCs w:val="24"/>
        </w:rPr>
      </w:pPr>
      <w:r w:rsidRPr="00EC3A28">
        <w:rPr>
          <w:rFonts w:ascii="Times New Roman" w:hAnsi="Times New Roman" w:cs="Times New Roman"/>
          <w:sz w:val="24"/>
          <w:szCs w:val="24"/>
        </w:rPr>
        <w:t>ყოველი 100 მლ შეიცავს:</w:t>
      </w:r>
    </w:p>
    <w:p w14:paraId="3914744D" w14:textId="77777777" w:rsidR="00F70739"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იზოფლურანი (USP) ⸱⸱⸱⸱⸱⸱⸱⸱⸱⸱⸱⸱⸱⸱⸱⸱⸱⸱⸱⸱⸱⸱⸱⸱⸱⸱⸱⸱⸱⸱⸱⸱⸱⸱⸱⸱⸱⸱⸱⸱⸱⸱⸱⸱⸱⸱⸱⸱⸱⸱⸱⸱ 100 მლ</w:t>
      </w:r>
    </w:p>
    <w:p w14:paraId="60BE6D5C" w14:textId="77777777" w:rsidR="003E60D9" w:rsidRPr="00EC3A28" w:rsidRDefault="003E60D9" w:rsidP="004001F3">
      <w:pPr>
        <w:spacing w:after="0"/>
        <w:rPr>
          <w:rFonts w:ascii="Times New Roman" w:hAnsi="Times New Roman" w:cs="Times New Roman"/>
          <w:sz w:val="24"/>
          <w:szCs w:val="24"/>
        </w:rPr>
      </w:pPr>
    </w:p>
    <w:p w14:paraId="047655E4" w14:textId="77777777" w:rsidR="000F2D67" w:rsidRPr="00EC3A28" w:rsidRDefault="00F70739"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[აღწერა]</w:t>
      </w:r>
    </w:p>
    <w:p w14:paraId="4AC9BBC8" w14:textId="77777777" w:rsidR="00F70739"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უფერო და გამჭვირვალე ხსნარი USP III ტიპის ქარვისფერ შუშის ბოთლში</w:t>
      </w:r>
    </w:p>
    <w:p w14:paraId="3835CB16" w14:textId="77777777" w:rsidR="001B3AAB" w:rsidRPr="00EC3A28" w:rsidRDefault="001B3AAB" w:rsidP="004001F3">
      <w:pPr>
        <w:spacing w:after="0"/>
        <w:rPr>
          <w:rFonts w:ascii="Times New Roman" w:hAnsi="Times New Roman" w:cs="Times New Roman"/>
          <w:sz w:val="24"/>
          <w:szCs w:val="24"/>
        </w:rPr>
      </w:pPr>
    </w:p>
    <w:p w14:paraId="02BCE642" w14:textId="77777777" w:rsidR="001B3AAB" w:rsidRPr="00EC3A28" w:rsidRDefault="001B3AAB"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[ჩვენებები]</w:t>
      </w:r>
    </w:p>
    <w:p w14:paraId="23DA2E98" w14:textId="77777777" w:rsidR="001B3AAB" w:rsidRPr="00EC3A28" w:rsidRDefault="001B3AAB" w:rsidP="004001F3">
      <w:pPr>
        <w:spacing w:after="0"/>
        <w:rPr>
          <w:rFonts w:ascii="Times New Roman" w:hAnsi="Times New Roman" w:cs="Times New Roman"/>
          <w:sz w:val="24"/>
          <w:szCs w:val="24"/>
        </w:rPr>
      </w:pPr>
      <w:r w:rsidRPr="00EC3A28">
        <w:rPr>
          <w:rFonts w:ascii="Times New Roman" w:hAnsi="Times New Roman" w:cs="Times New Roman"/>
          <w:sz w:val="24"/>
          <w:szCs w:val="24"/>
        </w:rPr>
        <w:t>ზოგადი ანესთეზია</w:t>
      </w:r>
    </w:p>
    <w:p w14:paraId="043A550B" w14:textId="77777777" w:rsidR="000F2D67" w:rsidRPr="00EC3A28" w:rsidRDefault="000F2D67" w:rsidP="004001F3">
      <w:pPr>
        <w:spacing w:after="0"/>
        <w:rPr>
          <w:rFonts w:ascii="Times New Roman" w:hAnsi="Times New Roman" w:cs="Times New Roman"/>
          <w:sz w:val="24"/>
          <w:szCs w:val="24"/>
        </w:rPr>
      </w:pPr>
    </w:p>
    <w:p w14:paraId="4CDD269E" w14:textId="77777777" w:rsidR="00156492" w:rsidRPr="00EC3A28" w:rsidRDefault="00156492" w:rsidP="00156492">
      <w:pPr>
        <w:spacing w:after="0"/>
        <w:rPr>
          <w:rFonts w:ascii="Times New Roman" w:hAnsi="Times New Roman" w:cs="Times New Roman"/>
          <w:b/>
          <w:sz w:val="24"/>
          <w:szCs w:val="24"/>
        </w:rPr>
      </w:pPr>
      <w:r w:rsidRPr="00EC3A28">
        <w:rPr>
          <w:rFonts w:ascii="Times New Roman" w:hAnsi="Times New Roman" w:cs="Times New Roman"/>
          <w:b/>
          <w:sz w:val="24"/>
          <w:szCs w:val="24"/>
        </w:rPr>
        <w:t>[დოზირება და მიღების წესი]</w:t>
      </w:r>
    </w:p>
    <w:p w14:paraId="5B1F47E6" w14:textId="77777777" w:rsidR="000F2D67" w:rsidRPr="00EC3A28" w:rsidRDefault="000F2D67" w:rsidP="004001F3">
      <w:pPr>
        <w:spacing w:after="0"/>
        <w:rPr>
          <w:rFonts w:ascii="Times New Roman" w:hAnsi="Times New Roman" w:cs="Times New Roman"/>
          <w:b/>
          <w:sz w:val="24"/>
          <w:szCs w:val="24"/>
        </w:rPr>
      </w:pPr>
      <w:r w:rsidRPr="00EC3A28">
        <w:rPr>
          <w:rFonts w:ascii="Times New Roman" w:hAnsi="Times New Roman" w:cs="Times New Roman"/>
          <w:b/>
          <w:sz w:val="24"/>
          <w:szCs w:val="24"/>
        </w:rPr>
        <w:t>მოზრდილები</w:t>
      </w:r>
    </w:p>
    <w:p w14:paraId="5A162DDA" w14:textId="77777777" w:rsidR="00156492" w:rsidRPr="00EC3A28" w:rsidRDefault="00156492" w:rsidP="003D416E">
      <w:pPr>
        <w:pStyle w:val="ListParagraph"/>
        <w:numPr>
          <w:ilvl w:val="0"/>
          <w:numId w:val="38"/>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ინდუქცია: ანესთეზიის ინდუქციის მიღწევა შესაძლებელია ხანმოკლე მოქმედების ბარბიტურატის ან სხვა ინტრავენური ანესთეზიის შეყვანით, რასაც მოჰყვება იზოფლურანის ჟანგბადთან კომბინაციაში ან ჟანგბად-აზოტის ოქსიდის ნარევის გამოყენებით. ინდუქცია ასევე შეიძლება ჩატარდეს იზოფლურანის ჟანგბადთან ან მხოლოდ ჟანგბად-აზოტის ოქსიდის ნარევის გამოყენებით. შეყვანა ჩვეულებრივ იწყება 0.5%-იანი საწყისი კონცენტრაციით. როგორც წესი, 1.5–3.0%-იანი კონცენტრაციით ქირურგიული ანესთეზია მიიღწევა დაახლოებით 7–10 წუთში.</w:t>
      </w:r>
    </w:p>
    <w:p w14:paraId="1FE9E23C" w14:textId="77777777" w:rsidR="000F2D67" w:rsidRPr="00EC3A28" w:rsidRDefault="00156492" w:rsidP="003D416E">
      <w:pPr>
        <w:pStyle w:val="ListParagraph"/>
        <w:numPr>
          <w:ilvl w:val="0"/>
          <w:numId w:val="38"/>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შემანარჩუნებელი თერაპია: შემანარჩუნებელი თერაპიის დროს, ჟანგბად-აზოტის ოქსიდის ნარევით შეყვანისას, ქირურგიული ანესთეზიის შესანარჩუნებლად საჭიროა იზოფლურანის 1.0–2.5%-იანი კონცენტრაცია, მაშინ როდესაც მხოლოდ ჟანგბადით შეყვანისას, როგორც წესი, საჭიროა იზოფლურანის დამატებით 0.5–1.0%. შემანარჩუნებელი თერაპიის დროს არტერიული წნევა უკუპროპორციულია იზოფლურანის ალვეოლურ კონცენტრაციისა. ანესთეზიის სიღრმის გამო შეიძლება განვითარდეს ჭარბი ჰიპოტენზია; ასეთ შემთხვევებში, იზოფლურანის კონცენტრაცია შესაბამისად უნდა შემცირდეს.</w:t>
      </w:r>
    </w:p>
    <w:p w14:paraId="6A98C9B2" w14:textId="77777777" w:rsidR="000F2D67" w:rsidRPr="00EC3A28" w:rsidRDefault="000F2D67" w:rsidP="003D416E">
      <w:pPr>
        <w:spacing w:after="0"/>
        <w:jc w:val="left"/>
        <w:rPr>
          <w:rFonts w:ascii="Times New Roman" w:hAnsi="Times New Roman" w:cs="Times New Roman"/>
          <w:sz w:val="24"/>
          <w:szCs w:val="24"/>
        </w:rPr>
      </w:pPr>
    </w:p>
    <w:p w14:paraId="027EB0D2" w14:textId="77777777" w:rsidR="00F70739" w:rsidRPr="00EC3A28" w:rsidRDefault="000F2D67"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lastRenderedPageBreak/>
        <w:t>[გამოყენების სიფრთხილის ზომები]</w:t>
      </w:r>
    </w:p>
    <w:p w14:paraId="51522521" w14:textId="77777777" w:rsidR="00703716" w:rsidRPr="00EC3A28" w:rsidRDefault="00703716"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უკუჩვენებები</w:t>
      </w:r>
    </w:p>
    <w:p w14:paraId="57674FB6"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რომლებშიც ზოგადი ანესთეზია უკუნაჩვენებია.</w:t>
      </w:r>
    </w:p>
    <w:p w14:paraId="3169D91A"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რომლებსაც აღენიშნებათ მომატებული მგრძნობელობა ამ პრეპარატის ან სხვა ჰალოგენირებული ანესთეტიკების მიმართ.</w:t>
      </w:r>
    </w:p>
    <w:p w14:paraId="44BA8812"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რომლებსაც აქვთ ავთვისებიანი ჰიპერთერმიისადმი გენეტიკური მიდრეკილება.</w:t>
      </w:r>
    </w:p>
    <w:p w14:paraId="4302FB46" w14:textId="77777777" w:rsidR="00CD1B61" w:rsidRPr="00EC3A28" w:rsidRDefault="00CD1B6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პაციენტები, რომლებსაც ამ პრეპარატის ან სხვა ჰალოგენირებული ანესთეტიკების მიღების შემდეგ აღენიშნებათ ღვიძლის საშუალო და მძიმე უკმარისობის ისტორია, ან პაციენტები, რომლებსაც ანამნეზში აღენიშნებათ ღვიძლის საშუალო და მძიმე უკმარისობის ისტორია აუხსნელი სიმძიმის.</w:t>
      </w:r>
    </w:p>
    <w:p w14:paraId="646E7303" w14:textId="77777777" w:rsidR="00DC349B" w:rsidRPr="00EC3A28" w:rsidRDefault="00DC349B" w:rsidP="008D36EA">
      <w:pPr>
        <w:spacing w:after="0"/>
        <w:jc w:val="left"/>
        <w:rPr>
          <w:rFonts w:ascii="Times New Roman" w:hAnsi="Times New Roman" w:cs="Times New Roman"/>
          <w:sz w:val="24"/>
          <w:szCs w:val="24"/>
        </w:rPr>
      </w:pPr>
    </w:p>
    <w:p w14:paraId="7C3F17F9" w14:textId="77777777" w:rsidR="00EE7D1A" w:rsidRPr="00EC3A28" w:rsidRDefault="00EE7D1A" w:rsidP="008D36EA">
      <w:pPr>
        <w:pStyle w:val="ListParagraph"/>
        <w:numPr>
          <w:ilvl w:val="0"/>
          <w:numId w:val="21"/>
        </w:numPr>
        <w:spacing w:after="0"/>
        <w:ind w:leftChars="0"/>
        <w:jc w:val="left"/>
        <w:rPr>
          <w:rFonts w:ascii="Times New Roman" w:hAnsi="Times New Roman" w:cs="Times New Roman"/>
          <w:sz w:val="24"/>
          <w:szCs w:val="24"/>
        </w:rPr>
      </w:pPr>
      <w:r w:rsidRPr="00EC3A28">
        <w:rPr>
          <w:rFonts w:ascii="Times New Roman" w:hAnsi="Times New Roman" w:cs="Times New Roman"/>
          <w:b/>
          <w:sz w:val="24"/>
          <w:szCs w:val="24"/>
        </w:rPr>
        <w:t>გვერდითი რეაქციები</w:t>
      </w:r>
    </w:p>
    <w:p w14:paraId="1B879C27"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პრეპარატთან დაკავშირებული გვერდითი მოვლენები დოზადამოკიდებულია და შეიძლება მოიცავდეს სუნთქვის დათრგუნვას, ჰიპოტენზიას და არითმიებს. პოტენციურად სერიოზული ეფექტებია ავთვისებიანი ჰიპერთერმია, ჰიპერკალიემია, შრატის კრეატინკინაზას მომატება და მიოგლობინურია.</w:t>
      </w:r>
    </w:p>
    <w:p w14:paraId="3C7E3ED6"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ინჰალაციური ანესთეტიკების, მათ შორის ამ პრეპარატის, მიღებისას დაფიქსირდა გულის გაჩერება, ბრადიკარდია და ტაქიკარდია.</w:t>
      </w:r>
    </w:p>
    <w:p w14:paraId="523D7A32"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QT ინტერვალის გახანგრძლივება, რომელიც დაკავშირებულია პირუეტულ პარკუჭოვან ტაქიკარდიასთან, აღწერილია იშვიათ, პოტენციურად ფატალურ შემთხვევებში.</w:t>
      </w:r>
    </w:p>
    <w:p w14:paraId="1B85C3EE"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აქროლადი ინჰალაციური ანესთეტიკებით გამოწვეული სასუნთქი გზების გაღიზიანების გამო აღწერილია ბრონქოსპაზმის და ლარინგოსპაზმის შემთხვევები.</w:t>
      </w:r>
    </w:p>
    <w:p w14:paraId="75BA4D49"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გამოყენების დროს დაფიქსირდა ელექტროენცეფალოგრამის (EEG) ცვლილებები და კრუნჩხვები.</w:t>
      </w:r>
    </w:p>
    <w:p w14:paraId="0733E2D5"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ყველა მიორელაქსაცენტის, განსაკუთრებით არადეპოლარიზებადი ნერვ-კუნთოვანი ბლოკატორების, ეფექტს მოზრდილებში. N₂O-სთან ერთად მიღება ამცირებს ალვეოლურ მინიმალურ კონცენტრაციას (MAC).</w:t>
      </w:r>
    </w:p>
    <w:p w14:paraId="6C91BBD9"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ფტორირებული ინჰალაციის საშუალებების (მაგ., დესფურანი, ენფლურანი, იზოფლურანი) გამოყენების შემდეგ აღწერილია კარბოქსიჰემოგლობინის მომატების ცალკეული შემთხვევები.</w:t>
      </w:r>
    </w:p>
    <w:p w14:paraId="2DE0760F"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ინჰალაციური საშუალებების მსგავსად, ეს პრეპარატი იწვევს საშვილოსნოს მოდუნებას, რაც პოტენციურად ზრდის საშვილოსნოს სისხლდენის რისკს.</w:t>
      </w:r>
    </w:p>
    <w:p w14:paraId="171DEB9A"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დაფიქსირდა ოპერაციის შემდგომი ტრემორი, გულისრევა, ღებინება, ილეუსი, აგზნება და დელირიუმი.</w:t>
      </w:r>
    </w:p>
    <w:p w14:paraId="71E437BA"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აღინიშნა შრატის ბილირუბინის, სისხლში გლუკოზის და შრატის კრეატინინის დონის დროებითი მატება შარდოვანას, შრატის ქოლესტერინის </w:t>
      </w:r>
      <w:r w:rsidRPr="00EC3A28">
        <w:rPr>
          <w:rFonts w:ascii="Times New Roman" w:hAnsi="Times New Roman" w:cs="Times New Roman"/>
          <w:sz w:val="24"/>
          <w:szCs w:val="24"/>
        </w:rPr>
        <w:lastRenderedPageBreak/>
        <w:t>და ტუტე ფოსფატაზას შემცირების გამო. ქირურგიული სტრესის გარეშეც კი, შესაძლოა განვითარდეს გარდამავალი ლეიკოციტოზი, სხვა ზოგადი ანესთეტიკების მსგავსად.</w:t>
      </w:r>
    </w:p>
    <w:p w14:paraId="5B3AD108"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აღწერილია ღვიძლის ფუნქციის დარღვევა, ფერმენტების მსუბუქი, გარდამავალი მომატებიდან ძალიან იშვიათ შემთხვევებში, ღვიძლის ფატალურ ნეკროზამდე.</w:t>
      </w:r>
    </w:p>
    <w:p w14:paraId="7A72007C"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ჰიპერმგრძნობელობის რეაქციები (მათ შორის კონტაქტური დერმატიტი, გამონაყარი, ქოშინი, ხიხინი, ტკივილი გულმკერდის არეში, სახის შეშუპება და ანაფილაქსია) იშვიათად აღინიშნა, განსაკუთრებით ამ პრეპარატის შემცველი ინჰალაციური ანესთეტიკების ხანგრძლივი პროფესიული ზემოქმედების კონტექსტში. ზოგიერთი რეაქცია დადასტურდა კლინიკური კვლევებით (მაგ., მეტაქოლინით გამოწვეული პროვოკაცია), თუმცა სხვა პრეპარატების თანმხლებმა ზემოქმედებამ შეიძლება გამოიწვიოს მიზეზობრივი კავშირის აღრევა.</w:t>
      </w:r>
    </w:p>
    <w:p w14:paraId="02899A6C"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პრეპარატით ანესთეზიის დროს და მის შემდეგ მეტაბოლური დაშლის გამო დაფიქსირდა შრატში არაორგანული ფტორიდის დონის კვალი მომატება. დაფიქსირებული დონეები თირკმლის ტოქსიკურობის ზღურბლზე გაცილებით დაბალია, რაც ნეფროტოქსიკურობას ნაკლებად სავარაუდოს ხდის.</w:t>
      </w:r>
    </w:p>
    <w:p w14:paraId="73F5E0FF" w14:textId="77777777" w:rsidR="00CD1B61" w:rsidRPr="00EC3A28" w:rsidRDefault="00CD1B61" w:rsidP="008D36EA">
      <w:pPr>
        <w:pStyle w:val="ListParagraph"/>
        <w:numPr>
          <w:ilvl w:val="0"/>
          <w:numId w:val="24"/>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მარკეტინგის შემდგომმა მეთვალყურეობამ გამოავლინა შემდეგი გვერდითი რეაქციები. ეს რეაქციები სპონტანურად დაფიქსირდა დაუზუსტებელ პოპულაციებში; ამრიგად, სიხშირისა და მიზეზობრიობის საიმედოდ დადგენა შეუძლებელია.</w:t>
      </w:r>
    </w:p>
    <w:p w14:paraId="3AC58695"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სისტემა-ორგანოს კლასი / გვერდითი რეაქციები:</w:t>
      </w:r>
    </w:p>
    <w:p w14:paraId="46C8DAEB" w14:textId="77777777" w:rsidR="00CD1B61" w:rsidRPr="00EC3A28" w:rsidRDefault="00CD1B61" w:rsidP="008D36EA">
      <w:pPr>
        <w:pStyle w:val="ListParagraph"/>
        <w:spacing w:after="0"/>
        <w:ind w:leftChars="0" w:left="862"/>
        <w:jc w:val="left"/>
        <w:rPr>
          <w:rFonts w:ascii="Times New Roman" w:hAnsi="Times New Roman" w:cs="Times New Roman"/>
          <w:sz w:val="24"/>
          <w:szCs w:val="24"/>
        </w:rPr>
      </w:pPr>
      <w:r w:rsidRPr="00EC3A28">
        <w:rPr>
          <w:rFonts w:ascii="Times New Roman" w:hAnsi="Times New Roman" w:cs="Times New Roman"/>
          <w:sz w:val="24"/>
          <w:szCs w:val="24"/>
        </w:rPr>
        <w:t>სისხლისა და ლიმფური სისტემის დარღვევები: კარბოქსიჰემოგლობინის მომატება</w:t>
      </w:r>
    </w:p>
    <w:p w14:paraId="22834C94"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იმუნური სისტემის დარღვევები: ანაფილაქსიური რეაქცია</w:t>
      </w:r>
    </w:p>
    <w:p w14:paraId="221D9020"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მეტაბოლიზმისა და კვების დარღვევები: ჰიპერკალიემია მიოპათიის მქონე პაციენტებში</w:t>
      </w:r>
    </w:p>
    <w:p w14:paraId="632EE49A"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ფსიქიკური დარღვევები: მოხსნის სინდრომი (რამდენიმე დღიანი ზემოქმედების შემდეგ, შეიძლება მოიცავდეს კრუნჩხვებს, ჰალუცინაციებს, ატაქსიას, აგზნებას, დაბნეულობას)</w:t>
      </w:r>
    </w:p>
    <w:p w14:paraId="1904E501"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ნერვული სისტემის დარღვევები: თავის ტვინის შეშუპება, ქალასშიდა წნევის მომატება, შაკიკი, ტონიკო- კლონური კრუნჩხვები, ნისტაგმი, გუგების ფიქსირებული შეგრძნება, თავის ტკივილი</w:t>
      </w:r>
    </w:p>
    <w:p w14:paraId="6BD210E8"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გულის დარღვევები: გულის გაჩერება, პარკუჭოვანი ფიბრილაცია, ტორსადეს დე პოინტე, მიოკარდიუმის ინფარქტი, მიოკარდიუმის იშემია, სრული ატრიოვენტრიკულური ბლოკადა, მეორე ხარისხის ატრიოვენტრიკულური ბლოკადა, წინაგულების ფიბრილაცია, QT ინტერვალის გახანგრძლივება, პირველი ხარისხის ატრიოვენტრიკულური </w:t>
      </w:r>
      <w:r w:rsidRPr="00EC3A28">
        <w:rPr>
          <w:rFonts w:ascii="Times New Roman" w:hAnsi="Times New Roman" w:cs="Times New Roman"/>
          <w:sz w:val="24"/>
          <w:szCs w:val="24"/>
        </w:rPr>
        <w:lastRenderedPageBreak/>
        <w:t>ბლოკადა, პარკუჭოვანი ტაქიკარდია, პარკუჭოვანი ექსტრასისტოლია, ტაქიკარდია, ბრადიკარდია, გულის გამოტყორცნის შემცირება.</w:t>
      </w:r>
    </w:p>
    <w:p w14:paraId="74DF814D"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სისხლძარღვოვანი დარღვევები: სისხლჩაქცევა</w:t>
      </w:r>
    </w:p>
    <w:p w14:paraId="3D704BE7"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სასუნთქი სისტემის, გულმკერდის და შუასაყრის დარღვევები: აპნოე, ჰიპოქსია, ლარინგოსპაზმი, სასუნთქი გზების ობსტრუქცია, სუნთქვის დათრგუნვა, ჰიპერკაპნია, სტრიდორი, სლოკინი</w:t>
      </w:r>
    </w:p>
    <w:p w14:paraId="181CAA2C"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ჰეპატობილიარული დარღვევები: პანკრეატიტი, ღვიძლის ნეკროზი, ღვიძლის უკმარისობა, ფულმინანტური ჰეპატიტი, ქოლესტაზური ჰეპატიტი, ჰეპატიტი, ღვიძლის სტეატოზი, სიყვითლე, გამა-გლუტამილ ტრანსფერაზას მომატებული დონე.</w:t>
      </w:r>
    </w:p>
    <w:p w14:paraId="1EB917E1"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კანისა და კანქვეშა ქსოვილის დარღვევები: გამონაყარი</w:t>
      </w:r>
    </w:p>
    <w:p w14:paraId="3DD5C790"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კუნთოვანი და შემაერთებელი ქსოვილის დარღვევები: რაბდომიოლიზი</w:t>
      </w:r>
    </w:p>
    <w:p w14:paraId="4D55BB53"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თირკმლის და საშარდე გზების დარღვევები: თირკმლის მწვავე უკმარისობა*, ოლიგურია*</w:t>
      </w:r>
    </w:p>
    <w:p w14:paraId="6D003B16"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ზოგადი დარღვევები და შეყვანის ადგილის მდგომარეობები**: ავთვისებიანი ჰიპერთერმია, ჰიპოთერმია</w:t>
      </w:r>
    </w:p>
    <w:p w14:paraId="3CE7B653" w14:textId="77777777" w:rsidR="00CD1B61" w:rsidRPr="00EC3A28" w:rsidRDefault="00CD1B61" w:rsidP="008D36EA">
      <w:pPr>
        <w:pStyle w:val="ListParagraph"/>
        <w:numPr>
          <w:ilvl w:val="0"/>
          <w:numId w:val="39"/>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დაზიანება, მოწამვლა და პროცედურის გართულებები: უნებლიე ინტრაოპერაციული ცნობიერების დაკარგვა, ქოშინი, ლარინგოსპაზმი, სტრიდორი, ხველა, თავბრუსხვევა, პარესთეზია, ღვიძლისმიერი რეაქციები, სიწითლე, გამონაყარი, კონტაქტური დერმატიტი, ერითემა, პერიორბიტალური შეშუპება, თვალის გაღიზიანება, კონიუნქტივის ჰიპერემია, თავის ტკივილი.</w:t>
      </w:r>
    </w:p>
    <w:p w14:paraId="204A6765" w14:textId="77777777" w:rsidR="00CD1B61" w:rsidRPr="00EC3A28" w:rsidRDefault="00CD1B61" w:rsidP="008D36EA">
      <w:pPr>
        <w:pStyle w:val="ListParagraph"/>
        <w:spacing w:after="0"/>
        <w:ind w:leftChars="0" w:left="502"/>
        <w:jc w:val="left"/>
        <w:rPr>
          <w:rFonts w:ascii="Times New Roman" w:hAnsi="Times New Roman" w:cs="Times New Roman"/>
          <w:b/>
          <w:sz w:val="24"/>
          <w:szCs w:val="24"/>
        </w:rPr>
      </w:pPr>
      <w:r w:rsidRPr="00EC3A28">
        <w:rPr>
          <w:rFonts w:ascii="Times New Roman" w:hAnsi="Times New Roman" w:cs="Times New Roman"/>
          <w:b/>
          <w:sz w:val="24"/>
          <w:szCs w:val="24"/>
        </w:rPr>
        <w:t>*ამ პრეპარატის ანესთეზიის შემდეგ აღინიშნა თირკმლის მწვავე უკმარისობა და ოლიგურია, შესაძლოა ჰიპოტენზიის ან იზოფლურანის სხვა ეფექტების მეორადი ეფექტების სახით.</w:t>
      </w:r>
    </w:p>
    <w:p w14:paraId="616D4DFA" w14:textId="77777777" w:rsidR="00CD1B61" w:rsidRPr="00EC3A28" w:rsidRDefault="00CD1B61" w:rsidP="008D36EA">
      <w:pPr>
        <w:pStyle w:val="ListParagraph"/>
        <w:spacing w:after="0"/>
        <w:ind w:leftChars="0" w:left="502"/>
        <w:jc w:val="left"/>
        <w:rPr>
          <w:rFonts w:ascii="Times New Roman" w:hAnsi="Times New Roman" w:cs="Times New Roman"/>
          <w:b/>
          <w:sz w:val="24"/>
          <w:szCs w:val="24"/>
        </w:rPr>
      </w:pPr>
      <w:r w:rsidRPr="00EC3A28">
        <w:rPr>
          <w:rFonts w:ascii="Times New Roman" w:hAnsi="Times New Roman" w:cs="Times New Roman"/>
          <w:b/>
          <w:sz w:val="24"/>
          <w:szCs w:val="24"/>
        </w:rPr>
        <w:t>**ოპერაციის დროს გაუთვალისწინებელი ცნობიერების გარდა, თითოეული სისტემური ორგანოს კლასის ქვეშ ჩამოთვლილი ყველა რეაქცია ასოცირდებოდა პროფესიულ ზემოქმედებასთან.</w:t>
      </w:r>
    </w:p>
    <w:p w14:paraId="39556A2E" w14:textId="77777777" w:rsidR="00CD1B61" w:rsidRPr="00EC3A28" w:rsidRDefault="00CD1B61" w:rsidP="008D36EA">
      <w:pPr>
        <w:spacing w:after="0"/>
        <w:jc w:val="left"/>
        <w:rPr>
          <w:rFonts w:ascii="Times New Roman" w:hAnsi="Times New Roman" w:cs="Times New Roman"/>
          <w:sz w:val="24"/>
          <w:szCs w:val="24"/>
        </w:rPr>
      </w:pPr>
    </w:p>
    <w:p w14:paraId="1CD731F1" w14:textId="77777777" w:rsidR="00DE10C3" w:rsidRPr="00EC3A28" w:rsidRDefault="00DC349B"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ზოგადი სიფრთხილის ზომები</w:t>
      </w:r>
    </w:p>
    <w:p w14:paraId="06A3AC1E"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მნიშვნელოვნად ზრდის ცერებრულ სისხლის მიმოქცევას ღრმა ანესთეზიის დროს. შესაძლოა, თავ-ზურგტვინის სითხის წნევის დროებითი მატება, რამაც პოტენციურად გამოიწვიოს ჰიპერვენტილაციის სინდრომი.</w:t>
      </w:r>
    </w:p>
    <w:p w14:paraId="500EABE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სიღრმე შეიძლება სწრაფად შეიცვალოს; ამიტომ, უნდა იქნას გამოყენებული ვაპორიზატორები, რომლებსაც შეუძლიათ პროგნოზირებადი კონცენტრაციისა და მიწოდების სიჩქარის უზრუნველყოფა. ჰიპოტენზია და სუნთქვის დათრგუნვა ძლიერდება უფრო ღრმა ანესთეზიის დროს.</w:t>
      </w:r>
    </w:p>
    <w:p w14:paraId="5DE58ED0"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აღწერილია QT ინტერვალის გახანგრძლივება, რომელიც დაკავშირებულია პირუეტულ პარკუჭოვან ტაქიკარდიასთან (იშვიათი, პოტენციურად ფატალური). სიფრთხილეა საჭირო QT ინტერვალის გახანგრძლივების </w:t>
      </w:r>
      <w:r w:rsidRPr="00EC3A28">
        <w:rPr>
          <w:rFonts w:ascii="Times New Roman" w:hAnsi="Times New Roman" w:cs="Times New Roman"/>
          <w:sz w:val="24"/>
          <w:szCs w:val="24"/>
        </w:rPr>
        <w:lastRenderedPageBreak/>
        <w:t>რისკის მქონე პაციენტებში გამოყენებისას.</w:t>
      </w:r>
    </w:p>
    <w:p w14:paraId="4AA4AFDB"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მიტოქონდრიული დარღვევების მქონე პაციენტებში ზოგადი ანესთეზიის, მათ შორის ამ პრეპარატის გამოყენებას მკაცრი მონიტორინგი სჭირდება.</w:t>
      </w:r>
    </w:p>
    <w:p w14:paraId="2AFB4CC9"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ინჰალაციური საშუალებების მსგავსად, ამ პრეპარატმა შეიძლება მოადუნოს საშვილოსნოს კუნთები, რაც პოტენციურად ზრდის საშვილოსნოდან სისხლდენის რისკს. სამეანო ანესთეზიის დროს მისი გამოყენება უნდა წარიმართოს კლინიკური შეფასების საფუძველზე. საკეისრო კვეთის დროს კონცენტრაცია უნდა იყოს რაც შეიძლება დაბალი.</w:t>
      </w:r>
    </w:p>
    <w:p w14:paraId="05BD87E6"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ჰალოგენირებული ანესთეტიკების (მაგ., დესფლურანი, ენფლურანი, იზოფლურანი) გამოყენება ზოგიერთ პაციენტში დაკავშირებულია კარბოქსიჰემოგლობინის მომატებასთან. ჩვეულებრივი CO₂ შთამნთქმელების გამოყენებისას კლინიკურად მნიშვნელოვანი ნახშირბადის მონოქსიდის წარმოქმნა მოსალოდნელი არ არის. CO₂ შთამნთქმელების გამოყენების შესახებ დაიცავით მწარმოებლის ინსტრუქცია.</w:t>
      </w:r>
    </w:p>
    <w:p w14:paraId="531343F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კალიუმის ჰიდროქსიდის შემცველი გამომშრალი CO₂ შთამნთქმელების (მაგ., ბარალიმი) გამოყენებისას ანესთეზიური აპარატის გადახურების, კვამლის წარმოქმნის და/ან სპონტანური ხანძრის იშვიათი შემთხვევები დაფიქსირდა . CO₂ შთამნთქმელები, რომელთა გამომშრალობაც საეჭვოა, გამოყენებამდე უნდა შეიცვალოს. ფერის ინდიკატორები შესაძლოა საიმედოდ არ ასახავდეს გამომშრალობას; რეკომენდებულია რეგულარული შეცვლა ფერის ცვლილების მიუხედავად.</w:t>
      </w:r>
    </w:p>
    <w:p w14:paraId="25234A87"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პროფესიული ზემოქმედება დაკავშირებულია ქოშინთან, ლარინგოსპაზმთან, სტრიდორთან, ხველასთან, თავბრუსხვევასთან, პარესთეზიასთან, ღვიძლის რეაქციებთან, წამოხურებასთან, გამონაყართან, კონტაქტურ დერმატიტთან, ერითემასთან, პერიორბიტალურ შეშუპებასთან, თვალის გაღიზიანებასთან, კონიუნქტივის ჰიპერემიასთან და თავის ტკივილთან.</w:t>
      </w:r>
    </w:p>
    <w:p w14:paraId="55EED0D1"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პრეპარატის შეყვანა უნდა განხორციელდეს მხოლოდ ანესთეზიურ ფარმაკოლოგიასა და პაციენტების მართვაში გაწვრთნილი და გამოცდილი პირების მიერ, შესაბამის დაწესებულებებში, შესაბამისი აღჭურვილობით.</w:t>
      </w:r>
    </w:p>
    <w:p w14:paraId="45CDCF79"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სიღრმის სწრაფი ცვლილებების გამო, უნდა იქნას გამოყენებული ვაპორიზატორები, რომლებსაც შეუძლიათ ზუსტად უზრუნველყონ პროგნოზირებადი ჩასუნთქვისა და ამოსუნთქვის კონცენტრაციები. ჰიპოტენზია და სუნთქვის დათრგუნვა ანესთეზიის სიღრმის გარკვეულ მითითებას იძლევა.</w:t>
      </w:r>
    </w:p>
    <w:p w14:paraId="039D1DDE"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აღწერილია ღვიძლის დაზიანება, რომელიც მერყეობს ფერმენტების მსუბუქი გარდამავალი მომატებიდან (ძალიან იშვიათად, ღვიძლის ფატალურ ნეკროზამდე). რისკი შეიძლება გაიზარდოს პაციენტებში, რომლებიც ადრე იყვნენ ჰალოგენირებული ნახშირწყალბადების ზემოქმედების ქვეშ, განსაკუთრებით მაშინ, როდესაც ინტერვალები სამ თვეზე ნაკლებია.</w:t>
      </w:r>
    </w:p>
    <w:p w14:paraId="3D8F7702"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ამ პრეპარატის დანიშვნისას ღვიძლის დაავადების მქონე პაციენტებში ან ჰეპატოტოქსიური მედიკამენტების მიმღებ პაციენტებში საჭიროა </w:t>
      </w:r>
      <w:r w:rsidRPr="00EC3A28">
        <w:rPr>
          <w:rFonts w:ascii="Times New Roman" w:hAnsi="Times New Roman" w:cs="Times New Roman"/>
          <w:sz w:val="24"/>
          <w:szCs w:val="24"/>
        </w:rPr>
        <w:lastRenderedPageBreak/>
        <w:t>კლინიკური შეფასება (იხილეთ [გამოყენების სიფრთხილის ზომები] 1. უკუჩვენებები).</w:t>
      </w:r>
    </w:p>
    <w:p w14:paraId="43D56BC2"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კორონარული არტერიის დაავადების მქონე პაციენტებში მიოკარდიუმის იშემიის თავიდან ასაცილებლად მნიშვნელოვანია ნორმალური სისხლის ნაკადის შენარჩუნება, გამოყენებული ანესთეზიური საშუალების მიუხედავად.</w:t>
      </w:r>
    </w:p>
    <w:p w14:paraId="6D93B7C2" w14:textId="77777777" w:rsidR="00B94CE2"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როგორც სხვა ჰალოგენირებული პრეპარატების შემთხვევაში, სიფრთხილეა საჭირო მომატებული ქალასშიდა წნევის მქონე პაციენტებში; შესაძლოა საჭირო გახდეს ჰიპერვენტილაცია.</w:t>
      </w:r>
    </w:p>
    <w:p w14:paraId="56FD75DA"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დეპოლარიზაციული კუნთების რელაქსანტების ეფექტს.</w:t>
      </w:r>
    </w:p>
    <w:p w14:paraId="549F0715"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შესაძლოა ბრონქოსპაზმის განვითარება; სიფრთხილე გამოიჩინეთ სასუნთქი გზების შევიწროებისკენ მიდრეკილ პაციენტებში.</w:t>
      </w:r>
    </w:p>
    <w:p w14:paraId="73DF9721"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შესაძლოა განვითარდეს სუნთქვის დათრგუნვა, რომელიც შეიძლება გამწვავდეს პრემედიკაციის ან სხვა სუნთქვის დამთრგუნველი საშუალებების გამოყენებისას. საჭიროა მუდმივი მონიტორინგი და საჭიროებისამებრ უნდა განხორციელდეს ჩარევები.</w:t>
      </w:r>
    </w:p>
    <w:p w14:paraId="63B5B96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ზოგადი ანესთეზიის მსგავსად, კოგნიტური ფუნქცია შეიძლება მსუბუქად დაქვეითდეს ოპერაციიდან 2-4 დღის განმავლობაში, ხოლო ემოციური ან სიმპტომური ცვლილებები შეიძლება გაგრძელდეს 6 დღემდე.</w:t>
      </w:r>
    </w:p>
    <w:p w14:paraId="4D96C4B0" w14:textId="77777777" w:rsidR="00B94CE2"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ავთვისებიანი ჰიპერთერმია</w:t>
      </w:r>
    </w:p>
    <w:p w14:paraId="2C048215" w14:textId="15E254C8" w:rsidR="00AD6B6F"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მგრძნობიარე პირებში, მიღებამ შეიძლება გამოიწვიოს ჰიპერმეტაბოლური ჩონჩხის კუნთების რეაქცია, რომელიც ხასიათდება ჟანგბადის მოხმარების ზრდით, კუნთების </w:t>
      </w:r>
      <w:r w:rsidR="003D416E">
        <w:rPr>
          <w:rFonts w:ascii="Sylfaen" w:hAnsi="Sylfaen" w:cs="Times New Roman"/>
          <w:sz w:val="24"/>
          <w:szCs w:val="24"/>
        </w:rPr>
        <w:t>დაჭიმულობით</w:t>
      </w:r>
      <w:r w:rsidRPr="00EC3A28">
        <w:rPr>
          <w:rFonts w:ascii="Times New Roman" w:hAnsi="Times New Roman" w:cs="Times New Roman"/>
          <w:sz w:val="24"/>
          <w:szCs w:val="24"/>
        </w:rPr>
        <w:t>, ტაქიკარდიით, ტაქიპნოეთი, ციანოზით, არითმიით და არასტაბილური არტერიული წნევით. შესაძლოა შემცირდეს PaO₂ და pH; შესაძლოა განვითარდეს ჰიპერკალიემია და აციდოზი.</w:t>
      </w:r>
    </w:p>
    <w:p w14:paraId="43FF39EB" w14:textId="77777777" w:rsidR="00AD6B6F"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მარკეტინგის შემდგომი შემთხვევები დაფიქსირდა, ზოგიერთი ფატალური.</w:t>
      </w:r>
    </w:p>
    <w:p w14:paraId="315DC17E" w14:textId="77777777" w:rsidR="00504029" w:rsidRPr="00EC3A28" w:rsidRDefault="00504029" w:rsidP="008D36EA">
      <w:pPr>
        <w:pStyle w:val="ListParagraph"/>
        <w:numPr>
          <w:ilvl w:val="0"/>
          <w:numId w:val="40"/>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მკურნალობა მოიცავს გამომწვევი აგენტების (მაგ., იზოფლურანის) შეწყვეტას, დანტროლენ ნატრიუმის ინტრავენურ შეყვანას და დამხმარე თერაპიას, მათ შორის აქტიურ გაგრილებას, ვენტილაციურ და სისხლის მიმოქცევის მხარდაჭერას, ასევე ელექტროლიტების, სითხისა და მჟავა-ტუტოვანი დისბალანსის მართვას. შესაძლოა თირკმლის გართულებები განვითარდეს; თუ შესაძლებელია, შარდის გამოყოფა უნდა შენარჩუნდეს.</w:t>
      </w:r>
    </w:p>
    <w:p w14:paraId="74D4BF6F"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პედიატრიულ პაციენტებში ინჰალაციური ანესთეტიკების გამოყენება იშვიათ შემთხვევებში ასოცირდება შრატის კალიუმის დონის მატებასთან, რაც იწვევს გულის არითმიებს და სიკვდილს. პაციენტები, რომლებსაც აქვთ ლატენტური ან მანიფესტირებული ნერვ-კუნთოვანი დარღვევები, განსაკუთრებით დიუშენის კუნთოვანი დისტროფია, ყველაზე მოწყვლადები არიან. სუქცინილქოლინის ერთდროული გამოყენება უმეტეს შემთხვევაშია განპირობებული. ზოგიერთ პაციენტს ასევე შეიძლება აღენიშნებოდეს </w:t>
      </w:r>
      <w:r w:rsidRPr="00EC3A28">
        <w:rPr>
          <w:rFonts w:ascii="Times New Roman" w:hAnsi="Times New Roman" w:cs="Times New Roman"/>
          <w:sz w:val="24"/>
          <w:szCs w:val="24"/>
        </w:rPr>
        <w:lastRenderedPageBreak/>
        <w:t>შრატის კრეატინკინაზას მომატებული დონე ან მიოგლობინურია. რეკომენდებულია ჰიპერკალიემიის და რეზისტენტული არითმიების საწყისი აგრესიული მართვა, ნერვ-კუნთოვანი დარღვევების მუდმივი შეფასებით.</w:t>
      </w:r>
    </w:p>
    <w:p w14:paraId="20C0FC2A"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საჭიროა ამ პრეპარატით ანესთეზირებული ყველა პაციენტის მუდმივი მონიტორინგი (მაგ., ელექტროკარდიოგრამა, არტერიული წნევა, ჟანგბადის სატურაცია, CO₂-ის ბოლო მოქცევის დროს). ეს პრეპარატი წარმოადგენს სუნთქვის ძლიერი დამთრგუნველ საშუალებას. სუნთქვის დათრგუნვა შეიძლება დაკავშირებული იყოს ანესთეზიის სიღრმესთან და რეაგირებდეს ჩასუნთქული კონცენტრაციის შემცირებაზე. ეფექტებს აძლიერებენ ოპიოიდები და სხვა დამთრგუნველი საშუალებები. საჭიროების შემთხვევაში უნდა მოხდეს ვენტილაციის მხარდაჭერა ან რეგულირება.</w:t>
      </w:r>
    </w:p>
    <w:p w14:paraId="26968E0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მინიმალური ალვეოლური კონცენტრაცია (MAC) მცირდება ასაკის მატებასთან ერთად, ახალშობილების გარდა. ამერიკის შეერთებულ შტატებში დამტკიცებული ასაკობრივი MAC მნიშვნელობები შემდეგია.</w:t>
      </w:r>
    </w:p>
    <w:p w14:paraId="78D39A46" w14:textId="77777777" w:rsidR="00DE10C3" w:rsidRPr="00EC3A28" w:rsidRDefault="00DE10C3" w:rsidP="008D36EA">
      <w:pPr>
        <w:spacing w:after="0"/>
        <w:jc w:val="lef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22"/>
        <w:gridCol w:w="3827"/>
        <w:gridCol w:w="3067"/>
      </w:tblGrid>
      <w:tr w:rsidR="00504029" w:rsidRPr="00EC3A28" w14:paraId="0C3E5ED4" w14:textId="77777777" w:rsidTr="00504029">
        <w:tc>
          <w:tcPr>
            <w:tcW w:w="2122" w:type="dxa"/>
            <w:vAlign w:val="center"/>
          </w:tcPr>
          <w:p w14:paraId="68D279AC"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ასაკი (წლები)</w:t>
            </w:r>
          </w:p>
        </w:tc>
        <w:tc>
          <w:tcPr>
            <w:tcW w:w="3827" w:type="dxa"/>
            <w:vAlign w:val="center"/>
          </w:tcPr>
          <w:p w14:paraId="6D929A44"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საშუალო MAC 100% O₂-ით</w:t>
            </w:r>
          </w:p>
        </w:tc>
        <w:tc>
          <w:tcPr>
            <w:tcW w:w="3067" w:type="dxa"/>
            <w:vAlign w:val="center"/>
          </w:tcPr>
          <w:p w14:paraId="2C351A4A"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საშუალო MAC 30% O₂ / 70% N₂O-თი</w:t>
            </w:r>
          </w:p>
        </w:tc>
      </w:tr>
      <w:tr w:rsidR="00504029" w:rsidRPr="00EC3A28" w14:paraId="6BEF978B" w14:textId="77777777" w:rsidTr="00504029">
        <w:tc>
          <w:tcPr>
            <w:tcW w:w="2122" w:type="dxa"/>
            <w:vAlign w:val="center"/>
          </w:tcPr>
          <w:p w14:paraId="4FC8AB9A"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19-30</w:t>
            </w:r>
          </w:p>
        </w:tc>
        <w:tc>
          <w:tcPr>
            <w:tcW w:w="3827" w:type="dxa"/>
            <w:vAlign w:val="center"/>
          </w:tcPr>
          <w:p w14:paraId="606C22D0"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1.28%</w:t>
            </w:r>
          </w:p>
        </w:tc>
        <w:tc>
          <w:tcPr>
            <w:tcW w:w="3067" w:type="dxa"/>
            <w:vAlign w:val="center"/>
          </w:tcPr>
          <w:p w14:paraId="2F8066AC"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0.56%</w:t>
            </w:r>
          </w:p>
        </w:tc>
      </w:tr>
      <w:tr w:rsidR="00504029" w:rsidRPr="00EC3A28" w14:paraId="67921910" w14:textId="77777777" w:rsidTr="00504029">
        <w:tc>
          <w:tcPr>
            <w:tcW w:w="2122" w:type="dxa"/>
            <w:vAlign w:val="center"/>
          </w:tcPr>
          <w:p w14:paraId="61959F23"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31-55</w:t>
            </w:r>
          </w:p>
        </w:tc>
        <w:tc>
          <w:tcPr>
            <w:tcW w:w="3827" w:type="dxa"/>
            <w:vAlign w:val="center"/>
          </w:tcPr>
          <w:p w14:paraId="4406F46E"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1.15%</w:t>
            </w:r>
          </w:p>
        </w:tc>
        <w:tc>
          <w:tcPr>
            <w:tcW w:w="3067" w:type="dxa"/>
            <w:vAlign w:val="center"/>
          </w:tcPr>
          <w:p w14:paraId="59DBFD52"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0.50%</w:t>
            </w:r>
          </w:p>
        </w:tc>
      </w:tr>
      <w:tr w:rsidR="00504029" w:rsidRPr="00EC3A28" w14:paraId="3A93EC44" w14:textId="77777777" w:rsidTr="00504029">
        <w:tc>
          <w:tcPr>
            <w:tcW w:w="2122" w:type="dxa"/>
            <w:vAlign w:val="center"/>
          </w:tcPr>
          <w:p w14:paraId="6AD878B1"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55-83</w:t>
            </w:r>
          </w:p>
        </w:tc>
        <w:tc>
          <w:tcPr>
            <w:tcW w:w="3827" w:type="dxa"/>
            <w:vAlign w:val="center"/>
          </w:tcPr>
          <w:p w14:paraId="0D9AFE23"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1.05%</w:t>
            </w:r>
          </w:p>
        </w:tc>
        <w:tc>
          <w:tcPr>
            <w:tcW w:w="3067" w:type="dxa"/>
            <w:vAlign w:val="center"/>
          </w:tcPr>
          <w:p w14:paraId="0E14447B" w14:textId="77777777" w:rsidR="00504029" w:rsidRPr="00EC3A28" w:rsidRDefault="00504029" w:rsidP="008D36EA">
            <w:pPr>
              <w:jc w:val="left"/>
              <w:rPr>
                <w:rFonts w:ascii="Times New Roman" w:hAnsi="Times New Roman" w:cs="Times New Roman"/>
                <w:sz w:val="24"/>
                <w:szCs w:val="24"/>
              </w:rPr>
            </w:pPr>
            <w:r w:rsidRPr="00EC3A28">
              <w:rPr>
                <w:rFonts w:ascii="Times New Roman" w:hAnsi="Times New Roman" w:cs="Times New Roman"/>
                <w:sz w:val="24"/>
                <w:szCs w:val="24"/>
              </w:rPr>
              <w:t>0.37%</w:t>
            </w:r>
          </w:p>
        </w:tc>
      </w:tr>
    </w:tbl>
    <w:p w14:paraId="57DBAE6A" w14:textId="77777777" w:rsidR="00504029" w:rsidRPr="00EC3A28" w:rsidRDefault="00504029" w:rsidP="008D36EA">
      <w:pPr>
        <w:spacing w:after="0"/>
        <w:jc w:val="left"/>
        <w:rPr>
          <w:rFonts w:ascii="Times New Roman" w:hAnsi="Times New Roman" w:cs="Times New Roman"/>
          <w:sz w:val="24"/>
          <w:szCs w:val="24"/>
        </w:rPr>
      </w:pPr>
    </w:p>
    <w:p w14:paraId="21BEFDD0" w14:textId="77777777" w:rsidR="00504029" w:rsidRPr="00EC3A28" w:rsidRDefault="00504029"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ანესთეზიის ინდუქციური და შემანარჩუნებელი დოზები უნდა დარეგულირდეს პაციენტის ასაკისა და კლინიკური მდგომარეობის მიხედვით.</w:t>
      </w:r>
    </w:p>
    <w:p w14:paraId="371BDE38"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პრეპარატმა შეიძლება გამოიწვიოს დოზადამოკიდებული კორონარული ვაზოდილატაცია. მიოკარდიუმის არასაკმარისი პერფუზიის ნიშნების გამოსავლენად, მიღების დროს უნდა ჩატარდეს ჰემოდინამიკური მონიტორინგი (მაგ., ელექტროკარდიოგრამა, არტერიული წნევა). პაციენტებში, რომლებსაც აქვთ კორონარული არტერიის დაავადება, კლინიკური შეფასების საფუძველზე შეიძლება განიხილებოდეს გულის დამატებითი მონიტორინგი.</w:t>
      </w:r>
    </w:p>
    <w:p w14:paraId="4328D306"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დოზადამოკიდებული წესით ამცირებს სისტემურ სისხლძარღვოვან რეზისტენტობას და არტერიულ წნევას. განსაკუთრებული სიფრთხილეა საჭირო დოზის განსაზღვრისას ჰიპოვოლემიის, ჰიპოტენზიის ან თანმხლები მედიკამენტების გამო ჰემოდინამიკური დარღვევების მქონე პაციენტებში.</w:t>
      </w:r>
    </w:p>
    <w:p w14:paraId="10346E5D"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როგორც სხვა ჰალოგენირებული ანესთეტიკების შემთხვევაში, ხანმოკლე პერიოდებში განმეორებითმა მიღებამ შეიძლება გააძლიეროს ეფექტი ან გამოიწვიოს ღვიძლის ფუნქციის დარღვევა, განსაკუთრებით პაციენტებში, რომლებსაც აქვთ ღვიძლის დაავადება ან იღებენ ჰეპატოტოქსიურ მედიკამენტებს. განმეორებითი ზემოქმედების აუცილებლობის დასადგენად საჭიროა ინდივიდუალური შეფასება. როდესაც საჭიროა განმეორებითი ექსპოზიცია მოკლე ინტერვალში, დოზები უნდა დაკორექტირდეს </w:t>
      </w:r>
      <w:r w:rsidRPr="00EC3A28">
        <w:rPr>
          <w:rFonts w:ascii="Times New Roman" w:hAnsi="Times New Roman" w:cs="Times New Roman"/>
          <w:sz w:val="24"/>
          <w:szCs w:val="24"/>
        </w:rPr>
        <w:lastRenderedPageBreak/>
        <w:t>კლინიკური ნიშნებისა და ანესთეზიის სიღრმის მიხედვით.</w:t>
      </w:r>
    </w:p>
    <w:p w14:paraId="467AAFD0" w14:textId="77777777" w:rsidR="00504029" w:rsidRPr="00EC3A28" w:rsidRDefault="00504029"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 მიღებისას აღწერილია ალერგიული ტიპის ჰიპერმგრძნობელობის რეაქციები, მათ შორის ანაფილაქსია. ასეთ რეაქციებს შეიძლება მოიცავდეს ჰიპოტენზია, გამონაყარი, ქოშინი და გულ-სისხლძარღვთა კოლაფსი.</w:t>
      </w:r>
    </w:p>
    <w:p w14:paraId="6BB7AA15" w14:textId="77777777" w:rsidR="00504029" w:rsidRPr="00EC3A28" w:rsidRDefault="00504029" w:rsidP="008D36EA">
      <w:pPr>
        <w:spacing w:after="0"/>
        <w:jc w:val="left"/>
        <w:rPr>
          <w:rFonts w:ascii="Times New Roman" w:hAnsi="Times New Roman" w:cs="Times New Roman"/>
          <w:sz w:val="24"/>
          <w:szCs w:val="24"/>
        </w:rPr>
      </w:pPr>
    </w:p>
    <w:p w14:paraId="0004DA93" w14:textId="77777777" w:rsidR="00DE10C3" w:rsidRPr="00EC3A28" w:rsidRDefault="00DC349B"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წამლის ურთიერთქმედება</w:t>
      </w:r>
    </w:p>
    <w:p w14:paraId="5541DF17"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ინჰალაციური ანესთეტიკების სუქცინილქოლინთან კომბინაციაში გამოყენება იშვიათ შემთხვევებში ასოცირდება შრატის კალიუმის დონის მატებასთან, რამაც შეიძლება გამოიწვიოს გულის არითმიები და სიკვდილი პედიატრიულ პაციენტებში ქირურგიული ჩარევის დროს.</w:t>
      </w:r>
    </w:p>
    <w:p w14:paraId="5B185D35"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ყველა ხშირად გამოყენებული მიორელაქსაცის ეფექტს, ყველაზე დიდი ეფექტი კი დეპოლარიზებადი აგენტების გამოყენებისას შეინიშნება. ნეოსტიგმინი ცვლის დეპოლარიზებადი მიორელაქსაცის ეფექტს, მაგრამ არ მოქმედებს თავად ამ პრეპარატის რელაქსაციურ თვისებებზე. ზოგადად, ამ პრეპარატთან ერთად შეიძლება გამოყენებულ იქნას ყველა ხშირად გამოყენებული მიორელაქსაცის გამოყენება.</w:t>
      </w:r>
    </w:p>
    <w:p w14:paraId="50BC9883"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ბეტა-ადრენერგული აგონისტები, როგორიცაა იზოპრენალინი, და კატექოლამინები, მათ შორის ადრენალინი და ნორადრენალინი, სიფრთხილით უნდა იქნას გამოყენებული ამ პრეპარატით ანესთეზიის დროს, პარკუჭოვანი არითმიების პოტენციური რისკის გამო.</w:t>
      </w:r>
    </w:p>
    <w:p w14:paraId="6E33C6C2"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არასელექციური მონოამინოქსიდაზას (MAO) ინჰიბიტორები პერიოპერაციული კრიზის რისკს შეიცავს; რეკომენდებულია მათი შეწყვეტა ოპერაციამდე სულ მცირე ორი კვირით ადრე.</w:t>
      </w:r>
    </w:p>
    <w:p w14:paraId="535CF344"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CYP2E1-ის ინდუქტორებმა, როგორიცაა იზონიაზიდი და ალკოჰოლი, შეიძლება გააძლიერონ ამ პრეპარატის მეტაბოლიზმი, რაც მნიშვნელოვნად გაზრდის ფტორის კონცენტრაციას პლაზმაში.</w:t>
      </w:r>
    </w:p>
    <w:p w14:paraId="2FED5C09"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პრეპარატისა და იზონიაზიდის ერთდროულმა გამოყენებამ შეიძლება გაზარდოს ჰეპატოტოქსიურობის რისკი.</w:t>
      </w:r>
    </w:p>
    <w:p w14:paraId="3FF08110"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ამ პრეპარატმა შეიძლება გამოიწვიოს ჰიპოტენზია კალციუმის არხების ბლოკატორების, განსაკუთრებით დიჰიდროპირიდინის წარმოებულების მიმღებ პაციენტებში.</w:t>
      </w:r>
    </w:p>
    <w:p w14:paraId="08941AB5"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კალციუმის არხების ბლოკატორების და ინჰალაციური ანესთეტიკების ერთდროულმა გამოყენებამ შეიძლება გაზარდოს უარყოფითი ინოტროპული ეფექტების დამატებითი რისკი; რეკომენდებულია სიფრთხილე.</w:t>
      </w:r>
    </w:p>
    <w:p w14:paraId="34D147B4"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ოპიოიდები, ბენზოდიაზეპინები და სხვა სედატიური საშუალებები დაკავშირებულია სუნთქვის დათრგუნვასთან; ამ პრეპარატთან ერთად გამოყენებისას საჭიროა ფრთხილად მონიტორინგი.</w:t>
      </w:r>
    </w:p>
    <w:p w14:paraId="5BB895D6"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 xml:space="preserve">ოპიოიდები ამცირებენ ამ პრეპარატის მინიმალურ ალვეოლურ კონცენტრაციას (MAC). ფენტანილთან ან მასთან დაკავშირებულ ოპიოიდებთან ერთდროულმა გამოყენებამ შეიძლება გამოიწვიოს </w:t>
      </w:r>
      <w:r w:rsidRPr="00EC3A28">
        <w:rPr>
          <w:rFonts w:ascii="Times New Roman" w:hAnsi="Times New Roman" w:cs="Times New Roman"/>
          <w:sz w:val="24"/>
          <w:szCs w:val="24"/>
        </w:rPr>
        <w:lastRenderedPageBreak/>
        <w:t>დამატებითი ეფექტები, მათ შორის არტერიული წნევის და სუნთქვის სიხშირის შემცირება.</w:t>
      </w:r>
    </w:p>
    <w:p w14:paraId="53591D97"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აზოტის ოქსიდი ამცირებს ამ პრეპარატის MAC-ს.</w:t>
      </w:r>
    </w:p>
    <w:p w14:paraId="1CD10472" w14:textId="77777777" w:rsidR="00AD6B6F"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აძლიერებს ყველა მიორელაქსანტის ეფექტს, ამცირებს ნეირომუსკულური ბლოკატორების საჭირო დოზას. წონასწორული ანესთეზიური კონცენტრაციების დროს, ატრაკურიუმის, როკურონიუმის და ვეკურონიუმის ED95 შემცირდა 25-40%-ით აზოტის ოქსიდით/ოპიოიდით ანესთეზიასთან შედარებით. დამატებითი რელაქსაციის საჭიროების შემთხვევაში, შესაძლებელია დამატებითი მიორელაქსანტების მიღება.</w:t>
      </w:r>
    </w:p>
    <w:p w14:paraId="19A4540C" w14:textId="77777777" w:rsidR="00DE10C3" w:rsidRPr="00EC3A28" w:rsidRDefault="00AD6B6F"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ბეტა-ბლოკატორებთან ერთდროულმა გამოყენებამ შეიძლება გააძლიეროს ინჰალაციური ანესთეტიკების გულ-სისხლძარღვთა ეფექტები, მათ შორის ჰიპოტენზია და უარყოფითი ინოტროპული ეფექტები.</w:t>
      </w:r>
    </w:p>
    <w:p w14:paraId="5039008A" w14:textId="77777777" w:rsidR="00AD6B6F" w:rsidRPr="00EC3A28" w:rsidRDefault="00AD6B6F" w:rsidP="008D36EA">
      <w:pPr>
        <w:spacing w:after="0"/>
        <w:jc w:val="left"/>
        <w:rPr>
          <w:rFonts w:ascii="Times New Roman" w:hAnsi="Times New Roman" w:cs="Times New Roman"/>
          <w:sz w:val="24"/>
          <w:szCs w:val="24"/>
        </w:rPr>
      </w:pPr>
    </w:p>
    <w:p w14:paraId="35D6801B"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ორსულობის დროს გამოყენება</w:t>
      </w:r>
    </w:p>
    <w:p w14:paraId="00FD5AB6"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ცხოველებზე ჩატარებული კვლევებით, თაგვებში ამ პრეპარატის ადამიანის დოზაზე ექვსჯერ მეტი დოზით მიღება ანესთეზიასთან დაკავშირებული ემბრიოტოქსიკურობის პოტენციალზე მიუთითებდა. თუმცა, ორსულ ქალებში კვლევები არ ჩატარებულა.</w:t>
      </w:r>
    </w:p>
    <w:p w14:paraId="128DB5DC"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ეს პრეპარატი ორსულობის დროს უნდა იქნას გამოყენებული მხოლოდ იმ შემთხვევაში, თუ პოტენციური სარგებელი აღემატება პოტენციურ რისკებს.</w:t>
      </w:r>
    </w:p>
    <w:p w14:paraId="6186862C" w14:textId="77777777" w:rsidR="001032E1" w:rsidRPr="00EC3A2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სხვა ინჰალაციური ანესთეტიკების მსგავსად, ამ პრეპარატმა შეიძლება გამოიწვიოს საშვილოსნოს რელაქსაცია, რაც ქმნის საშვილოსნოს სისხლდენის პოტენციურ რისკს. სამეანო ანესთეზიის დროს გამოყენებისას კლინიკური ნიშნები უნდა იყოს ყურადღებით მონიტორინგი. სამეანო პროცედურების დროს უნდა იქნას გათვალისწინებული ამ პრეპარატის ყველაზე დაბალი ეფექტური კონცენტრაცია.</w:t>
      </w:r>
    </w:p>
    <w:p w14:paraId="34D87D76" w14:textId="7F3441DE" w:rsidR="00AD6B6F" w:rsidRPr="003C4C08" w:rsidRDefault="001032E1" w:rsidP="008D36EA">
      <w:pPr>
        <w:pStyle w:val="ListParagraph"/>
        <w:numPr>
          <w:ilvl w:val="1"/>
          <w:numId w:val="21"/>
        </w:numPr>
        <w:spacing w:after="0"/>
        <w:ind w:leftChars="0"/>
        <w:jc w:val="left"/>
        <w:rPr>
          <w:rFonts w:ascii="Times New Roman" w:hAnsi="Times New Roman" w:cs="Times New Roman"/>
          <w:sz w:val="24"/>
          <w:szCs w:val="24"/>
        </w:rPr>
      </w:pPr>
      <w:r w:rsidRPr="00EC3A28">
        <w:rPr>
          <w:rFonts w:ascii="Times New Roman" w:hAnsi="Times New Roman" w:cs="Times New Roman"/>
          <w:sz w:val="24"/>
          <w:szCs w:val="24"/>
        </w:rPr>
        <w:t>იზოფლურანის 0.75%-მდე კონცენტრაცია უსაფრთხო და ეფექტური აღმოჩნდა საკეისრო კვეთის დროს ანესთეზიის შესანარჩუნებლად.</w:t>
      </w:r>
    </w:p>
    <w:p w14:paraId="7051DDA0"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გამოყენება მეძუძურ დედებში</w:t>
      </w:r>
    </w:p>
    <w:p w14:paraId="74AB5679" w14:textId="12CFD3D8"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უცნობია, გამოიყოფა თუ არა ეს პრეპარატი ადამიანის დედის რძეში. თუმცა, რადგან ბევრი პრეპარატი გამოიყოფა დედის რძეში, მეძუძური დედებისთვის ამ პრეპარატის დანიშვნისას სიფრთხილეა საჭირო.</w:t>
      </w:r>
    </w:p>
    <w:p w14:paraId="6C2153F2"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დოზის გადაჭარბება</w:t>
      </w:r>
    </w:p>
    <w:p w14:paraId="559E4BA5" w14:textId="77777777"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დოზის გადაჭარბების ან დოზის გადაჭარბების ეჭვის შემთხვევაში, შეწყვიტეთ მიღება, შეინარჩუნეთ სასუნთქი გზების გამტარობა და დაიწყეთ დამხმარე ან კონტროლირებადი ვენტილაცია სუფთა ჟანგბადით.</w:t>
      </w:r>
    </w:p>
    <w:p w14:paraId="1A2AF339" w14:textId="49FEB20D" w:rsidR="001032E1"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დაფიქსირდა ჰიპოტენზია და სუნთქვის დათრგუნვა. რეკომენდებულია არტერიული წნევის და სუნთქვის მკაცრი მონიტორინგი. შესაძლოა საჭირო გახდეს დამატებითი ჩარევები ზედმეტად ღრმა ანესთეზიით გამოწვეული ჰიპოტენზიის და სუნთქვის დათრგუნვის აღსადგენად.</w:t>
      </w:r>
    </w:p>
    <w:p w14:paraId="7CC197E9" w14:textId="77777777"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გავლენა მანქანის მართვასა და მექანიზმებთან მუშაობაზე</w:t>
      </w:r>
    </w:p>
    <w:p w14:paraId="29EDCD6B" w14:textId="77777777" w:rsidR="001032E1"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 xml:space="preserve">პაციენტებს უნდა ეცნობოთ, რომ ამ პრეპარატით ანესთეზიიდან 2-4 დღის </w:t>
      </w:r>
      <w:r w:rsidRPr="00EC3A28">
        <w:rPr>
          <w:rFonts w:ascii="Times New Roman" w:hAnsi="Times New Roman" w:cs="Times New Roman"/>
          <w:sz w:val="24"/>
          <w:szCs w:val="24"/>
        </w:rPr>
        <w:lastRenderedPageBreak/>
        <w:t>განმავლობაში შეიძლება დაქვეითდეს ყურადღების კონცენტრაციის მომთხოვნი დავალებების შესრულების უნარი, როგორიცაა მანქანის მართვა ან სახიფათო მექანიზმებთან მუშაობა. სხვა ანესთეტიკების მსგავსად, შესაძლოა განწყობისა და შრომისუნარიანობის მსუბუქი ცვლილებები განვითარდეს, რაც შეიძლება 6 დღემდე გაგრძელდეს.</w:t>
      </w:r>
    </w:p>
    <w:p w14:paraId="18958301" w14:textId="77777777" w:rsidR="003C4C08" w:rsidRPr="00EC3A28" w:rsidRDefault="003C4C08" w:rsidP="008D36EA">
      <w:pPr>
        <w:spacing w:after="0"/>
        <w:jc w:val="left"/>
        <w:rPr>
          <w:rFonts w:ascii="Times New Roman" w:hAnsi="Times New Roman" w:cs="Times New Roman"/>
          <w:sz w:val="24"/>
          <w:szCs w:val="24"/>
        </w:rPr>
      </w:pPr>
    </w:p>
    <w:p w14:paraId="22EE3A72" w14:textId="77777777" w:rsidR="001032E1" w:rsidRPr="00EC3A28" w:rsidRDefault="001032E1" w:rsidP="008D36EA">
      <w:pPr>
        <w:spacing w:after="0"/>
        <w:jc w:val="left"/>
        <w:rPr>
          <w:rFonts w:ascii="Times New Roman" w:hAnsi="Times New Roman" w:cs="Times New Roman"/>
          <w:sz w:val="24"/>
          <w:szCs w:val="24"/>
        </w:rPr>
      </w:pPr>
    </w:p>
    <w:p w14:paraId="2844E036" w14:textId="115AAE0C" w:rsidR="001032E1" w:rsidRPr="00EC3A28" w:rsidRDefault="001032E1" w:rsidP="008D36EA">
      <w:pPr>
        <w:pStyle w:val="ListParagraph"/>
        <w:numPr>
          <w:ilvl w:val="0"/>
          <w:numId w:val="21"/>
        </w:numPr>
        <w:spacing w:after="0"/>
        <w:ind w:leftChars="0"/>
        <w:jc w:val="left"/>
        <w:rPr>
          <w:rFonts w:ascii="Times New Roman" w:hAnsi="Times New Roman" w:cs="Times New Roman"/>
          <w:b/>
          <w:sz w:val="24"/>
          <w:szCs w:val="24"/>
        </w:rPr>
      </w:pPr>
      <w:r w:rsidRPr="00EC3A28">
        <w:rPr>
          <w:rFonts w:ascii="Times New Roman" w:hAnsi="Times New Roman" w:cs="Times New Roman"/>
          <w:b/>
          <w:sz w:val="24"/>
          <w:szCs w:val="24"/>
        </w:rPr>
        <w:t>სხვ</w:t>
      </w:r>
      <w:r w:rsidR="008D36EA">
        <w:rPr>
          <w:rFonts w:ascii="Sylfaen" w:hAnsi="Sylfaen" w:cs="Times New Roman"/>
          <w:b/>
          <w:sz w:val="24"/>
          <w:szCs w:val="24"/>
        </w:rPr>
        <w:t>ა</w:t>
      </w:r>
    </w:p>
    <w:p w14:paraId="755A4551" w14:textId="77777777" w:rsidR="000725BD"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თაგვებში ჩატარებულ კვლევებში სიმსივნის შემთხვევები შედარებადი იყო არანამკურნალებ საკონტროლო ჯგუფებში დაფიქსირებულ მაჩვენებელთან.</w:t>
      </w:r>
    </w:p>
    <w:p w14:paraId="23221C21" w14:textId="77777777" w:rsidR="001032E1" w:rsidRPr="00EC3A28" w:rsidRDefault="001032E1" w:rsidP="008D36EA">
      <w:pPr>
        <w:spacing w:after="0"/>
        <w:jc w:val="left"/>
        <w:rPr>
          <w:rFonts w:ascii="Times New Roman" w:hAnsi="Times New Roman" w:cs="Times New Roman"/>
          <w:sz w:val="24"/>
          <w:szCs w:val="24"/>
        </w:rPr>
      </w:pPr>
    </w:p>
    <w:p w14:paraId="6E9DE072" w14:textId="77777777" w:rsidR="000725BD" w:rsidRPr="00EC3A28" w:rsidRDefault="000725BD" w:rsidP="008D36EA">
      <w:pPr>
        <w:spacing w:after="0"/>
        <w:jc w:val="left"/>
        <w:rPr>
          <w:rFonts w:ascii="Times New Roman" w:hAnsi="Times New Roman" w:cs="Times New Roman"/>
          <w:sz w:val="24"/>
          <w:szCs w:val="24"/>
        </w:rPr>
      </w:pPr>
    </w:p>
    <w:p w14:paraId="39B87A0A" w14:textId="4C4C08E3" w:rsidR="003E60D9" w:rsidRPr="00EC3A28" w:rsidRDefault="003E60D9"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t>[</w:t>
      </w:r>
      <w:r w:rsidR="00984935">
        <w:rPr>
          <w:rFonts w:ascii="Sylfaen" w:hAnsi="Sylfaen" w:cs="Times New Roman"/>
          <w:b/>
          <w:sz w:val="24"/>
          <w:szCs w:val="24"/>
        </w:rPr>
        <w:t>შენახვა</w:t>
      </w:r>
      <w:r w:rsidRPr="00EC3A28">
        <w:rPr>
          <w:rFonts w:ascii="Times New Roman" w:hAnsi="Times New Roman" w:cs="Times New Roman"/>
          <w:b/>
          <w:sz w:val="24"/>
          <w:szCs w:val="24"/>
        </w:rPr>
        <w:t>]</w:t>
      </w:r>
    </w:p>
    <w:p w14:paraId="752E9896" w14:textId="77777777" w:rsidR="00EF0549" w:rsidRPr="00EC3A28" w:rsidRDefault="00EF0549" w:rsidP="008D36EA">
      <w:pPr>
        <w:wordWrap/>
        <w:adjustRightInd w:val="0"/>
        <w:spacing w:after="0" w:line="240" w:lineRule="auto"/>
        <w:jc w:val="left"/>
        <w:rPr>
          <w:rFonts w:ascii="Times New Roman" w:hAnsi="Times New Roman" w:cs="Times New Roman"/>
          <w:sz w:val="24"/>
          <w:szCs w:val="24"/>
        </w:rPr>
      </w:pPr>
      <w:r w:rsidRPr="00EC3A28">
        <w:rPr>
          <w:rFonts w:ascii="Times New Roman" w:hAnsi="Times New Roman" w:cs="Times New Roman"/>
          <w:sz w:val="24"/>
          <w:szCs w:val="24"/>
        </w:rPr>
        <w:t>შეინახეთ 15-30°C ტემპერატურაზე, დახურულ კონტეინერში</w:t>
      </w:r>
    </w:p>
    <w:p w14:paraId="17A0B339" w14:textId="67333A60" w:rsidR="00D90EBF" w:rsidRPr="00EC3A28" w:rsidRDefault="00D90EBF" w:rsidP="008D36EA">
      <w:pPr>
        <w:wordWrap/>
        <w:adjustRightInd w:val="0"/>
        <w:spacing w:after="0" w:line="240" w:lineRule="auto"/>
        <w:jc w:val="left"/>
        <w:rPr>
          <w:rFonts w:ascii="Times New Roman" w:hAnsi="Times New Roman" w:cs="Times New Roman"/>
          <w:b/>
          <w:color w:val="000000"/>
          <w:kern w:val="0"/>
          <w:sz w:val="24"/>
          <w:szCs w:val="24"/>
        </w:rPr>
      </w:pPr>
      <w:r w:rsidRPr="00EC3A28">
        <w:rPr>
          <w:rFonts w:ascii="Times New Roman" w:hAnsi="Times New Roman" w:cs="Times New Roman"/>
          <w:color w:val="000000"/>
          <w:kern w:val="0"/>
          <w:sz w:val="24"/>
          <w:szCs w:val="24"/>
        </w:rPr>
        <w:t>და</w:t>
      </w:r>
      <w:r w:rsidR="008D36EA">
        <w:rPr>
          <w:rFonts w:ascii="Sylfaen" w:hAnsi="Sylfaen" w:cs="Times New Roman"/>
          <w:color w:val="000000"/>
          <w:kern w:val="0"/>
          <w:sz w:val="24"/>
          <w:szCs w:val="24"/>
        </w:rPr>
        <w:t xml:space="preserve">იცავით </w:t>
      </w:r>
      <w:r w:rsidRPr="00EC3A28">
        <w:rPr>
          <w:rFonts w:ascii="Times New Roman" w:hAnsi="Times New Roman" w:cs="Times New Roman"/>
          <w:color w:val="000000"/>
          <w:kern w:val="0"/>
          <w:sz w:val="24"/>
          <w:szCs w:val="24"/>
        </w:rPr>
        <w:t>სინათლისგან</w:t>
      </w:r>
    </w:p>
    <w:p w14:paraId="0B084796" w14:textId="77777777" w:rsidR="00341916" w:rsidRPr="00EC3A28" w:rsidRDefault="00341916" w:rsidP="008D36EA">
      <w:pPr>
        <w:spacing w:after="0"/>
        <w:jc w:val="left"/>
        <w:rPr>
          <w:rFonts w:ascii="Times New Roman" w:hAnsi="Times New Roman" w:cs="Times New Roman"/>
          <w:sz w:val="24"/>
          <w:szCs w:val="24"/>
        </w:rPr>
      </w:pPr>
    </w:p>
    <w:p w14:paraId="57AEE99B" w14:textId="023496D3" w:rsidR="003E60D9" w:rsidRPr="00EC3A28" w:rsidRDefault="003E60D9" w:rsidP="008D36EA">
      <w:pPr>
        <w:spacing w:after="0"/>
        <w:jc w:val="left"/>
        <w:rPr>
          <w:rFonts w:ascii="Times New Roman" w:hAnsi="Times New Roman" w:cs="Times New Roman"/>
          <w:b/>
          <w:sz w:val="24"/>
          <w:szCs w:val="24"/>
        </w:rPr>
      </w:pPr>
      <w:r w:rsidRPr="00EC3A28">
        <w:rPr>
          <w:rFonts w:ascii="Times New Roman" w:hAnsi="Times New Roman" w:cs="Times New Roman"/>
          <w:b/>
          <w:sz w:val="24"/>
          <w:szCs w:val="24"/>
        </w:rPr>
        <w:t>[შეფუთვ</w:t>
      </w:r>
      <w:r w:rsidR="00984935">
        <w:rPr>
          <w:rFonts w:ascii="Sylfaen" w:hAnsi="Sylfaen" w:cs="Times New Roman"/>
          <w:b/>
          <w:sz w:val="24"/>
          <w:szCs w:val="24"/>
        </w:rPr>
        <w:t>ა</w:t>
      </w:r>
      <w:r w:rsidRPr="00EC3A28">
        <w:rPr>
          <w:rFonts w:ascii="Times New Roman" w:hAnsi="Times New Roman" w:cs="Times New Roman"/>
          <w:b/>
          <w:sz w:val="24"/>
          <w:szCs w:val="24"/>
        </w:rPr>
        <w:t>]</w:t>
      </w:r>
    </w:p>
    <w:p w14:paraId="6C44CE46" w14:textId="77777777" w:rsidR="00D90EBF" w:rsidRPr="00EC3A28" w:rsidRDefault="001032E1" w:rsidP="008D36EA">
      <w:pPr>
        <w:spacing w:after="0"/>
        <w:jc w:val="left"/>
        <w:rPr>
          <w:rFonts w:ascii="Times New Roman" w:hAnsi="Times New Roman" w:cs="Times New Roman"/>
          <w:sz w:val="24"/>
          <w:szCs w:val="24"/>
        </w:rPr>
      </w:pPr>
      <w:r w:rsidRPr="00EC3A28">
        <w:rPr>
          <w:rFonts w:ascii="Times New Roman" w:hAnsi="Times New Roman" w:cs="Times New Roman"/>
          <w:sz w:val="24"/>
          <w:szCs w:val="24"/>
        </w:rPr>
        <w:t>100 მლ × 1 ბოთლი</w:t>
      </w:r>
    </w:p>
    <w:p w14:paraId="26AA5402" w14:textId="77777777" w:rsidR="00EC3A28" w:rsidRDefault="00EC3A28" w:rsidP="008D36EA">
      <w:pPr>
        <w:spacing w:line="276" w:lineRule="auto"/>
        <w:jc w:val="left"/>
        <w:rPr>
          <w:rFonts w:ascii="Times New Roman" w:hAnsi="Times New Roman" w:cs="Times New Roman"/>
          <w:sz w:val="22"/>
        </w:rPr>
      </w:pPr>
    </w:p>
    <w:p w14:paraId="0793C83F" w14:textId="77777777" w:rsidR="00E454A3" w:rsidRPr="00E454A3" w:rsidRDefault="00E454A3" w:rsidP="00E454A3">
      <w:pPr>
        <w:spacing w:after="0" w:line="276" w:lineRule="auto"/>
        <w:jc w:val="left"/>
        <w:rPr>
          <w:rFonts w:ascii="Times New Roman" w:hAnsi="Times New Roman" w:cs="Times New Roman"/>
          <w:sz w:val="22"/>
        </w:rPr>
      </w:pPr>
    </w:p>
    <w:p w14:paraId="4B75DA99"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ფარმაცევტული</w:t>
      </w:r>
      <w:r w:rsidRPr="00E454A3">
        <w:rPr>
          <w:rFonts w:ascii="Times New Roman" w:hAnsi="Times New Roman" w:cs="Times New Roman"/>
          <w:sz w:val="22"/>
        </w:rPr>
        <w:t xml:space="preserve"> </w:t>
      </w:r>
      <w:r w:rsidRPr="00E454A3">
        <w:rPr>
          <w:rFonts w:ascii="Sylfaen" w:hAnsi="Sylfaen" w:cs="Sylfaen"/>
          <w:sz w:val="22"/>
        </w:rPr>
        <w:t>ტერმინების</w:t>
      </w:r>
      <w:r w:rsidRPr="00E454A3">
        <w:rPr>
          <w:rFonts w:ascii="Times New Roman" w:hAnsi="Times New Roman" w:cs="Times New Roman"/>
          <w:sz w:val="22"/>
        </w:rPr>
        <w:t xml:space="preserve"> </w:t>
      </w:r>
      <w:r w:rsidRPr="00E454A3">
        <w:rPr>
          <w:rFonts w:ascii="Sylfaen" w:hAnsi="Sylfaen" w:cs="Sylfaen"/>
          <w:sz w:val="22"/>
        </w:rPr>
        <w:t>განმარტებებისა</w:t>
      </w:r>
      <w:r w:rsidRPr="00E454A3">
        <w:rPr>
          <w:rFonts w:ascii="Times New Roman" w:hAnsi="Times New Roman" w:cs="Times New Roman"/>
          <w:sz w:val="22"/>
        </w:rPr>
        <w:t xml:space="preserve"> </w:t>
      </w:r>
      <w:r w:rsidRPr="00E454A3">
        <w:rPr>
          <w:rFonts w:ascii="Sylfaen" w:hAnsi="Sylfaen" w:cs="Sylfaen"/>
          <w:sz w:val="22"/>
        </w:rPr>
        <w:t>და</w:t>
      </w:r>
      <w:r w:rsidRPr="00E454A3">
        <w:rPr>
          <w:rFonts w:ascii="Times New Roman" w:hAnsi="Times New Roman" w:cs="Times New Roman"/>
          <w:sz w:val="22"/>
        </w:rPr>
        <w:t xml:space="preserve"> </w:t>
      </w:r>
      <w:r w:rsidRPr="00E454A3">
        <w:rPr>
          <w:rFonts w:ascii="Sylfaen" w:hAnsi="Sylfaen" w:cs="Sylfaen"/>
          <w:sz w:val="22"/>
        </w:rPr>
        <w:t>სხვა</w:t>
      </w:r>
      <w:r w:rsidRPr="00E454A3">
        <w:rPr>
          <w:rFonts w:ascii="Times New Roman" w:hAnsi="Times New Roman" w:cs="Times New Roman"/>
          <w:sz w:val="22"/>
        </w:rPr>
        <w:t xml:space="preserve"> </w:t>
      </w:r>
      <w:r w:rsidRPr="00E454A3">
        <w:rPr>
          <w:rFonts w:ascii="Sylfaen" w:hAnsi="Sylfaen" w:cs="Sylfaen"/>
          <w:sz w:val="22"/>
        </w:rPr>
        <w:t>დეტალური</w:t>
      </w:r>
      <w:r w:rsidRPr="00E454A3">
        <w:rPr>
          <w:rFonts w:ascii="Times New Roman" w:hAnsi="Times New Roman" w:cs="Times New Roman"/>
          <w:sz w:val="22"/>
        </w:rPr>
        <w:t xml:space="preserve"> </w:t>
      </w:r>
      <w:r w:rsidRPr="00E454A3">
        <w:rPr>
          <w:rFonts w:ascii="Sylfaen" w:hAnsi="Sylfaen" w:cs="Sylfaen"/>
          <w:sz w:val="22"/>
        </w:rPr>
        <w:t>ინფორმაციისთვის</w:t>
      </w:r>
      <w:r w:rsidRPr="00E454A3">
        <w:rPr>
          <w:rFonts w:ascii="Times New Roman" w:hAnsi="Times New Roman" w:cs="Times New Roman"/>
          <w:sz w:val="22"/>
        </w:rPr>
        <w:t xml:space="preserve">, </w:t>
      </w:r>
      <w:r w:rsidRPr="00E454A3">
        <w:rPr>
          <w:rFonts w:ascii="Sylfaen" w:hAnsi="Sylfaen" w:cs="Sylfaen"/>
          <w:sz w:val="22"/>
        </w:rPr>
        <w:t>გთხოვთ</w:t>
      </w:r>
      <w:r w:rsidRPr="00E454A3">
        <w:rPr>
          <w:rFonts w:ascii="Times New Roman" w:hAnsi="Times New Roman" w:cs="Times New Roman"/>
          <w:sz w:val="22"/>
        </w:rPr>
        <w:t xml:space="preserve">, </w:t>
      </w:r>
      <w:r w:rsidRPr="00E454A3">
        <w:rPr>
          <w:rFonts w:ascii="Sylfaen" w:hAnsi="Sylfaen" w:cs="Sylfaen"/>
          <w:sz w:val="22"/>
        </w:rPr>
        <w:t>ეწვიოთ</w:t>
      </w:r>
      <w:r w:rsidRPr="00E454A3">
        <w:rPr>
          <w:rFonts w:ascii="Times New Roman" w:hAnsi="Times New Roman" w:cs="Times New Roman"/>
          <w:sz w:val="22"/>
        </w:rPr>
        <w:t xml:space="preserve"> Hana Pharm Co., Ltd.-</w:t>
      </w:r>
      <w:r w:rsidRPr="00E454A3">
        <w:rPr>
          <w:rFonts w:ascii="Sylfaen" w:hAnsi="Sylfaen" w:cs="Sylfaen"/>
          <w:sz w:val="22"/>
        </w:rPr>
        <w:t>ის</w:t>
      </w:r>
      <w:r w:rsidRPr="00E454A3">
        <w:rPr>
          <w:rFonts w:ascii="Times New Roman" w:hAnsi="Times New Roman" w:cs="Times New Roman"/>
          <w:sz w:val="22"/>
        </w:rPr>
        <w:t xml:space="preserve"> </w:t>
      </w:r>
      <w:r w:rsidRPr="00E454A3">
        <w:rPr>
          <w:rFonts w:ascii="Sylfaen" w:hAnsi="Sylfaen" w:cs="Sylfaen"/>
          <w:sz w:val="22"/>
        </w:rPr>
        <w:t>ვებგვერდს</w:t>
      </w:r>
      <w:r w:rsidRPr="00E454A3">
        <w:rPr>
          <w:rFonts w:ascii="Times New Roman" w:hAnsi="Times New Roman" w:cs="Times New Roman"/>
          <w:sz w:val="22"/>
        </w:rPr>
        <w:t xml:space="preserve"> (www.hanaph.co.kr ) </w:t>
      </w:r>
    </w:p>
    <w:p w14:paraId="035004E4"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თუ</w:t>
      </w:r>
      <w:r w:rsidRPr="00E454A3">
        <w:rPr>
          <w:rFonts w:ascii="Times New Roman" w:hAnsi="Times New Roman" w:cs="Times New Roman"/>
          <w:sz w:val="22"/>
        </w:rPr>
        <w:t xml:space="preserve"> </w:t>
      </w:r>
      <w:r w:rsidRPr="00E454A3">
        <w:rPr>
          <w:rFonts w:ascii="Sylfaen" w:hAnsi="Sylfaen" w:cs="Sylfaen"/>
          <w:sz w:val="22"/>
        </w:rPr>
        <w:t>თქვენ</w:t>
      </w:r>
      <w:r w:rsidRPr="00E454A3">
        <w:rPr>
          <w:rFonts w:ascii="Times New Roman" w:hAnsi="Times New Roman" w:cs="Times New Roman"/>
          <w:sz w:val="22"/>
        </w:rPr>
        <w:t xml:space="preserve"> </w:t>
      </w:r>
      <w:r w:rsidRPr="00E454A3">
        <w:rPr>
          <w:rFonts w:ascii="Sylfaen" w:hAnsi="Sylfaen" w:cs="Sylfaen"/>
          <w:sz w:val="22"/>
        </w:rPr>
        <w:t>შეიძინეთ</w:t>
      </w:r>
      <w:r w:rsidRPr="00E454A3">
        <w:rPr>
          <w:rFonts w:ascii="Times New Roman" w:hAnsi="Times New Roman" w:cs="Times New Roman"/>
          <w:sz w:val="22"/>
        </w:rPr>
        <w:t xml:space="preserve"> </w:t>
      </w:r>
      <w:r w:rsidRPr="00E454A3">
        <w:rPr>
          <w:rFonts w:ascii="Sylfaen" w:hAnsi="Sylfaen" w:cs="Sylfaen"/>
          <w:sz w:val="22"/>
        </w:rPr>
        <w:t>ვადაგასული</w:t>
      </w:r>
      <w:r w:rsidRPr="00E454A3">
        <w:rPr>
          <w:rFonts w:ascii="Times New Roman" w:hAnsi="Times New Roman" w:cs="Times New Roman"/>
          <w:sz w:val="22"/>
        </w:rPr>
        <w:t xml:space="preserve">, </w:t>
      </w:r>
      <w:r w:rsidRPr="00E454A3">
        <w:rPr>
          <w:rFonts w:ascii="Sylfaen" w:hAnsi="Sylfaen" w:cs="Sylfaen"/>
          <w:sz w:val="22"/>
        </w:rPr>
        <w:t>გაფუჭებული</w:t>
      </w:r>
      <w:r w:rsidRPr="00E454A3">
        <w:rPr>
          <w:rFonts w:ascii="Times New Roman" w:hAnsi="Times New Roman" w:cs="Times New Roman"/>
          <w:sz w:val="22"/>
        </w:rPr>
        <w:t xml:space="preserve">, </w:t>
      </w:r>
      <w:r w:rsidRPr="00E454A3">
        <w:rPr>
          <w:rFonts w:ascii="Sylfaen" w:hAnsi="Sylfaen" w:cs="Sylfaen"/>
          <w:sz w:val="22"/>
        </w:rPr>
        <w:t>გაფუჭებული</w:t>
      </w:r>
      <w:r w:rsidRPr="00E454A3">
        <w:rPr>
          <w:rFonts w:ascii="Times New Roman" w:hAnsi="Times New Roman" w:cs="Times New Roman"/>
          <w:sz w:val="22"/>
        </w:rPr>
        <w:t xml:space="preserve"> </w:t>
      </w:r>
      <w:r w:rsidRPr="00E454A3">
        <w:rPr>
          <w:rFonts w:ascii="Sylfaen" w:hAnsi="Sylfaen" w:cs="Sylfaen"/>
          <w:sz w:val="22"/>
        </w:rPr>
        <w:t>ან</w:t>
      </w:r>
      <w:r w:rsidRPr="00E454A3">
        <w:rPr>
          <w:rFonts w:ascii="Times New Roman" w:hAnsi="Times New Roman" w:cs="Times New Roman"/>
          <w:sz w:val="22"/>
        </w:rPr>
        <w:t xml:space="preserve"> </w:t>
      </w:r>
      <w:r w:rsidRPr="00E454A3">
        <w:rPr>
          <w:rFonts w:ascii="Sylfaen" w:hAnsi="Sylfaen" w:cs="Sylfaen"/>
          <w:sz w:val="22"/>
        </w:rPr>
        <w:t>დაზიანებული</w:t>
      </w:r>
      <w:r w:rsidRPr="00E454A3">
        <w:rPr>
          <w:rFonts w:ascii="Times New Roman" w:hAnsi="Times New Roman" w:cs="Times New Roman"/>
          <w:sz w:val="22"/>
        </w:rPr>
        <w:t xml:space="preserve"> </w:t>
      </w:r>
      <w:r w:rsidRPr="00E454A3">
        <w:rPr>
          <w:rFonts w:ascii="Sylfaen" w:hAnsi="Sylfaen" w:cs="Sylfaen"/>
          <w:sz w:val="22"/>
        </w:rPr>
        <w:t>პროდუქტი</w:t>
      </w:r>
    </w:p>
    <w:p w14:paraId="2FD8421F"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Sylfaen" w:hAnsi="Sylfaen" w:cs="Sylfaen"/>
          <w:sz w:val="22"/>
        </w:rPr>
        <w:t>გაცვლა</w:t>
      </w:r>
      <w:r w:rsidRPr="00E454A3">
        <w:rPr>
          <w:rFonts w:ascii="Times New Roman" w:hAnsi="Times New Roman" w:cs="Times New Roman"/>
          <w:sz w:val="22"/>
        </w:rPr>
        <w:t xml:space="preserve"> </w:t>
      </w:r>
      <w:r w:rsidRPr="00E454A3">
        <w:rPr>
          <w:rFonts w:ascii="Sylfaen" w:hAnsi="Sylfaen" w:cs="Sylfaen"/>
          <w:sz w:val="22"/>
        </w:rPr>
        <w:t>მოხდება</w:t>
      </w:r>
      <w:r w:rsidRPr="00E454A3">
        <w:rPr>
          <w:rFonts w:ascii="Times New Roman" w:hAnsi="Times New Roman" w:cs="Times New Roman"/>
          <w:sz w:val="22"/>
        </w:rPr>
        <w:t xml:space="preserve"> </w:t>
      </w:r>
      <w:r w:rsidRPr="00E454A3">
        <w:rPr>
          <w:rFonts w:ascii="Sylfaen" w:hAnsi="Sylfaen" w:cs="Sylfaen"/>
          <w:sz w:val="22"/>
        </w:rPr>
        <w:t>შეძენის</w:t>
      </w:r>
      <w:r w:rsidRPr="00E454A3">
        <w:rPr>
          <w:rFonts w:ascii="Times New Roman" w:hAnsi="Times New Roman" w:cs="Times New Roman"/>
          <w:sz w:val="22"/>
        </w:rPr>
        <w:t xml:space="preserve"> </w:t>
      </w:r>
      <w:r w:rsidRPr="00E454A3">
        <w:rPr>
          <w:rFonts w:ascii="Sylfaen" w:hAnsi="Sylfaen" w:cs="Sylfaen"/>
          <w:sz w:val="22"/>
        </w:rPr>
        <w:t>ადგილზე</w:t>
      </w:r>
      <w:r w:rsidRPr="00E454A3">
        <w:rPr>
          <w:rFonts w:ascii="Times New Roman" w:hAnsi="Times New Roman" w:cs="Times New Roman"/>
          <w:sz w:val="22"/>
        </w:rPr>
        <w:t>.</w:t>
      </w:r>
    </w:p>
    <w:p w14:paraId="166D67F3" w14:textId="77777777" w:rsidR="00E454A3" w:rsidRP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მომხმარებელთა</w:t>
      </w:r>
      <w:r w:rsidRPr="00E454A3">
        <w:rPr>
          <w:rFonts w:ascii="Times New Roman" w:hAnsi="Times New Roman" w:cs="Times New Roman"/>
          <w:sz w:val="22"/>
        </w:rPr>
        <w:t xml:space="preserve"> </w:t>
      </w:r>
      <w:r w:rsidRPr="00E454A3">
        <w:rPr>
          <w:rFonts w:ascii="Sylfaen" w:hAnsi="Sylfaen" w:cs="Sylfaen"/>
          <w:sz w:val="22"/>
        </w:rPr>
        <w:t>მომსახურება</w:t>
      </w:r>
      <w:r w:rsidRPr="00E454A3">
        <w:rPr>
          <w:rFonts w:ascii="Times New Roman" w:hAnsi="Times New Roman" w:cs="Times New Roman"/>
          <w:sz w:val="22"/>
        </w:rPr>
        <w:t>: 080-577-8004 (</w:t>
      </w:r>
      <w:r w:rsidRPr="00E454A3">
        <w:rPr>
          <w:rFonts w:ascii="Sylfaen" w:hAnsi="Sylfaen" w:cs="Sylfaen"/>
          <w:sz w:val="22"/>
        </w:rPr>
        <w:t>უფასო</w:t>
      </w:r>
      <w:r w:rsidRPr="00E454A3">
        <w:rPr>
          <w:rFonts w:ascii="Times New Roman" w:hAnsi="Times New Roman" w:cs="Times New Roman"/>
          <w:sz w:val="22"/>
        </w:rPr>
        <w:t xml:space="preserve"> </w:t>
      </w:r>
      <w:r w:rsidRPr="00E454A3">
        <w:rPr>
          <w:rFonts w:ascii="Sylfaen" w:hAnsi="Sylfaen" w:cs="Sylfaen"/>
          <w:sz w:val="22"/>
        </w:rPr>
        <w:t>ზარი</w:t>
      </w:r>
      <w:r w:rsidRPr="00E454A3">
        <w:rPr>
          <w:rFonts w:ascii="Times New Roman" w:hAnsi="Times New Roman" w:cs="Times New Roman"/>
          <w:sz w:val="22"/>
        </w:rPr>
        <w:t>)</w:t>
      </w:r>
    </w:p>
    <w:p w14:paraId="1F735D8A" w14:textId="7E3980BB" w:rsidR="00E454A3" w:rsidRDefault="00E454A3" w:rsidP="00E454A3">
      <w:pPr>
        <w:spacing w:after="0" w:line="276" w:lineRule="auto"/>
        <w:jc w:val="left"/>
        <w:rPr>
          <w:rFonts w:ascii="Times New Roman" w:hAnsi="Times New Roman" w:cs="Times New Roman"/>
          <w:sz w:val="22"/>
        </w:rPr>
      </w:pPr>
      <w:r w:rsidRPr="00E454A3">
        <w:rPr>
          <w:rFonts w:ascii="Times New Roman" w:hAnsi="Times New Roman" w:cs="Times New Roman"/>
          <w:sz w:val="22"/>
        </w:rPr>
        <w:t xml:space="preserve">※ </w:t>
      </w:r>
      <w:r w:rsidRPr="00E454A3">
        <w:rPr>
          <w:rFonts w:ascii="Sylfaen" w:hAnsi="Sylfaen" w:cs="Sylfaen"/>
          <w:sz w:val="22"/>
        </w:rPr>
        <w:t>გვერდითი</w:t>
      </w:r>
      <w:r w:rsidRPr="00E454A3">
        <w:rPr>
          <w:rFonts w:ascii="Times New Roman" w:hAnsi="Times New Roman" w:cs="Times New Roman"/>
          <w:sz w:val="22"/>
        </w:rPr>
        <w:t xml:space="preserve"> </w:t>
      </w:r>
      <w:r w:rsidRPr="00E454A3">
        <w:rPr>
          <w:rFonts w:ascii="Sylfaen" w:hAnsi="Sylfaen" w:cs="Sylfaen"/>
          <w:sz w:val="22"/>
        </w:rPr>
        <w:t>მოვლენებით</w:t>
      </w:r>
      <w:r w:rsidRPr="00E454A3">
        <w:rPr>
          <w:rFonts w:ascii="Times New Roman" w:hAnsi="Times New Roman" w:cs="Times New Roman"/>
          <w:sz w:val="22"/>
        </w:rPr>
        <w:t xml:space="preserve"> </w:t>
      </w:r>
      <w:r w:rsidRPr="00E454A3">
        <w:rPr>
          <w:rFonts w:ascii="Sylfaen" w:hAnsi="Sylfaen" w:cs="Sylfaen"/>
          <w:sz w:val="22"/>
        </w:rPr>
        <w:t>გამოწვეული</w:t>
      </w:r>
      <w:r w:rsidRPr="00E454A3">
        <w:rPr>
          <w:rFonts w:ascii="Times New Roman" w:hAnsi="Times New Roman" w:cs="Times New Roman"/>
          <w:sz w:val="22"/>
        </w:rPr>
        <w:t xml:space="preserve"> </w:t>
      </w:r>
      <w:r w:rsidRPr="00E454A3">
        <w:rPr>
          <w:rFonts w:ascii="Sylfaen" w:hAnsi="Sylfaen" w:cs="Sylfaen"/>
          <w:sz w:val="22"/>
        </w:rPr>
        <w:t>ზიანის</w:t>
      </w:r>
      <w:r w:rsidRPr="00E454A3">
        <w:rPr>
          <w:rFonts w:ascii="Times New Roman" w:hAnsi="Times New Roman" w:cs="Times New Roman"/>
          <w:sz w:val="22"/>
        </w:rPr>
        <w:t xml:space="preserve"> </w:t>
      </w:r>
      <w:r w:rsidRPr="00E454A3">
        <w:rPr>
          <w:rFonts w:ascii="Sylfaen" w:hAnsi="Sylfaen" w:cs="Sylfaen"/>
          <w:sz w:val="22"/>
        </w:rPr>
        <w:t>კომპენსაციის</w:t>
      </w:r>
      <w:r w:rsidRPr="00E454A3">
        <w:rPr>
          <w:rFonts w:ascii="Times New Roman" w:hAnsi="Times New Roman" w:cs="Times New Roman"/>
          <w:sz w:val="22"/>
        </w:rPr>
        <w:t xml:space="preserve"> </w:t>
      </w:r>
      <w:r w:rsidRPr="00E454A3">
        <w:rPr>
          <w:rFonts w:ascii="Sylfaen" w:hAnsi="Sylfaen" w:cs="Sylfaen"/>
          <w:sz w:val="22"/>
        </w:rPr>
        <w:t>მისაღებად</w:t>
      </w:r>
      <w:r w:rsidRPr="00E454A3">
        <w:rPr>
          <w:rFonts w:ascii="Times New Roman" w:hAnsi="Times New Roman" w:cs="Times New Roman"/>
          <w:sz w:val="22"/>
        </w:rPr>
        <w:t xml:space="preserve">, </w:t>
      </w:r>
      <w:r w:rsidRPr="00E454A3">
        <w:rPr>
          <w:rFonts w:ascii="Sylfaen" w:hAnsi="Sylfaen" w:cs="Sylfaen"/>
          <w:sz w:val="22"/>
        </w:rPr>
        <w:t>გთხოვთ</w:t>
      </w:r>
      <w:r w:rsidRPr="00E454A3">
        <w:rPr>
          <w:rFonts w:ascii="Times New Roman" w:hAnsi="Times New Roman" w:cs="Times New Roman"/>
          <w:sz w:val="22"/>
        </w:rPr>
        <w:t xml:space="preserve">, </w:t>
      </w:r>
      <w:r w:rsidRPr="00E454A3">
        <w:rPr>
          <w:rFonts w:ascii="Sylfaen" w:hAnsi="Sylfaen" w:cs="Sylfaen"/>
          <w:sz w:val="22"/>
        </w:rPr>
        <w:t>დაუკავშირდეთ</w:t>
      </w:r>
      <w:r w:rsidRPr="00E454A3">
        <w:rPr>
          <w:rFonts w:ascii="Times New Roman" w:hAnsi="Times New Roman" w:cs="Times New Roman"/>
          <w:sz w:val="22"/>
        </w:rPr>
        <w:t xml:space="preserve"> </w:t>
      </w:r>
      <w:r w:rsidRPr="00E454A3">
        <w:rPr>
          <w:rFonts w:ascii="Sylfaen" w:hAnsi="Sylfaen" w:cs="Sylfaen"/>
          <w:sz w:val="22"/>
        </w:rPr>
        <w:t>კორეის</w:t>
      </w:r>
      <w:r w:rsidRPr="00E454A3">
        <w:rPr>
          <w:rFonts w:ascii="Times New Roman" w:hAnsi="Times New Roman" w:cs="Times New Roman"/>
          <w:sz w:val="22"/>
        </w:rPr>
        <w:t xml:space="preserve"> </w:t>
      </w:r>
      <w:r w:rsidRPr="00E454A3">
        <w:rPr>
          <w:rFonts w:ascii="Sylfaen" w:hAnsi="Sylfaen" w:cs="Sylfaen"/>
          <w:sz w:val="22"/>
        </w:rPr>
        <w:t>სურსათისა</w:t>
      </w:r>
      <w:r w:rsidRPr="00E454A3">
        <w:rPr>
          <w:rFonts w:ascii="Times New Roman" w:hAnsi="Times New Roman" w:cs="Times New Roman"/>
          <w:sz w:val="22"/>
        </w:rPr>
        <w:t xml:space="preserve"> </w:t>
      </w:r>
      <w:r w:rsidRPr="00E454A3">
        <w:rPr>
          <w:rFonts w:ascii="Sylfaen" w:hAnsi="Sylfaen" w:cs="Sylfaen"/>
          <w:sz w:val="22"/>
        </w:rPr>
        <w:t>და</w:t>
      </w:r>
      <w:r w:rsidRPr="00E454A3">
        <w:rPr>
          <w:rFonts w:ascii="Times New Roman" w:hAnsi="Times New Roman" w:cs="Times New Roman"/>
          <w:sz w:val="22"/>
        </w:rPr>
        <w:t xml:space="preserve"> </w:t>
      </w:r>
      <w:r w:rsidRPr="00E454A3">
        <w:rPr>
          <w:rFonts w:ascii="Sylfaen" w:hAnsi="Sylfaen" w:cs="Sylfaen"/>
          <w:sz w:val="22"/>
        </w:rPr>
        <w:t>წამლის</w:t>
      </w:r>
      <w:r w:rsidRPr="00E454A3">
        <w:rPr>
          <w:rFonts w:ascii="Times New Roman" w:hAnsi="Times New Roman" w:cs="Times New Roman"/>
          <w:sz w:val="22"/>
        </w:rPr>
        <w:t xml:space="preserve"> </w:t>
      </w:r>
      <w:r w:rsidRPr="00E454A3">
        <w:rPr>
          <w:rFonts w:ascii="Sylfaen" w:hAnsi="Sylfaen" w:cs="Sylfaen"/>
          <w:sz w:val="22"/>
        </w:rPr>
        <w:t>ადმინისტრაციას</w:t>
      </w:r>
      <w:r w:rsidRPr="00E454A3">
        <w:rPr>
          <w:rFonts w:ascii="Times New Roman" w:hAnsi="Times New Roman" w:cs="Times New Roman"/>
          <w:sz w:val="22"/>
        </w:rPr>
        <w:t xml:space="preserve"> (1644-6223, 14-3330).</w:t>
      </w:r>
    </w:p>
    <w:p w14:paraId="2A941819" w14:textId="77777777" w:rsidR="00E454A3" w:rsidRDefault="00E454A3" w:rsidP="00E454A3">
      <w:pPr>
        <w:spacing w:after="0" w:line="276" w:lineRule="auto"/>
        <w:jc w:val="left"/>
        <w:rPr>
          <w:rFonts w:ascii="Times New Roman" w:hAnsi="Times New Roman" w:cs="Times New Roman"/>
          <w:sz w:val="22"/>
        </w:rPr>
      </w:pPr>
    </w:p>
    <w:p w14:paraId="0D0B3337" w14:textId="33536BF0" w:rsidR="000019F4" w:rsidRDefault="00EC3A28" w:rsidP="00D11160">
      <w:pPr>
        <w:spacing w:after="0" w:line="276" w:lineRule="auto"/>
        <w:rPr>
          <w:rFonts w:ascii="Times New Roman" w:hAnsi="Times New Roman" w:cs="Times New Roman"/>
          <w:sz w:val="22"/>
        </w:rPr>
      </w:pPr>
      <w:r>
        <w:rPr>
          <w:rFonts w:ascii="Times New Roman" w:hAnsi="Times New Roman" w:cs="Times New Roman"/>
          <w:sz w:val="22"/>
        </w:rPr>
        <w:t>მომზადების თარიღი: 2008.02</w:t>
      </w:r>
      <w:r>
        <w:rPr>
          <w:rFonts w:ascii="Times New Roman" w:hAnsi="Times New Roman" w:cs="Times New Roman" w:hint="eastAsia"/>
          <w:sz w:val="22"/>
        </w:rPr>
        <w:t>.</w:t>
      </w:r>
    </w:p>
    <w:p w14:paraId="3684BC2B" w14:textId="0FAD4FC7" w:rsidR="00D11160" w:rsidRDefault="00EC3A28" w:rsidP="00D11160">
      <w:pPr>
        <w:spacing w:after="0" w:line="276" w:lineRule="auto"/>
        <w:rPr>
          <w:rFonts w:ascii="Times New Roman" w:hAnsi="Times New Roman" w:cs="Times New Roman"/>
          <w:sz w:val="22"/>
        </w:rPr>
      </w:pPr>
      <w:r>
        <w:rPr>
          <w:rFonts w:ascii="Times New Roman" w:hAnsi="Times New Roman" w:cs="Times New Roman"/>
          <w:sz w:val="22"/>
        </w:rPr>
        <w:t xml:space="preserve">გადახედვის თარიღი: 2026.05.11. </w:t>
      </w:r>
      <w:r>
        <w:rPr>
          <w:rFonts w:ascii="Times New Roman" w:hAnsi="Times New Roman" w:cs="Times New Roman" w:hint="eastAsia"/>
          <w:sz w:val="22"/>
        </w:rPr>
        <w:t xml:space="preserve">&lt; </w:t>
      </w:r>
      <w:r>
        <w:rPr>
          <w:rFonts w:ascii="Times New Roman" w:hAnsi="Times New Roman" w:cs="Times New Roman"/>
          <w:sz w:val="22"/>
        </w:rPr>
        <w:t xml:space="preserve">H08 </w:t>
      </w:r>
      <w:r>
        <w:rPr>
          <w:rFonts w:ascii="Times New Roman" w:hAnsi="Times New Roman" w:cs="Times New Roman" w:hint="eastAsia"/>
          <w:sz w:val="22"/>
        </w:rPr>
        <w:t>&gt;</w:t>
      </w:r>
    </w:p>
    <w:p w14:paraId="18870550" w14:textId="77777777" w:rsidR="00D11160" w:rsidRDefault="00D11160" w:rsidP="00D11160">
      <w:pPr>
        <w:spacing w:after="0" w:line="276" w:lineRule="auto"/>
        <w:rPr>
          <w:rFonts w:ascii="Times New Roman" w:hAnsi="Times New Roman" w:cs="Times New Roman"/>
          <w:sz w:val="22"/>
        </w:rPr>
      </w:pPr>
    </w:p>
    <w:p w14:paraId="69183D51" w14:textId="77777777" w:rsidR="00D11160" w:rsidRDefault="00D11160" w:rsidP="00D11160">
      <w:pPr>
        <w:spacing w:after="0" w:line="276" w:lineRule="auto"/>
        <w:jc w:val="left"/>
        <w:rPr>
          <w:rFonts w:ascii="Times New Roman" w:hAnsi="Times New Roman" w:cs="Times New Roman"/>
          <w:sz w:val="22"/>
        </w:rPr>
      </w:pPr>
    </w:p>
    <w:p w14:paraId="4E16A7E1" w14:textId="35020627" w:rsidR="00D11160" w:rsidRPr="008F3B72" w:rsidRDefault="008F3B72" w:rsidP="00D11160">
      <w:pPr>
        <w:spacing w:after="0" w:line="276" w:lineRule="auto"/>
        <w:jc w:val="left"/>
        <w:rPr>
          <w:rFonts w:ascii="Sylfaen" w:hAnsi="Sylfaen" w:cs="Times New Roman"/>
          <w:sz w:val="22"/>
        </w:rPr>
      </w:pPr>
      <w:r>
        <w:rPr>
          <w:rFonts w:ascii="Sylfaen" w:hAnsi="Sylfaen" w:cs="Times New Roman"/>
          <w:sz w:val="22"/>
        </w:rPr>
        <w:t>მწარმოებელი*დისტრიბუტორი</w:t>
      </w:r>
    </w:p>
    <w:p w14:paraId="56335215" w14:textId="77777777" w:rsidR="00D11160" w:rsidRPr="00D30AF7" w:rsidRDefault="00D11160" w:rsidP="00D11160">
      <w:pPr>
        <w:spacing w:after="0" w:line="276" w:lineRule="auto"/>
        <w:rPr>
          <w:rFonts w:ascii="Times New Roman" w:hAnsi="Times New Roman" w:cs="Times New Roman"/>
          <w:b/>
          <w:sz w:val="22"/>
        </w:rPr>
      </w:pPr>
      <w:r w:rsidRPr="00D30AF7">
        <w:rPr>
          <w:rFonts w:ascii="Times New Roman" w:hAnsi="Times New Roman" w:cs="Times New Roman" w:hint="eastAsia"/>
          <w:b/>
          <w:sz w:val="22"/>
        </w:rPr>
        <w:t>Hana</w:t>
      </w:r>
      <w:r w:rsidRPr="00D30AF7">
        <w:rPr>
          <w:rFonts w:ascii="Times New Roman" w:hAnsi="Times New Roman" w:cs="Times New Roman"/>
          <w:b/>
          <w:sz w:val="22"/>
        </w:rPr>
        <w:t xml:space="preserve"> </w:t>
      </w:r>
      <w:r w:rsidRPr="00D30AF7">
        <w:rPr>
          <w:rFonts w:ascii="Times New Roman" w:hAnsi="Times New Roman" w:cs="Times New Roman" w:hint="eastAsia"/>
          <w:b/>
          <w:sz w:val="22"/>
        </w:rPr>
        <w:t>Pharm.</w:t>
      </w:r>
      <w:r w:rsidRPr="00D30AF7">
        <w:rPr>
          <w:rFonts w:ascii="Times New Roman" w:hAnsi="Times New Roman" w:cs="Times New Roman"/>
          <w:b/>
          <w:sz w:val="22"/>
        </w:rPr>
        <w:t xml:space="preserve"> </w:t>
      </w:r>
      <w:r w:rsidRPr="00D30AF7">
        <w:rPr>
          <w:rFonts w:ascii="Times New Roman" w:hAnsi="Times New Roman" w:cs="Times New Roman" w:hint="eastAsia"/>
          <w:b/>
          <w:sz w:val="22"/>
        </w:rPr>
        <w:t>Co.,</w:t>
      </w:r>
      <w:r w:rsidRPr="00D30AF7">
        <w:rPr>
          <w:rFonts w:ascii="Times New Roman" w:hAnsi="Times New Roman" w:cs="Times New Roman"/>
          <w:b/>
          <w:sz w:val="22"/>
        </w:rPr>
        <w:t xml:space="preserve"> </w:t>
      </w:r>
      <w:r w:rsidRPr="00D30AF7">
        <w:rPr>
          <w:rFonts w:ascii="Times New Roman" w:hAnsi="Times New Roman" w:cs="Times New Roman" w:hint="eastAsia"/>
          <w:b/>
          <w:sz w:val="22"/>
        </w:rPr>
        <w:t>Ltd.</w:t>
      </w:r>
    </w:p>
    <w:p w14:paraId="09E0C653" w14:textId="77777777" w:rsidR="00D11160" w:rsidRPr="00113926" w:rsidRDefault="00D11160" w:rsidP="00D11160">
      <w:pPr>
        <w:spacing w:after="0" w:line="276" w:lineRule="auto"/>
        <w:rPr>
          <w:rFonts w:ascii="Times New Roman" w:hAnsi="Times New Roman" w:cs="Times New Roman"/>
          <w:sz w:val="22"/>
        </w:rPr>
      </w:pPr>
      <w:r>
        <w:rPr>
          <w:rFonts w:ascii="Times New Roman" w:hAnsi="Times New Roman" w:cs="Times New Roman"/>
          <w:sz w:val="22"/>
        </w:rPr>
        <w:t>Sangsin plant: 133</w:t>
      </w:r>
      <w:r>
        <w:rPr>
          <w:rFonts w:ascii="Times New Roman" w:hAnsi="Times New Roman" w:cs="Times New Roman" w:hint="eastAsia"/>
          <w:sz w:val="22"/>
        </w:rPr>
        <w:t>,</w:t>
      </w:r>
      <w:r w:rsidRPr="00D30AF7">
        <w:rPr>
          <w:rFonts w:ascii="Times New Roman" w:hAnsi="Times New Roman" w:cs="Times New Roman"/>
          <w:sz w:val="22"/>
        </w:rPr>
        <w:t xml:space="preserve"> Jey</w:t>
      </w:r>
      <w:r>
        <w:rPr>
          <w:rFonts w:ascii="Times New Roman" w:hAnsi="Times New Roman" w:cs="Times New Roman"/>
          <w:sz w:val="22"/>
        </w:rPr>
        <w:t xml:space="preserve">akgongdan 3-gil, Hyangnam-eup, </w:t>
      </w:r>
      <w:r w:rsidRPr="00D17AAB">
        <w:rPr>
          <w:rFonts w:ascii="Times New Roman" w:hAnsi="Times New Roman" w:cs="Times New Roman"/>
          <w:sz w:val="22"/>
        </w:rPr>
        <w:t>Manse-gu, H</w:t>
      </w:r>
      <w:r w:rsidRPr="00D30AF7">
        <w:rPr>
          <w:rFonts w:ascii="Times New Roman" w:hAnsi="Times New Roman" w:cs="Times New Roman"/>
          <w:sz w:val="22"/>
        </w:rPr>
        <w:t>waseong-si,</w:t>
      </w:r>
      <w:r>
        <w:rPr>
          <w:rFonts w:ascii="Times New Roman" w:hAnsi="Times New Roman" w:cs="Times New Roman"/>
          <w:sz w:val="22"/>
        </w:rPr>
        <w:t xml:space="preserve"> Gyeonggi-do, </w:t>
      </w:r>
    </w:p>
    <w:p w14:paraId="6DA65221" w14:textId="77777777" w:rsidR="009D15AE" w:rsidRDefault="009D15AE" w:rsidP="009D15AE">
      <w:pPr>
        <w:spacing w:after="0" w:line="240" w:lineRule="auto"/>
        <w:rPr>
          <w:rFonts w:eastAsiaTheme="minorHAnsi"/>
          <w:szCs w:val="20"/>
        </w:rPr>
      </w:pPr>
    </w:p>
    <w:p w14:paraId="20A9ACD5" w14:textId="77777777" w:rsidR="009D15AE" w:rsidRDefault="009D15AE" w:rsidP="009D15AE">
      <w:pPr>
        <w:spacing w:after="0" w:line="240" w:lineRule="auto"/>
        <w:rPr>
          <w:rFonts w:ascii="Times New Roman" w:eastAsiaTheme="minorHAnsi" w:hAnsi="Times New Roman"/>
          <w:szCs w:val="20"/>
          <w:lang w:val="en-GB"/>
        </w:rPr>
      </w:pPr>
      <w:r>
        <w:rPr>
          <w:rFonts w:ascii="Times New Roman" w:eastAsiaTheme="minorHAnsi" w:hAnsi="Times New Roman"/>
          <w:szCs w:val="20"/>
          <w:lang w:val="en-GB"/>
        </w:rPr>
        <w:t>HANA PHARM.CO.,LTD.</w:t>
      </w:r>
    </w:p>
    <w:p w14:paraId="28583023" w14:textId="77777777" w:rsidR="009D15AE" w:rsidRPr="00CB692C" w:rsidRDefault="009D15AE" w:rsidP="009D15AE">
      <w:pPr>
        <w:spacing w:after="0" w:line="240" w:lineRule="auto"/>
        <w:rPr>
          <w:rFonts w:ascii="Sylfaen" w:eastAsiaTheme="minorHAnsi" w:hAnsi="Sylfaen"/>
          <w:szCs w:val="20"/>
          <w:lang w:val="en-GB"/>
        </w:rPr>
      </w:pPr>
      <w:r>
        <w:rPr>
          <w:rFonts w:ascii="Sylfaen" w:eastAsiaTheme="minorHAnsi" w:hAnsi="Sylfaen"/>
          <w:szCs w:val="20"/>
          <w:lang w:val="ka-GE"/>
        </w:rPr>
        <w:t>პრეზიდენტი /</w:t>
      </w:r>
      <w:r>
        <w:rPr>
          <w:rFonts w:ascii="Sylfaen" w:eastAsiaTheme="minorHAnsi" w:hAnsi="Sylfaen"/>
          <w:szCs w:val="20"/>
          <w:lang w:val="en-GB"/>
        </w:rPr>
        <w:t xml:space="preserve"> თ. ჰ. </w:t>
      </w:r>
      <w:proofErr w:type="spellStart"/>
      <w:r>
        <w:rPr>
          <w:rFonts w:ascii="Sylfaen" w:eastAsiaTheme="minorHAnsi" w:hAnsi="Sylfaen"/>
          <w:szCs w:val="20"/>
          <w:lang w:val="en-GB"/>
        </w:rPr>
        <w:t>ჩოი</w:t>
      </w:r>
      <w:proofErr w:type="spellEnd"/>
    </w:p>
    <w:p w14:paraId="638EC5BB" w14:textId="77777777" w:rsidR="00D11160" w:rsidRPr="00D11160" w:rsidRDefault="00D11160">
      <w:pPr>
        <w:spacing w:after="0" w:line="276" w:lineRule="auto"/>
        <w:jc w:val="left"/>
        <w:rPr>
          <w:rFonts w:ascii="Times New Roman" w:hAnsi="Times New Roman" w:cs="Times New Roman"/>
          <w:sz w:val="22"/>
        </w:rPr>
      </w:pPr>
    </w:p>
    <w:sectPr w:rsidR="00D11160" w:rsidRPr="00D11160" w:rsidSect="00CC12D1">
      <w:footerReference w:type="default" r:id="rId8"/>
      <w:pgSz w:w="11906" w:h="16838"/>
      <w:pgMar w:top="426"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534A2" w14:textId="77777777" w:rsidR="00F84D66" w:rsidRDefault="00F84D66" w:rsidP="00E16DFA">
      <w:pPr>
        <w:spacing w:after="0" w:line="240" w:lineRule="auto"/>
      </w:pPr>
      <w:r>
        <w:separator/>
      </w:r>
    </w:p>
  </w:endnote>
  <w:endnote w:type="continuationSeparator" w:id="0">
    <w:p w14:paraId="31E401F1" w14:textId="77777777" w:rsidR="00F84D66" w:rsidRDefault="00F84D66" w:rsidP="00E1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나눔스퀘어 ExtraBold">
    <w:altName w:val="Malgun Gothic Semilight"/>
    <w:charset w:val="81"/>
    <w:family w:val="modern"/>
    <w:pitch w:val="variable"/>
    <w:sig w:usb0="00000000" w:usb1="29D72C10" w:usb2="00000010" w:usb3="00000000" w:csb0="00280005"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5171991"/>
      <w:docPartObj>
        <w:docPartGallery w:val="Page Numbers (Bottom of Page)"/>
        <w:docPartUnique/>
      </w:docPartObj>
    </w:sdtPr>
    <w:sdtContent>
      <w:sdt>
        <w:sdtPr>
          <w:id w:val="1728636285"/>
          <w:docPartObj>
            <w:docPartGallery w:val="Page Numbers (Top of Page)"/>
            <w:docPartUnique/>
          </w:docPartObj>
        </w:sdtPr>
        <w:sdtContent>
          <w:p w14:paraId="7F9D8EDB" w14:textId="77777777" w:rsidR="00CF27E5" w:rsidRDefault="00CF27E5">
            <w:pPr>
              <w:pStyle w:val="Footer"/>
              <w:jc w:val="center"/>
            </w:pPr>
            <w:r>
              <w:rPr>
                <w:b/>
                <w:bCs/>
                <w:sz w:val="24"/>
                <w:szCs w:val="24"/>
              </w:rPr>
              <w:fldChar w:fldCharType="begin"/>
            </w:r>
            <w:r>
              <w:rPr>
                <w:b/>
                <w:bCs/>
              </w:rPr>
              <w:instrText>PAGE</w:instrText>
            </w:r>
            <w:r>
              <w:rPr>
                <w:b/>
                <w:bCs/>
                <w:sz w:val="24"/>
                <w:szCs w:val="24"/>
              </w:rPr>
              <w:fldChar w:fldCharType="separate"/>
            </w:r>
            <w:r w:rsidR="00F835B9">
              <w:rPr>
                <w:b/>
                <w:bCs/>
                <w:noProof/>
              </w:rPr>
              <w:t xml:space="preserve">6 </w:t>
            </w:r>
            <w:r>
              <w:rPr>
                <w:b/>
                <w:bCs/>
                <w:sz w:val="24"/>
                <w:szCs w:val="24"/>
              </w:rPr>
              <w:fldChar w:fldCharType="end"/>
            </w:r>
            <w:r>
              <w:rPr>
                <w:lang w:val="ko-KR"/>
              </w:rPr>
              <w:t xml:space="preserve">/ </w:t>
            </w:r>
            <w:r>
              <w:rPr>
                <w:b/>
                <w:bCs/>
                <w:sz w:val="24"/>
                <w:szCs w:val="24"/>
              </w:rPr>
              <w:fldChar w:fldCharType="begin"/>
            </w:r>
            <w:r>
              <w:rPr>
                <w:b/>
                <w:bCs/>
              </w:rPr>
              <w:instrText>NUMPAGES</w:instrText>
            </w:r>
            <w:r>
              <w:rPr>
                <w:b/>
                <w:bCs/>
                <w:sz w:val="24"/>
                <w:szCs w:val="24"/>
              </w:rPr>
              <w:fldChar w:fldCharType="separate"/>
            </w:r>
            <w:r w:rsidR="00F835B9">
              <w:rPr>
                <w:b/>
                <w:bCs/>
                <w:noProof/>
              </w:rPr>
              <w:t>7</w:t>
            </w:r>
            <w:r>
              <w:rPr>
                <w:b/>
                <w:bCs/>
                <w:sz w:val="24"/>
                <w:szCs w:val="24"/>
              </w:rPr>
              <w:fldChar w:fldCharType="end"/>
            </w:r>
          </w:p>
        </w:sdtContent>
      </w:sdt>
    </w:sdtContent>
  </w:sdt>
  <w:p w14:paraId="5A7E5BFF" w14:textId="77777777" w:rsidR="00CF27E5" w:rsidRDefault="00CF2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EF9F" w14:textId="77777777" w:rsidR="00F84D66" w:rsidRDefault="00F84D66" w:rsidP="00E16DFA">
      <w:pPr>
        <w:spacing w:after="0" w:line="240" w:lineRule="auto"/>
      </w:pPr>
      <w:r>
        <w:separator/>
      </w:r>
    </w:p>
  </w:footnote>
  <w:footnote w:type="continuationSeparator" w:id="0">
    <w:p w14:paraId="1C636064" w14:textId="77777777" w:rsidR="00F84D66" w:rsidRDefault="00F84D66" w:rsidP="00E16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4"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6" w15:restartNumberingAfterBreak="0">
    <w:nsid w:val="302B2A7D"/>
    <w:multiLevelType w:val="hybridMultilevel"/>
    <w:tmpl w:val="89C8405E"/>
    <w:lvl w:ilvl="0" w:tplc="9F8C478E">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8"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1"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3" w15:restartNumberingAfterBreak="0">
    <w:nsid w:val="46876751"/>
    <w:multiLevelType w:val="hybridMultilevel"/>
    <w:tmpl w:val="FFBC8FB6"/>
    <w:lvl w:ilvl="0" w:tplc="EE469DE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4" w15:restartNumberingAfterBreak="0">
    <w:nsid w:val="46920118"/>
    <w:multiLevelType w:val="hybridMultilevel"/>
    <w:tmpl w:val="4E4AEDA8"/>
    <w:lvl w:ilvl="0" w:tplc="F5E26B1A">
      <w:start w:val="1"/>
      <w:numFmt w:val="bullet"/>
      <w:lvlText w:val="-"/>
      <w:lvlJc w:val="left"/>
      <w:pPr>
        <w:ind w:left="862" w:hanging="360"/>
      </w:pPr>
      <w:rPr>
        <w:rFonts w:ascii="Malgun Gothic" w:eastAsia="Malgun Gothic" w:hAnsi="Malgun Gothic" w:cstheme="minorBidi" w:hint="eastAsia"/>
      </w:rPr>
    </w:lvl>
    <w:lvl w:ilvl="1" w:tplc="04090003" w:tentative="1">
      <w:start w:val="1"/>
      <w:numFmt w:val="bullet"/>
      <w:lvlText w:val=""/>
      <w:lvlJc w:val="left"/>
      <w:pPr>
        <w:ind w:left="1302" w:hanging="400"/>
      </w:pPr>
      <w:rPr>
        <w:rFonts w:ascii="Wingdings" w:hAnsi="Wingdings" w:hint="default"/>
      </w:rPr>
    </w:lvl>
    <w:lvl w:ilvl="2" w:tplc="04090005" w:tentative="1">
      <w:start w:val="1"/>
      <w:numFmt w:val="bullet"/>
      <w:lvlText w:val=""/>
      <w:lvlJc w:val="left"/>
      <w:pPr>
        <w:ind w:left="1702" w:hanging="400"/>
      </w:pPr>
      <w:rPr>
        <w:rFonts w:ascii="Wingdings" w:hAnsi="Wingdings" w:hint="default"/>
      </w:rPr>
    </w:lvl>
    <w:lvl w:ilvl="3" w:tplc="04090001" w:tentative="1">
      <w:start w:val="1"/>
      <w:numFmt w:val="bullet"/>
      <w:lvlText w:val=""/>
      <w:lvlJc w:val="left"/>
      <w:pPr>
        <w:ind w:left="2102" w:hanging="400"/>
      </w:pPr>
      <w:rPr>
        <w:rFonts w:ascii="Wingdings" w:hAnsi="Wingdings" w:hint="default"/>
      </w:rPr>
    </w:lvl>
    <w:lvl w:ilvl="4" w:tplc="04090003" w:tentative="1">
      <w:start w:val="1"/>
      <w:numFmt w:val="bullet"/>
      <w:lvlText w:val=""/>
      <w:lvlJc w:val="left"/>
      <w:pPr>
        <w:ind w:left="2502" w:hanging="400"/>
      </w:pPr>
      <w:rPr>
        <w:rFonts w:ascii="Wingdings" w:hAnsi="Wingdings" w:hint="default"/>
      </w:rPr>
    </w:lvl>
    <w:lvl w:ilvl="5" w:tplc="04090005" w:tentative="1">
      <w:start w:val="1"/>
      <w:numFmt w:val="bullet"/>
      <w:lvlText w:val=""/>
      <w:lvlJc w:val="left"/>
      <w:pPr>
        <w:ind w:left="2902" w:hanging="400"/>
      </w:pPr>
      <w:rPr>
        <w:rFonts w:ascii="Wingdings" w:hAnsi="Wingdings" w:hint="default"/>
      </w:rPr>
    </w:lvl>
    <w:lvl w:ilvl="6" w:tplc="04090001" w:tentative="1">
      <w:start w:val="1"/>
      <w:numFmt w:val="bullet"/>
      <w:lvlText w:val=""/>
      <w:lvlJc w:val="left"/>
      <w:pPr>
        <w:ind w:left="3302" w:hanging="400"/>
      </w:pPr>
      <w:rPr>
        <w:rFonts w:ascii="Wingdings" w:hAnsi="Wingdings" w:hint="default"/>
      </w:rPr>
    </w:lvl>
    <w:lvl w:ilvl="7" w:tplc="04090003" w:tentative="1">
      <w:start w:val="1"/>
      <w:numFmt w:val="bullet"/>
      <w:lvlText w:val=""/>
      <w:lvlJc w:val="left"/>
      <w:pPr>
        <w:ind w:left="3702" w:hanging="400"/>
      </w:pPr>
      <w:rPr>
        <w:rFonts w:ascii="Wingdings" w:hAnsi="Wingdings" w:hint="default"/>
      </w:rPr>
    </w:lvl>
    <w:lvl w:ilvl="8" w:tplc="04090005" w:tentative="1">
      <w:start w:val="1"/>
      <w:numFmt w:val="bullet"/>
      <w:lvlText w:val=""/>
      <w:lvlJc w:val="left"/>
      <w:pPr>
        <w:ind w:left="4102" w:hanging="400"/>
      </w:pPr>
      <w:rPr>
        <w:rFonts w:ascii="Wingdings" w:hAnsi="Wingdings" w:hint="default"/>
      </w:rPr>
    </w:lvl>
  </w:abstractNum>
  <w:abstractNum w:abstractNumId="15"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17"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18"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0"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2"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24" w15:restartNumberingAfterBreak="0">
    <w:nsid w:val="5CB25294"/>
    <w:multiLevelType w:val="hybridMultilevel"/>
    <w:tmpl w:val="2C088840"/>
    <w:lvl w:ilvl="0" w:tplc="72E64CA0">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5"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6"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9"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0"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69053195"/>
    <w:multiLevelType w:val="hybridMultilevel"/>
    <w:tmpl w:val="DC5E80D2"/>
    <w:lvl w:ilvl="0" w:tplc="96ACDA3A">
      <w:start w:val="1"/>
      <w:numFmt w:val="decimal"/>
      <w:lvlText w:val="%1)"/>
      <w:lvlJc w:val="left"/>
      <w:pPr>
        <w:ind w:left="684" w:hanging="400"/>
      </w:pPr>
      <w:rPr>
        <w:rFonts w:hint="eastAsia"/>
        <w:b w:val="0"/>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2" w15:restartNumberingAfterBreak="0">
    <w:nsid w:val="6A103263"/>
    <w:multiLevelType w:val="hybridMultilevel"/>
    <w:tmpl w:val="EB7C7F7E"/>
    <w:lvl w:ilvl="0" w:tplc="F8B2683C">
      <w:start w:val="1"/>
      <w:numFmt w:val="decimal"/>
      <w:lvlText w:val="%1."/>
      <w:lvlJc w:val="left"/>
      <w:pPr>
        <w:ind w:left="360" w:hanging="360"/>
      </w:pPr>
      <w:rPr>
        <w:rFonts w:hint="default"/>
        <w:b/>
      </w:rPr>
    </w:lvl>
    <w:lvl w:ilvl="1" w:tplc="9270552E">
      <w:start w:val="1"/>
      <w:numFmt w:val="decimal"/>
      <w:lvlText w:val="%2)"/>
      <w:lvlJc w:val="left"/>
      <w:pPr>
        <w:ind w:left="542" w:hanging="400"/>
      </w:pPr>
      <w:rPr>
        <w:rFonts w:hint="eastAsia"/>
        <w:b w:val="0"/>
      </w:r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3"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A865611"/>
    <w:multiLevelType w:val="hybridMultilevel"/>
    <w:tmpl w:val="C5D2958E"/>
    <w:lvl w:ilvl="0" w:tplc="D598AFFC">
      <w:start w:val="1"/>
      <w:numFmt w:val="decimalEnclosedCircle"/>
      <w:lvlText w:val="%1"/>
      <w:lvlJc w:val="left"/>
      <w:pPr>
        <w:ind w:left="643" w:hanging="360"/>
      </w:pPr>
      <w:rPr>
        <w:rFonts w:ascii="나눔스퀘어 ExtraBold" w:eastAsia="나눔스퀘어 ExtraBold" w:hAnsi="나눔스퀘어 ExtraBold" w:hint="eastAsia"/>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35"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36"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762C43A5"/>
    <w:multiLevelType w:val="hybridMultilevel"/>
    <w:tmpl w:val="12D01614"/>
    <w:lvl w:ilvl="0" w:tplc="F508BB96">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9"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0"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1" w15:restartNumberingAfterBreak="0">
    <w:nsid w:val="7B15295E"/>
    <w:multiLevelType w:val="hybridMultilevel"/>
    <w:tmpl w:val="052CDDAE"/>
    <w:lvl w:ilvl="0" w:tplc="B68C86B4">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2"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227185674">
    <w:abstractNumId w:val="27"/>
  </w:num>
  <w:num w:numId="2" w16cid:durableId="353306602">
    <w:abstractNumId w:val="42"/>
  </w:num>
  <w:num w:numId="3" w16cid:durableId="138348144">
    <w:abstractNumId w:val="18"/>
  </w:num>
  <w:num w:numId="4" w16cid:durableId="380908386">
    <w:abstractNumId w:val="8"/>
  </w:num>
  <w:num w:numId="5" w16cid:durableId="97452735">
    <w:abstractNumId w:val="40"/>
  </w:num>
  <w:num w:numId="6" w16cid:durableId="125896121">
    <w:abstractNumId w:val="5"/>
  </w:num>
  <w:num w:numId="7" w16cid:durableId="203249173">
    <w:abstractNumId w:val="25"/>
  </w:num>
  <w:num w:numId="8" w16cid:durableId="1532763835">
    <w:abstractNumId w:val="21"/>
  </w:num>
  <w:num w:numId="9" w16cid:durableId="23755719">
    <w:abstractNumId w:val="33"/>
  </w:num>
  <w:num w:numId="10" w16cid:durableId="496118824">
    <w:abstractNumId w:val="36"/>
  </w:num>
  <w:num w:numId="11" w16cid:durableId="631328816">
    <w:abstractNumId w:val="39"/>
  </w:num>
  <w:num w:numId="12" w16cid:durableId="1851479675">
    <w:abstractNumId w:val="0"/>
  </w:num>
  <w:num w:numId="13" w16cid:durableId="1538084290">
    <w:abstractNumId w:val="13"/>
  </w:num>
  <w:num w:numId="14" w16cid:durableId="798574267">
    <w:abstractNumId w:val="35"/>
  </w:num>
  <w:num w:numId="15" w16cid:durableId="528492598">
    <w:abstractNumId w:val="1"/>
  </w:num>
  <w:num w:numId="16" w16cid:durableId="2070492807">
    <w:abstractNumId w:val="26"/>
  </w:num>
  <w:num w:numId="17" w16cid:durableId="2144927789">
    <w:abstractNumId w:val="12"/>
  </w:num>
  <w:num w:numId="18" w16cid:durableId="130169729">
    <w:abstractNumId w:val="28"/>
  </w:num>
  <w:num w:numId="19" w16cid:durableId="417600409">
    <w:abstractNumId w:val="15"/>
  </w:num>
  <w:num w:numId="20" w16cid:durableId="579019458">
    <w:abstractNumId w:val="19"/>
  </w:num>
  <w:num w:numId="21" w16cid:durableId="1628582554">
    <w:abstractNumId w:val="32"/>
  </w:num>
  <w:num w:numId="22" w16cid:durableId="1876575480">
    <w:abstractNumId w:val="3"/>
  </w:num>
  <w:num w:numId="23" w16cid:durableId="735319744">
    <w:abstractNumId w:val="4"/>
  </w:num>
  <w:num w:numId="24" w16cid:durableId="871307219">
    <w:abstractNumId w:val="11"/>
  </w:num>
  <w:num w:numId="25" w16cid:durableId="1956909665">
    <w:abstractNumId w:val="23"/>
  </w:num>
  <w:num w:numId="26" w16cid:durableId="980378635">
    <w:abstractNumId w:val="9"/>
  </w:num>
  <w:num w:numId="27" w16cid:durableId="1449665573">
    <w:abstractNumId w:val="30"/>
  </w:num>
  <w:num w:numId="28" w16cid:durableId="1601064858">
    <w:abstractNumId w:val="16"/>
  </w:num>
  <w:num w:numId="29" w16cid:durableId="978337535">
    <w:abstractNumId w:val="29"/>
  </w:num>
  <w:num w:numId="30" w16cid:durableId="1458066870">
    <w:abstractNumId w:val="7"/>
  </w:num>
  <w:num w:numId="31" w16cid:durableId="2143765936">
    <w:abstractNumId w:val="20"/>
  </w:num>
  <w:num w:numId="32" w16cid:durableId="438138429">
    <w:abstractNumId w:val="22"/>
  </w:num>
  <w:num w:numId="33" w16cid:durableId="1190870456">
    <w:abstractNumId w:val="10"/>
  </w:num>
  <w:num w:numId="34" w16cid:durableId="706832960">
    <w:abstractNumId w:val="17"/>
  </w:num>
  <w:num w:numId="35" w16cid:durableId="2042391817">
    <w:abstractNumId w:val="2"/>
  </w:num>
  <w:num w:numId="36" w16cid:durableId="1697805231">
    <w:abstractNumId w:val="37"/>
  </w:num>
  <w:num w:numId="37" w16cid:durableId="255403817">
    <w:abstractNumId w:val="31"/>
  </w:num>
  <w:num w:numId="38" w16cid:durableId="756750174">
    <w:abstractNumId w:val="38"/>
  </w:num>
  <w:num w:numId="39" w16cid:durableId="1032851069">
    <w:abstractNumId w:val="14"/>
  </w:num>
  <w:num w:numId="40" w16cid:durableId="442651073">
    <w:abstractNumId w:val="34"/>
  </w:num>
  <w:num w:numId="41" w16cid:durableId="15271437">
    <w:abstractNumId w:val="6"/>
  </w:num>
  <w:num w:numId="42" w16cid:durableId="1861819490">
    <w:abstractNumId w:val="24"/>
  </w:num>
  <w:num w:numId="43" w16cid:durableId="47815355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19F4"/>
    <w:rsid w:val="0004168A"/>
    <w:rsid w:val="00045FF7"/>
    <w:rsid w:val="00071620"/>
    <w:rsid w:val="000725BD"/>
    <w:rsid w:val="000B7C01"/>
    <w:rsid w:val="000B7FA2"/>
    <w:rsid w:val="000E2B98"/>
    <w:rsid w:val="000F2947"/>
    <w:rsid w:val="000F2D67"/>
    <w:rsid w:val="001032E1"/>
    <w:rsid w:val="00156492"/>
    <w:rsid w:val="00180B1F"/>
    <w:rsid w:val="001B3AAB"/>
    <w:rsid w:val="00206B2C"/>
    <w:rsid w:val="00216E22"/>
    <w:rsid w:val="0025624A"/>
    <w:rsid w:val="002641C2"/>
    <w:rsid w:val="002656B1"/>
    <w:rsid w:val="00275C2B"/>
    <w:rsid w:val="0028630D"/>
    <w:rsid w:val="00341916"/>
    <w:rsid w:val="003C4C08"/>
    <w:rsid w:val="003D416E"/>
    <w:rsid w:val="003E149B"/>
    <w:rsid w:val="003E60D9"/>
    <w:rsid w:val="003F1F3A"/>
    <w:rsid w:val="004001F3"/>
    <w:rsid w:val="004950D7"/>
    <w:rsid w:val="004A3618"/>
    <w:rsid w:val="004B177E"/>
    <w:rsid w:val="00504029"/>
    <w:rsid w:val="00533F78"/>
    <w:rsid w:val="00592D4A"/>
    <w:rsid w:val="005A0D7C"/>
    <w:rsid w:val="00632C94"/>
    <w:rsid w:val="006464E0"/>
    <w:rsid w:val="006B3014"/>
    <w:rsid w:val="006C2DFC"/>
    <w:rsid w:val="006D2CD6"/>
    <w:rsid w:val="00703716"/>
    <w:rsid w:val="00747FCD"/>
    <w:rsid w:val="00761F25"/>
    <w:rsid w:val="00793838"/>
    <w:rsid w:val="007B2047"/>
    <w:rsid w:val="008026F5"/>
    <w:rsid w:val="0082724A"/>
    <w:rsid w:val="00876E51"/>
    <w:rsid w:val="00880B56"/>
    <w:rsid w:val="00887E45"/>
    <w:rsid w:val="008A678A"/>
    <w:rsid w:val="008A75E8"/>
    <w:rsid w:val="008D36EA"/>
    <w:rsid w:val="008F3B72"/>
    <w:rsid w:val="008F3FA7"/>
    <w:rsid w:val="008F4136"/>
    <w:rsid w:val="00912480"/>
    <w:rsid w:val="00941114"/>
    <w:rsid w:val="009663D6"/>
    <w:rsid w:val="00984935"/>
    <w:rsid w:val="009952F6"/>
    <w:rsid w:val="009D15AE"/>
    <w:rsid w:val="009D59AD"/>
    <w:rsid w:val="00A20312"/>
    <w:rsid w:val="00A215A4"/>
    <w:rsid w:val="00A22032"/>
    <w:rsid w:val="00A66962"/>
    <w:rsid w:val="00AB757D"/>
    <w:rsid w:val="00AD530D"/>
    <w:rsid w:val="00AD6B6F"/>
    <w:rsid w:val="00AE4AE5"/>
    <w:rsid w:val="00AF50C8"/>
    <w:rsid w:val="00B239BD"/>
    <w:rsid w:val="00B94CE2"/>
    <w:rsid w:val="00C135A9"/>
    <w:rsid w:val="00C473B1"/>
    <w:rsid w:val="00C958F8"/>
    <w:rsid w:val="00CC12D1"/>
    <w:rsid w:val="00CD1B61"/>
    <w:rsid w:val="00CF27E5"/>
    <w:rsid w:val="00D11160"/>
    <w:rsid w:val="00D57CEA"/>
    <w:rsid w:val="00D90EBF"/>
    <w:rsid w:val="00DC349B"/>
    <w:rsid w:val="00DD188D"/>
    <w:rsid w:val="00DE10C3"/>
    <w:rsid w:val="00E1197B"/>
    <w:rsid w:val="00E16DFA"/>
    <w:rsid w:val="00E454A3"/>
    <w:rsid w:val="00E54877"/>
    <w:rsid w:val="00E652DF"/>
    <w:rsid w:val="00E73697"/>
    <w:rsid w:val="00EC3A28"/>
    <w:rsid w:val="00EC534F"/>
    <w:rsid w:val="00EE7D1A"/>
    <w:rsid w:val="00EF0549"/>
    <w:rsid w:val="00EF0949"/>
    <w:rsid w:val="00F35109"/>
    <w:rsid w:val="00F70739"/>
    <w:rsid w:val="00F711F6"/>
    <w:rsid w:val="00F82A5B"/>
    <w:rsid w:val="00F835B9"/>
    <w:rsid w:val="00F836FE"/>
    <w:rsid w:val="00F84D66"/>
    <w:rsid w:val="00F965CE"/>
    <w:rsid w:val="00FA1B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30A7"/>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Header">
    <w:name w:val="header"/>
    <w:basedOn w:val="Normal"/>
    <w:link w:val="HeaderChar"/>
    <w:uiPriority w:val="99"/>
    <w:unhideWhenUsed/>
    <w:rsid w:val="00E16DFA"/>
    <w:pPr>
      <w:tabs>
        <w:tab w:val="center" w:pos="4513"/>
        <w:tab w:val="right" w:pos="9026"/>
      </w:tabs>
      <w:snapToGrid w:val="0"/>
    </w:pPr>
  </w:style>
  <w:style w:type="character" w:customStyle="1" w:styleId="HeaderChar">
    <w:name w:val="Header Char"/>
    <w:basedOn w:val="DefaultParagraphFont"/>
    <w:link w:val="Header"/>
    <w:uiPriority w:val="99"/>
    <w:rsid w:val="00E16DFA"/>
  </w:style>
  <w:style w:type="paragraph" w:styleId="Footer">
    <w:name w:val="footer"/>
    <w:basedOn w:val="Normal"/>
    <w:link w:val="FooterChar"/>
    <w:uiPriority w:val="99"/>
    <w:unhideWhenUsed/>
    <w:rsid w:val="00E16DFA"/>
    <w:pPr>
      <w:tabs>
        <w:tab w:val="center" w:pos="4513"/>
        <w:tab w:val="right" w:pos="9026"/>
      </w:tabs>
      <w:snapToGrid w:val="0"/>
    </w:pPr>
  </w:style>
  <w:style w:type="character" w:customStyle="1" w:styleId="FooterChar">
    <w:name w:val="Footer Char"/>
    <w:basedOn w:val="DefaultParagraphFont"/>
    <w:link w:val="Footer"/>
    <w:uiPriority w:val="99"/>
    <w:rsid w:val="00E16DFA"/>
  </w:style>
  <w:style w:type="character" w:styleId="Hyperlink">
    <w:name w:val="Hyperlink"/>
    <w:basedOn w:val="DefaultParagraphFont"/>
    <w:uiPriority w:val="99"/>
    <w:unhideWhenUsed/>
    <w:rsid w:val="00E16DFA"/>
    <w:rPr>
      <w:color w:val="0563C1" w:themeColor="hyperlink"/>
      <w:u w:val="single"/>
    </w:rPr>
  </w:style>
  <w:style w:type="paragraph" w:styleId="BalloonText">
    <w:name w:val="Balloon Text"/>
    <w:basedOn w:val="Normal"/>
    <w:link w:val="BalloonTextChar"/>
    <w:uiPriority w:val="99"/>
    <w:semiHidden/>
    <w:unhideWhenUsed/>
    <w:rsid w:val="00DD188D"/>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DD188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210925977">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332488903">
      <w:bodyDiv w:val="1"/>
      <w:marLeft w:val="0"/>
      <w:marRight w:val="0"/>
      <w:marTop w:val="0"/>
      <w:marBottom w:val="0"/>
      <w:divBdr>
        <w:top w:val="none" w:sz="0" w:space="0" w:color="auto"/>
        <w:left w:val="none" w:sz="0" w:space="0" w:color="auto"/>
        <w:bottom w:val="none" w:sz="0" w:space="0" w:color="auto"/>
        <w:right w:val="none" w:sz="0" w:space="0" w:color="auto"/>
      </w:divBdr>
    </w:div>
    <w:div w:id="537350831">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873083513">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82994647">
      <w:bodyDiv w:val="1"/>
      <w:marLeft w:val="0"/>
      <w:marRight w:val="0"/>
      <w:marTop w:val="0"/>
      <w:marBottom w:val="0"/>
      <w:divBdr>
        <w:top w:val="none" w:sz="0" w:space="0" w:color="auto"/>
        <w:left w:val="none" w:sz="0" w:space="0" w:color="auto"/>
        <w:bottom w:val="none" w:sz="0" w:space="0" w:color="auto"/>
        <w:right w:val="none" w:sz="0" w:space="0" w:color="auto"/>
      </w:divBdr>
    </w:div>
    <w:div w:id="1117605583">
      <w:bodyDiv w:val="1"/>
      <w:marLeft w:val="0"/>
      <w:marRight w:val="0"/>
      <w:marTop w:val="0"/>
      <w:marBottom w:val="0"/>
      <w:divBdr>
        <w:top w:val="none" w:sz="0" w:space="0" w:color="auto"/>
        <w:left w:val="none" w:sz="0" w:space="0" w:color="auto"/>
        <w:bottom w:val="none" w:sz="0" w:space="0" w:color="auto"/>
        <w:right w:val="none" w:sz="0" w:space="0" w:color="auto"/>
      </w:divBdr>
    </w:div>
    <w:div w:id="1283195471">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781802786">
      <w:bodyDiv w:val="1"/>
      <w:marLeft w:val="0"/>
      <w:marRight w:val="0"/>
      <w:marTop w:val="0"/>
      <w:marBottom w:val="0"/>
      <w:divBdr>
        <w:top w:val="none" w:sz="0" w:space="0" w:color="auto"/>
        <w:left w:val="none" w:sz="0" w:space="0" w:color="auto"/>
        <w:bottom w:val="none" w:sz="0" w:space="0" w:color="auto"/>
        <w:right w:val="none" w:sz="0" w:space="0" w:color="auto"/>
      </w:divBdr>
      <w:divsChild>
        <w:div w:id="117845662">
          <w:marLeft w:val="0"/>
          <w:marRight w:val="0"/>
          <w:marTop w:val="0"/>
          <w:marBottom w:val="120"/>
          <w:divBdr>
            <w:top w:val="none" w:sz="0" w:space="0" w:color="auto"/>
            <w:left w:val="none" w:sz="0" w:space="0" w:color="auto"/>
            <w:bottom w:val="none" w:sz="0" w:space="0" w:color="auto"/>
            <w:right w:val="none" w:sz="0" w:space="0" w:color="auto"/>
          </w:divBdr>
        </w:div>
        <w:div w:id="66197912">
          <w:marLeft w:val="0"/>
          <w:marRight w:val="0"/>
          <w:marTop w:val="0"/>
          <w:marBottom w:val="0"/>
          <w:divBdr>
            <w:top w:val="none" w:sz="0" w:space="0" w:color="auto"/>
            <w:left w:val="none" w:sz="0" w:space="0" w:color="auto"/>
            <w:bottom w:val="none" w:sz="0" w:space="0" w:color="auto"/>
            <w:right w:val="none" w:sz="0" w:space="0" w:color="auto"/>
          </w:divBdr>
        </w:div>
      </w:divsChild>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880312198">
      <w:bodyDiv w:val="1"/>
      <w:marLeft w:val="0"/>
      <w:marRight w:val="0"/>
      <w:marTop w:val="0"/>
      <w:marBottom w:val="0"/>
      <w:divBdr>
        <w:top w:val="none" w:sz="0" w:space="0" w:color="auto"/>
        <w:left w:val="none" w:sz="0" w:space="0" w:color="auto"/>
        <w:bottom w:val="none" w:sz="0" w:space="0" w:color="auto"/>
        <w:right w:val="none" w:sz="0" w:space="0" w:color="auto"/>
      </w:divBdr>
    </w:div>
    <w:div w:id="1918248372">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6FC0B-4FBD-4D21-8300-2DA9B5E4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3025</Words>
  <Characters>17245</Characters>
  <Application>Microsoft Office Word</Application>
  <DocSecurity>0</DocSecurity>
  <Lines>143</Lines>
  <Paragraphs>40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Ana-Gigauri</cp:lastModifiedBy>
  <cp:revision>7</cp:revision>
  <cp:lastPrinted>2026-06-23T07:52:00Z</cp:lastPrinted>
  <dcterms:created xsi:type="dcterms:W3CDTF">2026-07-28T12:14:00Z</dcterms:created>
  <dcterms:modified xsi:type="dcterms:W3CDTF">2026-07-28T17:46:00Z</dcterms:modified>
</cp:coreProperties>
</file>