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41FE2" w14:textId="77777777" w:rsidR="006C2DFC" w:rsidRPr="006C2DFC" w:rsidRDefault="006C2DFC" w:rsidP="006C2DFC">
      <w:pPr>
        <w:widowControl/>
        <w:wordWrap/>
        <w:autoSpaceDE/>
        <w:autoSpaceDN/>
        <w:spacing w:after="0" w:line="240" w:lineRule="auto"/>
        <w:jc w:val="left"/>
        <w:rPr>
          <w:rFonts w:ascii="Times New Roman" w:eastAsia="Times New Roman" w:hAnsi="Times New Roman" w:cs="Times New Roman"/>
          <w:vanish/>
          <w:kern w:val="0"/>
          <w:sz w:val="24"/>
          <w:szCs w:val="24"/>
          <w:lang w:val="en-GB" w:eastAsia="en-GB"/>
        </w:rPr>
      </w:pPr>
    </w:p>
    <w:p w14:paraId="5D6F304E" w14:textId="088F97CA" w:rsidR="00901823" w:rsidRDefault="00901823" w:rsidP="00EC3A28">
      <w:pPr>
        <w:spacing w:after="0"/>
        <w:jc w:val="center"/>
        <w:rPr>
          <w:rFonts w:ascii="Sylfaen" w:hAnsi="Sylfaen" w:cs="Times New Roman"/>
          <w:b/>
          <w:sz w:val="24"/>
          <w:szCs w:val="24"/>
          <w:lang w:val="ka-GE"/>
        </w:rPr>
      </w:pPr>
      <w:r>
        <w:rPr>
          <w:rFonts w:ascii="Sylfaen" w:hAnsi="Sylfaen" w:cs="Times New Roman"/>
          <w:b/>
          <w:sz w:val="24"/>
          <w:szCs w:val="24"/>
          <w:lang w:val="ka-GE"/>
        </w:rPr>
        <w:t>სარეკომენდაციო</w:t>
      </w:r>
    </w:p>
    <w:p w14:paraId="5E1055A9" w14:textId="77777777" w:rsidR="00901823" w:rsidRDefault="00901823" w:rsidP="00EC3A28">
      <w:pPr>
        <w:spacing w:after="0"/>
        <w:jc w:val="center"/>
        <w:rPr>
          <w:rFonts w:ascii="Sylfaen" w:hAnsi="Sylfaen" w:cs="Times New Roman"/>
          <w:b/>
          <w:sz w:val="24"/>
          <w:szCs w:val="24"/>
          <w:lang w:val="ka-GE"/>
        </w:rPr>
      </w:pPr>
    </w:p>
    <w:p w14:paraId="7807BC06" w14:textId="77777777" w:rsidR="00901823" w:rsidRDefault="00901823" w:rsidP="00EC3A28">
      <w:pPr>
        <w:spacing w:after="0"/>
        <w:jc w:val="center"/>
        <w:rPr>
          <w:rFonts w:ascii="Sylfaen" w:hAnsi="Sylfaen" w:cs="Times New Roman"/>
          <w:b/>
          <w:sz w:val="24"/>
          <w:szCs w:val="24"/>
          <w:lang w:val="ka-GE"/>
        </w:rPr>
      </w:pPr>
    </w:p>
    <w:p w14:paraId="0E04A564" w14:textId="33B313B4" w:rsidR="003E60D9" w:rsidRPr="00EC3A28" w:rsidRDefault="001B3AAB" w:rsidP="00EC3A28">
      <w:pPr>
        <w:spacing w:after="0"/>
        <w:jc w:val="center"/>
        <w:rPr>
          <w:rFonts w:ascii="Times New Roman" w:hAnsi="Times New Roman" w:cs="Times New Roman"/>
          <w:b/>
          <w:sz w:val="24"/>
          <w:szCs w:val="24"/>
        </w:rPr>
      </w:pPr>
      <w:proofErr w:type="spellStart"/>
      <w:r w:rsidRPr="00EC3A28">
        <w:rPr>
          <w:rFonts w:ascii="Times New Roman" w:hAnsi="Times New Roman" w:cs="Times New Roman"/>
          <w:b/>
          <w:sz w:val="24"/>
          <w:szCs w:val="24"/>
        </w:rPr>
        <w:t>იფრანი</w:t>
      </w:r>
      <w:proofErr w:type="spellEnd"/>
      <w:r w:rsidR="008D36EA">
        <w:rPr>
          <w:rFonts w:ascii="Times New Roman" w:hAnsi="Times New Roman" w:cs="Times New Roman"/>
          <w:b/>
          <w:sz w:val="24"/>
          <w:szCs w:val="24"/>
        </w:rPr>
        <w:t xml:space="preserve"> </w:t>
      </w:r>
      <w:proofErr w:type="spellStart"/>
      <w:r w:rsidR="008D36EA">
        <w:rPr>
          <w:rFonts w:ascii="Sylfaen" w:hAnsi="Sylfaen" w:cs="Times New Roman"/>
          <w:b/>
          <w:sz w:val="24"/>
          <w:szCs w:val="24"/>
        </w:rPr>
        <w:t>საინჰალაციო</w:t>
      </w:r>
      <w:proofErr w:type="spellEnd"/>
      <w:r w:rsidR="008D36EA">
        <w:rPr>
          <w:rFonts w:ascii="Sylfaen" w:hAnsi="Sylfaen" w:cs="Times New Roman"/>
          <w:b/>
          <w:sz w:val="24"/>
          <w:szCs w:val="24"/>
        </w:rPr>
        <w:t xml:space="preserve"> სითხე </w:t>
      </w:r>
    </w:p>
    <w:p w14:paraId="63499410" w14:textId="77777777" w:rsidR="00E73697" w:rsidRPr="00EC3A28" w:rsidRDefault="00E73697" w:rsidP="00EC3A28">
      <w:pPr>
        <w:spacing w:after="0"/>
        <w:jc w:val="center"/>
        <w:rPr>
          <w:rFonts w:ascii="Times New Roman" w:hAnsi="Times New Roman" w:cs="Times New Roman"/>
          <w:b/>
          <w:sz w:val="24"/>
          <w:szCs w:val="24"/>
        </w:rPr>
      </w:pPr>
      <w:r w:rsidRPr="00EC3A28">
        <w:rPr>
          <w:rFonts w:ascii="Times New Roman" w:hAnsi="Times New Roman" w:cs="Times New Roman"/>
          <w:b/>
          <w:sz w:val="24"/>
          <w:szCs w:val="24"/>
        </w:rPr>
        <w:t>(იზოფლურანი)</w:t>
      </w:r>
    </w:p>
    <w:p w14:paraId="18C2267F" w14:textId="77777777" w:rsidR="003E60D9" w:rsidRPr="00EC3A28" w:rsidRDefault="003E60D9" w:rsidP="004001F3">
      <w:pPr>
        <w:spacing w:after="0"/>
        <w:rPr>
          <w:rFonts w:ascii="Times New Roman" w:hAnsi="Times New Roman" w:cs="Times New Roman"/>
          <w:sz w:val="24"/>
          <w:szCs w:val="24"/>
        </w:rPr>
      </w:pPr>
    </w:p>
    <w:p w14:paraId="6B4B9333" w14:textId="1A0EA94B" w:rsidR="001B3AAB" w:rsidRPr="006C2DFC" w:rsidRDefault="00F70739" w:rsidP="004001F3">
      <w:pPr>
        <w:spacing w:after="0"/>
        <w:rPr>
          <w:rFonts w:ascii="Sylfaen" w:hAnsi="Sylfaen" w:cs="Times New Roman"/>
          <w:b/>
          <w:sz w:val="24"/>
          <w:szCs w:val="24"/>
          <w:lang w:val="ka-GE"/>
        </w:rPr>
      </w:pPr>
      <w:r w:rsidRPr="00EC3A28">
        <w:rPr>
          <w:rFonts w:ascii="Times New Roman" w:hAnsi="Times New Roman" w:cs="Times New Roman"/>
          <w:b/>
          <w:sz w:val="24"/>
          <w:szCs w:val="24"/>
        </w:rPr>
        <w:t>[</w:t>
      </w:r>
      <w:r w:rsidR="008D36EA">
        <w:rPr>
          <w:rFonts w:ascii="Sylfaen" w:hAnsi="Sylfaen" w:cs="Times New Roman"/>
          <w:b/>
          <w:sz w:val="24"/>
          <w:szCs w:val="24"/>
        </w:rPr>
        <w:t>შემადგენლობა</w:t>
      </w:r>
      <w:r w:rsidRPr="00EC3A28">
        <w:rPr>
          <w:rFonts w:ascii="Times New Roman" w:hAnsi="Times New Roman" w:cs="Times New Roman"/>
          <w:b/>
          <w:sz w:val="24"/>
          <w:szCs w:val="24"/>
        </w:rPr>
        <w:t>]</w:t>
      </w:r>
    </w:p>
    <w:p w14:paraId="4D5B0D27" w14:textId="77777777" w:rsidR="00F70739" w:rsidRPr="00EC3A28" w:rsidRDefault="00F70739" w:rsidP="004001F3">
      <w:pPr>
        <w:spacing w:after="0"/>
        <w:rPr>
          <w:rFonts w:ascii="Times New Roman" w:hAnsi="Times New Roman" w:cs="Times New Roman"/>
          <w:sz w:val="24"/>
          <w:szCs w:val="24"/>
        </w:rPr>
      </w:pPr>
      <w:r w:rsidRPr="00EC3A28">
        <w:rPr>
          <w:rFonts w:ascii="Times New Roman" w:hAnsi="Times New Roman" w:cs="Times New Roman"/>
          <w:sz w:val="24"/>
          <w:szCs w:val="24"/>
        </w:rPr>
        <w:t>ყოველი 100 მლ შეიცავს:</w:t>
      </w:r>
    </w:p>
    <w:p w14:paraId="3914744D" w14:textId="77777777" w:rsidR="00F70739" w:rsidRPr="00EC3A28" w:rsidRDefault="001B3AAB" w:rsidP="004001F3">
      <w:pPr>
        <w:spacing w:after="0"/>
        <w:rPr>
          <w:rFonts w:ascii="Times New Roman" w:hAnsi="Times New Roman" w:cs="Times New Roman"/>
          <w:sz w:val="24"/>
          <w:szCs w:val="24"/>
        </w:rPr>
      </w:pPr>
      <w:r w:rsidRPr="00EC3A28">
        <w:rPr>
          <w:rFonts w:ascii="Times New Roman" w:hAnsi="Times New Roman" w:cs="Times New Roman"/>
          <w:sz w:val="24"/>
          <w:szCs w:val="24"/>
        </w:rPr>
        <w:t>იზოფლურანი (USP) ⸱⸱⸱⸱⸱⸱⸱⸱⸱⸱⸱⸱⸱⸱⸱⸱⸱⸱⸱⸱⸱⸱⸱⸱⸱⸱⸱⸱⸱⸱⸱⸱⸱⸱⸱⸱⸱⸱⸱⸱⸱⸱⸱⸱⸱⸱⸱⸱⸱⸱⸱⸱ 100 მლ</w:t>
      </w:r>
    </w:p>
    <w:p w14:paraId="60BE6D5C" w14:textId="77777777" w:rsidR="003E60D9" w:rsidRPr="00EC3A28" w:rsidRDefault="003E60D9" w:rsidP="004001F3">
      <w:pPr>
        <w:spacing w:after="0"/>
        <w:rPr>
          <w:rFonts w:ascii="Times New Roman" w:hAnsi="Times New Roman" w:cs="Times New Roman"/>
          <w:sz w:val="24"/>
          <w:szCs w:val="24"/>
        </w:rPr>
      </w:pPr>
    </w:p>
    <w:p w14:paraId="047655E4" w14:textId="77777777" w:rsidR="000F2D67" w:rsidRPr="00EC3A28" w:rsidRDefault="00F70739" w:rsidP="004001F3">
      <w:pPr>
        <w:spacing w:after="0"/>
        <w:rPr>
          <w:rFonts w:ascii="Times New Roman" w:hAnsi="Times New Roman" w:cs="Times New Roman"/>
          <w:b/>
          <w:sz w:val="24"/>
          <w:szCs w:val="24"/>
        </w:rPr>
      </w:pPr>
      <w:r w:rsidRPr="00EC3A28">
        <w:rPr>
          <w:rFonts w:ascii="Times New Roman" w:hAnsi="Times New Roman" w:cs="Times New Roman"/>
          <w:b/>
          <w:sz w:val="24"/>
          <w:szCs w:val="24"/>
        </w:rPr>
        <w:t>[აღწერა]</w:t>
      </w:r>
    </w:p>
    <w:p w14:paraId="4AC9BBC8" w14:textId="77777777" w:rsidR="00F70739" w:rsidRPr="00EC3A28" w:rsidRDefault="001B3AAB" w:rsidP="004001F3">
      <w:pPr>
        <w:spacing w:after="0"/>
        <w:rPr>
          <w:rFonts w:ascii="Times New Roman" w:hAnsi="Times New Roman" w:cs="Times New Roman"/>
          <w:sz w:val="24"/>
          <w:szCs w:val="24"/>
        </w:rPr>
      </w:pPr>
      <w:r w:rsidRPr="00EC3A28">
        <w:rPr>
          <w:rFonts w:ascii="Times New Roman" w:hAnsi="Times New Roman" w:cs="Times New Roman"/>
          <w:sz w:val="24"/>
          <w:szCs w:val="24"/>
        </w:rPr>
        <w:t>უფერო და გამჭვირვალე ხსნარი USP III ტიპის ქარვისფერ შუშის ბოთლში</w:t>
      </w:r>
    </w:p>
    <w:p w14:paraId="3835CB16" w14:textId="77777777" w:rsidR="001B3AAB" w:rsidRPr="00EC3A28" w:rsidRDefault="001B3AAB" w:rsidP="004001F3">
      <w:pPr>
        <w:spacing w:after="0"/>
        <w:rPr>
          <w:rFonts w:ascii="Times New Roman" w:hAnsi="Times New Roman" w:cs="Times New Roman"/>
          <w:sz w:val="24"/>
          <w:szCs w:val="24"/>
        </w:rPr>
      </w:pPr>
    </w:p>
    <w:p w14:paraId="02BCE642" w14:textId="77777777" w:rsidR="001B3AAB" w:rsidRPr="00EC3A28" w:rsidRDefault="001B3AAB" w:rsidP="004001F3">
      <w:pPr>
        <w:spacing w:after="0"/>
        <w:rPr>
          <w:rFonts w:ascii="Times New Roman" w:hAnsi="Times New Roman" w:cs="Times New Roman"/>
          <w:b/>
          <w:sz w:val="24"/>
          <w:szCs w:val="24"/>
        </w:rPr>
      </w:pPr>
      <w:r w:rsidRPr="00EC3A28">
        <w:rPr>
          <w:rFonts w:ascii="Times New Roman" w:hAnsi="Times New Roman" w:cs="Times New Roman"/>
          <w:b/>
          <w:sz w:val="24"/>
          <w:szCs w:val="24"/>
        </w:rPr>
        <w:t>[ჩვენებები]</w:t>
      </w:r>
    </w:p>
    <w:p w14:paraId="23DA2E98" w14:textId="77777777" w:rsidR="001B3AAB" w:rsidRPr="00EC3A28" w:rsidRDefault="001B3AAB" w:rsidP="004001F3">
      <w:pPr>
        <w:spacing w:after="0"/>
        <w:rPr>
          <w:rFonts w:ascii="Times New Roman" w:hAnsi="Times New Roman" w:cs="Times New Roman"/>
          <w:sz w:val="24"/>
          <w:szCs w:val="24"/>
        </w:rPr>
      </w:pPr>
      <w:r w:rsidRPr="00EC3A28">
        <w:rPr>
          <w:rFonts w:ascii="Times New Roman" w:hAnsi="Times New Roman" w:cs="Times New Roman"/>
          <w:sz w:val="24"/>
          <w:szCs w:val="24"/>
        </w:rPr>
        <w:t>ზოგადი ანესთეზია</w:t>
      </w:r>
    </w:p>
    <w:p w14:paraId="043A550B" w14:textId="77777777" w:rsidR="000F2D67" w:rsidRPr="00EC3A28" w:rsidRDefault="000F2D67" w:rsidP="004001F3">
      <w:pPr>
        <w:spacing w:after="0"/>
        <w:rPr>
          <w:rFonts w:ascii="Times New Roman" w:hAnsi="Times New Roman" w:cs="Times New Roman"/>
          <w:sz w:val="24"/>
          <w:szCs w:val="24"/>
        </w:rPr>
      </w:pPr>
    </w:p>
    <w:p w14:paraId="4CDD269E" w14:textId="77777777" w:rsidR="00156492" w:rsidRPr="00EC3A28" w:rsidRDefault="00156492" w:rsidP="00156492">
      <w:pPr>
        <w:spacing w:after="0"/>
        <w:rPr>
          <w:rFonts w:ascii="Times New Roman" w:hAnsi="Times New Roman" w:cs="Times New Roman"/>
          <w:b/>
          <w:sz w:val="24"/>
          <w:szCs w:val="24"/>
        </w:rPr>
      </w:pPr>
      <w:r w:rsidRPr="00EC3A28">
        <w:rPr>
          <w:rFonts w:ascii="Times New Roman" w:hAnsi="Times New Roman" w:cs="Times New Roman"/>
          <w:b/>
          <w:sz w:val="24"/>
          <w:szCs w:val="24"/>
        </w:rPr>
        <w:t>[დოზირება და მიღების წესი]</w:t>
      </w:r>
    </w:p>
    <w:p w14:paraId="5B1F47E6" w14:textId="77777777" w:rsidR="000F2D67" w:rsidRPr="00EC3A28" w:rsidRDefault="000F2D67" w:rsidP="004001F3">
      <w:pPr>
        <w:spacing w:after="0"/>
        <w:rPr>
          <w:rFonts w:ascii="Times New Roman" w:hAnsi="Times New Roman" w:cs="Times New Roman"/>
          <w:b/>
          <w:sz w:val="24"/>
          <w:szCs w:val="24"/>
        </w:rPr>
      </w:pPr>
      <w:r w:rsidRPr="00EC3A28">
        <w:rPr>
          <w:rFonts w:ascii="Times New Roman" w:hAnsi="Times New Roman" w:cs="Times New Roman"/>
          <w:b/>
          <w:sz w:val="24"/>
          <w:szCs w:val="24"/>
        </w:rPr>
        <w:t>მოზრდილები</w:t>
      </w:r>
    </w:p>
    <w:p w14:paraId="5A162DDA" w14:textId="77777777" w:rsidR="00156492" w:rsidRPr="00EC3A28" w:rsidRDefault="00156492" w:rsidP="003D416E">
      <w:pPr>
        <w:pStyle w:val="ListParagraph"/>
        <w:numPr>
          <w:ilvl w:val="0"/>
          <w:numId w:val="38"/>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ინდუქცია: ანესთეზიის ინდუქციის მიღწევა შესაძლებელია ხანმოკლე მოქმედების ბარბიტურატის ან სხვა ინტრავენური ანესთეზიის შეყვანით, რასაც მოჰყვება იზოფლურანის ჟანგბადთან კომბინაციაში ან ჟანგბად-აზოტის ოქსიდის ნარევის გამოყენებით. ინდუქცია ასევე შეიძლება ჩატარდეს იზოფლურანის ჟანგბადთან ან მხოლოდ ჟანგბად-აზოტის ოქსიდის ნარევის გამოყენებით. შეყვანა ჩვეულებრივ იწყება 0.5%-იანი საწყისი კონცენტრაციით. როგორც წესი, 1.5–3.0%-იანი კონცენტრაციით ქირურგიული ანესთეზია მიიღწევა დაახლოებით 7–10 წუთში.</w:t>
      </w:r>
    </w:p>
    <w:p w14:paraId="1FE9E23C" w14:textId="77777777" w:rsidR="000F2D67" w:rsidRPr="00EC3A28" w:rsidRDefault="00156492" w:rsidP="003D416E">
      <w:pPr>
        <w:pStyle w:val="ListParagraph"/>
        <w:numPr>
          <w:ilvl w:val="0"/>
          <w:numId w:val="38"/>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შემანარჩუნებელი თერაპია: შემანარჩუნებელი თერაპიის დროს, ჟანგბად-აზოტის ოქსიდის ნარევით შეყვანისას, ქირურგიული ანესთეზიის შესანარჩუნებლად საჭიროა იზოფლურანის 1.0–2.5%-იანი კონცენტრაცია, მაშინ როდესაც მხოლოდ ჟანგბადით შეყვანისას, როგორც წესი, საჭიროა იზოფლურანის დამატებით 0.5–1.0%. შემანარჩუნებელი თერაპიის დროს არტერიული წნევა უკუპროპორციულია იზოფლურანის ალვეოლურ კონცენტრაციისა. ანესთეზიის სიღრმის გამო შეიძლება განვითარდეს ჭარბი ჰიპოტენზია; ასეთ შემთხვევებში, იზოფლურანის კონცენტრაცია შესაბამისად უნდა შემცირდეს.</w:t>
      </w:r>
    </w:p>
    <w:p w14:paraId="6A98C9B2" w14:textId="77777777" w:rsidR="000F2D67" w:rsidRPr="00EC3A28" w:rsidRDefault="000F2D67" w:rsidP="003D416E">
      <w:pPr>
        <w:spacing w:after="0"/>
        <w:jc w:val="left"/>
        <w:rPr>
          <w:rFonts w:ascii="Times New Roman" w:hAnsi="Times New Roman" w:cs="Times New Roman"/>
          <w:sz w:val="24"/>
          <w:szCs w:val="24"/>
        </w:rPr>
      </w:pPr>
    </w:p>
    <w:p w14:paraId="027EB0D2" w14:textId="77777777" w:rsidR="00F70739" w:rsidRPr="00EC3A28" w:rsidRDefault="000F2D67" w:rsidP="008D36EA">
      <w:pPr>
        <w:spacing w:after="0"/>
        <w:jc w:val="left"/>
        <w:rPr>
          <w:rFonts w:ascii="Times New Roman" w:hAnsi="Times New Roman" w:cs="Times New Roman"/>
          <w:b/>
          <w:sz w:val="24"/>
          <w:szCs w:val="24"/>
        </w:rPr>
      </w:pPr>
      <w:r w:rsidRPr="00EC3A28">
        <w:rPr>
          <w:rFonts w:ascii="Times New Roman" w:hAnsi="Times New Roman" w:cs="Times New Roman"/>
          <w:b/>
          <w:sz w:val="24"/>
          <w:szCs w:val="24"/>
        </w:rPr>
        <w:t>[გამოყენების სიფრთხილის ზომები]</w:t>
      </w:r>
    </w:p>
    <w:p w14:paraId="51522521" w14:textId="77777777" w:rsidR="00703716" w:rsidRPr="00EC3A28" w:rsidRDefault="00703716"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უკუჩვენებები</w:t>
      </w:r>
    </w:p>
    <w:p w14:paraId="57674FB6" w14:textId="77777777" w:rsidR="00CD1B61" w:rsidRPr="00EC3A28" w:rsidRDefault="00CD1B6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პაციენტები, რომლებშიც ზოგადი ანესთეზია უკუნაჩვენებია.</w:t>
      </w:r>
    </w:p>
    <w:p w14:paraId="3169D91A" w14:textId="77777777" w:rsidR="00CD1B61" w:rsidRPr="00EC3A28" w:rsidRDefault="00CD1B6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პაციენტები, რომლებსაც აღენიშნებათ მომატებული მგრძნობელობა ამ პრეპარატის ან სხვა ჰალოგენირებული ანესთეტიკების მიმართ.</w:t>
      </w:r>
    </w:p>
    <w:p w14:paraId="44BA8812" w14:textId="77777777" w:rsidR="00CD1B61" w:rsidRPr="00EC3A28" w:rsidRDefault="00CD1B6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პაციენტები, რომლებსაც აქვთ ავთვისებიანი ჰიპერთერმიისადმი </w:t>
      </w:r>
      <w:r w:rsidRPr="00EC3A28">
        <w:rPr>
          <w:rFonts w:ascii="Times New Roman" w:hAnsi="Times New Roman" w:cs="Times New Roman"/>
          <w:sz w:val="24"/>
          <w:szCs w:val="24"/>
        </w:rPr>
        <w:lastRenderedPageBreak/>
        <w:t>გენეტიკური მიდრეკილება.</w:t>
      </w:r>
    </w:p>
    <w:p w14:paraId="4302FB46" w14:textId="77777777" w:rsidR="00CD1B61" w:rsidRPr="00EC3A28" w:rsidRDefault="00CD1B6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პაციენტები, რომლებსაც ამ პრეპარატის ან სხვა ჰალოგენირებული ანესთეტიკების მიღების შემდეგ აღენიშნებათ ღვიძლის საშუალო და მძიმე უკმარისობის ისტორია, ან პაციენტები, რომლებსაც ანამნეზში აღენიშნებათ ღვიძლის საშუალო და მძიმე უკმარისობის ისტორია აუხსნელი სიმძიმის.</w:t>
      </w:r>
    </w:p>
    <w:p w14:paraId="646E7303" w14:textId="77777777" w:rsidR="00DC349B" w:rsidRPr="00EC3A28" w:rsidRDefault="00DC349B" w:rsidP="008D36EA">
      <w:pPr>
        <w:spacing w:after="0"/>
        <w:jc w:val="left"/>
        <w:rPr>
          <w:rFonts w:ascii="Times New Roman" w:hAnsi="Times New Roman" w:cs="Times New Roman"/>
          <w:sz w:val="24"/>
          <w:szCs w:val="24"/>
        </w:rPr>
      </w:pPr>
    </w:p>
    <w:p w14:paraId="7C3F17F9" w14:textId="77777777" w:rsidR="00EE7D1A" w:rsidRPr="00EC3A28" w:rsidRDefault="00EE7D1A" w:rsidP="008D36EA">
      <w:pPr>
        <w:pStyle w:val="ListParagraph"/>
        <w:numPr>
          <w:ilvl w:val="0"/>
          <w:numId w:val="21"/>
        </w:numPr>
        <w:spacing w:after="0"/>
        <w:ind w:leftChars="0"/>
        <w:jc w:val="left"/>
        <w:rPr>
          <w:rFonts w:ascii="Times New Roman" w:hAnsi="Times New Roman" w:cs="Times New Roman"/>
          <w:sz w:val="24"/>
          <w:szCs w:val="24"/>
        </w:rPr>
      </w:pPr>
      <w:r w:rsidRPr="00EC3A28">
        <w:rPr>
          <w:rFonts w:ascii="Times New Roman" w:hAnsi="Times New Roman" w:cs="Times New Roman"/>
          <w:b/>
          <w:sz w:val="24"/>
          <w:szCs w:val="24"/>
        </w:rPr>
        <w:t>გვერდითი რეაქციები</w:t>
      </w:r>
    </w:p>
    <w:p w14:paraId="1B879C27"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პრეპარატთან დაკავშირებული გვერდითი მოვლენები დოზადამოკიდებულია და შეიძლება მოიცავდეს სუნთქვის დათრგუნვას, ჰიპოტენზიას და არითმიებს. პოტენციურად სერიოზული ეფექტებია ავთვისებიანი ჰიპერთერმია, ჰიპერკალიემია, შრატის კრეატინკინაზას მომატება და მიოგლობინურია.</w:t>
      </w:r>
    </w:p>
    <w:p w14:paraId="3C7E3ED6"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ინჰალაციური ანესთეტიკების, მათ შორის ამ პრეპარატის, მიღებისას დაფიქსირდა გულის გაჩერება, ბრადიკარდია და ტაქიკარდია.</w:t>
      </w:r>
    </w:p>
    <w:p w14:paraId="523D7A32"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QT ინტერვალის გახანგრძლივება, რომელიც დაკავშირებულია პირუეტულ პარკუჭოვან ტაქიკარდიასთან, აღწერილია იშვიათ, პოტენციურად ფატალურ შემთხვევებში.</w:t>
      </w:r>
    </w:p>
    <w:p w14:paraId="1B85C3EE"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აქროლადი ინჰალაციური ანესთეტიკებით გამოწვეული სასუნთქი გზების გაღიზიანების გამო აღწერილია ბრონქოსპაზმის და ლარინგოსპაზმის შემთხვევები.</w:t>
      </w:r>
    </w:p>
    <w:p w14:paraId="75BA4D49"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პრეპარატის გამოყენების დროს დაფიქსირდა ელექტროენცეფალოგრამის (EEG) ცვლილებები და კრუნჩხვები.</w:t>
      </w:r>
    </w:p>
    <w:p w14:paraId="0733E2D5"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აძლიერებს ყველა მიორელაქსაცენტის, განსაკუთრებით არადეპოლარიზებადი ნერვ-კუნთოვანი ბლოკატორების, ეფექტს მოზრდილებში. N₂O-სთან ერთად მიღება ამცირებს ალვეოლურ მინიმალურ კონცენტრაციას (MAC).</w:t>
      </w:r>
    </w:p>
    <w:p w14:paraId="6C91BBD9"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ფტორირებული ინჰალაციის საშუალებების (მაგ., დესფურანი, ენფლურანი, იზოფლურანი) გამოყენების შემდეგ აღწერილია კარბოქსიჰემოგლობინის მომატების ცალკეული შემთხვევები.</w:t>
      </w:r>
    </w:p>
    <w:p w14:paraId="2DE0760F"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სხვა ინჰალაციური საშუალებების მსგავსად, ეს პრეპარატი იწვევს საშვილოსნოს მოდუნებას, რაც პოტენციურად ზრდის საშვილოსნოს სისხლდენის რისკს.</w:t>
      </w:r>
    </w:p>
    <w:p w14:paraId="171DEB9A"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დაფიქსირდა ოპერაციის შემდგომი ტრემორი, გულისრევა, ღებინება, ილეუსი, აგზნება და დელირიუმი.</w:t>
      </w:r>
    </w:p>
    <w:p w14:paraId="71E437BA"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აღინიშნა შრატის ბილირუბინის, სისხლში გლუკოზის და შრატის კრეატინინის დონის დროებითი მატება შარდოვანას, შრატის ქოლესტერინის და ტუტე ფოსფატაზას შემცირების გამო. ქირურგიული სტრესის გარეშეც კი, შესაძლოა განვითარდეს გარდამავალი ლეიკოციტოზი, სხვა ზოგადი ანესთეტიკების მსგავსად.</w:t>
      </w:r>
    </w:p>
    <w:p w14:paraId="5B3AD108"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აღწერილია ღვიძლის ფუნქციის დარღვევა, ფერმენტების მსუბუქი, გარდამავალი მომატებიდან ძალიან იშვიათ შემთხვევებში, ღვიძლის ფატალურ ნეკროზამდე.</w:t>
      </w:r>
    </w:p>
    <w:p w14:paraId="7A72007C"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lastRenderedPageBreak/>
        <w:t>ჰიპერმგრძნობელობის რეაქციები (მათ შორის კონტაქტური დერმატიტი, გამონაყარი, ქოშინი, ხიხინი, ტკივილი გულმკერდის არეში, სახის შეშუპება და ანაფილაქსია) იშვიათად აღინიშნა, განსაკუთრებით ამ პრეპარატის შემცველი ინჰალაციური ანესთეტიკების ხანგრძლივი პროფესიული ზემოქმედების კონტექსტში. ზოგიერთი რეაქცია დადასტურდა კლინიკური კვლევებით (მაგ., მეტაქოლინით გამოწვეული პროვოკაცია), თუმცა სხვა პრეპარატების თანმხლებმა ზემოქმედებამ შეიძლება გამოიწვიოს მიზეზობრივი კავშირის აღრევა.</w:t>
      </w:r>
    </w:p>
    <w:p w14:paraId="02899A6C"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პრეპარატით ანესთეზიის დროს და მის შემდეგ მეტაბოლური დაშლის გამო დაფიქსირდა შრატში არაორგანული ფტორიდის დონის კვალი მომატება. დაფიქსირებული დონეები თირკმლის ტოქსიკურობის ზღურბლზე გაცილებით დაბალია, რაც ნეფროტოქსიკურობას ნაკლებად სავარაუდოს ხდის.</w:t>
      </w:r>
    </w:p>
    <w:p w14:paraId="73F5E0FF"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მარკეტინგის შემდგომმა მეთვალყურეობამ გამოავლინა შემდეგი გვერდითი რეაქციები. ეს რეაქციები სპონტანურად დაფიქსირდა დაუზუსტებელ პოპულაციებში; ამრიგად, სიხშირისა და მიზეზობრიობის საიმედოდ დადგენა შეუძლებელია.</w:t>
      </w:r>
    </w:p>
    <w:p w14:paraId="3AC58695"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სისტემა-ორგანოს კლასი / გვერდითი რეაქციები:</w:t>
      </w:r>
    </w:p>
    <w:p w14:paraId="46C8DAEB" w14:textId="77777777" w:rsidR="00CD1B61" w:rsidRPr="00EC3A28" w:rsidRDefault="00CD1B61" w:rsidP="008D36EA">
      <w:pPr>
        <w:pStyle w:val="ListParagraph"/>
        <w:spacing w:after="0"/>
        <w:ind w:leftChars="0" w:left="862"/>
        <w:jc w:val="left"/>
        <w:rPr>
          <w:rFonts w:ascii="Times New Roman" w:hAnsi="Times New Roman" w:cs="Times New Roman"/>
          <w:sz w:val="24"/>
          <w:szCs w:val="24"/>
        </w:rPr>
      </w:pPr>
      <w:r w:rsidRPr="00EC3A28">
        <w:rPr>
          <w:rFonts w:ascii="Times New Roman" w:hAnsi="Times New Roman" w:cs="Times New Roman"/>
          <w:sz w:val="24"/>
          <w:szCs w:val="24"/>
        </w:rPr>
        <w:t>სისხლისა და ლიმფური სისტემის დარღვევები: კარბოქსიჰემოგლობინის მომატება</w:t>
      </w:r>
    </w:p>
    <w:p w14:paraId="22834C94"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იმუნური სისტემის დარღვევები: ანაფილაქსიური რეაქცია</w:t>
      </w:r>
    </w:p>
    <w:p w14:paraId="221D9020"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მეტაბოლიზმისა და კვების დარღვევები: ჰიპერკალიემია მიოპათიის მქონე პაციენტებში</w:t>
      </w:r>
    </w:p>
    <w:p w14:paraId="632EE49A"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ფსიქიკური დარღვევები: მოხსნის სინდრომი (რამდენიმე დღიანი ზემოქმედების შემდეგ, შეიძლება მოიცავდეს კრუნჩხვებს, ჰალუცინაციებს, ატაქსიას, აგზნებას, დაბნეულობას)</w:t>
      </w:r>
    </w:p>
    <w:p w14:paraId="1904E501"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ნერვული სისტემის დარღვევები: თავის ტვინის შეშუპება, ქალასშიდა წნევის მომატება, შაკიკი, ტონიკო- კლონური კრუნჩხვები, ნისტაგმი, გუგების ფიქსირებული შეგრძნება, თავის ტკივილი</w:t>
      </w:r>
    </w:p>
    <w:p w14:paraId="6BD210E8"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გულის დარღვევები: გულის გაჩერება, პარკუჭოვანი ფიბრილაცია, ტორსადეს დე პოინტე, მიოკარდიუმის ინფარქტი, მიოკარდიუმის იშემია, სრული ატრიოვენტრიკულური ბლოკადა, მეორე ხარისხის ატრიოვენტრიკულური ბლოკადა, წინაგულების ფიბრილაცია, QT ინტერვალის გახანგრძლივება, პირველი ხარისხის ატრიოვენტრიკულური ბლოკადა, პარკუჭოვანი ტაქიკარდია, პარკუჭოვანი ექსტრასისტოლია, ტაქიკარდია, ბრადიკარდია, გულის გამოტყორცნის შემცირება.</w:t>
      </w:r>
    </w:p>
    <w:p w14:paraId="74DF814D"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სისხლძარღვოვანი დარღვევები: სისხლჩაქცევა</w:t>
      </w:r>
    </w:p>
    <w:p w14:paraId="3D704BE7"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სასუნთქი სისტემის, გულმკერდის და შუასაყრის დარღვევები: აპნოე, ჰიპოქსია, ლარინგოსპაზმი, სასუნთქი გზების ობსტრუქცია, სუნთქვის დათრგუნვა, ჰიპერკაპნია, სტრიდორი, სლოკინი</w:t>
      </w:r>
    </w:p>
    <w:p w14:paraId="181CAA2C"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lastRenderedPageBreak/>
        <w:t>ჰეპატობილიარული დარღვევები: პანკრეატიტი, ღვიძლის ნეკროზი, ღვიძლის უკმარისობა, ფულმინანტური ჰეპატიტი, ქოლესტაზური ჰეპატიტი, ჰეპატიტი, ღვიძლის სტეატოზი, სიყვითლე, გამა-გლუტამილ ტრანსფერაზას მომატებული დონე.</w:t>
      </w:r>
    </w:p>
    <w:p w14:paraId="1EB917E1"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კანისა და კანქვეშა ქსოვილის დარღვევები: გამონაყარი</w:t>
      </w:r>
    </w:p>
    <w:p w14:paraId="3DD5C790"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კუნთოვანი და შემაერთებელი ქსოვილის დარღვევები: რაბდომიოლიზი</w:t>
      </w:r>
    </w:p>
    <w:p w14:paraId="4D55BB53"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თირკმლის და საშარდე გზების დარღვევები: თირკმლის მწვავე უკმარისობა*, ოლიგურია*</w:t>
      </w:r>
    </w:p>
    <w:p w14:paraId="6D003B16"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ზოგადი დარღვევები და შეყვანის ადგილის მდგომარეობები**: ავთვისებიანი ჰიპერთერმია, ჰიპოთერმია</w:t>
      </w:r>
    </w:p>
    <w:p w14:paraId="3CE7B653"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დაზიანება, მოწამვლა და პროცედურის გართულებები: უნებლიე ინტრაოპერაციული ცნობიერების დაკარგვა, ქოშინი, ლარინგოსპაზმი, სტრიდორი, ხველა, თავბრუსხვევა, პარესთეზია, ღვიძლისმიერი რეაქციები, სიწითლე, გამონაყარი, კონტაქტური დერმატიტი, ერითემა, პერიორბიტალური შეშუპება, თვალის გაღიზიანება, კონიუნქტივის ჰიპერემია, თავის ტკივილი.</w:t>
      </w:r>
    </w:p>
    <w:p w14:paraId="204A6765" w14:textId="77777777" w:rsidR="00CD1B61" w:rsidRPr="00EC3A28" w:rsidRDefault="00CD1B61" w:rsidP="008D36EA">
      <w:pPr>
        <w:pStyle w:val="ListParagraph"/>
        <w:spacing w:after="0"/>
        <w:ind w:leftChars="0" w:left="502"/>
        <w:jc w:val="left"/>
        <w:rPr>
          <w:rFonts w:ascii="Times New Roman" w:hAnsi="Times New Roman" w:cs="Times New Roman"/>
          <w:b/>
          <w:sz w:val="24"/>
          <w:szCs w:val="24"/>
        </w:rPr>
      </w:pPr>
      <w:r w:rsidRPr="00EC3A28">
        <w:rPr>
          <w:rFonts w:ascii="Times New Roman" w:hAnsi="Times New Roman" w:cs="Times New Roman"/>
          <w:b/>
          <w:sz w:val="24"/>
          <w:szCs w:val="24"/>
        </w:rPr>
        <w:t>*ამ პრეპარატის ანესთეზიის შემდეგ აღინიშნა თირკმლის მწვავე უკმარისობა და ოლიგურია, შესაძლოა ჰიპოტენზიის ან იზოფლურანის სხვა ეფექტების მეორადი ეფექტების სახით.</w:t>
      </w:r>
    </w:p>
    <w:p w14:paraId="616D4DFA" w14:textId="77777777" w:rsidR="00CD1B61" w:rsidRPr="00EC3A28" w:rsidRDefault="00CD1B61" w:rsidP="008D36EA">
      <w:pPr>
        <w:pStyle w:val="ListParagraph"/>
        <w:spacing w:after="0"/>
        <w:ind w:leftChars="0" w:left="502"/>
        <w:jc w:val="left"/>
        <w:rPr>
          <w:rFonts w:ascii="Times New Roman" w:hAnsi="Times New Roman" w:cs="Times New Roman"/>
          <w:b/>
          <w:sz w:val="24"/>
          <w:szCs w:val="24"/>
        </w:rPr>
      </w:pPr>
      <w:r w:rsidRPr="00EC3A28">
        <w:rPr>
          <w:rFonts w:ascii="Times New Roman" w:hAnsi="Times New Roman" w:cs="Times New Roman"/>
          <w:b/>
          <w:sz w:val="24"/>
          <w:szCs w:val="24"/>
        </w:rPr>
        <w:t>**ოპერაციის დროს გაუთვალისწინებელი ცნობიერების გარდა, თითოეული სისტემური ორგანოს კლასის ქვეშ ჩამოთვლილი ყველა რეაქცია ასოცირდებოდა პროფესიულ ზემოქმედებასთან.</w:t>
      </w:r>
    </w:p>
    <w:p w14:paraId="39556A2E" w14:textId="77777777" w:rsidR="00CD1B61" w:rsidRPr="00EC3A28" w:rsidRDefault="00CD1B61" w:rsidP="008D36EA">
      <w:pPr>
        <w:spacing w:after="0"/>
        <w:jc w:val="left"/>
        <w:rPr>
          <w:rFonts w:ascii="Times New Roman" w:hAnsi="Times New Roman" w:cs="Times New Roman"/>
          <w:sz w:val="24"/>
          <w:szCs w:val="24"/>
        </w:rPr>
      </w:pPr>
    </w:p>
    <w:p w14:paraId="1CD731F1" w14:textId="77777777" w:rsidR="00DE10C3" w:rsidRPr="00EC3A28" w:rsidRDefault="00DC349B"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ზოგადი სიფრთხილის ზომები</w:t>
      </w:r>
    </w:p>
    <w:p w14:paraId="06A3AC1E"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მნიშვნელოვნად ზრდის ცერებრულ სისხლის მიმოქცევას ღრმა ანესთეზიის დროს. შესაძლოა, თავ-ზურგტვინის სითხის წნევის დროებითი მატება, რამაც პოტენციურად გამოიწვიოს ჰიპერვენტილაციის სინდრომი.</w:t>
      </w:r>
    </w:p>
    <w:p w14:paraId="500EABE7"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ანესთეზიის სიღრმე შეიძლება სწრაფად შეიცვალოს; ამიტომ, უნდა იქნას გამოყენებული ვაპორიზატორები, რომლებსაც შეუძლიათ პროგნოზირებადი კონცენტრაციისა და მიწოდების სიჩქარის უზრუნველყოფა. ჰიპოტენზია და სუნთქვის დათრგუნვა ძლიერდება უფრო ღრმა ანესთეზიის დროს.</w:t>
      </w:r>
    </w:p>
    <w:p w14:paraId="5DE58ED0"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აღწერილია QT ინტერვალის გახანგრძლივება, რომელიც დაკავშირებულია პირუეტულ პარკუჭოვან ტაქიკარდიასთან (იშვიათი, პოტენციურად ფატალური). სიფრთხილეა საჭირო QT ინტერვალის გახანგრძლივების რისკის მქონე პაციენტებში გამოყენებისას.</w:t>
      </w:r>
    </w:p>
    <w:p w14:paraId="4AA4AFDB"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მიტოქონდრიული დარღვევების მქონე პაციენტებში ზოგადი ანესთეზიის, მათ შორის ამ პრეპარატის გამოყენებას მკაცრი მონიტორინგი სჭირდება.</w:t>
      </w:r>
    </w:p>
    <w:p w14:paraId="2AFB4CC9"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სხვა ინჰალაციური საშუალებების მსგავსად, ამ პრეპარატმა შეიძლება მოადუნოს საშვილოსნოს კუნთები, რაც პოტენციურად ზრდის საშვილოსნოდან სისხლდენის რისკს. სამეანო ანესთეზიის დროს მისი გამოყენება უნდა წარიმართოს კლინიკური შეფასების საფუძველზე. </w:t>
      </w:r>
      <w:r w:rsidRPr="00EC3A28">
        <w:rPr>
          <w:rFonts w:ascii="Times New Roman" w:hAnsi="Times New Roman" w:cs="Times New Roman"/>
          <w:sz w:val="24"/>
          <w:szCs w:val="24"/>
        </w:rPr>
        <w:lastRenderedPageBreak/>
        <w:t>საკეისრო კვეთის დროს კონცენტრაცია უნდა იყოს რაც შეიძლება დაბალი.</w:t>
      </w:r>
    </w:p>
    <w:p w14:paraId="05BD87E6"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ჰალოგენირებული ანესთეტიკების (მაგ., დესფლურანი, ენფლურანი, იზოფლურანი) გამოყენება ზოგიერთ პაციენტში დაკავშირებულია კარბოქსიჰემოგლობინის მომატებასთან. ჩვეულებრივი CO₂ შთამნთქმელების გამოყენებისას კლინიკურად მნიშვნელოვანი ნახშირბადის მონოქსიდის წარმოქმნა მოსალოდნელი არ არის. CO₂ შთამნთქმელების გამოყენების შესახებ დაიცავით მწარმოებლის ინსტრუქცია.</w:t>
      </w:r>
    </w:p>
    <w:p w14:paraId="531343F7"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კალიუმის ჰიდროქსიდის შემცველი გამომშრალი CO₂ შთამნთქმელების (მაგ., ბარალიმი) გამოყენებისას ანესთეზიური აპარატის გადახურების, კვამლის წარმოქმნის და/ან სპონტანური ხანძრის იშვიათი შემთხვევები დაფიქსირდა . CO₂ შთამნთქმელები, რომელთა გამომშრალობაც საეჭვოა, გამოყენებამდე უნდა შეიცვალოს. ფერის ინდიკატორები შესაძლოა საიმედოდ არ ასახავდეს გამომშრალობას; რეკომენდებულია რეგულარული შეცვლა ფერის ცვლილების მიუხედავად.</w:t>
      </w:r>
    </w:p>
    <w:p w14:paraId="25234A87"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პრეპარატის პროფესიული ზემოქმედება დაკავშირებულია ქოშინთან, ლარინგოსპაზმთან, სტრიდორთან, ხველასთან, თავბრუსხვევასთან, პარესთეზიასთან, ღვიძლის რეაქციებთან, წამოხურებასთან, გამონაყართან, კონტაქტურ დერმატიტთან, ერითემასთან, პერიორბიტალურ შეშუპებასთან, თვალის გაღიზიანებასთან, კონიუნქტივის ჰიპერემიასთან და თავის ტკივილთან.</w:t>
      </w:r>
    </w:p>
    <w:p w14:paraId="55EED0D1"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პრეპარატის შეყვანა უნდა განხორციელდეს მხოლოდ ანესთეზიურ ფარმაკოლოგიასა და პაციენტების მართვაში გაწვრთნილი და გამოცდილი პირების მიერ, შესაბამის დაწესებულებებში, შესაბამისი აღჭურვილობით.</w:t>
      </w:r>
    </w:p>
    <w:p w14:paraId="45CDCF79"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ანესთეზიის სიღრმის სწრაფი ცვლილებების გამო, უნდა იქნას გამოყენებული ვაპორიზატორები, რომლებსაც შეუძლიათ ზუსტად უზრუნველყონ პროგნოზირებადი ჩასუნთქვისა და ამოსუნთქვის კონცენტრაციები. ჰიპოტენზია და სუნთქვის დათრგუნვა ანესთეზიის სიღრმის გარკვეულ მითითებას იძლევა.</w:t>
      </w:r>
    </w:p>
    <w:p w14:paraId="039D1DDE"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აღწერილია ღვიძლის დაზიანება, რომელიც მერყეობს ფერმენტების მსუბუქი გარდამავალი მომატებიდან (ძალიან იშვიათად, ღვიძლის ფატალურ ნეკროზამდე). რისკი შეიძლება გაიზარდოს პაციენტებში, რომლებიც ადრე იყვნენ ჰალოგენირებული ნახშირწყალბადების ზემოქმედების ქვეშ, განსაკუთრებით მაშინ, როდესაც ინტერვალები სამ თვეზე ნაკლებია.</w:t>
      </w:r>
    </w:p>
    <w:p w14:paraId="3D8F7702"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პრეპარატის დანიშვნისას ღვიძლის დაავადების მქონე პაციენტებში ან ჰეპატოტოქსიური მედიკამენტების მიმღებ პაციენტებში საჭიროა კლინიკური შეფასება (იხილეთ [გამოყენების სიფრთხილის ზომები] 1. უკუჩვენებები).</w:t>
      </w:r>
    </w:p>
    <w:p w14:paraId="43D56BC2"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კორონარული არტერიის დაავადების მქონე პაციენტებში მიოკარდიუმის იშემიის თავიდან ასაცილებლად მნიშვნელოვანია ნორმალური სისხლის ნაკადის შენარჩუნება, გამოყენებული ანესთეზიური საშუალების მიუხედავად.</w:t>
      </w:r>
    </w:p>
    <w:p w14:paraId="6D93B7C2" w14:textId="77777777" w:rsidR="00B94CE2"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როგორც სხვა ჰალოგენირებული პრეპარატების შემთხვევაში, სიფრთხილეა </w:t>
      </w:r>
      <w:r w:rsidRPr="00EC3A28">
        <w:rPr>
          <w:rFonts w:ascii="Times New Roman" w:hAnsi="Times New Roman" w:cs="Times New Roman"/>
          <w:sz w:val="24"/>
          <w:szCs w:val="24"/>
        </w:rPr>
        <w:lastRenderedPageBreak/>
        <w:t>საჭირო მომატებული ქალასშიდა წნევის მქონე პაციენტებში; შესაძლოა საჭირო გახდეს ჰიპერვენტილაცია.</w:t>
      </w:r>
    </w:p>
    <w:p w14:paraId="56FD75DA"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აძლიერებს დეპოლარიზაციული კუნთების რელაქსანტების ეფექტს.</w:t>
      </w:r>
    </w:p>
    <w:p w14:paraId="549F0715"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შესაძლოა ბრონქოსპაზმის განვითარება; სიფრთხილე გამოიჩინეთ სასუნთქი გზების შევიწროებისკენ მიდრეკილ პაციენტებში.</w:t>
      </w:r>
    </w:p>
    <w:p w14:paraId="73DF9721"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შესაძლოა განვითარდეს სუნთქვის დათრგუნვა, რომელიც შეიძლება გამწვავდეს პრემედიკაციის ან სხვა სუნთქვის დამთრგუნველი საშუალებების გამოყენებისას. საჭიროა მუდმივი მონიტორინგი და საჭიროებისამებრ უნდა განხორციელდეს ჩარევები.</w:t>
      </w:r>
    </w:p>
    <w:p w14:paraId="63B5B968"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სხვა ზოგადი ანესთეზიის მსგავსად, კოგნიტური ფუნქცია შეიძლება მსუბუქად დაქვეითდეს ოპერაციიდან 2-4 დღის განმავლობაში, ხოლო ემოციური ან სიმპტომური ცვლილებები შეიძლება გაგრძელდეს 6 დღემდე.</w:t>
      </w:r>
    </w:p>
    <w:p w14:paraId="4D96C4B0" w14:textId="77777777" w:rsidR="00B94CE2"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ავთვისებიანი ჰიპერთერმია</w:t>
      </w:r>
    </w:p>
    <w:p w14:paraId="2C048215" w14:textId="15E254C8" w:rsidR="00AD6B6F" w:rsidRPr="00EC3A28" w:rsidRDefault="00504029" w:rsidP="008D36EA">
      <w:pPr>
        <w:pStyle w:val="ListParagraph"/>
        <w:numPr>
          <w:ilvl w:val="0"/>
          <w:numId w:val="40"/>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მგრძნობიარე პირებში, მიღებამ შეიძლება გამოიწვიოს ჰიპერმეტაბოლური ჩონჩხის კუნთების რეაქცია, რომელიც ხასიათდება ჟანგბადის მოხმარების ზრდით, კუნთების </w:t>
      </w:r>
      <w:r w:rsidR="003D416E">
        <w:rPr>
          <w:rFonts w:ascii="Sylfaen" w:hAnsi="Sylfaen" w:cs="Times New Roman"/>
          <w:sz w:val="24"/>
          <w:szCs w:val="24"/>
        </w:rPr>
        <w:t>დაჭიმულობით</w:t>
      </w:r>
      <w:r w:rsidRPr="00EC3A28">
        <w:rPr>
          <w:rFonts w:ascii="Times New Roman" w:hAnsi="Times New Roman" w:cs="Times New Roman"/>
          <w:sz w:val="24"/>
          <w:szCs w:val="24"/>
        </w:rPr>
        <w:t>, ტაქიკარდიით, ტაქიპნოეთი, ციანოზით, არითმიით და არასტაბილური არტერიული წნევით. შესაძლოა შემცირდეს PaO₂ და pH; შესაძლოა განვითარდეს ჰიპერკალიემია და აციდოზი.</w:t>
      </w:r>
    </w:p>
    <w:p w14:paraId="43FF39EB" w14:textId="77777777" w:rsidR="00AD6B6F" w:rsidRPr="00EC3A28" w:rsidRDefault="00504029" w:rsidP="008D36EA">
      <w:pPr>
        <w:pStyle w:val="ListParagraph"/>
        <w:numPr>
          <w:ilvl w:val="0"/>
          <w:numId w:val="40"/>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მარკეტინგის შემდგომი შემთხვევები დაფიქსირდა, ზოგიერთი ფატალური.</w:t>
      </w:r>
    </w:p>
    <w:p w14:paraId="315DC17E" w14:textId="77777777" w:rsidR="00504029" w:rsidRPr="00EC3A28" w:rsidRDefault="00504029" w:rsidP="008D36EA">
      <w:pPr>
        <w:pStyle w:val="ListParagraph"/>
        <w:numPr>
          <w:ilvl w:val="0"/>
          <w:numId w:val="40"/>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მკურნალობა მოიცავს გამომწვევი აგენტების (მაგ., იზოფლურანის) შეწყვეტას, დანტროლენ ნატრიუმის ინტრავენურ შეყვანას და დამხმარე თერაპიას, მათ შორის აქტიურ გაგრილებას, ვენტილაციურ და სისხლის მიმოქცევის მხარდაჭერას, ასევე ელექტროლიტების, სითხისა და მჟავა-ტუტოვანი დისბალანსის მართვას. შესაძლოა თირკმლის გართულებები განვითარდეს; თუ შესაძლებელია, შარდის გამოყოფა უნდა შენარჩუნდეს.</w:t>
      </w:r>
    </w:p>
    <w:p w14:paraId="74D4BF6F"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პედიატრიულ პაციენტებში ინჰალაციური ანესთეტიკების გამოყენება იშვიათ შემთხვევებში ასოცირდება შრატის კალიუმის დონის მატებასთან, რაც იწვევს გულის არითმიებს და სიკვდილს. პაციენტები, რომლებსაც აქვთ ლატენტური ან მანიფესტირებული ნერვ-კუნთოვანი დარღვევები, განსაკუთრებით დიუშენის კუნთოვანი დისტროფია, ყველაზე მოწყვლადები არიან. სუქცინილქოლინის ერთდროული გამოყენება უმეტეს შემთხვევაშია განპირობებული. ზოგიერთ პაციენტს ასევე შეიძლება აღენიშნებოდეს შრატის კრეატინკინაზას მომატებული დონე ან მიოგლობინურია. რეკომენდებულია ჰიპერკალიემიის და რეზისტენტული არითმიების საწყისი აგრესიული მართვა, ნერვ-კუნთოვანი დარღვევების მუდმივი შეფასებით.</w:t>
      </w:r>
    </w:p>
    <w:p w14:paraId="20C0FC2A"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საჭიროა ამ პრეპარატით ანესთეზირებული ყველა პაციენტის მუდმივი მონიტორინგი (მაგ., ელექტროკარდიოგრამა, არტერიული წნევა, ჟანგბადის სატურაცია, CO₂-ის ბოლო მოქცევის დროს). ეს პრეპარატი წარმოადგენს სუნთქვის ძლიერი დამთრგუნველ საშუალებას. სუნთქვის დათრგუნვა </w:t>
      </w:r>
      <w:r w:rsidRPr="00EC3A28">
        <w:rPr>
          <w:rFonts w:ascii="Times New Roman" w:hAnsi="Times New Roman" w:cs="Times New Roman"/>
          <w:sz w:val="24"/>
          <w:szCs w:val="24"/>
        </w:rPr>
        <w:lastRenderedPageBreak/>
        <w:t>შეიძლება დაკავშირებული იყოს ანესთეზიის სიღრმესთან და რეაგირებდეს ჩასუნთქული კონცენტრაციის შემცირებაზე. ეფექტებს აძლიერებენ ოპიოიდები და სხვა დამთრგუნველი საშუალებები. საჭიროების შემთხვევაში უნდა მოხდეს ვენტილაციის მხარდაჭერა ან რეგულირება.</w:t>
      </w:r>
    </w:p>
    <w:p w14:paraId="26968E08"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მინიმალური ალვეოლური კონცენტრაცია (MAC) მცირდება ასაკის მატებასთან ერთად, ახალშობილების გარდა. ამერიკის შეერთებულ შტატებში დამტკიცებული ასაკობრივი MAC მნიშვნელობები შემდეგია.</w:t>
      </w:r>
    </w:p>
    <w:p w14:paraId="78D39A46" w14:textId="77777777" w:rsidR="00DE10C3" w:rsidRPr="00EC3A28" w:rsidRDefault="00DE10C3" w:rsidP="008D36EA">
      <w:pPr>
        <w:spacing w:after="0"/>
        <w:jc w:val="left"/>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22"/>
        <w:gridCol w:w="3827"/>
        <w:gridCol w:w="3067"/>
      </w:tblGrid>
      <w:tr w:rsidR="00504029" w:rsidRPr="00EC3A28" w14:paraId="0C3E5ED4" w14:textId="77777777" w:rsidTr="00504029">
        <w:tc>
          <w:tcPr>
            <w:tcW w:w="2122" w:type="dxa"/>
            <w:vAlign w:val="center"/>
          </w:tcPr>
          <w:p w14:paraId="68D279AC"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ასაკი (წლები)</w:t>
            </w:r>
          </w:p>
        </w:tc>
        <w:tc>
          <w:tcPr>
            <w:tcW w:w="3827" w:type="dxa"/>
            <w:vAlign w:val="center"/>
          </w:tcPr>
          <w:p w14:paraId="6D929A44"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საშუალო MAC 100% O₂-ით</w:t>
            </w:r>
          </w:p>
        </w:tc>
        <w:tc>
          <w:tcPr>
            <w:tcW w:w="3067" w:type="dxa"/>
            <w:vAlign w:val="center"/>
          </w:tcPr>
          <w:p w14:paraId="2C351A4A"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საშუალო MAC 30% O₂ / 70% N₂O-თი</w:t>
            </w:r>
          </w:p>
        </w:tc>
      </w:tr>
      <w:tr w:rsidR="00504029" w:rsidRPr="00EC3A28" w14:paraId="6BEF978B" w14:textId="77777777" w:rsidTr="00504029">
        <w:tc>
          <w:tcPr>
            <w:tcW w:w="2122" w:type="dxa"/>
            <w:vAlign w:val="center"/>
          </w:tcPr>
          <w:p w14:paraId="4FC8AB9A"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19-30</w:t>
            </w:r>
          </w:p>
        </w:tc>
        <w:tc>
          <w:tcPr>
            <w:tcW w:w="3827" w:type="dxa"/>
            <w:vAlign w:val="center"/>
          </w:tcPr>
          <w:p w14:paraId="606C22D0"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1.28%</w:t>
            </w:r>
          </w:p>
        </w:tc>
        <w:tc>
          <w:tcPr>
            <w:tcW w:w="3067" w:type="dxa"/>
            <w:vAlign w:val="center"/>
          </w:tcPr>
          <w:p w14:paraId="2F8066AC"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0.56%</w:t>
            </w:r>
          </w:p>
        </w:tc>
      </w:tr>
      <w:tr w:rsidR="00504029" w:rsidRPr="00EC3A28" w14:paraId="67921910" w14:textId="77777777" w:rsidTr="00504029">
        <w:tc>
          <w:tcPr>
            <w:tcW w:w="2122" w:type="dxa"/>
            <w:vAlign w:val="center"/>
          </w:tcPr>
          <w:p w14:paraId="61959F23"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31-55</w:t>
            </w:r>
          </w:p>
        </w:tc>
        <w:tc>
          <w:tcPr>
            <w:tcW w:w="3827" w:type="dxa"/>
            <w:vAlign w:val="center"/>
          </w:tcPr>
          <w:p w14:paraId="4406F46E"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1.15%</w:t>
            </w:r>
          </w:p>
        </w:tc>
        <w:tc>
          <w:tcPr>
            <w:tcW w:w="3067" w:type="dxa"/>
            <w:vAlign w:val="center"/>
          </w:tcPr>
          <w:p w14:paraId="59DBFD52"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0.50%</w:t>
            </w:r>
          </w:p>
        </w:tc>
      </w:tr>
      <w:tr w:rsidR="00504029" w:rsidRPr="00EC3A28" w14:paraId="3A93EC44" w14:textId="77777777" w:rsidTr="00504029">
        <w:tc>
          <w:tcPr>
            <w:tcW w:w="2122" w:type="dxa"/>
            <w:vAlign w:val="center"/>
          </w:tcPr>
          <w:p w14:paraId="6AD878B1"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55-83</w:t>
            </w:r>
          </w:p>
        </w:tc>
        <w:tc>
          <w:tcPr>
            <w:tcW w:w="3827" w:type="dxa"/>
            <w:vAlign w:val="center"/>
          </w:tcPr>
          <w:p w14:paraId="0D9AFE23"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1.05%</w:t>
            </w:r>
          </w:p>
        </w:tc>
        <w:tc>
          <w:tcPr>
            <w:tcW w:w="3067" w:type="dxa"/>
            <w:vAlign w:val="center"/>
          </w:tcPr>
          <w:p w14:paraId="0E14447B"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0.37%</w:t>
            </w:r>
          </w:p>
        </w:tc>
      </w:tr>
    </w:tbl>
    <w:p w14:paraId="57DBAE6A" w14:textId="77777777" w:rsidR="00504029" w:rsidRPr="00EC3A28" w:rsidRDefault="00504029" w:rsidP="008D36EA">
      <w:pPr>
        <w:spacing w:after="0"/>
        <w:jc w:val="left"/>
        <w:rPr>
          <w:rFonts w:ascii="Times New Roman" w:hAnsi="Times New Roman" w:cs="Times New Roman"/>
          <w:sz w:val="24"/>
          <w:szCs w:val="24"/>
        </w:rPr>
      </w:pPr>
    </w:p>
    <w:p w14:paraId="21BEFDD0" w14:textId="77777777" w:rsidR="00504029" w:rsidRPr="00EC3A28" w:rsidRDefault="00504029"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ანესთეზიის ინდუქციური და შემანარჩუნებელი დოზები უნდა დარეგულირდეს პაციენტის ასაკისა და კლინიკური მდგომარეობის მიხედვით.</w:t>
      </w:r>
    </w:p>
    <w:p w14:paraId="371BDE38"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პრეპარატმა შეიძლება გამოიწვიოს დოზადამოკიდებული კორონარული ვაზოდილატაცია. მიოკარდიუმის არასაკმარისი პერფუზიის ნიშნების გამოსავლენად, მიღების დროს უნდა ჩატარდეს ჰემოდინამიკური მონიტორინგი (მაგ., ელექტროკარდიოგრამა, არტერიული წნევა). პაციენტებში, რომლებსაც აქვთ კორონარული არტერიის დაავადება, კლინიკური შეფასების საფუძველზე შეიძლება განიხილებოდეს გულის დამატებითი მონიტორინგი.</w:t>
      </w:r>
    </w:p>
    <w:p w14:paraId="4328D306"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დოზადამოკიდებული წესით ამცირებს სისტემურ სისხლძარღვოვან რეზისტენტობას და არტერიულ წნევას. განსაკუთრებული სიფრთხილეა საჭირო დოზის განსაზღვრისას ჰიპოვოლემიის, ჰიპოტენზიის ან თანმხლები მედიკამენტების გამო ჰემოდინამიკური დარღვევების მქონე პაციენტებში.</w:t>
      </w:r>
    </w:p>
    <w:p w14:paraId="10346E5D"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როგორც სხვა ჰალოგენირებული ანესთეტიკების შემთხვევაში, ხანმოკლე პერიოდებში განმეორებითმა მიღებამ შეიძლება გააძლიეროს ეფექტი ან გამოიწვიოს ღვიძლის ფუნქციის დარღვევა, განსაკუთრებით პაციენტებში, რომლებსაც აქვთ ღვიძლის დაავადება ან იღებენ ჰეპატოტოქსიურ მედიკამენტებს. განმეორებითი ზემოქმედების აუცილებლობის დასადგენად საჭიროა ინდივიდუალური შეფასება. როდესაც საჭიროა განმეორებითი ექსპოზიცია მოკლე ინტერვალში, დოზები უნდა დაკორექტირდეს კლინიკური ნიშნებისა და ანესთეზიის სიღრმის მიხედვით.</w:t>
      </w:r>
    </w:p>
    <w:p w14:paraId="467AAFD0"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პრეპარატის მიღებისას აღწერილია ალერგიული ტიპის ჰიპერმგრძნობელობის რეაქციები, მათ შორის ანაფილაქსია. ასეთ რეაქციებს შეიძლება მოიცავდეს ჰიპოტენზია, გამონაყარი, ქოშინი და გულ-სისხლძარღვთა კოლაფსი.</w:t>
      </w:r>
    </w:p>
    <w:p w14:paraId="6BB7AA15" w14:textId="77777777" w:rsidR="00504029" w:rsidRPr="00EC3A28" w:rsidRDefault="00504029" w:rsidP="008D36EA">
      <w:pPr>
        <w:spacing w:after="0"/>
        <w:jc w:val="left"/>
        <w:rPr>
          <w:rFonts w:ascii="Times New Roman" w:hAnsi="Times New Roman" w:cs="Times New Roman"/>
          <w:sz w:val="24"/>
          <w:szCs w:val="24"/>
        </w:rPr>
      </w:pPr>
    </w:p>
    <w:p w14:paraId="0004DA93" w14:textId="77777777" w:rsidR="00DE10C3" w:rsidRPr="00EC3A28" w:rsidRDefault="00DC349B"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წამლის ურთიერთქმედება</w:t>
      </w:r>
    </w:p>
    <w:p w14:paraId="5541DF17"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ინჰალაციური ანესთეტიკების სუქცინილქოლინთან კომბინაციაში </w:t>
      </w:r>
      <w:r w:rsidRPr="00EC3A28">
        <w:rPr>
          <w:rFonts w:ascii="Times New Roman" w:hAnsi="Times New Roman" w:cs="Times New Roman"/>
          <w:sz w:val="24"/>
          <w:szCs w:val="24"/>
        </w:rPr>
        <w:lastRenderedPageBreak/>
        <w:t>გამოყენება იშვიათ შემთხვევებში ასოცირდება შრატის კალიუმის დონის მატებასთან, რამაც შეიძლება გამოიწვიოს გულის არითმიები და სიკვდილი პედიატრიულ პაციენტებში ქირურგიული ჩარევის დროს.</w:t>
      </w:r>
    </w:p>
    <w:p w14:paraId="5B185D35"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აძლიერებს ყველა ხშირად გამოყენებული მიორელაქსაცის ეფექტს, ყველაზე დიდი ეფექტი კი დეპოლარიზებადი აგენტების გამოყენებისას შეინიშნება. ნეოსტიგმინი ცვლის დეპოლარიზებადი მიორელაქსაცის ეფექტს, მაგრამ არ მოქმედებს თავად ამ პრეპარატის რელაქსაციურ თვისებებზე. ზოგადად, ამ პრეპარატთან ერთად შეიძლება გამოყენებულ იქნას ყველა ხშირად გამოყენებული მიორელაქსაცის გამოყენება.</w:t>
      </w:r>
    </w:p>
    <w:p w14:paraId="50BC9883"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ბეტა-ადრენერგული აგონისტები, როგორიცაა იზოპრენალინი, და კატექოლამინები, მათ შორის ადრენალინი და ნორადრენალინი, სიფრთხილით უნდა იქნას გამოყენებული ამ პრეპარატით ანესთეზიის დროს, პარკუჭოვანი არითმიების პოტენციური რისკის გამო.</w:t>
      </w:r>
    </w:p>
    <w:p w14:paraId="6E33C6C2"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არასელექციური მონოამინოქსიდაზას (MAO) ინჰიბიტორები პერიოპერაციული კრიზის რისკს შეიცავს; რეკომენდებულია მათი შეწყვეტა ოპერაციამდე სულ მცირე ორი კვირით ადრე.</w:t>
      </w:r>
    </w:p>
    <w:p w14:paraId="535CF344"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CYP2E1-ის ინდუქტორებმა, როგორიცაა იზონიაზიდი და ალკოჰოლი, შეიძლება გააძლიერონ ამ პრეპარატის მეტაბოლიზმი, რაც მნიშვნელოვნად გაზრდის ფტორის კონცენტრაციას პლაზმაში.</w:t>
      </w:r>
    </w:p>
    <w:p w14:paraId="2FED5C09"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პრეპარატისა და იზონიაზიდის ერთდროულმა გამოყენებამ შეიძლება გაზარდოს ჰეპატოტოქსიურობის რისკი.</w:t>
      </w:r>
    </w:p>
    <w:p w14:paraId="3FF08110"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პრეპარატმა შეიძლება გამოიწვიოს ჰიპოტენზია კალციუმის არხების ბლოკატორების, განსაკუთრებით დიჰიდროპირიდინის წარმოებულების მიმღებ პაციენტებში.</w:t>
      </w:r>
    </w:p>
    <w:p w14:paraId="08941AB5"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კალციუმის არხების ბლოკატორების და ინჰალაციური ანესთეტიკების ერთდროულმა გამოყენებამ შეიძლება გაზარდოს უარყოფითი ინოტროპული ეფექტების დამატებითი რისკი; რეკომენდებულია სიფრთხილე.</w:t>
      </w:r>
    </w:p>
    <w:p w14:paraId="34D147B4"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ოპიოიდები, ბენზოდიაზეპინები და სხვა სედატიური საშუალებები დაკავშირებულია სუნთქვის დათრგუნვასთან; ამ პრეპარატთან ერთად გამოყენებისას საჭიროა ფრთხილად მონიტორინგი.</w:t>
      </w:r>
    </w:p>
    <w:p w14:paraId="5BB895D6"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ოპიოიდები ამცირებენ ამ პრეპარატის მინიმალურ ალვეოლურ კონცენტრაციას (MAC). ფენტანილთან ან მასთან დაკავშირებულ ოპიოიდებთან ერთდროულმა გამოყენებამ შეიძლება გამოიწვიოს დამატებითი ეფექტები, მათ შორის არტერიული წნევის და სუნთქვის სიხშირის შემცირება.</w:t>
      </w:r>
    </w:p>
    <w:p w14:paraId="53591D97"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აზოტის ოქსიდი ამცირებს ამ პრეპარატის MAC-ს.</w:t>
      </w:r>
    </w:p>
    <w:p w14:paraId="1CD10472"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ეს პრეპარატი აძლიერებს ყველა მიორელაქსანტის ეფექტს, ამცირებს ნეირომუსკულური ბლოკატორების საჭირო დოზას. წონასწორული ანესთეზიური კონცენტრაციების დროს, ატრაკურიუმის, როკურონიუმის და ვეკურონიუმის ED95 შემცირდა 25-40%-ით აზოტის ოქსიდით/ოპიოიდით ანესთეზიასთან შედარებით. დამატებითი რელაქსაციის საჭიროების </w:t>
      </w:r>
      <w:r w:rsidRPr="00EC3A28">
        <w:rPr>
          <w:rFonts w:ascii="Times New Roman" w:hAnsi="Times New Roman" w:cs="Times New Roman"/>
          <w:sz w:val="24"/>
          <w:szCs w:val="24"/>
        </w:rPr>
        <w:lastRenderedPageBreak/>
        <w:t>შემთხვევაში, შესაძლებელია დამატებითი მიორელაქსანტების მიღება.</w:t>
      </w:r>
    </w:p>
    <w:p w14:paraId="19A4540C" w14:textId="77777777" w:rsidR="00DE10C3"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ბეტა-ბლოკატორებთან ერთდროულმა გამოყენებამ შეიძლება გააძლიეროს ინჰალაციური ანესთეტიკების გულ-სისხლძარღვთა ეფექტები, მათ შორის ჰიპოტენზია და უარყოფითი ინოტროპული ეფექტები.</w:t>
      </w:r>
    </w:p>
    <w:p w14:paraId="5039008A" w14:textId="77777777" w:rsidR="00AD6B6F" w:rsidRPr="00EC3A28" w:rsidRDefault="00AD6B6F" w:rsidP="008D36EA">
      <w:pPr>
        <w:spacing w:after="0"/>
        <w:jc w:val="left"/>
        <w:rPr>
          <w:rFonts w:ascii="Times New Roman" w:hAnsi="Times New Roman" w:cs="Times New Roman"/>
          <w:sz w:val="24"/>
          <w:szCs w:val="24"/>
        </w:rPr>
      </w:pPr>
    </w:p>
    <w:p w14:paraId="35D6801B" w14:textId="77777777" w:rsidR="001032E1" w:rsidRPr="00EC3A28" w:rsidRDefault="001032E1"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ორსულობის დროს გამოყენება</w:t>
      </w:r>
    </w:p>
    <w:p w14:paraId="00FD5AB6" w14:textId="77777777" w:rsidR="001032E1" w:rsidRPr="00EC3A28" w:rsidRDefault="001032E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ცხოველებზე ჩატარებული კვლევებით, თაგვებში ამ პრეპარატის ადამიანის დოზაზე ექვსჯერ მეტი დოზით მიღება ანესთეზიასთან დაკავშირებული ემბრიოტოქსიკურობის პოტენციალზე მიუთითებდა. თუმცა, ორსულ ქალებში კვლევები არ ჩატარებულა.</w:t>
      </w:r>
    </w:p>
    <w:p w14:paraId="128DB5DC" w14:textId="77777777" w:rsidR="001032E1" w:rsidRPr="00EC3A28" w:rsidRDefault="001032E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ორსულობის დროს უნდა იქნას გამოყენებული მხოლოდ იმ შემთხვევაში, თუ პოტენციური სარგებელი აღემატება პოტენციურ რისკებს.</w:t>
      </w:r>
    </w:p>
    <w:p w14:paraId="6186862C" w14:textId="77777777" w:rsidR="001032E1" w:rsidRPr="00EC3A28" w:rsidRDefault="001032E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სხვა ინჰალაციური ანესთეტიკების მსგავსად, ამ პრეპარატმა შეიძლება გამოიწვიოს საშვილოსნოს რელაქსაცია, რაც ქმნის საშვილოსნოს სისხლდენის პოტენციურ რისკს. სამეანო ანესთეზიის დროს გამოყენებისას კლინიკური ნიშნები უნდა იყოს ყურადღებით მონიტორინგი. სამეანო პროცედურების დროს უნდა იქნას გათვალისწინებული ამ პრეპარატის ყველაზე დაბალი ეფექტური კონცენტრაცია.</w:t>
      </w:r>
    </w:p>
    <w:p w14:paraId="34D87D76" w14:textId="7F3441DE" w:rsidR="00AD6B6F" w:rsidRPr="003C4C08" w:rsidRDefault="001032E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იზოფლურანის 0.75%-მდე კონცენტრაცია უსაფრთხო და ეფექტური აღმოჩნდა საკეისრო კვეთის დროს ანესთეზიის შესანარჩუნებლად.</w:t>
      </w:r>
    </w:p>
    <w:p w14:paraId="7051DDA0" w14:textId="77777777" w:rsidR="001032E1" w:rsidRPr="00EC3A28" w:rsidRDefault="001032E1"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გამოყენება მეძუძურ დედებში</w:t>
      </w:r>
    </w:p>
    <w:p w14:paraId="74AB5679" w14:textId="12CFD3D8" w:rsidR="001032E1" w:rsidRPr="00EC3A28"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უცნობია, გამოიყოფა თუ არა ეს პრეპარატი ადამიანის დედის რძეში. თუმცა, რადგან ბევრი პრეპარატი გამოიყოფა დედის რძეში, მეძუძური დედებისთვის ამ პრეპარატის დანიშვნისას სიფრთხილეა საჭირო.</w:t>
      </w:r>
    </w:p>
    <w:p w14:paraId="6C2153F2" w14:textId="77777777" w:rsidR="001032E1" w:rsidRPr="00EC3A28" w:rsidRDefault="001032E1"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დოზის გადაჭარბება</w:t>
      </w:r>
    </w:p>
    <w:p w14:paraId="559E4BA5" w14:textId="77777777" w:rsidR="001032E1" w:rsidRPr="00EC3A28"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დოზის გადაჭარბების ან დოზის გადაჭარბების ეჭვის შემთხვევაში, შეწყვიტეთ მიღება, შეინარჩუნეთ სასუნთქი გზების გამტარობა და დაიწყეთ დამხმარე ან კონტროლირებადი ვენტილაცია სუფთა ჟანგბადით.</w:t>
      </w:r>
    </w:p>
    <w:p w14:paraId="1A2AF339" w14:textId="49FEB20D" w:rsidR="001032E1" w:rsidRPr="00EC3A28"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დაფიქსირდა ჰიპოტენზია და სუნთქვის დათრგუნვა. რეკომენდებულია არტერიული წნევის და სუნთქვის მკაცრი მონიტორინგი. შესაძლოა საჭირო გახდეს დამატებითი ჩარევები ზედმეტად ღრმა ანესთეზიით გამოწვეული ჰიპოტენზიის და სუნთქვის დათრგუნვის აღსადგენად.</w:t>
      </w:r>
    </w:p>
    <w:p w14:paraId="7CC197E9" w14:textId="77777777" w:rsidR="001032E1" w:rsidRPr="00EC3A28" w:rsidRDefault="001032E1"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გავლენა მანქანის მართვასა და მექანიზმებთან მუშაობაზე</w:t>
      </w:r>
    </w:p>
    <w:p w14:paraId="29EDCD6B" w14:textId="77777777" w:rsidR="001032E1"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პაციენტებს უნდა ეცნობოთ, რომ ამ პრეპარატით ანესთეზიიდან 2-4 დღის განმავლობაში შეიძლება დაქვეითდეს ყურადღების კონცენტრაციის მომთხოვნი დავალებების შესრულების უნარი, როგორიცაა მანქანის მართვა ან სახიფათო მექანიზმებთან მუშაობა. სხვა ანესთეტიკების მსგავსად, შესაძლოა განწყობისა და შრომისუნარიანობის მსუბუქი ცვლილებები განვითარდეს, რაც შეიძლება 6 დღემდე გაგრძელდეს.</w:t>
      </w:r>
    </w:p>
    <w:p w14:paraId="18958301" w14:textId="77777777" w:rsidR="003C4C08" w:rsidRPr="00EC3A28" w:rsidRDefault="003C4C08" w:rsidP="008D36EA">
      <w:pPr>
        <w:spacing w:after="0"/>
        <w:jc w:val="left"/>
        <w:rPr>
          <w:rFonts w:ascii="Times New Roman" w:hAnsi="Times New Roman" w:cs="Times New Roman"/>
          <w:sz w:val="24"/>
          <w:szCs w:val="24"/>
        </w:rPr>
      </w:pPr>
    </w:p>
    <w:p w14:paraId="22EE3A72" w14:textId="77777777" w:rsidR="001032E1" w:rsidRPr="00EC3A28" w:rsidRDefault="001032E1" w:rsidP="008D36EA">
      <w:pPr>
        <w:spacing w:after="0"/>
        <w:jc w:val="left"/>
        <w:rPr>
          <w:rFonts w:ascii="Times New Roman" w:hAnsi="Times New Roman" w:cs="Times New Roman"/>
          <w:sz w:val="24"/>
          <w:szCs w:val="24"/>
        </w:rPr>
      </w:pPr>
    </w:p>
    <w:p w14:paraId="2844E036" w14:textId="115AAE0C" w:rsidR="001032E1" w:rsidRPr="00EC3A28" w:rsidRDefault="001032E1"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სხვ</w:t>
      </w:r>
      <w:r w:rsidR="008D36EA">
        <w:rPr>
          <w:rFonts w:ascii="Sylfaen" w:hAnsi="Sylfaen" w:cs="Times New Roman"/>
          <w:b/>
          <w:sz w:val="24"/>
          <w:szCs w:val="24"/>
        </w:rPr>
        <w:t>ა</w:t>
      </w:r>
    </w:p>
    <w:p w14:paraId="755A4551" w14:textId="218E59FC" w:rsidR="000725BD" w:rsidRPr="00EC3A28" w:rsidRDefault="00BC7721" w:rsidP="008D36EA">
      <w:pPr>
        <w:spacing w:after="0"/>
        <w:jc w:val="left"/>
        <w:rPr>
          <w:rFonts w:ascii="Times New Roman" w:hAnsi="Times New Roman" w:cs="Times New Roman"/>
          <w:sz w:val="24"/>
          <w:szCs w:val="24"/>
        </w:rPr>
      </w:pPr>
      <w:r>
        <w:rPr>
          <w:rFonts w:ascii="Sylfaen" w:hAnsi="Sylfaen" w:cs="Times New Roman"/>
          <w:sz w:val="24"/>
          <w:szCs w:val="24"/>
          <w:lang w:val="ka-GE"/>
        </w:rPr>
        <w:lastRenderedPageBreak/>
        <w:t>ვირთა</w:t>
      </w:r>
      <w:proofErr w:type="spellStart"/>
      <w:r w:rsidR="001032E1" w:rsidRPr="00EC3A28">
        <w:rPr>
          <w:rFonts w:ascii="Times New Roman" w:hAnsi="Times New Roman" w:cs="Times New Roman"/>
          <w:sz w:val="24"/>
          <w:szCs w:val="24"/>
        </w:rPr>
        <w:t>გვებში</w:t>
      </w:r>
      <w:proofErr w:type="spellEnd"/>
      <w:r w:rsidR="001032E1" w:rsidRPr="00EC3A28">
        <w:rPr>
          <w:rFonts w:ascii="Times New Roman" w:hAnsi="Times New Roman" w:cs="Times New Roman"/>
          <w:sz w:val="24"/>
          <w:szCs w:val="24"/>
        </w:rPr>
        <w:t xml:space="preserve"> ჩატარებულ კვლევებში სიმსივნის შემთხვევები შედარებადი იყო არანამკურნალებ საკონტროლო ჯგუფებში დაფიქსირებულ მაჩვენებელთან.</w:t>
      </w:r>
    </w:p>
    <w:p w14:paraId="23221C21" w14:textId="77777777" w:rsidR="001032E1" w:rsidRPr="00EC3A28" w:rsidRDefault="001032E1" w:rsidP="008D36EA">
      <w:pPr>
        <w:spacing w:after="0"/>
        <w:jc w:val="left"/>
        <w:rPr>
          <w:rFonts w:ascii="Times New Roman" w:hAnsi="Times New Roman" w:cs="Times New Roman"/>
          <w:sz w:val="24"/>
          <w:szCs w:val="24"/>
        </w:rPr>
      </w:pPr>
    </w:p>
    <w:p w14:paraId="6E9DE072" w14:textId="77777777" w:rsidR="000725BD" w:rsidRPr="00EC3A28" w:rsidRDefault="000725BD" w:rsidP="008D36EA">
      <w:pPr>
        <w:spacing w:after="0"/>
        <w:jc w:val="left"/>
        <w:rPr>
          <w:rFonts w:ascii="Times New Roman" w:hAnsi="Times New Roman" w:cs="Times New Roman"/>
          <w:sz w:val="24"/>
          <w:szCs w:val="24"/>
        </w:rPr>
      </w:pPr>
    </w:p>
    <w:p w14:paraId="39B87A0A" w14:textId="4C4C08E3" w:rsidR="003E60D9" w:rsidRPr="00EC3A28" w:rsidRDefault="003E60D9" w:rsidP="008D36EA">
      <w:pPr>
        <w:spacing w:after="0"/>
        <w:jc w:val="left"/>
        <w:rPr>
          <w:rFonts w:ascii="Times New Roman" w:hAnsi="Times New Roman" w:cs="Times New Roman"/>
          <w:b/>
          <w:sz w:val="24"/>
          <w:szCs w:val="24"/>
        </w:rPr>
      </w:pPr>
      <w:r w:rsidRPr="00EC3A28">
        <w:rPr>
          <w:rFonts w:ascii="Times New Roman" w:hAnsi="Times New Roman" w:cs="Times New Roman"/>
          <w:b/>
          <w:sz w:val="24"/>
          <w:szCs w:val="24"/>
        </w:rPr>
        <w:t>[</w:t>
      </w:r>
      <w:r w:rsidR="00984935">
        <w:rPr>
          <w:rFonts w:ascii="Sylfaen" w:hAnsi="Sylfaen" w:cs="Times New Roman"/>
          <w:b/>
          <w:sz w:val="24"/>
          <w:szCs w:val="24"/>
        </w:rPr>
        <w:t>შენახვა</w:t>
      </w:r>
      <w:r w:rsidRPr="00EC3A28">
        <w:rPr>
          <w:rFonts w:ascii="Times New Roman" w:hAnsi="Times New Roman" w:cs="Times New Roman"/>
          <w:b/>
          <w:sz w:val="24"/>
          <w:szCs w:val="24"/>
        </w:rPr>
        <w:t>]</w:t>
      </w:r>
    </w:p>
    <w:p w14:paraId="752E9896" w14:textId="77777777" w:rsidR="00EF0549" w:rsidRPr="00EC3A28" w:rsidRDefault="00EF0549" w:rsidP="008D36EA">
      <w:pPr>
        <w:wordWrap/>
        <w:adjustRightInd w:val="0"/>
        <w:spacing w:after="0" w:line="240" w:lineRule="auto"/>
        <w:jc w:val="left"/>
        <w:rPr>
          <w:rFonts w:ascii="Times New Roman" w:hAnsi="Times New Roman" w:cs="Times New Roman"/>
          <w:sz w:val="24"/>
          <w:szCs w:val="24"/>
        </w:rPr>
      </w:pPr>
      <w:r w:rsidRPr="00EC3A28">
        <w:rPr>
          <w:rFonts w:ascii="Times New Roman" w:hAnsi="Times New Roman" w:cs="Times New Roman"/>
          <w:sz w:val="24"/>
          <w:szCs w:val="24"/>
        </w:rPr>
        <w:t>შეინახეთ 15-30°C ტემპერატურაზე, დახურულ კონტეინერში</w:t>
      </w:r>
    </w:p>
    <w:p w14:paraId="17A0B339" w14:textId="67333A60" w:rsidR="00D90EBF" w:rsidRPr="00EC3A28" w:rsidRDefault="00D90EBF" w:rsidP="008D36EA">
      <w:pPr>
        <w:wordWrap/>
        <w:adjustRightInd w:val="0"/>
        <w:spacing w:after="0" w:line="240" w:lineRule="auto"/>
        <w:jc w:val="left"/>
        <w:rPr>
          <w:rFonts w:ascii="Times New Roman" w:hAnsi="Times New Roman" w:cs="Times New Roman"/>
          <w:b/>
          <w:color w:val="000000"/>
          <w:kern w:val="0"/>
          <w:sz w:val="24"/>
          <w:szCs w:val="24"/>
        </w:rPr>
      </w:pPr>
      <w:r w:rsidRPr="00EC3A28">
        <w:rPr>
          <w:rFonts w:ascii="Times New Roman" w:hAnsi="Times New Roman" w:cs="Times New Roman"/>
          <w:color w:val="000000"/>
          <w:kern w:val="0"/>
          <w:sz w:val="24"/>
          <w:szCs w:val="24"/>
        </w:rPr>
        <w:t>და</w:t>
      </w:r>
      <w:r w:rsidR="008D36EA">
        <w:rPr>
          <w:rFonts w:ascii="Sylfaen" w:hAnsi="Sylfaen" w:cs="Times New Roman"/>
          <w:color w:val="000000"/>
          <w:kern w:val="0"/>
          <w:sz w:val="24"/>
          <w:szCs w:val="24"/>
        </w:rPr>
        <w:t xml:space="preserve">იცავით </w:t>
      </w:r>
      <w:r w:rsidRPr="00EC3A28">
        <w:rPr>
          <w:rFonts w:ascii="Times New Roman" w:hAnsi="Times New Roman" w:cs="Times New Roman"/>
          <w:color w:val="000000"/>
          <w:kern w:val="0"/>
          <w:sz w:val="24"/>
          <w:szCs w:val="24"/>
        </w:rPr>
        <w:t>სინათლისგან</w:t>
      </w:r>
    </w:p>
    <w:p w14:paraId="0B084796" w14:textId="77777777" w:rsidR="00341916" w:rsidRPr="00EC3A28" w:rsidRDefault="00341916" w:rsidP="008D36EA">
      <w:pPr>
        <w:spacing w:after="0"/>
        <w:jc w:val="left"/>
        <w:rPr>
          <w:rFonts w:ascii="Times New Roman" w:hAnsi="Times New Roman" w:cs="Times New Roman"/>
          <w:sz w:val="24"/>
          <w:szCs w:val="24"/>
        </w:rPr>
      </w:pPr>
    </w:p>
    <w:p w14:paraId="57AEE99B" w14:textId="023496D3" w:rsidR="003E60D9" w:rsidRPr="00EC3A28" w:rsidRDefault="003E60D9" w:rsidP="008D36EA">
      <w:pPr>
        <w:spacing w:after="0"/>
        <w:jc w:val="left"/>
        <w:rPr>
          <w:rFonts w:ascii="Times New Roman" w:hAnsi="Times New Roman" w:cs="Times New Roman"/>
          <w:b/>
          <w:sz w:val="24"/>
          <w:szCs w:val="24"/>
        </w:rPr>
      </w:pPr>
      <w:r w:rsidRPr="00EC3A28">
        <w:rPr>
          <w:rFonts w:ascii="Times New Roman" w:hAnsi="Times New Roman" w:cs="Times New Roman"/>
          <w:b/>
          <w:sz w:val="24"/>
          <w:szCs w:val="24"/>
        </w:rPr>
        <w:t>[შეფუთვ</w:t>
      </w:r>
      <w:r w:rsidR="00984935">
        <w:rPr>
          <w:rFonts w:ascii="Sylfaen" w:hAnsi="Sylfaen" w:cs="Times New Roman"/>
          <w:b/>
          <w:sz w:val="24"/>
          <w:szCs w:val="24"/>
        </w:rPr>
        <w:t>ა</w:t>
      </w:r>
      <w:r w:rsidRPr="00EC3A28">
        <w:rPr>
          <w:rFonts w:ascii="Times New Roman" w:hAnsi="Times New Roman" w:cs="Times New Roman"/>
          <w:b/>
          <w:sz w:val="24"/>
          <w:szCs w:val="24"/>
        </w:rPr>
        <w:t>]</w:t>
      </w:r>
    </w:p>
    <w:p w14:paraId="6C44CE46" w14:textId="77777777" w:rsidR="00D90EBF" w:rsidRPr="00EC3A28"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100 მლ × 1 ბოთლი</w:t>
      </w:r>
    </w:p>
    <w:p w14:paraId="26AA5402" w14:textId="77777777" w:rsidR="00EC3A28" w:rsidRDefault="00EC3A28" w:rsidP="008D36EA">
      <w:pPr>
        <w:spacing w:line="276" w:lineRule="auto"/>
        <w:jc w:val="left"/>
        <w:rPr>
          <w:rFonts w:ascii="Times New Roman" w:hAnsi="Times New Roman" w:cs="Times New Roman"/>
          <w:sz w:val="22"/>
        </w:rPr>
      </w:pPr>
    </w:p>
    <w:p w14:paraId="0793C83F" w14:textId="77777777" w:rsidR="00E454A3" w:rsidRPr="00E454A3" w:rsidRDefault="00E454A3" w:rsidP="00E454A3">
      <w:pPr>
        <w:spacing w:after="0" w:line="276" w:lineRule="auto"/>
        <w:jc w:val="left"/>
        <w:rPr>
          <w:rFonts w:ascii="Times New Roman" w:hAnsi="Times New Roman" w:cs="Times New Roman"/>
          <w:sz w:val="22"/>
        </w:rPr>
      </w:pPr>
    </w:p>
    <w:p w14:paraId="4B75DA99" w14:textId="77777777" w:rsidR="00E454A3" w:rsidRPr="00E454A3" w:rsidRDefault="00E454A3" w:rsidP="00E454A3">
      <w:pPr>
        <w:spacing w:after="0" w:line="276" w:lineRule="auto"/>
        <w:jc w:val="left"/>
        <w:rPr>
          <w:rFonts w:ascii="Times New Roman" w:hAnsi="Times New Roman" w:cs="Times New Roman"/>
          <w:sz w:val="22"/>
        </w:rPr>
      </w:pPr>
      <w:r w:rsidRPr="00E454A3">
        <w:rPr>
          <w:rFonts w:ascii="Times New Roman" w:hAnsi="Times New Roman" w:cs="Times New Roman"/>
          <w:sz w:val="22"/>
        </w:rPr>
        <w:t xml:space="preserve">※ </w:t>
      </w:r>
      <w:r w:rsidRPr="00E454A3">
        <w:rPr>
          <w:rFonts w:ascii="Sylfaen" w:hAnsi="Sylfaen" w:cs="Sylfaen"/>
          <w:sz w:val="22"/>
        </w:rPr>
        <w:t>ფარმაცევტული</w:t>
      </w:r>
      <w:r w:rsidRPr="00E454A3">
        <w:rPr>
          <w:rFonts w:ascii="Times New Roman" w:hAnsi="Times New Roman" w:cs="Times New Roman"/>
          <w:sz w:val="22"/>
        </w:rPr>
        <w:t xml:space="preserve"> </w:t>
      </w:r>
      <w:r w:rsidRPr="00E454A3">
        <w:rPr>
          <w:rFonts w:ascii="Sylfaen" w:hAnsi="Sylfaen" w:cs="Sylfaen"/>
          <w:sz w:val="22"/>
        </w:rPr>
        <w:t>ტერმინების</w:t>
      </w:r>
      <w:r w:rsidRPr="00E454A3">
        <w:rPr>
          <w:rFonts w:ascii="Times New Roman" w:hAnsi="Times New Roman" w:cs="Times New Roman"/>
          <w:sz w:val="22"/>
        </w:rPr>
        <w:t xml:space="preserve"> </w:t>
      </w:r>
      <w:r w:rsidRPr="00E454A3">
        <w:rPr>
          <w:rFonts w:ascii="Sylfaen" w:hAnsi="Sylfaen" w:cs="Sylfaen"/>
          <w:sz w:val="22"/>
        </w:rPr>
        <w:t>განმარტებებისა</w:t>
      </w:r>
      <w:r w:rsidRPr="00E454A3">
        <w:rPr>
          <w:rFonts w:ascii="Times New Roman" w:hAnsi="Times New Roman" w:cs="Times New Roman"/>
          <w:sz w:val="22"/>
        </w:rPr>
        <w:t xml:space="preserve"> </w:t>
      </w:r>
      <w:r w:rsidRPr="00E454A3">
        <w:rPr>
          <w:rFonts w:ascii="Sylfaen" w:hAnsi="Sylfaen" w:cs="Sylfaen"/>
          <w:sz w:val="22"/>
        </w:rPr>
        <w:t>და</w:t>
      </w:r>
      <w:r w:rsidRPr="00E454A3">
        <w:rPr>
          <w:rFonts w:ascii="Times New Roman" w:hAnsi="Times New Roman" w:cs="Times New Roman"/>
          <w:sz w:val="22"/>
        </w:rPr>
        <w:t xml:space="preserve"> </w:t>
      </w:r>
      <w:r w:rsidRPr="00E454A3">
        <w:rPr>
          <w:rFonts w:ascii="Sylfaen" w:hAnsi="Sylfaen" w:cs="Sylfaen"/>
          <w:sz w:val="22"/>
        </w:rPr>
        <w:t>სხვა</w:t>
      </w:r>
      <w:r w:rsidRPr="00E454A3">
        <w:rPr>
          <w:rFonts w:ascii="Times New Roman" w:hAnsi="Times New Roman" w:cs="Times New Roman"/>
          <w:sz w:val="22"/>
        </w:rPr>
        <w:t xml:space="preserve"> </w:t>
      </w:r>
      <w:r w:rsidRPr="00E454A3">
        <w:rPr>
          <w:rFonts w:ascii="Sylfaen" w:hAnsi="Sylfaen" w:cs="Sylfaen"/>
          <w:sz w:val="22"/>
        </w:rPr>
        <w:t>დეტალური</w:t>
      </w:r>
      <w:r w:rsidRPr="00E454A3">
        <w:rPr>
          <w:rFonts w:ascii="Times New Roman" w:hAnsi="Times New Roman" w:cs="Times New Roman"/>
          <w:sz w:val="22"/>
        </w:rPr>
        <w:t xml:space="preserve"> </w:t>
      </w:r>
      <w:r w:rsidRPr="00E454A3">
        <w:rPr>
          <w:rFonts w:ascii="Sylfaen" w:hAnsi="Sylfaen" w:cs="Sylfaen"/>
          <w:sz w:val="22"/>
        </w:rPr>
        <w:t>ინფორმაციისთვის</w:t>
      </w:r>
      <w:r w:rsidRPr="00E454A3">
        <w:rPr>
          <w:rFonts w:ascii="Times New Roman" w:hAnsi="Times New Roman" w:cs="Times New Roman"/>
          <w:sz w:val="22"/>
        </w:rPr>
        <w:t xml:space="preserve">, </w:t>
      </w:r>
      <w:r w:rsidRPr="00E454A3">
        <w:rPr>
          <w:rFonts w:ascii="Sylfaen" w:hAnsi="Sylfaen" w:cs="Sylfaen"/>
          <w:sz w:val="22"/>
        </w:rPr>
        <w:t>გთხოვთ</w:t>
      </w:r>
      <w:r w:rsidRPr="00E454A3">
        <w:rPr>
          <w:rFonts w:ascii="Times New Roman" w:hAnsi="Times New Roman" w:cs="Times New Roman"/>
          <w:sz w:val="22"/>
        </w:rPr>
        <w:t xml:space="preserve">, </w:t>
      </w:r>
      <w:r w:rsidRPr="00E454A3">
        <w:rPr>
          <w:rFonts w:ascii="Sylfaen" w:hAnsi="Sylfaen" w:cs="Sylfaen"/>
          <w:sz w:val="22"/>
        </w:rPr>
        <w:t>ეწვიოთ</w:t>
      </w:r>
      <w:r w:rsidRPr="00E454A3">
        <w:rPr>
          <w:rFonts w:ascii="Times New Roman" w:hAnsi="Times New Roman" w:cs="Times New Roman"/>
          <w:sz w:val="22"/>
        </w:rPr>
        <w:t xml:space="preserve"> Hana Pharm Co., Ltd.-</w:t>
      </w:r>
      <w:r w:rsidRPr="00E454A3">
        <w:rPr>
          <w:rFonts w:ascii="Sylfaen" w:hAnsi="Sylfaen" w:cs="Sylfaen"/>
          <w:sz w:val="22"/>
        </w:rPr>
        <w:t>ის</w:t>
      </w:r>
      <w:r w:rsidRPr="00E454A3">
        <w:rPr>
          <w:rFonts w:ascii="Times New Roman" w:hAnsi="Times New Roman" w:cs="Times New Roman"/>
          <w:sz w:val="22"/>
        </w:rPr>
        <w:t xml:space="preserve"> </w:t>
      </w:r>
      <w:r w:rsidRPr="00E454A3">
        <w:rPr>
          <w:rFonts w:ascii="Sylfaen" w:hAnsi="Sylfaen" w:cs="Sylfaen"/>
          <w:sz w:val="22"/>
        </w:rPr>
        <w:t>ვებგვერდს</w:t>
      </w:r>
      <w:r w:rsidRPr="00E454A3">
        <w:rPr>
          <w:rFonts w:ascii="Times New Roman" w:hAnsi="Times New Roman" w:cs="Times New Roman"/>
          <w:sz w:val="22"/>
        </w:rPr>
        <w:t xml:space="preserve"> (www.hanaph.co.kr ) </w:t>
      </w:r>
    </w:p>
    <w:p w14:paraId="035004E4" w14:textId="77777777" w:rsidR="00E454A3" w:rsidRPr="00E454A3" w:rsidRDefault="00E454A3" w:rsidP="00E454A3">
      <w:pPr>
        <w:spacing w:after="0" w:line="276" w:lineRule="auto"/>
        <w:jc w:val="left"/>
        <w:rPr>
          <w:rFonts w:ascii="Times New Roman" w:hAnsi="Times New Roman" w:cs="Times New Roman"/>
          <w:sz w:val="22"/>
        </w:rPr>
      </w:pPr>
      <w:r w:rsidRPr="00E454A3">
        <w:rPr>
          <w:rFonts w:ascii="Times New Roman" w:hAnsi="Times New Roman" w:cs="Times New Roman"/>
          <w:sz w:val="22"/>
        </w:rPr>
        <w:t xml:space="preserve">※ </w:t>
      </w:r>
      <w:r w:rsidRPr="00E454A3">
        <w:rPr>
          <w:rFonts w:ascii="Sylfaen" w:hAnsi="Sylfaen" w:cs="Sylfaen"/>
          <w:sz w:val="22"/>
        </w:rPr>
        <w:t>თუ</w:t>
      </w:r>
      <w:r w:rsidRPr="00E454A3">
        <w:rPr>
          <w:rFonts w:ascii="Times New Roman" w:hAnsi="Times New Roman" w:cs="Times New Roman"/>
          <w:sz w:val="22"/>
        </w:rPr>
        <w:t xml:space="preserve"> </w:t>
      </w:r>
      <w:r w:rsidRPr="00E454A3">
        <w:rPr>
          <w:rFonts w:ascii="Sylfaen" w:hAnsi="Sylfaen" w:cs="Sylfaen"/>
          <w:sz w:val="22"/>
        </w:rPr>
        <w:t>თქვენ</w:t>
      </w:r>
      <w:r w:rsidRPr="00E454A3">
        <w:rPr>
          <w:rFonts w:ascii="Times New Roman" w:hAnsi="Times New Roman" w:cs="Times New Roman"/>
          <w:sz w:val="22"/>
        </w:rPr>
        <w:t xml:space="preserve"> </w:t>
      </w:r>
      <w:r w:rsidRPr="00E454A3">
        <w:rPr>
          <w:rFonts w:ascii="Sylfaen" w:hAnsi="Sylfaen" w:cs="Sylfaen"/>
          <w:sz w:val="22"/>
        </w:rPr>
        <w:t>შეიძინეთ</w:t>
      </w:r>
      <w:r w:rsidRPr="00E454A3">
        <w:rPr>
          <w:rFonts w:ascii="Times New Roman" w:hAnsi="Times New Roman" w:cs="Times New Roman"/>
          <w:sz w:val="22"/>
        </w:rPr>
        <w:t xml:space="preserve"> </w:t>
      </w:r>
      <w:r w:rsidRPr="00E454A3">
        <w:rPr>
          <w:rFonts w:ascii="Sylfaen" w:hAnsi="Sylfaen" w:cs="Sylfaen"/>
          <w:sz w:val="22"/>
        </w:rPr>
        <w:t>ვადაგასული</w:t>
      </w:r>
      <w:r w:rsidRPr="00E454A3">
        <w:rPr>
          <w:rFonts w:ascii="Times New Roman" w:hAnsi="Times New Roman" w:cs="Times New Roman"/>
          <w:sz w:val="22"/>
        </w:rPr>
        <w:t xml:space="preserve">, </w:t>
      </w:r>
      <w:r w:rsidRPr="00E454A3">
        <w:rPr>
          <w:rFonts w:ascii="Sylfaen" w:hAnsi="Sylfaen" w:cs="Sylfaen"/>
          <w:sz w:val="22"/>
        </w:rPr>
        <w:t>გაფუჭებული</w:t>
      </w:r>
      <w:r w:rsidRPr="00E454A3">
        <w:rPr>
          <w:rFonts w:ascii="Times New Roman" w:hAnsi="Times New Roman" w:cs="Times New Roman"/>
          <w:sz w:val="22"/>
        </w:rPr>
        <w:t xml:space="preserve">, </w:t>
      </w:r>
      <w:r w:rsidRPr="00E454A3">
        <w:rPr>
          <w:rFonts w:ascii="Sylfaen" w:hAnsi="Sylfaen" w:cs="Sylfaen"/>
          <w:sz w:val="22"/>
        </w:rPr>
        <w:t>გაფუჭებული</w:t>
      </w:r>
      <w:r w:rsidRPr="00E454A3">
        <w:rPr>
          <w:rFonts w:ascii="Times New Roman" w:hAnsi="Times New Roman" w:cs="Times New Roman"/>
          <w:sz w:val="22"/>
        </w:rPr>
        <w:t xml:space="preserve"> </w:t>
      </w:r>
      <w:r w:rsidRPr="00E454A3">
        <w:rPr>
          <w:rFonts w:ascii="Sylfaen" w:hAnsi="Sylfaen" w:cs="Sylfaen"/>
          <w:sz w:val="22"/>
        </w:rPr>
        <w:t>ან</w:t>
      </w:r>
      <w:r w:rsidRPr="00E454A3">
        <w:rPr>
          <w:rFonts w:ascii="Times New Roman" w:hAnsi="Times New Roman" w:cs="Times New Roman"/>
          <w:sz w:val="22"/>
        </w:rPr>
        <w:t xml:space="preserve"> </w:t>
      </w:r>
      <w:r w:rsidRPr="00E454A3">
        <w:rPr>
          <w:rFonts w:ascii="Sylfaen" w:hAnsi="Sylfaen" w:cs="Sylfaen"/>
          <w:sz w:val="22"/>
        </w:rPr>
        <w:t>დაზიანებული</w:t>
      </w:r>
      <w:r w:rsidRPr="00E454A3">
        <w:rPr>
          <w:rFonts w:ascii="Times New Roman" w:hAnsi="Times New Roman" w:cs="Times New Roman"/>
          <w:sz w:val="22"/>
        </w:rPr>
        <w:t xml:space="preserve"> </w:t>
      </w:r>
      <w:r w:rsidRPr="00E454A3">
        <w:rPr>
          <w:rFonts w:ascii="Sylfaen" w:hAnsi="Sylfaen" w:cs="Sylfaen"/>
          <w:sz w:val="22"/>
        </w:rPr>
        <w:t>პროდუქტი</w:t>
      </w:r>
    </w:p>
    <w:p w14:paraId="2FD8421F" w14:textId="77777777" w:rsidR="00E454A3" w:rsidRPr="00E454A3" w:rsidRDefault="00E454A3" w:rsidP="00E454A3">
      <w:pPr>
        <w:spacing w:after="0" w:line="276" w:lineRule="auto"/>
        <w:jc w:val="left"/>
        <w:rPr>
          <w:rFonts w:ascii="Times New Roman" w:hAnsi="Times New Roman" w:cs="Times New Roman"/>
          <w:sz w:val="22"/>
        </w:rPr>
      </w:pPr>
      <w:r w:rsidRPr="00E454A3">
        <w:rPr>
          <w:rFonts w:ascii="Sylfaen" w:hAnsi="Sylfaen" w:cs="Sylfaen"/>
          <w:sz w:val="22"/>
        </w:rPr>
        <w:t>გაცვლა</w:t>
      </w:r>
      <w:r w:rsidRPr="00E454A3">
        <w:rPr>
          <w:rFonts w:ascii="Times New Roman" w:hAnsi="Times New Roman" w:cs="Times New Roman"/>
          <w:sz w:val="22"/>
        </w:rPr>
        <w:t xml:space="preserve"> </w:t>
      </w:r>
      <w:r w:rsidRPr="00E454A3">
        <w:rPr>
          <w:rFonts w:ascii="Sylfaen" w:hAnsi="Sylfaen" w:cs="Sylfaen"/>
          <w:sz w:val="22"/>
        </w:rPr>
        <w:t>მოხდება</w:t>
      </w:r>
      <w:r w:rsidRPr="00E454A3">
        <w:rPr>
          <w:rFonts w:ascii="Times New Roman" w:hAnsi="Times New Roman" w:cs="Times New Roman"/>
          <w:sz w:val="22"/>
        </w:rPr>
        <w:t xml:space="preserve"> </w:t>
      </w:r>
      <w:r w:rsidRPr="00E454A3">
        <w:rPr>
          <w:rFonts w:ascii="Sylfaen" w:hAnsi="Sylfaen" w:cs="Sylfaen"/>
          <w:sz w:val="22"/>
        </w:rPr>
        <w:t>შეძენის</w:t>
      </w:r>
      <w:r w:rsidRPr="00E454A3">
        <w:rPr>
          <w:rFonts w:ascii="Times New Roman" w:hAnsi="Times New Roman" w:cs="Times New Roman"/>
          <w:sz w:val="22"/>
        </w:rPr>
        <w:t xml:space="preserve"> </w:t>
      </w:r>
      <w:r w:rsidRPr="00E454A3">
        <w:rPr>
          <w:rFonts w:ascii="Sylfaen" w:hAnsi="Sylfaen" w:cs="Sylfaen"/>
          <w:sz w:val="22"/>
        </w:rPr>
        <w:t>ადგილზე</w:t>
      </w:r>
      <w:r w:rsidRPr="00E454A3">
        <w:rPr>
          <w:rFonts w:ascii="Times New Roman" w:hAnsi="Times New Roman" w:cs="Times New Roman"/>
          <w:sz w:val="22"/>
        </w:rPr>
        <w:t>.</w:t>
      </w:r>
    </w:p>
    <w:p w14:paraId="166D67F3" w14:textId="77777777" w:rsidR="00E454A3" w:rsidRPr="00E454A3" w:rsidRDefault="00E454A3" w:rsidP="00E454A3">
      <w:pPr>
        <w:spacing w:after="0" w:line="276" w:lineRule="auto"/>
        <w:jc w:val="left"/>
        <w:rPr>
          <w:rFonts w:ascii="Times New Roman" w:hAnsi="Times New Roman" w:cs="Times New Roman"/>
          <w:sz w:val="22"/>
        </w:rPr>
      </w:pPr>
      <w:r w:rsidRPr="00E454A3">
        <w:rPr>
          <w:rFonts w:ascii="Times New Roman" w:hAnsi="Times New Roman" w:cs="Times New Roman"/>
          <w:sz w:val="22"/>
        </w:rPr>
        <w:t xml:space="preserve">※ </w:t>
      </w:r>
      <w:r w:rsidRPr="00E454A3">
        <w:rPr>
          <w:rFonts w:ascii="Sylfaen" w:hAnsi="Sylfaen" w:cs="Sylfaen"/>
          <w:sz w:val="22"/>
        </w:rPr>
        <w:t>მომხმარებელთა</w:t>
      </w:r>
      <w:r w:rsidRPr="00E454A3">
        <w:rPr>
          <w:rFonts w:ascii="Times New Roman" w:hAnsi="Times New Roman" w:cs="Times New Roman"/>
          <w:sz w:val="22"/>
        </w:rPr>
        <w:t xml:space="preserve"> </w:t>
      </w:r>
      <w:r w:rsidRPr="00E454A3">
        <w:rPr>
          <w:rFonts w:ascii="Sylfaen" w:hAnsi="Sylfaen" w:cs="Sylfaen"/>
          <w:sz w:val="22"/>
        </w:rPr>
        <w:t>მომსახურება</w:t>
      </w:r>
      <w:r w:rsidRPr="00E454A3">
        <w:rPr>
          <w:rFonts w:ascii="Times New Roman" w:hAnsi="Times New Roman" w:cs="Times New Roman"/>
          <w:sz w:val="22"/>
        </w:rPr>
        <w:t>: 080-577-8004 (</w:t>
      </w:r>
      <w:r w:rsidRPr="00E454A3">
        <w:rPr>
          <w:rFonts w:ascii="Sylfaen" w:hAnsi="Sylfaen" w:cs="Sylfaen"/>
          <w:sz w:val="22"/>
        </w:rPr>
        <w:t>უფასო</w:t>
      </w:r>
      <w:r w:rsidRPr="00E454A3">
        <w:rPr>
          <w:rFonts w:ascii="Times New Roman" w:hAnsi="Times New Roman" w:cs="Times New Roman"/>
          <w:sz w:val="22"/>
        </w:rPr>
        <w:t xml:space="preserve"> </w:t>
      </w:r>
      <w:r w:rsidRPr="00E454A3">
        <w:rPr>
          <w:rFonts w:ascii="Sylfaen" w:hAnsi="Sylfaen" w:cs="Sylfaen"/>
          <w:sz w:val="22"/>
        </w:rPr>
        <w:t>ზარი</w:t>
      </w:r>
      <w:r w:rsidRPr="00E454A3">
        <w:rPr>
          <w:rFonts w:ascii="Times New Roman" w:hAnsi="Times New Roman" w:cs="Times New Roman"/>
          <w:sz w:val="22"/>
        </w:rPr>
        <w:t>)</w:t>
      </w:r>
    </w:p>
    <w:p w14:paraId="1F735D8A" w14:textId="7E3980BB" w:rsidR="00E454A3" w:rsidRDefault="00E454A3" w:rsidP="00E454A3">
      <w:pPr>
        <w:spacing w:after="0" w:line="276" w:lineRule="auto"/>
        <w:jc w:val="left"/>
        <w:rPr>
          <w:rFonts w:ascii="Times New Roman" w:hAnsi="Times New Roman" w:cs="Times New Roman"/>
          <w:sz w:val="22"/>
        </w:rPr>
      </w:pPr>
      <w:r w:rsidRPr="00E454A3">
        <w:rPr>
          <w:rFonts w:ascii="Times New Roman" w:hAnsi="Times New Roman" w:cs="Times New Roman"/>
          <w:sz w:val="22"/>
        </w:rPr>
        <w:t xml:space="preserve">※ </w:t>
      </w:r>
      <w:r w:rsidRPr="00E454A3">
        <w:rPr>
          <w:rFonts w:ascii="Sylfaen" w:hAnsi="Sylfaen" w:cs="Sylfaen"/>
          <w:sz w:val="22"/>
        </w:rPr>
        <w:t>გვერდითი</w:t>
      </w:r>
      <w:r w:rsidRPr="00E454A3">
        <w:rPr>
          <w:rFonts w:ascii="Times New Roman" w:hAnsi="Times New Roman" w:cs="Times New Roman"/>
          <w:sz w:val="22"/>
        </w:rPr>
        <w:t xml:space="preserve"> </w:t>
      </w:r>
      <w:r w:rsidRPr="00E454A3">
        <w:rPr>
          <w:rFonts w:ascii="Sylfaen" w:hAnsi="Sylfaen" w:cs="Sylfaen"/>
          <w:sz w:val="22"/>
        </w:rPr>
        <w:t>მოვლენებით</w:t>
      </w:r>
      <w:r w:rsidRPr="00E454A3">
        <w:rPr>
          <w:rFonts w:ascii="Times New Roman" w:hAnsi="Times New Roman" w:cs="Times New Roman"/>
          <w:sz w:val="22"/>
        </w:rPr>
        <w:t xml:space="preserve"> </w:t>
      </w:r>
      <w:r w:rsidRPr="00E454A3">
        <w:rPr>
          <w:rFonts w:ascii="Sylfaen" w:hAnsi="Sylfaen" w:cs="Sylfaen"/>
          <w:sz w:val="22"/>
        </w:rPr>
        <w:t>გამოწვეული</w:t>
      </w:r>
      <w:r w:rsidRPr="00E454A3">
        <w:rPr>
          <w:rFonts w:ascii="Times New Roman" w:hAnsi="Times New Roman" w:cs="Times New Roman"/>
          <w:sz w:val="22"/>
        </w:rPr>
        <w:t xml:space="preserve"> </w:t>
      </w:r>
      <w:r w:rsidRPr="00E454A3">
        <w:rPr>
          <w:rFonts w:ascii="Sylfaen" w:hAnsi="Sylfaen" w:cs="Sylfaen"/>
          <w:sz w:val="22"/>
        </w:rPr>
        <w:t>ზიანის</w:t>
      </w:r>
      <w:r w:rsidRPr="00E454A3">
        <w:rPr>
          <w:rFonts w:ascii="Times New Roman" w:hAnsi="Times New Roman" w:cs="Times New Roman"/>
          <w:sz w:val="22"/>
        </w:rPr>
        <w:t xml:space="preserve"> </w:t>
      </w:r>
      <w:r w:rsidRPr="00E454A3">
        <w:rPr>
          <w:rFonts w:ascii="Sylfaen" w:hAnsi="Sylfaen" w:cs="Sylfaen"/>
          <w:sz w:val="22"/>
        </w:rPr>
        <w:t>კომპენსაციის</w:t>
      </w:r>
      <w:r w:rsidRPr="00E454A3">
        <w:rPr>
          <w:rFonts w:ascii="Times New Roman" w:hAnsi="Times New Roman" w:cs="Times New Roman"/>
          <w:sz w:val="22"/>
        </w:rPr>
        <w:t xml:space="preserve"> </w:t>
      </w:r>
      <w:r w:rsidRPr="00E454A3">
        <w:rPr>
          <w:rFonts w:ascii="Sylfaen" w:hAnsi="Sylfaen" w:cs="Sylfaen"/>
          <w:sz w:val="22"/>
        </w:rPr>
        <w:t>მისაღებად</w:t>
      </w:r>
      <w:r w:rsidRPr="00E454A3">
        <w:rPr>
          <w:rFonts w:ascii="Times New Roman" w:hAnsi="Times New Roman" w:cs="Times New Roman"/>
          <w:sz w:val="22"/>
        </w:rPr>
        <w:t xml:space="preserve">, </w:t>
      </w:r>
      <w:r w:rsidRPr="00E454A3">
        <w:rPr>
          <w:rFonts w:ascii="Sylfaen" w:hAnsi="Sylfaen" w:cs="Sylfaen"/>
          <w:sz w:val="22"/>
        </w:rPr>
        <w:t>გთხოვთ</w:t>
      </w:r>
      <w:r w:rsidRPr="00E454A3">
        <w:rPr>
          <w:rFonts w:ascii="Times New Roman" w:hAnsi="Times New Roman" w:cs="Times New Roman"/>
          <w:sz w:val="22"/>
        </w:rPr>
        <w:t xml:space="preserve">, </w:t>
      </w:r>
      <w:r w:rsidRPr="00E454A3">
        <w:rPr>
          <w:rFonts w:ascii="Sylfaen" w:hAnsi="Sylfaen" w:cs="Sylfaen"/>
          <w:sz w:val="22"/>
        </w:rPr>
        <w:t>დაუკავშირდეთ</w:t>
      </w:r>
      <w:r w:rsidRPr="00E454A3">
        <w:rPr>
          <w:rFonts w:ascii="Times New Roman" w:hAnsi="Times New Roman" w:cs="Times New Roman"/>
          <w:sz w:val="22"/>
        </w:rPr>
        <w:t xml:space="preserve"> </w:t>
      </w:r>
      <w:r w:rsidRPr="00E454A3">
        <w:rPr>
          <w:rFonts w:ascii="Sylfaen" w:hAnsi="Sylfaen" w:cs="Sylfaen"/>
          <w:sz w:val="22"/>
        </w:rPr>
        <w:t>კორეის</w:t>
      </w:r>
      <w:r w:rsidRPr="00E454A3">
        <w:rPr>
          <w:rFonts w:ascii="Times New Roman" w:hAnsi="Times New Roman" w:cs="Times New Roman"/>
          <w:sz w:val="22"/>
        </w:rPr>
        <w:t xml:space="preserve"> </w:t>
      </w:r>
      <w:r w:rsidRPr="00E454A3">
        <w:rPr>
          <w:rFonts w:ascii="Sylfaen" w:hAnsi="Sylfaen" w:cs="Sylfaen"/>
          <w:sz w:val="22"/>
        </w:rPr>
        <w:t>სურსათისა</w:t>
      </w:r>
      <w:r w:rsidRPr="00E454A3">
        <w:rPr>
          <w:rFonts w:ascii="Times New Roman" w:hAnsi="Times New Roman" w:cs="Times New Roman"/>
          <w:sz w:val="22"/>
        </w:rPr>
        <w:t xml:space="preserve"> </w:t>
      </w:r>
      <w:r w:rsidRPr="00E454A3">
        <w:rPr>
          <w:rFonts w:ascii="Sylfaen" w:hAnsi="Sylfaen" w:cs="Sylfaen"/>
          <w:sz w:val="22"/>
        </w:rPr>
        <w:t>და</w:t>
      </w:r>
      <w:r w:rsidRPr="00E454A3">
        <w:rPr>
          <w:rFonts w:ascii="Times New Roman" w:hAnsi="Times New Roman" w:cs="Times New Roman"/>
          <w:sz w:val="22"/>
        </w:rPr>
        <w:t xml:space="preserve"> </w:t>
      </w:r>
      <w:r w:rsidRPr="00E454A3">
        <w:rPr>
          <w:rFonts w:ascii="Sylfaen" w:hAnsi="Sylfaen" w:cs="Sylfaen"/>
          <w:sz w:val="22"/>
        </w:rPr>
        <w:t>წამლის</w:t>
      </w:r>
      <w:r w:rsidRPr="00E454A3">
        <w:rPr>
          <w:rFonts w:ascii="Times New Roman" w:hAnsi="Times New Roman" w:cs="Times New Roman"/>
          <w:sz w:val="22"/>
        </w:rPr>
        <w:t xml:space="preserve"> </w:t>
      </w:r>
      <w:r w:rsidRPr="00E454A3">
        <w:rPr>
          <w:rFonts w:ascii="Sylfaen" w:hAnsi="Sylfaen" w:cs="Sylfaen"/>
          <w:sz w:val="22"/>
        </w:rPr>
        <w:t>ადმინისტრაციას</w:t>
      </w:r>
      <w:r w:rsidRPr="00E454A3">
        <w:rPr>
          <w:rFonts w:ascii="Times New Roman" w:hAnsi="Times New Roman" w:cs="Times New Roman"/>
          <w:sz w:val="22"/>
        </w:rPr>
        <w:t xml:space="preserve"> (1644-6223, 14-3330).</w:t>
      </w:r>
    </w:p>
    <w:p w14:paraId="2A941819" w14:textId="77777777" w:rsidR="00E454A3" w:rsidRDefault="00E454A3" w:rsidP="00E454A3">
      <w:pPr>
        <w:spacing w:after="0" w:line="276" w:lineRule="auto"/>
        <w:jc w:val="left"/>
        <w:rPr>
          <w:rFonts w:ascii="Times New Roman" w:hAnsi="Times New Roman" w:cs="Times New Roman"/>
          <w:sz w:val="22"/>
        </w:rPr>
      </w:pPr>
    </w:p>
    <w:p w14:paraId="0D0B3337" w14:textId="33536BF0" w:rsidR="000019F4" w:rsidRDefault="00EC3A28" w:rsidP="00D11160">
      <w:pPr>
        <w:spacing w:after="0" w:line="276" w:lineRule="auto"/>
        <w:rPr>
          <w:rFonts w:ascii="Times New Roman" w:hAnsi="Times New Roman" w:cs="Times New Roman"/>
          <w:sz w:val="22"/>
        </w:rPr>
      </w:pPr>
      <w:r>
        <w:rPr>
          <w:rFonts w:ascii="Times New Roman" w:hAnsi="Times New Roman" w:cs="Times New Roman"/>
          <w:sz w:val="22"/>
        </w:rPr>
        <w:t>მომზადების თარიღი: 2008.02</w:t>
      </w:r>
      <w:r>
        <w:rPr>
          <w:rFonts w:ascii="Times New Roman" w:hAnsi="Times New Roman" w:cs="Times New Roman" w:hint="eastAsia"/>
          <w:sz w:val="22"/>
        </w:rPr>
        <w:t>.</w:t>
      </w:r>
    </w:p>
    <w:p w14:paraId="3684BC2B" w14:textId="0FAD4FC7" w:rsidR="00D11160" w:rsidRDefault="00EC3A28" w:rsidP="00D11160">
      <w:pPr>
        <w:spacing w:after="0" w:line="276" w:lineRule="auto"/>
        <w:rPr>
          <w:rFonts w:ascii="Times New Roman" w:hAnsi="Times New Roman" w:cs="Times New Roman"/>
          <w:sz w:val="22"/>
        </w:rPr>
      </w:pPr>
      <w:r>
        <w:rPr>
          <w:rFonts w:ascii="Times New Roman" w:hAnsi="Times New Roman" w:cs="Times New Roman"/>
          <w:sz w:val="22"/>
        </w:rPr>
        <w:t xml:space="preserve">გადახედვის თარიღი: 2026.05.11. </w:t>
      </w:r>
      <w:r>
        <w:rPr>
          <w:rFonts w:ascii="Times New Roman" w:hAnsi="Times New Roman" w:cs="Times New Roman" w:hint="eastAsia"/>
          <w:sz w:val="22"/>
        </w:rPr>
        <w:t xml:space="preserve">&lt; </w:t>
      </w:r>
      <w:r>
        <w:rPr>
          <w:rFonts w:ascii="Times New Roman" w:hAnsi="Times New Roman" w:cs="Times New Roman"/>
          <w:sz w:val="22"/>
        </w:rPr>
        <w:t xml:space="preserve">H08 </w:t>
      </w:r>
      <w:r>
        <w:rPr>
          <w:rFonts w:ascii="Times New Roman" w:hAnsi="Times New Roman" w:cs="Times New Roman" w:hint="eastAsia"/>
          <w:sz w:val="22"/>
        </w:rPr>
        <w:t>&gt;</w:t>
      </w:r>
    </w:p>
    <w:p w14:paraId="18870550" w14:textId="77777777" w:rsidR="00D11160" w:rsidRDefault="00D11160" w:rsidP="00D11160">
      <w:pPr>
        <w:spacing w:after="0" w:line="276" w:lineRule="auto"/>
        <w:rPr>
          <w:rFonts w:ascii="Times New Roman" w:hAnsi="Times New Roman" w:cs="Times New Roman"/>
          <w:sz w:val="22"/>
        </w:rPr>
      </w:pPr>
    </w:p>
    <w:p w14:paraId="69183D51" w14:textId="77777777" w:rsidR="00D11160" w:rsidRDefault="00D11160" w:rsidP="00D11160">
      <w:pPr>
        <w:spacing w:after="0" w:line="276" w:lineRule="auto"/>
        <w:jc w:val="left"/>
        <w:rPr>
          <w:rFonts w:ascii="Times New Roman" w:hAnsi="Times New Roman" w:cs="Times New Roman"/>
          <w:sz w:val="22"/>
        </w:rPr>
      </w:pPr>
    </w:p>
    <w:p w14:paraId="4E16A7E1" w14:textId="35020627" w:rsidR="00D11160" w:rsidRPr="008F3B72" w:rsidRDefault="008F3B72" w:rsidP="00D11160">
      <w:pPr>
        <w:spacing w:after="0" w:line="276" w:lineRule="auto"/>
        <w:jc w:val="left"/>
        <w:rPr>
          <w:rFonts w:ascii="Sylfaen" w:hAnsi="Sylfaen" w:cs="Times New Roman"/>
          <w:sz w:val="22"/>
        </w:rPr>
      </w:pPr>
      <w:r>
        <w:rPr>
          <w:rFonts w:ascii="Sylfaen" w:hAnsi="Sylfaen" w:cs="Times New Roman"/>
          <w:sz w:val="22"/>
        </w:rPr>
        <w:t>მწარმოებელი*დისტრიბუტორი</w:t>
      </w:r>
    </w:p>
    <w:p w14:paraId="56335215" w14:textId="77777777" w:rsidR="00D11160" w:rsidRPr="00D30AF7" w:rsidRDefault="00D11160" w:rsidP="00D11160">
      <w:pPr>
        <w:spacing w:after="0" w:line="276" w:lineRule="auto"/>
        <w:rPr>
          <w:rFonts w:ascii="Times New Roman" w:hAnsi="Times New Roman" w:cs="Times New Roman"/>
          <w:b/>
          <w:sz w:val="22"/>
        </w:rPr>
      </w:pPr>
      <w:r w:rsidRPr="00D30AF7">
        <w:rPr>
          <w:rFonts w:ascii="Times New Roman" w:hAnsi="Times New Roman" w:cs="Times New Roman" w:hint="eastAsia"/>
          <w:b/>
          <w:sz w:val="22"/>
        </w:rPr>
        <w:t>Hana</w:t>
      </w:r>
      <w:r w:rsidRPr="00D30AF7">
        <w:rPr>
          <w:rFonts w:ascii="Times New Roman" w:hAnsi="Times New Roman" w:cs="Times New Roman"/>
          <w:b/>
          <w:sz w:val="22"/>
        </w:rPr>
        <w:t xml:space="preserve"> </w:t>
      </w:r>
      <w:r w:rsidRPr="00D30AF7">
        <w:rPr>
          <w:rFonts w:ascii="Times New Roman" w:hAnsi="Times New Roman" w:cs="Times New Roman" w:hint="eastAsia"/>
          <w:b/>
          <w:sz w:val="22"/>
        </w:rPr>
        <w:t>Pharm.</w:t>
      </w:r>
      <w:r w:rsidRPr="00D30AF7">
        <w:rPr>
          <w:rFonts w:ascii="Times New Roman" w:hAnsi="Times New Roman" w:cs="Times New Roman"/>
          <w:b/>
          <w:sz w:val="22"/>
        </w:rPr>
        <w:t xml:space="preserve"> </w:t>
      </w:r>
      <w:r w:rsidRPr="00D30AF7">
        <w:rPr>
          <w:rFonts w:ascii="Times New Roman" w:hAnsi="Times New Roman" w:cs="Times New Roman" w:hint="eastAsia"/>
          <w:b/>
          <w:sz w:val="22"/>
        </w:rPr>
        <w:t>Co.,</w:t>
      </w:r>
      <w:r w:rsidRPr="00D30AF7">
        <w:rPr>
          <w:rFonts w:ascii="Times New Roman" w:hAnsi="Times New Roman" w:cs="Times New Roman"/>
          <w:b/>
          <w:sz w:val="22"/>
        </w:rPr>
        <w:t xml:space="preserve"> </w:t>
      </w:r>
      <w:r w:rsidRPr="00D30AF7">
        <w:rPr>
          <w:rFonts w:ascii="Times New Roman" w:hAnsi="Times New Roman" w:cs="Times New Roman" w:hint="eastAsia"/>
          <w:b/>
          <w:sz w:val="22"/>
        </w:rPr>
        <w:t>Ltd.</w:t>
      </w:r>
    </w:p>
    <w:p w14:paraId="09E0C653" w14:textId="77777777" w:rsidR="00D11160" w:rsidRPr="00113926" w:rsidRDefault="00D11160" w:rsidP="00D11160">
      <w:pPr>
        <w:spacing w:after="0" w:line="276" w:lineRule="auto"/>
        <w:rPr>
          <w:rFonts w:ascii="Times New Roman" w:hAnsi="Times New Roman" w:cs="Times New Roman"/>
          <w:sz w:val="22"/>
        </w:rPr>
      </w:pPr>
      <w:r>
        <w:rPr>
          <w:rFonts w:ascii="Times New Roman" w:hAnsi="Times New Roman" w:cs="Times New Roman"/>
          <w:sz w:val="22"/>
        </w:rPr>
        <w:t>Sangsin plant: 133</w:t>
      </w:r>
      <w:r>
        <w:rPr>
          <w:rFonts w:ascii="Times New Roman" w:hAnsi="Times New Roman" w:cs="Times New Roman" w:hint="eastAsia"/>
          <w:sz w:val="22"/>
        </w:rPr>
        <w:t>,</w:t>
      </w:r>
      <w:r w:rsidRPr="00D30AF7">
        <w:rPr>
          <w:rFonts w:ascii="Times New Roman" w:hAnsi="Times New Roman" w:cs="Times New Roman"/>
          <w:sz w:val="22"/>
        </w:rPr>
        <w:t xml:space="preserve"> Jey</w:t>
      </w:r>
      <w:r>
        <w:rPr>
          <w:rFonts w:ascii="Times New Roman" w:hAnsi="Times New Roman" w:cs="Times New Roman"/>
          <w:sz w:val="22"/>
        </w:rPr>
        <w:t xml:space="preserve">akgongdan 3-gil, Hyangnam-eup, </w:t>
      </w:r>
      <w:r w:rsidRPr="00D17AAB">
        <w:rPr>
          <w:rFonts w:ascii="Times New Roman" w:hAnsi="Times New Roman" w:cs="Times New Roman"/>
          <w:sz w:val="22"/>
        </w:rPr>
        <w:t>Manse-gu, H</w:t>
      </w:r>
      <w:r w:rsidRPr="00D30AF7">
        <w:rPr>
          <w:rFonts w:ascii="Times New Roman" w:hAnsi="Times New Roman" w:cs="Times New Roman"/>
          <w:sz w:val="22"/>
        </w:rPr>
        <w:t>waseong-si,</w:t>
      </w:r>
      <w:r>
        <w:rPr>
          <w:rFonts w:ascii="Times New Roman" w:hAnsi="Times New Roman" w:cs="Times New Roman"/>
          <w:sz w:val="22"/>
        </w:rPr>
        <w:t xml:space="preserve"> Gyeonggi-do, </w:t>
      </w:r>
    </w:p>
    <w:p w14:paraId="6DA65221" w14:textId="77777777" w:rsidR="009D15AE" w:rsidRDefault="009D15AE" w:rsidP="009D15AE">
      <w:pPr>
        <w:spacing w:after="0" w:line="240" w:lineRule="auto"/>
        <w:rPr>
          <w:rFonts w:eastAsiaTheme="minorHAnsi"/>
          <w:szCs w:val="20"/>
        </w:rPr>
      </w:pPr>
    </w:p>
    <w:p w14:paraId="05B7A84D" w14:textId="77777777" w:rsidR="00901823" w:rsidRPr="00901823" w:rsidRDefault="00901823" w:rsidP="00901823">
      <w:pPr>
        <w:spacing w:before="120" w:after="120" w:line="240" w:lineRule="auto"/>
        <w:rPr>
          <w:rFonts w:ascii="Sylfaen" w:eastAsia="SimSun" w:hAnsi="Sylfaen"/>
          <w:b/>
          <w:sz w:val="24"/>
          <w:szCs w:val="24"/>
          <w:lang w:val="ka-GE"/>
        </w:rPr>
      </w:pPr>
      <w:r w:rsidRPr="00901823">
        <w:rPr>
          <w:rFonts w:ascii="Sylfaen" w:eastAsia="SimSun" w:hAnsi="Sylfaen"/>
          <w:b/>
          <w:sz w:val="24"/>
          <w:szCs w:val="24"/>
          <w:lang w:val="ka-GE"/>
        </w:rPr>
        <w:t>გაცემის წესი:</w:t>
      </w:r>
    </w:p>
    <w:p w14:paraId="638EC5BB" w14:textId="71C040CD" w:rsidR="00D11160" w:rsidRPr="00901823" w:rsidRDefault="00901823" w:rsidP="00901823">
      <w:pPr>
        <w:spacing w:after="0" w:line="276" w:lineRule="auto"/>
        <w:jc w:val="left"/>
        <w:rPr>
          <w:rFonts w:ascii="Times New Roman" w:hAnsi="Times New Roman" w:cs="Times New Roman"/>
          <w:b/>
          <w:sz w:val="24"/>
          <w:szCs w:val="24"/>
        </w:rPr>
      </w:pPr>
      <w:r w:rsidRPr="00901823">
        <w:rPr>
          <w:rFonts w:ascii="Sylfaen" w:eastAsia="SimSun" w:hAnsi="Sylfaen"/>
          <w:b/>
          <w:sz w:val="24"/>
          <w:szCs w:val="24"/>
          <w:lang w:val="ka-GE"/>
        </w:rPr>
        <w:t>ფარმაცევტული</w:t>
      </w:r>
      <w:r w:rsidRPr="00901823">
        <w:rPr>
          <w:rFonts w:ascii="Sylfaen" w:eastAsia="SimSun" w:hAnsi="Sylfaen"/>
          <w:b/>
          <w:sz w:val="24"/>
          <w:szCs w:val="24"/>
          <w:lang w:val="de-DE"/>
        </w:rPr>
        <w:t xml:space="preserve"> </w:t>
      </w:r>
      <w:r w:rsidRPr="00901823">
        <w:rPr>
          <w:rFonts w:ascii="Sylfaen" w:eastAsia="SimSun" w:hAnsi="Sylfaen"/>
          <w:b/>
          <w:sz w:val="24"/>
          <w:szCs w:val="24"/>
          <w:lang w:val="ka-GE"/>
        </w:rPr>
        <w:t>პროდუქტის</w:t>
      </w:r>
      <w:r w:rsidRPr="00901823">
        <w:rPr>
          <w:rFonts w:ascii="Sylfaen" w:eastAsia="SimSun" w:hAnsi="Sylfaen"/>
          <w:b/>
          <w:sz w:val="24"/>
          <w:szCs w:val="24"/>
          <w:lang w:val="de-DE"/>
        </w:rPr>
        <w:t xml:space="preserve"> </w:t>
      </w:r>
      <w:r w:rsidRPr="00901823">
        <w:rPr>
          <w:rFonts w:ascii="Sylfaen" w:eastAsia="SimSun" w:hAnsi="Sylfaen"/>
          <w:b/>
          <w:sz w:val="24"/>
          <w:szCs w:val="24"/>
          <w:lang w:val="ka-GE"/>
        </w:rPr>
        <w:t>ჯგუფი</w:t>
      </w:r>
      <w:r w:rsidRPr="00901823">
        <w:rPr>
          <w:rFonts w:ascii="Sylfaen" w:eastAsia="SimSun" w:hAnsi="Sylfaen"/>
          <w:b/>
          <w:sz w:val="24"/>
          <w:szCs w:val="24"/>
          <w:lang w:val="de-DE"/>
        </w:rPr>
        <w:t xml:space="preserve"> II</w:t>
      </w:r>
      <w:r w:rsidRPr="00901823">
        <w:rPr>
          <w:rFonts w:ascii="Sylfaen" w:eastAsia="SimSun" w:hAnsi="Sylfaen"/>
          <w:b/>
          <w:sz w:val="24"/>
          <w:szCs w:val="24"/>
          <w:lang w:val="ka-GE"/>
        </w:rPr>
        <w:t xml:space="preserve">, </w:t>
      </w:r>
      <w:r w:rsidRPr="00901823">
        <w:rPr>
          <w:rFonts w:ascii="Sylfaen" w:hAnsi="Sylfaen" w:cs="Sylfaen"/>
          <w:b/>
          <w:sz w:val="24"/>
          <w:szCs w:val="24"/>
          <w:lang w:val="ka-GE"/>
        </w:rPr>
        <w:t>აკრძალულია</w:t>
      </w:r>
      <w:r w:rsidRPr="00901823">
        <w:rPr>
          <w:rFonts w:ascii="Sylfaen" w:hAnsi="Sylfaen"/>
          <w:b/>
          <w:sz w:val="24"/>
          <w:szCs w:val="24"/>
          <w:lang w:val="de-DE"/>
        </w:rPr>
        <w:t xml:space="preserve"> </w:t>
      </w:r>
      <w:r w:rsidRPr="00901823">
        <w:rPr>
          <w:rFonts w:ascii="Sylfaen" w:hAnsi="Sylfaen" w:cs="Sylfaen"/>
          <w:b/>
          <w:sz w:val="24"/>
          <w:szCs w:val="24"/>
          <w:lang w:val="ka-GE"/>
        </w:rPr>
        <w:t>საცალო</w:t>
      </w:r>
      <w:r w:rsidRPr="00901823">
        <w:rPr>
          <w:rFonts w:ascii="Sylfaen" w:hAnsi="Sylfaen"/>
          <w:b/>
          <w:sz w:val="24"/>
          <w:szCs w:val="24"/>
          <w:lang w:val="de-DE"/>
        </w:rPr>
        <w:t xml:space="preserve"> </w:t>
      </w:r>
      <w:r w:rsidRPr="00901823">
        <w:rPr>
          <w:rFonts w:ascii="Sylfaen" w:hAnsi="Sylfaen" w:cs="Sylfaen"/>
          <w:b/>
          <w:sz w:val="24"/>
          <w:szCs w:val="24"/>
          <w:lang w:val="ka-GE"/>
        </w:rPr>
        <w:t>რეალიზაცია</w:t>
      </w:r>
      <w:r w:rsidRPr="00901823">
        <w:rPr>
          <w:rFonts w:ascii="Sylfaen" w:hAnsi="Sylfaen"/>
          <w:b/>
          <w:sz w:val="24"/>
          <w:szCs w:val="24"/>
          <w:lang w:val="de-DE"/>
        </w:rPr>
        <w:t xml:space="preserve">, </w:t>
      </w:r>
      <w:r w:rsidRPr="00901823">
        <w:rPr>
          <w:rFonts w:ascii="Sylfaen" w:hAnsi="Sylfaen" w:cs="Sylfaen"/>
          <w:b/>
          <w:sz w:val="24"/>
          <w:szCs w:val="24"/>
          <w:lang w:val="ka-GE"/>
        </w:rPr>
        <w:t>გაიცემა</w:t>
      </w:r>
      <w:r w:rsidRPr="00901823">
        <w:rPr>
          <w:rFonts w:ascii="Sylfaen" w:hAnsi="Sylfaen"/>
          <w:b/>
          <w:sz w:val="24"/>
          <w:szCs w:val="24"/>
          <w:lang w:val="de-DE"/>
        </w:rPr>
        <w:t xml:space="preserve"> </w:t>
      </w:r>
      <w:r w:rsidRPr="00901823">
        <w:rPr>
          <w:rFonts w:ascii="Sylfaen" w:hAnsi="Sylfaen" w:cs="Sylfaen"/>
          <w:b/>
          <w:sz w:val="24"/>
          <w:szCs w:val="24"/>
          <w:lang w:val="ka-GE"/>
        </w:rPr>
        <w:t>მხოლოდ</w:t>
      </w:r>
      <w:r w:rsidRPr="00901823">
        <w:rPr>
          <w:rFonts w:ascii="Sylfaen" w:hAnsi="Sylfaen"/>
          <w:b/>
          <w:sz w:val="24"/>
          <w:szCs w:val="24"/>
          <w:lang w:val="de-DE"/>
        </w:rPr>
        <w:t xml:space="preserve"> </w:t>
      </w:r>
      <w:r w:rsidRPr="00901823">
        <w:rPr>
          <w:rFonts w:ascii="Sylfaen" w:hAnsi="Sylfaen" w:cs="Sylfaen"/>
          <w:b/>
          <w:sz w:val="24"/>
          <w:szCs w:val="24"/>
          <w:lang w:val="ka-GE"/>
        </w:rPr>
        <w:t>შესაბამისი</w:t>
      </w:r>
      <w:r w:rsidRPr="00901823">
        <w:rPr>
          <w:rFonts w:ascii="Sylfaen" w:hAnsi="Sylfaen"/>
          <w:b/>
          <w:sz w:val="24"/>
          <w:szCs w:val="24"/>
          <w:lang w:val="de-DE"/>
        </w:rPr>
        <w:t xml:space="preserve"> </w:t>
      </w:r>
      <w:r w:rsidRPr="00901823">
        <w:rPr>
          <w:rFonts w:ascii="Sylfaen" w:hAnsi="Sylfaen" w:cs="Sylfaen"/>
          <w:b/>
          <w:sz w:val="24"/>
          <w:szCs w:val="24"/>
          <w:lang w:val="ka-GE"/>
        </w:rPr>
        <w:t>ნებართვის</w:t>
      </w:r>
      <w:r w:rsidRPr="00901823">
        <w:rPr>
          <w:rFonts w:ascii="Sylfaen" w:hAnsi="Sylfaen"/>
          <w:b/>
          <w:sz w:val="24"/>
          <w:szCs w:val="24"/>
          <w:lang w:val="de-DE"/>
        </w:rPr>
        <w:t>/</w:t>
      </w:r>
      <w:r w:rsidRPr="00901823">
        <w:rPr>
          <w:rFonts w:ascii="Sylfaen" w:hAnsi="Sylfaen" w:cs="Sylfaen"/>
          <w:b/>
          <w:sz w:val="24"/>
          <w:szCs w:val="24"/>
          <w:lang w:val="ka-GE"/>
        </w:rPr>
        <w:t>ლიცენზიის</w:t>
      </w:r>
      <w:r w:rsidRPr="00901823">
        <w:rPr>
          <w:rFonts w:ascii="Sylfaen" w:hAnsi="Sylfaen"/>
          <w:b/>
          <w:sz w:val="24"/>
          <w:szCs w:val="24"/>
          <w:lang w:val="de-DE"/>
        </w:rPr>
        <w:t xml:space="preserve"> </w:t>
      </w:r>
      <w:r w:rsidRPr="00901823">
        <w:rPr>
          <w:rFonts w:ascii="Sylfaen" w:hAnsi="Sylfaen" w:cs="Sylfaen"/>
          <w:b/>
          <w:sz w:val="24"/>
          <w:szCs w:val="24"/>
          <w:lang w:val="ka-GE"/>
        </w:rPr>
        <w:t>მქონე</w:t>
      </w:r>
      <w:r w:rsidRPr="00901823">
        <w:rPr>
          <w:rFonts w:ascii="Sylfaen" w:hAnsi="Sylfaen"/>
          <w:b/>
          <w:sz w:val="24"/>
          <w:szCs w:val="24"/>
          <w:lang w:val="de-DE"/>
        </w:rPr>
        <w:t xml:space="preserve"> </w:t>
      </w:r>
      <w:r w:rsidRPr="00901823">
        <w:rPr>
          <w:rFonts w:ascii="Sylfaen" w:hAnsi="Sylfaen" w:cs="Sylfaen"/>
          <w:b/>
          <w:sz w:val="24"/>
          <w:szCs w:val="24"/>
          <w:lang w:val="ka-GE"/>
        </w:rPr>
        <w:t>დაწესებულებებზე</w:t>
      </w:r>
    </w:p>
    <w:sectPr w:rsidR="00D11160" w:rsidRPr="00901823" w:rsidSect="00CC12D1">
      <w:footerReference w:type="default" r:id="rId8"/>
      <w:pgSz w:w="11906" w:h="16838"/>
      <w:pgMar w:top="426"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392D5" w14:textId="77777777" w:rsidR="00EE372E" w:rsidRDefault="00EE372E" w:rsidP="00E16DFA">
      <w:pPr>
        <w:spacing w:after="0" w:line="240" w:lineRule="auto"/>
      </w:pPr>
      <w:r>
        <w:separator/>
      </w:r>
    </w:p>
  </w:endnote>
  <w:endnote w:type="continuationSeparator" w:id="0">
    <w:p w14:paraId="75EC4BFD" w14:textId="77777777" w:rsidR="00EE372E" w:rsidRDefault="00EE372E" w:rsidP="00E16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나눔스퀘어 ExtraBold">
    <w:altName w:val="Malgun Gothic Semilight"/>
    <w:charset w:val="81"/>
    <w:family w:val="modern"/>
    <w:pitch w:val="variable"/>
    <w:sig w:usb0="00000000" w:usb1="29D72C10" w:usb2="00000010" w:usb3="00000000" w:csb0="00280005"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5171991"/>
      <w:docPartObj>
        <w:docPartGallery w:val="Page Numbers (Bottom of Page)"/>
        <w:docPartUnique/>
      </w:docPartObj>
    </w:sdtPr>
    <w:sdtContent>
      <w:sdt>
        <w:sdtPr>
          <w:id w:val="1728636285"/>
          <w:docPartObj>
            <w:docPartGallery w:val="Page Numbers (Top of Page)"/>
            <w:docPartUnique/>
          </w:docPartObj>
        </w:sdtPr>
        <w:sdtContent>
          <w:p w14:paraId="7F9D8EDB" w14:textId="77777777" w:rsidR="00CF27E5" w:rsidRDefault="00CF27E5">
            <w:pPr>
              <w:pStyle w:val="Footer"/>
              <w:jc w:val="center"/>
            </w:pPr>
            <w:r>
              <w:rPr>
                <w:b/>
                <w:bCs/>
                <w:sz w:val="24"/>
                <w:szCs w:val="24"/>
              </w:rPr>
              <w:fldChar w:fldCharType="begin"/>
            </w:r>
            <w:r>
              <w:rPr>
                <w:b/>
                <w:bCs/>
              </w:rPr>
              <w:instrText>PAGE</w:instrText>
            </w:r>
            <w:r>
              <w:rPr>
                <w:b/>
                <w:bCs/>
                <w:sz w:val="24"/>
                <w:szCs w:val="24"/>
              </w:rPr>
              <w:fldChar w:fldCharType="separate"/>
            </w:r>
            <w:r w:rsidR="00F835B9">
              <w:rPr>
                <w:b/>
                <w:bCs/>
                <w:noProof/>
              </w:rPr>
              <w:t xml:space="preserve">6 </w:t>
            </w:r>
            <w:r>
              <w:rPr>
                <w:b/>
                <w:bCs/>
                <w:sz w:val="24"/>
                <w:szCs w:val="24"/>
              </w:rPr>
              <w:fldChar w:fldCharType="end"/>
            </w:r>
            <w:r>
              <w:rPr>
                <w:lang w:val="ko-KR"/>
              </w:rPr>
              <w:t xml:space="preserve">/ </w:t>
            </w:r>
            <w:r>
              <w:rPr>
                <w:b/>
                <w:bCs/>
                <w:sz w:val="24"/>
                <w:szCs w:val="24"/>
              </w:rPr>
              <w:fldChar w:fldCharType="begin"/>
            </w:r>
            <w:r>
              <w:rPr>
                <w:b/>
                <w:bCs/>
              </w:rPr>
              <w:instrText>NUMPAGES</w:instrText>
            </w:r>
            <w:r>
              <w:rPr>
                <w:b/>
                <w:bCs/>
                <w:sz w:val="24"/>
                <w:szCs w:val="24"/>
              </w:rPr>
              <w:fldChar w:fldCharType="separate"/>
            </w:r>
            <w:r w:rsidR="00F835B9">
              <w:rPr>
                <w:b/>
                <w:bCs/>
                <w:noProof/>
              </w:rPr>
              <w:t>7</w:t>
            </w:r>
            <w:r>
              <w:rPr>
                <w:b/>
                <w:bCs/>
                <w:sz w:val="24"/>
                <w:szCs w:val="24"/>
              </w:rPr>
              <w:fldChar w:fldCharType="end"/>
            </w:r>
          </w:p>
        </w:sdtContent>
      </w:sdt>
    </w:sdtContent>
  </w:sdt>
  <w:p w14:paraId="5A7E5BFF" w14:textId="77777777" w:rsidR="00CF27E5" w:rsidRDefault="00CF2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2D933" w14:textId="77777777" w:rsidR="00EE372E" w:rsidRDefault="00EE372E" w:rsidP="00E16DFA">
      <w:pPr>
        <w:spacing w:after="0" w:line="240" w:lineRule="auto"/>
      </w:pPr>
      <w:r>
        <w:separator/>
      </w:r>
    </w:p>
  </w:footnote>
  <w:footnote w:type="continuationSeparator" w:id="0">
    <w:p w14:paraId="3DEE9DC4" w14:textId="77777777" w:rsidR="00EE372E" w:rsidRDefault="00EE372E" w:rsidP="00E16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5322"/>
    <w:multiLevelType w:val="hybridMultilevel"/>
    <w:tmpl w:val="194272B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4206E48"/>
    <w:multiLevelType w:val="hybridMultilevel"/>
    <w:tmpl w:val="FAFAE2A4"/>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FE15C07"/>
    <w:multiLevelType w:val="hybridMultilevel"/>
    <w:tmpl w:val="FE769816"/>
    <w:lvl w:ilvl="0" w:tplc="3B9C5482">
      <w:start w:val="1"/>
      <w:numFmt w:val="decimal"/>
      <w:lvlText w:val="%1)"/>
      <w:lvlJc w:val="left"/>
      <w:pPr>
        <w:ind w:left="542" w:hanging="40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 w15:restartNumberingAfterBreak="0">
    <w:nsid w:val="211C675B"/>
    <w:multiLevelType w:val="hybridMultilevel"/>
    <w:tmpl w:val="BD0C200A"/>
    <w:lvl w:ilvl="0" w:tplc="E8C44DA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4" w15:restartNumberingAfterBreak="0">
    <w:nsid w:val="274D7792"/>
    <w:multiLevelType w:val="hybridMultilevel"/>
    <w:tmpl w:val="20640B4C"/>
    <w:lvl w:ilvl="0" w:tplc="75A6FC1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5" w15:restartNumberingAfterBreak="0">
    <w:nsid w:val="2D247D94"/>
    <w:multiLevelType w:val="hybridMultilevel"/>
    <w:tmpl w:val="03309D6A"/>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509" w:hanging="400"/>
      </w:pPr>
      <w:rPr>
        <w:rFonts w:ascii="Wingdings" w:hAnsi="Wingdings" w:hint="default"/>
      </w:rPr>
    </w:lvl>
    <w:lvl w:ilvl="2" w:tplc="04090005" w:tentative="1">
      <w:start w:val="1"/>
      <w:numFmt w:val="bullet"/>
      <w:lvlText w:val=""/>
      <w:lvlJc w:val="left"/>
      <w:pPr>
        <w:ind w:left="1909" w:hanging="400"/>
      </w:pPr>
      <w:rPr>
        <w:rFonts w:ascii="Wingdings" w:hAnsi="Wingdings" w:hint="default"/>
      </w:rPr>
    </w:lvl>
    <w:lvl w:ilvl="3" w:tplc="04090001" w:tentative="1">
      <w:start w:val="1"/>
      <w:numFmt w:val="bullet"/>
      <w:lvlText w:val=""/>
      <w:lvlJc w:val="left"/>
      <w:pPr>
        <w:ind w:left="2309" w:hanging="400"/>
      </w:pPr>
      <w:rPr>
        <w:rFonts w:ascii="Wingdings" w:hAnsi="Wingdings" w:hint="default"/>
      </w:rPr>
    </w:lvl>
    <w:lvl w:ilvl="4" w:tplc="04090003" w:tentative="1">
      <w:start w:val="1"/>
      <w:numFmt w:val="bullet"/>
      <w:lvlText w:val=""/>
      <w:lvlJc w:val="left"/>
      <w:pPr>
        <w:ind w:left="2709" w:hanging="400"/>
      </w:pPr>
      <w:rPr>
        <w:rFonts w:ascii="Wingdings" w:hAnsi="Wingdings" w:hint="default"/>
      </w:rPr>
    </w:lvl>
    <w:lvl w:ilvl="5" w:tplc="04090005" w:tentative="1">
      <w:start w:val="1"/>
      <w:numFmt w:val="bullet"/>
      <w:lvlText w:val=""/>
      <w:lvlJc w:val="left"/>
      <w:pPr>
        <w:ind w:left="3109" w:hanging="400"/>
      </w:pPr>
      <w:rPr>
        <w:rFonts w:ascii="Wingdings" w:hAnsi="Wingdings" w:hint="default"/>
      </w:rPr>
    </w:lvl>
    <w:lvl w:ilvl="6" w:tplc="04090001" w:tentative="1">
      <w:start w:val="1"/>
      <w:numFmt w:val="bullet"/>
      <w:lvlText w:val=""/>
      <w:lvlJc w:val="left"/>
      <w:pPr>
        <w:ind w:left="3509" w:hanging="400"/>
      </w:pPr>
      <w:rPr>
        <w:rFonts w:ascii="Wingdings" w:hAnsi="Wingdings" w:hint="default"/>
      </w:rPr>
    </w:lvl>
    <w:lvl w:ilvl="7" w:tplc="04090003" w:tentative="1">
      <w:start w:val="1"/>
      <w:numFmt w:val="bullet"/>
      <w:lvlText w:val=""/>
      <w:lvlJc w:val="left"/>
      <w:pPr>
        <w:ind w:left="3909" w:hanging="400"/>
      </w:pPr>
      <w:rPr>
        <w:rFonts w:ascii="Wingdings" w:hAnsi="Wingdings" w:hint="default"/>
      </w:rPr>
    </w:lvl>
    <w:lvl w:ilvl="8" w:tplc="04090005" w:tentative="1">
      <w:start w:val="1"/>
      <w:numFmt w:val="bullet"/>
      <w:lvlText w:val=""/>
      <w:lvlJc w:val="left"/>
      <w:pPr>
        <w:ind w:left="4309" w:hanging="400"/>
      </w:pPr>
      <w:rPr>
        <w:rFonts w:ascii="Wingdings" w:hAnsi="Wingdings" w:hint="default"/>
      </w:rPr>
    </w:lvl>
  </w:abstractNum>
  <w:abstractNum w:abstractNumId="6" w15:restartNumberingAfterBreak="0">
    <w:nsid w:val="302B2A7D"/>
    <w:multiLevelType w:val="hybridMultilevel"/>
    <w:tmpl w:val="89C8405E"/>
    <w:lvl w:ilvl="0" w:tplc="9F8C478E">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37B85A40"/>
    <w:multiLevelType w:val="hybridMultilevel"/>
    <w:tmpl w:val="F2BA7E50"/>
    <w:lvl w:ilvl="0" w:tplc="A3D235B6">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8" w15:restartNumberingAfterBreak="0">
    <w:nsid w:val="38177946"/>
    <w:multiLevelType w:val="hybridMultilevel"/>
    <w:tmpl w:val="D3F0242A"/>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390F42C8"/>
    <w:multiLevelType w:val="hybridMultilevel"/>
    <w:tmpl w:val="A084992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43264B08"/>
    <w:multiLevelType w:val="hybridMultilevel"/>
    <w:tmpl w:val="494C381E"/>
    <w:lvl w:ilvl="0" w:tplc="0204B34C">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1" w15:restartNumberingAfterBreak="0">
    <w:nsid w:val="43461F52"/>
    <w:multiLevelType w:val="hybridMultilevel"/>
    <w:tmpl w:val="4196A118"/>
    <w:lvl w:ilvl="0" w:tplc="1A3E03E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2" w15:restartNumberingAfterBreak="0">
    <w:nsid w:val="455B7029"/>
    <w:multiLevelType w:val="hybridMultilevel"/>
    <w:tmpl w:val="1B6EA0C0"/>
    <w:lvl w:ilvl="0" w:tplc="E9143884">
      <w:start w:val="6"/>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3" w15:restartNumberingAfterBreak="0">
    <w:nsid w:val="46876751"/>
    <w:multiLevelType w:val="hybridMultilevel"/>
    <w:tmpl w:val="FFBC8FB6"/>
    <w:lvl w:ilvl="0" w:tplc="EE469DE4">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4" w15:restartNumberingAfterBreak="0">
    <w:nsid w:val="46920118"/>
    <w:multiLevelType w:val="hybridMultilevel"/>
    <w:tmpl w:val="4E4AEDA8"/>
    <w:lvl w:ilvl="0" w:tplc="F5E26B1A">
      <w:start w:val="1"/>
      <w:numFmt w:val="bullet"/>
      <w:lvlText w:val="-"/>
      <w:lvlJc w:val="left"/>
      <w:pPr>
        <w:ind w:left="862" w:hanging="360"/>
      </w:pPr>
      <w:rPr>
        <w:rFonts w:ascii="Malgun Gothic" w:eastAsia="Malgun Gothic" w:hAnsi="Malgun Gothic" w:cstheme="minorBidi" w:hint="eastAsia"/>
      </w:rPr>
    </w:lvl>
    <w:lvl w:ilvl="1" w:tplc="04090003" w:tentative="1">
      <w:start w:val="1"/>
      <w:numFmt w:val="bullet"/>
      <w:lvlText w:val=""/>
      <w:lvlJc w:val="left"/>
      <w:pPr>
        <w:ind w:left="1302" w:hanging="400"/>
      </w:pPr>
      <w:rPr>
        <w:rFonts w:ascii="Wingdings" w:hAnsi="Wingdings" w:hint="default"/>
      </w:rPr>
    </w:lvl>
    <w:lvl w:ilvl="2" w:tplc="04090005" w:tentative="1">
      <w:start w:val="1"/>
      <w:numFmt w:val="bullet"/>
      <w:lvlText w:val=""/>
      <w:lvlJc w:val="left"/>
      <w:pPr>
        <w:ind w:left="1702" w:hanging="400"/>
      </w:pPr>
      <w:rPr>
        <w:rFonts w:ascii="Wingdings" w:hAnsi="Wingdings" w:hint="default"/>
      </w:rPr>
    </w:lvl>
    <w:lvl w:ilvl="3" w:tplc="04090001" w:tentative="1">
      <w:start w:val="1"/>
      <w:numFmt w:val="bullet"/>
      <w:lvlText w:val=""/>
      <w:lvlJc w:val="left"/>
      <w:pPr>
        <w:ind w:left="2102" w:hanging="400"/>
      </w:pPr>
      <w:rPr>
        <w:rFonts w:ascii="Wingdings" w:hAnsi="Wingdings" w:hint="default"/>
      </w:rPr>
    </w:lvl>
    <w:lvl w:ilvl="4" w:tplc="04090003" w:tentative="1">
      <w:start w:val="1"/>
      <w:numFmt w:val="bullet"/>
      <w:lvlText w:val=""/>
      <w:lvlJc w:val="left"/>
      <w:pPr>
        <w:ind w:left="2502" w:hanging="400"/>
      </w:pPr>
      <w:rPr>
        <w:rFonts w:ascii="Wingdings" w:hAnsi="Wingdings" w:hint="default"/>
      </w:rPr>
    </w:lvl>
    <w:lvl w:ilvl="5" w:tplc="04090005" w:tentative="1">
      <w:start w:val="1"/>
      <w:numFmt w:val="bullet"/>
      <w:lvlText w:val=""/>
      <w:lvlJc w:val="left"/>
      <w:pPr>
        <w:ind w:left="2902" w:hanging="400"/>
      </w:pPr>
      <w:rPr>
        <w:rFonts w:ascii="Wingdings" w:hAnsi="Wingdings" w:hint="default"/>
      </w:rPr>
    </w:lvl>
    <w:lvl w:ilvl="6" w:tplc="04090001" w:tentative="1">
      <w:start w:val="1"/>
      <w:numFmt w:val="bullet"/>
      <w:lvlText w:val=""/>
      <w:lvlJc w:val="left"/>
      <w:pPr>
        <w:ind w:left="3302" w:hanging="400"/>
      </w:pPr>
      <w:rPr>
        <w:rFonts w:ascii="Wingdings" w:hAnsi="Wingdings" w:hint="default"/>
      </w:rPr>
    </w:lvl>
    <w:lvl w:ilvl="7" w:tplc="04090003" w:tentative="1">
      <w:start w:val="1"/>
      <w:numFmt w:val="bullet"/>
      <w:lvlText w:val=""/>
      <w:lvlJc w:val="left"/>
      <w:pPr>
        <w:ind w:left="3702" w:hanging="400"/>
      </w:pPr>
      <w:rPr>
        <w:rFonts w:ascii="Wingdings" w:hAnsi="Wingdings" w:hint="default"/>
      </w:rPr>
    </w:lvl>
    <w:lvl w:ilvl="8" w:tplc="04090005" w:tentative="1">
      <w:start w:val="1"/>
      <w:numFmt w:val="bullet"/>
      <w:lvlText w:val=""/>
      <w:lvlJc w:val="left"/>
      <w:pPr>
        <w:ind w:left="4102" w:hanging="400"/>
      </w:pPr>
      <w:rPr>
        <w:rFonts w:ascii="Wingdings" w:hAnsi="Wingdings" w:hint="default"/>
      </w:rPr>
    </w:lvl>
  </w:abstractNum>
  <w:abstractNum w:abstractNumId="15" w15:restartNumberingAfterBreak="0">
    <w:nsid w:val="4DFD3034"/>
    <w:multiLevelType w:val="hybridMultilevel"/>
    <w:tmpl w:val="010EF4AE"/>
    <w:lvl w:ilvl="0" w:tplc="EA6CE83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4EBF3911"/>
    <w:multiLevelType w:val="hybridMultilevel"/>
    <w:tmpl w:val="024C8422"/>
    <w:lvl w:ilvl="0" w:tplc="73867D7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17" w15:restartNumberingAfterBreak="0">
    <w:nsid w:val="51FB4493"/>
    <w:multiLevelType w:val="hybridMultilevel"/>
    <w:tmpl w:val="F0825776"/>
    <w:lvl w:ilvl="0" w:tplc="BEC8930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18" w15:restartNumberingAfterBreak="0">
    <w:nsid w:val="530B13EA"/>
    <w:multiLevelType w:val="hybridMultilevel"/>
    <w:tmpl w:val="60481CDE"/>
    <w:lvl w:ilvl="0" w:tplc="B81A6A60">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537D1A84"/>
    <w:multiLevelType w:val="hybridMultilevel"/>
    <w:tmpl w:val="30B276D0"/>
    <w:lvl w:ilvl="0" w:tplc="53AA22D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0" w15:restartNumberingAfterBreak="0">
    <w:nsid w:val="573858EB"/>
    <w:multiLevelType w:val="hybridMultilevel"/>
    <w:tmpl w:val="CCFC9796"/>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583C46DF"/>
    <w:multiLevelType w:val="hybridMultilevel"/>
    <w:tmpl w:val="9ED6E35C"/>
    <w:lvl w:ilvl="0" w:tplc="5E6003F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2" w15:restartNumberingAfterBreak="0">
    <w:nsid w:val="590F60C4"/>
    <w:multiLevelType w:val="hybridMultilevel"/>
    <w:tmpl w:val="0CC8CDD0"/>
    <w:lvl w:ilvl="0" w:tplc="A3D235B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59DE70AC"/>
    <w:multiLevelType w:val="hybridMultilevel"/>
    <w:tmpl w:val="B5BC8586"/>
    <w:lvl w:ilvl="0" w:tplc="CBB0DDF4">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24" w15:restartNumberingAfterBreak="0">
    <w:nsid w:val="5CB25294"/>
    <w:multiLevelType w:val="hybridMultilevel"/>
    <w:tmpl w:val="2C088840"/>
    <w:lvl w:ilvl="0" w:tplc="72E64CA0">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5" w15:restartNumberingAfterBreak="0">
    <w:nsid w:val="5E0650DE"/>
    <w:multiLevelType w:val="hybridMultilevel"/>
    <w:tmpl w:val="3522C8BA"/>
    <w:lvl w:ilvl="0" w:tplc="E95635E6">
      <w:start w:val="1"/>
      <w:numFmt w:val="decimal"/>
      <w:lvlText w:val="%1)"/>
      <w:lvlJc w:val="left"/>
      <w:pPr>
        <w:ind w:left="502" w:hanging="36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6" w15:restartNumberingAfterBreak="0">
    <w:nsid w:val="5F7565A3"/>
    <w:multiLevelType w:val="hybridMultilevel"/>
    <w:tmpl w:val="C4708CB0"/>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62040DD3"/>
    <w:multiLevelType w:val="hybridMultilevel"/>
    <w:tmpl w:val="B036835C"/>
    <w:lvl w:ilvl="0" w:tplc="9470F098">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15:restartNumberingAfterBreak="0">
    <w:nsid w:val="62CB5F8E"/>
    <w:multiLevelType w:val="hybridMultilevel"/>
    <w:tmpl w:val="1A7A390A"/>
    <w:lvl w:ilvl="0" w:tplc="EA6CE83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9" w15:restartNumberingAfterBreak="0">
    <w:nsid w:val="652A5B28"/>
    <w:multiLevelType w:val="hybridMultilevel"/>
    <w:tmpl w:val="A0FAFD3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0" w15:restartNumberingAfterBreak="0">
    <w:nsid w:val="680602B7"/>
    <w:multiLevelType w:val="hybridMultilevel"/>
    <w:tmpl w:val="93F0064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15:restartNumberingAfterBreak="0">
    <w:nsid w:val="69053195"/>
    <w:multiLevelType w:val="hybridMultilevel"/>
    <w:tmpl w:val="DC5E80D2"/>
    <w:lvl w:ilvl="0" w:tplc="96ACDA3A">
      <w:start w:val="1"/>
      <w:numFmt w:val="decimal"/>
      <w:lvlText w:val="%1)"/>
      <w:lvlJc w:val="left"/>
      <w:pPr>
        <w:ind w:left="684" w:hanging="400"/>
      </w:pPr>
      <w:rPr>
        <w:rFonts w:hint="eastAsia"/>
        <w:b w:val="0"/>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32" w15:restartNumberingAfterBreak="0">
    <w:nsid w:val="6A103263"/>
    <w:multiLevelType w:val="hybridMultilevel"/>
    <w:tmpl w:val="EB7C7F7E"/>
    <w:lvl w:ilvl="0" w:tplc="F8B2683C">
      <w:start w:val="1"/>
      <w:numFmt w:val="decimal"/>
      <w:lvlText w:val="%1."/>
      <w:lvlJc w:val="left"/>
      <w:pPr>
        <w:ind w:left="360" w:hanging="360"/>
      </w:pPr>
      <w:rPr>
        <w:rFonts w:hint="default"/>
        <w:b/>
      </w:rPr>
    </w:lvl>
    <w:lvl w:ilvl="1" w:tplc="9270552E">
      <w:start w:val="1"/>
      <w:numFmt w:val="decimal"/>
      <w:lvlText w:val="%2)"/>
      <w:lvlJc w:val="left"/>
      <w:pPr>
        <w:ind w:left="542" w:hanging="400"/>
      </w:pPr>
      <w:rPr>
        <w:rFonts w:hint="eastAsia"/>
        <w:b w:val="0"/>
      </w:r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3" w15:restartNumberingAfterBreak="0">
    <w:nsid w:val="6A807492"/>
    <w:multiLevelType w:val="hybridMultilevel"/>
    <w:tmpl w:val="B92E99C4"/>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4" w15:restartNumberingAfterBreak="0">
    <w:nsid w:val="6A865611"/>
    <w:multiLevelType w:val="hybridMultilevel"/>
    <w:tmpl w:val="C5D2958E"/>
    <w:lvl w:ilvl="0" w:tplc="D598AFFC">
      <w:start w:val="1"/>
      <w:numFmt w:val="decimalEnclosedCircle"/>
      <w:lvlText w:val="%1"/>
      <w:lvlJc w:val="left"/>
      <w:pPr>
        <w:ind w:left="643" w:hanging="360"/>
      </w:pPr>
      <w:rPr>
        <w:rFonts w:ascii="나눔스퀘어 ExtraBold" w:eastAsia="나눔스퀘어 ExtraBold" w:hAnsi="나눔스퀘어 ExtraBold" w:hint="eastAsia"/>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35" w15:restartNumberingAfterBreak="0">
    <w:nsid w:val="6B586E46"/>
    <w:multiLevelType w:val="hybridMultilevel"/>
    <w:tmpl w:val="BE5422E6"/>
    <w:lvl w:ilvl="0" w:tplc="B030AF1C">
      <w:start w:val="1"/>
      <w:numFmt w:val="decimal"/>
      <w:lvlText w:val="%1)"/>
      <w:lvlJc w:val="left"/>
      <w:pPr>
        <w:ind w:left="644" w:hanging="360"/>
      </w:pPr>
      <w:rPr>
        <w:rFonts w:hint="default"/>
      </w:rPr>
    </w:lvl>
    <w:lvl w:ilvl="1" w:tplc="04090019" w:tentative="1">
      <w:start w:val="1"/>
      <w:numFmt w:val="upperLetter"/>
      <w:lvlText w:val="%2."/>
      <w:lvlJc w:val="left"/>
      <w:pPr>
        <w:ind w:left="1484" w:hanging="400"/>
      </w:pPr>
    </w:lvl>
    <w:lvl w:ilvl="2" w:tplc="0409001B" w:tentative="1">
      <w:start w:val="1"/>
      <w:numFmt w:val="lowerRoman"/>
      <w:lvlText w:val="%3."/>
      <w:lvlJc w:val="right"/>
      <w:pPr>
        <w:ind w:left="1884" w:hanging="400"/>
      </w:pPr>
    </w:lvl>
    <w:lvl w:ilvl="3" w:tplc="0409000F" w:tentative="1">
      <w:start w:val="1"/>
      <w:numFmt w:val="decimal"/>
      <w:lvlText w:val="%4."/>
      <w:lvlJc w:val="left"/>
      <w:pPr>
        <w:ind w:left="2284" w:hanging="400"/>
      </w:pPr>
    </w:lvl>
    <w:lvl w:ilvl="4" w:tplc="04090019" w:tentative="1">
      <w:start w:val="1"/>
      <w:numFmt w:val="upperLetter"/>
      <w:lvlText w:val="%5."/>
      <w:lvlJc w:val="left"/>
      <w:pPr>
        <w:ind w:left="2684" w:hanging="400"/>
      </w:pPr>
    </w:lvl>
    <w:lvl w:ilvl="5" w:tplc="0409001B" w:tentative="1">
      <w:start w:val="1"/>
      <w:numFmt w:val="lowerRoman"/>
      <w:lvlText w:val="%6."/>
      <w:lvlJc w:val="right"/>
      <w:pPr>
        <w:ind w:left="3084" w:hanging="400"/>
      </w:pPr>
    </w:lvl>
    <w:lvl w:ilvl="6" w:tplc="0409000F" w:tentative="1">
      <w:start w:val="1"/>
      <w:numFmt w:val="decimal"/>
      <w:lvlText w:val="%7."/>
      <w:lvlJc w:val="left"/>
      <w:pPr>
        <w:ind w:left="3484" w:hanging="400"/>
      </w:pPr>
    </w:lvl>
    <w:lvl w:ilvl="7" w:tplc="04090019" w:tentative="1">
      <w:start w:val="1"/>
      <w:numFmt w:val="upperLetter"/>
      <w:lvlText w:val="%8."/>
      <w:lvlJc w:val="left"/>
      <w:pPr>
        <w:ind w:left="3884" w:hanging="400"/>
      </w:pPr>
    </w:lvl>
    <w:lvl w:ilvl="8" w:tplc="0409001B" w:tentative="1">
      <w:start w:val="1"/>
      <w:numFmt w:val="lowerRoman"/>
      <w:lvlText w:val="%9."/>
      <w:lvlJc w:val="right"/>
      <w:pPr>
        <w:ind w:left="4284" w:hanging="400"/>
      </w:pPr>
    </w:lvl>
  </w:abstractNum>
  <w:abstractNum w:abstractNumId="36" w15:restartNumberingAfterBreak="0">
    <w:nsid w:val="72D53094"/>
    <w:multiLevelType w:val="hybridMultilevel"/>
    <w:tmpl w:val="764CDF78"/>
    <w:lvl w:ilvl="0" w:tplc="B030AF1C">
      <w:start w:val="1"/>
      <w:numFmt w:val="decimal"/>
      <w:lvlText w:val="%1)"/>
      <w:lvlJc w:val="left"/>
      <w:pPr>
        <w:ind w:left="360" w:hanging="360"/>
      </w:pPr>
      <w:rPr>
        <w:rFonts w:hint="default"/>
        <w:b/>
      </w:rPr>
    </w:lvl>
    <w:lvl w:ilvl="1" w:tplc="B030AF1C">
      <w:start w:val="1"/>
      <w:numFmt w:val="decimal"/>
      <w:lvlText w:val="%2)"/>
      <w:lvlJc w:val="left"/>
      <w:pPr>
        <w:ind w:left="360" w:hanging="360"/>
      </w:pPr>
      <w:rPr>
        <w:rFont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7" w15:restartNumberingAfterBreak="0">
    <w:nsid w:val="760F6148"/>
    <w:multiLevelType w:val="hybridMultilevel"/>
    <w:tmpl w:val="80583C4A"/>
    <w:lvl w:ilvl="0" w:tplc="3B9C5482">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8" w15:restartNumberingAfterBreak="0">
    <w:nsid w:val="762C43A5"/>
    <w:multiLevelType w:val="hybridMultilevel"/>
    <w:tmpl w:val="12D01614"/>
    <w:lvl w:ilvl="0" w:tplc="F508BB96">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9" w15:restartNumberingAfterBreak="0">
    <w:nsid w:val="766B42A8"/>
    <w:multiLevelType w:val="hybridMultilevel"/>
    <w:tmpl w:val="90D6EA80"/>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0" w15:restartNumberingAfterBreak="0">
    <w:nsid w:val="79FB6AB8"/>
    <w:multiLevelType w:val="hybridMultilevel"/>
    <w:tmpl w:val="10142598"/>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1" w15:restartNumberingAfterBreak="0">
    <w:nsid w:val="7B15295E"/>
    <w:multiLevelType w:val="hybridMultilevel"/>
    <w:tmpl w:val="052CDDAE"/>
    <w:lvl w:ilvl="0" w:tplc="B68C86B4">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2" w15:restartNumberingAfterBreak="0">
    <w:nsid w:val="7F4A1D87"/>
    <w:multiLevelType w:val="hybridMultilevel"/>
    <w:tmpl w:val="05E6BAA4"/>
    <w:lvl w:ilvl="0" w:tplc="A72E12AE">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227185674">
    <w:abstractNumId w:val="27"/>
  </w:num>
  <w:num w:numId="2" w16cid:durableId="353306602">
    <w:abstractNumId w:val="42"/>
  </w:num>
  <w:num w:numId="3" w16cid:durableId="138348144">
    <w:abstractNumId w:val="18"/>
  </w:num>
  <w:num w:numId="4" w16cid:durableId="380908386">
    <w:abstractNumId w:val="8"/>
  </w:num>
  <w:num w:numId="5" w16cid:durableId="97452735">
    <w:abstractNumId w:val="40"/>
  </w:num>
  <w:num w:numId="6" w16cid:durableId="125896121">
    <w:abstractNumId w:val="5"/>
  </w:num>
  <w:num w:numId="7" w16cid:durableId="203249173">
    <w:abstractNumId w:val="25"/>
  </w:num>
  <w:num w:numId="8" w16cid:durableId="1532763835">
    <w:abstractNumId w:val="21"/>
  </w:num>
  <w:num w:numId="9" w16cid:durableId="23755719">
    <w:abstractNumId w:val="33"/>
  </w:num>
  <w:num w:numId="10" w16cid:durableId="496118824">
    <w:abstractNumId w:val="36"/>
  </w:num>
  <w:num w:numId="11" w16cid:durableId="631328816">
    <w:abstractNumId w:val="39"/>
  </w:num>
  <w:num w:numId="12" w16cid:durableId="1851479675">
    <w:abstractNumId w:val="0"/>
  </w:num>
  <w:num w:numId="13" w16cid:durableId="1538084290">
    <w:abstractNumId w:val="13"/>
  </w:num>
  <w:num w:numId="14" w16cid:durableId="798574267">
    <w:abstractNumId w:val="35"/>
  </w:num>
  <w:num w:numId="15" w16cid:durableId="528492598">
    <w:abstractNumId w:val="1"/>
  </w:num>
  <w:num w:numId="16" w16cid:durableId="2070492807">
    <w:abstractNumId w:val="26"/>
  </w:num>
  <w:num w:numId="17" w16cid:durableId="2144927789">
    <w:abstractNumId w:val="12"/>
  </w:num>
  <w:num w:numId="18" w16cid:durableId="130169729">
    <w:abstractNumId w:val="28"/>
  </w:num>
  <w:num w:numId="19" w16cid:durableId="417600409">
    <w:abstractNumId w:val="15"/>
  </w:num>
  <w:num w:numId="20" w16cid:durableId="579019458">
    <w:abstractNumId w:val="19"/>
  </w:num>
  <w:num w:numId="21" w16cid:durableId="1628582554">
    <w:abstractNumId w:val="32"/>
  </w:num>
  <w:num w:numId="22" w16cid:durableId="1876575480">
    <w:abstractNumId w:val="3"/>
  </w:num>
  <w:num w:numId="23" w16cid:durableId="735319744">
    <w:abstractNumId w:val="4"/>
  </w:num>
  <w:num w:numId="24" w16cid:durableId="871307219">
    <w:abstractNumId w:val="11"/>
  </w:num>
  <w:num w:numId="25" w16cid:durableId="1956909665">
    <w:abstractNumId w:val="23"/>
  </w:num>
  <w:num w:numId="26" w16cid:durableId="980378635">
    <w:abstractNumId w:val="9"/>
  </w:num>
  <w:num w:numId="27" w16cid:durableId="1449665573">
    <w:abstractNumId w:val="30"/>
  </w:num>
  <w:num w:numId="28" w16cid:durableId="1601064858">
    <w:abstractNumId w:val="16"/>
  </w:num>
  <w:num w:numId="29" w16cid:durableId="978337535">
    <w:abstractNumId w:val="29"/>
  </w:num>
  <w:num w:numId="30" w16cid:durableId="1458066870">
    <w:abstractNumId w:val="7"/>
  </w:num>
  <w:num w:numId="31" w16cid:durableId="2143765936">
    <w:abstractNumId w:val="20"/>
  </w:num>
  <w:num w:numId="32" w16cid:durableId="438138429">
    <w:abstractNumId w:val="22"/>
  </w:num>
  <w:num w:numId="33" w16cid:durableId="1190870456">
    <w:abstractNumId w:val="10"/>
  </w:num>
  <w:num w:numId="34" w16cid:durableId="706832960">
    <w:abstractNumId w:val="17"/>
  </w:num>
  <w:num w:numId="35" w16cid:durableId="2042391817">
    <w:abstractNumId w:val="2"/>
  </w:num>
  <w:num w:numId="36" w16cid:durableId="1697805231">
    <w:abstractNumId w:val="37"/>
  </w:num>
  <w:num w:numId="37" w16cid:durableId="255403817">
    <w:abstractNumId w:val="31"/>
  </w:num>
  <w:num w:numId="38" w16cid:durableId="756750174">
    <w:abstractNumId w:val="38"/>
  </w:num>
  <w:num w:numId="39" w16cid:durableId="1032851069">
    <w:abstractNumId w:val="14"/>
  </w:num>
  <w:num w:numId="40" w16cid:durableId="442651073">
    <w:abstractNumId w:val="34"/>
  </w:num>
  <w:num w:numId="41" w16cid:durableId="15271437">
    <w:abstractNumId w:val="6"/>
  </w:num>
  <w:num w:numId="42" w16cid:durableId="1861819490">
    <w:abstractNumId w:val="24"/>
  </w:num>
  <w:num w:numId="43" w16cid:durableId="47815355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hyphenationZone w:val="141"/>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480"/>
    <w:rsid w:val="000019F4"/>
    <w:rsid w:val="0004168A"/>
    <w:rsid w:val="00045FF7"/>
    <w:rsid w:val="00071620"/>
    <w:rsid w:val="000725BD"/>
    <w:rsid w:val="000B7C01"/>
    <w:rsid w:val="000B7FA2"/>
    <w:rsid w:val="000E2B98"/>
    <w:rsid w:val="000F2947"/>
    <w:rsid w:val="000F2D67"/>
    <w:rsid w:val="001032E1"/>
    <w:rsid w:val="00156492"/>
    <w:rsid w:val="00180B1F"/>
    <w:rsid w:val="001B3AAB"/>
    <w:rsid w:val="00206B2C"/>
    <w:rsid w:val="00216E22"/>
    <w:rsid w:val="0025624A"/>
    <w:rsid w:val="002641C2"/>
    <w:rsid w:val="002656B1"/>
    <w:rsid w:val="00275C2B"/>
    <w:rsid w:val="0028630D"/>
    <w:rsid w:val="00341916"/>
    <w:rsid w:val="003C4C08"/>
    <w:rsid w:val="003D416E"/>
    <w:rsid w:val="003E149B"/>
    <w:rsid w:val="003E60D9"/>
    <w:rsid w:val="003F1F3A"/>
    <w:rsid w:val="004001F3"/>
    <w:rsid w:val="004950D7"/>
    <w:rsid w:val="004A3618"/>
    <w:rsid w:val="004B177E"/>
    <w:rsid w:val="00504029"/>
    <w:rsid w:val="00533F78"/>
    <w:rsid w:val="00592D4A"/>
    <w:rsid w:val="005A0D7C"/>
    <w:rsid w:val="00632C94"/>
    <w:rsid w:val="006464E0"/>
    <w:rsid w:val="006B3014"/>
    <w:rsid w:val="006C2DFC"/>
    <w:rsid w:val="006D2CD6"/>
    <w:rsid w:val="00703716"/>
    <w:rsid w:val="00747FCD"/>
    <w:rsid w:val="00761F25"/>
    <w:rsid w:val="00793838"/>
    <w:rsid w:val="007B2047"/>
    <w:rsid w:val="008026F5"/>
    <w:rsid w:val="0082724A"/>
    <w:rsid w:val="00876E51"/>
    <w:rsid w:val="00880B56"/>
    <w:rsid w:val="00887E45"/>
    <w:rsid w:val="008A678A"/>
    <w:rsid w:val="008A75E8"/>
    <w:rsid w:val="008D36EA"/>
    <w:rsid w:val="008F3B72"/>
    <w:rsid w:val="008F3FA7"/>
    <w:rsid w:val="008F4136"/>
    <w:rsid w:val="00901823"/>
    <w:rsid w:val="00912480"/>
    <w:rsid w:val="00941114"/>
    <w:rsid w:val="0096388F"/>
    <w:rsid w:val="009663D6"/>
    <w:rsid w:val="00984935"/>
    <w:rsid w:val="009952F6"/>
    <w:rsid w:val="009D15AE"/>
    <w:rsid w:val="009D59AD"/>
    <w:rsid w:val="00A20312"/>
    <w:rsid w:val="00A215A4"/>
    <w:rsid w:val="00A22032"/>
    <w:rsid w:val="00A52C82"/>
    <w:rsid w:val="00A66962"/>
    <w:rsid w:val="00AB757D"/>
    <w:rsid w:val="00AD530D"/>
    <w:rsid w:val="00AD6B6F"/>
    <w:rsid w:val="00AE4AE5"/>
    <w:rsid w:val="00AF50C8"/>
    <w:rsid w:val="00B239BD"/>
    <w:rsid w:val="00B94CE2"/>
    <w:rsid w:val="00BC7721"/>
    <w:rsid w:val="00C135A9"/>
    <w:rsid w:val="00C473B1"/>
    <w:rsid w:val="00C958F8"/>
    <w:rsid w:val="00CC12D1"/>
    <w:rsid w:val="00CD1B61"/>
    <w:rsid w:val="00CF27E5"/>
    <w:rsid w:val="00D11160"/>
    <w:rsid w:val="00D57CEA"/>
    <w:rsid w:val="00D76ED3"/>
    <w:rsid w:val="00D90EBF"/>
    <w:rsid w:val="00DC349B"/>
    <w:rsid w:val="00DD188D"/>
    <w:rsid w:val="00DE10C3"/>
    <w:rsid w:val="00E1197B"/>
    <w:rsid w:val="00E16DFA"/>
    <w:rsid w:val="00E454A3"/>
    <w:rsid w:val="00E54877"/>
    <w:rsid w:val="00E652DF"/>
    <w:rsid w:val="00E73697"/>
    <w:rsid w:val="00EC3A28"/>
    <w:rsid w:val="00EC534F"/>
    <w:rsid w:val="00EE372E"/>
    <w:rsid w:val="00EE7D1A"/>
    <w:rsid w:val="00EF0549"/>
    <w:rsid w:val="00EF0949"/>
    <w:rsid w:val="00F35109"/>
    <w:rsid w:val="00F70739"/>
    <w:rsid w:val="00F711F6"/>
    <w:rsid w:val="00F82A5B"/>
    <w:rsid w:val="00F835B9"/>
    <w:rsid w:val="00F836FE"/>
    <w:rsid w:val="00F84D66"/>
    <w:rsid w:val="00F965CE"/>
    <w:rsid w:val="00FA1B9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330A7"/>
  <w15:chartTrackingRefBased/>
  <w15:docId w15:val="{5A6EFD12-BAF7-4085-88A6-7FCE11CA1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ka"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ListParagraph">
    <w:name w:val="List Paragraph"/>
    <w:basedOn w:val="Normal"/>
    <w:uiPriority w:val="34"/>
    <w:qFormat/>
    <w:rsid w:val="003E60D9"/>
    <w:pPr>
      <w:ind w:leftChars="400" w:left="800"/>
    </w:pPr>
  </w:style>
  <w:style w:type="table" w:styleId="TableGrid">
    <w:name w:val="Table Grid"/>
    <w:basedOn w:val="TableNormal"/>
    <w:uiPriority w:val="39"/>
    <w:rsid w:val="00EE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Header">
    <w:name w:val="header"/>
    <w:basedOn w:val="Normal"/>
    <w:link w:val="HeaderChar"/>
    <w:uiPriority w:val="99"/>
    <w:unhideWhenUsed/>
    <w:rsid w:val="00E16DFA"/>
    <w:pPr>
      <w:tabs>
        <w:tab w:val="center" w:pos="4513"/>
        <w:tab w:val="right" w:pos="9026"/>
      </w:tabs>
      <w:snapToGrid w:val="0"/>
    </w:pPr>
  </w:style>
  <w:style w:type="character" w:customStyle="1" w:styleId="HeaderChar">
    <w:name w:val="Header Char"/>
    <w:basedOn w:val="DefaultParagraphFont"/>
    <w:link w:val="Header"/>
    <w:uiPriority w:val="99"/>
    <w:rsid w:val="00E16DFA"/>
  </w:style>
  <w:style w:type="paragraph" w:styleId="Footer">
    <w:name w:val="footer"/>
    <w:basedOn w:val="Normal"/>
    <w:link w:val="FooterChar"/>
    <w:uiPriority w:val="99"/>
    <w:unhideWhenUsed/>
    <w:rsid w:val="00E16DFA"/>
    <w:pPr>
      <w:tabs>
        <w:tab w:val="center" w:pos="4513"/>
        <w:tab w:val="right" w:pos="9026"/>
      </w:tabs>
      <w:snapToGrid w:val="0"/>
    </w:pPr>
  </w:style>
  <w:style w:type="character" w:customStyle="1" w:styleId="FooterChar">
    <w:name w:val="Footer Char"/>
    <w:basedOn w:val="DefaultParagraphFont"/>
    <w:link w:val="Footer"/>
    <w:uiPriority w:val="99"/>
    <w:rsid w:val="00E16DFA"/>
  </w:style>
  <w:style w:type="character" w:styleId="Hyperlink">
    <w:name w:val="Hyperlink"/>
    <w:basedOn w:val="DefaultParagraphFont"/>
    <w:uiPriority w:val="99"/>
    <w:unhideWhenUsed/>
    <w:rsid w:val="00E16DFA"/>
    <w:rPr>
      <w:color w:val="0563C1" w:themeColor="hyperlink"/>
      <w:u w:val="single"/>
    </w:rPr>
  </w:style>
  <w:style w:type="paragraph" w:styleId="BalloonText">
    <w:name w:val="Balloon Text"/>
    <w:basedOn w:val="Normal"/>
    <w:link w:val="BalloonTextChar"/>
    <w:uiPriority w:val="99"/>
    <w:semiHidden/>
    <w:unhideWhenUsed/>
    <w:rsid w:val="00DD188D"/>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DD188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58814">
      <w:bodyDiv w:val="1"/>
      <w:marLeft w:val="0"/>
      <w:marRight w:val="0"/>
      <w:marTop w:val="0"/>
      <w:marBottom w:val="0"/>
      <w:divBdr>
        <w:top w:val="none" w:sz="0" w:space="0" w:color="auto"/>
        <w:left w:val="none" w:sz="0" w:space="0" w:color="auto"/>
        <w:bottom w:val="none" w:sz="0" w:space="0" w:color="auto"/>
        <w:right w:val="none" w:sz="0" w:space="0" w:color="auto"/>
      </w:divBdr>
    </w:div>
    <w:div w:id="135684481">
      <w:bodyDiv w:val="1"/>
      <w:marLeft w:val="0"/>
      <w:marRight w:val="0"/>
      <w:marTop w:val="0"/>
      <w:marBottom w:val="0"/>
      <w:divBdr>
        <w:top w:val="none" w:sz="0" w:space="0" w:color="auto"/>
        <w:left w:val="none" w:sz="0" w:space="0" w:color="auto"/>
        <w:bottom w:val="none" w:sz="0" w:space="0" w:color="auto"/>
        <w:right w:val="none" w:sz="0" w:space="0" w:color="auto"/>
      </w:divBdr>
    </w:div>
    <w:div w:id="210925977">
      <w:bodyDiv w:val="1"/>
      <w:marLeft w:val="0"/>
      <w:marRight w:val="0"/>
      <w:marTop w:val="0"/>
      <w:marBottom w:val="0"/>
      <w:divBdr>
        <w:top w:val="none" w:sz="0" w:space="0" w:color="auto"/>
        <w:left w:val="none" w:sz="0" w:space="0" w:color="auto"/>
        <w:bottom w:val="none" w:sz="0" w:space="0" w:color="auto"/>
        <w:right w:val="none" w:sz="0" w:space="0" w:color="auto"/>
      </w:divBdr>
    </w:div>
    <w:div w:id="226186277">
      <w:bodyDiv w:val="1"/>
      <w:marLeft w:val="0"/>
      <w:marRight w:val="0"/>
      <w:marTop w:val="0"/>
      <w:marBottom w:val="0"/>
      <w:divBdr>
        <w:top w:val="none" w:sz="0" w:space="0" w:color="auto"/>
        <w:left w:val="none" w:sz="0" w:space="0" w:color="auto"/>
        <w:bottom w:val="none" w:sz="0" w:space="0" w:color="auto"/>
        <w:right w:val="none" w:sz="0" w:space="0" w:color="auto"/>
      </w:divBdr>
    </w:div>
    <w:div w:id="332488903">
      <w:bodyDiv w:val="1"/>
      <w:marLeft w:val="0"/>
      <w:marRight w:val="0"/>
      <w:marTop w:val="0"/>
      <w:marBottom w:val="0"/>
      <w:divBdr>
        <w:top w:val="none" w:sz="0" w:space="0" w:color="auto"/>
        <w:left w:val="none" w:sz="0" w:space="0" w:color="auto"/>
        <w:bottom w:val="none" w:sz="0" w:space="0" w:color="auto"/>
        <w:right w:val="none" w:sz="0" w:space="0" w:color="auto"/>
      </w:divBdr>
    </w:div>
    <w:div w:id="537350831">
      <w:bodyDiv w:val="1"/>
      <w:marLeft w:val="0"/>
      <w:marRight w:val="0"/>
      <w:marTop w:val="0"/>
      <w:marBottom w:val="0"/>
      <w:divBdr>
        <w:top w:val="none" w:sz="0" w:space="0" w:color="auto"/>
        <w:left w:val="none" w:sz="0" w:space="0" w:color="auto"/>
        <w:bottom w:val="none" w:sz="0" w:space="0" w:color="auto"/>
        <w:right w:val="none" w:sz="0" w:space="0" w:color="auto"/>
      </w:divBdr>
    </w:div>
    <w:div w:id="769279234">
      <w:bodyDiv w:val="1"/>
      <w:marLeft w:val="0"/>
      <w:marRight w:val="0"/>
      <w:marTop w:val="0"/>
      <w:marBottom w:val="0"/>
      <w:divBdr>
        <w:top w:val="none" w:sz="0" w:space="0" w:color="auto"/>
        <w:left w:val="none" w:sz="0" w:space="0" w:color="auto"/>
        <w:bottom w:val="none" w:sz="0" w:space="0" w:color="auto"/>
        <w:right w:val="none" w:sz="0" w:space="0" w:color="auto"/>
      </w:divBdr>
    </w:div>
    <w:div w:id="873083513">
      <w:bodyDiv w:val="1"/>
      <w:marLeft w:val="0"/>
      <w:marRight w:val="0"/>
      <w:marTop w:val="0"/>
      <w:marBottom w:val="0"/>
      <w:divBdr>
        <w:top w:val="none" w:sz="0" w:space="0" w:color="auto"/>
        <w:left w:val="none" w:sz="0" w:space="0" w:color="auto"/>
        <w:bottom w:val="none" w:sz="0" w:space="0" w:color="auto"/>
        <w:right w:val="none" w:sz="0" w:space="0" w:color="auto"/>
      </w:divBdr>
    </w:div>
    <w:div w:id="999162532">
      <w:bodyDiv w:val="1"/>
      <w:marLeft w:val="0"/>
      <w:marRight w:val="0"/>
      <w:marTop w:val="0"/>
      <w:marBottom w:val="0"/>
      <w:divBdr>
        <w:top w:val="none" w:sz="0" w:space="0" w:color="auto"/>
        <w:left w:val="none" w:sz="0" w:space="0" w:color="auto"/>
        <w:bottom w:val="none" w:sz="0" w:space="0" w:color="auto"/>
        <w:right w:val="none" w:sz="0" w:space="0" w:color="auto"/>
      </w:divBdr>
    </w:div>
    <w:div w:id="1082994647">
      <w:bodyDiv w:val="1"/>
      <w:marLeft w:val="0"/>
      <w:marRight w:val="0"/>
      <w:marTop w:val="0"/>
      <w:marBottom w:val="0"/>
      <w:divBdr>
        <w:top w:val="none" w:sz="0" w:space="0" w:color="auto"/>
        <w:left w:val="none" w:sz="0" w:space="0" w:color="auto"/>
        <w:bottom w:val="none" w:sz="0" w:space="0" w:color="auto"/>
        <w:right w:val="none" w:sz="0" w:space="0" w:color="auto"/>
      </w:divBdr>
    </w:div>
    <w:div w:id="1117605583">
      <w:bodyDiv w:val="1"/>
      <w:marLeft w:val="0"/>
      <w:marRight w:val="0"/>
      <w:marTop w:val="0"/>
      <w:marBottom w:val="0"/>
      <w:divBdr>
        <w:top w:val="none" w:sz="0" w:space="0" w:color="auto"/>
        <w:left w:val="none" w:sz="0" w:space="0" w:color="auto"/>
        <w:bottom w:val="none" w:sz="0" w:space="0" w:color="auto"/>
        <w:right w:val="none" w:sz="0" w:space="0" w:color="auto"/>
      </w:divBdr>
    </w:div>
    <w:div w:id="1283195471">
      <w:bodyDiv w:val="1"/>
      <w:marLeft w:val="0"/>
      <w:marRight w:val="0"/>
      <w:marTop w:val="0"/>
      <w:marBottom w:val="0"/>
      <w:divBdr>
        <w:top w:val="none" w:sz="0" w:space="0" w:color="auto"/>
        <w:left w:val="none" w:sz="0" w:space="0" w:color="auto"/>
        <w:bottom w:val="none" w:sz="0" w:space="0" w:color="auto"/>
        <w:right w:val="none" w:sz="0" w:space="0" w:color="auto"/>
      </w:divBdr>
    </w:div>
    <w:div w:id="1383406358">
      <w:bodyDiv w:val="1"/>
      <w:marLeft w:val="0"/>
      <w:marRight w:val="0"/>
      <w:marTop w:val="0"/>
      <w:marBottom w:val="0"/>
      <w:divBdr>
        <w:top w:val="none" w:sz="0" w:space="0" w:color="auto"/>
        <w:left w:val="none" w:sz="0" w:space="0" w:color="auto"/>
        <w:bottom w:val="none" w:sz="0" w:space="0" w:color="auto"/>
        <w:right w:val="none" w:sz="0" w:space="0" w:color="auto"/>
      </w:divBdr>
    </w:div>
    <w:div w:id="1445030214">
      <w:bodyDiv w:val="1"/>
      <w:marLeft w:val="0"/>
      <w:marRight w:val="0"/>
      <w:marTop w:val="0"/>
      <w:marBottom w:val="0"/>
      <w:divBdr>
        <w:top w:val="none" w:sz="0" w:space="0" w:color="auto"/>
        <w:left w:val="none" w:sz="0" w:space="0" w:color="auto"/>
        <w:bottom w:val="none" w:sz="0" w:space="0" w:color="auto"/>
        <w:right w:val="none" w:sz="0" w:space="0" w:color="auto"/>
      </w:divBdr>
    </w:div>
    <w:div w:id="1585453760">
      <w:bodyDiv w:val="1"/>
      <w:marLeft w:val="0"/>
      <w:marRight w:val="0"/>
      <w:marTop w:val="0"/>
      <w:marBottom w:val="0"/>
      <w:divBdr>
        <w:top w:val="none" w:sz="0" w:space="0" w:color="auto"/>
        <w:left w:val="none" w:sz="0" w:space="0" w:color="auto"/>
        <w:bottom w:val="none" w:sz="0" w:space="0" w:color="auto"/>
        <w:right w:val="none" w:sz="0" w:space="0" w:color="auto"/>
      </w:divBdr>
    </w:div>
    <w:div w:id="1593971016">
      <w:bodyDiv w:val="1"/>
      <w:marLeft w:val="0"/>
      <w:marRight w:val="0"/>
      <w:marTop w:val="0"/>
      <w:marBottom w:val="0"/>
      <w:divBdr>
        <w:top w:val="none" w:sz="0" w:space="0" w:color="auto"/>
        <w:left w:val="none" w:sz="0" w:space="0" w:color="auto"/>
        <w:bottom w:val="none" w:sz="0" w:space="0" w:color="auto"/>
        <w:right w:val="none" w:sz="0" w:space="0" w:color="auto"/>
      </w:divBdr>
    </w:div>
    <w:div w:id="1781802786">
      <w:bodyDiv w:val="1"/>
      <w:marLeft w:val="0"/>
      <w:marRight w:val="0"/>
      <w:marTop w:val="0"/>
      <w:marBottom w:val="0"/>
      <w:divBdr>
        <w:top w:val="none" w:sz="0" w:space="0" w:color="auto"/>
        <w:left w:val="none" w:sz="0" w:space="0" w:color="auto"/>
        <w:bottom w:val="none" w:sz="0" w:space="0" w:color="auto"/>
        <w:right w:val="none" w:sz="0" w:space="0" w:color="auto"/>
      </w:divBdr>
      <w:divsChild>
        <w:div w:id="117845662">
          <w:marLeft w:val="0"/>
          <w:marRight w:val="0"/>
          <w:marTop w:val="0"/>
          <w:marBottom w:val="120"/>
          <w:divBdr>
            <w:top w:val="none" w:sz="0" w:space="0" w:color="auto"/>
            <w:left w:val="none" w:sz="0" w:space="0" w:color="auto"/>
            <w:bottom w:val="none" w:sz="0" w:space="0" w:color="auto"/>
            <w:right w:val="none" w:sz="0" w:space="0" w:color="auto"/>
          </w:divBdr>
        </w:div>
        <w:div w:id="66197912">
          <w:marLeft w:val="0"/>
          <w:marRight w:val="0"/>
          <w:marTop w:val="0"/>
          <w:marBottom w:val="0"/>
          <w:divBdr>
            <w:top w:val="none" w:sz="0" w:space="0" w:color="auto"/>
            <w:left w:val="none" w:sz="0" w:space="0" w:color="auto"/>
            <w:bottom w:val="none" w:sz="0" w:space="0" w:color="auto"/>
            <w:right w:val="none" w:sz="0" w:space="0" w:color="auto"/>
          </w:divBdr>
        </w:div>
      </w:divsChild>
    </w:div>
    <w:div w:id="1803382958">
      <w:bodyDiv w:val="1"/>
      <w:marLeft w:val="0"/>
      <w:marRight w:val="0"/>
      <w:marTop w:val="0"/>
      <w:marBottom w:val="0"/>
      <w:divBdr>
        <w:top w:val="none" w:sz="0" w:space="0" w:color="auto"/>
        <w:left w:val="none" w:sz="0" w:space="0" w:color="auto"/>
        <w:bottom w:val="none" w:sz="0" w:space="0" w:color="auto"/>
        <w:right w:val="none" w:sz="0" w:space="0" w:color="auto"/>
      </w:divBdr>
    </w:div>
    <w:div w:id="1867718051">
      <w:bodyDiv w:val="1"/>
      <w:marLeft w:val="0"/>
      <w:marRight w:val="0"/>
      <w:marTop w:val="0"/>
      <w:marBottom w:val="0"/>
      <w:divBdr>
        <w:top w:val="none" w:sz="0" w:space="0" w:color="auto"/>
        <w:left w:val="none" w:sz="0" w:space="0" w:color="auto"/>
        <w:bottom w:val="none" w:sz="0" w:space="0" w:color="auto"/>
        <w:right w:val="none" w:sz="0" w:space="0" w:color="auto"/>
      </w:divBdr>
    </w:div>
    <w:div w:id="1880312198">
      <w:bodyDiv w:val="1"/>
      <w:marLeft w:val="0"/>
      <w:marRight w:val="0"/>
      <w:marTop w:val="0"/>
      <w:marBottom w:val="0"/>
      <w:divBdr>
        <w:top w:val="none" w:sz="0" w:space="0" w:color="auto"/>
        <w:left w:val="none" w:sz="0" w:space="0" w:color="auto"/>
        <w:bottom w:val="none" w:sz="0" w:space="0" w:color="auto"/>
        <w:right w:val="none" w:sz="0" w:space="0" w:color="auto"/>
      </w:divBdr>
    </w:div>
    <w:div w:id="1918248372">
      <w:bodyDiv w:val="1"/>
      <w:marLeft w:val="0"/>
      <w:marRight w:val="0"/>
      <w:marTop w:val="0"/>
      <w:marBottom w:val="0"/>
      <w:divBdr>
        <w:top w:val="none" w:sz="0" w:space="0" w:color="auto"/>
        <w:left w:val="none" w:sz="0" w:space="0" w:color="auto"/>
        <w:bottom w:val="none" w:sz="0" w:space="0" w:color="auto"/>
        <w:right w:val="none" w:sz="0" w:space="0" w:color="auto"/>
      </w:divBdr>
    </w:div>
    <w:div w:id="211107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6FC0B-4FBD-4D21-8300-2DA9B5E45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2996</Words>
  <Characters>17079</Characters>
  <Application>Microsoft Office Word</Application>
  <DocSecurity>0</DocSecurity>
  <Lines>142</Lines>
  <Paragraphs>40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hjpark</dc:creator>
  <cp:keywords/>
  <dc:description/>
  <cp:lastModifiedBy>Tsitsino Kobakhidze</cp:lastModifiedBy>
  <cp:revision>11</cp:revision>
  <cp:lastPrinted>2026-06-23T07:52:00Z</cp:lastPrinted>
  <dcterms:created xsi:type="dcterms:W3CDTF">2026-07-28T12:14:00Z</dcterms:created>
  <dcterms:modified xsi:type="dcterms:W3CDTF">2026-08-24T08:35:00Z</dcterms:modified>
</cp:coreProperties>
</file>