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80739" w14:textId="06B4C1A9" w:rsidR="00F1040C" w:rsidRDefault="00F1040C" w:rsidP="005A756C">
      <w:pPr>
        <w:spacing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გამოყენების ინსტრუქცია</w:t>
      </w:r>
    </w:p>
    <w:p w14:paraId="5A89D5EB" w14:textId="77777777" w:rsidR="00BB31D4" w:rsidRPr="001B12DC" w:rsidRDefault="00BB31D4" w:rsidP="00BB31D4">
      <w:pPr>
        <w:spacing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1B12DC">
        <w:rPr>
          <w:rFonts w:ascii="Sylfaen" w:hAnsi="Sylfaen"/>
          <w:b/>
          <w:sz w:val="24"/>
          <w:szCs w:val="24"/>
          <w:lang w:val="ka-GE"/>
        </w:rPr>
        <w:t>ორლობინი®</w:t>
      </w:r>
    </w:p>
    <w:p w14:paraId="74E08BC2" w14:textId="731EB423" w:rsidR="00BB31D4" w:rsidRPr="001B12DC" w:rsidRDefault="00BB31D4" w:rsidP="00BB31D4">
      <w:pPr>
        <w:spacing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1B12DC">
        <w:rPr>
          <w:rFonts w:ascii="Sylfaen" w:hAnsi="Sylfaen"/>
          <w:b/>
          <w:sz w:val="24"/>
          <w:szCs w:val="24"/>
          <w:lang w:val="ka-GE"/>
        </w:rPr>
        <w:t>საინექციო ხსნარი 1000მგ/4მლ, 500მგ/2მლ, 100მგ/2მლ</w:t>
      </w:r>
    </w:p>
    <w:p w14:paraId="655E92A7" w14:textId="77777777" w:rsidR="00BB31D4" w:rsidRPr="001B12DC" w:rsidRDefault="00BB31D4" w:rsidP="00BB31D4">
      <w:pPr>
        <w:spacing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1B12DC">
        <w:rPr>
          <w:rFonts w:ascii="Sylfaen" w:hAnsi="Sylfaen"/>
          <w:b/>
          <w:sz w:val="24"/>
          <w:szCs w:val="24"/>
          <w:lang w:val="ka-GE"/>
        </w:rPr>
        <w:t>პრეპარატ ორლობინის გამოყენების შესახებ</w:t>
      </w:r>
    </w:p>
    <w:p w14:paraId="782CF033" w14:textId="77777777" w:rsidR="00BB31D4" w:rsidRPr="001B12DC" w:rsidRDefault="00BB31D4" w:rsidP="00BB31D4">
      <w:pPr>
        <w:spacing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1B12DC">
        <w:rPr>
          <w:rFonts w:ascii="Sylfaen" w:hAnsi="Sylfaen"/>
          <w:b/>
          <w:sz w:val="24"/>
          <w:szCs w:val="24"/>
          <w:lang w:val="ka-GE"/>
        </w:rPr>
        <w:t>/ამიკაცინი/</w:t>
      </w:r>
    </w:p>
    <w:p w14:paraId="407EDCAD" w14:textId="77777777" w:rsidR="005A756C" w:rsidRDefault="00BB31D4" w:rsidP="005A75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1B12DC">
        <w:rPr>
          <w:rFonts w:ascii="Sylfaen" w:hAnsi="Sylfaen"/>
          <w:b/>
          <w:sz w:val="24"/>
          <w:szCs w:val="24"/>
          <w:lang w:val="ka-GE"/>
        </w:rPr>
        <w:t>შემადგენლობა:</w:t>
      </w:r>
    </w:p>
    <w:p w14:paraId="182016CA" w14:textId="32C863C4" w:rsidR="00BB31D4" w:rsidRDefault="00BB31D4" w:rsidP="005A75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B12DC">
        <w:rPr>
          <w:rFonts w:ascii="Sylfaen" w:hAnsi="Sylfaen"/>
          <w:sz w:val="24"/>
          <w:szCs w:val="24"/>
          <w:lang w:val="ka-GE"/>
        </w:rPr>
        <w:t>1 ფლაკონი შეიცავს 1000</w:t>
      </w:r>
      <w:r w:rsidR="004B38A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B12DC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>/4</w:t>
      </w:r>
      <w:r w:rsidR="004B38A3">
        <w:rPr>
          <w:rFonts w:ascii="Sylfaen" w:hAnsi="Sylfaen"/>
          <w:sz w:val="24"/>
          <w:szCs w:val="24"/>
          <w:lang w:val="ka-GE"/>
        </w:rPr>
        <w:t xml:space="preserve"> </w:t>
      </w:r>
      <w:r w:rsidRPr="001B12DC">
        <w:rPr>
          <w:rFonts w:ascii="Sylfaen" w:hAnsi="Sylfaen"/>
          <w:sz w:val="24"/>
          <w:szCs w:val="24"/>
          <w:lang w:val="ka-GE"/>
        </w:rPr>
        <w:t>მლ ან 500</w:t>
      </w:r>
      <w:r w:rsidR="004B38A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B12DC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>/2</w:t>
      </w:r>
      <w:r w:rsidR="004B38A3">
        <w:rPr>
          <w:rFonts w:ascii="Sylfaen" w:hAnsi="Sylfaen"/>
          <w:sz w:val="24"/>
          <w:szCs w:val="24"/>
          <w:lang w:val="ka-GE"/>
        </w:rPr>
        <w:t xml:space="preserve"> </w:t>
      </w:r>
      <w:r w:rsidRPr="001B12DC">
        <w:rPr>
          <w:rFonts w:ascii="Sylfaen" w:hAnsi="Sylfaen"/>
          <w:sz w:val="24"/>
          <w:szCs w:val="24"/>
          <w:lang w:val="ka-GE"/>
        </w:rPr>
        <w:t>მლ ან 100</w:t>
      </w:r>
      <w:r w:rsidR="004B38A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B12DC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>/2</w:t>
      </w:r>
      <w:r w:rsidR="004B38A3">
        <w:rPr>
          <w:rFonts w:ascii="Sylfaen" w:hAnsi="Sylfaen"/>
          <w:sz w:val="24"/>
          <w:szCs w:val="24"/>
          <w:lang w:val="ka-GE"/>
        </w:rPr>
        <w:t xml:space="preserve"> </w:t>
      </w:r>
      <w:r w:rsidRPr="001B12DC">
        <w:rPr>
          <w:rFonts w:ascii="Sylfaen" w:hAnsi="Sylfaen"/>
          <w:sz w:val="24"/>
          <w:szCs w:val="24"/>
          <w:lang w:val="ka-GE"/>
        </w:rPr>
        <w:t xml:space="preserve">მლ </w:t>
      </w:r>
      <w:proofErr w:type="spellStart"/>
      <w:r w:rsidRPr="001B12DC">
        <w:rPr>
          <w:rFonts w:ascii="Sylfaen" w:hAnsi="Sylfaen"/>
          <w:sz w:val="24"/>
          <w:szCs w:val="24"/>
          <w:lang w:val="ka-GE"/>
        </w:rPr>
        <w:t>ამიკაცინის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 xml:space="preserve"> სულფატს.</w:t>
      </w:r>
    </w:p>
    <w:p w14:paraId="67A84A1F" w14:textId="77777777" w:rsidR="005A756C" w:rsidRPr="005A756C" w:rsidRDefault="005A756C" w:rsidP="005A75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216EF5E" w14:textId="77777777" w:rsidR="00BB31D4" w:rsidRPr="001B12DC" w:rsidRDefault="00BB31D4" w:rsidP="005A75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1B12DC">
        <w:rPr>
          <w:rFonts w:ascii="Sylfaen" w:hAnsi="Sylfaen"/>
          <w:b/>
          <w:sz w:val="24"/>
          <w:szCs w:val="24"/>
          <w:lang w:val="ka-GE"/>
        </w:rPr>
        <w:t>ფარმაკოლოგიური თვისებები და გამოყენების ჩვენებები</w:t>
      </w:r>
    </w:p>
    <w:p w14:paraId="64E9B486" w14:textId="26AA3FBE" w:rsidR="00BB31D4" w:rsidRPr="001B12DC" w:rsidRDefault="00BB31D4" w:rsidP="005A75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B12DC">
        <w:rPr>
          <w:rFonts w:ascii="Sylfaen" w:hAnsi="Sylfaen"/>
          <w:sz w:val="24"/>
          <w:szCs w:val="24"/>
          <w:lang w:val="ka-GE"/>
        </w:rPr>
        <w:t xml:space="preserve">ორლობინი - ამიკაცინის სულფატი - მოქმედების ფართო სპექტრის ნახევრად სინთეზური და ამინოგლიკოზიდური ანტიბიოტიკი. გააჩნია </w:t>
      </w:r>
      <w:proofErr w:type="spellStart"/>
      <w:r w:rsidRPr="001B12DC">
        <w:rPr>
          <w:rFonts w:ascii="Sylfaen" w:hAnsi="Sylfaen"/>
          <w:sz w:val="24"/>
          <w:szCs w:val="24"/>
          <w:lang w:val="ka-GE"/>
        </w:rPr>
        <w:t>ბაქტერიციდული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 xml:space="preserve"> მოქმედება, კუნთში შეყვანისას სწრაფად შეიწოვება სისხლის ნაკადში. პლაზმაში კონცენტრაციის პიკი მიიღწევა 250 მგ და 500 </w:t>
      </w:r>
      <w:proofErr w:type="spellStart"/>
      <w:r w:rsidRPr="001B12DC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 xml:space="preserve"> დოზების კუნთში შეყვანიდან 1 საათის შემდეგ და შეადგენს 11 მკგ/მლ და 23 მკგ/მლ-ს შესაბამისად. ანტიბიოტიკის 20% უკავშირდება შრატის ცილებს და ანტიბიოტიკის კონცენტრაციის ბაქტერიციდული დონე შრატში ნარჩუნდება 10-20 საათის განმავლობაში და შეადგენს 0,3 მკგ/მლ და 2.1 მკგ/მლ-ს შესაბამისად. ნახევარგამოყოფის პერიოდი შეადგენს 2-3 საათს. პრეპარატი გამოიყოფა თირკმელებით უცვლელი ფორმით, ძირითადად, გლომერულარული ფილტრაციით. პარენტერალური შეყვანის შემდეგ ორლობინი აღწევს ცერებროსპინალურ სითხეში, პლევრის სითხეში, </w:t>
      </w:r>
      <w:proofErr w:type="spellStart"/>
      <w:r w:rsidRPr="001B12DC">
        <w:rPr>
          <w:rFonts w:ascii="Sylfaen" w:hAnsi="Sylfaen"/>
          <w:sz w:val="24"/>
          <w:szCs w:val="24"/>
          <w:lang w:val="ka-GE"/>
        </w:rPr>
        <w:t>ამნიო</w:t>
      </w:r>
      <w:r w:rsidR="005A756C">
        <w:rPr>
          <w:rFonts w:ascii="Sylfaen" w:hAnsi="Sylfaen"/>
          <w:sz w:val="24"/>
          <w:szCs w:val="24"/>
          <w:lang w:val="ka-GE"/>
        </w:rPr>
        <w:t>ნ</w:t>
      </w:r>
      <w:r w:rsidRPr="001B12DC">
        <w:rPr>
          <w:rFonts w:ascii="Sylfaen" w:hAnsi="Sylfaen"/>
          <w:sz w:val="24"/>
          <w:szCs w:val="24"/>
          <w:lang w:val="ka-GE"/>
        </w:rPr>
        <w:t>ურ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 xml:space="preserve"> სითხეში, მუცლის ღრუში. პრეპარატი არ გროვდება ორგანიზმში განმეორებით შეყვანისას. ორლობინი გამოიყენება მძიმე ინფექციების სამკურნალოდ, რომლებიც გამოწვეულია ამიკაცინის მიმართ მგრძნობიარე ფლორით: Pseudomonas spp., Escherichia coli, ინდოლპოზიტიური და ინდოლნეგატიური Proteus spp., Klebsiella-Enterobacter Serratia, Citrobacter, Salmonella, Shigella, Providencia. ამიკაცინის მიმართ ასევე მგრძნობიარეა ზოგიერთი გრამდადებითი მიკროორგანიზმი:</w:t>
      </w:r>
      <w:r w:rsidR="00A15ED0" w:rsidRPr="001B12DC">
        <w:rPr>
          <w:rFonts w:ascii="Sylfaen" w:hAnsi="Sylfaen"/>
          <w:sz w:val="24"/>
          <w:szCs w:val="24"/>
          <w:lang w:val="ka-GE"/>
        </w:rPr>
        <w:t xml:space="preserve"> </w:t>
      </w:r>
      <w:r w:rsidRPr="001B12DC">
        <w:rPr>
          <w:rFonts w:ascii="Sylfaen" w:hAnsi="Sylfaen"/>
          <w:sz w:val="24"/>
          <w:szCs w:val="24"/>
          <w:lang w:val="ka-GE"/>
        </w:rPr>
        <w:t xml:space="preserve">Staphylococcus spp., /მათ შორის </w:t>
      </w:r>
      <w:proofErr w:type="spellStart"/>
      <w:r w:rsidRPr="001B12DC">
        <w:rPr>
          <w:rFonts w:ascii="Sylfaen" w:hAnsi="Sylfaen"/>
          <w:sz w:val="24"/>
          <w:szCs w:val="24"/>
          <w:lang w:val="ka-GE"/>
        </w:rPr>
        <w:t>მე</w:t>
      </w:r>
      <w:r w:rsidR="00E34279">
        <w:rPr>
          <w:rFonts w:ascii="Sylfaen" w:hAnsi="Sylfaen"/>
          <w:sz w:val="24"/>
          <w:szCs w:val="24"/>
          <w:lang w:val="ka-GE"/>
        </w:rPr>
        <w:t>ტ</w:t>
      </w:r>
      <w:r w:rsidRPr="001B12DC">
        <w:rPr>
          <w:rFonts w:ascii="Sylfaen" w:hAnsi="Sylfaen"/>
          <w:sz w:val="24"/>
          <w:szCs w:val="24"/>
          <w:lang w:val="ka-GE"/>
        </w:rPr>
        <w:t>იცილინ</w:t>
      </w:r>
      <w:r w:rsidR="00E34279">
        <w:rPr>
          <w:rFonts w:ascii="Sylfaen" w:hAnsi="Sylfaen"/>
          <w:sz w:val="24"/>
          <w:szCs w:val="24"/>
          <w:lang w:val="ka-GE"/>
        </w:rPr>
        <w:t>რეზისტენტული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 xml:space="preserve"> შტამები/, </w:t>
      </w:r>
      <w:proofErr w:type="spellStart"/>
      <w:r w:rsidRPr="001B12DC">
        <w:rPr>
          <w:rFonts w:ascii="Sylfaen" w:hAnsi="Sylfaen"/>
          <w:sz w:val="24"/>
          <w:szCs w:val="24"/>
          <w:lang w:val="ka-GE"/>
        </w:rPr>
        <w:t>Streptococcus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B12DC">
        <w:rPr>
          <w:rFonts w:ascii="Sylfaen" w:hAnsi="Sylfaen"/>
          <w:sz w:val="24"/>
          <w:szCs w:val="24"/>
          <w:lang w:val="ka-GE"/>
        </w:rPr>
        <w:t>piogenes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>, pneumonia, Enterococcus:</w:t>
      </w:r>
    </w:p>
    <w:p w14:paraId="74BF6E8A" w14:textId="77777777" w:rsidR="00BB31D4" w:rsidRPr="001B12DC" w:rsidRDefault="00BB31D4" w:rsidP="00BB31D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B12DC">
        <w:rPr>
          <w:rFonts w:ascii="Sylfaen" w:hAnsi="Sylfaen"/>
          <w:sz w:val="24"/>
          <w:szCs w:val="24"/>
          <w:lang w:val="ka-GE"/>
        </w:rPr>
        <w:t>პერიტონიტი</w:t>
      </w:r>
    </w:p>
    <w:p w14:paraId="6F00999E" w14:textId="77777777" w:rsidR="00BB31D4" w:rsidRPr="001B12DC" w:rsidRDefault="00BB31D4" w:rsidP="00BB31D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B12DC">
        <w:rPr>
          <w:rFonts w:ascii="Sylfaen" w:hAnsi="Sylfaen"/>
          <w:sz w:val="24"/>
          <w:szCs w:val="24"/>
          <w:lang w:val="ka-GE"/>
        </w:rPr>
        <w:t>ენდოკარდიტი</w:t>
      </w:r>
    </w:p>
    <w:p w14:paraId="05123B69" w14:textId="77777777" w:rsidR="00BB31D4" w:rsidRPr="001B12DC" w:rsidRDefault="00BB31D4" w:rsidP="00BB31D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B12DC">
        <w:rPr>
          <w:rFonts w:ascii="Sylfaen" w:hAnsi="Sylfaen"/>
          <w:sz w:val="24"/>
          <w:szCs w:val="24"/>
          <w:lang w:val="ka-GE"/>
        </w:rPr>
        <w:t>სეფსისი</w:t>
      </w:r>
    </w:p>
    <w:p w14:paraId="277DEC1C" w14:textId="77777777" w:rsidR="00BB31D4" w:rsidRPr="001B12DC" w:rsidRDefault="00BB31D4" w:rsidP="00BB31D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B12DC">
        <w:rPr>
          <w:rFonts w:ascii="Sylfaen" w:hAnsi="Sylfaen"/>
          <w:sz w:val="24"/>
          <w:szCs w:val="24"/>
          <w:lang w:val="ka-GE"/>
        </w:rPr>
        <w:t>მენინგიტი</w:t>
      </w:r>
    </w:p>
    <w:p w14:paraId="24D7B428" w14:textId="77777777" w:rsidR="00BB31D4" w:rsidRPr="001B12DC" w:rsidRDefault="00BB31D4" w:rsidP="00BB31D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B12DC">
        <w:rPr>
          <w:rFonts w:ascii="Sylfaen" w:hAnsi="Sylfaen"/>
          <w:sz w:val="24"/>
          <w:szCs w:val="24"/>
          <w:lang w:val="ka-GE"/>
        </w:rPr>
        <w:t>პნევმონია</w:t>
      </w:r>
    </w:p>
    <w:p w14:paraId="02272F0A" w14:textId="274EFF2F" w:rsidR="00BB31D4" w:rsidRPr="001B12DC" w:rsidRDefault="00BB31D4" w:rsidP="00BB31D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B12DC">
        <w:rPr>
          <w:rFonts w:ascii="Sylfaen" w:hAnsi="Sylfaen"/>
          <w:sz w:val="24"/>
          <w:szCs w:val="24"/>
          <w:lang w:val="ka-GE"/>
        </w:rPr>
        <w:t>პლევრის ემ</w:t>
      </w:r>
      <w:r w:rsidR="00E34279">
        <w:rPr>
          <w:rFonts w:ascii="Sylfaen" w:hAnsi="Sylfaen"/>
          <w:sz w:val="24"/>
          <w:szCs w:val="24"/>
          <w:lang w:val="ka-GE"/>
        </w:rPr>
        <w:t>პ</w:t>
      </w:r>
      <w:r w:rsidRPr="001B12DC">
        <w:rPr>
          <w:rFonts w:ascii="Sylfaen" w:hAnsi="Sylfaen"/>
          <w:sz w:val="24"/>
          <w:szCs w:val="24"/>
          <w:lang w:val="ka-GE"/>
        </w:rPr>
        <w:t>იემა</w:t>
      </w:r>
    </w:p>
    <w:p w14:paraId="34443134" w14:textId="77777777" w:rsidR="00BB31D4" w:rsidRPr="001B12DC" w:rsidRDefault="00BB31D4" w:rsidP="00BB31D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B12DC">
        <w:rPr>
          <w:rFonts w:ascii="Sylfaen" w:hAnsi="Sylfaen"/>
          <w:sz w:val="24"/>
          <w:szCs w:val="24"/>
          <w:lang w:val="ka-GE"/>
        </w:rPr>
        <w:t>კანისა და რბილი ქსოვილების ჩირქოვანი ინფექციები</w:t>
      </w:r>
    </w:p>
    <w:p w14:paraId="372075EE" w14:textId="77777777" w:rsidR="00BB31D4" w:rsidRPr="001B12DC" w:rsidRDefault="00BB31D4" w:rsidP="00BB31D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B12DC">
        <w:rPr>
          <w:rFonts w:ascii="Sylfaen" w:hAnsi="Sylfaen"/>
          <w:sz w:val="24"/>
          <w:szCs w:val="24"/>
          <w:lang w:val="ka-GE"/>
        </w:rPr>
        <w:t>ინფიცირებული დამწვრობები</w:t>
      </w:r>
    </w:p>
    <w:p w14:paraId="7358F45D" w14:textId="77777777" w:rsidR="00BB31D4" w:rsidRPr="001B12DC" w:rsidRDefault="00BB31D4" w:rsidP="00BB31D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B12DC">
        <w:rPr>
          <w:rFonts w:ascii="Sylfaen" w:hAnsi="Sylfaen"/>
          <w:sz w:val="24"/>
          <w:szCs w:val="24"/>
          <w:lang w:val="ka-GE"/>
        </w:rPr>
        <w:t>ოსტეომიელიტი</w:t>
      </w:r>
    </w:p>
    <w:p w14:paraId="36A389DF" w14:textId="77777777" w:rsidR="00BB31D4" w:rsidRPr="001B12DC" w:rsidRDefault="00BB31D4" w:rsidP="00BB31D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B12DC">
        <w:rPr>
          <w:rFonts w:ascii="Sylfaen" w:hAnsi="Sylfaen"/>
          <w:sz w:val="24"/>
          <w:szCs w:val="24"/>
          <w:lang w:val="ka-GE"/>
        </w:rPr>
        <w:t>შარდგამომყოფი გზების ხშირად მორეციდივე ინფექციები.</w:t>
      </w:r>
    </w:p>
    <w:p w14:paraId="3AED140B" w14:textId="77777777" w:rsidR="00BB31D4" w:rsidRPr="001B12DC" w:rsidRDefault="00BB31D4" w:rsidP="005A75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1B12DC">
        <w:rPr>
          <w:rFonts w:ascii="Sylfaen" w:hAnsi="Sylfaen"/>
          <w:b/>
          <w:sz w:val="24"/>
          <w:szCs w:val="24"/>
          <w:lang w:val="ka-GE"/>
        </w:rPr>
        <w:t>უკუჩვენებები</w:t>
      </w:r>
    </w:p>
    <w:p w14:paraId="3426B048" w14:textId="77777777" w:rsidR="00BB31D4" w:rsidRDefault="00BB31D4" w:rsidP="005A75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B12DC">
        <w:rPr>
          <w:rFonts w:ascii="Sylfaen" w:hAnsi="Sylfaen"/>
          <w:sz w:val="24"/>
          <w:szCs w:val="24"/>
          <w:lang w:val="ka-GE"/>
        </w:rPr>
        <w:t>ორლობინი უკუნაჩვენებია ამიკაცინის მიმართ დადასტურებული მომატებული მგრძნობელობისას, თირკმლის მწვავე უკმარისობისას, ორსულობისას.</w:t>
      </w:r>
    </w:p>
    <w:p w14:paraId="2BBC5559" w14:textId="77777777" w:rsidR="005A756C" w:rsidRPr="001B12DC" w:rsidRDefault="005A756C" w:rsidP="005A75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B457C2B" w14:textId="77777777" w:rsidR="00BB31D4" w:rsidRPr="001B12DC" w:rsidRDefault="00BB31D4" w:rsidP="005A75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1B12DC">
        <w:rPr>
          <w:rFonts w:ascii="Sylfaen" w:hAnsi="Sylfaen"/>
          <w:b/>
          <w:sz w:val="24"/>
          <w:szCs w:val="24"/>
          <w:lang w:val="ka-GE"/>
        </w:rPr>
        <w:t>გამოყენების წესი და დოზები:</w:t>
      </w:r>
    </w:p>
    <w:p w14:paraId="43B9586F" w14:textId="617E49D6" w:rsidR="00BB31D4" w:rsidRPr="001B12DC" w:rsidRDefault="00BB31D4" w:rsidP="005A75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B12DC">
        <w:rPr>
          <w:rFonts w:ascii="Sylfaen" w:hAnsi="Sylfaen"/>
          <w:sz w:val="24"/>
          <w:szCs w:val="24"/>
          <w:lang w:val="ka-GE"/>
        </w:rPr>
        <w:t>ორლობინი შეჰყავთ კუნთში და ვენ</w:t>
      </w:r>
      <w:r w:rsidR="00E34279">
        <w:rPr>
          <w:rFonts w:ascii="Sylfaen" w:hAnsi="Sylfaen"/>
          <w:sz w:val="24"/>
          <w:szCs w:val="24"/>
          <w:lang w:val="ka-GE"/>
        </w:rPr>
        <w:t>ა</w:t>
      </w:r>
      <w:r w:rsidRPr="001B12DC">
        <w:rPr>
          <w:rFonts w:ascii="Sylfaen" w:hAnsi="Sylfaen"/>
          <w:sz w:val="24"/>
          <w:szCs w:val="24"/>
          <w:lang w:val="ka-GE"/>
        </w:rPr>
        <w:t>ში/ნაკადით და წვეთებით/.</w:t>
      </w:r>
    </w:p>
    <w:p w14:paraId="388279DC" w14:textId="15450994" w:rsidR="00BB31D4" w:rsidRPr="001B12DC" w:rsidRDefault="00BB31D4" w:rsidP="005A75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B12DC">
        <w:rPr>
          <w:rFonts w:ascii="Sylfaen" w:hAnsi="Sylfaen"/>
          <w:sz w:val="24"/>
          <w:szCs w:val="24"/>
          <w:lang w:val="ka-GE"/>
        </w:rPr>
        <w:lastRenderedPageBreak/>
        <w:t xml:space="preserve">მოზრდილებსა და ბავშვებს ორლობინი ენიშნებათ 10-15 მგ/კგ სადღეღამისო დოზით, რომელიც იყოფა ორ შეყვანაზე. ახალშობილებსა და დღენაკლულ ბავშვებს ენიშნებათ 10 მგ/კგ სადღეღამისო დოზით, შემდეგ ყოველ 12 საათში 7.5 </w:t>
      </w:r>
      <w:proofErr w:type="spellStart"/>
      <w:r w:rsidRPr="001B12DC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>/კგ. ლურჯ-ჩირქოვანი ჩხირით გამოწვეული ინფექციებისას და სიცოცხლისათის საშიში ინფექციებისას ორლობინი ინიშნება დოზით 15 მგ/კგ დღე-ღამეში, რომელიც იყოფა 3 შეყვანაზე. მაქსიმალური სადღეღამისო დოზა შეადგენს 1,5 გ-ს. მკურნალობის ხანგრძლივობა არის 3-7 დღე ვენ</w:t>
      </w:r>
      <w:r w:rsidR="00542DA3">
        <w:rPr>
          <w:rFonts w:ascii="Sylfaen" w:hAnsi="Sylfaen"/>
          <w:sz w:val="24"/>
          <w:szCs w:val="24"/>
          <w:lang w:val="ka-GE"/>
        </w:rPr>
        <w:t>ა</w:t>
      </w:r>
      <w:r w:rsidRPr="001B12DC">
        <w:rPr>
          <w:rFonts w:ascii="Sylfaen" w:hAnsi="Sylfaen"/>
          <w:sz w:val="24"/>
          <w:szCs w:val="24"/>
          <w:lang w:val="ka-GE"/>
        </w:rPr>
        <w:t>ში შეყვანისას და 7-10 დღე კუნთში შეყვანისას.</w:t>
      </w:r>
    </w:p>
    <w:p w14:paraId="3ED261B2" w14:textId="77777777" w:rsidR="00542DA3" w:rsidRDefault="00BB31D4" w:rsidP="00542DA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B12DC">
        <w:rPr>
          <w:rFonts w:ascii="Sylfaen" w:hAnsi="Sylfaen"/>
          <w:sz w:val="24"/>
          <w:szCs w:val="24"/>
          <w:lang w:val="ka-GE"/>
        </w:rPr>
        <w:t xml:space="preserve">თირკმელების გამომყოფი ფუნქციის დარღვევის მქონე პაციენტებში დოზირების რეჟიმი უნდა </w:t>
      </w:r>
      <w:proofErr w:type="spellStart"/>
      <w:r w:rsidRPr="001B12DC">
        <w:rPr>
          <w:rFonts w:ascii="Sylfaen" w:hAnsi="Sylfaen"/>
          <w:sz w:val="24"/>
          <w:szCs w:val="24"/>
          <w:lang w:val="ka-GE"/>
        </w:rPr>
        <w:t>დაკორექტირდეს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>:</w:t>
      </w:r>
    </w:p>
    <w:p w14:paraId="0CC01FD6" w14:textId="72A7648F" w:rsidR="00BB31D4" w:rsidRDefault="00BB31D4" w:rsidP="00542DA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B12DC">
        <w:rPr>
          <w:rFonts w:ascii="Sylfaen" w:hAnsi="Sylfaen"/>
          <w:sz w:val="24"/>
          <w:szCs w:val="24"/>
          <w:lang w:val="ka-GE"/>
        </w:rPr>
        <w:t>ინტრაპერიტონეალური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 xml:space="preserve"> შეყვანა. ავადმყოფის ნარკოზიდან გამოსვლის შემდეგ ორლობინის გამოყენება შეიძლება ინტრაპერიტონეალურად 0,25% /2,5 მგ/მლ/ ან ჭრილობაში ჩაწვეთებით ხსნარის სახით: 500 </w:t>
      </w:r>
      <w:proofErr w:type="spellStart"/>
      <w:r w:rsidRPr="001B12DC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 xml:space="preserve"> უნდა გა</w:t>
      </w:r>
      <w:r w:rsidR="00542DA3">
        <w:rPr>
          <w:rFonts w:ascii="Sylfaen" w:hAnsi="Sylfaen"/>
          <w:sz w:val="24"/>
          <w:szCs w:val="24"/>
          <w:lang w:val="ka-GE"/>
        </w:rPr>
        <w:t>ნ</w:t>
      </w:r>
      <w:r w:rsidRPr="001B12DC">
        <w:rPr>
          <w:rFonts w:ascii="Sylfaen" w:hAnsi="Sylfaen"/>
          <w:sz w:val="24"/>
          <w:szCs w:val="24"/>
          <w:lang w:val="ka-GE"/>
        </w:rPr>
        <w:t xml:space="preserve">ზავდეს 20 მლ წყალში. </w:t>
      </w:r>
      <w:proofErr w:type="spellStart"/>
      <w:r w:rsidRPr="001B12DC">
        <w:rPr>
          <w:rFonts w:ascii="Sylfaen" w:hAnsi="Sylfaen"/>
          <w:sz w:val="24"/>
          <w:szCs w:val="24"/>
          <w:lang w:val="ka-GE"/>
        </w:rPr>
        <w:t>ორლობინი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 xml:space="preserve"> შეიძლება</w:t>
      </w:r>
      <w:r w:rsidR="001B12DC" w:rsidRPr="001B12DC">
        <w:rPr>
          <w:rFonts w:ascii="Sylfaen" w:hAnsi="Sylfaen"/>
          <w:sz w:val="24"/>
          <w:szCs w:val="24"/>
          <w:lang w:val="ka-GE"/>
        </w:rPr>
        <w:t xml:space="preserve"> ასევე გამოყენებული იყოს 0,25% კონცენტრაციით აბსცედირებადი ღრუს ირიგიაციისთვის პლევრალურ და </w:t>
      </w:r>
      <w:proofErr w:type="spellStart"/>
      <w:r w:rsidR="001B12DC" w:rsidRPr="001B12DC">
        <w:rPr>
          <w:rFonts w:ascii="Sylfaen" w:hAnsi="Sylfaen"/>
          <w:sz w:val="24"/>
          <w:szCs w:val="24"/>
          <w:lang w:val="ka-GE"/>
        </w:rPr>
        <w:t>პერიტონეალურ</w:t>
      </w:r>
      <w:proofErr w:type="spellEnd"/>
      <w:r w:rsidR="001B12DC" w:rsidRPr="001B12DC">
        <w:rPr>
          <w:rFonts w:ascii="Sylfaen" w:hAnsi="Sylfaen"/>
          <w:sz w:val="24"/>
          <w:szCs w:val="24"/>
          <w:lang w:val="ka-GE"/>
        </w:rPr>
        <w:t xml:space="preserve"> სივრცეში, ტვინის პარკუჭებში.</w:t>
      </w:r>
    </w:p>
    <w:p w14:paraId="462D8651" w14:textId="77777777" w:rsidR="00542DA3" w:rsidRPr="001B12DC" w:rsidRDefault="00542DA3" w:rsidP="00542DA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1"/>
        <w:gridCol w:w="793"/>
        <w:gridCol w:w="795"/>
        <w:gridCol w:w="795"/>
        <w:gridCol w:w="795"/>
        <w:gridCol w:w="795"/>
        <w:gridCol w:w="795"/>
        <w:gridCol w:w="795"/>
        <w:gridCol w:w="795"/>
        <w:gridCol w:w="796"/>
        <w:gridCol w:w="739"/>
      </w:tblGrid>
      <w:tr w:rsidR="00BB31D4" w:rsidRPr="001B12DC" w14:paraId="305EEA8D" w14:textId="77777777" w:rsidTr="002F14D3">
        <w:tc>
          <w:tcPr>
            <w:tcW w:w="1678" w:type="dxa"/>
          </w:tcPr>
          <w:p w14:paraId="4192067F" w14:textId="77777777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კრეატინინის კონცენტრაცია შრატში მგ/100 მლ</w:t>
            </w:r>
          </w:p>
        </w:tc>
        <w:tc>
          <w:tcPr>
            <w:tcW w:w="793" w:type="dxa"/>
          </w:tcPr>
          <w:p w14:paraId="1A1000FE" w14:textId="77777777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1,5</w:t>
            </w:r>
          </w:p>
        </w:tc>
        <w:tc>
          <w:tcPr>
            <w:tcW w:w="795" w:type="dxa"/>
          </w:tcPr>
          <w:p w14:paraId="7302D55B" w14:textId="77777777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2,0</w:t>
            </w:r>
          </w:p>
        </w:tc>
        <w:tc>
          <w:tcPr>
            <w:tcW w:w="795" w:type="dxa"/>
          </w:tcPr>
          <w:p w14:paraId="4EBFF008" w14:textId="77777777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2,5</w:t>
            </w:r>
          </w:p>
        </w:tc>
        <w:tc>
          <w:tcPr>
            <w:tcW w:w="795" w:type="dxa"/>
          </w:tcPr>
          <w:p w14:paraId="34683301" w14:textId="77777777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3,0</w:t>
            </w:r>
          </w:p>
        </w:tc>
        <w:tc>
          <w:tcPr>
            <w:tcW w:w="795" w:type="dxa"/>
          </w:tcPr>
          <w:p w14:paraId="1C798DE0" w14:textId="77777777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3,5</w:t>
            </w:r>
          </w:p>
        </w:tc>
        <w:tc>
          <w:tcPr>
            <w:tcW w:w="795" w:type="dxa"/>
          </w:tcPr>
          <w:p w14:paraId="7E447C0D" w14:textId="77777777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4,0</w:t>
            </w:r>
          </w:p>
        </w:tc>
        <w:tc>
          <w:tcPr>
            <w:tcW w:w="795" w:type="dxa"/>
          </w:tcPr>
          <w:p w14:paraId="2457E8F9" w14:textId="77777777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4,5</w:t>
            </w:r>
          </w:p>
        </w:tc>
        <w:tc>
          <w:tcPr>
            <w:tcW w:w="795" w:type="dxa"/>
          </w:tcPr>
          <w:p w14:paraId="5B9161CF" w14:textId="77777777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5,0</w:t>
            </w:r>
          </w:p>
        </w:tc>
        <w:tc>
          <w:tcPr>
            <w:tcW w:w="796" w:type="dxa"/>
          </w:tcPr>
          <w:p w14:paraId="73623BBB" w14:textId="77777777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5,5</w:t>
            </w:r>
          </w:p>
        </w:tc>
        <w:tc>
          <w:tcPr>
            <w:tcW w:w="739" w:type="dxa"/>
          </w:tcPr>
          <w:p w14:paraId="1A9A669A" w14:textId="77777777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6,0</w:t>
            </w:r>
          </w:p>
        </w:tc>
      </w:tr>
      <w:tr w:rsidR="00BB31D4" w:rsidRPr="00E1509D" w14:paraId="3EFFC553" w14:textId="77777777" w:rsidTr="002F14D3">
        <w:tc>
          <w:tcPr>
            <w:tcW w:w="1678" w:type="dxa"/>
          </w:tcPr>
          <w:p w14:paraId="4458FD70" w14:textId="7E9AA95D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 xml:space="preserve">ინტერვალი საათებში კუნთში </w:t>
            </w:r>
            <w:proofErr w:type="spellStart"/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ორლობინი</w:t>
            </w:r>
            <w:proofErr w:type="spellEnd"/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 xml:space="preserve"> 7,5 </w:t>
            </w:r>
            <w:proofErr w:type="spellStart"/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/კგ დოზების შეყვანას შორის</w:t>
            </w:r>
          </w:p>
        </w:tc>
        <w:tc>
          <w:tcPr>
            <w:tcW w:w="793" w:type="dxa"/>
          </w:tcPr>
          <w:p w14:paraId="24FF7FD7" w14:textId="77777777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13,5</w:t>
            </w:r>
          </w:p>
        </w:tc>
        <w:tc>
          <w:tcPr>
            <w:tcW w:w="795" w:type="dxa"/>
          </w:tcPr>
          <w:p w14:paraId="78D81FE3" w14:textId="77777777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18</w:t>
            </w:r>
          </w:p>
        </w:tc>
        <w:tc>
          <w:tcPr>
            <w:tcW w:w="795" w:type="dxa"/>
          </w:tcPr>
          <w:p w14:paraId="164C3DEE" w14:textId="77777777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22,5</w:t>
            </w:r>
          </w:p>
        </w:tc>
        <w:tc>
          <w:tcPr>
            <w:tcW w:w="795" w:type="dxa"/>
          </w:tcPr>
          <w:p w14:paraId="05F08DAF" w14:textId="77777777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27</w:t>
            </w:r>
          </w:p>
        </w:tc>
        <w:tc>
          <w:tcPr>
            <w:tcW w:w="795" w:type="dxa"/>
          </w:tcPr>
          <w:p w14:paraId="78782B38" w14:textId="77777777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31,5</w:t>
            </w:r>
          </w:p>
        </w:tc>
        <w:tc>
          <w:tcPr>
            <w:tcW w:w="795" w:type="dxa"/>
          </w:tcPr>
          <w:p w14:paraId="351EE979" w14:textId="77777777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36</w:t>
            </w:r>
          </w:p>
        </w:tc>
        <w:tc>
          <w:tcPr>
            <w:tcW w:w="795" w:type="dxa"/>
          </w:tcPr>
          <w:p w14:paraId="7DEF909C" w14:textId="77777777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40,5</w:t>
            </w:r>
          </w:p>
        </w:tc>
        <w:tc>
          <w:tcPr>
            <w:tcW w:w="795" w:type="dxa"/>
          </w:tcPr>
          <w:p w14:paraId="6A8B9FB7" w14:textId="77777777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45</w:t>
            </w:r>
          </w:p>
        </w:tc>
        <w:tc>
          <w:tcPr>
            <w:tcW w:w="796" w:type="dxa"/>
          </w:tcPr>
          <w:p w14:paraId="097B10D1" w14:textId="77777777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49,5</w:t>
            </w:r>
          </w:p>
        </w:tc>
        <w:tc>
          <w:tcPr>
            <w:tcW w:w="739" w:type="dxa"/>
          </w:tcPr>
          <w:p w14:paraId="5140D387" w14:textId="77777777" w:rsidR="00BB31D4" w:rsidRPr="001B12DC" w:rsidRDefault="00BB31D4" w:rsidP="002F14D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12DC">
              <w:rPr>
                <w:rFonts w:ascii="Sylfaen" w:hAnsi="Sylfaen"/>
                <w:sz w:val="24"/>
                <w:szCs w:val="24"/>
                <w:lang w:val="ka-GE"/>
              </w:rPr>
              <w:t>54</w:t>
            </w:r>
          </w:p>
        </w:tc>
      </w:tr>
    </w:tbl>
    <w:p w14:paraId="56EC9251" w14:textId="77777777" w:rsidR="00542DA3" w:rsidRDefault="00542DA3" w:rsidP="005A75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789B098A" w14:textId="5B86A173" w:rsidR="00BB31D4" w:rsidRPr="001B12DC" w:rsidRDefault="00BB31D4" w:rsidP="005A75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1B12DC">
        <w:rPr>
          <w:rFonts w:ascii="Sylfaen" w:hAnsi="Sylfaen"/>
          <w:b/>
          <w:sz w:val="24"/>
          <w:szCs w:val="24"/>
          <w:lang w:val="ka-GE"/>
        </w:rPr>
        <w:t>გაფრთხილებები და სიფრთხილის ზომები:</w:t>
      </w:r>
    </w:p>
    <w:p w14:paraId="6EC9F0A3" w14:textId="2BCC9E7E" w:rsidR="00BB31D4" w:rsidRDefault="00BB31D4" w:rsidP="005A75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B12DC">
        <w:rPr>
          <w:rFonts w:ascii="Sylfaen" w:hAnsi="Sylfaen"/>
          <w:sz w:val="24"/>
          <w:szCs w:val="24"/>
          <w:lang w:val="ka-GE"/>
        </w:rPr>
        <w:t xml:space="preserve">პრეპარატი სიფრთხილით უნდა დაინიშნოს </w:t>
      </w:r>
      <w:proofErr w:type="spellStart"/>
      <w:r w:rsidR="009040C9" w:rsidRPr="001B12DC">
        <w:rPr>
          <w:rFonts w:ascii="Sylfaen" w:hAnsi="Sylfaen"/>
          <w:sz w:val="24"/>
          <w:szCs w:val="24"/>
          <w:lang w:val="ka-GE"/>
        </w:rPr>
        <w:t>მიასთენიის</w:t>
      </w:r>
      <w:proofErr w:type="spellEnd"/>
      <w:r w:rsidR="009040C9">
        <w:rPr>
          <w:rFonts w:ascii="Sylfaen" w:hAnsi="Sylfaen"/>
          <w:sz w:val="24"/>
          <w:szCs w:val="24"/>
          <w:lang w:val="ka-GE"/>
        </w:rPr>
        <w:t xml:space="preserve"> </w:t>
      </w:r>
      <w:r w:rsidRPr="001B12DC">
        <w:rPr>
          <w:rFonts w:ascii="Sylfaen" w:hAnsi="Sylfaen"/>
          <w:sz w:val="24"/>
          <w:szCs w:val="24"/>
          <w:lang w:val="ka-GE"/>
        </w:rPr>
        <w:t xml:space="preserve">პარკინსონიზმის  მქონე პაციენტებში და ხანდაზმულ ადამიანებში, სხვა ამინოგლიკოზიდების მიმართ დადასტურებული მომატებული მგრძნობელობით. არ შეიძლება კომბინირება პოტენციურად ოტო- და </w:t>
      </w:r>
      <w:proofErr w:type="spellStart"/>
      <w:r w:rsidRPr="001B12DC">
        <w:rPr>
          <w:rFonts w:ascii="Sylfaen" w:hAnsi="Sylfaen"/>
          <w:sz w:val="24"/>
          <w:szCs w:val="24"/>
          <w:lang w:val="ka-GE"/>
        </w:rPr>
        <w:t>ნეფროტოქსიკურ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 xml:space="preserve"> პრეპარატებთან/</w:t>
      </w:r>
      <w:proofErr w:type="spellStart"/>
      <w:r w:rsidRPr="001B12DC">
        <w:rPr>
          <w:rFonts w:ascii="Sylfaen" w:hAnsi="Sylfaen"/>
          <w:sz w:val="24"/>
          <w:szCs w:val="24"/>
          <w:lang w:val="ka-GE"/>
        </w:rPr>
        <w:t>მარყუჟოვან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 xml:space="preserve"> დიურეტიკებთან/, მიორელაქსანტებთან. ორლობინის გამოყენების დროს უზრუნველყოფილი უნდა იყოს ორგანიზმის საკმარისი ჰიდრატაცია, აგრეთვე თირკმელების ფუნქციის/კრეატინინის კლირენსის პერიოდული კონტროლი/. მეძუძურ ქალებში პრეპარატის გამოყენების საჭიროებისას აუცილებელია ამ პერიოდში ძუძუთი კვებაზე უარის თქმა.</w:t>
      </w:r>
    </w:p>
    <w:p w14:paraId="1438FD34" w14:textId="77777777" w:rsidR="005A756C" w:rsidRPr="001B12DC" w:rsidRDefault="005A756C" w:rsidP="005A75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42180A5" w14:textId="77777777" w:rsidR="00BB31D4" w:rsidRPr="001B12DC" w:rsidRDefault="00BB31D4" w:rsidP="005A75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1B12DC">
        <w:rPr>
          <w:rFonts w:ascii="Sylfaen" w:hAnsi="Sylfaen"/>
          <w:b/>
          <w:sz w:val="24"/>
          <w:szCs w:val="24"/>
          <w:lang w:val="ka-GE"/>
        </w:rPr>
        <w:t xml:space="preserve">გვერდითი ეფექტები: </w:t>
      </w:r>
    </w:p>
    <w:p w14:paraId="24511548" w14:textId="77777777" w:rsidR="00BB31D4" w:rsidRDefault="00BB31D4" w:rsidP="005A75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B12DC">
        <w:rPr>
          <w:rFonts w:ascii="Sylfaen" w:hAnsi="Sylfaen"/>
          <w:sz w:val="24"/>
          <w:szCs w:val="24"/>
          <w:lang w:val="ka-GE"/>
        </w:rPr>
        <w:t xml:space="preserve">შეიძლება განვითარდეს ოლიგურია, პროტეინურია, მიკროჰემატურია, სმენის დაქვეითება, თავის ტკივილი, პარესთეზიები, ტრემორი, ალერგიული რეაქციები: გამონაყარი, ცხელება, </w:t>
      </w:r>
      <w:proofErr w:type="spellStart"/>
      <w:r w:rsidRPr="001B12DC">
        <w:rPr>
          <w:rFonts w:ascii="Sylfaen" w:hAnsi="Sylfaen"/>
          <w:sz w:val="24"/>
          <w:szCs w:val="24"/>
          <w:lang w:val="ka-GE"/>
        </w:rPr>
        <w:t>ეოზინოფილია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>, ანემია.</w:t>
      </w:r>
    </w:p>
    <w:p w14:paraId="705C38FB" w14:textId="77777777" w:rsidR="005A756C" w:rsidRPr="001B12DC" w:rsidRDefault="005A756C" w:rsidP="005A75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5AA2EBE" w14:textId="77777777" w:rsidR="00BB31D4" w:rsidRPr="001B12DC" w:rsidRDefault="00BB31D4" w:rsidP="005A756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1B12DC">
        <w:rPr>
          <w:rFonts w:ascii="Sylfaen" w:hAnsi="Sylfaen"/>
          <w:b/>
          <w:sz w:val="24"/>
          <w:szCs w:val="24"/>
          <w:lang w:val="ka-GE"/>
        </w:rPr>
        <w:t>გამოშვების ფორმა და შენახვის პირობები:</w:t>
      </w:r>
    </w:p>
    <w:p w14:paraId="7CD002B7" w14:textId="63E9054A" w:rsidR="00BB31D4" w:rsidRPr="001B12DC" w:rsidRDefault="00BB31D4" w:rsidP="005A75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B12DC">
        <w:rPr>
          <w:rFonts w:ascii="Sylfaen" w:hAnsi="Sylfaen"/>
          <w:sz w:val="24"/>
          <w:szCs w:val="24"/>
          <w:lang w:val="ka-GE"/>
        </w:rPr>
        <w:t xml:space="preserve">საინექციო ხსნარი ფლაკონში 1000 მგ/4 მლ, 500 </w:t>
      </w:r>
      <w:proofErr w:type="spellStart"/>
      <w:r w:rsidRPr="001B12DC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 xml:space="preserve">/2 მლ, 100 </w:t>
      </w:r>
      <w:proofErr w:type="spellStart"/>
      <w:r w:rsidRPr="001B12DC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>/2</w:t>
      </w:r>
      <w:r w:rsidR="009040C9">
        <w:rPr>
          <w:rFonts w:ascii="Sylfaen" w:hAnsi="Sylfaen"/>
          <w:sz w:val="24"/>
          <w:szCs w:val="24"/>
          <w:lang w:val="ka-GE"/>
        </w:rPr>
        <w:t xml:space="preserve"> </w:t>
      </w:r>
      <w:r w:rsidRPr="001B12DC">
        <w:rPr>
          <w:rFonts w:ascii="Sylfaen" w:hAnsi="Sylfaen"/>
          <w:sz w:val="24"/>
          <w:szCs w:val="24"/>
          <w:lang w:val="ka-GE"/>
        </w:rPr>
        <w:t>მლ.</w:t>
      </w:r>
    </w:p>
    <w:p w14:paraId="53052290" w14:textId="77777777" w:rsidR="00BB31D4" w:rsidRPr="001B12DC" w:rsidRDefault="00BB31D4" w:rsidP="005A75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B12DC">
        <w:rPr>
          <w:rFonts w:ascii="Sylfaen" w:hAnsi="Sylfaen"/>
          <w:sz w:val="24"/>
          <w:szCs w:val="24"/>
          <w:lang w:val="ka-GE"/>
        </w:rPr>
        <w:t>გაიცემა აფთიაქიდან ექიმის რეცეპტით.</w:t>
      </w:r>
    </w:p>
    <w:p w14:paraId="070BC05D" w14:textId="77777777" w:rsidR="00BB31D4" w:rsidRDefault="00BB31D4" w:rsidP="005A75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B12DC">
        <w:rPr>
          <w:rFonts w:ascii="Sylfaen" w:hAnsi="Sylfaen"/>
          <w:sz w:val="24"/>
          <w:szCs w:val="24"/>
          <w:lang w:val="ka-GE"/>
        </w:rPr>
        <w:t>ინახება ოთახის ტემპერატურაზე. ვარგისიანობის ვადა - 3 წელი.</w:t>
      </w:r>
    </w:p>
    <w:p w14:paraId="14AC72CD" w14:textId="77777777" w:rsidR="005A756C" w:rsidRDefault="005A756C" w:rsidP="005A756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8DF5F4A" w14:textId="77777777" w:rsidR="00BB31D4" w:rsidRPr="001B12DC" w:rsidRDefault="00BB31D4" w:rsidP="00BB31D4">
      <w:pPr>
        <w:spacing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B12DC">
        <w:rPr>
          <w:rFonts w:ascii="Sylfaen" w:hAnsi="Sylfaen"/>
          <w:b/>
          <w:sz w:val="24"/>
          <w:szCs w:val="24"/>
          <w:lang w:val="ka-GE"/>
        </w:rPr>
        <w:t>მწარმოებელი:</w:t>
      </w:r>
      <w:r w:rsidRPr="001B12DC">
        <w:rPr>
          <w:rFonts w:ascii="Sylfaen" w:hAnsi="Sylfaen"/>
          <w:sz w:val="24"/>
          <w:szCs w:val="24"/>
          <w:lang w:val="ka-GE"/>
        </w:rPr>
        <w:t xml:space="preserve"> ჰელპ ს.ა., </w:t>
      </w:r>
      <w:r w:rsidRPr="0014791B">
        <w:rPr>
          <w:rFonts w:ascii="Sylfaen" w:hAnsi="Sylfaen"/>
          <w:sz w:val="24"/>
          <w:szCs w:val="24"/>
          <w:lang w:val="ka-GE"/>
        </w:rPr>
        <w:t>პედინი იანინა, 455 00 იანინა,</w:t>
      </w:r>
      <w:r w:rsidRPr="001B12DC">
        <w:rPr>
          <w:rFonts w:ascii="Sylfaen" w:hAnsi="Sylfaen"/>
          <w:sz w:val="24"/>
          <w:szCs w:val="24"/>
          <w:lang w:val="ka-GE"/>
        </w:rPr>
        <w:t xml:space="preserve"> საბერძნეთი.</w:t>
      </w:r>
    </w:p>
    <w:p w14:paraId="1DB61F19" w14:textId="77777777" w:rsidR="009040C9" w:rsidRDefault="00BB31D4" w:rsidP="009040C9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en-US"/>
        </w:rPr>
      </w:pPr>
      <w:r w:rsidRPr="009040C9">
        <w:rPr>
          <w:rFonts w:ascii="Sylfaen" w:hAnsi="Sylfaen"/>
          <w:b/>
          <w:bCs/>
          <w:sz w:val="24"/>
          <w:szCs w:val="24"/>
          <w:lang w:val="en-US"/>
        </w:rPr>
        <w:t>MEDICUS</w:t>
      </w:r>
    </w:p>
    <w:p w14:paraId="22EB0747" w14:textId="36DB7F79" w:rsidR="00BB31D4" w:rsidRDefault="00BB31D4" w:rsidP="009040C9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en-US"/>
        </w:rPr>
      </w:pPr>
      <w:r w:rsidRPr="009040C9">
        <w:rPr>
          <w:rFonts w:ascii="Sylfaen" w:hAnsi="Sylfaen"/>
          <w:b/>
          <w:bCs/>
          <w:sz w:val="24"/>
          <w:szCs w:val="24"/>
          <w:lang w:val="en-US"/>
        </w:rPr>
        <w:t>PHARMACEUTICALS</w:t>
      </w:r>
    </w:p>
    <w:p w14:paraId="2D82E92A" w14:textId="77777777" w:rsidR="00BB31D4" w:rsidRPr="001B12DC" w:rsidRDefault="00BB31D4" w:rsidP="009040C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B12DC">
        <w:rPr>
          <w:rFonts w:ascii="Sylfaen" w:hAnsi="Sylfaen"/>
          <w:sz w:val="24"/>
          <w:szCs w:val="24"/>
          <w:lang w:val="ka-GE"/>
        </w:rPr>
        <w:t>ვალაორიტუს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 xml:space="preserve"> ქ. 10, 14452 მეტამორფოზისი</w:t>
      </w:r>
    </w:p>
    <w:p w14:paraId="1237B6D8" w14:textId="77777777" w:rsidR="00BB31D4" w:rsidRPr="001B12DC" w:rsidRDefault="00BB31D4" w:rsidP="009040C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B12DC">
        <w:rPr>
          <w:rFonts w:ascii="Sylfaen" w:hAnsi="Sylfaen"/>
          <w:sz w:val="24"/>
          <w:szCs w:val="24"/>
          <w:lang w:val="ka-GE"/>
        </w:rPr>
        <w:t>ათენი, საბერძნეთი</w:t>
      </w:r>
    </w:p>
    <w:p w14:paraId="7E6E33FD" w14:textId="77777777" w:rsidR="00BB31D4" w:rsidRPr="001B12DC" w:rsidRDefault="00BB31D4" w:rsidP="009040C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B12DC">
        <w:rPr>
          <w:rFonts w:ascii="Sylfaen" w:hAnsi="Sylfaen"/>
          <w:sz w:val="24"/>
          <w:szCs w:val="24"/>
          <w:lang w:val="ka-GE"/>
        </w:rPr>
        <w:t>ტელ: (+30) 210/2847818</w:t>
      </w:r>
    </w:p>
    <w:p w14:paraId="64CD619A" w14:textId="77777777" w:rsidR="00BB31D4" w:rsidRDefault="00BB31D4" w:rsidP="009040C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B12DC">
        <w:rPr>
          <w:rFonts w:ascii="Sylfaen" w:hAnsi="Sylfaen"/>
          <w:sz w:val="24"/>
          <w:szCs w:val="24"/>
          <w:lang w:val="ka-GE"/>
        </w:rPr>
        <w:t>პედინი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B12DC">
        <w:rPr>
          <w:rFonts w:ascii="Sylfaen" w:hAnsi="Sylfaen"/>
          <w:sz w:val="24"/>
          <w:szCs w:val="24"/>
          <w:lang w:val="ka-GE"/>
        </w:rPr>
        <w:t>იოანიონის</w:t>
      </w:r>
      <w:proofErr w:type="spellEnd"/>
      <w:r w:rsidRPr="001B12DC">
        <w:rPr>
          <w:rFonts w:ascii="Sylfaen" w:hAnsi="Sylfaen"/>
          <w:sz w:val="24"/>
          <w:szCs w:val="24"/>
          <w:lang w:val="ka-GE"/>
        </w:rPr>
        <w:t xml:space="preserve"> ქარხანა</w:t>
      </w:r>
    </w:p>
    <w:p w14:paraId="701EB6FF" w14:textId="77777777" w:rsidR="00D15BB1" w:rsidRPr="00FB6A3B" w:rsidRDefault="00D15BB1" w:rsidP="009040C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614CCE3" w14:textId="77777777" w:rsidR="00D15BB1" w:rsidRPr="00D15BB1" w:rsidRDefault="00D15BB1" w:rsidP="00D15BB1">
      <w:pPr>
        <w:spacing w:after="0" w:line="240" w:lineRule="auto"/>
        <w:jc w:val="both"/>
        <w:rPr>
          <w:rFonts w:ascii="Sylfaen" w:eastAsia="SimSun" w:hAnsi="Sylfaen"/>
          <w:b/>
          <w:sz w:val="24"/>
          <w:szCs w:val="24"/>
        </w:rPr>
      </w:pPr>
      <w:r w:rsidRPr="00D15BB1">
        <w:rPr>
          <w:rFonts w:ascii="Sylfaen" w:eastAsia="SimSun" w:hAnsi="Sylfaen"/>
          <w:b/>
          <w:sz w:val="24"/>
          <w:szCs w:val="24"/>
        </w:rPr>
        <w:t>გაცემის წესი:</w:t>
      </w:r>
    </w:p>
    <w:p w14:paraId="362631FA" w14:textId="3704D7C3" w:rsidR="009D3D4A" w:rsidRDefault="00D15BB1" w:rsidP="00D15BB1">
      <w:pPr>
        <w:spacing w:after="0"/>
      </w:pPr>
      <w:r w:rsidRPr="00E35B36">
        <w:rPr>
          <w:rFonts w:ascii="Sylfaen" w:eastAsia="SimSun" w:hAnsi="Sylfaen"/>
          <w:bCs/>
          <w:sz w:val="24"/>
          <w:szCs w:val="24"/>
        </w:rPr>
        <w:t xml:space="preserve">ფარმაცევტული პროდუქტის ჯგუფი II, გაიცემა ფორმა </w:t>
      </w:r>
      <w:r w:rsidRPr="001D1892">
        <w:rPr>
          <w:rFonts w:ascii="Sylfaen" w:eastAsia="SimSun" w:hAnsi="Sylfaen"/>
          <w:bCs/>
          <w:sz w:val="24"/>
          <w:szCs w:val="24"/>
        </w:rPr>
        <w:t>№</w:t>
      </w:r>
      <w:r w:rsidRPr="00E35B36">
        <w:rPr>
          <w:rFonts w:ascii="Sylfaen" w:eastAsia="SimSun" w:hAnsi="Sylfaen"/>
          <w:bCs/>
          <w:sz w:val="24"/>
          <w:szCs w:val="24"/>
        </w:rPr>
        <w:t>3 რეცეპტით.</w:t>
      </w:r>
    </w:p>
    <w:sectPr w:rsidR="009D3D4A" w:rsidSect="00833594">
      <w:footerReference w:type="default" r:id="rId7"/>
      <w:pgSz w:w="11906" w:h="16838"/>
      <w:pgMar w:top="568" w:right="56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3FB62" w14:textId="77777777" w:rsidR="009F18B0" w:rsidRDefault="009F18B0" w:rsidP="005A756C">
      <w:pPr>
        <w:spacing w:after="0" w:line="240" w:lineRule="auto"/>
      </w:pPr>
      <w:r>
        <w:separator/>
      </w:r>
    </w:p>
  </w:endnote>
  <w:endnote w:type="continuationSeparator" w:id="0">
    <w:p w14:paraId="2065563A" w14:textId="77777777" w:rsidR="009F18B0" w:rsidRDefault="009F18B0" w:rsidP="005A7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42198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81D2B7" w14:textId="0DF33980" w:rsidR="005A756C" w:rsidRDefault="005A756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406AA9" w14:textId="77777777" w:rsidR="005A756C" w:rsidRDefault="005A75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FF02E" w14:textId="77777777" w:rsidR="009F18B0" w:rsidRDefault="009F18B0" w:rsidP="005A756C">
      <w:pPr>
        <w:spacing w:after="0" w:line="240" w:lineRule="auto"/>
      </w:pPr>
      <w:r>
        <w:separator/>
      </w:r>
    </w:p>
  </w:footnote>
  <w:footnote w:type="continuationSeparator" w:id="0">
    <w:p w14:paraId="683D351B" w14:textId="77777777" w:rsidR="009F18B0" w:rsidRDefault="009F18B0" w:rsidP="005A75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786408"/>
    <w:multiLevelType w:val="hybridMultilevel"/>
    <w:tmpl w:val="187E0E56"/>
    <w:lvl w:ilvl="0" w:tplc="81CE4B16">
      <w:start w:val="1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0846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E25"/>
    <w:rsid w:val="00126952"/>
    <w:rsid w:val="0014791B"/>
    <w:rsid w:val="001B12DC"/>
    <w:rsid w:val="004B38A3"/>
    <w:rsid w:val="00542DA3"/>
    <w:rsid w:val="00592679"/>
    <w:rsid w:val="005A756C"/>
    <w:rsid w:val="005B4E25"/>
    <w:rsid w:val="00835AB4"/>
    <w:rsid w:val="009040C9"/>
    <w:rsid w:val="0097281E"/>
    <w:rsid w:val="009D3D4A"/>
    <w:rsid w:val="009F18B0"/>
    <w:rsid w:val="00A15ED0"/>
    <w:rsid w:val="00BB31D4"/>
    <w:rsid w:val="00D040BD"/>
    <w:rsid w:val="00D15BB1"/>
    <w:rsid w:val="00DD0695"/>
    <w:rsid w:val="00E1509D"/>
    <w:rsid w:val="00E34279"/>
    <w:rsid w:val="00EA64E7"/>
    <w:rsid w:val="00F1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22D12"/>
  <w15:docId w15:val="{87C99F7A-8B87-49D0-8D4F-1CE8F701E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1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31D4"/>
    <w:pPr>
      <w:ind w:left="720"/>
      <w:contextualSpacing/>
    </w:pPr>
  </w:style>
  <w:style w:type="table" w:styleId="TableGrid">
    <w:name w:val="Table Grid"/>
    <w:basedOn w:val="TableNormal"/>
    <w:uiPriority w:val="59"/>
    <w:rsid w:val="00BB31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5A75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56C"/>
  </w:style>
  <w:style w:type="paragraph" w:styleId="Footer">
    <w:name w:val="footer"/>
    <w:basedOn w:val="Normal"/>
    <w:link w:val="FooterChar"/>
    <w:uiPriority w:val="99"/>
    <w:unhideWhenUsed/>
    <w:rsid w:val="005A75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Nino Trokashvili</cp:lastModifiedBy>
  <cp:revision>9</cp:revision>
  <dcterms:created xsi:type="dcterms:W3CDTF">2026-07-01T08:48:00Z</dcterms:created>
  <dcterms:modified xsi:type="dcterms:W3CDTF">2026-08-12T10:34:00Z</dcterms:modified>
</cp:coreProperties>
</file>