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E4EA0" w14:textId="6033A9B7" w:rsidR="00C61CAE" w:rsidRDefault="0086020E" w:rsidP="00B71127">
      <w:pPr>
        <w:spacing w:after="0" w:line="276" w:lineRule="auto"/>
        <w:jc w:val="center"/>
        <w:rPr>
          <w:b/>
          <w:bCs/>
          <w:sz w:val="24"/>
          <w:szCs w:val="24"/>
        </w:rPr>
      </w:pPr>
      <w:r w:rsidRPr="00CD4399">
        <w:rPr>
          <w:b/>
          <w:bCs/>
          <w:sz w:val="24"/>
          <w:szCs w:val="24"/>
        </w:rPr>
        <w:t>გამოყენების ინსტრუქცია</w:t>
      </w:r>
    </w:p>
    <w:p w14:paraId="05A01D3D" w14:textId="77777777" w:rsidR="0082557C" w:rsidRPr="00CD4399" w:rsidRDefault="0082557C" w:rsidP="00B71127">
      <w:pPr>
        <w:spacing w:after="0" w:line="276" w:lineRule="auto"/>
        <w:jc w:val="center"/>
        <w:rPr>
          <w:b/>
          <w:bCs/>
          <w:sz w:val="24"/>
          <w:szCs w:val="24"/>
        </w:rPr>
      </w:pPr>
    </w:p>
    <w:p w14:paraId="506B6407" w14:textId="2FDA7EBE" w:rsidR="0086020E" w:rsidRPr="00CD4399" w:rsidRDefault="0091146C" w:rsidP="00B71127">
      <w:pPr>
        <w:spacing w:after="0" w:line="276" w:lineRule="auto"/>
        <w:jc w:val="center"/>
        <w:rPr>
          <w:b/>
          <w:bCs/>
          <w:sz w:val="24"/>
          <w:szCs w:val="24"/>
        </w:rPr>
      </w:pPr>
      <w:r w:rsidRPr="00CD4399">
        <w:rPr>
          <w:b/>
          <w:bCs/>
          <w:sz w:val="24"/>
          <w:szCs w:val="24"/>
        </w:rPr>
        <w:t>კორვალმენთი-ვალიდოლი</w:t>
      </w:r>
    </w:p>
    <w:p w14:paraId="4B45D5C8" w14:textId="6C3D0D52" w:rsidR="0086020E" w:rsidRPr="00CD4399" w:rsidRDefault="0086020E" w:rsidP="00B71127">
      <w:pPr>
        <w:spacing w:after="0" w:line="276" w:lineRule="auto"/>
        <w:jc w:val="center"/>
        <w:rPr>
          <w:b/>
          <w:bCs/>
          <w:sz w:val="24"/>
          <w:szCs w:val="24"/>
        </w:rPr>
      </w:pPr>
    </w:p>
    <w:p w14:paraId="6C7A8244" w14:textId="39EBB9E4" w:rsidR="0086020E" w:rsidRPr="00CD4399" w:rsidRDefault="0091146C" w:rsidP="00B71127">
      <w:pPr>
        <w:spacing w:after="0" w:line="276" w:lineRule="auto"/>
        <w:rPr>
          <w:sz w:val="24"/>
          <w:szCs w:val="24"/>
        </w:rPr>
      </w:pPr>
      <w:r w:rsidRPr="00CD4399">
        <w:rPr>
          <w:b/>
          <w:bCs/>
          <w:sz w:val="24"/>
          <w:szCs w:val="24"/>
        </w:rPr>
        <w:t>პრეპარატის სავაჭრო დასახელება:</w:t>
      </w:r>
      <w:r w:rsidRPr="00CD4399">
        <w:rPr>
          <w:sz w:val="24"/>
          <w:szCs w:val="24"/>
        </w:rPr>
        <w:t xml:space="preserve"> კორვალმენთი-ვალიდოლი</w:t>
      </w:r>
    </w:p>
    <w:p w14:paraId="23473EFD" w14:textId="0C9EEE58" w:rsidR="0091146C" w:rsidRPr="00CD4399" w:rsidRDefault="0091146C" w:rsidP="00B71127">
      <w:pPr>
        <w:spacing w:after="0" w:line="276" w:lineRule="auto"/>
        <w:rPr>
          <w:sz w:val="24"/>
          <w:szCs w:val="24"/>
        </w:rPr>
      </w:pPr>
      <w:r w:rsidRPr="00CD4399">
        <w:rPr>
          <w:b/>
          <w:bCs/>
          <w:sz w:val="24"/>
          <w:szCs w:val="24"/>
        </w:rPr>
        <w:t>მოქმედი ნივთიერება (INN):</w:t>
      </w:r>
      <w:r w:rsidRPr="00CD4399">
        <w:rPr>
          <w:sz w:val="24"/>
          <w:szCs w:val="24"/>
        </w:rPr>
        <w:t xml:space="preserve"> მენთოლის ხსნარი იზოვალერინის მჟავას მენთილის ეთერში</w:t>
      </w:r>
    </w:p>
    <w:p w14:paraId="08721D38" w14:textId="5085693D" w:rsidR="0091146C" w:rsidRPr="00CD4399" w:rsidRDefault="0091146C" w:rsidP="00B71127">
      <w:pPr>
        <w:spacing w:after="0" w:line="276" w:lineRule="auto"/>
        <w:rPr>
          <w:sz w:val="24"/>
          <w:szCs w:val="24"/>
        </w:rPr>
      </w:pPr>
      <w:r w:rsidRPr="00CD4399">
        <w:rPr>
          <w:b/>
          <w:bCs/>
          <w:sz w:val="24"/>
          <w:szCs w:val="24"/>
        </w:rPr>
        <w:t>წამლის ფორმა:</w:t>
      </w:r>
      <w:r w:rsidRPr="00CD4399">
        <w:rPr>
          <w:sz w:val="24"/>
          <w:szCs w:val="24"/>
        </w:rPr>
        <w:t xml:space="preserve"> რბილი კაფსულები</w:t>
      </w:r>
    </w:p>
    <w:p w14:paraId="1CD793A2" w14:textId="77777777" w:rsidR="0091146C" w:rsidRPr="00CD4399" w:rsidRDefault="0091146C" w:rsidP="00B71127">
      <w:pPr>
        <w:spacing w:after="0" w:line="276" w:lineRule="auto"/>
        <w:rPr>
          <w:b/>
          <w:bCs/>
          <w:sz w:val="24"/>
          <w:szCs w:val="24"/>
        </w:rPr>
      </w:pPr>
      <w:r w:rsidRPr="00CD4399">
        <w:rPr>
          <w:b/>
          <w:bCs/>
          <w:sz w:val="24"/>
          <w:szCs w:val="24"/>
        </w:rPr>
        <w:t>შემადგენლობა:</w:t>
      </w:r>
    </w:p>
    <w:p w14:paraId="154780BA" w14:textId="77777777" w:rsidR="0091146C" w:rsidRPr="00CD4399" w:rsidRDefault="0091146C" w:rsidP="00B71127">
      <w:pPr>
        <w:spacing w:after="0" w:line="276" w:lineRule="auto"/>
        <w:rPr>
          <w:sz w:val="24"/>
          <w:szCs w:val="24"/>
        </w:rPr>
      </w:pPr>
      <w:r w:rsidRPr="00CD4399">
        <w:rPr>
          <w:sz w:val="24"/>
          <w:szCs w:val="24"/>
        </w:rPr>
        <w:t>1 კაფსულა შეიცავს:</w:t>
      </w:r>
    </w:p>
    <w:p w14:paraId="73220EFF" w14:textId="66AC273A" w:rsidR="0091146C" w:rsidRPr="00CD4399" w:rsidRDefault="0091146C" w:rsidP="00B71127">
      <w:pPr>
        <w:spacing w:after="0" w:line="276" w:lineRule="auto"/>
        <w:rPr>
          <w:sz w:val="24"/>
          <w:szCs w:val="24"/>
        </w:rPr>
      </w:pPr>
      <w:r w:rsidRPr="00CD4399">
        <w:rPr>
          <w:sz w:val="24"/>
          <w:szCs w:val="24"/>
        </w:rPr>
        <w:t>მოქმედი ნივთიერება:</w:t>
      </w:r>
      <w:r w:rsidRPr="00CD4399">
        <w:rPr>
          <w:b/>
          <w:bCs/>
          <w:sz w:val="24"/>
          <w:szCs w:val="24"/>
        </w:rPr>
        <w:t xml:space="preserve"> </w:t>
      </w:r>
      <w:r w:rsidRPr="00CD4399">
        <w:rPr>
          <w:sz w:val="24"/>
          <w:szCs w:val="24"/>
        </w:rPr>
        <w:t>100 მგ მენთოლის ხსნარი იზოვალერინის მჟავას მენთილის ეთერში;</w:t>
      </w:r>
    </w:p>
    <w:p w14:paraId="7CA64C03" w14:textId="77777777" w:rsidR="0091146C" w:rsidRPr="00CD4399" w:rsidRDefault="0091146C" w:rsidP="00B71127">
      <w:pPr>
        <w:spacing w:after="0" w:line="276" w:lineRule="auto"/>
        <w:rPr>
          <w:sz w:val="24"/>
          <w:szCs w:val="24"/>
        </w:rPr>
      </w:pPr>
      <w:r w:rsidRPr="00CD4399">
        <w:rPr>
          <w:sz w:val="24"/>
          <w:szCs w:val="24"/>
        </w:rPr>
        <w:t>დამხმარე ნივთიერებები: ჟელატინი, გლიცერინი</w:t>
      </w:r>
    </w:p>
    <w:p w14:paraId="12BF0734" w14:textId="77777777" w:rsidR="0091146C" w:rsidRPr="00CD4399" w:rsidRDefault="0091146C" w:rsidP="00B71127">
      <w:pPr>
        <w:spacing w:after="0" w:line="276" w:lineRule="auto"/>
        <w:rPr>
          <w:b/>
          <w:bCs/>
          <w:sz w:val="24"/>
          <w:szCs w:val="24"/>
        </w:rPr>
      </w:pPr>
      <w:r w:rsidRPr="00CD4399">
        <w:rPr>
          <w:b/>
          <w:bCs/>
          <w:sz w:val="24"/>
          <w:szCs w:val="24"/>
        </w:rPr>
        <w:t>აღწერა:</w:t>
      </w:r>
    </w:p>
    <w:p w14:paraId="45840FF6" w14:textId="4675B736" w:rsidR="0091146C" w:rsidRPr="00CD4399" w:rsidRDefault="0091146C" w:rsidP="00B71127">
      <w:pPr>
        <w:spacing w:after="0" w:line="276" w:lineRule="auto"/>
        <w:rPr>
          <w:sz w:val="24"/>
          <w:szCs w:val="24"/>
        </w:rPr>
      </w:pPr>
      <w:r w:rsidRPr="00CD4399">
        <w:rPr>
          <w:sz w:val="24"/>
          <w:szCs w:val="24"/>
        </w:rPr>
        <w:t>ბურთისებრი ან სფერული რბილი ჟელატინის კაფსულები, ნაკერით, უფერო ან ოდნავ ყვითელიდან ღია მოყავისფრო-ყვითელ შეფერილობამდე, შევსებული გამჭვირვალე, უფერო ან მოყვითალო შეფერილობი</w:t>
      </w:r>
      <w:r w:rsidR="00E87B20" w:rsidRPr="00CD4399">
        <w:rPr>
          <w:sz w:val="24"/>
          <w:szCs w:val="24"/>
        </w:rPr>
        <w:t>ს, მენთოლის სუნის მქონე</w:t>
      </w:r>
      <w:r w:rsidRPr="00CD4399">
        <w:rPr>
          <w:sz w:val="24"/>
          <w:szCs w:val="24"/>
        </w:rPr>
        <w:t xml:space="preserve"> ზეთოვანი სითხით.</w:t>
      </w:r>
    </w:p>
    <w:p w14:paraId="76652170" w14:textId="77777777" w:rsidR="0091146C" w:rsidRPr="00CD4399" w:rsidRDefault="0091146C" w:rsidP="00B71127">
      <w:pPr>
        <w:spacing w:after="0" w:line="276" w:lineRule="auto"/>
        <w:rPr>
          <w:sz w:val="24"/>
          <w:szCs w:val="24"/>
        </w:rPr>
      </w:pPr>
      <w:r w:rsidRPr="00CD4399">
        <w:rPr>
          <w:sz w:val="24"/>
          <w:szCs w:val="24"/>
        </w:rPr>
        <w:t>ფარმაკოთერაპიული ჯგუფი: კარდიოლოგიური პრეპარატები.</w:t>
      </w:r>
    </w:p>
    <w:p w14:paraId="5897D73E" w14:textId="299DD015" w:rsidR="0091146C" w:rsidRPr="00CD4399" w:rsidRDefault="00E87B20" w:rsidP="00B71127">
      <w:pPr>
        <w:spacing w:after="0" w:line="276" w:lineRule="auto"/>
        <w:rPr>
          <w:sz w:val="24"/>
          <w:szCs w:val="24"/>
        </w:rPr>
      </w:pPr>
      <w:r w:rsidRPr="00CD4399">
        <w:rPr>
          <w:sz w:val="24"/>
          <w:szCs w:val="24"/>
        </w:rPr>
        <w:t>ათქ</w:t>
      </w:r>
      <w:r w:rsidR="0091146C" w:rsidRPr="00CD4399">
        <w:rPr>
          <w:sz w:val="24"/>
          <w:szCs w:val="24"/>
        </w:rPr>
        <w:t xml:space="preserve"> კოდი: C01EX.</w:t>
      </w:r>
    </w:p>
    <w:p w14:paraId="2FC7A475" w14:textId="27AFD330" w:rsidR="0086020E" w:rsidRPr="00CD4399" w:rsidRDefault="0086020E" w:rsidP="00B71127">
      <w:pPr>
        <w:spacing w:after="0" w:line="276" w:lineRule="auto"/>
        <w:rPr>
          <w:b/>
          <w:bCs/>
          <w:sz w:val="24"/>
          <w:szCs w:val="24"/>
        </w:rPr>
      </w:pPr>
      <w:r w:rsidRPr="00CD4399">
        <w:rPr>
          <w:b/>
          <w:bCs/>
          <w:sz w:val="24"/>
          <w:szCs w:val="24"/>
        </w:rPr>
        <w:t>ფარმაკოლოგიური თვისებები.</w:t>
      </w:r>
    </w:p>
    <w:p w14:paraId="4E70AF80" w14:textId="2905D954" w:rsidR="0086020E" w:rsidRPr="00CD4399" w:rsidRDefault="0086020E" w:rsidP="00B71127">
      <w:pPr>
        <w:spacing w:after="0" w:line="276" w:lineRule="auto"/>
        <w:rPr>
          <w:sz w:val="24"/>
          <w:szCs w:val="24"/>
        </w:rPr>
      </w:pPr>
      <w:r w:rsidRPr="00CD4399">
        <w:rPr>
          <w:sz w:val="24"/>
          <w:szCs w:val="24"/>
        </w:rPr>
        <w:t>ფარმაკოდინამიკა.</w:t>
      </w:r>
    </w:p>
    <w:p w14:paraId="1EEE785F" w14:textId="5F718737" w:rsidR="00E87B20" w:rsidRPr="00CD4399" w:rsidRDefault="00E87B20" w:rsidP="00B71127">
      <w:pPr>
        <w:spacing w:after="0" w:line="276" w:lineRule="auto"/>
        <w:jc w:val="both"/>
        <w:rPr>
          <w:sz w:val="24"/>
          <w:szCs w:val="24"/>
        </w:rPr>
      </w:pPr>
      <w:r w:rsidRPr="00CD4399">
        <w:rPr>
          <w:sz w:val="24"/>
          <w:szCs w:val="24"/>
        </w:rPr>
        <w:t>პრეპარატი ამჟღავნებს დამამშვიდებელ ეფექტს ცენტრალურ ნერვულ სისტემაზე და ასევე ახდენს ზომიერ რეფლექსურ ვაზოდილატაციურ (კორონაროლიზურ) ეფექტს პირის ღრუს ლორწოვან გარსში სენსორული („ცივი“) რეცეპტორების რეფლექსური სტიმულაციის გზით. ამ რეცეპტორების სტიმულაცია იწვევს ენდორფინების, ენკეფალინების, დინორფინების და სხვა პეპტიდების, ჰისტამინის და კინინების გამოთავისუფლებას, რომლებიც მნიშვნელოვან როლს ასრულებენ ტკივილის მგრძნობელობის შემცირებაში, სისხლძარღვთა გამტარიანობის ნორმალიზებასა და გულ-სისხლძარღვთა და ნერვული სისტემების სხვა მნიშვნელოვანი მექანიზმების რეგულირებაში.</w:t>
      </w:r>
    </w:p>
    <w:p w14:paraId="139680FA" w14:textId="33B76D72" w:rsidR="0086020E" w:rsidRPr="00CD4399" w:rsidRDefault="0086020E" w:rsidP="00B71127">
      <w:pPr>
        <w:spacing w:after="0" w:line="276" w:lineRule="auto"/>
        <w:jc w:val="both"/>
        <w:rPr>
          <w:sz w:val="24"/>
          <w:szCs w:val="24"/>
        </w:rPr>
      </w:pPr>
      <w:r w:rsidRPr="00CD4399">
        <w:rPr>
          <w:sz w:val="24"/>
          <w:szCs w:val="24"/>
        </w:rPr>
        <w:t>ფარმაკოკინეტიკა.</w:t>
      </w:r>
    </w:p>
    <w:p w14:paraId="643103D7" w14:textId="4D959B3D" w:rsidR="00C2235E" w:rsidRPr="00CD4399" w:rsidRDefault="00C2235E" w:rsidP="00B71127">
      <w:pPr>
        <w:spacing w:after="0" w:line="276" w:lineRule="auto"/>
        <w:jc w:val="both"/>
        <w:rPr>
          <w:sz w:val="24"/>
          <w:szCs w:val="24"/>
        </w:rPr>
      </w:pPr>
      <w:bookmarkStart w:id="0" w:name="_Hlk220274634"/>
      <w:r w:rsidRPr="00CD4399">
        <w:rPr>
          <w:sz w:val="24"/>
          <w:szCs w:val="24"/>
        </w:rPr>
        <w:t>სუბლინგვალური გამოყენებისას კორვალმენთი-ვალიდოლი შეიწოვება პირის ღრუს ლორწოვანი გარსიდან. თერაპიული ეფექტი ვლინდება დაახლოებით 5 წუთში.</w:t>
      </w:r>
    </w:p>
    <w:p w14:paraId="7915AE3D" w14:textId="476D3934" w:rsidR="00C2235E" w:rsidRPr="00CD4399" w:rsidRDefault="00C2235E" w:rsidP="00B71127">
      <w:pPr>
        <w:spacing w:after="0" w:line="276" w:lineRule="auto"/>
        <w:jc w:val="both"/>
        <w:rPr>
          <w:sz w:val="24"/>
          <w:szCs w:val="24"/>
        </w:rPr>
      </w:pPr>
      <w:r w:rsidRPr="00CD4399">
        <w:rPr>
          <w:sz w:val="24"/>
          <w:szCs w:val="24"/>
        </w:rPr>
        <w:t>შეწოვის შემდეგ, ის ბიოტრანსფორმაციას განიცდის ღვიძლში და გამოიყოფა შარდში გლუკურონიდების სახით.</w:t>
      </w:r>
    </w:p>
    <w:p w14:paraId="1E58D1CC" w14:textId="23AA3491" w:rsidR="00C2235E" w:rsidRPr="00CD4399" w:rsidRDefault="00C2235E" w:rsidP="00B71127">
      <w:pPr>
        <w:spacing w:after="0" w:line="276" w:lineRule="auto"/>
        <w:jc w:val="both"/>
        <w:rPr>
          <w:b/>
          <w:bCs/>
          <w:sz w:val="24"/>
          <w:szCs w:val="24"/>
        </w:rPr>
      </w:pPr>
      <w:r w:rsidRPr="00CD4399">
        <w:rPr>
          <w:b/>
          <w:bCs/>
          <w:sz w:val="24"/>
          <w:szCs w:val="24"/>
        </w:rPr>
        <w:t>გამოყენების ჩვენებები</w:t>
      </w:r>
    </w:p>
    <w:p w14:paraId="56757F6D" w14:textId="01BF60C4" w:rsidR="00C2235E" w:rsidRPr="00CD4399" w:rsidRDefault="00C2235E" w:rsidP="00B71127">
      <w:pPr>
        <w:spacing w:after="0" w:line="276" w:lineRule="auto"/>
        <w:jc w:val="both"/>
        <w:rPr>
          <w:sz w:val="24"/>
          <w:szCs w:val="24"/>
        </w:rPr>
      </w:pPr>
      <w:r w:rsidRPr="00CD4399">
        <w:rPr>
          <w:sz w:val="24"/>
          <w:szCs w:val="24"/>
        </w:rPr>
        <w:t>– მსუბუქი ხარისხის სტენოკარდიული შეტევები;</w:t>
      </w:r>
    </w:p>
    <w:p w14:paraId="74A6635E" w14:textId="77777777" w:rsidR="00C2235E" w:rsidRPr="00CD4399" w:rsidRDefault="00C2235E" w:rsidP="00B71127">
      <w:pPr>
        <w:spacing w:after="0" w:line="276" w:lineRule="auto"/>
        <w:jc w:val="both"/>
        <w:rPr>
          <w:sz w:val="24"/>
          <w:szCs w:val="24"/>
        </w:rPr>
      </w:pPr>
      <w:r w:rsidRPr="00CD4399">
        <w:rPr>
          <w:sz w:val="24"/>
          <w:szCs w:val="24"/>
        </w:rPr>
        <w:t>– ზღვის და ჰაერის ავადმყოფობა;</w:t>
      </w:r>
    </w:p>
    <w:p w14:paraId="2E3F0722" w14:textId="77777777" w:rsidR="00C2235E" w:rsidRPr="00CD4399" w:rsidRDefault="00C2235E" w:rsidP="00B71127">
      <w:pPr>
        <w:spacing w:after="0" w:line="276" w:lineRule="auto"/>
        <w:jc w:val="both"/>
        <w:rPr>
          <w:sz w:val="24"/>
          <w:szCs w:val="24"/>
        </w:rPr>
      </w:pPr>
      <w:r w:rsidRPr="00CD4399">
        <w:rPr>
          <w:sz w:val="24"/>
          <w:szCs w:val="24"/>
        </w:rPr>
        <w:t>– ისტერია;</w:t>
      </w:r>
    </w:p>
    <w:p w14:paraId="4301721A" w14:textId="77777777" w:rsidR="00C2235E" w:rsidRPr="00CD4399" w:rsidRDefault="00C2235E" w:rsidP="00B71127">
      <w:pPr>
        <w:spacing w:after="0" w:line="276" w:lineRule="auto"/>
        <w:jc w:val="both"/>
        <w:rPr>
          <w:sz w:val="24"/>
          <w:szCs w:val="24"/>
        </w:rPr>
      </w:pPr>
      <w:r w:rsidRPr="00CD4399">
        <w:rPr>
          <w:sz w:val="24"/>
          <w:szCs w:val="24"/>
        </w:rPr>
        <w:t>– ნევროზი;</w:t>
      </w:r>
    </w:p>
    <w:p w14:paraId="53AF5BAB" w14:textId="2983259D" w:rsidR="00C2235E" w:rsidRPr="00CD4399" w:rsidRDefault="00C2235E" w:rsidP="00B71127">
      <w:pPr>
        <w:spacing w:after="0" w:line="276" w:lineRule="auto"/>
        <w:jc w:val="both"/>
        <w:rPr>
          <w:sz w:val="24"/>
          <w:szCs w:val="24"/>
        </w:rPr>
      </w:pPr>
      <w:r w:rsidRPr="00CD4399">
        <w:rPr>
          <w:sz w:val="24"/>
          <w:szCs w:val="24"/>
        </w:rPr>
        <w:t>– ნიტრატების მიღებასთან დაკავშირებული თავის ტკივილი.</w:t>
      </w:r>
    </w:p>
    <w:p w14:paraId="31E3901A" w14:textId="1C83A5D9" w:rsidR="00C2235E" w:rsidRPr="00CD4399" w:rsidRDefault="00C2235E" w:rsidP="00B71127">
      <w:pPr>
        <w:spacing w:after="0" w:line="276" w:lineRule="auto"/>
        <w:jc w:val="both"/>
        <w:rPr>
          <w:b/>
          <w:bCs/>
          <w:sz w:val="24"/>
          <w:szCs w:val="24"/>
        </w:rPr>
      </w:pPr>
      <w:r w:rsidRPr="00CD4399">
        <w:rPr>
          <w:b/>
          <w:bCs/>
          <w:sz w:val="24"/>
          <w:szCs w:val="24"/>
        </w:rPr>
        <w:lastRenderedPageBreak/>
        <w:t>გამოყენების წესი და დოზირება</w:t>
      </w:r>
    </w:p>
    <w:p w14:paraId="021BF6B6" w14:textId="45E3B612" w:rsidR="00C2235E" w:rsidRPr="00CD4399" w:rsidRDefault="00C2235E" w:rsidP="00B71127">
      <w:pPr>
        <w:spacing w:after="0" w:line="276" w:lineRule="auto"/>
        <w:jc w:val="both"/>
        <w:rPr>
          <w:sz w:val="24"/>
          <w:szCs w:val="24"/>
        </w:rPr>
      </w:pPr>
      <w:r w:rsidRPr="00CD4399">
        <w:rPr>
          <w:sz w:val="24"/>
          <w:szCs w:val="24"/>
        </w:rPr>
        <w:t xml:space="preserve">კაფსულა გააჩერეთ პირში (ენის ქვეშ) სრულ გახსნამდე. ეფექტის დასაჩქარებლად, შეგიძლიათ კაფსულა </w:t>
      </w:r>
      <w:r w:rsidR="0001735B" w:rsidRPr="00CD4399">
        <w:rPr>
          <w:sz w:val="24"/>
          <w:szCs w:val="24"/>
        </w:rPr>
        <w:t xml:space="preserve">გახეთქოთ </w:t>
      </w:r>
      <w:r w:rsidRPr="00CD4399">
        <w:rPr>
          <w:sz w:val="24"/>
          <w:szCs w:val="24"/>
        </w:rPr>
        <w:t>კბილებით.</w:t>
      </w:r>
    </w:p>
    <w:p w14:paraId="05D45F9D" w14:textId="2163EC59" w:rsidR="00C2235E" w:rsidRPr="00CD4399" w:rsidRDefault="00C2235E" w:rsidP="00B71127">
      <w:pPr>
        <w:spacing w:after="0" w:line="276" w:lineRule="auto"/>
        <w:jc w:val="both"/>
        <w:rPr>
          <w:sz w:val="24"/>
          <w:szCs w:val="24"/>
        </w:rPr>
      </w:pPr>
      <w:r w:rsidRPr="00CD4399">
        <w:rPr>
          <w:sz w:val="24"/>
          <w:szCs w:val="24"/>
        </w:rPr>
        <w:t xml:space="preserve">ერთჯერადი დოზა </w:t>
      </w:r>
      <w:r w:rsidR="0001735B" w:rsidRPr="00CD4399">
        <w:rPr>
          <w:sz w:val="24"/>
          <w:szCs w:val="24"/>
        </w:rPr>
        <w:t>ზრდასრულებისათვის -</w:t>
      </w:r>
      <w:r w:rsidRPr="00CD4399">
        <w:rPr>
          <w:sz w:val="24"/>
          <w:szCs w:val="24"/>
        </w:rPr>
        <w:t xml:space="preserve"> 1 კაფსულა (100 მგ).</w:t>
      </w:r>
    </w:p>
    <w:p w14:paraId="3F64C60E" w14:textId="09276283" w:rsidR="00C2235E" w:rsidRPr="00CD4399" w:rsidRDefault="00C2235E" w:rsidP="00B71127">
      <w:pPr>
        <w:spacing w:after="0" w:line="276" w:lineRule="auto"/>
        <w:jc w:val="both"/>
        <w:rPr>
          <w:sz w:val="24"/>
          <w:szCs w:val="24"/>
        </w:rPr>
      </w:pPr>
      <w:r w:rsidRPr="00CD4399">
        <w:rPr>
          <w:sz w:val="24"/>
          <w:szCs w:val="24"/>
        </w:rPr>
        <w:t>მაქსიმალური დღიური დოზა</w:t>
      </w:r>
      <w:r w:rsidR="0001735B" w:rsidRPr="00CD4399">
        <w:rPr>
          <w:sz w:val="24"/>
          <w:szCs w:val="24"/>
        </w:rPr>
        <w:t xml:space="preserve"> -</w:t>
      </w:r>
      <w:r w:rsidRPr="00CD4399">
        <w:rPr>
          <w:sz w:val="24"/>
          <w:szCs w:val="24"/>
        </w:rPr>
        <w:t xml:space="preserve"> 6 კაფსულა (600 მგ).</w:t>
      </w:r>
    </w:p>
    <w:p w14:paraId="3CE5C1DC" w14:textId="2144D8A7" w:rsidR="00C2235E" w:rsidRPr="00CD4399" w:rsidRDefault="00C2235E" w:rsidP="00B71127">
      <w:pPr>
        <w:spacing w:after="0" w:line="276" w:lineRule="auto"/>
        <w:jc w:val="both"/>
        <w:rPr>
          <w:sz w:val="24"/>
          <w:szCs w:val="24"/>
        </w:rPr>
      </w:pPr>
      <w:r w:rsidRPr="00CD4399">
        <w:rPr>
          <w:sz w:val="24"/>
          <w:szCs w:val="24"/>
        </w:rPr>
        <w:t>მკურნალობის ხანგრძლივობა</w:t>
      </w:r>
      <w:r w:rsidR="0001735B" w:rsidRPr="00CD4399">
        <w:rPr>
          <w:sz w:val="24"/>
          <w:szCs w:val="24"/>
        </w:rPr>
        <w:t xml:space="preserve"> -</w:t>
      </w:r>
      <w:r w:rsidRPr="00CD4399">
        <w:rPr>
          <w:sz w:val="24"/>
          <w:szCs w:val="24"/>
        </w:rPr>
        <w:t xml:space="preserve"> 7 დღემდე.</w:t>
      </w:r>
    </w:p>
    <w:p w14:paraId="7E180F47" w14:textId="77777777" w:rsidR="004A5E24" w:rsidRPr="00CD4399" w:rsidRDefault="004A5E24" w:rsidP="00B71127">
      <w:pPr>
        <w:spacing w:after="0" w:line="276" w:lineRule="auto"/>
        <w:jc w:val="both"/>
        <w:rPr>
          <w:b/>
          <w:bCs/>
          <w:sz w:val="24"/>
          <w:szCs w:val="24"/>
        </w:rPr>
      </w:pPr>
      <w:r w:rsidRPr="00CD4399">
        <w:rPr>
          <w:b/>
          <w:bCs/>
          <w:sz w:val="24"/>
          <w:szCs w:val="24"/>
        </w:rPr>
        <w:t>გვერდითი მოვლენები</w:t>
      </w:r>
    </w:p>
    <w:p w14:paraId="7C0F0C6D" w14:textId="60CCAC8A" w:rsidR="004A5E24" w:rsidRPr="00CD4399" w:rsidRDefault="004A5E24" w:rsidP="00B71127">
      <w:pPr>
        <w:spacing w:after="0" w:line="276" w:lineRule="auto"/>
        <w:jc w:val="both"/>
        <w:rPr>
          <w:sz w:val="24"/>
          <w:szCs w:val="24"/>
        </w:rPr>
      </w:pPr>
      <w:r w:rsidRPr="00CD4399">
        <w:rPr>
          <w:sz w:val="24"/>
          <w:szCs w:val="24"/>
        </w:rPr>
        <w:t>ხანგრძლივი გამოყენებისას, ზოგჯერ შეიძლება განვითარდეს მსუბუქი გულისრევა, დისკომფორტი მუცლის ღრუში, ცრემლდენა, თავბრუსხვევა, ხანმოკლე არტერიული ჰიპოტენზია, ძილიანობა, რომლებიც სწრაფად გაივლიან თავისით.</w:t>
      </w:r>
    </w:p>
    <w:p w14:paraId="006F23EE" w14:textId="48264B52" w:rsidR="00494BE8" w:rsidRPr="00CD4399" w:rsidRDefault="004A5E24" w:rsidP="00B71127">
      <w:pPr>
        <w:spacing w:after="0" w:line="276" w:lineRule="auto"/>
        <w:jc w:val="both"/>
        <w:rPr>
          <w:sz w:val="24"/>
          <w:szCs w:val="24"/>
        </w:rPr>
      </w:pPr>
      <w:r w:rsidRPr="00CD4399">
        <w:rPr>
          <w:sz w:val="24"/>
          <w:szCs w:val="24"/>
        </w:rPr>
        <w:t>შესაძლებელია ალერგიული რეაქციები, მათ შორის ანგიონევროზული შეშუპება, ჭინჭრის ციება, გამონაყარი და ქავილი.</w:t>
      </w:r>
    </w:p>
    <w:p w14:paraId="0559FD41" w14:textId="77777777" w:rsidR="004A5E24" w:rsidRPr="00CD4399" w:rsidRDefault="004A5E24" w:rsidP="00B71127">
      <w:pPr>
        <w:spacing w:after="0" w:line="276" w:lineRule="auto"/>
        <w:jc w:val="both"/>
        <w:rPr>
          <w:b/>
          <w:bCs/>
          <w:sz w:val="24"/>
          <w:szCs w:val="24"/>
        </w:rPr>
      </w:pPr>
      <w:r w:rsidRPr="00CD4399">
        <w:rPr>
          <w:b/>
          <w:bCs/>
          <w:sz w:val="24"/>
          <w:szCs w:val="24"/>
        </w:rPr>
        <w:t>უკუჩვენებები</w:t>
      </w:r>
    </w:p>
    <w:p w14:paraId="6855597D" w14:textId="743113F7" w:rsidR="004A5E24" w:rsidRPr="00CD4399" w:rsidRDefault="004A5E24" w:rsidP="00B71127">
      <w:pPr>
        <w:spacing w:after="0" w:line="276" w:lineRule="auto"/>
        <w:jc w:val="both"/>
        <w:rPr>
          <w:sz w:val="24"/>
          <w:szCs w:val="24"/>
        </w:rPr>
      </w:pPr>
      <w:r w:rsidRPr="00CD4399">
        <w:rPr>
          <w:sz w:val="24"/>
          <w:szCs w:val="24"/>
        </w:rPr>
        <w:t xml:space="preserve">მომატებული მგრძნობელობა </w:t>
      </w:r>
      <w:r w:rsidR="009A71F8" w:rsidRPr="00CD4399">
        <w:rPr>
          <w:sz w:val="24"/>
          <w:szCs w:val="24"/>
        </w:rPr>
        <w:t xml:space="preserve">სამკურნალო საშუალების </w:t>
      </w:r>
      <w:r w:rsidRPr="00CD4399">
        <w:rPr>
          <w:sz w:val="24"/>
          <w:szCs w:val="24"/>
        </w:rPr>
        <w:t>რომელიმე კომპონენტის მიმართ.</w:t>
      </w:r>
    </w:p>
    <w:p w14:paraId="00246DA6" w14:textId="26F7529F" w:rsidR="004A5E24" w:rsidRPr="00CD4399" w:rsidRDefault="004A5E24" w:rsidP="00B71127">
      <w:pPr>
        <w:spacing w:after="0" w:line="276" w:lineRule="auto"/>
        <w:jc w:val="both"/>
        <w:rPr>
          <w:sz w:val="24"/>
          <w:szCs w:val="24"/>
        </w:rPr>
      </w:pPr>
      <w:r w:rsidRPr="00CD4399">
        <w:rPr>
          <w:sz w:val="24"/>
          <w:szCs w:val="24"/>
        </w:rPr>
        <w:t>მძიმე არტერიული ჰიპოტენზია; მწვავე მიოკარდიუმის ინფარქტი.</w:t>
      </w:r>
    </w:p>
    <w:p w14:paraId="79295E1F" w14:textId="792B7EF6" w:rsidR="009A71F8" w:rsidRPr="00CD4399" w:rsidRDefault="009A71F8" w:rsidP="00B71127">
      <w:pPr>
        <w:spacing w:after="0" w:line="276" w:lineRule="auto"/>
        <w:jc w:val="both"/>
        <w:rPr>
          <w:b/>
          <w:bCs/>
          <w:sz w:val="24"/>
          <w:szCs w:val="24"/>
        </w:rPr>
      </w:pPr>
      <w:r w:rsidRPr="00CD4399">
        <w:rPr>
          <w:b/>
          <w:bCs/>
          <w:sz w:val="24"/>
          <w:szCs w:val="24"/>
        </w:rPr>
        <w:t>წამლისმიერი ურთიერთქმედება</w:t>
      </w:r>
    </w:p>
    <w:p w14:paraId="52F318E2" w14:textId="77777777" w:rsidR="009A71F8" w:rsidRPr="00CD4399" w:rsidRDefault="009A71F8" w:rsidP="00B71127">
      <w:pPr>
        <w:spacing w:after="0" w:line="276" w:lineRule="auto"/>
        <w:jc w:val="both"/>
        <w:rPr>
          <w:sz w:val="24"/>
          <w:szCs w:val="24"/>
        </w:rPr>
      </w:pPr>
      <w:r w:rsidRPr="00CD4399">
        <w:rPr>
          <w:sz w:val="24"/>
          <w:szCs w:val="24"/>
        </w:rPr>
        <w:t>კორვალმენტ-ვალიდოლი აძლიერებს ფსიქოტროპული მედიკამენტების, ოპიოიდური ანალგეტიკების, ალკოჰოლის და ანესთეტიკების სედატიურ ეფექტს მათი ერთდროული გამოყენებისას.</w:t>
      </w:r>
    </w:p>
    <w:p w14:paraId="530E776F" w14:textId="77777777" w:rsidR="009A71F8" w:rsidRPr="00CD4399" w:rsidRDefault="009A71F8" w:rsidP="00B71127">
      <w:pPr>
        <w:spacing w:after="0" w:line="276" w:lineRule="auto"/>
        <w:jc w:val="both"/>
        <w:rPr>
          <w:sz w:val="24"/>
          <w:szCs w:val="24"/>
        </w:rPr>
      </w:pPr>
      <w:r w:rsidRPr="00CD4399">
        <w:rPr>
          <w:sz w:val="24"/>
          <w:szCs w:val="24"/>
        </w:rPr>
        <w:t>ანტიჰიპერტენზიული მედიკამენტების ეფექტი შეიძლება გაძლიერდეს კორვალმენტ-ვალიდოლთან ერთად გამოყენებისას.</w:t>
      </w:r>
    </w:p>
    <w:p w14:paraId="14B296FC" w14:textId="091BC55C" w:rsidR="009A71F8" w:rsidRPr="00CD4399" w:rsidRDefault="009A71F8" w:rsidP="00B71127">
      <w:pPr>
        <w:spacing w:after="0" w:line="276" w:lineRule="auto"/>
        <w:jc w:val="both"/>
        <w:rPr>
          <w:b/>
          <w:bCs/>
          <w:sz w:val="24"/>
          <w:szCs w:val="24"/>
        </w:rPr>
      </w:pPr>
      <w:r w:rsidRPr="00CD4399">
        <w:rPr>
          <w:b/>
          <w:bCs/>
          <w:sz w:val="24"/>
          <w:szCs w:val="24"/>
        </w:rPr>
        <w:t>კორვალმენტ-ვალიდოლი ამცირებს ნიტრატების მიღებით გამოწვეული თავის ტკივილის სიმძიმეს.</w:t>
      </w:r>
    </w:p>
    <w:p w14:paraId="096F2102" w14:textId="4EB0F6C3" w:rsidR="009A71F8" w:rsidRPr="00CD4399" w:rsidRDefault="009A71F8" w:rsidP="00B71127">
      <w:pPr>
        <w:spacing w:after="0" w:line="276" w:lineRule="auto"/>
        <w:jc w:val="both"/>
        <w:rPr>
          <w:b/>
          <w:bCs/>
          <w:sz w:val="24"/>
          <w:szCs w:val="24"/>
        </w:rPr>
      </w:pPr>
      <w:r w:rsidRPr="00CD4399">
        <w:rPr>
          <w:b/>
          <w:bCs/>
          <w:sz w:val="24"/>
          <w:szCs w:val="24"/>
        </w:rPr>
        <w:t>განსაკუთრებული მითითებები</w:t>
      </w:r>
    </w:p>
    <w:p w14:paraId="7E96F0A3" w14:textId="15A24001" w:rsidR="009A71F8" w:rsidRPr="00CD4399" w:rsidRDefault="009A71F8" w:rsidP="00B71127">
      <w:pPr>
        <w:spacing w:after="0" w:line="276" w:lineRule="auto"/>
        <w:jc w:val="both"/>
        <w:rPr>
          <w:sz w:val="24"/>
          <w:szCs w:val="24"/>
        </w:rPr>
      </w:pPr>
      <w:r w:rsidRPr="00CD4399">
        <w:rPr>
          <w:sz w:val="24"/>
          <w:szCs w:val="24"/>
        </w:rPr>
        <w:t>თუ მედიკამენტის მიღების შემდეგ კვლავ გრძელდება ტკივილი გულის არეში,  აუცილებელია ექიმთან კონსულტაცია მწვავე კორონარული სინდრომის გამოსარიცხად.</w:t>
      </w:r>
    </w:p>
    <w:p w14:paraId="7F9A8643" w14:textId="57D8F3D7" w:rsidR="009A71F8" w:rsidRPr="00CD4399" w:rsidRDefault="009A71F8" w:rsidP="00B71127">
      <w:pPr>
        <w:spacing w:after="0" w:line="276" w:lineRule="auto"/>
        <w:jc w:val="both"/>
        <w:rPr>
          <w:sz w:val="24"/>
          <w:szCs w:val="24"/>
        </w:rPr>
      </w:pPr>
      <w:r w:rsidRPr="00CD4399">
        <w:rPr>
          <w:sz w:val="24"/>
          <w:szCs w:val="24"/>
        </w:rPr>
        <w:t>ეს სამკურნალო საშუალება არ შეიცავს შაქარს და მისი გამოყენება შეუძლიათ დიაბეტით დაავადებულ პაციენტებს.</w:t>
      </w:r>
    </w:p>
    <w:p w14:paraId="661DB70B" w14:textId="55299135" w:rsidR="009A71F8" w:rsidRPr="00CD4399" w:rsidRDefault="009A71F8" w:rsidP="00B71127">
      <w:pPr>
        <w:spacing w:after="0" w:line="276" w:lineRule="auto"/>
        <w:jc w:val="both"/>
        <w:rPr>
          <w:sz w:val="24"/>
          <w:szCs w:val="24"/>
        </w:rPr>
      </w:pPr>
      <w:r w:rsidRPr="00CD4399">
        <w:rPr>
          <w:sz w:val="24"/>
          <w:szCs w:val="24"/>
        </w:rPr>
        <w:t>გამოიყენება ორსულობისა და ლაქტაციის პერიოდში.</w:t>
      </w:r>
    </w:p>
    <w:p w14:paraId="3DA0AB12" w14:textId="7C9C2A33" w:rsidR="009A71F8" w:rsidRPr="00CD4399" w:rsidRDefault="009A71F8" w:rsidP="00B71127">
      <w:pPr>
        <w:spacing w:after="0" w:line="276" w:lineRule="auto"/>
        <w:jc w:val="both"/>
        <w:rPr>
          <w:sz w:val="24"/>
          <w:szCs w:val="24"/>
        </w:rPr>
      </w:pPr>
      <w:r w:rsidRPr="00CD4399">
        <w:rPr>
          <w:sz w:val="24"/>
          <w:szCs w:val="24"/>
        </w:rPr>
        <w:t>მედიკამენტის გამოყენება ორსულობის ან ძუძუთი კვების დროს დაშვებულია, თუ ექიმის შეფასებით დედისთვის მოსალოდნელი სარგებელი აღემატება ნაყოფის/ბავშვისთვის პოტენციურ რისკს.</w:t>
      </w:r>
    </w:p>
    <w:p w14:paraId="57CF9426" w14:textId="77777777" w:rsidR="009A71F8" w:rsidRPr="00CD4399" w:rsidRDefault="009A71F8" w:rsidP="00B71127">
      <w:pPr>
        <w:spacing w:after="0" w:line="276" w:lineRule="auto"/>
        <w:jc w:val="both"/>
        <w:rPr>
          <w:sz w:val="24"/>
          <w:szCs w:val="24"/>
        </w:rPr>
      </w:pPr>
      <w:r w:rsidRPr="00CD4399">
        <w:rPr>
          <w:sz w:val="24"/>
          <w:szCs w:val="24"/>
        </w:rPr>
        <w:t>ბავშვები.</w:t>
      </w:r>
    </w:p>
    <w:p w14:paraId="51736200" w14:textId="0E0BD679" w:rsidR="009A71F8" w:rsidRPr="00CD4399" w:rsidRDefault="009A71F8" w:rsidP="00B71127">
      <w:pPr>
        <w:spacing w:after="0" w:line="276" w:lineRule="auto"/>
        <w:jc w:val="both"/>
        <w:rPr>
          <w:sz w:val="24"/>
          <w:szCs w:val="24"/>
        </w:rPr>
      </w:pPr>
      <w:r w:rsidRPr="00CD4399">
        <w:rPr>
          <w:sz w:val="24"/>
          <w:szCs w:val="24"/>
        </w:rPr>
        <w:t>ამ მედიკამენტის ბავშვებში გამოყენების გამოცდილება არ არსებობს.</w:t>
      </w:r>
    </w:p>
    <w:p w14:paraId="772FA1D1" w14:textId="159F70E4" w:rsidR="009A71F8" w:rsidRPr="00CD4399" w:rsidRDefault="009A71F8" w:rsidP="00B71127">
      <w:pPr>
        <w:spacing w:after="0" w:line="276" w:lineRule="auto"/>
        <w:jc w:val="both"/>
        <w:rPr>
          <w:sz w:val="24"/>
          <w:szCs w:val="24"/>
        </w:rPr>
      </w:pPr>
      <w:r w:rsidRPr="00CD4399">
        <w:rPr>
          <w:sz w:val="24"/>
          <w:szCs w:val="24"/>
        </w:rPr>
        <w:t>ზეგავლენა რეაქციის სიჩქარეზე სატრანსპორტო საშუალების მართვისას ან სხვა მექანიზმების გამოყენებისას.</w:t>
      </w:r>
    </w:p>
    <w:p w14:paraId="20BAAA2E" w14:textId="0D9D5571" w:rsidR="009A71F8" w:rsidRPr="00CD4399" w:rsidRDefault="009A71F8" w:rsidP="00B71127">
      <w:pPr>
        <w:spacing w:after="0" w:line="276" w:lineRule="auto"/>
        <w:jc w:val="both"/>
        <w:rPr>
          <w:sz w:val="24"/>
          <w:szCs w:val="24"/>
        </w:rPr>
      </w:pPr>
      <w:r w:rsidRPr="00CD4399">
        <w:rPr>
          <w:sz w:val="24"/>
          <w:szCs w:val="24"/>
        </w:rPr>
        <w:t xml:space="preserve">შესაძლო გვერდითი მოვლენების (თავბრუსხვევა და ძილიანობა) გამო, პრეპარატის მიღებიდან პირველი საათების განმავლობაში სიფრთხილეა საჭირო სატრანსპორტო საშუალებების მართვისას ან ისეთი სამუშაოს შესრულებისას, რომელიც მოითხოვს </w:t>
      </w:r>
      <w:r w:rsidR="000413F1" w:rsidRPr="00CD4399">
        <w:rPr>
          <w:sz w:val="24"/>
          <w:szCs w:val="24"/>
        </w:rPr>
        <w:t xml:space="preserve">მომატებულ </w:t>
      </w:r>
      <w:r w:rsidRPr="00CD4399">
        <w:rPr>
          <w:sz w:val="24"/>
          <w:szCs w:val="24"/>
        </w:rPr>
        <w:t>ყურადღების კონცენტრაცი</w:t>
      </w:r>
      <w:r w:rsidR="000413F1" w:rsidRPr="00CD4399">
        <w:rPr>
          <w:sz w:val="24"/>
          <w:szCs w:val="24"/>
        </w:rPr>
        <w:t>ას.</w:t>
      </w:r>
    </w:p>
    <w:p w14:paraId="64240A92" w14:textId="311A345F" w:rsidR="004A5E24" w:rsidRPr="00CD4399" w:rsidRDefault="000413F1" w:rsidP="00B71127">
      <w:pPr>
        <w:spacing w:after="0" w:line="276" w:lineRule="auto"/>
        <w:jc w:val="both"/>
        <w:rPr>
          <w:b/>
          <w:bCs/>
          <w:sz w:val="24"/>
          <w:szCs w:val="24"/>
        </w:rPr>
      </w:pPr>
      <w:r w:rsidRPr="00CD4399">
        <w:rPr>
          <w:b/>
          <w:bCs/>
          <w:sz w:val="24"/>
          <w:szCs w:val="24"/>
        </w:rPr>
        <w:lastRenderedPageBreak/>
        <w:t>დოზის გადაჭარბება</w:t>
      </w:r>
    </w:p>
    <w:p w14:paraId="5557F64E" w14:textId="64FADE78" w:rsidR="000413F1" w:rsidRPr="00CD4399" w:rsidRDefault="000413F1" w:rsidP="00B71127">
      <w:pPr>
        <w:spacing w:after="0" w:line="276" w:lineRule="auto"/>
        <w:jc w:val="both"/>
        <w:rPr>
          <w:sz w:val="24"/>
          <w:szCs w:val="24"/>
        </w:rPr>
      </w:pPr>
      <w:r w:rsidRPr="00CD4399">
        <w:rPr>
          <w:sz w:val="24"/>
          <w:szCs w:val="24"/>
        </w:rPr>
        <w:t>სიმპტომები: თავის ტკივილი, გულისრევა, აგზნებადობა, გულის დისფუნქცია, არტერიული წნევის დაქვეითება, ცენტრალური ნერვული სისტემის დათრგუნვა, პრეპარატის კომპონენტების მიმართ ჰიპერმგრძნობელობის რეაქციები (ანგიონევროზული შეშუპება, ჭინჭრის ციება, ქავილი, გამონაყარი).</w:t>
      </w:r>
    </w:p>
    <w:p w14:paraId="51E7A075" w14:textId="44D8457E" w:rsidR="004A5E24" w:rsidRPr="00CD4399" w:rsidRDefault="000413F1" w:rsidP="00B71127">
      <w:pPr>
        <w:spacing w:after="0" w:line="276" w:lineRule="auto"/>
        <w:jc w:val="both"/>
        <w:rPr>
          <w:b/>
          <w:bCs/>
          <w:sz w:val="24"/>
          <w:szCs w:val="24"/>
        </w:rPr>
      </w:pPr>
      <w:r w:rsidRPr="00CD4399">
        <w:rPr>
          <w:sz w:val="24"/>
          <w:szCs w:val="24"/>
        </w:rPr>
        <w:t>მკურნალობა:</w:t>
      </w:r>
      <w:r w:rsidRPr="00CD4399">
        <w:rPr>
          <w:b/>
          <w:bCs/>
          <w:sz w:val="24"/>
          <w:szCs w:val="24"/>
        </w:rPr>
        <w:t xml:space="preserve"> </w:t>
      </w:r>
      <w:r w:rsidRPr="00CD4399">
        <w:rPr>
          <w:sz w:val="24"/>
          <w:szCs w:val="24"/>
        </w:rPr>
        <w:t>პრეპარატის მოხსნა და სიმპტომური თერაპია.</w:t>
      </w:r>
    </w:p>
    <w:p w14:paraId="2B0A94D8" w14:textId="34248A5B" w:rsidR="004A5E24" w:rsidRPr="00CD4399" w:rsidRDefault="000413F1" w:rsidP="00B71127">
      <w:pPr>
        <w:spacing w:after="0" w:line="276" w:lineRule="auto"/>
        <w:jc w:val="both"/>
        <w:rPr>
          <w:b/>
          <w:bCs/>
          <w:sz w:val="24"/>
          <w:szCs w:val="24"/>
        </w:rPr>
      </w:pPr>
      <w:r w:rsidRPr="00CD4399">
        <w:rPr>
          <w:b/>
          <w:bCs/>
          <w:sz w:val="24"/>
          <w:szCs w:val="24"/>
        </w:rPr>
        <w:t>გამოშვების ფორმა</w:t>
      </w:r>
    </w:p>
    <w:p w14:paraId="78DC9B4C" w14:textId="1EA051FB" w:rsidR="000413F1" w:rsidRPr="00CD4399" w:rsidRDefault="000413F1" w:rsidP="00B71127">
      <w:pPr>
        <w:spacing w:after="0" w:line="276" w:lineRule="auto"/>
        <w:jc w:val="both"/>
        <w:rPr>
          <w:sz w:val="24"/>
          <w:szCs w:val="24"/>
        </w:rPr>
      </w:pPr>
      <w:r w:rsidRPr="00CD4399">
        <w:rPr>
          <w:sz w:val="24"/>
          <w:szCs w:val="24"/>
        </w:rPr>
        <w:t>10 კაფსულა ბლისტერში; 3 ბლისტერი კოლოფში.</w:t>
      </w:r>
    </w:p>
    <w:bookmarkEnd w:id="0"/>
    <w:p w14:paraId="5EC94F0B" w14:textId="77777777" w:rsidR="00C07367" w:rsidRPr="00CD4399" w:rsidRDefault="00C07367" w:rsidP="00B71127">
      <w:pPr>
        <w:spacing w:after="0" w:line="276" w:lineRule="auto"/>
        <w:jc w:val="both"/>
        <w:rPr>
          <w:b/>
          <w:bCs/>
          <w:sz w:val="24"/>
          <w:szCs w:val="24"/>
        </w:rPr>
      </w:pPr>
      <w:r w:rsidRPr="00CD4399">
        <w:rPr>
          <w:b/>
          <w:bCs/>
          <w:sz w:val="24"/>
          <w:szCs w:val="24"/>
        </w:rPr>
        <w:t>შენახვის პირობები.</w:t>
      </w:r>
    </w:p>
    <w:p w14:paraId="6BEA37EE" w14:textId="38D850C5" w:rsidR="00C07367" w:rsidRPr="00CD4399" w:rsidRDefault="007F19EF" w:rsidP="00B71127">
      <w:pPr>
        <w:spacing w:after="0" w:line="276" w:lineRule="auto"/>
        <w:jc w:val="both"/>
        <w:rPr>
          <w:sz w:val="24"/>
          <w:szCs w:val="24"/>
        </w:rPr>
      </w:pPr>
      <w:r w:rsidRPr="00CD4399">
        <w:rPr>
          <w:sz w:val="24"/>
          <w:szCs w:val="24"/>
        </w:rPr>
        <w:t xml:space="preserve">ინახება </w:t>
      </w:r>
      <w:r w:rsidR="00C07367" w:rsidRPr="00CD4399">
        <w:rPr>
          <w:sz w:val="24"/>
          <w:szCs w:val="24"/>
        </w:rPr>
        <w:t>ორიგინალ შეფუთვაში არაუმეტეს 25°C ტემპერატურაზე.</w:t>
      </w:r>
    </w:p>
    <w:p w14:paraId="0B4CF0F4" w14:textId="56E3E0BA" w:rsidR="00C07367" w:rsidRPr="00CD4399" w:rsidRDefault="007F19EF" w:rsidP="00B71127">
      <w:pPr>
        <w:spacing w:after="0" w:line="276" w:lineRule="auto"/>
        <w:jc w:val="both"/>
        <w:rPr>
          <w:sz w:val="24"/>
          <w:szCs w:val="24"/>
        </w:rPr>
      </w:pPr>
      <w:r w:rsidRPr="00CD4399">
        <w:rPr>
          <w:sz w:val="24"/>
          <w:szCs w:val="24"/>
        </w:rPr>
        <w:t>ინახება</w:t>
      </w:r>
      <w:r w:rsidR="00C07367" w:rsidRPr="00CD4399">
        <w:rPr>
          <w:sz w:val="24"/>
          <w:szCs w:val="24"/>
        </w:rPr>
        <w:t xml:space="preserve"> ბავშვებისთვის მიუწვდომელ ადგილას.</w:t>
      </w:r>
    </w:p>
    <w:p w14:paraId="664AE0E1" w14:textId="3DC31A92" w:rsidR="00747FDA" w:rsidRPr="00CD4399" w:rsidRDefault="000413F1" w:rsidP="00B71127">
      <w:pPr>
        <w:spacing w:after="0" w:line="276" w:lineRule="auto"/>
        <w:jc w:val="both"/>
        <w:rPr>
          <w:b/>
          <w:bCs/>
          <w:sz w:val="24"/>
          <w:szCs w:val="24"/>
        </w:rPr>
      </w:pPr>
      <w:r w:rsidRPr="00CD4399">
        <w:rPr>
          <w:b/>
          <w:bCs/>
          <w:sz w:val="24"/>
          <w:szCs w:val="24"/>
        </w:rPr>
        <w:t>ვარგისობის ვადა.</w:t>
      </w:r>
    </w:p>
    <w:p w14:paraId="00DF2730" w14:textId="528A271E" w:rsidR="000413F1" w:rsidRPr="00CD4399" w:rsidRDefault="000413F1" w:rsidP="00B71127">
      <w:pPr>
        <w:spacing w:after="0" w:line="276" w:lineRule="auto"/>
        <w:jc w:val="both"/>
        <w:rPr>
          <w:sz w:val="24"/>
          <w:szCs w:val="24"/>
        </w:rPr>
      </w:pPr>
      <w:r w:rsidRPr="00CD4399">
        <w:rPr>
          <w:sz w:val="24"/>
          <w:szCs w:val="24"/>
        </w:rPr>
        <w:t>3 წელი.</w:t>
      </w:r>
    </w:p>
    <w:p w14:paraId="190B7B93" w14:textId="2102254D" w:rsidR="000413F1" w:rsidRPr="00CD4399" w:rsidRDefault="000413F1" w:rsidP="00B71127">
      <w:pPr>
        <w:spacing w:after="0" w:line="276" w:lineRule="auto"/>
        <w:jc w:val="both"/>
        <w:rPr>
          <w:sz w:val="24"/>
          <w:szCs w:val="24"/>
        </w:rPr>
      </w:pPr>
      <w:r w:rsidRPr="00CD4399">
        <w:rPr>
          <w:sz w:val="24"/>
          <w:szCs w:val="24"/>
        </w:rPr>
        <w:t>არ შეიძლება გამოყენება ვარგისიანობის ვადის გასვლის შემდეგ.</w:t>
      </w:r>
    </w:p>
    <w:p w14:paraId="77E5DA01" w14:textId="45BB3643" w:rsidR="00747FDA" w:rsidRPr="00CD4399" w:rsidRDefault="000413F1" w:rsidP="00B71127">
      <w:pPr>
        <w:spacing w:after="0" w:line="276" w:lineRule="auto"/>
        <w:jc w:val="both"/>
        <w:rPr>
          <w:b/>
          <w:bCs/>
          <w:sz w:val="24"/>
          <w:szCs w:val="24"/>
        </w:rPr>
      </w:pPr>
      <w:r w:rsidRPr="00CD4399">
        <w:rPr>
          <w:b/>
          <w:bCs/>
          <w:sz w:val="24"/>
          <w:szCs w:val="24"/>
        </w:rPr>
        <w:t>აფთიაქიდან გაცემის რეჟიმი</w:t>
      </w:r>
    </w:p>
    <w:p w14:paraId="44C5FC5B" w14:textId="77777777" w:rsidR="00CD4399" w:rsidRPr="00187B7A" w:rsidRDefault="00CD4399" w:rsidP="00B71127">
      <w:pPr>
        <w:tabs>
          <w:tab w:val="left" w:pos="7309"/>
        </w:tabs>
        <w:spacing w:before="120" w:after="120" w:line="276" w:lineRule="auto"/>
        <w:jc w:val="both"/>
      </w:pPr>
      <w:r w:rsidRPr="00D90755">
        <w:rPr>
          <w:rFonts w:ascii="Sylfaen" w:eastAsia="SimSun" w:hAnsi="Sylfaen"/>
          <w:bCs/>
        </w:rPr>
        <w:t>ფ</w:t>
      </w:r>
      <w:r w:rsidRPr="00187B7A">
        <w:rPr>
          <w:rFonts w:ascii="Sylfaen" w:eastAsia="SimSun" w:hAnsi="Sylfaen" w:cs="Sylfaen"/>
          <w:bCs/>
        </w:rPr>
        <w:t>არმაცევტული</w:t>
      </w:r>
      <w:r w:rsidRPr="00187B7A">
        <w:rPr>
          <w:rFonts w:ascii="AcadNusx" w:eastAsia="SimSun" w:hAnsi="AcadNusx"/>
          <w:bCs/>
        </w:rPr>
        <w:t xml:space="preserve"> </w:t>
      </w:r>
      <w:r w:rsidRPr="00187B7A">
        <w:rPr>
          <w:rFonts w:ascii="Sylfaen" w:eastAsia="SimSun" w:hAnsi="Sylfaen" w:cs="Sylfaen"/>
          <w:bCs/>
        </w:rPr>
        <w:t>პროდუქტის</w:t>
      </w:r>
      <w:r w:rsidRPr="00187B7A">
        <w:rPr>
          <w:rFonts w:ascii="AcadNusx" w:eastAsia="SimSun" w:hAnsi="AcadNusx"/>
          <w:bCs/>
        </w:rPr>
        <w:t xml:space="preserve"> </w:t>
      </w:r>
      <w:r w:rsidRPr="00187B7A">
        <w:rPr>
          <w:rFonts w:ascii="Sylfaen" w:eastAsia="SimSun" w:hAnsi="Sylfaen" w:cs="Sylfaen"/>
          <w:bCs/>
        </w:rPr>
        <w:t>ჯგუფი</w:t>
      </w:r>
      <w:r w:rsidRPr="00187B7A">
        <w:rPr>
          <w:rFonts w:ascii="AcadNusx" w:eastAsia="SimSun" w:hAnsi="AcadNusx"/>
          <w:bCs/>
        </w:rPr>
        <w:t xml:space="preserve"> I</w:t>
      </w:r>
      <w:r w:rsidRPr="00187B7A">
        <w:rPr>
          <w:rFonts w:ascii="Sylfaen" w:eastAsia="SimSun" w:hAnsi="Sylfaen"/>
          <w:bCs/>
        </w:rPr>
        <w:t>I</w:t>
      </w:r>
      <w:r w:rsidRPr="00187B7A">
        <w:rPr>
          <w:rFonts w:ascii="AcadNusx" w:eastAsia="SimSun" w:hAnsi="AcadNusx"/>
          <w:bCs/>
        </w:rPr>
        <w:t>I</w:t>
      </w:r>
      <w:r w:rsidRPr="00D90755">
        <w:rPr>
          <w:rFonts w:ascii="Sylfaen" w:eastAsia="SimSun" w:hAnsi="Sylfaen"/>
          <w:bCs/>
        </w:rPr>
        <w:t xml:space="preserve">, გაიცემა </w:t>
      </w:r>
      <w:r>
        <w:rPr>
          <w:rFonts w:ascii="Sylfaen" w:eastAsia="SimSun" w:hAnsi="Sylfaen"/>
          <w:bCs/>
        </w:rPr>
        <w:t>რეცეპტის გარეშე</w:t>
      </w:r>
      <w:r>
        <w:rPr>
          <w:rFonts w:ascii="Sylfaen" w:eastAsia="SimSun" w:hAnsi="Sylfaen"/>
          <w:bCs/>
        </w:rPr>
        <w:tab/>
      </w:r>
    </w:p>
    <w:p w14:paraId="5E4E9BD5" w14:textId="7A6F036D" w:rsidR="00747FDA" w:rsidRPr="00CD4399" w:rsidRDefault="00747FDA" w:rsidP="00B71127">
      <w:pPr>
        <w:spacing w:after="0" w:line="276" w:lineRule="auto"/>
        <w:jc w:val="both"/>
        <w:rPr>
          <w:sz w:val="24"/>
          <w:szCs w:val="24"/>
        </w:rPr>
      </w:pPr>
    </w:p>
    <w:p w14:paraId="6DD5EFAB" w14:textId="77777777" w:rsidR="000413F1" w:rsidRPr="00CD4399" w:rsidRDefault="00747FDA" w:rsidP="00B71127">
      <w:pPr>
        <w:spacing w:after="0" w:line="276" w:lineRule="auto"/>
        <w:rPr>
          <w:rFonts w:asciiTheme="majorHAnsi" w:eastAsia="Times New Roman" w:hAnsiTheme="majorHAnsi" w:cs="Times New Roman"/>
          <w:b/>
          <w:bCs/>
          <w:kern w:val="0"/>
          <w:sz w:val="24"/>
          <w:szCs w:val="24"/>
          <w:lang w:eastAsia="ka-GE"/>
          <w14:ligatures w14:val="none"/>
        </w:rPr>
      </w:pPr>
      <w:r w:rsidRPr="00CD4399">
        <w:rPr>
          <w:rFonts w:asciiTheme="majorHAnsi" w:eastAsia="Times New Roman" w:hAnsiTheme="majorHAnsi" w:cs="Sylfaen"/>
          <w:b/>
          <w:bCs/>
          <w:kern w:val="0"/>
          <w:sz w:val="24"/>
          <w:szCs w:val="24"/>
          <w:lang w:eastAsia="ka-GE"/>
          <w14:ligatures w14:val="none"/>
        </w:rPr>
        <w:t>მწარმოებლის</w:t>
      </w:r>
      <w:r w:rsidRPr="00CD4399">
        <w:rPr>
          <w:rFonts w:asciiTheme="majorHAnsi" w:eastAsia="Times New Roman" w:hAnsiTheme="majorHAnsi" w:cs="Times New Roman"/>
          <w:b/>
          <w:bCs/>
          <w:kern w:val="0"/>
          <w:sz w:val="24"/>
          <w:szCs w:val="24"/>
          <w:lang w:eastAsia="ka-GE"/>
          <w14:ligatures w14:val="none"/>
        </w:rPr>
        <w:t xml:space="preserve"> </w:t>
      </w:r>
      <w:r w:rsidR="000413F1" w:rsidRPr="00CD4399">
        <w:rPr>
          <w:rFonts w:asciiTheme="majorHAnsi" w:eastAsia="Times New Roman" w:hAnsiTheme="majorHAnsi" w:cs="Times New Roman"/>
          <w:b/>
          <w:bCs/>
          <w:kern w:val="0"/>
          <w:sz w:val="24"/>
          <w:szCs w:val="24"/>
          <w:lang w:eastAsia="ka-GE"/>
          <w14:ligatures w14:val="none"/>
        </w:rPr>
        <w:t>დასახელება და მისამართი</w:t>
      </w:r>
    </w:p>
    <w:p w14:paraId="395D2D88" w14:textId="77777777" w:rsidR="000413F1" w:rsidRPr="00CD4399" w:rsidRDefault="000413F1" w:rsidP="00B71127">
      <w:pPr>
        <w:spacing w:after="0" w:line="276" w:lineRule="auto"/>
        <w:jc w:val="both"/>
        <w:rPr>
          <w:sz w:val="24"/>
          <w:szCs w:val="24"/>
        </w:rPr>
      </w:pPr>
      <w:r w:rsidRPr="00CD4399">
        <w:rPr>
          <w:sz w:val="24"/>
          <w:szCs w:val="24"/>
        </w:rPr>
        <w:t>სს „კიევის ვიტამინების ქარხანა“</w:t>
      </w:r>
    </w:p>
    <w:p w14:paraId="46A88FAD" w14:textId="77777777" w:rsidR="000413F1" w:rsidRPr="00CD4399" w:rsidRDefault="000413F1" w:rsidP="00B71127">
      <w:pPr>
        <w:spacing w:after="0" w:line="276" w:lineRule="auto"/>
        <w:jc w:val="both"/>
        <w:rPr>
          <w:sz w:val="24"/>
          <w:szCs w:val="24"/>
        </w:rPr>
      </w:pPr>
      <w:r w:rsidRPr="00CD4399">
        <w:rPr>
          <w:sz w:val="24"/>
          <w:szCs w:val="24"/>
        </w:rPr>
        <w:t>უკრაინა, 04073, კიევი, კოპილოვსკაიას ქ., 38.</w:t>
      </w:r>
    </w:p>
    <w:p w14:paraId="6D39AC11" w14:textId="43BC51C9" w:rsidR="00747FDA" w:rsidRPr="00CD4399" w:rsidRDefault="000413F1" w:rsidP="00B71127">
      <w:pPr>
        <w:spacing w:after="0" w:line="276" w:lineRule="auto"/>
        <w:jc w:val="both"/>
        <w:rPr>
          <w:sz w:val="24"/>
          <w:szCs w:val="24"/>
        </w:rPr>
      </w:pPr>
      <w:r w:rsidRPr="00CD4399">
        <w:rPr>
          <w:sz w:val="24"/>
          <w:szCs w:val="24"/>
        </w:rPr>
        <w:t xml:space="preserve">ვებსაიტი: </w:t>
      </w:r>
      <w:hyperlink r:id="rId5" w:history="1">
        <w:r w:rsidRPr="00CD4399">
          <w:rPr>
            <w:rStyle w:val="Hyperlink"/>
            <w:color w:val="auto"/>
            <w:sz w:val="24"/>
            <w:szCs w:val="24"/>
          </w:rPr>
          <w:t>www.vitamin.com.ua</w:t>
        </w:r>
      </w:hyperlink>
    </w:p>
    <w:p w14:paraId="46073C76" w14:textId="77777777" w:rsidR="000413F1" w:rsidRPr="00CD4399" w:rsidRDefault="000413F1" w:rsidP="00B71127">
      <w:pPr>
        <w:spacing w:after="0" w:line="276" w:lineRule="auto"/>
        <w:jc w:val="both"/>
        <w:rPr>
          <w:sz w:val="24"/>
          <w:szCs w:val="24"/>
        </w:rPr>
      </w:pPr>
    </w:p>
    <w:p w14:paraId="588B02AF" w14:textId="77777777" w:rsidR="00747FDA" w:rsidRPr="00CD4399" w:rsidRDefault="00747FDA" w:rsidP="00B71127">
      <w:pPr>
        <w:spacing w:line="276" w:lineRule="auto"/>
        <w:rPr>
          <w:rFonts w:asciiTheme="majorHAnsi" w:hAnsiTheme="majorHAnsi"/>
          <w:sz w:val="24"/>
          <w:szCs w:val="24"/>
        </w:rPr>
      </w:pPr>
    </w:p>
    <w:p w14:paraId="67F2CCD0" w14:textId="77777777" w:rsidR="00747FDA" w:rsidRPr="00CD4399" w:rsidRDefault="00747FDA" w:rsidP="00B71127">
      <w:pPr>
        <w:spacing w:line="276" w:lineRule="auto"/>
        <w:rPr>
          <w:rFonts w:asciiTheme="majorHAnsi" w:hAnsiTheme="majorHAnsi"/>
          <w:sz w:val="24"/>
          <w:szCs w:val="24"/>
        </w:rPr>
      </w:pPr>
    </w:p>
    <w:p w14:paraId="0C3B6093" w14:textId="77777777" w:rsidR="007F19EF" w:rsidRPr="00CD4399" w:rsidRDefault="007F19EF" w:rsidP="00B71127">
      <w:pPr>
        <w:spacing w:line="276" w:lineRule="auto"/>
        <w:rPr>
          <w:rFonts w:asciiTheme="majorHAnsi" w:hAnsiTheme="majorHAnsi"/>
          <w:sz w:val="24"/>
          <w:szCs w:val="24"/>
        </w:rPr>
      </w:pPr>
    </w:p>
    <w:p w14:paraId="300E8E17" w14:textId="77777777" w:rsidR="007F19EF" w:rsidRPr="00CD4399" w:rsidRDefault="007F19EF" w:rsidP="00B71127">
      <w:pPr>
        <w:spacing w:line="276" w:lineRule="auto"/>
        <w:rPr>
          <w:rFonts w:asciiTheme="majorHAnsi" w:hAnsiTheme="majorHAnsi"/>
          <w:sz w:val="24"/>
          <w:szCs w:val="24"/>
        </w:rPr>
      </w:pPr>
    </w:p>
    <w:p w14:paraId="471B4EE1" w14:textId="77777777" w:rsidR="007F19EF" w:rsidRPr="00CD4399" w:rsidRDefault="007F19EF" w:rsidP="00B71127">
      <w:pPr>
        <w:spacing w:line="276" w:lineRule="auto"/>
        <w:rPr>
          <w:rFonts w:asciiTheme="majorHAnsi" w:hAnsiTheme="majorHAnsi"/>
          <w:sz w:val="24"/>
          <w:szCs w:val="24"/>
        </w:rPr>
      </w:pPr>
    </w:p>
    <w:p w14:paraId="061CD8F4" w14:textId="77777777" w:rsidR="00747FDA" w:rsidRPr="00CD4399" w:rsidRDefault="00747FDA" w:rsidP="00B71127">
      <w:pPr>
        <w:spacing w:after="0" w:line="276" w:lineRule="auto"/>
        <w:jc w:val="both"/>
        <w:rPr>
          <w:sz w:val="24"/>
          <w:szCs w:val="24"/>
        </w:rPr>
      </w:pPr>
    </w:p>
    <w:p w14:paraId="1F882B2C" w14:textId="77777777" w:rsidR="00747FDA" w:rsidRPr="00CD4399" w:rsidRDefault="00747FDA" w:rsidP="00B71127">
      <w:pPr>
        <w:spacing w:after="0" w:line="276" w:lineRule="auto"/>
        <w:jc w:val="both"/>
        <w:rPr>
          <w:sz w:val="24"/>
          <w:szCs w:val="24"/>
        </w:rPr>
      </w:pPr>
    </w:p>
    <w:p w14:paraId="6A21391A" w14:textId="77777777" w:rsidR="000A1FCC" w:rsidRPr="00CD4399" w:rsidRDefault="000A1FCC" w:rsidP="00B71127">
      <w:pPr>
        <w:spacing w:after="0" w:line="276" w:lineRule="auto"/>
        <w:jc w:val="both"/>
        <w:rPr>
          <w:sz w:val="24"/>
          <w:szCs w:val="24"/>
        </w:rPr>
      </w:pPr>
    </w:p>
    <w:sectPr w:rsidR="000A1FCC" w:rsidRPr="00CD4399" w:rsidSect="007F19EF">
      <w:pgSz w:w="11906" w:h="16838"/>
      <w:pgMar w:top="851"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4D2"/>
    <w:rsid w:val="0001735B"/>
    <w:rsid w:val="000413F1"/>
    <w:rsid w:val="000A1FCC"/>
    <w:rsid w:val="000C558C"/>
    <w:rsid w:val="000E16E9"/>
    <w:rsid w:val="001313FF"/>
    <w:rsid w:val="001C680A"/>
    <w:rsid w:val="002553FE"/>
    <w:rsid w:val="00295AF0"/>
    <w:rsid w:val="002F084A"/>
    <w:rsid w:val="00353428"/>
    <w:rsid w:val="003C6E35"/>
    <w:rsid w:val="00494BE8"/>
    <w:rsid w:val="004A5E24"/>
    <w:rsid w:val="004E41CE"/>
    <w:rsid w:val="004E5AE4"/>
    <w:rsid w:val="005A7322"/>
    <w:rsid w:val="00747FDA"/>
    <w:rsid w:val="007768FD"/>
    <w:rsid w:val="007F11ED"/>
    <w:rsid w:val="007F19EF"/>
    <w:rsid w:val="0082557C"/>
    <w:rsid w:val="0086020E"/>
    <w:rsid w:val="0091146C"/>
    <w:rsid w:val="00977FA9"/>
    <w:rsid w:val="009A71F8"/>
    <w:rsid w:val="00AD663B"/>
    <w:rsid w:val="00B506DD"/>
    <w:rsid w:val="00B71127"/>
    <w:rsid w:val="00B863F7"/>
    <w:rsid w:val="00C07367"/>
    <w:rsid w:val="00C2235E"/>
    <w:rsid w:val="00C61CAE"/>
    <w:rsid w:val="00CD4399"/>
    <w:rsid w:val="00E87B20"/>
    <w:rsid w:val="00EA54D2"/>
    <w:rsid w:val="00EF37DA"/>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69C5B"/>
  <w15:chartTrackingRefBased/>
  <w15:docId w15:val="{E71FE112-E240-42C2-8433-FFE16AD02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ka-G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EA54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54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54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54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54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54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4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4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4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4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54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54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54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54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5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4D2"/>
    <w:rPr>
      <w:rFonts w:eastAsiaTheme="majorEastAsia" w:cstheme="majorBidi"/>
      <w:color w:val="272727" w:themeColor="text1" w:themeTint="D8"/>
    </w:rPr>
  </w:style>
  <w:style w:type="paragraph" w:styleId="Title">
    <w:name w:val="Title"/>
    <w:basedOn w:val="Normal"/>
    <w:next w:val="Normal"/>
    <w:link w:val="TitleChar"/>
    <w:uiPriority w:val="10"/>
    <w:qFormat/>
    <w:rsid w:val="00EA54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4D2"/>
    <w:pPr>
      <w:spacing w:before="160"/>
      <w:jc w:val="center"/>
    </w:pPr>
    <w:rPr>
      <w:i/>
      <w:iCs/>
      <w:color w:val="404040" w:themeColor="text1" w:themeTint="BF"/>
    </w:rPr>
  </w:style>
  <w:style w:type="character" w:customStyle="1" w:styleId="QuoteChar">
    <w:name w:val="Quote Char"/>
    <w:basedOn w:val="DefaultParagraphFont"/>
    <w:link w:val="Quote"/>
    <w:uiPriority w:val="29"/>
    <w:rsid w:val="00EA54D2"/>
    <w:rPr>
      <w:i/>
      <w:iCs/>
      <w:color w:val="404040" w:themeColor="text1" w:themeTint="BF"/>
    </w:rPr>
  </w:style>
  <w:style w:type="paragraph" w:styleId="ListParagraph">
    <w:name w:val="List Paragraph"/>
    <w:basedOn w:val="Normal"/>
    <w:uiPriority w:val="34"/>
    <w:qFormat/>
    <w:rsid w:val="00EA54D2"/>
    <w:pPr>
      <w:ind w:left="720"/>
      <w:contextualSpacing/>
    </w:pPr>
  </w:style>
  <w:style w:type="character" w:styleId="IntenseEmphasis">
    <w:name w:val="Intense Emphasis"/>
    <w:basedOn w:val="DefaultParagraphFont"/>
    <w:uiPriority w:val="21"/>
    <w:qFormat/>
    <w:rsid w:val="00EA54D2"/>
    <w:rPr>
      <w:i/>
      <w:iCs/>
      <w:color w:val="2F5496" w:themeColor="accent1" w:themeShade="BF"/>
    </w:rPr>
  </w:style>
  <w:style w:type="paragraph" w:styleId="IntenseQuote">
    <w:name w:val="Intense Quote"/>
    <w:basedOn w:val="Normal"/>
    <w:next w:val="Normal"/>
    <w:link w:val="IntenseQuoteChar"/>
    <w:uiPriority w:val="30"/>
    <w:qFormat/>
    <w:rsid w:val="00EA54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54D2"/>
    <w:rPr>
      <w:i/>
      <w:iCs/>
      <w:color w:val="2F5496" w:themeColor="accent1" w:themeShade="BF"/>
    </w:rPr>
  </w:style>
  <w:style w:type="character" w:styleId="IntenseReference">
    <w:name w:val="Intense Reference"/>
    <w:basedOn w:val="DefaultParagraphFont"/>
    <w:uiPriority w:val="32"/>
    <w:qFormat/>
    <w:rsid w:val="00EA54D2"/>
    <w:rPr>
      <w:b/>
      <w:bCs/>
      <w:smallCaps/>
      <w:color w:val="2F5496" w:themeColor="accent1" w:themeShade="BF"/>
      <w:spacing w:val="5"/>
    </w:rPr>
  </w:style>
  <w:style w:type="character" w:styleId="Hyperlink">
    <w:name w:val="Hyperlink"/>
    <w:basedOn w:val="DefaultParagraphFont"/>
    <w:uiPriority w:val="99"/>
    <w:unhideWhenUsed/>
    <w:rsid w:val="000413F1"/>
    <w:rPr>
      <w:color w:val="0563C1" w:themeColor="hyperlink"/>
      <w:u w:val="single"/>
    </w:rPr>
  </w:style>
  <w:style w:type="character" w:styleId="UnresolvedMention">
    <w:name w:val="Unresolved Mention"/>
    <w:basedOn w:val="DefaultParagraphFont"/>
    <w:uiPriority w:val="99"/>
    <w:semiHidden/>
    <w:unhideWhenUsed/>
    <w:rsid w:val="000413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vitamin.com.u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83767-0C87-468D-B8F8-52C691246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17</cp:revision>
  <cp:lastPrinted>2026-01-26T18:05:00Z</cp:lastPrinted>
  <dcterms:created xsi:type="dcterms:W3CDTF">2026-01-24T20:06:00Z</dcterms:created>
  <dcterms:modified xsi:type="dcterms:W3CDTF">2026-06-18T07:44:00Z</dcterms:modified>
</cp:coreProperties>
</file>