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43B683" w14:textId="123FB363" w:rsidR="00EE14F8" w:rsidRPr="00F115C6" w:rsidRDefault="00EE14F8" w:rsidP="002016BF">
      <w:pPr>
        <w:spacing w:after="0" w:line="240" w:lineRule="auto"/>
        <w:jc w:val="center"/>
        <w:rPr>
          <w:u w:val="single"/>
        </w:rPr>
      </w:pPr>
      <w:r w:rsidRPr="00F115C6">
        <w:rPr>
          <w:u w:val="single"/>
        </w:rPr>
        <w:t>ონდანსეტრონის ინექცია BP 2 მგ/მლ (</w:t>
      </w:r>
      <w:r w:rsidR="006D4822" w:rsidRPr="00F115C6">
        <w:rPr>
          <w:u w:val="single"/>
        </w:rPr>
        <w:t>ონდანი</w:t>
      </w:r>
      <w:r w:rsidR="006B57E5">
        <w:rPr>
          <w:u w:val="single"/>
          <w:lang w:val="ka-GE"/>
        </w:rPr>
        <w:t>ქე</w:t>
      </w:r>
      <w:r w:rsidR="006D4822" w:rsidRPr="00F115C6">
        <w:rPr>
          <w:u w:val="single"/>
        </w:rPr>
        <w:t>/</w:t>
      </w:r>
      <w:r w:rsidRPr="00F115C6">
        <w:rPr>
          <w:u w:val="single"/>
        </w:rPr>
        <w:t>ONDANIQE)</w:t>
      </w:r>
    </w:p>
    <w:p w14:paraId="46BD9D06" w14:textId="77777777" w:rsidR="00B4564D" w:rsidRDefault="00B4468B" w:rsidP="002016BF">
      <w:pPr>
        <w:spacing w:after="0" w:line="240" w:lineRule="auto"/>
        <w:jc w:val="center"/>
      </w:pPr>
      <w:r>
        <w:t>პროდუქტის მახასიათებლების</w:t>
      </w:r>
      <w:r w:rsidR="00EE14F8">
        <w:t xml:space="preserve"> შეჯამება</w:t>
      </w:r>
    </w:p>
    <w:p w14:paraId="733DDC6C" w14:textId="77777777" w:rsidR="00144DA7" w:rsidRDefault="00144DA7" w:rsidP="00D07D39">
      <w:pPr>
        <w:spacing w:after="0" w:line="240" w:lineRule="auto"/>
        <w:jc w:val="both"/>
      </w:pPr>
    </w:p>
    <w:p w14:paraId="273E14FF" w14:textId="77777777" w:rsidR="00D07D39" w:rsidRDefault="00D07D39" w:rsidP="00D07D39">
      <w:pPr>
        <w:spacing w:after="0" w:line="240" w:lineRule="auto"/>
        <w:jc w:val="both"/>
        <w:rPr>
          <w:b/>
          <w:bCs/>
        </w:rPr>
      </w:pPr>
      <w:r>
        <w:rPr>
          <w:b/>
          <w:bCs/>
        </w:rPr>
        <w:t>1. სამედიცინო პროდუქტის სახელწოდება</w:t>
      </w:r>
    </w:p>
    <w:p w14:paraId="13B8348F" w14:textId="224E5AB7" w:rsidR="00D07D39" w:rsidRDefault="00D07D39" w:rsidP="00D07D39">
      <w:pPr>
        <w:spacing w:after="0" w:line="240" w:lineRule="auto"/>
        <w:jc w:val="both"/>
        <w:rPr>
          <w:lang w:val="ka-GE"/>
        </w:rPr>
      </w:pPr>
      <w:r>
        <w:rPr>
          <w:b/>
          <w:bCs/>
        </w:rPr>
        <w:t>ონდანი</w:t>
      </w:r>
      <w:proofErr w:type="spellStart"/>
      <w:r w:rsidR="006B57E5">
        <w:rPr>
          <w:b/>
          <w:bCs/>
          <w:lang w:val="ka-GE"/>
        </w:rPr>
        <w:t>ქე</w:t>
      </w:r>
      <w:proofErr w:type="spellEnd"/>
      <w:r>
        <w:rPr>
          <w:b/>
          <w:bCs/>
        </w:rPr>
        <w:t xml:space="preserve"> </w:t>
      </w:r>
      <w:r w:rsidR="00720555">
        <w:t>(ონდანსეტრონის ინექცია BP 2</w:t>
      </w:r>
      <w:r w:rsidR="00720555">
        <w:rPr>
          <w:lang w:val="ka-GE"/>
        </w:rPr>
        <w:t xml:space="preserve"> </w:t>
      </w:r>
      <w:proofErr w:type="spellStart"/>
      <w:r w:rsidR="00720555">
        <w:rPr>
          <w:lang w:val="ka-GE"/>
        </w:rPr>
        <w:t>მგ</w:t>
      </w:r>
      <w:proofErr w:type="spellEnd"/>
      <w:r w:rsidR="00720555">
        <w:rPr>
          <w:lang w:val="ka-GE"/>
        </w:rPr>
        <w:t>/მლ)</w:t>
      </w:r>
    </w:p>
    <w:p w14:paraId="1CC51516" w14:textId="77777777" w:rsidR="004A0027" w:rsidRDefault="004A0027" w:rsidP="00D07D39">
      <w:pPr>
        <w:spacing w:after="0" w:line="240" w:lineRule="auto"/>
        <w:jc w:val="both"/>
        <w:rPr>
          <w:lang w:val="ka-GE"/>
        </w:rPr>
      </w:pPr>
    </w:p>
    <w:p w14:paraId="4FC6BD3D" w14:textId="77777777" w:rsidR="004A0027" w:rsidRDefault="004A0027" w:rsidP="00D07D39">
      <w:pPr>
        <w:spacing w:after="0" w:line="240" w:lineRule="auto"/>
        <w:jc w:val="both"/>
        <w:rPr>
          <w:lang w:val="ka-GE"/>
        </w:rPr>
      </w:pPr>
      <w:r>
        <w:rPr>
          <w:b/>
          <w:bCs/>
          <w:lang w:val="ka-GE"/>
        </w:rPr>
        <w:t>2. თვისობრივი და რაოდენობრივი შემადგენლობა</w:t>
      </w:r>
    </w:p>
    <w:p w14:paraId="1656BB9B" w14:textId="77777777" w:rsidR="000B16D0" w:rsidRDefault="000B16D0" w:rsidP="00D07D39">
      <w:pPr>
        <w:spacing w:after="0" w:line="240" w:lineRule="auto"/>
        <w:jc w:val="both"/>
        <w:rPr>
          <w:lang w:val="ka-GE"/>
        </w:rPr>
      </w:pPr>
      <w:r>
        <w:rPr>
          <w:lang w:val="ka-GE"/>
        </w:rPr>
        <w:t>ყოველი მლ შეიცავს:</w:t>
      </w:r>
    </w:p>
    <w:p w14:paraId="1867F91C" w14:textId="77777777" w:rsidR="00235DD8" w:rsidRDefault="00235DD8" w:rsidP="00D07D39">
      <w:pPr>
        <w:spacing w:after="0" w:line="240" w:lineRule="auto"/>
        <w:jc w:val="both"/>
        <w:rPr>
          <w:lang w:val="ka-GE"/>
        </w:rPr>
      </w:pPr>
      <w:r w:rsidRPr="00235DD8">
        <w:rPr>
          <w:lang w:val="ka-GE"/>
        </w:rPr>
        <w:t>ონდანსეტრონის ჰიდროქლორიდის დიჰიდრატ</w:t>
      </w:r>
      <w:r w:rsidR="005515A6">
        <w:rPr>
          <w:lang w:val="ka-GE"/>
        </w:rPr>
        <w:t>ი</w:t>
      </w:r>
      <w:r w:rsidRPr="00235DD8">
        <w:rPr>
          <w:lang w:val="ka-GE"/>
        </w:rPr>
        <w:t xml:space="preserve"> BP</w:t>
      </w:r>
    </w:p>
    <w:p w14:paraId="67CC6BCE" w14:textId="77777777" w:rsidR="000B16D0" w:rsidRDefault="000B16D0" w:rsidP="00D07D39">
      <w:pPr>
        <w:spacing w:after="0" w:line="240" w:lineRule="auto"/>
        <w:jc w:val="both"/>
        <w:rPr>
          <w:lang w:val="ka-GE"/>
        </w:rPr>
      </w:pPr>
      <w:r>
        <w:rPr>
          <w:lang w:val="ka-GE"/>
        </w:rPr>
        <w:t>ექვივალენტურია 2 მგ ონდანსეტრონის</w:t>
      </w:r>
    </w:p>
    <w:p w14:paraId="2850A65D" w14:textId="77777777" w:rsidR="000B16D0" w:rsidRDefault="000B16D0" w:rsidP="00D07D39">
      <w:pPr>
        <w:spacing w:after="0" w:line="240" w:lineRule="auto"/>
        <w:jc w:val="both"/>
      </w:pPr>
      <w:r>
        <w:rPr>
          <w:lang w:val="ka-GE"/>
        </w:rPr>
        <w:t xml:space="preserve">საინექციო წყალი </w:t>
      </w:r>
      <w:r>
        <w:t>BP q.s.</w:t>
      </w:r>
    </w:p>
    <w:p w14:paraId="390B002C" w14:textId="77777777" w:rsidR="00235DD8" w:rsidRDefault="00235DD8" w:rsidP="00D07D39">
      <w:pPr>
        <w:spacing w:after="0" w:line="240" w:lineRule="auto"/>
        <w:jc w:val="both"/>
        <w:rPr>
          <w:lang w:val="ka-GE"/>
        </w:rPr>
      </w:pPr>
      <w:r>
        <w:rPr>
          <w:lang w:val="ka-GE"/>
        </w:rPr>
        <w:t xml:space="preserve">დამხმარე ნივთიერებები: </w:t>
      </w:r>
      <w:r w:rsidR="005515A6" w:rsidRPr="005515A6">
        <w:rPr>
          <w:lang w:val="ka-GE"/>
        </w:rPr>
        <w:t>ნატრიუმის ქლორიდი, ლიმონმჟავას მონოჰიდრატი, ნატრიუმის ციტრატი, ნატრიუმის ჰიდროქსიდი</w:t>
      </w:r>
      <w:r w:rsidR="00297886">
        <w:rPr>
          <w:lang w:val="ka-GE"/>
        </w:rPr>
        <w:t>.</w:t>
      </w:r>
    </w:p>
    <w:p w14:paraId="76126F46" w14:textId="77777777" w:rsidR="00297886" w:rsidRDefault="00297886" w:rsidP="00D07D39">
      <w:pPr>
        <w:spacing w:after="0" w:line="240" w:lineRule="auto"/>
        <w:jc w:val="both"/>
        <w:rPr>
          <w:lang w:val="ka-GE"/>
        </w:rPr>
      </w:pPr>
    </w:p>
    <w:p w14:paraId="3C43C1B9" w14:textId="77777777" w:rsidR="00297886" w:rsidRDefault="00297886" w:rsidP="00D07D39">
      <w:pPr>
        <w:spacing w:after="0" w:line="240" w:lineRule="auto"/>
        <w:jc w:val="both"/>
        <w:rPr>
          <w:b/>
          <w:bCs/>
          <w:lang w:val="ka-GE"/>
        </w:rPr>
      </w:pPr>
      <w:r>
        <w:rPr>
          <w:b/>
          <w:bCs/>
          <w:lang w:val="ka-GE"/>
        </w:rPr>
        <w:t>3. ფარმაცევტული ფორმა</w:t>
      </w:r>
    </w:p>
    <w:p w14:paraId="0E6BA243" w14:textId="77777777" w:rsidR="00297886" w:rsidRDefault="0069696C" w:rsidP="0069696C">
      <w:pPr>
        <w:spacing w:after="0" w:line="240" w:lineRule="auto"/>
        <w:jc w:val="both"/>
        <w:rPr>
          <w:lang w:val="ka-GE"/>
        </w:rPr>
      </w:pPr>
      <w:r w:rsidRPr="0069696C">
        <w:rPr>
          <w:lang w:val="ka-GE"/>
        </w:rPr>
        <w:t>ინექცია, გამჭვირვალე უფერო ხსნარი</w:t>
      </w:r>
    </w:p>
    <w:p w14:paraId="523CA5D4" w14:textId="77777777" w:rsidR="00E0675C" w:rsidRDefault="00E0675C" w:rsidP="0069696C">
      <w:pPr>
        <w:spacing w:after="0" w:line="240" w:lineRule="auto"/>
        <w:jc w:val="both"/>
        <w:rPr>
          <w:lang w:val="ka-GE"/>
        </w:rPr>
      </w:pPr>
    </w:p>
    <w:p w14:paraId="7BB28669" w14:textId="77777777" w:rsidR="00E0675C" w:rsidRPr="00E0675C" w:rsidRDefault="00E0675C" w:rsidP="00E0675C">
      <w:pPr>
        <w:spacing w:after="0" w:line="240" w:lineRule="auto"/>
        <w:jc w:val="both"/>
        <w:rPr>
          <w:b/>
          <w:bCs/>
          <w:lang w:val="ka-GE"/>
        </w:rPr>
      </w:pPr>
      <w:r w:rsidRPr="00E0675C">
        <w:rPr>
          <w:b/>
          <w:bCs/>
          <w:lang w:val="ka-GE"/>
        </w:rPr>
        <w:t>4. კლინიკური მახასიათებლები</w:t>
      </w:r>
    </w:p>
    <w:p w14:paraId="0ADB6687" w14:textId="77777777" w:rsidR="00E0675C" w:rsidRDefault="00E0675C" w:rsidP="00E0675C">
      <w:pPr>
        <w:spacing w:after="0" w:line="240" w:lineRule="auto"/>
        <w:jc w:val="both"/>
        <w:rPr>
          <w:b/>
          <w:bCs/>
          <w:lang w:val="ka-GE"/>
        </w:rPr>
      </w:pPr>
      <w:r w:rsidRPr="00E0675C">
        <w:rPr>
          <w:b/>
          <w:bCs/>
          <w:lang w:val="ka-GE"/>
        </w:rPr>
        <w:t>4.1 თერაპიული ჩვენებები</w:t>
      </w:r>
    </w:p>
    <w:p w14:paraId="0AC52CC4" w14:textId="77777777" w:rsidR="006B57E5" w:rsidRPr="00330B09" w:rsidRDefault="006B57E5" w:rsidP="006B57E5">
      <w:pPr>
        <w:spacing w:after="0" w:line="240" w:lineRule="auto"/>
        <w:jc w:val="both"/>
        <w:rPr>
          <w:lang w:val="ka-GE"/>
        </w:rPr>
      </w:pPr>
      <w:r w:rsidRPr="00330B09">
        <w:rPr>
          <w:u w:val="single"/>
          <w:lang w:val="ka-GE"/>
        </w:rPr>
        <w:t>გულისრევისა და ღებინების პრევენცი</w:t>
      </w:r>
      <w:r>
        <w:rPr>
          <w:u w:val="single"/>
          <w:lang w:val="ka-GE"/>
        </w:rPr>
        <w:t>ისთვის, რომელიც დაკავშირებულია სიმსივნის</w:t>
      </w:r>
      <w:r w:rsidRPr="00330B09">
        <w:rPr>
          <w:u w:val="single"/>
          <w:lang w:val="ka-GE"/>
        </w:rPr>
        <w:t xml:space="preserve"> </w:t>
      </w:r>
      <w:r>
        <w:rPr>
          <w:u w:val="single"/>
          <w:lang w:val="ka-GE"/>
        </w:rPr>
        <w:t xml:space="preserve">საწინააღმდეგო </w:t>
      </w:r>
      <w:bookmarkStart w:id="0" w:name="_Hlk232171685"/>
      <w:r w:rsidRPr="00330B09">
        <w:rPr>
          <w:u w:val="single"/>
          <w:lang w:val="ka-GE"/>
        </w:rPr>
        <w:t>ემეტოგენურ</w:t>
      </w:r>
      <w:r>
        <w:rPr>
          <w:u w:val="single"/>
          <w:lang w:val="ka-GE"/>
        </w:rPr>
        <w:t>ი</w:t>
      </w:r>
      <w:r w:rsidRPr="00330B09">
        <w:rPr>
          <w:u w:val="single"/>
          <w:lang w:val="ka-GE"/>
        </w:rPr>
        <w:t xml:space="preserve"> ქიმიოთერაპიის საწყის და განმეორებით </w:t>
      </w:r>
      <w:r>
        <w:rPr>
          <w:u w:val="single"/>
          <w:lang w:val="ka-GE"/>
        </w:rPr>
        <w:t>კურსთან</w:t>
      </w:r>
      <w:bookmarkEnd w:id="0"/>
      <w:r>
        <w:rPr>
          <w:u w:val="single"/>
          <w:lang w:val="ka-GE"/>
        </w:rPr>
        <w:t>.</w:t>
      </w:r>
    </w:p>
    <w:p w14:paraId="495311AD" w14:textId="77777777" w:rsidR="006B57E5" w:rsidRPr="00330B09" w:rsidRDefault="006B57E5" w:rsidP="006B57E5">
      <w:pPr>
        <w:spacing w:after="0" w:line="240" w:lineRule="auto"/>
        <w:jc w:val="both"/>
        <w:rPr>
          <w:lang w:val="ka-GE"/>
        </w:rPr>
      </w:pPr>
      <w:r w:rsidRPr="00330B09">
        <w:rPr>
          <w:lang w:val="ka-GE"/>
        </w:rPr>
        <w:t xml:space="preserve">ონდანიქეს ინექცია </w:t>
      </w:r>
      <w:r>
        <w:rPr>
          <w:lang w:val="ka-GE"/>
        </w:rPr>
        <w:t>გამოიყენება</w:t>
      </w:r>
      <w:r w:rsidRPr="00330B09">
        <w:rPr>
          <w:lang w:val="ka-GE"/>
        </w:rPr>
        <w:t xml:space="preserve"> გულისრევისა და ღებინების პროფილაქტიკისთვის, რომელიც დაკავშირებულია საწყის და </w:t>
      </w:r>
      <w:r>
        <w:rPr>
          <w:lang w:val="ka-GE"/>
        </w:rPr>
        <w:t>განმერებით</w:t>
      </w:r>
      <w:r w:rsidRPr="00330B09">
        <w:rPr>
          <w:lang w:val="ka-GE"/>
        </w:rPr>
        <w:t xml:space="preserve"> ემეტოგენურ ქიმიოთერაპიასთან </w:t>
      </w:r>
      <w:r>
        <w:rPr>
          <w:lang w:val="ka-GE"/>
        </w:rPr>
        <w:t>სიმსივნის</w:t>
      </w:r>
      <w:r w:rsidRPr="00330B09">
        <w:rPr>
          <w:lang w:val="ka-GE"/>
        </w:rPr>
        <w:t xml:space="preserve"> დაავადებულ პაციენტებში, მათ შორის მაღალი დოზით ცისპლატინის მიღებასთან.</w:t>
      </w:r>
    </w:p>
    <w:p w14:paraId="12D9F5B6" w14:textId="77777777" w:rsidR="006B57E5" w:rsidRDefault="006B57E5" w:rsidP="006B57E5">
      <w:pPr>
        <w:spacing w:after="0" w:line="240" w:lineRule="auto"/>
        <w:jc w:val="both"/>
        <w:rPr>
          <w:lang w:val="ka-GE"/>
        </w:rPr>
      </w:pPr>
      <w:r w:rsidRPr="00330B09">
        <w:rPr>
          <w:lang w:val="ka-GE"/>
        </w:rPr>
        <w:t>ონდანიქე გამოიყენება 6 თვის და უფროსი ასაკის პაციენტებ</w:t>
      </w:r>
      <w:r>
        <w:rPr>
          <w:lang w:val="ka-GE"/>
        </w:rPr>
        <w:t>ში.</w:t>
      </w:r>
    </w:p>
    <w:p w14:paraId="4EB4151E" w14:textId="77777777" w:rsidR="006B57E5" w:rsidRPr="00330B09" w:rsidRDefault="006B57E5" w:rsidP="006B57E5">
      <w:pPr>
        <w:spacing w:after="0" w:line="240" w:lineRule="auto"/>
        <w:jc w:val="both"/>
        <w:rPr>
          <w:lang w:val="ka-GE"/>
        </w:rPr>
      </w:pPr>
    </w:p>
    <w:p w14:paraId="6D9AFD1B" w14:textId="77777777" w:rsidR="006B57E5" w:rsidRPr="00330B09" w:rsidRDefault="006B57E5" w:rsidP="006B57E5">
      <w:pPr>
        <w:spacing w:after="0" w:line="240" w:lineRule="auto"/>
        <w:jc w:val="both"/>
        <w:rPr>
          <w:u w:val="single"/>
          <w:lang w:val="ka-GE"/>
        </w:rPr>
      </w:pPr>
      <w:r w:rsidRPr="00330B09">
        <w:rPr>
          <w:u w:val="single"/>
          <w:lang w:val="ka-GE"/>
        </w:rPr>
        <w:t>ოპერაციის შემდგომი გულისრევის და/ან ღებინების პრევენცია</w:t>
      </w:r>
    </w:p>
    <w:p w14:paraId="6DECF383" w14:textId="77777777" w:rsidR="006B57E5" w:rsidRDefault="006B57E5" w:rsidP="006B57E5">
      <w:pPr>
        <w:spacing w:after="0" w:line="240" w:lineRule="auto"/>
        <w:jc w:val="both"/>
        <w:rPr>
          <w:lang w:val="ka-GE"/>
        </w:rPr>
      </w:pPr>
      <w:r w:rsidRPr="00330B09">
        <w:rPr>
          <w:lang w:val="ka-GE"/>
        </w:rPr>
        <w:t>ონდანი</w:t>
      </w:r>
      <w:r>
        <w:rPr>
          <w:lang w:val="ka-GE"/>
        </w:rPr>
        <w:t>ქეს</w:t>
      </w:r>
      <w:r w:rsidRPr="00330B09">
        <w:rPr>
          <w:lang w:val="ka-GE"/>
        </w:rPr>
        <w:t xml:space="preserve"> </w:t>
      </w:r>
      <w:r>
        <w:rPr>
          <w:lang w:val="ka-GE"/>
        </w:rPr>
        <w:t>ინექცია</w:t>
      </w:r>
      <w:r w:rsidRPr="00330B09">
        <w:rPr>
          <w:lang w:val="ka-GE"/>
        </w:rPr>
        <w:t xml:space="preserve"> </w:t>
      </w:r>
      <w:r>
        <w:rPr>
          <w:lang w:val="ka-GE"/>
        </w:rPr>
        <w:t>გამოიყენება</w:t>
      </w:r>
      <w:r w:rsidRPr="00330B09">
        <w:rPr>
          <w:lang w:val="ka-GE"/>
        </w:rPr>
        <w:t xml:space="preserve"> პოსტოპერაციული გულისრევის და/ან ღებინების პროფილაქტიკისთვის. სხვა ღებინების საწინააღმდეგო საშუალებების მსგავსად, რუტინული პროფილაქტიკა არ არის რეკომენდებული </w:t>
      </w:r>
      <w:r>
        <w:rPr>
          <w:lang w:val="ka-GE"/>
        </w:rPr>
        <w:t xml:space="preserve">იმ </w:t>
      </w:r>
      <w:r w:rsidRPr="00330B09">
        <w:rPr>
          <w:lang w:val="ka-GE"/>
        </w:rPr>
        <w:t>პაციენტებში, რომლ</w:t>
      </w:r>
      <w:r>
        <w:rPr>
          <w:lang w:val="ka-GE"/>
        </w:rPr>
        <w:t>თა შემთხვევაში</w:t>
      </w:r>
      <w:r w:rsidRPr="00330B09">
        <w:rPr>
          <w:lang w:val="ka-GE"/>
        </w:rPr>
        <w:t xml:space="preserve"> პოსტოპერაციული გულისრევის და/ან ღებინების </w:t>
      </w:r>
      <w:r>
        <w:rPr>
          <w:lang w:val="ka-GE"/>
        </w:rPr>
        <w:t>განვითარება ნაკლებად მოსალოდნელია.</w:t>
      </w:r>
      <w:r w:rsidRPr="00330B09">
        <w:rPr>
          <w:lang w:val="ka-GE"/>
        </w:rPr>
        <w:t xml:space="preserve">  პაციენტებში, რომელთათვისაც პოსტოპერაციული გულისრევ</w:t>
      </w:r>
      <w:r>
        <w:rPr>
          <w:lang w:val="ka-GE"/>
        </w:rPr>
        <w:t>ა</w:t>
      </w:r>
      <w:r w:rsidRPr="00330B09">
        <w:rPr>
          <w:lang w:val="ka-GE"/>
        </w:rPr>
        <w:t xml:space="preserve"> და/ან ღებინებ</w:t>
      </w:r>
      <w:r>
        <w:rPr>
          <w:lang w:val="ka-GE"/>
        </w:rPr>
        <w:t>ა</w:t>
      </w:r>
      <w:r w:rsidRPr="00330B09">
        <w:rPr>
          <w:lang w:val="ka-GE"/>
        </w:rPr>
        <w:t xml:space="preserve"> თავიდან </w:t>
      </w:r>
      <w:r>
        <w:rPr>
          <w:lang w:val="ka-GE"/>
        </w:rPr>
        <w:t>უნდა იქნას არიდებული,</w:t>
      </w:r>
      <w:r w:rsidRPr="00330B09">
        <w:rPr>
          <w:lang w:val="ka-GE"/>
        </w:rPr>
        <w:t xml:space="preserve"> ონდანი</w:t>
      </w:r>
      <w:r>
        <w:rPr>
          <w:lang w:val="ka-GE"/>
        </w:rPr>
        <w:t>ქეს</w:t>
      </w:r>
      <w:r w:rsidRPr="00330B09">
        <w:rPr>
          <w:lang w:val="ka-GE"/>
        </w:rPr>
        <w:t xml:space="preserve"> ინექციის გამოყენება რეკომენდებულია იმ შემთხვევებშიც კი, როდესაც პოსტოპერაციული გულისრევის და/ან ღებინების </w:t>
      </w:r>
      <w:r>
        <w:rPr>
          <w:lang w:val="ka-GE"/>
        </w:rPr>
        <w:t>განვითარების სიხშირე</w:t>
      </w:r>
      <w:r w:rsidRPr="00330B09">
        <w:rPr>
          <w:lang w:val="ka-GE"/>
        </w:rPr>
        <w:t xml:space="preserve"> დაბალია. პაციენტებ</w:t>
      </w:r>
      <w:r>
        <w:rPr>
          <w:lang w:val="ka-GE"/>
        </w:rPr>
        <w:t>ში</w:t>
      </w:r>
      <w:r w:rsidRPr="00330B09">
        <w:rPr>
          <w:lang w:val="ka-GE"/>
        </w:rPr>
        <w:t>, რომლებიც არ იღებენ ონდანი</w:t>
      </w:r>
      <w:r>
        <w:rPr>
          <w:lang w:val="ka-GE"/>
        </w:rPr>
        <w:t>ქეს</w:t>
      </w:r>
      <w:r w:rsidRPr="00330B09">
        <w:rPr>
          <w:lang w:val="ka-GE"/>
        </w:rPr>
        <w:t xml:space="preserve"> </w:t>
      </w:r>
      <w:r>
        <w:rPr>
          <w:lang w:val="ka-GE"/>
        </w:rPr>
        <w:t xml:space="preserve">საპროფილაქტიკო </w:t>
      </w:r>
      <w:r w:rsidRPr="00330B09">
        <w:rPr>
          <w:lang w:val="ka-GE"/>
        </w:rPr>
        <w:t xml:space="preserve">ინექციას და შემდგომში უვითარდებათ პოსტოპერაციული გულისრევა და/ან ღებინება, </w:t>
      </w:r>
      <w:r>
        <w:rPr>
          <w:lang w:val="ka-GE"/>
        </w:rPr>
        <w:t>შესაძლებელია ონდანიქეს</w:t>
      </w:r>
      <w:r w:rsidRPr="00330B09">
        <w:rPr>
          <w:lang w:val="ka-GE"/>
        </w:rPr>
        <w:t xml:space="preserve"> ინექციები</w:t>
      </w:r>
      <w:r>
        <w:rPr>
          <w:lang w:val="ka-GE"/>
        </w:rPr>
        <w:t>ს გამოყენება</w:t>
      </w:r>
      <w:r w:rsidRPr="00330B09">
        <w:rPr>
          <w:lang w:val="ka-GE"/>
        </w:rPr>
        <w:t xml:space="preserve"> შემდგომი ეპიზოდების თავიდან ასაცილებლად. </w:t>
      </w:r>
    </w:p>
    <w:p w14:paraId="3646C86D" w14:textId="77777777" w:rsidR="006B57E5" w:rsidRPr="00330B09" w:rsidRDefault="006B57E5" w:rsidP="006B57E5">
      <w:pPr>
        <w:spacing w:after="0" w:line="240" w:lineRule="auto"/>
        <w:jc w:val="both"/>
        <w:rPr>
          <w:lang w:val="ka-GE"/>
        </w:rPr>
      </w:pPr>
      <w:r w:rsidRPr="00330B09">
        <w:rPr>
          <w:lang w:val="ka-GE"/>
        </w:rPr>
        <w:t>ონდანი</w:t>
      </w:r>
      <w:r>
        <w:rPr>
          <w:lang w:val="ka-GE"/>
        </w:rPr>
        <w:t>ქე</w:t>
      </w:r>
      <w:r w:rsidRPr="00330B09">
        <w:rPr>
          <w:lang w:val="ka-GE"/>
        </w:rPr>
        <w:t xml:space="preserve"> გამო</w:t>
      </w:r>
      <w:r>
        <w:rPr>
          <w:lang w:val="ka-GE"/>
        </w:rPr>
        <w:t>ი</w:t>
      </w:r>
      <w:r w:rsidRPr="00330B09">
        <w:rPr>
          <w:lang w:val="ka-GE"/>
        </w:rPr>
        <w:t>ყენება ერთი თვის და უფროსი ასაკის პაციენტებ</w:t>
      </w:r>
      <w:r>
        <w:rPr>
          <w:lang w:val="ka-GE"/>
        </w:rPr>
        <w:t>ისთვის.</w:t>
      </w:r>
    </w:p>
    <w:p w14:paraId="706E3AD5" w14:textId="77777777" w:rsidR="00121A0A" w:rsidRDefault="00121A0A">
      <w:pPr>
        <w:spacing w:after="0" w:line="240" w:lineRule="auto"/>
        <w:jc w:val="both"/>
        <w:rPr>
          <w:lang w:val="ka-GE"/>
        </w:rPr>
      </w:pPr>
    </w:p>
    <w:p w14:paraId="4FD3E514" w14:textId="77777777" w:rsidR="00D37D38" w:rsidRDefault="00D37D38">
      <w:pPr>
        <w:spacing w:after="0" w:line="240" w:lineRule="auto"/>
        <w:jc w:val="both"/>
        <w:rPr>
          <w:lang w:val="ka-GE"/>
        </w:rPr>
      </w:pPr>
      <w:r w:rsidRPr="00DF096F">
        <w:rPr>
          <w:b/>
          <w:bCs/>
          <w:lang w:val="ka-GE"/>
        </w:rPr>
        <w:t>4.2 დოზირება და მიღების წესი</w:t>
      </w:r>
    </w:p>
    <w:p w14:paraId="34D579C8" w14:textId="77777777" w:rsidR="006B57E5" w:rsidRPr="005A3663" w:rsidRDefault="006B57E5" w:rsidP="006B57E5">
      <w:pPr>
        <w:spacing w:after="0" w:line="240" w:lineRule="auto"/>
        <w:jc w:val="both"/>
        <w:rPr>
          <w:u w:val="single"/>
          <w:lang w:val="ka-GE"/>
        </w:rPr>
      </w:pPr>
      <w:r w:rsidRPr="005A3663">
        <w:rPr>
          <w:u w:val="single"/>
          <w:lang w:val="ka-GE"/>
        </w:rPr>
        <w:t>გულისრევისა და ღებინების პრევენცი</w:t>
      </w:r>
      <w:r>
        <w:rPr>
          <w:u w:val="single"/>
          <w:lang w:val="ka-GE"/>
        </w:rPr>
        <w:t>ა</w:t>
      </w:r>
      <w:r w:rsidRPr="005A3663">
        <w:rPr>
          <w:u w:val="single"/>
          <w:lang w:val="ka-GE"/>
        </w:rPr>
        <w:t>, რომელიც დაკავშირებულია სიმსივნის საწინააღმდეგო ემეტოგენური</w:t>
      </w:r>
      <w:r>
        <w:rPr>
          <w:u w:val="single"/>
          <w:lang w:val="ka-GE"/>
        </w:rPr>
        <w:t xml:space="preserve"> </w:t>
      </w:r>
      <w:r w:rsidRPr="005A3663">
        <w:rPr>
          <w:u w:val="single"/>
          <w:lang w:val="ka-GE"/>
        </w:rPr>
        <w:t>ქიმიოთერაპიის საწყის და განმეორებით კურსთან.</w:t>
      </w:r>
    </w:p>
    <w:p w14:paraId="7CADC4CB" w14:textId="77777777" w:rsidR="006B57E5" w:rsidRPr="00330B09" w:rsidRDefault="006B57E5" w:rsidP="006B57E5">
      <w:pPr>
        <w:spacing w:after="0" w:line="240" w:lineRule="auto"/>
        <w:jc w:val="both"/>
        <w:rPr>
          <w:lang w:val="ka-GE"/>
        </w:rPr>
      </w:pPr>
      <w:r w:rsidRPr="00330B09">
        <w:rPr>
          <w:lang w:val="ka-GE"/>
        </w:rPr>
        <w:t>მომზადების მნიშვნელოვანი ინსტრუქციები</w:t>
      </w:r>
    </w:p>
    <w:p w14:paraId="3163A977" w14:textId="77777777" w:rsidR="006B57E5" w:rsidRPr="00330B09" w:rsidRDefault="006B57E5" w:rsidP="006B57E5">
      <w:pPr>
        <w:pStyle w:val="ListParagraph"/>
        <w:numPr>
          <w:ilvl w:val="0"/>
          <w:numId w:val="5"/>
        </w:numPr>
        <w:spacing w:after="0" w:line="240" w:lineRule="auto"/>
        <w:jc w:val="both"/>
        <w:rPr>
          <w:lang w:val="ka-GE"/>
        </w:rPr>
      </w:pPr>
      <w:r w:rsidRPr="00330B09">
        <w:rPr>
          <w:lang w:val="ka-GE"/>
        </w:rPr>
        <w:t xml:space="preserve">ემეტოგენურ ქიმიოთერაპიასთან დაკავშირებული გულისრევისა და ღებინების თავიდან ასაცილებლად, მოზრდილებსა და ბავშვებში გამოყენებამდე </w:t>
      </w:r>
      <w:r>
        <w:rPr>
          <w:lang w:val="ka-GE"/>
        </w:rPr>
        <w:t>ონდანიქე</w:t>
      </w:r>
      <w:r w:rsidRPr="00330B09">
        <w:rPr>
          <w:lang w:val="ka-GE"/>
        </w:rPr>
        <w:t xml:space="preserve"> უნდა განზავდეს 50 მლ 5%-იან </w:t>
      </w:r>
      <w:r>
        <w:rPr>
          <w:lang w:val="ka-GE"/>
        </w:rPr>
        <w:t>დექსტროზის</w:t>
      </w:r>
      <w:r w:rsidRPr="00330B09">
        <w:rPr>
          <w:lang w:val="ka-GE"/>
        </w:rPr>
        <w:t xml:space="preserve"> ხსნარში ან 0.9%-იან ნატრიუმის ქლორიდის ხსნარში. </w:t>
      </w:r>
      <w:r w:rsidRPr="00330B09">
        <w:rPr>
          <w:u w:val="single"/>
          <w:lang w:val="ka-GE"/>
        </w:rPr>
        <w:t>6 თვიდან 1 წლამდე ასაკის და/ან 10 კგ</w:t>
      </w:r>
      <w:r>
        <w:rPr>
          <w:u w:val="single"/>
          <w:lang w:val="ka-GE"/>
        </w:rPr>
        <w:t xml:space="preserve"> ან ნაკლები</w:t>
      </w:r>
      <w:r w:rsidRPr="00330B09">
        <w:rPr>
          <w:u w:val="single"/>
          <w:lang w:val="ka-GE"/>
        </w:rPr>
        <w:t xml:space="preserve"> წონის პედიატრიულ პაციენტებში:</w:t>
      </w:r>
      <w:r w:rsidRPr="00330B09">
        <w:rPr>
          <w:lang w:val="ka-GE"/>
        </w:rPr>
        <w:t xml:space="preserve"> სითხის მოთხოვნილების შესაბამისად, ონდანი</w:t>
      </w:r>
      <w:r>
        <w:rPr>
          <w:lang w:val="ka-GE"/>
        </w:rPr>
        <w:t>ქეს</w:t>
      </w:r>
      <w:r w:rsidRPr="00330B09">
        <w:rPr>
          <w:lang w:val="ka-GE"/>
        </w:rPr>
        <w:t xml:space="preserve"> განზავება შესაძლებელია 10-დან 50 მლ-მდე 5%-იან </w:t>
      </w:r>
      <w:r>
        <w:rPr>
          <w:lang w:val="ka-GE"/>
        </w:rPr>
        <w:t>დექსტროზის</w:t>
      </w:r>
      <w:r w:rsidRPr="00330B09">
        <w:rPr>
          <w:lang w:val="ka-GE"/>
        </w:rPr>
        <w:t xml:space="preserve"> ხსნარში ან 0.9%-იან ნატრიუმის ქლორიდის ხსნარში.</w:t>
      </w:r>
    </w:p>
    <w:p w14:paraId="57690EAC" w14:textId="77777777" w:rsidR="006B57E5" w:rsidRPr="00ED0155" w:rsidRDefault="006B57E5" w:rsidP="006B57E5">
      <w:pPr>
        <w:pStyle w:val="ListParagraph"/>
        <w:numPr>
          <w:ilvl w:val="0"/>
          <w:numId w:val="5"/>
        </w:numPr>
        <w:spacing w:after="0" w:line="240" w:lineRule="auto"/>
        <w:jc w:val="both"/>
        <w:rPr>
          <w:lang w:val="ka-GE"/>
        </w:rPr>
      </w:pPr>
      <w:r w:rsidRPr="00ED0155">
        <w:rPr>
          <w:lang w:val="ka-GE"/>
        </w:rPr>
        <w:lastRenderedPageBreak/>
        <w:t>ნალექი</w:t>
      </w:r>
      <w:r>
        <w:rPr>
          <w:lang w:val="ka-GE"/>
        </w:rPr>
        <w:t>ს</w:t>
      </w:r>
      <w:r w:rsidRPr="00ED0155">
        <w:rPr>
          <w:lang w:val="ka-GE"/>
        </w:rPr>
        <w:t xml:space="preserve"> წარმოიქმნ</w:t>
      </w:r>
      <w:r>
        <w:rPr>
          <w:lang w:val="ka-GE"/>
        </w:rPr>
        <w:t>ის შემთხვევაში</w:t>
      </w:r>
      <w:r w:rsidRPr="00ED0155">
        <w:rPr>
          <w:lang w:val="ka-GE"/>
        </w:rPr>
        <w:t>, მისი გაქრობა შესაძლებელია ამპულის ენერგიულად შენჯღრივით.</w:t>
      </w:r>
    </w:p>
    <w:p w14:paraId="7464D185" w14:textId="77777777" w:rsidR="006B57E5" w:rsidRPr="00330B09" w:rsidRDefault="006B57E5" w:rsidP="006B57E5">
      <w:pPr>
        <w:pStyle w:val="ListParagraph"/>
        <w:numPr>
          <w:ilvl w:val="0"/>
          <w:numId w:val="5"/>
        </w:numPr>
        <w:spacing w:after="0" w:line="240" w:lineRule="auto"/>
        <w:jc w:val="both"/>
        <w:rPr>
          <w:lang w:val="ka-GE"/>
        </w:rPr>
      </w:pPr>
      <w:r w:rsidRPr="00330B09">
        <w:rPr>
          <w:lang w:val="ka-GE"/>
        </w:rPr>
        <w:t>ონდანსეტრონის საინექციო ხსნარი არ უნდა შეერიოს ხსნარებს, რომელთა ფიზიკური და ქიმიური თავსებადობა დადგენილი არ არის. ეს განსაკუთრებით ეხება ტუტე ხსნარებს, რადგან შეიძლება წარმოიქმნას ნალექი.</w:t>
      </w:r>
    </w:p>
    <w:p w14:paraId="5AC6D0E1" w14:textId="77777777" w:rsidR="006B57E5" w:rsidRPr="00330B09" w:rsidRDefault="006B57E5" w:rsidP="006B57E5">
      <w:pPr>
        <w:pStyle w:val="ListParagraph"/>
        <w:numPr>
          <w:ilvl w:val="0"/>
          <w:numId w:val="5"/>
        </w:numPr>
        <w:spacing w:after="0" w:line="240" w:lineRule="auto"/>
        <w:jc w:val="both"/>
        <w:rPr>
          <w:lang w:val="ka-GE"/>
        </w:rPr>
      </w:pPr>
      <w:r w:rsidRPr="00330B09">
        <w:rPr>
          <w:lang w:val="ka-GE"/>
        </w:rPr>
        <w:t>გამოყენებამდე განზავებული ონდანი</w:t>
      </w:r>
      <w:r>
        <w:rPr>
          <w:lang w:val="ka-GE"/>
        </w:rPr>
        <w:t>ქეს</w:t>
      </w:r>
      <w:r w:rsidRPr="00330B09">
        <w:rPr>
          <w:lang w:val="ka-GE"/>
        </w:rPr>
        <w:t xml:space="preserve"> საინექციო ხსნარი უნდა შემოწმდეს ნაწილაკებს</w:t>
      </w:r>
      <w:r>
        <w:rPr>
          <w:lang w:val="ka-GE"/>
        </w:rPr>
        <w:t xml:space="preserve"> არსებობასა</w:t>
      </w:r>
      <w:r w:rsidRPr="00330B09">
        <w:rPr>
          <w:lang w:val="ka-GE"/>
        </w:rPr>
        <w:t xml:space="preserve"> და ფერის ცვლილებაზე</w:t>
      </w:r>
      <w:r>
        <w:rPr>
          <w:lang w:val="ka-GE"/>
        </w:rPr>
        <w:t xml:space="preserve">, </w:t>
      </w:r>
      <w:bookmarkStart w:id="1" w:name="_Hlk232185108"/>
      <w:r>
        <w:rPr>
          <w:lang w:val="ka-GE"/>
        </w:rPr>
        <w:t>ხოლო მათი აღმოჩენის შემთხვევაში არ უნდა იქნას გამოყენებული.</w:t>
      </w:r>
    </w:p>
    <w:bookmarkEnd w:id="1"/>
    <w:p w14:paraId="1848216E" w14:textId="77777777" w:rsidR="006B57E5" w:rsidRPr="00330B09" w:rsidRDefault="006B57E5" w:rsidP="006B57E5">
      <w:pPr>
        <w:pStyle w:val="ListParagraph"/>
        <w:numPr>
          <w:ilvl w:val="0"/>
          <w:numId w:val="5"/>
        </w:numPr>
        <w:spacing w:after="0" w:line="240" w:lineRule="auto"/>
        <w:jc w:val="both"/>
        <w:rPr>
          <w:lang w:val="ka-GE"/>
        </w:rPr>
      </w:pPr>
      <w:r w:rsidRPr="00330B09">
        <w:rPr>
          <w:u w:val="single"/>
          <w:lang w:val="ka-GE"/>
        </w:rPr>
        <w:t>შენახვა:</w:t>
      </w:r>
      <w:r w:rsidRPr="00330B09">
        <w:rPr>
          <w:lang w:val="ka-GE"/>
        </w:rPr>
        <w:t xml:space="preserve"> არ გამოიყენოთ </w:t>
      </w:r>
      <w:r>
        <w:rPr>
          <w:lang w:val="ka-GE"/>
        </w:rPr>
        <w:t xml:space="preserve">განზავებიდან </w:t>
      </w:r>
      <w:r w:rsidRPr="00330B09">
        <w:rPr>
          <w:lang w:val="ka-GE"/>
        </w:rPr>
        <w:t xml:space="preserve">24 საათზე </w:t>
      </w:r>
      <w:r>
        <w:rPr>
          <w:lang w:val="ka-GE"/>
        </w:rPr>
        <w:t>შემდეგ.</w:t>
      </w:r>
      <w:r w:rsidRPr="00330B09">
        <w:rPr>
          <w:lang w:val="ka-GE"/>
        </w:rPr>
        <w:t xml:space="preserve"> მიუხედავად იმისა, რომ ონდანი</w:t>
      </w:r>
      <w:r>
        <w:rPr>
          <w:lang w:val="ka-GE"/>
        </w:rPr>
        <w:t>ქეს</w:t>
      </w:r>
      <w:r w:rsidRPr="00330B09">
        <w:rPr>
          <w:lang w:val="ka-GE"/>
        </w:rPr>
        <w:t xml:space="preserve"> საინექციო ხსნარი ქიმიურად და ფიზიკურად სტაბილურია რეკომენდებული განზავებ</w:t>
      </w:r>
      <w:r>
        <w:rPr>
          <w:lang w:val="ka-GE"/>
        </w:rPr>
        <w:t>ა</w:t>
      </w:r>
      <w:r w:rsidRPr="00330B09">
        <w:rPr>
          <w:lang w:val="ka-GE"/>
        </w:rPr>
        <w:t xml:space="preserve">, უნდა </w:t>
      </w:r>
      <w:r>
        <w:rPr>
          <w:lang w:val="ka-GE"/>
        </w:rPr>
        <w:t>მოხდეს</w:t>
      </w:r>
      <w:r w:rsidRPr="00330B09">
        <w:rPr>
          <w:lang w:val="ka-GE"/>
        </w:rPr>
        <w:t xml:space="preserve"> სტერილურ</w:t>
      </w:r>
      <w:r>
        <w:rPr>
          <w:lang w:val="ka-GE"/>
        </w:rPr>
        <w:t>ობის დაცვით</w:t>
      </w:r>
      <w:r w:rsidRPr="00330B09">
        <w:rPr>
          <w:lang w:val="ka-GE"/>
        </w:rPr>
        <w:t>, რადგან გამხსნელები, როგორც წესი, არ შეიცავ</w:t>
      </w:r>
      <w:r>
        <w:rPr>
          <w:lang w:val="ka-GE"/>
        </w:rPr>
        <w:t>ენ</w:t>
      </w:r>
      <w:r w:rsidRPr="00330B09">
        <w:rPr>
          <w:lang w:val="ka-GE"/>
        </w:rPr>
        <w:t xml:space="preserve"> კონსერვანტებს. </w:t>
      </w:r>
    </w:p>
    <w:p w14:paraId="22373CB3" w14:textId="77777777" w:rsidR="006B57E5" w:rsidRPr="00330B09" w:rsidRDefault="006B57E5" w:rsidP="006B57E5">
      <w:pPr>
        <w:spacing w:after="0" w:line="240" w:lineRule="auto"/>
        <w:jc w:val="both"/>
        <w:rPr>
          <w:u w:val="single"/>
          <w:lang w:val="ka-GE"/>
        </w:rPr>
      </w:pPr>
      <w:r w:rsidRPr="00330B09">
        <w:rPr>
          <w:u w:val="single"/>
          <w:lang w:val="ka-GE"/>
        </w:rPr>
        <w:t>დოზირება და მიღების წესი</w:t>
      </w:r>
    </w:p>
    <w:p w14:paraId="3C205A4C" w14:textId="77777777" w:rsidR="006B57E5" w:rsidRPr="00330B09" w:rsidRDefault="006B57E5" w:rsidP="006B57E5">
      <w:pPr>
        <w:spacing w:after="0" w:line="240" w:lineRule="auto"/>
        <w:jc w:val="both"/>
        <w:rPr>
          <w:lang w:val="ka-GE"/>
        </w:rPr>
      </w:pPr>
      <w:r w:rsidRPr="00330B09">
        <w:rPr>
          <w:lang w:val="ka-GE"/>
        </w:rPr>
        <w:t>6 თვის და უფროსი ასაკის პედიატრიულ პაციენტებ</w:t>
      </w:r>
      <w:r>
        <w:rPr>
          <w:lang w:val="ka-GE"/>
        </w:rPr>
        <w:t xml:space="preserve">სა და მოზრდილებში </w:t>
      </w:r>
      <w:r w:rsidRPr="00330B09">
        <w:rPr>
          <w:lang w:val="ka-GE"/>
        </w:rPr>
        <w:t xml:space="preserve">ემეტოგენურ ქიმიოთერაპიასთან </w:t>
      </w:r>
      <w:r>
        <w:rPr>
          <w:lang w:val="ka-GE"/>
        </w:rPr>
        <w:t>დაკავშირებული</w:t>
      </w:r>
      <w:r w:rsidRPr="00330B09">
        <w:rPr>
          <w:lang w:val="ka-GE"/>
        </w:rPr>
        <w:t xml:space="preserve"> გულისრევისა და ღებინების პროფილაქტიკისთვის  რეკომენდებული</w:t>
      </w:r>
      <w:r>
        <w:rPr>
          <w:lang w:val="ka-GE"/>
        </w:rPr>
        <w:t xml:space="preserve">ა </w:t>
      </w:r>
      <w:r w:rsidRPr="00330B09">
        <w:rPr>
          <w:lang w:val="ka-GE"/>
        </w:rPr>
        <w:t>0.15 მგ/კგ</w:t>
      </w:r>
      <w:r>
        <w:rPr>
          <w:lang w:val="ka-GE"/>
        </w:rPr>
        <w:t>-ზე</w:t>
      </w:r>
      <w:r w:rsidRPr="00330B09">
        <w:rPr>
          <w:lang w:val="ka-GE"/>
        </w:rPr>
        <w:t xml:space="preserve"> თითო დოზაზე</w:t>
      </w:r>
      <w:r>
        <w:rPr>
          <w:lang w:val="ka-GE"/>
        </w:rPr>
        <w:t>,</w:t>
      </w:r>
      <w:r w:rsidRPr="00330B09">
        <w:rPr>
          <w:lang w:val="ka-GE"/>
        </w:rPr>
        <w:t xml:space="preserve"> სამი დოზისთვის (მაქსიმუმ 16 მგ თითო დოზაზე).</w:t>
      </w:r>
    </w:p>
    <w:p w14:paraId="4034E316" w14:textId="77777777" w:rsidR="006B57E5" w:rsidRPr="00330B09" w:rsidRDefault="006B57E5" w:rsidP="006B57E5">
      <w:pPr>
        <w:spacing w:after="0" w:line="240" w:lineRule="auto"/>
        <w:jc w:val="both"/>
        <w:rPr>
          <w:lang w:val="ka-GE"/>
        </w:rPr>
      </w:pPr>
      <w:r w:rsidRPr="00330B09">
        <w:rPr>
          <w:lang w:val="ka-GE"/>
        </w:rPr>
        <w:t>გაფრთხილება: ონდანი</w:t>
      </w:r>
      <w:r>
        <w:rPr>
          <w:lang w:val="ka-GE"/>
        </w:rPr>
        <w:t>ქე</w:t>
      </w:r>
      <w:r w:rsidRPr="00330B09">
        <w:rPr>
          <w:lang w:val="ka-GE"/>
        </w:rPr>
        <w:t xml:space="preserve">ს საინექციო ხსნარი მოზრდილებსა და </w:t>
      </w:r>
      <w:r>
        <w:rPr>
          <w:lang w:val="ka-GE"/>
        </w:rPr>
        <w:t>პედიატრიულ პაციენტებში</w:t>
      </w:r>
      <w:r w:rsidRPr="00330B09">
        <w:rPr>
          <w:lang w:val="ka-GE"/>
        </w:rPr>
        <w:t xml:space="preserve"> გამოყენებამდე უნდა განზავდეს. ინტრავენური ინფუზია კეთდება 15 წუთის განმავლობაში, ემეტოგენური ქიმიოთერაპიის დაწყებამდე 30 წუთით ადრე. ინფუზია მეორდება პირველი დოზის მიღებიდან 4 და 8 საათის შემდეგ.</w:t>
      </w:r>
    </w:p>
    <w:p w14:paraId="47F895CA" w14:textId="77777777" w:rsidR="006B57E5" w:rsidRPr="00330B09" w:rsidRDefault="006B57E5" w:rsidP="006B57E5">
      <w:pPr>
        <w:spacing w:after="0" w:line="240" w:lineRule="auto"/>
        <w:jc w:val="both"/>
        <w:rPr>
          <w:lang w:val="ka-GE"/>
        </w:rPr>
      </w:pPr>
      <w:r w:rsidRPr="00330B09">
        <w:rPr>
          <w:u w:val="single"/>
          <w:lang w:val="ka-GE"/>
        </w:rPr>
        <w:t>პოსტოპერაციული გულისრევისა და ღებინების პრევენცია</w:t>
      </w:r>
    </w:p>
    <w:p w14:paraId="26973536" w14:textId="77777777" w:rsidR="006B57E5" w:rsidRPr="00330B09" w:rsidRDefault="006B57E5" w:rsidP="006B57E5">
      <w:pPr>
        <w:spacing w:after="0" w:line="240" w:lineRule="auto"/>
        <w:jc w:val="both"/>
        <w:rPr>
          <w:lang w:val="ka-GE"/>
        </w:rPr>
      </w:pPr>
      <w:r w:rsidRPr="00330B09">
        <w:rPr>
          <w:lang w:val="ka-GE"/>
        </w:rPr>
        <w:t>მომზადების მნიშვნელოვანი ინსტრუქციები</w:t>
      </w:r>
    </w:p>
    <w:p w14:paraId="6F7E2C4C" w14:textId="77777777" w:rsidR="006B57E5" w:rsidRDefault="006B57E5" w:rsidP="006B57E5">
      <w:pPr>
        <w:pStyle w:val="ListParagraph"/>
        <w:numPr>
          <w:ilvl w:val="0"/>
          <w:numId w:val="6"/>
        </w:numPr>
        <w:spacing w:after="0" w:line="240" w:lineRule="auto"/>
        <w:ind w:left="426"/>
        <w:jc w:val="both"/>
        <w:rPr>
          <w:lang w:val="ka-GE"/>
        </w:rPr>
      </w:pPr>
      <w:r>
        <w:rPr>
          <w:lang w:val="ka-GE"/>
        </w:rPr>
        <w:t>მოზრდილი</w:t>
      </w:r>
      <w:r w:rsidRPr="00330B09">
        <w:rPr>
          <w:lang w:val="ka-GE"/>
        </w:rPr>
        <w:t xml:space="preserve"> და პედიატრიული პაციენტებისთვის ონდანი</w:t>
      </w:r>
      <w:r>
        <w:rPr>
          <w:lang w:val="ka-GE"/>
        </w:rPr>
        <w:t>ქე</w:t>
      </w:r>
      <w:r w:rsidRPr="00330B09">
        <w:rPr>
          <w:lang w:val="ka-GE"/>
        </w:rPr>
        <w:t>ს ინექციის განზავება საჭირო არ არის.</w:t>
      </w:r>
    </w:p>
    <w:p w14:paraId="136F411B" w14:textId="1DB0D9E2" w:rsidR="006B57E5" w:rsidRDefault="006B57E5" w:rsidP="006B57E5">
      <w:pPr>
        <w:pStyle w:val="ListParagraph"/>
        <w:numPr>
          <w:ilvl w:val="0"/>
          <w:numId w:val="6"/>
        </w:numPr>
        <w:spacing w:after="0" w:line="240" w:lineRule="auto"/>
        <w:ind w:left="426"/>
        <w:jc w:val="both"/>
        <w:rPr>
          <w:lang w:val="ka-GE"/>
        </w:rPr>
      </w:pPr>
      <w:r w:rsidRPr="006B57E5">
        <w:rPr>
          <w:lang w:val="ka-GE"/>
        </w:rPr>
        <w:t>გამოყენებამდე ვიზუალურად შეამოწმეთ ონდანიქეს ინექცია ნაწილაკების არსებობასა და ფერის ცვლილებაზე და ხოლო მათი აღმოჩენის შემთხვევაში არ უნდა იქნას გამოყენებული.</w:t>
      </w:r>
    </w:p>
    <w:p w14:paraId="24A37D0F" w14:textId="77777777" w:rsidR="006B57E5" w:rsidRPr="006B57E5" w:rsidRDefault="006B57E5" w:rsidP="006B57E5">
      <w:pPr>
        <w:pStyle w:val="ListParagraph"/>
        <w:spacing w:after="0" w:line="240" w:lineRule="auto"/>
        <w:ind w:left="426"/>
        <w:jc w:val="both"/>
        <w:rPr>
          <w:lang w:val="ka-GE"/>
        </w:rPr>
      </w:pPr>
    </w:p>
    <w:p w14:paraId="09852C5B" w14:textId="77777777" w:rsidR="00733EFC" w:rsidRDefault="00733EFC" w:rsidP="00733EFC">
      <w:pPr>
        <w:spacing w:after="0" w:line="240" w:lineRule="auto"/>
        <w:jc w:val="both"/>
        <w:rPr>
          <w:b/>
          <w:bCs/>
          <w:lang w:val="ka-GE"/>
        </w:rPr>
      </w:pPr>
      <w:r>
        <w:rPr>
          <w:b/>
          <w:bCs/>
          <w:lang w:val="ka-GE"/>
        </w:rPr>
        <w:t>დოზირება და გამოყენების წესი</w:t>
      </w:r>
    </w:p>
    <w:p w14:paraId="5503512F" w14:textId="77777777" w:rsidR="008150DC" w:rsidRDefault="008150DC" w:rsidP="008150DC">
      <w:pPr>
        <w:spacing w:after="0" w:line="240" w:lineRule="auto"/>
        <w:jc w:val="both"/>
      </w:pPr>
      <w:r>
        <w:t>პოსტოპერაციული გულისრევისა და ღებინების პროფილაქტიკისთვის მოზრდილებსა და ერთი თვის და უფროსი ასაკის ბავშვებში რეკომენდებული დოზირება და გამოყენების ინსტრუქცია მოცემულია ცხრილში 1.</w:t>
      </w:r>
    </w:p>
    <w:p w14:paraId="08FCFC3A" w14:textId="77777777" w:rsidR="006B57E5" w:rsidRPr="006B57E5" w:rsidRDefault="006B57E5" w:rsidP="006B57E5">
      <w:pPr>
        <w:spacing w:after="0" w:line="240" w:lineRule="auto"/>
        <w:jc w:val="both"/>
        <w:rPr>
          <w:lang w:val="ka-GE"/>
        </w:rPr>
      </w:pPr>
      <w:r w:rsidRPr="006B57E5">
        <w:rPr>
          <w:lang w:val="ka-GE"/>
        </w:rPr>
        <w:t>ცხრილი 1: პოსტოპერაციული გულისრევისა და ღებინების პროფილაქტიკისთვის ონდანიქეს ინექციის რეკომენდებული დოზირება და გამოყენების ინსტრუქცია</w:t>
      </w:r>
    </w:p>
    <w:tbl>
      <w:tblPr>
        <w:tblW w:w="11218" w:type="dxa"/>
        <w:tblInd w:w="-5" w:type="dxa"/>
        <w:tblLayout w:type="fixed"/>
        <w:tblCellMar>
          <w:left w:w="0" w:type="dxa"/>
          <w:right w:w="0" w:type="dxa"/>
        </w:tblCellMar>
        <w:tblLook w:val="04A0" w:firstRow="1" w:lastRow="0" w:firstColumn="1" w:lastColumn="0" w:noHBand="0" w:noVBand="1"/>
      </w:tblPr>
      <w:tblGrid>
        <w:gridCol w:w="1557"/>
        <w:gridCol w:w="423"/>
        <w:gridCol w:w="1417"/>
        <w:gridCol w:w="423"/>
        <w:gridCol w:w="2979"/>
        <w:gridCol w:w="423"/>
        <w:gridCol w:w="3573"/>
        <w:gridCol w:w="423"/>
      </w:tblGrid>
      <w:tr w:rsidR="006B57E5" w:rsidRPr="00330B09" w14:paraId="093052DB" w14:textId="77777777" w:rsidTr="00450686">
        <w:trPr>
          <w:gridAfter w:val="1"/>
          <w:wAfter w:w="423" w:type="dxa"/>
          <w:trHeight w:val="437"/>
        </w:trPr>
        <w:tc>
          <w:tcPr>
            <w:tcW w:w="1557" w:type="dxa"/>
            <w:tcBorders>
              <w:top w:val="single" w:sz="8" w:space="0" w:color="231F20"/>
              <w:left w:val="single" w:sz="8" w:space="0" w:color="231F20"/>
              <w:bottom w:val="single" w:sz="8" w:space="0" w:color="231F20"/>
              <w:right w:val="single" w:sz="8" w:space="0" w:color="231F20"/>
            </w:tcBorders>
            <w:hideMark/>
          </w:tcPr>
          <w:p w14:paraId="2F905D04" w14:textId="77777777" w:rsidR="006B57E5" w:rsidRPr="00330B09" w:rsidRDefault="006B57E5" w:rsidP="005C3C52">
            <w:pPr>
              <w:spacing w:after="0"/>
              <w:jc w:val="both"/>
              <w:rPr>
                <w:rFonts w:cs="Times New Roman"/>
                <w:b/>
                <w:bCs/>
                <w:sz w:val="20"/>
                <w:szCs w:val="20"/>
                <w:lang w:val="ka-GE"/>
              </w:rPr>
            </w:pPr>
            <w:bookmarkStart w:id="2" w:name="_Hlk232778712"/>
            <w:r w:rsidRPr="00330B09">
              <w:rPr>
                <w:rFonts w:cs="Times New Roman"/>
                <w:b/>
                <w:bCs/>
                <w:sz w:val="20"/>
                <w:szCs w:val="20"/>
                <w:lang w:val="ka-GE"/>
              </w:rPr>
              <w:t>პოპულაცია</w:t>
            </w:r>
          </w:p>
        </w:tc>
        <w:tc>
          <w:tcPr>
            <w:tcW w:w="1840" w:type="dxa"/>
            <w:gridSpan w:val="2"/>
            <w:tcBorders>
              <w:top w:val="single" w:sz="8" w:space="0" w:color="231F20"/>
              <w:left w:val="nil"/>
              <w:bottom w:val="single" w:sz="8" w:space="0" w:color="231F20"/>
              <w:right w:val="single" w:sz="8" w:space="0" w:color="231F20"/>
            </w:tcBorders>
            <w:hideMark/>
          </w:tcPr>
          <w:p w14:paraId="504D3121" w14:textId="77777777" w:rsidR="006B57E5" w:rsidRPr="00330B09" w:rsidRDefault="006B57E5" w:rsidP="005C3C52">
            <w:pPr>
              <w:spacing w:after="0"/>
              <w:jc w:val="both"/>
              <w:rPr>
                <w:rFonts w:cs="Times New Roman"/>
                <w:b/>
                <w:bCs/>
                <w:sz w:val="20"/>
                <w:szCs w:val="20"/>
                <w:lang w:val="ka-GE"/>
              </w:rPr>
            </w:pPr>
            <w:r w:rsidRPr="00330B09">
              <w:rPr>
                <w:rFonts w:cs="Times New Roman"/>
                <w:b/>
                <w:bCs/>
                <w:sz w:val="20"/>
                <w:szCs w:val="20"/>
                <w:lang w:val="ka-GE"/>
              </w:rPr>
              <w:t>რეკომენდებული ერთჯერადი დოზა</w:t>
            </w:r>
          </w:p>
        </w:tc>
        <w:tc>
          <w:tcPr>
            <w:tcW w:w="3402" w:type="dxa"/>
            <w:gridSpan w:val="2"/>
            <w:tcBorders>
              <w:top w:val="single" w:sz="8" w:space="0" w:color="231F20"/>
              <w:left w:val="nil"/>
              <w:bottom w:val="single" w:sz="8" w:space="0" w:color="231F20"/>
              <w:right w:val="single" w:sz="8" w:space="0" w:color="231F20"/>
            </w:tcBorders>
            <w:hideMark/>
          </w:tcPr>
          <w:p w14:paraId="3C628E30" w14:textId="77777777" w:rsidR="006B57E5" w:rsidRPr="00330B09" w:rsidRDefault="006B57E5" w:rsidP="005C3C52">
            <w:pPr>
              <w:spacing w:after="0"/>
              <w:jc w:val="both"/>
              <w:rPr>
                <w:rFonts w:cs="Times New Roman"/>
                <w:b/>
                <w:bCs/>
                <w:sz w:val="20"/>
                <w:szCs w:val="20"/>
                <w:lang w:val="ka-GE"/>
              </w:rPr>
            </w:pPr>
            <w:r w:rsidRPr="00330B09">
              <w:rPr>
                <w:rFonts w:cs="Times New Roman"/>
                <w:b/>
                <w:bCs/>
                <w:sz w:val="20"/>
                <w:szCs w:val="20"/>
                <w:lang w:val="ka-GE"/>
              </w:rPr>
              <w:t>გამოყენების წესი</w:t>
            </w:r>
          </w:p>
        </w:tc>
        <w:tc>
          <w:tcPr>
            <w:tcW w:w="3996" w:type="dxa"/>
            <w:gridSpan w:val="2"/>
            <w:tcBorders>
              <w:top w:val="single" w:sz="8" w:space="0" w:color="231F20"/>
              <w:left w:val="nil"/>
              <w:bottom w:val="single" w:sz="8" w:space="0" w:color="231F20"/>
              <w:right w:val="single" w:sz="8" w:space="0" w:color="231F20"/>
            </w:tcBorders>
            <w:hideMark/>
          </w:tcPr>
          <w:p w14:paraId="2BF5A10E" w14:textId="77777777" w:rsidR="006B57E5" w:rsidRPr="00330B09" w:rsidRDefault="006B57E5" w:rsidP="005C3C52">
            <w:pPr>
              <w:spacing w:after="0"/>
              <w:jc w:val="both"/>
              <w:rPr>
                <w:rFonts w:ascii="Times New Roman" w:hAnsi="Times New Roman" w:cs="Times New Roman"/>
                <w:b/>
                <w:bCs/>
                <w:sz w:val="20"/>
                <w:szCs w:val="20"/>
                <w:lang w:val="ka-GE"/>
              </w:rPr>
            </w:pPr>
            <w:r w:rsidRPr="00330B09">
              <w:rPr>
                <w:rFonts w:cs="Sylfaen"/>
                <w:b/>
                <w:bCs/>
                <w:sz w:val="20"/>
                <w:szCs w:val="20"/>
                <w:lang w:val="ka-GE"/>
              </w:rPr>
              <w:t>მიღების</w:t>
            </w:r>
            <w:r w:rsidRPr="00330B09">
              <w:rPr>
                <w:rFonts w:ascii="Times New Roman" w:hAnsi="Times New Roman" w:cs="Times New Roman"/>
                <w:b/>
                <w:bCs/>
                <w:sz w:val="20"/>
                <w:szCs w:val="20"/>
                <w:lang w:val="ka-GE"/>
              </w:rPr>
              <w:t xml:space="preserve"> </w:t>
            </w:r>
            <w:r w:rsidRPr="00330B09">
              <w:rPr>
                <w:rFonts w:cs="Sylfaen"/>
                <w:b/>
                <w:bCs/>
                <w:sz w:val="20"/>
                <w:szCs w:val="20"/>
                <w:lang w:val="ka-GE"/>
              </w:rPr>
              <w:t>დრო</w:t>
            </w:r>
          </w:p>
        </w:tc>
      </w:tr>
      <w:tr w:rsidR="006B57E5" w:rsidRPr="00330B09" w14:paraId="353168C2" w14:textId="77777777" w:rsidTr="00450686">
        <w:trPr>
          <w:trHeight w:val="861"/>
        </w:trPr>
        <w:tc>
          <w:tcPr>
            <w:tcW w:w="1980" w:type="dxa"/>
            <w:gridSpan w:val="2"/>
            <w:tcBorders>
              <w:top w:val="nil"/>
              <w:left w:val="single" w:sz="8" w:space="0" w:color="231F20"/>
              <w:bottom w:val="single" w:sz="4" w:space="0" w:color="auto"/>
              <w:right w:val="single" w:sz="8" w:space="0" w:color="231F20"/>
            </w:tcBorders>
            <w:hideMark/>
          </w:tcPr>
          <w:p w14:paraId="1DE75AF3" w14:textId="77777777" w:rsidR="006B57E5" w:rsidRPr="00330B09" w:rsidRDefault="006B57E5" w:rsidP="00450686">
            <w:pPr>
              <w:spacing w:after="0"/>
              <w:ind w:left="142" w:right="127"/>
              <w:jc w:val="both"/>
              <w:rPr>
                <w:rFonts w:ascii="Times New Roman" w:hAnsi="Times New Roman" w:cs="Times New Roman"/>
                <w:sz w:val="20"/>
                <w:szCs w:val="20"/>
                <w:lang w:val="ka-GE"/>
              </w:rPr>
            </w:pPr>
            <w:r w:rsidRPr="00330B09">
              <w:rPr>
                <w:rFonts w:cs="Sylfaen"/>
                <w:sz w:val="20"/>
                <w:szCs w:val="20"/>
                <w:lang w:val="ka-GE"/>
              </w:rPr>
              <w:t>მოზრდილები</w:t>
            </w:r>
            <w:r w:rsidRPr="00330B09">
              <w:rPr>
                <w:rFonts w:ascii="Times New Roman" w:hAnsi="Times New Roman" w:cs="Times New Roman"/>
                <w:sz w:val="20"/>
                <w:szCs w:val="20"/>
                <w:lang w:val="ka-GE"/>
              </w:rPr>
              <w:t xml:space="preserve"> </w:t>
            </w:r>
            <w:r w:rsidRPr="00330B09">
              <w:rPr>
                <w:rFonts w:cs="Sylfaen"/>
                <w:sz w:val="20"/>
                <w:szCs w:val="20"/>
                <w:lang w:val="ka-GE"/>
              </w:rPr>
              <w:t>და</w:t>
            </w:r>
            <w:r w:rsidRPr="00330B09">
              <w:rPr>
                <w:rFonts w:ascii="Times New Roman" w:hAnsi="Times New Roman" w:cs="Times New Roman"/>
                <w:sz w:val="20"/>
                <w:szCs w:val="20"/>
                <w:lang w:val="ka-GE"/>
              </w:rPr>
              <w:t xml:space="preserve"> 12 </w:t>
            </w:r>
            <w:r w:rsidRPr="00330B09">
              <w:rPr>
                <w:rFonts w:cs="Sylfaen"/>
                <w:sz w:val="20"/>
                <w:szCs w:val="20"/>
                <w:lang w:val="ka-GE"/>
              </w:rPr>
              <w:t>წელზე</w:t>
            </w:r>
            <w:r w:rsidRPr="00330B09">
              <w:rPr>
                <w:rFonts w:ascii="Times New Roman" w:hAnsi="Times New Roman" w:cs="Times New Roman"/>
                <w:sz w:val="20"/>
                <w:szCs w:val="20"/>
                <w:lang w:val="ka-GE"/>
              </w:rPr>
              <w:t xml:space="preserve"> </w:t>
            </w:r>
            <w:r w:rsidRPr="00330B09">
              <w:rPr>
                <w:rFonts w:cs="Sylfaen"/>
                <w:sz w:val="20"/>
                <w:szCs w:val="20"/>
                <w:lang w:val="ka-GE"/>
              </w:rPr>
              <w:t>უფროსი</w:t>
            </w:r>
            <w:r w:rsidRPr="00330B09">
              <w:rPr>
                <w:rFonts w:ascii="Times New Roman" w:hAnsi="Times New Roman" w:cs="Times New Roman"/>
                <w:sz w:val="20"/>
                <w:szCs w:val="20"/>
                <w:lang w:val="ka-GE"/>
              </w:rPr>
              <w:t xml:space="preserve"> </w:t>
            </w:r>
            <w:r w:rsidRPr="00330B09">
              <w:rPr>
                <w:rFonts w:cs="Sylfaen"/>
                <w:sz w:val="20"/>
                <w:szCs w:val="20"/>
                <w:lang w:val="ka-GE"/>
              </w:rPr>
              <w:t>ასაკის</w:t>
            </w:r>
            <w:r w:rsidRPr="00330B09">
              <w:rPr>
                <w:rFonts w:ascii="Times New Roman" w:hAnsi="Times New Roman" w:cs="Times New Roman"/>
                <w:sz w:val="20"/>
                <w:szCs w:val="20"/>
                <w:lang w:val="ka-GE"/>
              </w:rPr>
              <w:t xml:space="preserve"> </w:t>
            </w:r>
            <w:r w:rsidRPr="00330B09">
              <w:rPr>
                <w:rFonts w:cs="Sylfaen"/>
                <w:sz w:val="20"/>
                <w:szCs w:val="20"/>
                <w:lang w:val="ka-GE"/>
              </w:rPr>
              <w:t>პედიატრიული</w:t>
            </w:r>
            <w:r w:rsidRPr="00330B09">
              <w:rPr>
                <w:rFonts w:ascii="Times New Roman" w:hAnsi="Times New Roman" w:cs="Times New Roman"/>
                <w:sz w:val="20"/>
                <w:szCs w:val="20"/>
                <w:lang w:val="ka-GE"/>
              </w:rPr>
              <w:t xml:space="preserve"> </w:t>
            </w:r>
            <w:r w:rsidRPr="00330B09">
              <w:rPr>
                <w:rFonts w:cs="Sylfaen"/>
                <w:sz w:val="20"/>
                <w:szCs w:val="20"/>
                <w:lang w:val="ka-GE"/>
              </w:rPr>
              <w:t>პაციენტები</w:t>
            </w:r>
          </w:p>
        </w:tc>
        <w:tc>
          <w:tcPr>
            <w:tcW w:w="1840" w:type="dxa"/>
            <w:gridSpan w:val="2"/>
            <w:tcBorders>
              <w:top w:val="nil"/>
              <w:left w:val="nil"/>
              <w:bottom w:val="single" w:sz="4" w:space="0" w:color="auto"/>
              <w:right w:val="single" w:sz="8" w:space="0" w:color="231F20"/>
            </w:tcBorders>
            <w:hideMark/>
          </w:tcPr>
          <w:p w14:paraId="4F98E961" w14:textId="77777777" w:rsidR="006B57E5" w:rsidRPr="00330B09" w:rsidRDefault="006B57E5" w:rsidP="0083206A">
            <w:pPr>
              <w:spacing w:after="0"/>
              <w:jc w:val="center"/>
              <w:rPr>
                <w:rFonts w:cs="Times New Roman"/>
                <w:sz w:val="20"/>
                <w:szCs w:val="20"/>
                <w:lang w:val="ka-GE"/>
              </w:rPr>
            </w:pPr>
            <w:r w:rsidRPr="00330B09">
              <w:rPr>
                <w:rFonts w:ascii="Times New Roman" w:hAnsi="Times New Roman" w:cs="Times New Roman"/>
                <w:sz w:val="20"/>
                <w:szCs w:val="20"/>
                <w:lang w:val="ka-GE"/>
              </w:rPr>
              <w:t>4 </w:t>
            </w:r>
            <w:r w:rsidRPr="00330B09">
              <w:rPr>
                <w:rFonts w:cs="Times New Roman"/>
                <w:sz w:val="20"/>
                <w:szCs w:val="20"/>
                <w:lang w:val="ka-GE"/>
              </w:rPr>
              <w:t>მგ</w:t>
            </w:r>
          </w:p>
        </w:tc>
        <w:tc>
          <w:tcPr>
            <w:tcW w:w="3402" w:type="dxa"/>
            <w:gridSpan w:val="2"/>
            <w:tcBorders>
              <w:top w:val="nil"/>
              <w:left w:val="nil"/>
              <w:bottom w:val="single" w:sz="4" w:space="0" w:color="auto"/>
              <w:right w:val="single" w:sz="8" w:space="0" w:color="231F20"/>
            </w:tcBorders>
            <w:hideMark/>
          </w:tcPr>
          <w:p w14:paraId="383E048E" w14:textId="77777777" w:rsidR="006B57E5" w:rsidRPr="00330B09" w:rsidRDefault="006B57E5" w:rsidP="00450686">
            <w:pPr>
              <w:spacing w:after="0"/>
              <w:ind w:left="145" w:right="136"/>
              <w:jc w:val="both"/>
              <w:rPr>
                <w:rFonts w:ascii="Times New Roman" w:hAnsi="Times New Roman" w:cs="Times New Roman"/>
                <w:sz w:val="20"/>
                <w:szCs w:val="20"/>
                <w:lang w:val="ka-GE"/>
              </w:rPr>
            </w:pPr>
            <w:r w:rsidRPr="00330B09">
              <w:rPr>
                <w:rFonts w:cs="Sylfaen"/>
                <w:sz w:val="20"/>
                <w:szCs w:val="20"/>
                <w:lang w:val="ka-GE"/>
              </w:rPr>
              <w:t>შესაძლებელია</w:t>
            </w:r>
            <w:r w:rsidRPr="00330B09">
              <w:rPr>
                <w:rFonts w:ascii="Times New Roman" w:hAnsi="Times New Roman" w:cs="Times New Roman"/>
                <w:sz w:val="20"/>
                <w:szCs w:val="20"/>
                <w:lang w:val="ka-GE"/>
              </w:rPr>
              <w:t xml:space="preserve"> </w:t>
            </w:r>
            <w:r w:rsidRPr="00330B09">
              <w:rPr>
                <w:rFonts w:cs="Sylfaen"/>
                <w:sz w:val="20"/>
                <w:szCs w:val="20"/>
                <w:lang w:val="ka-GE"/>
              </w:rPr>
              <w:t>ინტრავენურად</w:t>
            </w:r>
            <w:r w:rsidRPr="00330B09">
              <w:rPr>
                <w:rFonts w:ascii="Times New Roman" w:hAnsi="Times New Roman" w:cs="Times New Roman"/>
                <w:sz w:val="20"/>
                <w:szCs w:val="20"/>
                <w:lang w:val="ka-GE"/>
              </w:rPr>
              <w:t xml:space="preserve"> </w:t>
            </w:r>
            <w:r w:rsidRPr="00330B09">
              <w:rPr>
                <w:rFonts w:cs="Sylfaen"/>
                <w:sz w:val="20"/>
                <w:szCs w:val="20"/>
                <w:lang w:val="ka-GE"/>
              </w:rPr>
              <w:t>ან</w:t>
            </w:r>
            <w:r w:rsidRPr="00330B09">
              <w:rPr>
                <w:rFonts w:ascii="Times New Roman" w:hAnsi="Times New Roman" w:cs="Times New Roman"/>
                <w:sz w:val="20"/>
                <w:szCs w:val="20"/>
                <w:lang w:val="ka-GE"/>
              </w:rPr>
              <w:t xml:space="preserve"> </w:t>
            </w:r>
            <w:r>
              <w:rPr>
                <w:rFonts w:cs="Sylfaen"/>
                <w:sz w:val="20"/>
                <w:szCs w:val="20"/>
                <w:lang w:val="ka-GE"/>
              </w:rPr>
              <w:t>ინტრამუსკულარულად</w:t>
            </w:r>
            <w:r w:rsidRPr="00330B09">
              <w:rPr>
                <w:rFonts w:ascii="Times New Roman" w:hAnsi="Times New Roman" w:cs="Times New Roman"/>
                <w:sz w:val="20"/>
                <w:szCs w:val="20"/>
                <w:lang w:val="ka-GE"/>
              </w:rPr>
              <w:t xml:space="preserve"> </w:t>
            </w:r>
            <w:r w:rsidRPr="00330B09">
              <w:rPr>
                <w:rFonts w:cs="Sylfaen"/>
                <w:sz w:val="20"/>
                <w:szCs w:val="20"/>
                <w:lang w:val="ka-GE"/>
              </w:rPr>
              <w:t>შეყვანა</w:t>
            </w:r>
            <w:r w:rsidRPr="00330B09">
              <w:rPr>
                <w:rFonts w:ascii="Times New Roman" w:hAnsi="Times New Roman" w:cs="Times New Roman"/>
                <w:sz w:val="20"/>
                <w:szCs w:val="20"/>
                <w:lang w:val="ka-GE"/>
              </w:rPr>
              <w:t>:</w:t>
            </w:r>
          </w:p>
          <w:p w14:paraId="3E419F04" w14:textId="77777777" w:rsidR="006B57E5" w:rsidRPr="00330B09" w:rsidRDefault="006B57E5" w:rsidP="00450686">
            <w:pPr>
              <w:pStyle w:val="ListParagraph"/>
              <w:numPr>
                <w:ilvl w:val="0"/>
                <w:numId w:val="3"/>
              </w:numPr>
              <w:tabs>
                <w:tab w:val="left" w:pos="428"/>
              </w:tabs>
              <w:spacing w:after="0"/>
              <w:ind w:left="145" w:right="136" w:firstLine="0"/>
              <w:jc w:val="both"/>
              <w:rPr>
                <w:rFonts w:ascii="Times New Roman" w:hAnsi="Times New Roman" w:cs="Times New Roman"/>
                <w:sz w:val="20"/>
                <w:szCs w:val="20"/>
                <w:lang w:val="ka-GE"/>
              </w:rPr>
            </w:pPr>
            <w:r w:rsidRPr="00330B09">
              <w:rPr>
                <w:rFonts w:cs="Sylfaen"/>
                <w:sz w:val="20"/>
                <w:szCs w:val="20"/>
                <w:lang w:val="ka-GE"/>
              </w:rPr>
              <w:t>ინტრავენურად</w:t>
            </w:r>
            <w:r w:rsidRPr="00330B09">
              <w:rPr>
                <w:rFonts w:ascii="Times New Roman" w:hAnsi="Times New Roman" w:cs="Times New Roman"/>
                <w:sz w:val="20"/>
                <w:szCs w:val="20"/>
                <w:lang w:val="ka-GE"/>
              </w:rPr>
              <w:t xml:space="preserve">: </w:t>
            </w:r>
            <w:r w:rsidRPr="00330B09">
              <w:rPr>
                <w:rFonts w:cs="Sylfaen"/>
                <w:sz w:val="20"/>
                <w:szCs w:val="20"/>
                <w:lang w:val="ka-GE"/>
              </w:rPr>
              <w:t>შპრიცის</w:t>
            </w:r>
            <w:r w:rsidRPr="00330B09">
              <w:rPr>
                <w:rFonts w:ascii="Times New Roman" w:hAnsi="Times New Roman" w:cs="Times New Roman"/>
                <w:sz w:val="20"/>
                <w:szCs w:val="20"/>
                <w:lang w:val="ka-GE"/>
              </w:rPr>
              <w:t xml:space="preserve"> </w:t>
            </w:r>
            <w:r w:rsidRPr="00330B09">
              <w:rPr>
                <w:rFonts w:cs="Sylfaen"/>
                <w:sz w:val="20"/>
                <w:szCs w:val="20"/>
                <w:lang w:val="ka-GE"/>
              </w:rPr>
              <w:t>განუზავებელი</w:t>
            </w:r>
            <w:r w:rsidRPr="00330B09">
              <w:rPr>
                <w:rFonts w:ascii="Times New Roman" w:hAnsi="Times New Roman" w:cs="Times New Roman"/>
                <w:sz w:val="20"/>
                <w:szCs w:val="20"/>
                <w:lang w:val="ka-GE"/>
              </w:rPr>
              <w:t xml:space="preserve"> </w:t>
            </w:r>
            <w:r w:rsidRPr="00330B09">
              <w:rPr>
                <w:rFonts w:cs="Sylfaen"/>
                <w:sz w:val="20"/>
                <w:szCs w:val="20"/>
                <w:lang w:val="ka-GE"/>
              </w:rPr>
              <w:t>შიგთავსი</w:t>
            </w:r>
            <w:r w:rsidRPr="00330B09">
              <w:rPr>
                <w:rFonts w:ascii="Times New Roman" w:hAnsi="Times New Roman" w:cs="Times New Roman"/>
                <w:sz w:val="20"/>
                <w:szCs w:val="20"/>
                <w:lang w:val="ka-GE"/>
              </w:rPr>
              <w:t xml:space="preserve"> (4 </w:t>
            </w:r>
            <w:r w:rsidRPr="00330B09">
              <w:rPr>
                <w:rFonts w:cs="Sylfaen"/>
                <w:sz w:val="20"/>
                <w:szCs w:val="20"/>
                <w:lang w:val="ka-GE"/>
              </w:rPr>
              <w:t>მგ</w:t>
            </w:r>
            <w:r w:rsidRPr="00330B09">
              <w:rPr>
                <w:rFonts w:ascii="Times New Roman" w:hAnsi="Times New Roman" w:cs="Times New Roman"/>
                <w:sz w:val="20"/>
                <w:szCs w:val="20"/>
                <w:lang w:val="ka-GE"/>
              </w:rPr>
              <w:t xml:space="preserve">) </w:t>
            </w:r>
            <w:r w:rsidRPr="00330B09">
              <w:rPr>
                <w:rFonts w:cs="Sylfaen"/>
                <w:sz w:val="20"/>
                <w:szCs w:val="20"/>
                <w:lang w:val="ka-GE"/>
              </w:rPr>
              <w:t>შეჰყავთ</w:t>
            </w:r>
            <w:r w:rsidRPr="00330B09">
              <w:rPr>
                <w:rFonts w:ascii="Times New Roman" w:hAnsi="Times New Roman" w:cs="Times New Roman"/>
                <w:sz w:val="20"/>
                <w:szCs w:val="20"/>
                <w:lang w:val="ka-GE"/>
              </w:rPr>
              <w:t xml:space="preserve"> </w:t>
            </w:r>
            <w:r w:rsidRPr="00330B09">
              <w:rPr>
                <w:rFonts w:cs="Sylfaen"/>
                <w:sz w:val="20"/>
                <w:szCs w:val="20"/>
                <w:lang w:val="ka-GE"/>
              </w:rPr>
              <w:t>მინიმუმ</w:t>
            </w:r>
            <w:r w:rsidRPr="00330B09">
              <w:rPr>
                <w:rFonts w:ascii="Times New Roman" w:hAnsi="Times New Roman" w:cs="Times New Roman"/>
                <w:sz w:val="20"/>
                <w:szCs w:val="20"/>
                <w:lang w:val="ka-GE"/>
              </w:rPr>
              <w:t xml:space="preserve"> 30 </w:t>
            </w:r>
            <w:r w:rsidRPr="00330B09">
              <w:rPr>
                <w:rFonts w:cs="Sylfaen"/>
                <w:sz w:val="20"/>
                <w:szCs w:val="20"/>
                <w:lang w:val="ka-GE"/>
              </w:rPr>
              <w:t>წამის</w:t>
            </w:r>
            <w:r w:rsidRPr="00330B09">
              <w:rPr>
                <w:rFonts w:ascii="Times New Roman" w:hAnsi="Times New Roman" w:cs="Times New Roman"/>
                <w:sz w:val="20"/>
                <w:szCs w:val="20"/>
                <w:lang w:val="ka-GE"/>
              </w:rPr>
              <w:t xml:space="preserve"> </w:t>
            </w:r>
            <w:r w:rsidRPr="00330B09">
              <w:rPr>
                <w:rFonts w:cs="Sylfaen"/>
                <w:sz w:val="20"/>
                <w:szCs w:val="20"/>
                <w:lang w:val="ka-GE"/>
              </w:rPr>
              <w:t>განმავლობაში</w:t>
            </w:r>
            <w:r w:rsidRPr="00330B09">
              <w:rPr>
                <w:rFonts w:ascii="Times New Roman" w:hAnsi="Times New Roman" w:cs="Times New Roman"/>
                <w:sz w:val="20"/>
                <w:szCs w:val="20"/>
                <w:lang w:val="ka-GE"/>
              </w:rPr>
              <w:t xml:space="preserve">, </w:t>
            </w:r>
            <w:r w:rsidRPr="00330B09">
              <w:rPr>
                <w:rFonts w:cs="Sylfaen"/>
                <w:sz w:val="20"/>
                <w:szCs w:val="20"/>
                <w:lang w:val="ka-GE"/>
              </w:rPr>
              <w:t>სასურველია</w:t>
            </w:r>
            <w:r w:rsidRPr="00330B09">
              <w:rPr>
                <w:rFonts w:ascii="Times New Roman" w:hAnsi="Times New Roman" w:cs="Times New Roman"/>
                <w:sz w:val="20"/>
                <w:szCs w:val="20"/>
                <w:lang w:val="ka-GE"/>
              </w:rPr>
              <w:t xml:space="preserve"> </w:t>
            </w:r>
            <w:r w:rsidRPr="00330B09">
              <w:rPr>
                <w:rFonts w:cs="Sylfaen"/>
                <w:sz w:val="20"/>
                <w:szCs w:val="20"/>
                <w:lang w:val="ka-GE"/>
              </w:rPr>
              <w:t>უფრო</w:t>
            </w:r>
            <w:r w:rsidRPr="00330B09">
              <w:rPr>
                <w:rFonts w:ascii="Times New Roman" w:hAnsi="Times New Roman" w:cs="Times New Roman"/>
                <w:sz w:val="20"/>
                <w:szCs w:val="20"/>
                <w:lang w:val="ka-GE"/>
              </w:rPr>
              <w:t xml:space="preserve"> </w:t>
            </w:r>
            <w:r w:rsidRPr="00330B09">
              <w:rPr>
                <w:rFonts w:cs="Sylfaen"/>
                <w:sz w:val="20"/>
                <w:szCs w:val="20"/>
                <w:lang w:val="ka-GE"/>
              </w:rPr>
              <w:t>დიდხანს</w:t>
            </w:r>
            <w:r w:rsidRPr="00330B09">
              <w:rPr>
                <w:rFonts w:ascii="Times New Roman" w:hAnsi="Times New Roman" w:cs="Times New Roman"/>
                <w:sz w:val="20"/>
                <w:szCs w:val="20"/>
                <w:lang w:val="ka-GE"/>
              </w:rPr>
              <w:t xml:space="preserve"> (2-</w:t>
            </w:r>
            <w:r w:rsidRPr="00330B09">
              <w:rPr>
                <w:rFonts w:cs="Sylfaen"/>
                <w:sz w:val="20"/>
                <w:szCs w:val="20"/>
                <w:lang w:val="ka-GE"/>
              </w:rPr>
              <w:t>დან</w:t>
            </w:r>
            <w:r w:rsidRPr="00330B09">
              <w:rPr>
                <w:rFonts w:ascii="Times New Roman" w:hAnsi="Times New Roman" w:cs="Times New Roman"/>
                <w:sz w:val="20"/>
                <w:szCs w:val="20"/>
                <w:lang w:val="ka-GE"/>
              </w:rPr>
              <w:t xml:space="preserve"> 5 </w:t>
            </w:r>
            <w:r w:rsidRPr="00330B09">
              <w:rPr>
                <w:rFonts w:cs="Sylfaen"/>
                <w:sz w:val="20"/>
                <w:szCs w:val="20"/>
                <w:lang w:val="ka-GE"/>
              </w:rPr>
              <w:t>წუთამდე</w:t>
            </w:r>
            <w:r w:rsidRPr="00330B09">
              <w:rPr>
                <w:rFonts w:ascii="Times New Roman" w:hAnsi="Times New Roman" w:cs="Times New Roman"/>
                <w:sz w:val="20"/>
                <w:szCs w:val="20"/>
                <w:lang w:val="ka-GE"/>
              </w:rPr>
              <w:t>).</w:t>
            </w:r>
          </w:p>
          <w:p w14:paraId="767E37B6" w14:textId="77777777" w:rsidR="006B57E5" w:rsidRPr="00330B09" w:rsidRDefault="006B57E5" w:rsidP="00450686">
            <w:pPr>
              <w:pStyle w:val="ListParagraph"/>
              <w:numPr>
                <w:ilvl w:val="0"/>
                <w:numId w:val="3"/>
              </w:numPr>
              <w:tabs>
                <w:tab w:val="left" w:pos="428"/>
              </w:tabs>
              <w:spacing w:after="0"/>
              <w:ind w:left="145" w:right="136" w:firstLine="0"/>
              <w:jc w:val="both"/>
              <w:rPr>
                <w:rFonts w:ascii="Times New Roman" w:hAnsi="Times New Roman" w:cs="Times New Roman"/>
                <w:sz w:val="20"/>
                <w:szCs w:val="20"/>
                <w:lang w:val="ka-GE"/>
              </w:rPr>
            </w:pPr>
            <w:r>
              <w:rPr>
                <w:rFonts w:cs="Times New Roman"/>
                <w:sz w:val="20"/>
                <w:szCs w:val="20"/>
                <w:lang w:val="ka-GE"/>
              </w:rPr>
              <w:t>ინტრამუსკულარულად</w:t>
            </w:r>
            <w:r w:rsidRPr="00330B09">
              <w:rPr>
                <w:rFonts w:ascii="Times New Roman" w:hAnsi="Times New Roman" w:cs="Times New Roman"/>
                <w:sz w:val="20"/>
                <w:szCs w:val="20"/>
                <w:lang w:val="ka-GE"/>
              </w:rPr>
              <w:t xml:space="preserve">: </w:t>
            </w:r>
            <w:r>
              <w:rPr>
                <w:rFonts w:cs="Times New Roman"/>
                <w:sz w:val="20"/>
                <w:szCs w:val="20"/>
                <w:lang w:val="ka-GE"/>
              </w:rPr>
              <w:t xml:space="preserve">გამოიყენება </w:t>
            </w:r>
            <w:r w:rsidRPr="00330B09">
              <w:rPr>
                <w:rFonts w:cs="Sylfaen"/>
                <w:sz w:val="20"/>
                <w:szCs w:val="20"/>
                <w:lang w:val="ka-GE"/>
              </w:rPr>
              <w:t>შპრიცის</w:t>
            </w:r>
            <w:r w:rsidRPr="00330B09">
              <w:rPr>
                <w:rFonts w:ascii="Times New Roman" w:hAnsi="Times New Roman" w:cs="Times New Roman"/>
                <w:sz w:val="20"/>
                <w:szCs w:val="20"/>
                <w:lang w:val="ka-GE"/>
              </w:rPr>
              <w:t xml:space="preserve"> </w:t>
            </w:r>
            <w:r w:rsidRPr="00330B09">
              <w:rPr>
                <w:rFonts w:cs="Sylfaen"/>
                <w:sz w:val="20"/>
                <w:szCs w:val="20"/>
                <w:lang w:val="ka-GE"/>
              </w:rPr>
              <w:t>განუზავებელი</w:t>
            </w:r>
            <w:r w:rsidRPr="00330B09">
              <w:rPr>
                <w:rFonts w:ascii="Times New Roman" w:hAnsi="Times New Roman" w:cs="Times New Roman"/>
                <w:sz w:val="20"/>
                <w:szCs w:val="20"/>
                <w:lang w:val="ka-GE"/>
              </w:rPr>
              <w:t xml:space="preserve"> </w:t>
            </w:r>
            <w:r w:rsidRPr="00330B09">
              <w:rPr>
                <w:rFonts w:cs="Sylfaen"/>
                <w:sz w:val="20"/>
                <w:szCs w:val="20"/>
                <w:lang w:val="ka-GE"/>
              </w:rPr>
              <w:t>შიგთავსი</w:t>
            </w:r>
            <w:r w:rsidRPr="00330B09">
              <w:rPr>
                <w:rFonts w:ascii="Times New Roman" w:hAnsi="Times New Roman" w:cs="Times New Roman"/>
                <w:sz w:val="20"/>
                <w:szCs w:val="20"/>
                <w:lang w:val="ka-GE"/>
              </w:rPr>
              <w:t xml:space="preserve"> (4 </w:t>
            </w:r>
            <w:r w:rsidRPr="00330B09">
              <w:rPr>
                <w:rFonts w:cs="Sylfaen"/>
                <w:sz w:val="20"/>
                <w:szCs w:val="20"/>
                <w:lang w:val="ka-GE"/>
              </w:rPr>
              <w:t>მგ</w:t>
            </w:r>
            <w:r w:rsidRPr="00330B09">
              <w:rPr>
                <w:rFonts w:ascii="Times New Roman" w:hAnsi="Times New Roman" w:cs="Times New Roman"/>
                <w:sz w:val="20"/>
                <w:szCs w:val="20"/>
                <w:lang w:val="ka-GE"/>
              </w:rPr>
              <w:t>).</w:t>
            </w:r>
          </w:p>
        </w:tc>
        <w:tc>
          <w:tcPr>
            <w:tcW w:w="3996" w:type="dxa"/>
            <w:gridSpan w:val="2"/>
            <w:vMerge w:val="restart"/>
            <w:tcBorders>
              <w:top w:val="nil"/>
              <w:left w:val="nil"/>
              <w:right w:val="single" w:sz="8" w:space="0" w:color="231F20"/>
            </w:tcBorders>
            <w:hideMark/>
          </w:tcPr>
          <w:p w14:paraId="632C4A75" w14:textId="77777777" w:rsidR="006B57E5" w:rsidRPr="00330B09" w:rsidRDefault="006B57E5" w:rsidP="005C3C52">
            <w:pPr>
              <w:spacing w:after="0"/>
              <w:ind w:left="147" w:right="133"/>
              <w:jc w:val="both"/>
              <w:rPr>
                <w:rFonts w:ascii="Times New Roman" w:hAnsi="Times New Roman" w:cs="Times New Roman"/>
                <w:sz w:val="20"/>
                <w:szCs w:val="20"/>
                <w:lang w:val="ka-GE"/>
              </w:rPr>
            </w:pPr>
            <w:r w:rsidRPr="00330B09">
              <w:rPr>
                <w:rFonts w:cs="Sylfaen"/>
                <w:sz w:val="20"/>
                <w:szCs w:val="20"/>
                <w:lang w:val="ka-GE"/>
              </w:rPr>
              <w:t>პრეპარატი</w:t>
            </w:r>
            <w:r w:rsidRPr="00330B09">
              <w:rPr>
                <w:rFonts w:ascii="Times New Roman" w:hAnsi="Times New Roman" w:cs="Times New Roman"/>
                <w:sz w:val="20"/>
                <w:szCs w:val="20"/>
                <w:lang w:val="ka-GE"/>
              </w:rPr>
              <w:t xml:space="preserve"> </w:t>
            </w:r>
            <w:r>
              <w:rPr>
                <w:rFonts w:cs="Sylfaen"/>
                <w:sz w:val="20"/>
                <w:szCs w:val="20"/>
                <w:lang w:val="ka-GE"/>
              </w:rPr>
              <w:t xml:space="preserve">შეყვანა ხდება </w:t>
            </w:r>
            <w:r w:rsidRPr="00330B09">
              <w:rPr>
                <w:rFonts w:cs="Sylfaen"/>
                <w:sz w:val="20"/>
                <w:szCs w:val="20"/>
                <w:lang w:val="ka-GE"/>
              </w:rPr>
              <w:t>დაუყოვნებლივ</w:t>
            </w:r>
            <w:r>
              <w:rPr>
                <w:rFonts w:cs="Sylfaen"/>
                <w:sz w:val="20"/>
                <w:szCs w:val="20"/>
                <w:lang w:val="ka-GE"/>
              </w:rPr>
              <w:t>,</w:t>
            </w:r>
            <w:r w:rsidRPr="00330B09">
              <w:rPr>
                <w:rFonts w:ascii="Times New Roman" w:hAnsi="Times New Roman" w:cs="Times New Roman"/>
                <w:sz w:val="20"/>
                <w:szCs w:val="20"/>
                <w:lang w:val="ka-GE"/>
              </w:rPr>
              <w:t xml:space="preserve">  </w:t>
            </w:r>
            <w:r w:rsidRPr="00330B09">
              <w:rPr>
                <w:rFonts w:cs="Sylfaen"/>
                <w:sz w:val="20"/>
                <w:szCs w:val="20"/>
                <w:lang w:val="ka-GE"/>
              </w:rPr>
              <w:t>ანესთეზიის</w:t>
            </w:r>
            <w:r w:rsidRPr="00330B09">
              <w:rPr>
                <w:rFonts w:ascii="Times New Roman" w:hAnsi="Times New Roman" w:cs="Times New Roman"/>
                <w:sz w:val="20"/>
                <w:szCs w:val="20"/>
                <w:lang w:val="ka-GE"/>
              </w:rPr>
              <w:t xml:space="preserve"> </w:t>
            </w:r>
            <w:r w:rsidRPr="00330B09">
              <w:rPr>
                <w:rFonts w:cs="Sylfaen"/>
                <w:sz w:val="20"/>
                <w:szCs w:val="20"/>
                <w:lang w:val="ka-GE"/>
              </w:rPr>
              <w:t>დაწყებამდე</w:t>
            </w:r>
            <w:r w:rsidRPr="00330B09">
              <w:rPr>
                <w:rFonts w:ascii="Times New Roman" w:hAnsi="Times New Roman" w:cs="Times New Roman"/>
                <w:sz w:val="20"/>
                <w:szCs w:val="20"/>
                <w:lang w:val="ka-GE"/>
              </w:rPr>
              <w:t xml:space="preserve"> </w:t>
            </w:r>
            <w:r w:rsidRPr="00330B09">
              <w:rPr>
                <w:rFonts w:cs="Sylfaen"/>
                <w:sz w:val="20"/>
                <w:szCs w:val="20"/>
                <w:lang w:val="ka-GE"/>
              </w:rPr>
              <w:t>ან</w:t>
            </w:r>
            <w:r w:rsidRPr="00330B09">
              <w:rPr>
                <w:rFonts w:ascii="Times New Roman" w:hAnsi="Times New Roman" w:cs="Times New Roman"/>
                <w:sz w:val="20"/>
                <w:szCs w:val="20"/>
                <w:lang w:val="ka-GE"/>
              </w:rPr>
              <w:t xml:space="preserve"> </w:t>
            </w:r>
            <w:r w:rsidRPr="00330B09">
              <w:rPr>
                <w:rFonts w:cs="Sylfaen"/>
                <w:sz w:val="20"/>
                <w:szCs w:val="20"/>
                <w:lang w:val="ka-GE"/>
              </w:rPr>
              <w:t>ოპერაციის</w:t>
            </w:r>
            <w:r w:rsidRPr="00330B09">
              <w:rPr>
                <w:rFonts w:ascii="Times New Roman" w:hAnsi="Times New Roman" w:cs="Times New Roman"/>
                <w:sz w:val="20"/>
                <w:szCs w:val="20"/>
                <w:lang w:val="ka-GE"/>
              </w:rPr>
              <w:t xml:space="preserve"> </w:t>
            </w:r>
            <w:r w:rsidRPr="00330B09">
              <w:rPr>
                <w:rFonts w:cs="Sylfaen"/>
                <w:sz w:val="20"/>
                <w:szCs w:val="20"/>
                <w:lang w:val="ka-GE"/>
              </w:rPr>
              <w:t>შემდგომ</w:t>
            </w:r>
            <w:r w:rsidRPr="00330B09">
              <w:rPr>
                <w:rFonts w:ascii="Times New Roman" w:hAnsi="Times New Roman" w:cs="Times New Roman"/>
                <w:sz w:val="20"/>
                <w:szCs w:val="20"/>
                <w:lang w:val="ka-GE"/>
              </w:rPr>
              <w:t xml:space="preserve"> </w:t>
            </w:r>
            <w:r w:rsidRPr="00330B09">
              <w:rPr>
                <w:rFonts w:cs="Sylfaen"/>
                <w:sz w:val="20"/>
                <w:szCs w:val="20"/>
                <w:lang w:val="ka-GE"/>
              </w:rPr>
              <w:t>პერიოდში</w:t>
            </w:r>
            <w:r w:rsidRPr="00330B09">
              <w:rPr>
                <w:rFonts w:ascii="Times New Roman" w:hAnsi="Times New Roman" w:cs="Times New Roman"/>
                <w:sz w:val="20"/>
                <w:szCs w:val="20"/>
                <w:lang w:val="ka-GE"/>
              </w:rPr>
              <w:t xml:space="preserve">, </w:t>
            </w:r>
            <w:r w:rsidRPr="00330B09">
              <w:rPr>
                <w:rFonts w:cs="Sylfaen"/>
                <w:sz w:val="20"/>
                <w:szCs w:val="20"/>
                <w:lang w:val="ka-GE"/>
              </w:rPr>
              <w:t>თუ</w:t>
            </w:r>
            <w:r w:rsidRPr="00330B09">
              <w:rPr>
                <w:rFonts w:ascii="Times New Roman" w:hAnsi="Times New Roman" w:cs="Times New Roman"/>
                <w:sz w:val="20"/>
                <w:szCs w:val="20"/>
                <w:lang w:val="ka-GE"/>
              </w:rPr>
              <w:t xml:space="preserve"> </w:t>
            </w:r>
            <w:r w:rsidRPr="00330B09">
              <w:rPr>
                <w:rFonts w:cs="Sylfaen"/>
                <w:sz w:val="20"/>
                <w:szCs w:val="20"/>
                <w:lang w:val="ka-GE"/>
              </w:rPr>
              <w:t>პაციენტს</w:t>
            </w:r>
            <w:r w:rsidRPr="00330B09">
              <w:rPr>
                <w:rFonts w:ascii="Times New Roman" w:hAnsi="Times New Roman" w:cs="Times New Roman"/>
                <w:sz w:val="20"/>
                <w:szCs w:val="20"/>
                <w:lang w:val="ka-GE"/>
              </w:rPr>
              <w:t xml:space="preserve"> </w:t>
            </w:r>
            <w:r w:rsidRPr="00330B09">
              <w:rPr>
                <w:rFonts w:cs="Sylfaen"/>
                <w:sz w:val="20"/>
                <w:szCs w:val="20"/>
                <w:lang w:val="ka-GE"/>
              </w:rPr>
              <w:t>არ</w:t>
            </w:r>
            <w:r w:rsidRPr="00330B09">
              <w:rPr>
                <w:rFonts w:ascii="Times New Roman" w:hAnsi="Times New Roman" w:cs="Times New Roman"/>
                <w:sz w:val="20"/>
                <w:szCs w:val="20"/>
                <w:lang w:val="ka-GE"/>
              </w:rPr>
              <w:t xml:space="preserve"> </w:t>
            </w:r>
            <w:r w:rsidRPr="00330B09">
              <w:rPr>
                <w:rFonts w:cs="Sylfaen"/>
                <w:sz w:val="20"/>
                <w:szCs w:val="20"/>
                <w:lang w:val="ka-GE"/>
              </w:rPr>
              <w:t>მიუღია</w:t>
            </w:r>
            <w:r w:rsidRPr="00330B09">
              <w:rPr>
                <w:rFonts w:ascii="Times New Roman" w:hAnsi="Times New Roman" w:cs="Times New Roman"/>
                <w:sz w:val="20"/>
                <w:szCs w:val="20"/>
                <w:lang w:val="ka-GE"/>
              </w:rPr>
              <w:t xml:space="preserve"> </w:t>
            </w:r>
            <w:r>
              <w:rPr>
                <w:rFonts w:cs="Sylfaen"/>
                <w:sz w:val="20"/>
                <w:szCs w:val="20"/>
                <w:lang w:val="ka-GE"/>
              </w:rPr>
              <w:t>საპროფილაქტიკოდ</w:t>
            </w:r>
            <w:r w:rsidRPr="00330B09">
              <w:rPr>
                <w:rFonts w:ascii="Times New Roman" w:hAnsi="Times New Roman" w:cs="Times New Roman"/>
                <w:sz w:val="20"/>
                <w:szCs w:val="20"/>
                <w:lang w:val="ka-GE"/>
              </w:rPr>
              <w:t xml:space="preserve"> </w:t>
            </w:r>
            <w:r w:rsidRPr="00330B09">
              <w:rPr>
                <w:rFonts w:cs="Sylfaen"/>
                <w:sz w:val="20"/>
                <w:szCs w:val="20"/>
                <w:lang w:val="ka-GE"/>
              </w:rPr>
              <w:t>ღებინების საწინააღმდეგო</w:t>
            </w:r>
            <w:r w:rsidRPr="00330B09">
              <w:rPr>
                <w:rFonts w:ascii="Times New Roman" w:hAnsi="Times New Roman" w:cs="Times New Roman"/>
                <w:sz w:val="20"/>
                <w:szCs w:val="20"/>
                <w:lang w:val="ka-GE"/>
              </w:rPr>
              <w:t xml:space="preserve"> </w:t>
            </w:r>
            <w:r w:rsidRPr="00330B09">
              <w:rPr>
                <w:rFonts w:cs="Sylfaen"/>
                <w:sz w:val="20"/>
                <w:szCs w:val="20"/>
                <w:lang w:val="ka-GE"/>
              </w:rPr>
              <w:t>საშუალებები</w:t>
            </w:r>
            <w:r w:rsidRPr="00330B09">
              <w:rPr>
                <w:rFonts w:ascii="Times New Roman" w:hAnsi="Times New Roman" w:cs="Times New Roman"/>
                <w:sz w:val="20"/>
                <w:szCs w:val="20"/>
                <w:lang w:val="ka-GE"/>
              </w:rPr>
              <w:t xml:space="preserve"> </w:t>
            </w:r>
            <w:r w:rsidRPr="00330B09">
              <w:rPr>
                <w:rFonts w:cs="Sylfaen"/>
                <w:sz w:val="20"/>
                <w:szCs w:val="20"/>
                <w:lang w:val="ka-GE"/>
              </w:rPr>
              <w:t>და</w:t>
            </w:r>
            <w:r w:rsidRPr="00330B09">
              <w:rPr>
                <w:rFonts w:ascii="Times New Roman" w:hAnsi="Times New Roman" w:cs="Times New Roman"/>
                <w:sz w:val="20"/>
                <w:szCs w:val="20"/>
                <w:lang w:val="ka-GE"/>
              </w:rPr>
              <w:t xml:space="preserve"> </w:t>
            </w:r>
            <w:r w:rsidRPr="00330B09">
              <w:rPr>
                <w:rFonts w:cs="Sylfaen"/>
                <w:sz w:val="20"/>
                <w:szCs w:val="20"/>
                <w:lang w:val="ka-GE"/>
              </w:rPr>
              <w:t>გულისრევა</w:t>
            </w:r>
            <w:r w:rsidRPr="00330B09">
              <w:rPr>
                <w:rFonts w:ascii="Times New Roman" w:hAnsi="Times New Roman" w:cs="Times New Roman"/>
                <w:sz w:val="20"/>
                <w:szCs w:val="20"/>
                <w:lang w:val="ka-GE"/>
              </w:rPr>
              <w:t xml:space="preserve"> </w:t>
            </w:r>
            <w:r w:rsidRPr="00330B09">
              <w:rPr>
                <w:rFonts w:cs="Sylfaen"/>
                <w:sz w:val="20"/>
                <w:szCs w:val="20"/>
                <w:lang w:val="ka-GE"/>
              </w:rPr>
              <w:t>და</w:t>
            </w:r>
            <w:r w:rsidRPr="00330B09">
              <w:rPr>
                <w:rFonts w:ascii="Times New Roman" w:hAnsi="Times New Roman" w:cs="Times New Roman"/>
                <w:sz w:val="20"/>
                <w:szCs w:val="20"/>
                <w:lang w:val="ka-GE"/>
              </w:rPr>
              <w:t>/</w:t>
            </w:r>
            <w:r w:rsidRPr="00330B09">
              <w:rPr>
                <w:rFonts w:cs="Sylfaen"/>
                <w:sz w:val="20"/>
                <w:szCs w:val="20"/>
                <w:lang w:val="ka-GE"/>
              </w:rPr>
              <w:t>ან</w:t>
            </w:r>
            <w:r w:rsidRPr="00330B09">
              <w:rPr>
                <w:rFonts w:ascii="Times New Roman" w:hAnsi="Times New Roman" w:cs="Times New Roman"/>
                <w:sz w:val="20"/>
                <w:szCs w:val="20"/>
                <w:lang w:val="ka-GE"/>
              </w:rPr>
              <w:t xml:space="preserve"> </w:t>
            </w:r>
            <w:r w:rsidRPr="00330B09">
              <w:rPr>
                <w:rFonts w:cs="Sylfaen"/>
                <w:sz w:val="20"/>
                <w:szCs w:val="20"/>
                <w:lang w:val="ka-GE"/>
              </w:rPr>
              <w:t>ღებინება</w:t>
            </w:r>
            <w:r w:rsidRPr="00330B09">
              <w:rPr>
                <w:rFonts w:ascii="Times New Roman" w:hAnsi="Times New Roman" w:cs="Times New Roman"/>
                <w:sz w:val="20"/>
                <w:szCs w:val="20"/>
                <w:lang w:val="ka-GE"/>
              </w:rPr>
              <w:t xml:space="preserve"> </w:t>
            </w:r>
            <w:r w:rsidRPr="00330B09">
              <w:rPr>
                <w:rFonts w:cs="Sylfaen"/>
                <w:sz w:val="20"/>
                <w:szCs w:val="20"/>
                <w:lang w:val="ka-GE"/>
              </w:rPr>
              <w:t>განვითარდა</w:t>
            </w:r>
            <w:r w:rsidRPr="00330B09">
              <w:rPr>
                <w:rFonts w:ascii="Times New Roman" w:hAnsi="Times New Roman" w:cs="Times New Roman"/>
                <w:sz w:val="20"/>
                <w:szCs w:val="20"/>
                <w:lang w:val="ka-GE"/>
              </w:rPr>
              <w:t xml:space="preserve"> </w:t>
            </w:r>
            <w:r w:rsidRPr="00330B09">
              <w:rPr>
                <w:rFonts w:cs="Sylfaen"/>
                <w:sz w:val="20"/>
                <w:szCs w:val="20"/>
                <w:lang w:val="ka-GE"/>
              </w:rPr>
              <w:t>ოპერაციიდან</w:t>
            </w:r>
            <w:r w:rsidRPr="00330B09">
              <w:rPr>
                <w:rFonts w:ascii="Times New Roman" w:hAnsi="Times New Roman" w:cs="Times New Roman"/>
                <w:sz w:val="20"/>
                <w:szCs w:val="20"/>
                <w:lang w:val="ka-GE"/>
              </w:rPr>
              <w:t xml:space="preserve"> 2 </w:t>
            </w:r>
            <w:r w:rsidRPr="00330B09">
              <w:rPr>
                <w:rFonts w:cs="Sylfaen"/>
                <w:sz w:val="20"/>
                <w:szCs w:val="20"/>
                <w:lang w:val="ka-GE"/>
              </w:rPr>
              <w:t>საათის</w:t>
            </w:r>
            <w:r w:rsidRPr="00330B09">
              <w:rPr>
                <w:rFonts w:ascii="Times New Roman" w:hAnsi="Times New Roman" w:cs="Times New Roman"/>
                <w:sz w:val="20"/>
                <w:szCs w:val="20"/>
                <w:lang w:val="ka-GE"/>
              </w:rPr>
              <w:t xml:space="preserve"> </w:t>
            </w:r>
            <w:r w:rsidRPr="00330B09">
              <w:rPr>
                <w:rFonts w:cs="Sylfaen"/>
                <w:sz w:val="20"/>
                <w:szCs w:val="20"/>
                <w:lang w:val="ka-GE"/>
              </w:rPr>
              <w:t>განმავლობაში</w:t>
            </w:r>
            <w:r w:rsidRPr="00330B09">
              <w:rPr>
                <w:rFonts w:ascii="Times New Roman" w:hAnsi="Times New Roman" w:cs="Times New Roman"/>
                <w:sz w:val="20"/>
                <w:szCs w:val="20"/>
                <w:lang w:val="ka-GE"/>
              </w:rPr>
              <w:t>.</w:t>
            </w:r>
          </w:p>
        </w:tc>
      </w:tr>
      <w:tr w:rsidR="006B57E5" w:rsidRPr="00330B09" w14:paraId="081BDF02" w14:textId="77777777" w:rsidTr="00450686">
        <w:trPr>
          <w:trHeight w:val="331"/>
        </w:trPr>
        <w:tc>
          <w:tcPr>
            <w:tcW w:w="1980" w:type="dxa"/>
            <w:gridSpan w:val="2"/>
            <w:tcBorders>
              <w:top w:val="single" w:sz="4" w:space="0" w:color="auto"/>
              <w:left w:val="single" w:sz="8" w:space="0" w:color="231F20"/>
              <w:bottom w:val="single" w:sz="8" w:space="0" w:color="231F20"/>
              <w:right w:val="single" w:sz="8" w:space="0" w:color="231F20"/>
            </w:tcBorders>
            <w:hideMark/>
          </w:tcPr>
          <w:p w14:paraId="438CB6CA" w14:textId="77777777" w:rsidR="006B57E5" w:rsidRPr="00330B09" w:rsidRDefault="006B57E5" w:rsidP="00450686">
            <w:pPr>
              <w:spacing w:after="0"/>
              <w:ind w:left="142" w:right="127"/>
              <w:jc w:val="both"/>
              <w:rPr>
                <w:rFonts w:ascii="Times New Roman" w:hAnsi="Times New Roman" w:cs="Times New Roman"/>
                <w:sz w:val="20"/>
                <w:szCs w:val="20"/>
                <w:lang w:val="ka-GE"/>
              </w:rPr>
            </w:pPr>
            <w:r w:rsidRPr="00330B09">
              <w:rPr>
                <w:rFonts w:ascii="Times New Roman" w:hAnsi="Times New Roman" w:cs="Times New Roman"/>
                <w:sz w:val="20"/>
                <w:szCs w:val="20"/>
                <w:lang w:val="ka-GE"/>
              </w:rPr>
              <w:t xml:space="preserve">1 </w:t>
            </w:r>
            <w:r w:rsidRPr="00330B09">
              <w:rPr>
                <w:rFonts w:cs="Sylfaen"/>
                <w:sz w:val="20"/>
                <w:szCs w:val="20"/>
                <w:lang w:val="ka-GE"/>
              </w:rPr>
              <w:t>თვიდან</w:t>
            </w:r>
            <w:r w:rsidRPr="00330B09">
              <w:rPr>
                <w:rFonts w:ascii="Times New Roman" w:hAnsi="Times New Roman" w:cs="Times New Roman"/>
                <w:sz w:val="20"/>
                <w:szCs w:val="20"/>
                <w:lang w:val="ka-GE"/>
              </w:rPr>
              <w:t xml:space="preserve"> 12 </w:t>
            </w:r>
            <w:r w:rsidRPr="00330B09">
              <w:rPr>
                <w:rFonts w:cs="Sylfaen"/>
                <w:sz w:val="20"/>
                <w:szCs w:val="20"/>
                <w:lang w:val="ka-GE"/>
              </w:rPr>
              <w:t>წლამდე</w:t>
            </w:r>
            <w:r w:rsidRPr="00330B09">
              <w:rPr>
                <w:rFonts w:ascii="Times New Roman" w:hAnsi="Times New Roman" w:cs="Times New Roman"/>
                <w:sz w:val="20"/>
                <w:szCs w:val="20"/>
                <w:lang w:val="ka-GE"/>
              </w:rPr>
              <w:t xml:space="preserve"> </w:t>
            </w:r>
            <w:r w:rsidRPr="00330B09">
              <w:rPr>
                <w:rFonts w:cs="Sylfaen"/>
                <w:sz w:val="20"/>
                <w:szCs w:val="20"/>
                <w:lang w:val="ka-GE"/>
              </w:rPr>
              <w:t>ასაკის</w:t>
            </w:r>
            <w:r w:rsidRPr="00330B09">
              <w:rPr>
                <w:rFonts w:ascii="Times New Roman" w:hAnsi="Times New Roman" w:cs="Times New Roman"/>
                <w:sz w:val="20"/>
                <w:szCs w:val="20"/>
                <w:lang w:val="ka-GE"/>
              </w:rPr>
              <w:t xml:space="preserve"> </w:t>
            </w:r>
            <w:r w:rsidRPr="00330B09">
              <w:rPr>
                <w:rFonts w:cs="Sylfaen"/>
                <w:sz w:val="20"/>
                <w:szCs w:val="20"/>
                <w:lang w:val="ka-GE"/>
              </w:rPr>
              <w:t>პედიატრიული</w:t>
            </w:r>
            <w:r w:rsidRPr="00330B09">
              <w:rPr>
                <w:rFonts w:ascii="Times New Roman" w:hAnsi="Times New Roman" w:cs="Times New Roman"/>
                <w:sz w:val="20"/>
                <w:szCs w:val="20"/>
                <w:lang w:val="ka-GE"/>
              </w:rPr>
              <w:t xml:space="preserve"> </w:t>
            </w:r>
            <w:r w:rsidRPr="00330B09">
              <w:rPr>
                <w:rFonts w:cs="Sylfaen"/>
                <w:sz w:val="20"/>
                <w:szCs w:val="20"/>
                <w:lang w:val="ka-GE"/>
              </w:rPr>
              <w:lastRenderedPageBreak/>
              <w:t>პაციენტები</w:t>
            </w:r>
            <w:r w:rsidRPr="00330B09">
              <w:rPr>
                <w:rFonts w:ascii="Times New Roman" w:hAnsi="Times New Roman" w:cs="Times New Roman"/>
                <w:sz w:val="20"/>
                <w:szCs w:val="20"/>
                <w:lang w:val="ka-GE"/>
              </w:rPr>
              <w:t xml:space="preserve">, </w:t>
            </w:r>
            <w:r>
              <w:rPr>
                <w:rFonts w:cs="Times New Roman"/>
                <w:sz w:val="20"/>
                <w:szCs w:val="20"/>
                <w:lang w:val="ka-GE"/>
              </w:rPr>
              <w:t xml:space="preserve">და </w:t>
            </w:r>
            <w:r w:rsidRPr="00330B09">
              <w:rPr>
                <w:rFonts w:cs="Sylfaen"/>
                <w:sz w:val="20"/>
                <w:szCs w:val="20"/>
                <w:lang w:val="ka-GE"/>
              </w:rPr>
              <w:t>რომელთა</w:t>
            </w:r>
            <w:r w:rsidRPr="00330B09">
              <w:rPr>
                <w:rFonts w:ascii="Times New Roman" w:hAnsi="Times New Roman" w:cs="Times New Roman"/>
                <w:sz w:val="20"/>
                <w:szCs w:val="20"/>
                <w:lang w:val="ka-GE"/>
              </w:rPr>
              <w:t xml:space="preserve"> </w:t>
            </w:r>
            <w:r w:rsidRPr="00330B09">
              <w:rPr>
                <w:rFonts w:cs="Sylfaen"/>
                <w:sz w:val="20"/>
                <w:szCs w:val="20"/>
                <w:lang w:val="ka-GE"/>
              </w:rPr>
              <w:t>წონა</w:t>
            </w:r>
            <w:r w:rsidRPr="00330B09">
              <w:rPr>
                <w:rFonts w:ascii="Times New Roman" w:hAnsi="Times New Roman" w:cs="Times New Roman"/>
                <w:sz w:val="20"/>
                <w:szCs w:val="20"/>
                <w:lang w:val="ka-GE"/>
              </w:rPr>
              <w:t xml:space="preserve"> 40 </w:t>
            </w:r>
            <w:r w:rsidRPr="00330B09">
              <w:rPr>
                <w:rFonts w:cs="Sylfaen"/>
                <w:sz w:val="20"/>
                <w:szCs w:val="20"/>
                <w:lang w:val="ka-GE"/>
              </w:rPr>
              <w:t>კგ</w:t>
            </w:r>
            <w:r w:rsidRPr="00330B09">
              <w:rPr>
                <w:rFonts w:ascii="Times New Roman" w:hAnsi="Times New Roman" w:cs="Times New Roman"/>
                <w:sz w:val="20"/>
                <w:szCs w:val="20"/>
                <w:lang w:val="ka-GE"/>
              </w:rPr>
              <w:t>-</w:t>
            </w:r>
            <w:r w:rsidRPr="00330B09">
              <w:rPr>
                <w:rFonts w:cs="Sylfaen"/>
                <w:sz w:val="20"/>
                <w:szCs w:val="20"/>
                <w:lang w:val="ka-GE"/>
              </w:rPr>
              <w:t>ზე</w:t>
            </w:r>
            <w:r w:rsidRPr="00330B09">
              <w:rPr>
                <w:rFonts w:ascii="Times New Roman" w:hAnsi="Times New Roman" w:cs="Times New Roman"/>
                <w:sz w:val="20"/>
                <w:szCs w:val="20"/>
                <w:lang w:val="ka-GE"/>
              </w:rPr>
              <w:t xml:space="preserve"> </w:t>
            </w:r>
            <w:r w:rsidRPr="00330B09">
              <w:rPr>
                <w:rFonts w:cs="Sylfaen"/>
                <w:sz w:val="20"/>
                <w:szCs w:val="20"/>
                <w:lang w:val="ka-GE"/>
              </w:rPr>
              <w:t>მეტია</w:t>
            </w:r>
          </w:p>
        </w:tc>
        <w:tc>
          <w:tcPr>
            <w:tcW w:w="1840" w:type="dxa"/>
            <w:gridSpan w:val="2"/>
            <w:tcBorders>
              <w:top w:val="single" w:sz="4" w:space="0" w:color="auto"/>
              <w:left w:val="nil"/>
              <w:bottom w:val="single" w:sz="8" w:space="0" w:color="231F20"/>
              <w:right w:val="single" w:sz="8" w:space="0" w:color="231F20"/>
            </w:tcBorders>
            <w:hideMark/>
          </w:tcPr>
          <w:p w14:paraId="084D34D5" w14:textId="77777777" w:rsidR="006B57E5" w:rsidRPr="00330B09" w:rsidRDefault="006B57E5" w:rsidP="0083206A">
            <w:pPr>
              <w:spacing w:after="0"/>
              <w:jc w:val="center"/>
              <w:rPr>
                <w:rFonts w:cs="Times New Roman"/>
                <w:sz w:val="20"/>
                <w:szCs w:val="20"/>
                <w:lang w:val="ka-GE"/>
              </w:rPr>
            </w:pPr>
            <w:r w:rsidRPr="00330B09">
              <w:rPr>
                <w:rFonts w:ascii="Times New Roman" w:hAnsi="Times New Roman" w:cs="Times New Roman"/>
                <w:sz w:val="20"/>
                <w:szCs w:val="20"/>
                <w:lang w:val="ka-GE"/>
              </w:rPr>
              <w:lastRenderedPageBreak/>
              <w:t>4 </w:t>
            </w:r>
            <w:r w:rsidRPr="00330B09">
              <w:rPr>
                <w:rFonts w:cs="Times New Roman"/>
                <w:sz w:val="20"/>
                <w:szCs w:val="20"/>
                <w:lang w:val="ka-GE"/>
              </w:rPr>
              <w:t>მგ</w:t>
            </w:r>
          </w:p>
        </w:tc>
        <w:tc>
          <w:tcPr>
            <w:tcW w:w="3402" w:type="dxa"/>
            <w:gridSpan w:val="2"/>
            <w:tcBorders>
              <w:top w:val="single" w:sz="4" w:space="0" w:color="auto"/>
              <w:left w:val="nil"/>
              <w:bottom w:val="single" w:sz="8" w:space="0" w:color="231F20"/>
              <w:right w:val="single" w:sz="8" w:space="0" w:color="231F20"/>
            </w:tcBorders>
            <w:hideMark/>
          </w:tcPr>
          <w:p w14:paraId="14F093DE" w14:textId="77777777" w:rsidR="006B57E5" w:rsidRPr="00330B09" w:rsidRDefault="006B57E5" w:rsidP="00450686">
            <w:pPr>
              <w:spacing w:after="0"/>
              <w:ind w:left="145" w:right="136"/>
              <w:jc w:val="both"/>
              <w:rPr>
                <w:rFonts w:ascii="Times New Roman" w:hAnsi="Times New Roman" w:cs="Times New Roman"/>
                <w:sz w:val="20"/>
                <w:szCs w:val="20"/>
                <w:lang w:val="ka-GE"/>
              </w:rPr>
            </w:pPr>
            <w:r w:rsidRPr="00330B09">
              <w:rPr>
                <w:rFonts w:cs="Sylfaen"/>
                <w:sz w:val="20"/>
                <w:szCs w:val="20"/>
                <w:lang w:val="ka-GE"/>
              </w:rPr>
              <w:t>ინტრავენურად</w:t>
            </w:r>
            <w:r w:rsidRPr="00330B09">
              <w:rPr>
                <w:rFonts w:ascii="Times New Roman" w:hAnsi="Times New Roman" w:cs="Times New Roman"/>
                <w:sz w:val="20"/>
                <w:szCs w:val="20"/>
                <w:lang w:val="ka-GE"/>
              </w:rPr>
              <w:t xml:space="preserve"> </w:t>
            </w:r>
            <w:r w:rsidRPr="00330B09">
              <w:rPr>
                <w:rFonts w:cs="Sylfaen"/>
                <w:sz w:val="20"/>
                <w:szCs w:val="20"/>
                <w:lang w:val="ka-GE"/>
              </w:rPr>
              <w:t>შეჰყავთ</w:t>
            </w:r>
            <w:r w:rsidRPr="00330B09">
              <w:rPr>
                <w:rFonts w:ascii="Times New Roman" w:hAnsi="Times New Roman" w:cs="Times New Roman"/>
                <w:sz w:val="20"/>
                <w:szCs w:val="20"/>
                <w:lang w:val="ka-GE"/>
              </w:rPr>
              <w:t xml:space="preserve"> </w:t>
            </w:r>
            <w:r w:rsidRPr="00330B09">
              <w:rPr>
                <w:rFonts w:cs="Sylfaen"/>
                <w:sz w:val="20"/>
                <w:szCs w:val="20"/>
                <w:lang w:val="ka-GE"/>
              </w:rPr>
              <w:t>მინიმუმ</w:t>
            </w:r>
            <w:r w:rsidRPr="00330B09">
              <w:rPr>
                <w:rFonts w:ascii="Times New Roman" w:hAnsi="Times New Roman" w:cs="Times New Roman"/>
                <w:sz w:val="20"/>
                <w:szCs w:val="20"/>
                <w:lang w:val="ka-GE"/>
              </w:rPr>
              <w:t xml:space="preserve"> 30 </w:t>
            </w:r>
            <w:r w:rsidRPr="00330B09">
              <w:rPr>
                <w:rFonts w:cs="Sylfaen"/>
                <w:sz w:val="20"/>
                <w:szCs w:val="20"/>
                <w:lang w:val="ka-GE"/>
              </w:rPr>
              <w:t>წამის</w:t>
            </w:r>
            <w:r w:rsidRPr="00330B09">
              <w:rPr>
                <w:rFonts w:ascii="Times New Roman" w:hAnsi="Times New Roman" w:cs="Times New Roman"/>
                <w:sz w:val="20"/>
                <w:szCs w:val="20"/>
                <w:lang w:val="ka-GE"/>
              </w:rPr>
              <w:t xml:space="preserve"> </w:t>
            </w:r>
            <w:r w:rsidRPr="00330B09">
              <w:rPr>
                <w:rFonts w:cs="Sylfaen"/>
                <w:sz w:val="20"/>
                <w:szCs w:val="20"/>
                <w:lang w:val="ka-GE"/>
              </w:rPr>
              <w:t>განმავლობაში</w:t>
            </w:r>
            <w:r w:rsidRPr="00330B09">
              <w:rPr>
                <w:rFonts w:ascii="Times New Roman" w:hAnsi="Times New Roman" w:cs="Times New Roman"/>
                <w:sz w:val="20"/>
                <w:szCs w:val="20"/>
                <w:lang w:val="ka-GE"/>
              </w:rPr>
              <w:t xml:space="preserve"> </w:t>
            </w:r>
            <w:r w:rsidRPr="00330B09">
              <w:rPr>
                <w:rFonts w:cs="Sylfaen"/>
                <w:sz w:val="20"/>
                <w:szCs w:val="20"/>
                <w:lang w:val="ka-GE"/>
              </w:rPr>
              <w:t>და</w:t>
            </w:r>
            <w:r w:rsidRPr="00330B09">
              <w:rPr>
                <w:rFonts w:ascii="Times New Roman" w:hAnsi="Times New Roman" w:cs="Times New Roman"/>
                <w:sz w:val="20"/>
                <w:szCs w:val="20"/>
                <w:lang w:val="ka-GE"/>
              </w:rPr>
              <w:t xml:space="preserve"> </w:t>
            </w:r>
            <w:r w:rsidRPr="00330B09">
              <w:rPr>
                <w:rFonts w:cs="Sylfaen"/>
                <w:sz w:val="20"/>
                <w:szCs w:val="20"/>
                <w:lang w:val="ka-GE"/>
              </w:rPr>
              <w:lastRenderedPageBreak/>
              <w:t>სასურველია</w:t>
            </w:r>
            <w:r w:rsidRPr="00330B09">
              <w:rPr>
                <w:rFonts w:ascii="Times New Roman" w:hAnsi="Times New Roman" w:cs="Times New Roman"/>
                <w:sz w:val="20"/>
                <w:szCs w:val="20"/>
                <w:lang w:val="ka-GE"/>
              </w:rPr>
              <w:t xml:space="preserve"> </w:t>
            </w:r>
            <w:r w:rsidRPr="00330B09">
              <w:rPr>
                <w:rFonts w:cs="Sylfaen"/>
                <w:sz w:val="20"/>
                <w:szCs w:val="20"/>
                <w:lang w:val="ka-GE"/>
              </w:rPr>
              <w:t>უფრო</w:t>
            </w:r>
            <w:r w:rsidRPr="00330B09">
              <w:rPr>
                <w:rFonts w:ascii="Times New Roman" w:hAnsi="Times New Roman" w:cs="Times New Roman"/>
                <w:sz w:val="20"/>
                <w:szCs w:val="20"/>
                <w:lang w:val="ka-GE"/>
              </w:rPr>
              <w:t xml:space="preserve"> </w:t>
            </w:r>
            <w:r w:rsidRPr="00330B09">
              <w:rPr>
                <w:rFonts w:cs="Sylfaen"/>
                <w:sz w:val="20"/>
                <w:szCs w:val="20"/>
                <w:lang w:val="ka-GE"/>
              </w:rPr>
              <w:t>დიდხანს</w:t>
            </w:r>
            <w:r w:rsidRPr="00330B09">
              <w:rPr>
                <w:rFonts w:ascii="Times New Roman" w:hAnsi="Times New Roman" w:cs="Times New Roman"/>
                <w:sz w:val="20"/>
                <w:szCs w:val="20"/>
                <w:lang w:val="ka-GE"/>
              </w:rPr>
              <w:t xml:space="preserve"> (2-</w:t>
            </w:r>
            <w:r w:rsidRPr="00330B09">
              <w:rPr>
                <w:rFonts w:cs="Sylfaen"/>
                <w:sz w:val="20"/>
                <w:szCs w:val="20"/>
                <w:lang w:val="ka-GE"/>
              </w:rPr>
              <w:t>დან</w:t>
            </w:r>
            <w:r w:rsidRPr="00330B09">
              <w:rPr>
                <w:rFonts w:ascii="Times New Roman" w:hAnsi="Times New Roman" w:cs="Times New Roman"/>
                <w:sz w:val="20"/>
                <w:szCs w:val="20"/>
                <w:lang w:val="ka-GE"/>
              </w:rPr>
              <w:t xml:space="preserve"> 5 </w:t>
            </w:r>
            <w:r w:rsidRPr="00330B09">
              <w:rPr>
                <w:rFonts w:cs="Sylfaen"/>
                <w:sz w:val="20"/>
                <w:szCs w:val="20"/>
                <w:lang w:val="ka-GE"/>
              </w:rPr>
              <w:t>წუთამდე</w:t>
            </w:r>
            <w:r w:rsidRPr="00330B09">
              <w:rPr>
                <w:rFonts w:ascii="Times New Roman" w:hAnsi="Times New Roman" w:cs="Times New Roman"/>
                <w:sz w:val="20"/>
                <w:szCs w:val="20"/>
                <w:lang w:val="ka-GE"/>
              </w:rPr>
              <w:t>).</w:t>
            </w:r>
          </w:p>
        </w:tc>
        <w:tc>
          <w:tcPr>
            <w:tcW w:w="3996" w:type="dxa"/>
            <w:gridSpan w:val="2"/>
            <w:vMerge/>
            <w:tcBorders>
              <w:left w:val="nil"/>
              <w:right w:val="single" w:sz="8" w:space="0" w:color="231F20"/>
            </w:tcBorders>
            <w:vAlign w:val="center"/>
            <w:hideMark/>
          </w:tcPr>
          <w:p w14:paraId="6C655FDF" w14:textId="77777777" w:rsidR="006B57E5" w:rsidRPr="00330B09" w:rsidRDefault="006B57E5" w:rsidP="005C3C52">
            <w:pPr>
              <w:spacing w:after="0"/>
              <w:jc w:val="both"/>
              <w:rPr>
                <w:rFonts w:ascii="Times New Roman" w:hAnsi="Times New Roman" w:cs="Times New Roman"/>
                <w:sz w:val="20"/>
                <w:szCs w:val="20"/>
                <w:lang w:val="ka-GE"/>
              </w:rPr>
            </w:pPr>
          </w:p>
        </w:tc>
      </w:tr>
      <w:tr w:rsidR="006B57E5" w:rsidRPr="00330B09" w14:paraId="5972D3EA" w14:textId="77777777" w:rsidTr="00450686">
        <w:trPr>
          <w:trHeight w:val="638"/>
        </w:trPr>
        <w:tc>
          <w:tcPr>
            <w:tcW w:w="1980" w:type="dxa"/>
            <w:gridSpan w:val="2"/>
            <w:tcBorders>
              <w:top w:val="nil"/>
              <w:left w:val="single" w:sz="8" w:space="0" w:color="231F20"/>
              <w:bottom w:val="nil"/>
              <w:right w:val="single" w:sz="8" w:space="0" w:color="231F20"/>
            </w:tcBorders>
            <w:hideMark/>
          </w:tcPr>
          <w:p w14:paraId="3046FFE8" w14:textId="77777777" w:rsidR="006B57E5" w:rsidRPr="00330B09" w:rsidRDefault="006B57E5" w:rsidP="00450686">
            <w:pPr>
              <w:spacing w:after="0"/>
              <w:ind w:left="142" w:right="127"/>
              <w:jc w:val="both"/>
              <w:rPr>
                <w:rFonts w:ascii="Times New Roman" w:hAnsi="Times New Roman" w:cs="Times New Roman"/>
                <w:sz w:val="20"/>
                <w:szCs w:val="20"/>
                <w:lang w:val="ka-GE"/>
              </w:rPr>
            </w:pPr>
            <w:r w:rsidRPr="00330B09">
              <w:rPr>
                <w:rFonts w:cs="Sylfaen"/>
                <w:sz w:val="20"/>
                <w:szCs w:val="20"/>
                <w:lang w:val="ka-GE"/>
              </w:rPr>
              <w:t>პედიატრიული</w:t>
            </w:r>
            <w:r w:rsidRPr="00330B09">
              <w:rPr>
                <w:rFonts w:ascii="Times New Roman" w:hAnsi="Times New Roman" w:cs="Times New Roman"/>
                <w:sz w:val="20"/>
                <w:szCs w:val="20"/>
                <w:lang w:val="ka-GE"/>
              </w:rPr>
              <w:t xml:space="preserve"> </w:t>
            </w:r>
            <w:r w:rsidRPr="00330B09">
              <w:rPr>
                <w:rFonts w:cs="Sylfaen"/>
                <w:sz w:val="20"/>
                <w:szCs w:val="20"/>
                <w:lang w:val="ka-GE"/>
              </w:rPr>
              <w:t>პაციენტები</w:t>
            </w:r>
            <w:r w:rsidRPr="00330B09">
              <w:rPr>
                <w:rFonts w:ascii="Times New Roman" w:hAnsi="Times New Roman" w:cs="Times New Roman"/>
                <w:sz w:val="20"/>
                <w:szCs w:val="20"/>
                <w:lang w:val="ka-GE"/>
              </w:rPr>
              <w:t xml:space="preserve"> 1 </w:t>
            </w:r>
            <w:r w:rsidRPr="00330B09">
              <w:rPr>
                <w:rFonts w:cs="Sylfaen"/>
                <w:sz w:val="20"/>
                <w:szCs w:val="20"/>
                <w:lang w:val="ka-GE"/>
              </w:rPr>
              <w:t>თვიდან</w:t>
            </w:r>
            <w:r w:rsidRPr="00330B09">
              <w:rPr>
                <w:rFonts w:ascii="Times New Roman" w:hAnsi="Times New Roman" w:cs="Times New Roman"/>
                <w:sz w:val="20"/>
                <w:szCs w:val="20"/>
                <w:lang w:val="ka-GE"/>
              </w:rPr>
              <w:t xml:space="preserve"> 12 </w:t>
            </w:r>
            <w:r w:rsidRPr="00330B09">
              <w:rPr>
                <w:rFonts w:cs="Sylfaen"/>
                <w:sz w:val="20"/>
                <w:szCs w:val="20"/>
                <w:lang w:val="ka-GE"/>
              </w:rPr>
              <w:t>წლამდე</w:t>
            </w:r>
            <w:r w:rsidRPr="00330B09">
              <w:rPr>
                <w:rFonts w:ascii="Times New Roman" w:hAnsi="Times New Roman" w:cs="Times New Roman"/>
                <w:sz w:val="20"/>
                <w:szCs w:val="20"/>
                <w:lang w:val="ka-GE"/>
              </w:rPr>
              <w:t xml:space="preserve"> </w:t>
            </w:r>
            <w:r w:rsidRPr="00330B09">
              <w:rPr>
                <w:rFonts w:cs="Sylfaen"/>
                <w:sz w:val="20"/>
                <w:szCs w:val="20"/>
                <w:lang w:val="ka-GE"/>
              </w:rPr>
              <w:t>ასაკის</w:t>
            </w:r>
            <w:r w:rsidRPr="00330B09">
              <w:rPr>
                <w:rFonts w:ascii="Times New Roman" w:hAnsi="Times New Roman" w:cs="Times New Roman"/>
                <w:sz w:val="20"/>
                <w:szCs w:val="20"/>
                <w:lang w:val="ka-GE"/>
              </w:rPr>
              <w:t xml:space="preserve"> </w:t>
            </w:r>
            <w:r w:rsidRPr="00330B09">
              <w:rPr>
                <w:rFonts w:cs="Sylfaen"/>
                <w:sz w:val="20"/>
                <w:szCs w:val="20"/>
                <w:lang w:val="ka-GE"/>
              </w:rPr>
              <w:t>და</w:t>
            </w:r>
            <w:r w:rsidRPr="00330B09">
              <w:rPr>
                <w:rFonts w:ascii="Times New Roman" w:hAnsi="Times New Roman" w:cs="Times New Roman"/>
                <w:sz w:val="20"/>
                <w:szCs w:val="20"/>
                <w:lang w:val="ka-GE"/>
              </w:rPr>
              <w:t xml:space="preserve"> 40 </w:t>
            </w:r>
            <w:r w:rsidRPr="00330B09">
              <w:rPr>
                <w:rFonts w:cs="Sylfaen"/>
                <w:sz w:val="20"/>
                <w:szCs w:val="20"/>
                <w:lang w:val="ka-GE"/>
              </w:rPr>
              <w:t>კგ</w:t>
            </w:r>
            <w:r>
              <w:rPr>
                <w:rFonts w:cs="Times New Roman"/>
                <w:sz w:val="20"/>
                <w:szCs w:val="20"/>
                <w:lang w:val="ka-GE"/>
              </w:rPr>
              <w:t>-ზე</w:t>
            </w:r>
            <w:r w:rsidRPr="00330B09">
              <w:rPr>
                <w:rFonts w:ascii="Times New Roman" w:hAnsi="Times New Roman" w:cs="Times New Roman"/>
                <w:sz w:val="20"/>
                <w:szCs w:val="20"/>
                <w:lang w:val="ka-GE"/>
              </w:rPr>
              <w:t xml:space="preserve"> </w:t>
            </w:r>
            <w:r w:rsidRPr="00330B09">
              <w:rPr>
                <w:rFonts w:cs="Sylfaen"/>
                <w:sz w:val="20"/>
                <w:szCs w:val="20"/>
                <w:lang w:val="ka-GE"/>
              </w:rPr>
              <w:t>ნაკლები</w:t>
            </w:r>
            <w:r w:rsidRPr="00330B09">
              <w:rPr>
                <w:rFonts w:ascii="Times New Roman" w:hAnsi="Times New Roman" w:cs="Times New Roman"/>
                <w:sz w:val="20"/>
                <w:szCs w:val="20"/>
                <w:lang w:val="ka-GE"/>
              </w:rPr>
              <w:t xml:space="preserve"> </w:t>
            </w:r>
            <w:r w:rsidRPr="00330B09">
              <w:rPr>
                <w:rFonts w:cs="Sylfaen"/>
                <w:sz w:val="20"/>
                <w:szCs w:val="20"/>
                <w:lang w:val="ka-GE"/>
              </w:rPr>
              <w:t>წონის</w:t>
            </w:r>
          </w:p>
        </w:tc>
        <w:tc>
          <w:tcPr>
            <w:tcW w:w="1840" w:type="dxa"/>
            <w:gridSpan w:val="2"/>
            <w:tcBorders>
              <w:top w:val="nil"/>
              <w:left w:val="nil"/>
              <w:bottom w:val="nil"/>
              <w:right w:val="single" w:sz="8" w:space="0" w:color="231F20"/>
            </w:tcBorders>
            <w:hideMark/>
          </w:tcPr>
          <w:p w14:paraId="2ED43941" w14:textId="77777777" w:rsidR="006B57E5" w:rsidRPr="00330B09" w:rsidRDefault="006B57E5" w:rsidP="0083206A">
            <w:pPr>
              <w:spacing w:after="0"/>
              <w:jc w:val="center"/>
              <w:rPr>
                <w:rFonts w:ascii="Times New Roman" w:hAnsi="Times New Roman" w:cs="Times New Roman"/>
                <w:sz w:val="20"/>
                <w:szCs w:val="20"/>
                <w:lang w:val="ka-GE"/>
              </w:rPr>
            </w:pPr>
            <w:r w:rsidRPr="00330B09">
              <w:rPr>
                <w:rFonts w:ascii="Times New Roman" w:hAnsi="Times New Roman" w:cs="Times New Roman"/>
                <w:sz w:val="20"/>
                <w:szCs w:val="20"/>
                <w:lang w:val="ka-GE"/>
              </w:rPr>
              <w:t xml:space="preserve">0.1 </w:t>
            </w:r>
            <w:proofErr w:type="spellStart"/>
            <w:r w:rsidRPr="00330B09">
              <w:rPr>
                <w:rFonts w:cs="Sylfaen"/>
                <w:sz w:val="20"/>
                <w:szCs w:val="20"/>
                <w:lang w:val="ka-GE"/>
              </w:rPr>
              <w:t>მგ</w:t>
            </w:r>
            <w:proofErr w:type="spellEnd"/>
            <w:r w:rsidRPr="00330B09">
              <w:rPr>
                <w:rFonts w:ascii="Times New Roman" w:hAnsi="Times New Roman" w:cs="Times New Roman"/>
                <w:sz w:val="20"/>
                <w:szCs w:val="20"/>
                <w:lang w:val="ka-GE"/>
              </w:rPr>
              <w:t>/</w:t>
            </w:r>
            <w:r w:rsidRPr="00330B09">
              <w:rPr>
                <w:rFonts w:cs="Sylfaen"/>
                <w:sz w:val="20"/>
                <w:szCs w:val="20"/>
                <w:lang w:val="ka-GE"/>
              </w:rPr>
              <w:t>კგ</w:t>
            </w:r>
          </w:p>
        </w:tc>
        <w:tc>
          <w:tcPr>
            <w:tcW w:w="3402" w:type="dxa"/>
            <w:gridSpan w:val="2"/>
            <w:tcBorders>
              <w:top w:val="nil"/>
              <w:left w:val="nil"/>
              <w:bottom w:val="nil"/>
              <w:right w:val="single" w:sz="8" w:space="0" w:color="231F20"/>
            </w:tcBorders>
            <w:hideMark/>
          </w:tcPr>
          <w:p w14:paraId="1EA54184" w14:textId="77777777" w:rsidR="006B57E5" w:rsidRPr="00330B09" w:rsidRDefault="006B57E5" w:rsidP="00450686">
            <w:pPr>
              <w:spacing w:after="0"/>
              <w:ind w:left="145" w:right="136"/>
              <w:jc w:val="both"/>
              <w:rPr>
                <w:rFonts w:ascii="Times New Roman" w:hAnsi="Times New Roman" w:cs="Times New Roman"/>
                <w:sz w:val="20"/>
                <w:szCs w:val="20"/>
                <w:lang w:val="ka-GE"/>
              </w:rPr>
            </w:pPr>
            <w:r w:rsidRPr="00330B09">
              <w:rPr>
                <w:rFonts w:cs="Sylfaen"/>
                <w:sz w:val="20"/>
                <w:szCs w:val="20"/>
                <w:lang w:val="ka-GE"/>
              </w:rPr>
              <w:t>ინტრავენურად</w:t>
            </w:r>
            <w:r w:rsidRPr="00330B09">
              <w:rPr>
                <w:rFonts w:ascii="Times New Roman" w:hAnsi="Times New Roman" w:cs="Times New Roman"/>
                <w:sz w:val="20"/>
                <w:szCs w:val="20"/>
                <w:lang w:val="ka-GE"/>
              </w:rPr>
              <w:t xml:space="preserve"> </w:t>
            </w:r>
            <w:r w:rsidRPr="00330B09">
              <w:rPr>
                <w:rFonts w:cs="Sylfaen"/>
                <w:sz w:val="20"/>
                <w:szCs w:val="20"/>
                <w:lang w:val="ka-GE"/>
              </w:rPr>
              <w:t>შეჰყავთ</w:t>
            </w:r>
            <w:r w:rsidRPr="00330B09">
              <w:rPr>
                <w:rFonts w:ascii="Times New Roman" w:hAnsi="Times New Roman" w:cs="Times New Roman"/>
                <w:sz w:val="20"/>
                <w:szCs w:val="20"/>
                <w:lang w:val="ka-GE"/>
              </w:rPr>
              <w:t xml:space="preserve"> </w:t>
            </w:r>
            <w:r w:rsidRPr="00330B09">
              <w:rPr>
                <w:rFonts w:cs="Sylfaen"/>
                <w:sz w:val="20"/>
                <w:szCs w:val="20"/>
                <w:lang w:val="ka-GE"/>
              </w:rPr>
              <w:t>მინიმუმ</w:t>
            </w:r>
            <w:r w:rsidRPr="00330B09">
              <w:rPr>
                <w:rFonts w:ascii="Times New Roman" w:hAnsi="Times New Roman" w:cs="Times New Roman"/>
                <w:sz w:val="20"/>
                <w:szCs w:val="20"/>
                <w:lang w:val="ka-GE"/>
              </w:rPr>
              <w:t xml:space="preserve"> 30 </w:t>
            </w:r>
            <w:r w:rsidRPr="00330B09">
              <w:rPr>
                <w:rFonts w:cs="Sylfaen"/>
                <w:sz w:val="20"/>
                <w:szCs w:val="20"/>
                <w:lang w:val="ka-GE"/>
              </w:rPr>
              <w:t>წამის</w:t>
            </w:r>
            <w:r w:rsidRPr="00330B09">
              <w:rPr>
                <w:rFonts w:ascii="Times New Roman" w:hAnsi="Times New Roman" w:cs="Times New Roman"/>
                <w:sz w:val="20"/>
                <w:szCs w:val="20"/>
                <w:lang w:val="ka-GE"/>
              </w:rPr>
              <w:t xml:space="preserve"> </w:t>
            </w:r>
            <w:r w:rsidRPr="00330B09">
              <w:rPr>
                <w:rFonts w:cs="Sylfaen"/>
                <w:sz w:val="20"/>
                <w:szCs w:val="20"/>
                <w:lang w:val="ka-GE"/>
              </w:rPr>
              <w:t>განმავლობაში</w:t>
            </w:r>
            <w:r w:rsidRPr="00330B09">
              <w:rPr>
                <w:rFonts w:ascii="Times New Roman" w:hAnsi="Times New Roman" w:cs="Times New Roman"/>
                <w:sz w:val="20"/>
                <w:szCs w:val="20"/>
                <w:lang w:val="ka-GE"/>
              </w:rPr>
              <w:t xml:space="preserve"> </w:t>
            </w:r>
            <w:r w:rsidRPr="00330B09">
              <w:rPr>
                <w:rFonts w:cs="Sylfaen"/>
                <w:sz w:val="20"/>
                <w:szCs w:val="20"/>
                <w:lang w:val="ka-GE"/>
              </w:rPr>
              <w:t>და</w:t>
            </w:r>
            <w:r w:rsidRPr="00330B09">
              <w:rPr>
                <w:rFonts w:ascii="Times New Roman" w:hAnsi="Times New Roman" w:cs="Times New Roman"/>
                <w:sz w:val="20"/>
                <w:szCs w:val="20"/>
                <w:lang w:val="ka-GE"/>
              </w:rPr>
              <w:t xml:space="preserve"> </w:t>
            </w:r>
            <w:r w:rsidRPr="00330B09">
              <w:rPr>
                <w:rFonts w:cs="Sylfaen"/>
                <w:sz w:val="20"/>
                <w:szCs w:val="20"/>
                <w:lang w:val="ka-GE"/>
              </w:rPr>
              <w:t>სასურველია</w:t>
            </w:r>
            <w:r w:rsidRPr="00330B09">
              <w:rPr>
                <w:rFonts w:ascii="Times New Roman" w:hAnsi="Times New Roman" w:cs="Times New Roman"/>
                <w:sz w:val="20"/>
                <w:szCs w:val="20"/>
                <w:lang w:val="ka-GE"/>
              </w:rPr>
              <w:t xml:space="preserve"> </w:t>
            </w:r>
            <w:r w:rsidRPr="00330B09">
              <w:rPr>
                <w:rFonts w:cs="Sylfaen"/>
                <w:sz w:val="20"/>
                <w:szCs w:val="20"/>
                <w:lang w:val="ka-GE"/>
              </w:rPr>
              <w:t>უფრო</w:t>
            </w:r>
            <w:r w:rsidRPr="00330B09">
              <w:rPr>
                <w:rFonts w:ascii="Times New Roman" w:hAnsi="Times New Roman" w:cs="Times New Roman"/>
                <w:sz w:val="20"/>
                <w:szCs w:val="20"/>
                <w:lang w:val="ka-GE"/>
              </w:rPr>
              <w:t xml:space="preserve"> </w:t>
            </w:r>
            <w:r w:rsidRPr="00330B09">
              <w:rPr>
                <w:rFonts w:cs="Sylfaen"/>
                <w:sz w:val="20"/>
                <w:szCs w:val="20"/>
                <w:lang w:val="ka-GE"/>
              </w:rPr>
              <w:t>დიდხანს</w:t>
            </w:r>
            <w:r w:rsidRPr="00330B09">
              <w:rPr>
                <w:rFonts w:ascii="Times New Roman" w:hAnsi="Times New Roman" w:cs="Times New Roman"/>
                <w:sz w:val="20"/>
                <w:szCs w:val="20"/>
                <w:lang w:val="ka-GE"/>
              </w:rPr>
              <w:t xml:space="preserve"> (2-</w:t>
            </w:r>
            <w:r w:rsidRPr="00330B09">
              <w:rPr>
                <w:rFonts w:cs="Sylfaen"/>
                <w:sz w:val="20"/>
                <w:szCs w:val="20"/>
                <w:lang w:val="ka-GE"/>
              </w:rPr>
              <w:t>დან</w:t>
            </w:r>
            <w:r w:rsidRPr="00330B09">
              <w:rPr>
                <w:rFonts w:ascii="Times New Roman" w:hAnsi="Times New Roman" w:cs="Times New Roman"/>
                <w:sz w:val="20"/>
                <w:szCs w:val="20"/>
                <w:lang w:val="ka-GE"/>
              </w:rPr>
              <w:t xml:space="preserve"> 5 </w:t>
            </w:r>
            <w:r w:rsidRPr="00330B09">
              <w:rPr>
                <w:rFonts w:cs="Sylfaen"/>
                <w:sz w:val="20"/>
                <w:szCs w:val="20"/>
                <w:lang w:val="ka-GE"/>
              </w:rPr>
              <w:t>წუთამდე</w:t>
            </w:r>
            <w:r w:rsidRPr="00330B09">
              <w:rPr>
                <w:rFonts w:ascii="Times New Roman" w:hAnsi="Times New Roman" w:cs="Times New Roman"/>
                <w:sz w:val="20"/>
                <w:szCs w:val="20"/>
                <w:lang w:val="ka-GE"/>
              </w:rPr>
              <w:t>).</w:t>
            </w:r>
          </w:p>
        </w:tc>
        <w:tc>
          <w:tcPr>
            <w:tcW w:w="3996" w:type="dxa"/>
            <w:gridSpan w:val="2"/>
            <w:vMerge/>
            <w:tcBorders>
              <w:left w:val="nil"/>
              <w:right w:val="single" w:sz="8" w:space="0" w:color="231F20"/>
            </w:tcBorders>
            <w:vAlign w:val="center"/>
            <w:hideMark/>
          </w:tcPr>
          <w:p w14:paraId="44CF22B2" w14:textId="77777777" w:rsidR="006B57E5" w:rsidRPr="00330B09" w:rsidRDefault="006B57E5" w:rsidP="005C3C52">
            <w:pPr>
              <w:spacing w:after="0"/>
              <w:jc w:val="both"/>
              <w:rPr>
                <w:rFonts w:ascii="Times New Roman" w:hAnsi="Times New Roman" w:cs="Times New Roman"/>
                <w:sz w:val="20"/>
                <w:szCs w:val="20"/>
                <w:lang w:val="ka-GE"/>
              </w:rPr>
            </w:pPr>
          </w:p>
        </w:tc>
      </w:tr>
      <w:tr w:rsidR="006B57E5" w:rsidRPr="00330B09" w14:paraId="5F26A026" w14:textId="77777777" w:rsidTr="00450686">
        <w:trPr>
          <w:gridAfter w:val="1"/>
          <w:wAfter w:w="423" w:type="dxa"/>
          <w:trHeight w:val="331"/>
        </w:trPr>
        <w:tc>
          <w:tcPr>
            <w:tcW w:w="1557" w:type="dxa"/>
            <w:tcBorders>
              <w:top w:val="nil"/>
              <w:left w:val="single" w:sz="8" w:space="0" w:color="231F20"/>
              <w:bottom w:val="single" w:sz="8" w:space="0" w:color="231F20"/>
              <w:right w:val="single" w:sz="8" w:space="0" w:color="231F20"/>
            </w:tcBorders>
          </w:tcPr>
          <w:p w14:paraId="25389C44" w14:textId="77777777" w:rsidR="006B57E5" w:rsidRPr="00330B09" w:rsidRDefault="006B57E5" w:rsidP="005C3C52">
            <w:pPr>
              <w:spacing w:after="0"/>
              <w:jc w:val="both"/>
              <w:rPr>
                <w:rFonts w:cs="Sylfaen"/>
                <w:sz w:val="20"/>
                <w:szCs w:val="20"/>
                <w:lang w:val="ka-GE"/>
              </w:rPr>
            </w:pPr>
          </w:p>
        </w:tc>
        <w:tc>
          <w:tcPr>
            <w:tcW w:w="1840" w:type="dxa"/>
            <w:gridSpan w:val="2"/>
            <w:tcBorders>
              <w:top w:val="nil"/>
              <w:left w:val="nil"/>
              <w:bottom w:val="single" w:sz="8" w:space="0" w:color="231F20"/>
              <w:right w:val="single" w:sz="8" w:space="0" w:color="231F20"/>
            </w:tcBorders>
          </w:tcPr>
          <w:p w14:paraId="07CF9188" w14:textId="77777777" w:rsidR="006B57E5" w:rsidRPr="00330B09" w:rsidRDefault="006B57E5" w:rsidP="005C3C52">
            <w:pPr>
              <w:spacing w:after="0"/>
              <w:jc w:val="both"/>
              <w:rPr>
                <w:rFonts w:ascii="Times New Roman" w:hAnsi="Times New Roman" w:cs="Times New Roman"/>
                <w:sz w:val="20"/>
                <w:szCs w:val="20"/>
                <w:lang w:val="ka-GE"/>
              </w:rPr>
            </w:pPr>
          </w:p>
        </w:tc>
        <w:tc>
          <w:tcPr>
            <w:tcW w:w="3402" w:type="dxa"/>
            <w:gridSpan w:val="2"/>
            <w:tcBorders>
              <w:top w:val="nil"/>
              <w:left w:val="nil"/>
              <w:bottom w:val="single" w:sz="8" w:space="0" w:color="231F20"/>
              <w:right w:val="single" w:sz="8" w:space="0" w:color="231F20"/>
            </w:tcBorders>
          </w:tcPr>
          <w:p w14:paraId="410EC40E" w14:textId="77777777" w:rsidR="006B57E5" w:rsidRPr="00330B09" w:rsidRDefault="006B57E5" w:rsidP="005C3C52">
            <w:pPr>
              <w:spacing w:after="0"/>
              <w:jc w:val="both"/>
              <w:rPr>
                <w:rFonts w:cs="Sylfaen"/>
                <w:sz w:val="20"/>
                <w:szCs w:val="20"/>
                <w:lang w:val="ka-GE"/>
              </w:rPr>
            </w:pPr>
          </w:p>
        </w:tc>
        <w:tc>
          <w:tcPr>
            <w:tcW w:w="3996" w:type="dxa"/>
            <w:gridSpan w:val="2"/>
            <w:tcBorders>
              <w:left w:val="nil"/>
              <w:bottom w:val="single" w:sz="8" w:space="0" w:color="231F20"/>
              <w:right w:val="single" w:sz="8" w:space="0" w:color="231F20"/>
            </w:tcBorders>
            <w:vAlign w:val="center"/>
          </w:tcPr>
          <w:p w14:paraId="6E842905" w14:textId="77777777" w:rsidR="006B57E5" w:rsidRPr="00330B09" w:rsidRDefault="006B57E5" w:rsidP="005C3C52">
            <w:pPr>
              <w:spacing w:after="0"/>
              <w:jc w:val="both"/>
              <w:rPr>
                <w:rFonts w:ascii="Times New Roman" w:hAnsi="Times New Roman" w:cs="Times New Roman"/>
                <w:sz w:val="20"/>
                <w:szCs w:val="20"/>
                <w:lang w:val="ka-GE"/>
              </w:rPr>
            </w:pPr>
          </w:p>
        </w:tc>
      </w:tr>
      <w:bookmarkEnd w:id="2"/>
    </w:tbl>
    <w:p w14:paraId="67DAAB0B" w14:textId="77777777" w:rsidR="006B57E5" w:rsidRPr="00330B09" w:rsidRDefault="006B57E5" w:rsidP="006B57E5">
      <w:pPr>
        <w:spacing w:after="0" w:line="240" w:lineRule="auto"/>
        <w:jc w:val="both"/>
        <w:rPr>
          <w:lang w:val="ka-GE"/>
        </w:rPr>
      </w:pPr>
    </w:p>
    <w:p w14:paraId="1C0387A0" w14:textId="3CF08DF8" w:rsidR="006B57E5" w:rsidRPr="006B57E5" w:rsidRDefault="006B57E5" w:rsidP="00AE08F8">
      <w:pPr>
        <w:spacing w:after="0" w:line="240" w:lineRule="auto"/>
        <w:jc w:val="both"/>
        <w:rPr>
          <w:lang w:val="ka-GE"/>
        </w:rPr>
      </w:pPr>
      <w:r w:rsidRPr="00330B09">
        <w:rPr>
          <w:u w:val="single"/>
          <w:lang w:val="ka-GE"/>
        </w:rPr>
        <w:t>დოზის კორექცია ღვიძლის უკმარისობის მქონე პაციენტებისთვის</w:t>
      </w:r>
    </w:p>
    <w:p w14:paraId="0F4E3371" w14:textId="0C906F1E" w:rsidR="00AE08F8" w:rsidRDefault="00AE08F8" w:rsidP="00AE08F8">
      <w:pPr>
        <w:spacing w:after="0" w:line="240" w:lineRule="auto"/>
        <w:jc w:val="both"/>
      </w:pPr>
      <w:r w:rsidRPr="00CA2F3B">
        <w:t>ღვიძლის მძიმე უკმარისობის მქონე პაციენტებში (ჩაილდ-პიუს შკალით ≥ 10), რეკომენდებულია 8 მგ მაქსიმალური დღიური დოზა, რომელიც მიიღება 15 წუთიანი ინფუზიის სახით ემეტოგენური ქიმიოთერაპიის დაწყებამდე 30 წუთით ადრე. ამ პაციენტებში ონდანიკ</w:t>
      </w:r>
      <w:r>
        <w:t>ი</w:t>
      </w:r>
      <w:r w:rsidRPr="00CA2F3B">
        <w:t>ს გამოყენების გამოცდილება მკურნალობის პირველი დღის შემდეგ არ არსებობს.</w:t>
      </w:r>
    </w:p>
    <w:p w14:paraId="46182B53" w14:textId="77777777" w:rsidR="00C033F0" w:rsidRDefault="00C033F0" w:rsidP="008150DC">
      <w:pPr>
        <w:spacing w:after="0" w:line="240" w:lineRule="auto"/>
        <w:jc w:val="both"/>
      </w:pPr>
    </w:p>
    <w:p w14:paraId="2842EE9D" w14:textId="77777777" w:rsidR="008020B8" w:rsidRDefault="008020B8" w:rsidP="008150DC">
      <w:pPr>
        <w:spacing w:after="0" w:line="240" w:lineRule="auto"/>
        <w:jc w:val="both"/>
        <w:rPr>
          <w:b/>
          <w:bCs/>
        </w:rPr>
      </w:pPr>
      <w:r>
        <w:rPr>
          <w:b/>
          <w:bCs/>
        </w:rPr>
        <w:t>4.3 უკუჩვენებები</w:t>
      </w:r>
    </w:p>
    <w:p w14:paraId="0CB70F25" w14:textId="77777777" w:rsidR="006B57E5" w:rsidRPr="006B57E5" w:rsidRDefault="006B57E5" w:rsidP="006B57E5">
      <w:pPr>
        <w:spacing w:after="0" w:line="240" w:lineRule="auto"/>
        <w:jc w:val="both"/>
        <w:rPr>
          <w:lang w:val="ka-GE"/>
        </w:rPr>
      </w:pPr>
      <w:r w:rsidRPr="006B57E5">
        <w:rPr>
          <w:lang w:val="ka-GE"/>
        </w:rPr>
        <w:t>ონდანიქეს ინექცია უკუნაჩვენებია პაციენტებში, რომლებსაც აქვთ ცნობილი ჰიპერმგრძნობელობა (მაგ., ანაფილაქსია) ამ პროდუქტის ან მისი რომელიმე კომპონენტის მიმართ. ანაფილაქსიური რეაქციები აღინიშნა პაციენტებში, რომლებიც იღებდნენ ონდანიქეს. აპომორფინისა და ონდანიქეს ერთდროული გამოყენება უკუნაჩვენებია, რადგან აპომორფინისა და ონდანიქეს ერთდროული მიღების შემდეგ დაფიქსირდა მძიმე ჰიპოტენზიის და გონების დაკარგვის შემთხვევები.</w:t>
      </w:r>
    </w:p>
    <w:p w14:paraId="7284081A" w14:textId="77777777" w:rsidR="008020B8" w:rsidRDefault="008020B8" w:rsidP="008150DC">
      <w:pPr>
        <w:spacing w:after="0" w:line="240" w:lineRule="auto"/>
        <w:jc w:val="both"/>
      </w:pPr>
    </w:p>
    <w:p w14:paraId="4E37B7C5" w14:textId="77777777" w:rsidR="003A05F3" w:rsidRPr="002A2D77" w:rsidRDefault="001B30E3" w:rsidP="003A05F3">
      <w:pPr>
        <w:spacing w:after="0" w:line="240" w:lineRule="auto"/>
        <w:jc w:val="both"/>
        <w:rPr>
          <w:b/>
          <w:bCs/>
        </w:rPr>
      </w:pPr>
      <w:r>
        <w:rPr>
          <w:b/>
          <w:bCs/>
        </w:rPr>
        <w:t xml:space="preserve">4.4 </w:t>
      </w:r>
      <w:r w:rsidR="003A05F3" w:rsidRPr="002A2D77">
        <w:rPr>
          <w:b/>
          <w:bCs/>
        </w:rPr>
        <w:t>სპეციალური გაფრთხილებები და სიფრთხილის ზომები გამოყენებისას</w:t>
      </w:r>
    </w:p>
    <w:p w14:paraId="522E9755" w14:textId="77777777" w:rsidR="006B57E5" w:rsidRPr="00330B09" w:rsidRDefault="006B57E5" w:rsidP="006B57E5">
      <w:pPr>
        <w:spacing w:after="0" w:line="240" w:lineRule="auto"/>
        <w:jc w:val="both"/>
        <w:rPr>
          <w:u w:val="single"/>
          <w:lang w:val="ka-GE"/>
        </w:rPr>
      </w:pPr>
      <w:r w:rsidRPr="00330B09">
        <w:rPr>
          <w:u w:val="single"/>
          <w:lang w:val="ka-GE"/>
        </w:rPr>
        <w:t>ჰიპერმგრძნობელობის რეაქციები</w:t>
      </w:r>
    </w:p>
    <w:p w14:paraId="607067E7" w14:textId="77777777" w:rsidR="006B57E5" w:rsidRPr="00330B09" w:rsidRDefault="006B57E5" w:rsidP="006B57E5">
      <w:pPr>
        <w:spacing w:after="0" w:line="240" w:lineRule="auto"/>
        <w:jc w:val="both"/>
        <w:rPr>
          <w:lang w:val="ka-GE"/>
        </w:rPr>
      </w:pPr>
      <w:r w:rsidRPr="00330B09">
        <w:rPr>
          <w:lang w:val="ka-GE"/>
        </w:rPr>
        <w:t xml:space="preserve">ჰიპერმგრძნობელობის რეაქციები, მათ შორის ანაფილაქსია და ბრონქოსპაზმი, აღწერილია პაციენტებში, რომლებსაც აღენიშნებათ ჰიპერმგრძნობელობა სხვა სელექციური 5-HT3 რეცეპტორების ანტაგონისტების მიმართ. </w:t>
      </w:r>
    </w:p>
    <w:p w14:paraId="534EE275" w14:textId="77777777" w:rsidR="006B57E5" w:rsidRPr="00330B09" w:rsidRDefault="006B57E5" w:rsidP="006B57E5">
      <w:pPr>
        <w:spacing w:after="0" w:line="240" w:lineRule="auto"/>
        <w:jc w:val="both"/>
        <w:rPr>
          <w:u w:val="single"/>
          <w:lang w:val="ka-GE"/>
        </w:rPr>
      </w:pPr>
      <w:r w:rsidRPr="00330B09">
        <w:rPr>
          <w:u w:val="single"/>
          <w:lang w:val="ka-GE"/>
        </w:rPr>
        <w:t>QT ინტერვალის გახანგრძლივება</w:t>
      </w:r>
    </w:p>
    <w:p w14:paraId="14527EAB" w14:textId="77777777" w:rsidR="006B57E5" w:rsidRPr="0025138A" w:rsidRDefault="006B57E5" w:rsidP="006B57E5">
      <w:pPr>
        <w:spacing w:after="0" w:line="240" w:lineRule="auto"/>
        <w:jc w:val="both"/>
        <w:rPr>
          <w:lang w:val="ka-GE"/>
        </w:rPr>
      </w:pPr>
      <w:r w:rsidRPr="00330B09">
        <w:rPr>
          <w:lang w:val="ka-GE"/>
        </w:rPr>
        <w:t>ონდანსეტრონი დოზის შესაბამისად ახანგრძლივებს QT ინტერვალს. ონდანსეტრონ</w:t>
      </w:r>
      <w:r>
        <w:rPr>
          <w:lang w:val="ka-GE"/>
        </w:rPr>
        <w:t>ის</w:t>
      </w:r>
      <w:r w:rsidRPr="00330B09">
        <w:rPr>
          <w:lang w:val="ka-GE"/>
        </w:rPr>
        <w:t xml:space="preserve"> მიმღებ პაციენტებში ასევე აღინიშნა </w:t>
      </w:r>
      <w:r>
        <w:rPr>
          <w:lang w:val="ka-GE"/>
        </w:rPr>
        <w:t>„</w:t>
      </w:r>
      <w:r w:rsidRPr="0025138A">
        <w:rPr>
          <w:lang w:val="ka-GE"/>
        </w:rPr>
        <w:t>Torsade de Pointes</w:t>
      </w:r>
      <w:r>
        <w:rPr>
          <w:lang w:val="ka-GE"/>
        </w:rPr>
        <w:t>“</w:t>
      </w:r>
      <w:r w:rsidRPr="0025138A">
        <w:rPr>
          <w:lang w:val="ka-GE"/>
        </w:rPr>
        <w:t>-</w:t>
      </w:r>
      <w:r>
        <w:rPr>
          <w:lang w:val="ka-GE"/>
        </w:rPr>
        <w:t>ს</w:t>
      </w:r>
      <w:r w:rsidRPr="00330B09">
        <w:rPr>
          <w:lang w:val="ka-GE"/>
        </w:rPr>
        <w:t xml:space="preserve"> პოსტმარკეტინგული შემთხვევები. ონდანსეტრონის გამოყენება თავიდან უნდა იქნას აცილებული თანდაყოლილი გახანგრძლივებული QT სინდრომის მქონე პაციენტებში. ელექტროლიტური </w:t>
      </w:r>
      <w:r>
        <w:rPr>
          <w:lang w:val="ka-GE"/>
        </w:rPr>
        <w:t xml:space="preserve">ბალანსის </w:t>
      </w:r>
      <w:r w:rsidRPr="00330B09">
        <w:rPr>
          <w:lang w:val="ka-GE"/>
        </w:rPr>
        <w:t>დარღვევების (მაგ., ჰიპოკალიემია ან ჰიპომაგნიემია), გულის</w:t>
      </w:r>
      <w:r>
        <w:rPr>
          <w:lang w:val="ka-GE"/>
        </w:rPr>
        <w:t xml:space="preserve"> თანდაყოლილი </w:t>
      </w:r>
      <w:r w:rsidRPr="00330B09">
        <w:rPr>
          <w:lang w:val="ka-GE"/>
        </w:rPr>
        <w:t xml:space="preserve"> უკმარისობის, ბრადიკარდიის მქონე პაციენტებში ან სხვა მედიკამენტების მიღებისას, რომლებსაც შეუძლიათ QT ინტერვალის გახანგრძლივება</w:t>
      </w:r>
      <w:r>
        <w:rPr>
          <w:lang w:val="ka-GE"/>
        </w:rPr>
        <w:t xml:space="preserve"> </w:t>
      </w:r>
      <w:r w:rsidRPr="00330B09">
        <w:rPr>
          <w:lang w:val="ka-GE"/>
        </w:rPr>
        <w:t>რეკომენდებულია ელექტროკარდიოგრამის მონიტორინგი.</w:t>
      </w:r>
    </w:p>
    <w:p w14:paraId="3BD229A2" w14:textId="77777777" w:rsidR="006B57E5" w:rsidRPr="00330B09" w:rsidRDefault="006B57E5" w:rsidP="006B57E5">
      <w:pPr>
        <w:spacing w:after="0" w:line="240" w:lineRule="auto"/>
        <w:jc w:val="both"/>
        <w:rPr>
          <w:lang w:val="ka-GE"/>
        </w:rPr>
      </w:pPr>
      <w:r w:rsidRPr="00330B09">
        <w:rPr>
          <w:u w:val="single"/>
          <w:lang w:val="ka-GE"/>
        </w:rPr>
        <w:t>სეროტონინის სინდრომი</w:t>
      </w:r>
    </w:p>
    <w:p w14:paraId="0893F895" w14:textId="77777777" w:rsidR="006B57E5" w:rsidRPr="00330B09" w:rsidRDefault="006B57E5" w:rsidP="006B57E5">
      <w:pPr>
        <w:spacing w:after="0" w:line="240" w:lineRule="auto"/>
        <w:jc w:val="both"/>
        <w:rPr>
          <w:lang w:val="ka-GE"/>
        </w:rPr>
      </w:pPr>
      <w:r w:rsidRPr="00330B09">
        <w:rPr>
          <w:lang w:val="ka-GE"/>
        </w:rPr>
        <w:t>სეროტონინის სინდრომის შემთხვევები დაფიქსირდა 5-HT3 რეცეპტორების ანტაგონისტების გამოყენებასთან დაკავშირებით. შეტყობინებების უმეტესობა ასოცირდება სეროტონერგული პრეპარატების (მაგ., სეროტონინის შერჩევითი უკუმიტაცების ინჰიბიტორები (SSRIs), სეროტონინ-ნორეპინეფრინის უკუმიტაცების ინჰიბიტორები (SNRIs), მონოამინოქსიდაზას ინჰიბიტორები, მირტაზაპინი, ფენტანილი, ლითიუმი, ტრამადოლი და ინტრავენური მეთილენის ლურჯი) თანმხლებ გამოყენებასთან. ზოგიერთი შემთხვევა ფატალურ</w:t>
      </w:r>
      <w:r>
        <w:rPr>
          <w:lang w:val="ka-GE"/>
        </w:rPr>
        <w:t xml:space="preserve">ად დასრულდა. </w:t>
      </w:r>
      <w:r w:rsidRPr="00330B09">
        <w:rPr>
          <w:lang w:val="ka-GE"/>
        </w:rPr>
        <w:t xml:space="preserve">სეროტონინის სინდრომი ასევე დაფიქსირდა მხოლოდ ონდანსეტრონის დოზის გადაჭარბების შემდეგ. 5-HT3 რეცეპტორების ანტაგონისტების გამოყენებასთან ასოცირებული სეროტონინის სინდრომის შემთხვევების უმეტესობა დაფიქსირდა რეანიმაციულ </w:t>
      </w:r>
      <w:r>
        <w:rPr>
          <w:lang w:val="ka-GE"/>
        </w:rPr>
        <w:t>განყოფილებაში</w:t>
      </w:r>
      <w:r w:rsidRPr="00330B09">
        <w:rPr>
          <w:lang w:val="ka-GE"/>
        </w:rPr>
        <w:t xml:space="preserve"> ან ინფუზიურ ცენტრში.</w:t>
      </w:r>
    </w:p>
    <w:p w14:paraId="2FB41F9B" w14:textId="77777777" w:rsidR="006B57E5" w:rsidRPr="00330B09" w:rsidRDefault="006B57E5" w:rsidP="006B57E5">
      <w:pPr>
        <w:spacing w:after="0" w:line="240" w:lineRule="auto"/>
        <w:jc w:val="both"/>
        <w:rPr>
          <w:lang w:val="ka-GE"/>
        </w:rPr>
      </w:pPr>
      <w:r w:rsidRPr="00330B09">
        <w:rPr>
          <w:lang w:val="ka-GE"/>
        </w:rPr>
        <w:lastRenderedPageBreak/>
        <w:t>სეროტონინის სინდრომთან დაკავშირებული სიმპტომები შეიძლება მოიცავდეს ნიშნებისა და სიმპტომების შემდეგ კომბინაციას: ფსიქიკური მდგომარეობის ცვლილებები (მაგ., აგზნება, ჰალუცინაციები, დელირიუმი და კომა), ვეგეტატიური ნერვული სისტემის არასტაბილურობა (მაგ., ტაქიკარდია, ლაბილური არტერიული წნევა, თავბრუსხვევა, ოფლიანობა, წამოხურება, ჰიპერთერმია), ნერვ-კუნთოვანი სიმპტომები (მაგ., ტრემორი, რიგიდულობა, მიოკლონუსი, ჰიპერრეფლექსია, კოორდინაციის დარღვევა), კრუნჩხვები, კუჭ-ნაწლავის სიმპტომებით ან მათ გარეშე (მაგ., გულისრევა, ღებინება, დიარეა). პაციენტები უნდა იყვნენ მონიტორინგის ქვეშ სეროტონინის სინდრომის გამოვლენის თვალსაზრისით, განსაკუთრებით ონდანსეტრონისა და სხვა სეროტონერგული პრეპარატების ერთდროული გამოყენებისას. თუ სეროტონინის სინდრომის სიმპტომები გამოვლინდა, შეწყვიტეთ ონდანსეტრონის მიღება და დაიწყეთ დამხმარე მკურნალობა. პაციენტები უნდა იყვნენ ინფორმირებულნი სეროტონინის სინდრომის მომატებული რისკის შესახებ, განსაკუთრებით თუ ონდანსეტრონი გამოიყენება სხვა სეროტონერგულ პრეპარატებთან ერთად.</w:t>
      </w:r>
    </w:p>
    <w:p w14:paraId="2C2D4EFB" w14:textId="77777777" w:rsidR="006B57E5" w:rsidRPr="00330B09" w:rsidRDefault="006B57E5" w:rsidP="006B57E5">
      <w:pPr>
        <w:spacing w:after="0" w:line="240" w:lineRule="auto"/>
        <w:jc w:val="both"/>
        <w:rPr>
          <w:u w:val="single"/>
          <w:lang w:val="ka-GE"/>
        </w:rPr>
      </w:pPr>
      <w:r w:rsidRPr="00330B09">
        <w:rPr>
          <w:u w:val="single"/>
          <w:lang w:val="ka-GE"/>
        </w:rPr>
        <w:t xml:space="preserve">პროგრესირებადი </w:t>
      </w:r>
      <w:r>
        <w:rPr>
          <w:u w:val="single"/>
          <w:lang w:val="ka-GE"/>
        </w:rPr>
        <w:t>ნაწლავური გაუვალობისა</w:t>
      </w:r>
      <w:r w:rsidRPr="00330B09">
        <w:rPr>
          <w:u w:val="single"/>
          <w:lang w:val="ka-GE"/>
        </w:rPr>
        <w:t xml:space="preserve"> და კუჭის შებერილობის შენიღბვა</w:t>
      </w:r>
    </w:p>
    <w:p w14:paraId="613BCC92" w14:textId="77777777" w:rsidR="006B57E5" w:rsidRPr="00330B09" w:rsidRDefault="006B57E5" w:rsidP="006B57E5">
      <w:pPr>
        <w:spacing w:after="0" w:line="240" w:lineRule="auto"/>
        <w:jc w:val="both"/>
        <w:rPr>
          <w:lang w:val="ka-GE"/>
        </w:rPr>
      </w:pPr>
      <w:r w:rsidRPr="00330B09">
        <w:rPr>
          <w:lang w:val="ka-GE"/>
        </w:rPr>
        <w:t xml:space="preserve">ონდანსეტრონის გამოყენებამ მუცლის ღრუს ოპერაციის შემდეგ ან ქიმიოთერაპიით გამოწვეული გულისრევისა და ღებინების მქონე პაციენტებში შეიძლება შენიღბოს პროგრესირებადი </w:t>
      </w:r>
      <w:r>
        <w:rPr>
          <w:lang w:val="ka-GE"/>
        </w:rPr>
        <w:t>ნაწლავური გაუვალობა</w:t>
      </w:r>
      <w:r w:rsidRPr="00330B09">
        <w:rPr>
          <w:lang w:val="ka-GE"/>
        </w:rPr>
        <w:t xml:space="preserve"> და კუჭის შებერილობა. აკონტროლეთ ნაწლავების აქტივობის შემცირება, განსაკუთრებით იმ პაციენტებში, რომლებსაც აქვთ კუჭ-ნაწლავის ობსტრუქციის რისკ-ფაქტორები.</w:t>
      </w:r>
    </w:p>
    <w:p w14:paraId="4E23F1A0" w14:textId="77777777" w:rsidR="006B57E5" w:rsidRPr="00330B09" w:rsidRDefault="006B57E5" w:rsidP="006B57E5">
      <w:pPr>
        <w:spacing w:after="0" w:line="240" w:lineRule="auto"/>
        <w:jc w:val="both"/>
        <w:rPr>
          <w:lang w:val="ka-GE"/>
        </w:rPr>
      </w:pPr>
      <w:r w:rsidRPr="00330B09">
        <w:rPr>
          <w:lang w:val="ka-GE"/>
        </w:rPr>
        <w:t>ონდანსეტრონი არ არის პრეპარატი, რომელიც ასტიმულირებს კუჭის ან ნაწლავების პერისტალტიკას. ის არ უნდა იქნას გამოყენებული ნაზოგასტრალური შეწოვის შემცვლელად.</w:t>
      </w:r>
    </w:p>
    <w:p w14:paraId="1940599E" w14:textId="77777777" w:rsidR="00B251D1" w:rsidRPr="0083206A" w:rsidRDefault="00B251D1" w:rsidP="00D47B11">
      <w:pPr>
        <w:spacing w:after="0" w:line="240" w:lineRule="auto"/>
        <w:jc w:val="both"/>
        <w:rPr>
          <w:lang w:val="ka-GE"/>
        </w:rPr>
      </w:pPr>
    </w:p>
    <w:p w14:paraId="54BAB3ED" w14:textId="77777777" w:rsidR="00444032" w:rsidRPr="0083206A" w:rsidRDefault="00B251D1" w:rsidP="00444032">
      <w:pPr>
        <w:spacing w:after="0" w:line="240" w:lineRule="auto"/>
        <w:jc w:val="both"/>
        <w:rPr>
          <w:b/>
          <w:bCs/>
          <w:lang w:val="ka-GE"/>
        </w:rPr>
      </w:pPr>
      <w:r w:rsidRPr="0083206A">
        <w:rPr>
          <w:b/>
          <w:bCs/>
          <w:lang w:val="ka-GE"/>
        </w:rPr>
        <w:t xml:space="preserve">4.5 </w:t>
      </w:r>
      <w:r w:rsidR="00444032" w:rsidRPr="0083206A">
        <w:rPr>
          <w:b/>
          <w:bCs/>
          <w:lang w:val="ka-GE"/>
        </w:rPr>
        <w:t>ურთიერთქმედება სხვა სამკურნალო საშუალებებთან</w:t>
      </w:r>
    </w:p>
    <w:p w14:paraId="2E654E9A" w14:textId="77777777" w:rsidR="006B57E5" w:rsidRPr="00330B09" w:rsidRDefault="006B57E5" w:rsidP="006B57E5">
      <w:pPr>
        <w:spacing w:after="0" w:line="240" w:lineRule="auto"/>
        <w:jc w:val="both"/>
        <w:rPr>
          <w:lang w:val="ka-GE"/>
        </w:rPr>
      </w:pPr>
      <w:r w:rsidRPr="00330B09">
        <w:rPr>
          <w:u w:val="single"/>
          <w:lang w:val="ka-GE"/>
        </w:rPr>
        <w:t>ციტოქრომ P-450 ფერმენტებზე მოქმედი პრეპარატები</w:t>
      </w:r>
    </w:p>
    <w:p w14:paraId="7F853B17" w14:textId="77777777" w:rsidR="006B57E5" w:rsidRPr="00330B09" w:rsidRDefault="006B57E5" w:rsidP="006B57E5">
      <w:pPr>
        <w:spacing w:after="0" w:line="240" w:lineRule="auto"/>
        <w:jc w:val="both"/>
        <w:rPr>
          <w:lang w:val="ka-GE"/>
        </w:rPr>
      </w:pPr>
      <w:r>
        <w:rPr>
          <w:lang w:val="ka-GE"/>
        </w:rPr>
        <w:t>სავარაუდოა, რომ</w:t>
      </w:r>
      <w:r w:rsidRPr="00330B09">
        <w:rPr>
          <w:lang w:val="ka-GE"/>
        </w:rPr>
        <w:t xml:space="preserve"> ონდანსეტრონი არ იწვევს </w:t>
      </w:r>
      <w:r>
        <w:rPr>
          <w:lang w:val="ka-GE"/>
        </w:rPr>
        <w:t xml:space="preserve">პრეპარატების მეტაბოლიზმზე მოქმედი </w:t>
      </w:r>
      <w:r w:rsidRPr="00330B09">
        <w:rPr>
          <w:lang w:val="ka-GE"/>
        </w:rPr>
        <w:t xml:space="preserve">ღვიძლის ციტოქრომ P-450 ფერმენტული სისტემის ინდუცირებას ან ინჰიბირებას. რადგან ონდანსეტრონი მეტაბოლიზდება ღვიძლის ციტოქრომ p-450 </w:t>
      </w:r>
      <w:r>
        <w:rPr>
          <w:lang w:val="ka-GE"/>
        </w:rPr>
        <w:t>პრეპარატების</w:t>
      </w:r>
      <w:r w:rsidRPr="00330B09">
        <w:rPr>
          <w:lang w:val="ka-GE"/>
        </w:rPr>
        <w:t xml:space="preserve"> მეტაბოლიზმზე მოქმედი ფერმენტებით (CYP3A4, CYP2D6, CYP1A2), ამ ფერმენტების ინდუქტორებმა ან ინჰიბიტორებმა შეიძლება შეცვალონ ონდანსეტრონის კლირენსი და, შესაბამისად, ნახევარგამოყოფის პერიოდი. შეზღუდული ხელმისაწვდომი მონაცემების საფუძველზე, ამ პრეპარატების მიმღები პაციენტებისთვის დოზის კორექცია რეკომენდებული არ არის. </w:t>
      </w:r>
    </w:p>
    <w:p w14:paraId="3538D6B2" w14:textId="77777777" w:rsidR="006B57E5" w:rsidRPr="00330B09" w:rsidRDefault="006B57E5" w:rsidP="006B57E5">
      <w:pPr>
        <w:spacing w:after="0" w:line="240" w:lineRule="auto"/>
        <w:jc w:val="both"/>
        <w:rPr>
          <w:u w:val="single"/>
          <w:lang w:val="ka-GE"/>
        </w:rPr>
      </w:pPr>
      <w:r w:rsidRPr="00330B09">
        <w:rPr>
          <w:u w:val="single"/>
          <w:lang w:val="ka-GE"/>
        </w:rPr>
        <w:t>აპომორფინი</w:t>
      </w:r>
    </w:p>
    <w:p w14:paraId="60912F86" w14:textId="77777777" w:rsidR="006B57E5" w:rsidRPr="00330B09" w:rsidRDefault="006B57E5" w:rsidP="006B57E5">
      <w:pPr>
        <w:spacing w:after="0" w:line="240" w:lineRule="auto"/>
        <w:jc w:val="both"/>
        <w:rPr>
          <w:lang w:val="ka-GE"/>
        </w:rPr>
      </w:pPr>
      <w:r w:rsidRPr="00330B09">
        <w:rPr>
          <w:lang w:val="ka-GE"/>
        </w:rPr>
        <w:t>ონდანსეტრონთან აპომორფინის მიღებისას ღრმა ჰიპოტენზიისა და გონების დაკარგვის შესახებ ინფორმაციის საფუძველზე, აპომორფინისა და ონდანსეტრონის ერთდროული გამოყენება უკუნაჩვენებია.</w:t>
      </w:r>
    </w:p>
    <w:p w14:paraId="3CD8FEBF" w14:textId="77777777" w:rsidR="006B57E5" w:rsidRPr="00330B09" w:rsidRDefault="006B57E5" w:rsidP="006B57E5">
      <w:pPr>
        <w:spacing w:after="0" w:line="240" w:lineRule="auto"/>
        <w:jc w:val="both"/>
        <w:rPr>
          <w:u w:val="single"/>
          <w:lang w:val="ka-GE"/>
        </w:rPr>
      </w:pPr>
      <w:r w:rsidRPr="00330B09">
        <w:rPr>
          <w:u w:val="single"/>
          <w:lang w:val="ka-GE"/>
        </w:rPr>
        <w:t>ფენიტოინი, კარბამაზეპინი და რიფამპინი</w:t>
      </w:r>
    </w:p>
    <w:p w14:paraId="6BB1C1C5" w14:textId="77777777" w:rsidR="006B57E5" w:rsidRPr="00330B09" w:rsidRDefault="006B57E5" w:rsidP="006B57E5">
      <w:pPr>
        <w:spacing w:after="0" w:line="240" w:lineRule="auto"/>
        <w:jc w:val="both"/>
        <w:rPr>
          <w:lang w:val="ka-GE"/>
        </w:rPr>
      </w:pPr>
      <w:r w:rsidRPr="00330B09">
        <w:rPr>
          <w:lang w:val="ka-GE"/>
        </w:rPr>
        <w:t xml:space="preserve">CYP3A4-ის ძლიერი ინდუქტორებით (მაგ., ფენიტოინი, კარბამაზეპინი და რიფამპინი) მკურნალობის მიმღებ პაციენტებში ონდანსეტრონის კლირენსი მნიშვნელოვნად გაიზარდა და ონდანსეტრონის კონცენტრაცია სისხლში შემცირდა. თუმცა, </w:t>
      </w:r>
      <w:r>
        <w:rPr>
          <w:lang w:val="ka-GE"/>
        </w:rPr>
        <w:t>ხელმისაწვდომი</w:t>
      </w:r>
      <w:r w:rsidRPr="00330B09">
        <w:rPr>
          <w:lang w:val="ka-GE"/>
        </w:rPr>
        <w:t xml:space="preserve"> მონაცემების საფუძველზე, ამ პრეპარატების მიმღები პაციენტებისთვის ონდანსეტრონის დოზის კორექცია რეკომენდებული არ არის.</w:t>
      </w:r>
    </w:p>
    <w:p w14:paraId="1D63A159" w14:textId="77777777" w:rsidR="006B57E5" w:rsidRPr="00330B09" w:rsidRDefault="006B57E5" w:rsidP="006B57E5">
      <w:pPr>
        <w:spacing w:after="0" w:line="240" w:lineRule="auto"/>
        <w:jc w:val="both"/>
        <w:rPr>
          <w:u w:val="single"/>
          <w:lang w:val="ka-GE"/>
        </w:rPr>
      </w:pPr>
      <w:r w:rsidRPr="00330B09">
        <w:rPr>
          <w:u w:val="single"/>
          <w:lang w:val="ka-GE"/>
        </w:rPr>
        <w:t>ტრამადოლი</w:t>
      </w:r>
    </w:p>
    <w:p w14:paraId="123193B3" w14:textId="77777777" w:rsidR="006B57E5" w:rsidRPr="00330B09" w:rsidRDefault="006B57E5" w:rsidP="006B57E5">
      <w:pPr>
        <w:spacing w:after="0" w:line="240" w:lineRule="auto"/>
        <w:jc w:val="both"/>
        <w:rPr>
          <w:lang w:val="ka-GE"/>
        </w:rPr>
      </w:pPr>
      <w:r w:rsidRPr="00330B09">
        <w:rPr>
          <w:lang w:val="ka-GE"/>
        </w:rPr>
        <w:t>მიუხედავად იმისა, რომ არ არსებობს მონაცემები ონდანსეტრონსა და ტრამადოლს შორის ფარმაკოკინეტიკური ურთიერთქმედების შესახებ, ორი მცირე კვლევის მონაცემები მიუთითებს, რომ ონდანსეტრონის ერთდროულმა გამოყენებამ შეიძლება გამოიწვიოს ტრამადოლის ტკივილგამაყუჩებელი აქტივობის შემცირება. ამ კვლევებში პაციენტები, რომლებიც ერთდროულად ონდანსეტრონს</w:t>
      </w:r>
      <w:r>
        <w:rPr>
          <w:lang w:val="ka-GE"/>
        </w:rPr>
        <w:t>აც</w:t>
      </w:r>
      <w:r w:rsidRPr="00330B09">
        <w:rPr>
          <w:lang w:val="ka-GE"/>
        </w:rPr>
        <w:t xml:space="preserve"> იღებდნენ, უფრო ხშირად </w:t>
      </w:r>
      <w:r>
        <w:rPr>
          <w:lang w:val="ka-GE"/>
        </w:rPr>
        <w:t>იყენებდნენ</w:t>
      </w:r>
      <w:r w:rsidRPr="00330B09">
        <w:rPr>
          <w:lang w:val="ka-GE"/>
        </w:rPr>
        <w:t xml:space="preserve"> ტრამადოლს, რაც იწვევდა ტრამადოლის კუმულაციური დოზის ზრდას პაციენტის მიერ კონტროლირებადი მიღებისას.</w:t>
      </w:r>
    </w:p>
    <w:p w14:paraId="12FBEEA1" w14:textId="77777777" w:rsidR="006B57E5" w:rsidRPr="00330B09" w:rsidRDefault="006B57E5" w:rsidP="006B57E5">
      <w:pPr>
        <w:spacing w:after="0" w:line="240" w:lineRule="auto"/>
        <w:jc w:val="both"/>
        <w:rPr>
          <w:u w:val="single"/>
          <w:lang w:val="ka-GE"/>
        </w:rPr>
      </w:pPr>
      <w:r w:rsidRPr="00330B09">
        <w:rPr>
          <w:u w:val="single"/>
          <w:lang w:val="ka-GE"/>
        </w:rPr>
        <w:t>სეროტონინერგული პრეპარატები</w:t>
      </w:r>
    </w:p>
    <w:p w14:paraId="65FE5D98" w14:textId="77777777" w:rsidR="006B57E5" w:rsidRPr="00330B09" w:rsidRDefault="006B57E5" w:rsidP="006B57E5">
      <w:pPr>
        <w:spacing w:after="0" w:line="240" w:lineRule="auto"/>
        <w:jc w:val="both"/>
        <w:rPr>
          <w:lang w:val="ka-GE"/>
        </w:rPr>
      </w:pPr>
      <w:r w:rsidRPr="00330B09">
        <w:rPr>
          <w:lang w:val="ka-GE"/>
        </w:rPr>
        <w:lastRenderedPageBreak/>
        <w:t xml:space="preserve">სეროტონინის სინდრომი (მათ შორის შეცვლილი ფსიქიკური მდგომარეობა, ავტონომიური ნერვული სისტემის არასტაბილურობა და ნერვ-კუნთოვანი სიმპტომები) აღწერილია 5-HT3 რეცეპტორების ანტაგონისტების და სხვა სეროტონინერგული პრეპარატების, მათ შორის SSRI-ების და SNRI-ების ერთდროული გამოყენების შემდეგ. </w:t>
      </w:r>
    </w:p>
    <w:p w14:paraId="6A597884" w14:textId="77777777" w:rsidR="006B57E5" w:rsidRPr="00330B09" w:rsidRDefault="006B57E5" w:rsidP="006B57E5">
      <w:pPr>
        <w:spacing w:after="0" w:line="240" w:lineRule="auto"/>
        <w:jc w:val="both"/>
        <w:rPr>
          <w:u w:val="single"/>
          <w:lang w:val="ka-GE"/>
        </w:rPr>
      </w:pPr>
      <w:r w:rsidRPr="00330B09">
        <w:rPr>
          <w:u w:val="single"/>
          <w:lang w:val="ka-GE"/>
        </w:rPr>
        <w:t>ქიმიოთერაპია</w:t>
      </w:r>
    </w:p>
    <w:p w14:paraId="05715A2A" w14:textId="77777777" w:rsidR="006B57E5" w:rsidRPr="00330B09" w:rsidRDefault="006B57E5" w:rsidP="006B57E5">
      <w:pPr>
        <w:spacing w:after="0" w:line="240" w:lineRule="auto"/>
        <w:jc w:val="both"/>
        <w:rPr>
          <w:lang w:val="ka-GE"/>
        </w:rPr>
      </w:pPr>
      <w:r>
        <w:rPr>
          <w:lang w:val="ka-GE"/>
        </w:rPr>
        <w:t>პაციენტებში,</w:t>
      </w:r>
      <w:r w:rsidRPr="00330B09">
        <w:rPr>
          <w:lang w:val="ka-GE"/>
        </w:rPr>
        <w:t xml:space="preserve"> კარმუსტინი, ეტოპოზიდი და ცისპლატინი გავლენას არ ახდენენ ონდანსეტრონის ფარმაკოკინეტიკაზე. სამოცდათექვსმეტ პედიატრიულ პაციენტზე ჩატარებულ ჯვარედინი კვლევისას, ინტრავენურმა ონდანსეტრონმა არ გაზარდა მეტოტრექსატის მაღალი დოზების დონე სისხლში.</w:t>
      </w:r>
    </w:p>
    <w:p w14:paraId="689CBA8C" w14:textId="77777777" w:rsidR="006B57E5" w:rsidRPr="00330B09" w:rsidRDefault="006B57E5" w:rsidP="006B57E5">
      <w:pPr>
        <w:spacing w:after="0" w:line="240" w:lineRule="auto"/>
        <w:jc w:val="both"/>
        <w:rPr>
          <w:u w:val="single"/>
          <w:lang w:val="ka-GE"/>
        </w:rPr>
      </w:pPr>
      <w:r w:rsidRPr="00330B09">
        <w:rPr>
          <w:u w:val="single"/>
          <w:lang w:val="ka-GE"/>
        </w:rPr>
        <w:t>ტემაზეპამი</w:t>
      </w:r>
    </w:p>
    <w:p w14:paraId="5FAD7D07" w14:textId="77777777" w:rsidR="006B57E5" w:rsidRPr="00330B09" w:rsidRDefault="006B57E5" w:rsidP="006B57E5">
      <w:pPr>
        <w:spacing w:after="0" w:line="240" w:lineRule="auto"/>
        <w:jc w:val="both"/>
        <w:rPr>
          <w:lang w:val="ka-GE"/>
        </w:rPr>
      </w:pPr>
      <w:r w:rsidRPr="00330B09">
        <w:rPr>
          <w:lang w:val="ka-GE"/>
        </w:rPr>
        <w:t>ონდანსეტრონის ერთდროულმა მიღებამ გავლენა არ მოახდინა ტემაზეპამის ფარმაკოკინეტიკასა და ფარმაკოდინამიკაზე.</w:t>
      </w:r>
    </w:p>
    <w:p w14:paraId="1DA24C2A" w14:textId="77777777" w:rsidR="006B57E5" w:rsidRPr="00330B09" w:rsidRDefault="006B57E5" w:rsidP="006B57E5">
      <w:pPr>
        <w:spacing w:after="0" w:line="240" w:lineRule="auto"/>
        <w:jc w:val="both"/>
        <w:rPr>
          <w:u w:val="single"/>
          <w:lang w:val="ka-GE"/>
        </w:rPr>
      </w:pPr>
      <w:r w:rsidRPr="00330B09">
        <w:rPr>
          <w:u w:val="single"/>
          <w:lang w:val="ka-GE"/>
        </w:rPr>
        <w:t>ალფენტანილი და ატრაკურიუმი</w:t>
      </w:r>
    </w:p>
    <w:p w14:paraId="765099D5" w14:textId="77777777" w:rsidR="006B57E5" w:rsidRPr="00330B09" w:rsidRDefault="006B57E5" w:rsidP="006B57E5">
      <w:pPr>
        <w:spacing w:after="0" w:line="240" w:lineRule="auto"/>
        <w:jc w:val="both"/>
        <w:rPr>
          <w:lang w:val="ka-GE"/>
        </w:rPr>
      </w:pPr>
      <w:r w:rsidRPr="00330B09">
        <w:rPr>
          <w:lang w:val="ka-GE"/>
        </w:rPr>
        <w:t>ონდანსეტრონი არ ცვლის ალფენტანილის მიერ გამოწვეულ სუნთქვის დამთრგუნველ ეფექტებს ან ატრაკურიუმის მიერ გამოწვეულ ნერვ</w:t>
      </w:r>
      <w:r>
        <w:rPr>
          <w:lang w:val="ka-GE"/>
        </w:rPr>
        <w:t>-</w:t>
      </w:r>
      <w:r w:rsidRPr="00330B09">
        <w:rPr>
          <w:lang w:val="ka-GE"/>
        </w:rPr>
        <w:t>კუნთოვანი ბლოკადის ხარისხს. ზოგად ან ადგილობრივ ანესთეტიკებთან ურთიერთქმედება არ არის შესწავლილი.</w:t>
      </w:r>
    </w:p>
    <w:p w14:paraId="0D2A7186" w14:textId="77777777" w:rsidR="006B57E5" w:rsidRPr="0072658F" w:rsidRDefault="006B57E5" w:rsidP="006B57E5">
      <w:pPr>
        <w:spacing w:after="0" w:line="240" w:lineRule="auto"/>
        <w:jc w:val="both"/>
        <w:rPr>
          <w:lang w:val="ka-GE"/>
        </w:rPr>
      </w:pPr>
      <w:r w:rsidRPr="0072658F">
        <w:rPr>
          <w:lang w:val="ka-GE"/>
        </w:rPr>
        <w:t>გამოიყენება სპეციალურ პოპულაციებში.</w:t>
      </w:r>
    </w:p>
    <w:p w14:paraId="3051DFF2" w14:textId="77777777" w:rsidR="006B57E5" w:rsidRPr="00330B09" w:rsidRDefault="006B57E5" w:rsidP="006B57E5">
      <w:pPr>
        <w:spacing w:after="0" w:line="240" w:lineRule="auto"/>
        <w:jc w:val="both"/>
        <w:rPr>
          <w:lang w:val="ka-GE"/>
        </w:rPr>
      </w:pPr>
      <w:r w:rsidRPr="00330B09">
        <w:rPr>
          <w:u w:val="single"/>
          <w:lang w:val="ka-GE"/>
        </w:rPr>
        <w:t>თირკმლის უკმარისობის მქონე პაციენტები</w:t>
      </w:r>
    </w:p>
    <w:p w14:paraId="50091E94" w14:textId="77777777" w:rsidR="006B57E5" w:rsidRPr="00330B09" w:rsidRDefault="006B57E5" w:rsidP="006B57E5">
      <w:pPr>
        <w:spacing w:after="0" w:line="240" w:lineRule="auto"/>
        <w:jc w:val="both"/>
        <w:rPr>
          <w:lang w:val="ka-GE"/>
        </w:rPr>
      </w:pPr>
      <w:r w:rsidRPr="00330B09">
        <w:rPr>
          <w:lang w:val="ka-GE"/>
        </w:rPr>
        <w:t>მიუხედავად იმისა, რომ პლაზმური კლირენსი შემცირებულია თირკმლის მძიმე უკმარისობის მქონე პაციენტებში (კრეატინინის კლირენსი &lt; 30 მლ/წთ), დოზის კორექცია რეკომენდებული არ არის.</w:t>
      </w:r>
    </w:p>
    <w:p w14:paraId="08E7018A" w14:textId="77777777" w:rsidR="006B57E5" w:rsidRPr="00330B09" w:rsidRDefault="006B57E5" w:rsidP="006B57E5">
      <w:pPr>
        <w:spacing w:after="0" w:line="240" w:lineRule="auto"/>
        <w:jc w:val="both"/>
        <w:rPr>
          <w:u w:val="single"/>
          <w:lang w:val="ka-GE"/>
        </w:rPr>
      </w:pPr>
      <w:r w:rsidRPr="00330B09">
        <w:rPr>
          <w:u w:val="single"/>
          <w:lang w:val="ka-GE"/>
        </w:rPr>
        <w:t>ღვიძლის ფუნქციის დარღვევის მქონე პაციენტები</w:t>
      </w:r>
    </w:p>
    <w:p w14:paraId="2132C295" w14:textId="77777777" w:rsidR="006B57E5" w:rsidRPr="00330B09" w:rsidRDefault="006B57E5" w:rsidP="006B57E5">
      <w:pPr>
        <w:spacing w:after="0" w:line="240" w:lineRule="auto"/>
        <w:jc w:val="both"/>
        <w:rPr>
          <w:lang w:val="ka-GE"/>
        </w:rPr>
      </w:pPr>
      <w:r w:rsidRPr="00330B09">
        <w:rPr>
          <w:lang w:val="ka-GE"/>
        </w:rPr>
        <w:t xml:space="preserve">ღვიძლის მძიმე უკმარისობის მქონე პაციენტებში (ჩაილდ-პიუს შკალით 10 ან მეტი), კლირენსი მცირდება და განაწილების მოცულობა იზრდება, რაც იწვევს პლაზმიდან ნახევარგამოყოფის პერიოდის ზრდას. ასეთ პაციენტებში დღიური </w:t>
      </w:r>
      <w:r>
        <w:rPr>
          <w:lang w:val="ka-GE"/>
        </w:rPr>
        <w:t xml:space="preserve">ჯამური </w:t>
      </w:r>
      <w:r w:rsidRPr="00330B09">
        <w:rPr>
          <w:lang w:val="ka-GE"/>
        </w:rPr>
        <w:t>დოზა არ უნდა აღემატებოდეს 8 მგ-ს.</w:t>
      </w:r>
    </w:p>
    <w:p w14:paraId="4DF8ED0F" w14:textId="77777777" w:rsidR="00B251D1" w:rsidRPr="0083206A" w:rsidRDefault="00B251D1" w:rsidP="00D47B11">
      <w:pPr>
        <w:spacing w:after="0" w:line="240" w:lineRule="auto"/>
        <w:jc w:val="both"/>
        <w:rPr>
          <w:b/>
          <w:bCs/>
          <w:lang w:val="ka-GE"/>
        </w:rPr>
      </w:pPr>
    </w:p>
    <w:p w14:paraId="61AB3AE7" w14:textId="77777777" w:rsidR="00D47B11" w:rsidRPr="0083206A" w:rsidRDefault="00F11566" w:rsidP="003A05F3">
      <w:pPr>
        <w:spacing w:after="0" w:line="240" w:lineRule="auto"/>
        <w:jc w:val="both"/>
        <w:rPr>
          <w:b/>
          <w:bCs/>
          <w:lang w:val="ka-GE"/>
        </w:rPr>
      </w:pPr>
      <w:r w:rsidRPr="0083206A">
        <w:rPr>
          <w:b/>
          <w:bCs/>
          <w:lang w:val="ka-GE"/>
        </w:rPr>
        <w:t>4.6 ორსულობა და ლაქტაცია</w:t>
      </w:r>
    </w:p>
    <w:p w14:paraId="1BAD9EF4" w14:textId="77777777" w:rsidR="006B57E5" w:rsidRPr="006B57E5" w:rsidRDefault="006B57E5" w:rsidP="006B57E5">
      <w:pPr>
        <w:spacing w:after="0" w:line="240" w:lineRule="auto"/>
        <w:jc w:val="both"/>
        <w:rPr>
          <w:lang w:val="ka-GE"/>
        </w:rPr>
      </w:pPr>
      <w:r w:rsidRPr="006B57E5">
        <w:rPr>
          <w:lang w:val="ka-GE"/>
        </w:rPr>
        <w:t>ორსულობის პირველ ტრიმესტრში ონდანსეტრონის ინექცია გამოიყენება მხოლოდ ექიმთან კონსულტაციის შემდეგ, მაშინ, როდესაც დადგინდება თქვენთვის და ნაყოფისთვის სხვადასხვა მკურნალობის ვარიანტების პოტენციური სარგებლი და რისკები. ონდანსეტრონმა შეიძლება ოდნავ გაზარდოს ბავშვში ტუჩისა და სასის ნაპრალის (ზედა ტუჩის და/ან სასის ხვრელები ან ნაპრალები) განვითარების რისკი. თუ უკვე ორსულად ხართ, ფიქრობთ, რომ შეიძლება ორსულად იყოთ ან გეგმავთ ორსულობას, ონდანსეტრონის ინექციის გამოყენებამდე კონსულტაცია გაიარეთ ექიმთან ან ფარმაცევტთან.</w:t>
      </w:r>
    </w:p>
    <w:p w14:paraId="6EB7BA4C" w14:textId="77777777" w:rsidR="006B57E5" w:rsidRPr="006B57E5" w:rsidRDefault="006B57E5" w:rsidP="006B57E5">
      <w:pPr>
        <w:spacing w:after="0" w:line="240" w:lineRule="auto"/>
        <w:jc w:val="both"/>
        <w:rPr>
          <w:lang w:val="ka-GE"/>
        </w:rPr>
      </w:pPr>
      <w:r w:rsidRPr="006B57E5">
        <w:rPr>
          <w:lang w:val="ka-GE"/>
        </w:rPr>
        <w:t>რეპროდუქციული ასაკის ქალებისთვის შესაძლოა მიზანშეწონილი იყოს კონტრაცეფციის საიმედო მეთოდებს გამოყენება.</w:t>
      </w:r>
    </w:p>
    <w:p w14:paraId="1972F6A3" w14:textId="19978EFA" w:rsidR="006B57E5" w:rsidRDefault="006B57E5" w:rsidP="006B57E5">
      <w:pPr>
        <w:spacing w:after="0" w:line="240" w:lineRule="auto"/>
        <w:jc w:val="both"/>
        <w:rPr>
          <w:lang w:val="ka-GE"/>
        </w:rPr>
      </w:pPr>
      <w:r w:rsidRPr="006B57E5">
        <w:rPr>
          <w:lang w:val="ka-GE"/>
        </w:rPr>
        <w:t>ონდანსეტრონის ინექციით მკურნალობის დროს არ კვებოთ ბავშვი ძუძუთი, რადგან მისი მცირე რაოდენობით გადადის დედის რძეში. კონსულტაცია გაიარეთ ექიმთან ან მეანთან.</w:t>
      </w:r>
    </w:p>
    <w:p w14:paraId="6654D546" w14:textId="77777777" w:rsidR="006B57E5" w:rsidRPr="006B57E5" w:rsidRDefault="006B57E5" w:rsidP="006B57E5">
      <w:pPr>
        <w:spacing w:after="0" w:line="240" w:lineRule="auto"/>
        <w:jc w:val="both"/>
        <w:rPr>
          <w:lang w:val="ka-GE"/>
        </w:rPr>
      </w:pPr>
    </w:p>
    <w:p w14:paraId="01BBB5F8" w14:textId="77777777" w:rsidR="004C2A2C" w:rsidRPr="0083206A" w:rsidRDefault="009403E6" w:rsidP="004C2A2C">
      <w:pPr>
        <w:spacing w:after="0" w:line="240" w:lineRule="auto"/>
        <w:jc w:val="both"/>
        <w:rPr>
          <w:b/>
          <w:bCs/>
          <w:lang w:val="ka-GE"/>
        </w:rPr>
      </w:pPr>
      <w:r w:rsidRPr="0083206A">
        <w:rPr>
          <w:b/>
          <w:bCs/>
          <w:lang w:val="ka-GE"/>
        </w:rPr>
        <w:t xml:space="preserve">4.7 </w:t>
      </w:r>
      <w:r w:rsidR="004C2A2C" w:rsidRPr="0083206A">
        <w:rPr>
          <w:b/>
          <w:bCs/>
          <w:lang w:val="ka-GE"/>
        </w:rPr>
        <w:t>ზეგავლენა ავტომობილის მართვისა და მექანიზმების გამოყენების უნარზე</w:t>
      </w:r>
    </w:p>
    <w:p w14:paraId="1940AC82" w14:textId="77777777" w:rsidR="009403E6" w:rsidRPr="0083206A" w:rsidRDefault="004C2A2C" w:rsidP="004C2A2C">
      <w:pPr>
        <w:spacing w:after="0" w:line="240" w:lineRule="auto"/>
        <w:jc w:val="both"/>
        <w:rPr>
          <w:lang w:val="ka-GE"/>
        </w:rPr>
      </w:pPr>
      <w:r w:rsidRPr="0083206A">
        <w:rPr>
          <w:lang w:val="ka-GE"/>
        </w:rPr>
        <w:t>ონდანსეტრონს არ აქვს ან აქვს უმნიშვნელო გავლენა ავტომობილის მართვისა და მექანიზმების გამოყენების უნარზე.</w:t>
      </w:r>
    </w:p>
    <w:p w14:paraId="6126C0A8" w14:textId="77777777" w:rsidR="00D215BE" w:rsidRPr="0083206A" w:rsidRDefault="00D215BE" w:rsidP="004C2A2C">
      <w:pPr>
        <w:spacing w:after="0" w:line="240" w:lineRule="auto"/>
        <w:jc w:val="both"/>
        <w:rPr>
          <w:lang w:val="ka-GE"/>
        </w:rPr>
      </w:pPr>
    </w:p>
    <w:p w14:paraId="26B9DE2D" w14:textId="77777777" w:rsidR="0030796C" w:rsidRPr="0083206A" w:rsidRDefault="00D215BE" w:rsidP="0030796C">
      <w:pPr>
        <w:spacing w:after="0" w:line="240" w:lineRule="auto"/>
        <w:jc w:val="both"/>
        <w:rPr>
          <w:b/>
          <w:bCs/>
          <w:lang w:val="ka-GE"/>
        </w:rPr>
      </w:pPr>
      <w:r w:rsidRPr="0083206A">
        <w:rPr>
          <w:b/>
          <w:bCs/>
          <w:lang w:val="ka-GE"/>
        </w:rPr>
        <w:t xml:space="preserve">4.8 </w:t>
      </w:r>
      <w:r w:rsidR="0030796C" w:rsidRPr="0083206A">
        <w:rPr>
          <w:b/>
          <w:bCs/>
          <w:lang w:val="ka-GE"/>
        </w:rPr>
        <w:t>არასასურველი ეფექტები</w:t>
      </w:r>
    </w:p>
    <w:p w14:paraId="438D2277" w14:textId="77777777" w:rsidR="0030796C" w:rsidRPr="0083206A" w:rsidRDefault="0030796C" w:rsidP="0030796C">
      <w:pPr>
        <w:spacing w:after="0" w:line="240" w:lineRule="auto"/>
        <w:jc w:val="both"/>
        <w:rPr>
          <w:lang w:val="ka-GE"/>
        </w:rPr>
      </w:pPr>
      <w:r w:rsidRPr="0083206A">
        <w:rPr>
          <w:lang w:val="ka-GE"/>
        </w:rPr>
        <w:t>გამოიყენება შემდეგი სიხშირის კლასიფიკაცია:</w:t>
      </w:r>
    </w:p>
    <w:p w14:paraId="186FF8F6" w14:textId="77777777" w:rsidR="0030796C" w:rsidRPr="0083206A" w:rsidRDefault="0030796C" w:rsidP="0030796C">
      <w:pPr>
        <w:spacing w:after="0" w:line="240" w:lineRule="auto"/>
        <w:jc w:val="both"/>
        <w:rPr>
          <w:lang w:val="ka-GE"/>
        </w:rPr>
      </w:pPr>
      <w:r w:rsidRPr="0083206A">
        <w:rPr>
          <w:lang w:val="ka-GE"/>
        </w:rPr>
        <w:t>ძალიან ხშირი: ≥1/10.</w:t>
      </w:r>
    </w:p>
    <w:p w14:paraId="1AAEC505" w14:textId="77777777" w:rsidR="0030796C" w:rsidRPr="0083206A" w:rsidRDefault="0030796C" w:rsidP="0030796C">
      <w:pPr>
        <w:spacing w:after="0" w:line="240" w:lineRule="auto"/>
        <w:jc w:val="both"/>
        <w:rPr>
          <w:lang w:val="ka-GE"/>
        </w:rPr>
      </w:pPr>
      <w:r w:rsidRPr="0083206A">
        <w:rPr>
          <w:lang w:val="ka-GE"/>
        </w:rPr>
        <w:t>ხშირი: ≥1/100 – &lt;1/10.</w:t>
      </w:r>
    </w:p>
    <w:p w14:paraId="3DC90784" w14:textId="77777777" w:rsidR="0030796C" w:rsidRPr="0083206A" w:rsidRDefault="0030796C" w:rsidP="0030796C">
      <w:pPr>
        <w:spacing w:after="0" w:line="240" w:lineRule="auto"/>
        <w:jc w:val="both"/>
        <w:rPr>
          <w:lang w:val="ka-GE"/>
        </w:rPr>
      </w:pPr>
      <w:r w:rsidRPr="0083206A">
        <w:rPr>
          <w:lang w:val="ka-GE"/>
        </w:rPr>
        <w:t>არახშირი: ≥1/1,000-დან &lt;1/100-მდე.</w:t>
      </w:r>
    </w:p>
    <w:p w14:paraId="64321D5B" w14:textId="77777777" w:rsidR="0030796C" w:rsidRPr="0083206A" w:rsidRDefault="0030796C" w:rsidP="0030796C">
      <w:pPr>
        <w:spacing w:after="0" w:line="240" w:lineRule="auto"/>
        <w:jc w:val="both"/>
        <w:rPr>
          <w:lang w:val="ka-GE"/>
        </w:rPr>
      </w:pPr>
      <w:r w:rsidRPr="0083206A">
        <w:rPr>
          <w:lang w:val="ka-GE"/>
        </w:rPr>
        <w:t xml:space="preserve">იშვიათი: ≥1/10,000-დან &lt;1/1,000-მდე; </w:t>
      </w:r>
    </w:p>
    <w:p w14:paraId="719D140E" w14:textId="77777777" w:rsidR="0030796C" w:rsidRPr="0083206A" w:rsidRDefault="0030796C" w:rsidP="0030796C">
      <w:pPr>
        <w:spacing w:after="0" w:line="240" w:lineRule="auto"/>
        <w:jc w:val="both"/>
        <w:rPr>
          <w:lang w:val="ka-GE"/>
        </w:rPr>
      </w:pPr>
      <w:r w:rsidRPr="0083206A">
        <w:rPr>
          <w:lang w:val="ka-GE"/>
        </w:rPr>
        <w:t>ძალიან იშვიათი: &lt;1/10,000.</w:t>
      </w:r>
    </w:p>
    <w:p w14:paraId="321761C9" w14:textId="77777777" w:rsidR="00D07F82" w:rsidRPr="0083206A" w:rsidRDefault="0030796C" w:rsidP="0030796C">
      <w:pPr>
        <w:spacing w:after="0" w:line="240" w:lineRule="auto"/>
        <w:jc w:val="both"/>
        <w:rPr>
          <w:lang w:val="ka-GE"/>
        </w:rPr>
      </w:pPr>
      <w:r w:rsidRPr="0083206A">
        <w:rPr>
          <w:lang w:val="ka-GE"/>
        </w:rPr>
        <w:lastRenderedPageBreak/>
        <w:t>სიხშირე უცნობია - არსებული მონაცემებით შეუძლებელია სიხშირის დადგენა.</w:t>
      </w:r>
    </w:p>
    <w:p w14:paraId="638D652E" w14:textId="77777777" w:rsidR="006B57E5" w:rsidRPr="00330B09" w:rsidRDefault="006B57E5" w:rsidP="006B57E5">
      <w:pPr>
        <w:spacing w:after="0" w:line="240" w:lineRule="auto"/>
        <w:jc w:val="both"/>
        <w:rPr>
          <w:lang w:val="ka-GE"/>
        </w:rPr>
      </w:pPr>
      <w:r w:rsidRPr="00330B09">
        <w:rPr>
          <w:u w:val="single"/>
          <w:lang w:val="ka-GE"/>
        </w:rPr>
        <w:t>დარღვევები</w:t>
      </w:r>
      <w:r>
        <w:rPr>
          <w:u w:val="single"/>
          <w:lang w:val="ka-GE"/>
        </w:rPr>
        <w:t xml:space="preserve"> </w:t>
      </w:r>
      <w:r w:rsidRPr="00330B09">
        <w:rPr>
          <w:u w:val="single"/>
          <w:lang w:val="ka-GE"/>
        </w:rPr>
        <w:t>იმუნური სისტემის</w:t>
      </w:r>
      <w:r>
        <w:rPr>
          <w:u w:val="single"/>
          <w:lang w:val="ka-GE"/>
        </w:rPr>
        <w:t xml:space="preserve"> მხრივ</w:t>
      </w:r>
      <w:r w:rsidRPr="00330B09">
        <w:rPr>
          <w:u w:val="single"/>
          <w:lang w:val="ka-GE"/>
        </w:rPr>
        <w:t xml:space="preserve"> </w:t>
      </w:r>
    </w:p>
    <w:p w14:paraId="426F9371" w14:textId="77777777" w:rsidR="006B57E5" w:rsidRPr="00330B09" w:rsidRDefault="006B57E5" w:rsidP="006B57E5">
      <w:pPr>
        <w:spacing w:after="0" w:line="240" w:lineRule="auto"/>
        <w:jc w:val="both"/>
        <w:rPr>
          <w:lang w:val="ka-GE"/>
        </w:rPr>
      </w:pPr>
      <w:r w:rsidRPr="00330B09">
        <w:rPr>
          <w:lang w:val="ka-GE"/>
        </w:rPr>
        <w:t>იშვიათი: დაუყოვნებელი ჰიპერმგრძნობელობის რეაქციები, ზოგჯერ მძიმე, ანაფილაქსიის ჩათვლით. ანაფილაქსია შეიძლება იყო</w:t>
      </w:r>
      <w:r>
        <w:rPr>
          <w:lang w:val="ka-GE"/>
        </w:rPr>
        <w:t xml:space="preserve">ს </w:t>
      </w:r>
      <w:r w:rsidRPr="00330B09">
        <w:rPr>
          <w:lang w:val="ka-GE"/>
        </w:rPr>
        <w:t>ფატალური</w:t>
      </w:r>
      <w:r>
        <w:rPr>
          <w:lang w:val="ka-GE"/>
        </w:rPr>
        <w:t>.</w:t>
      </w:r>
      <w:r w:rsidRPr="00330B09">
        <w:rPr>
          <w:lang w:val="ka-GE"/>
        </w:rPr>
        <w:t xml:space="preserve"> </w:t>
      </w:r>
    </w:p>
    <w:p w14:paraId="4D7827F2" w14:textId="77777777" w:rsidR="006B57E5" w:rsidRPr="00330B09" w:rsidRDefault="006B57E5" w:rsidP="006B57E5">
      <w:pPr>
        <w:spacing w:after="0" w:line="240" w:lineRule="auto"/>
        <w:jc w:val="both"/>
        <w:rPr>
          <w:lang w:val="ka-GE"/>
        </w:rPr>
      </w:pPr>
      <w:r w:rsidRPr="00330B09">
        <w:rPr>
          <w:lang w:val="ka-GE"/>
        </w:rPr>
        <w:t>ჰიპერმგრძნობელობის რეაქციები ასევე დაფიქსირდა პაციენტებში, რომლებიც მგრძნობიარენი იყვნენ სხვა სელექციური 5-HT3 რეცეპტორების ანტაგონისტების მიმართ.</w:t>
      </w:r>
    </w:p>
    <w:p w14:paraId="15A15D36" w14:textId="77777777" w:rsidR="006B57E5" w:rsidRPr="00330B09" w:rsidRDefault="006B57E5" w:rsidP="006B57E5">
      <w:pPr>
        <w:spacing w:after="0" w:line="240" w:lineRule="auto"/>
        <w:jc w:val="both"/>
        <w:rPr>
          <w:u w:val="single"/>
          <w:lang w:val="ka-GE"/>
        </w:rPr>
      </w:pPr>
      <w:r w:rsidRPr="00330B09">
        <w:rPr>
          <w:u w:val="single"/>
          <w:lang w:val="ka-GE"/>
        </w:rPr>
        <w:t>დარღვევები</w:t>
      </w:r>
      <w:r>
        <w:rPr>
          <w:u w:val="single"/>
          <w:lang w:val="ka-GE"/>
        </w:rPr>
        <w:t xml:space="preserve"> </w:t>
      </w:r>
      <w:r w:rsidRPr="00330B09">
        <w:rPr>
          <w:u w:val="single"/>
          <w:lang w:val="ka-GE"/>
        </w:rPr>
        <w:t>ნერვული სისტემის</w:t>
      </w:r>
      <w:r>
        <w:rPr>
          <w:u w:val="single"/>
          <w:lang w:val="ka-GE"/>
        </w:rPr>
        <w:t xml:space="preserve"> მხრივ</w:t>
      </w:r>
    </w:p>
    <w:p w14:paraId="6A81A27A" w14:textId="77777777" w:rsidR="006B57E5" w:rsidRPr="00330B09" w:rsidRDefault="006B57E5" w:rsidP="006B57E5">
      <w:pPr>
        <w:spacing w:after="0" w:line="240" w:lineRule="auto"/>
        <w:jc w:val="both"/>
        <w:rPr>
          <w:lang w:val="ka-GE"/>
        </w:rPr>
      </w:pPr>
      <w:r w:rsidRPr="00330B09">
        <w:rPr>
          <w:lang w:val="ka-GE"/>
        </w:rPr>
        <w:t>ხშირი: თავის ტკივილი.</w:t>
      </w:r>
    </w:p>
    <w:p w14:paraId="0A431590" w14:textId="77777777" w:rsidR="006B57E5" w:rsidRPr="00330B09" w:rsidRDefault="006B57E5" w:rsidP="006B57E5">
      <w:pPr>
        <w:spacing w:after="0" w:line="240" w:lineRule="auto"/>
        <w:jc w:val="both"/>
        <w:rPr>
          <w:lang w:val="ka-GE"/>
        </w:rPr>
      </w:pPr>
      <w:r w:rsidRPr="00330B09">
        <w:rPr>
          <w:lang w:val="ka-GE"/>
        </w:rPr>
        <w:t>არახშირი: არსებობს შეტყობინებები უნებლიე მოძრაობის დარღვევების შესახებ, როგორიცაა ექსტრაპირამიდული რეაქციები, მაგ. ოკულოგირული კრიზისი/დისტონიური რეაქციები და დისკინეზია მუდმივი კლინიკური შედეგების და კრუნჩხვების (მაგ. ეპილეფსიური სპაზმების) დამადასტურებელი ნიშნების გარეშე, თუმცა უცნობი ფარმაკოლოგიური მექანიზმი ვერ ხსნის ონდანსეტრონის მიერ ამ ეფექტების გამომწვევ მიზეზს.</w:t>
      </w:r>
    </w:p>
    <w:p w14:paraId="4A9EF6B9" w14:textId="77777777" w:rsidR="006B57E5" w:rsidRPr="00330B09" w:rsidRDefault="006B57E5" w:rsidP="006B57E5">
      <w:pPr>
        <w:spacing w:after="0" w:line="240" w:lineRule="auto"/>
        <w:jc w:val="both"/>
        <w:rPr>
          <w:lang w:val="ka-GE"/>
        </w:rPr>
      </w:pPr>
      <w:r w:rsidRPr="00330B09">
        <w:rPr>
          <w:lang w:val="ka-GE"/>
        </w:rPr>
        <w:t>იშვიათი: თავბრუსხვევა სწრაფი ინტრავენური შეყვანის დროს.</w:t>
      </w:r>
    </w:p>
    <w:p w14:paraId="4F6C0700" w14:textId="77777777" w:rsidR="006B57E5" w:rsidRPr="00330B09" w:rsidRDefault="006B57E5" w:rsidP="006B57E5">
      <w:pPr>
        <w:spacing w:after="0" w:line="240" w:lineRule="auto"/>
        <w:jc w:val="both"/>
        <w:rPr>
          <w:lang w:val="ka-GE"/>
        </w:rPr>
      </w:pPr>
      <w:r w:rsidRPr="00330B09">
        <w:rPr>
          <w:lang w:val="ka-GE"/>
        </w:rPr>
        <w:t>ძალიან იშვიათი: დეპრესია.</w:t>
      </w:r>
    </w:p>
    <w:p w14:paraId="7E556523" w14:textId="77777777" w:rsidR="006B57E5" w:rsidRPr="00330B09" w:rsidRDefault="006B57E5" w:rsidP="006B57E5">
      <w:pPr>
        <w:spacing w:after="0" w:line="240" w:lineRule="auto"/>
        <w:jc w:val="both"/>
        <w:rPr>
          <w:u w:val="single"/>
          <w:lang w:val="ka-GE"/>
        </w:rPr>
      </w:pPr>
      <w:r w:rsidRPr="00330B09">
        <w:rPr>
          <w:u w:val="single"/>
          <w:lang w:val="ka-GE"/>
        </w:rPr>
        <w:t>დარღვევები</w:t>
      </w:r>
      <w:r>
        <w:rPr>
          <w:u w:val="single"/>
          <w:lang w:val="ka-GE"/>
        </w:rPr>
        <w:t xml:space="preserve"> მხედველობის ორგანოს მხრივ</w:t>
      </w:r>
    </w:p>
    <w:p w14:paraId="2D15DD43" w14:textId="77777777" w:rsidR="006B57E5" w:rsidRPr="00330B09" w:rsidRDefault="006B57E5" w:rsidP="006B57E5">
      <w:pPr>
        <w:spacing w:after="0" w:line="240" w:lineRule="auto"/>
        <w:jc w:val="both"/>
        <w:rPr>
          <w:lang w:val="ka-GE"/>
        </w:rPr>
      </w:pPr>
      <w:r w:rsidRPr="00330B09">
        <w:rPr>
          <w:lang w:val="ka-GE"/>
        </w:rPr>
        <w:t>იშვიათი: მხედველობის გარდამავალი დარღვევები (მაგ., მხედველობის დაბინდვა) სწრაფი ინტრავენური შეყვანის დროს.</w:t>
      </w:r>
    </w:p>
    <w:p w14:paraId="3AD61C65" w14:textId="77777777" w:rsidR="006B57E5" w:rsidRPr="00330B09" w:rsidRDefault="006B57E5" w:rsidP="006B57E5">
      <w:pPr>
        <w:spacing w:after="0" w:line="240" w:lineRule="auto"/>
        <w:jc w:val="both"/>
        <w:rPr>
          <w:lang w:val="ka-GE"/>
        </w:rPr>
      </w:pPr>
      <w:r w:rsidRPr="00330B09">
        <w:rPr>
          <w:lang w:val="ka-GE"/>
        </w:rPr>
        <w:t>ძალიან იშვიათი: ცალკეულ შემთხვევებში, ქიმიოთერაპიული საშუალებების, მათ შორის ცისპლატინის მიმღებ პაციენტებში აღინიშნა გარდამავალი სიბრმავე. აღწერილი შემთხვევების უმეტესობა 20 წუთში გაქრა. გარდამავალი სიბრმავის ზოგიერთი შემთხვევა კორტიკალური წარმოშობის იყო.</w:t>
      </w:r>
    </w:p>
    <w:p w14:paraId="430C2C5A" w14:textId="77777777" w:rsidR="006B57E5" w:rsidRPr="004C02D4" w:rsidRDefault="006B57E5" w:rsidP="006B57E5">
      <w:pPr>
        <w:spacing w:after="0" w:line="240" w:lineRule="auto"/>
        <w:jc w:val="both"/>
        <w:rPr>
          <w:u w:val="single"/>
          <w:lang w:val="ka-GE"/>
        </w:rPr>
      </w:pPr>
      <w:r w:rsidRPr="00330B09">
        <w:rPr>
          <w:u w:val="single"/>
          <w:lang w:val="ka-GE"/>
        </w:rPr>
        <w:t>დარღვევები</w:t>
      </w:r>
      <w:r w:rsidRPr="0083206A">
        <w:rPr>
          <w:u w:val="single"/>
          <w:lang w:val="ka-GE"/>
        </w:rPr>
        <w:t xml:space="preserve"> </w:t>
      </w:r>
      <w:r w:rsidRPr="00330B09">
        <w:rPr>
          <w:u w:val="single"/>
          <w:lang w:val="ka-GE"/>
        </w:rPr>
        <w:t>გულის</w:t>
      </w:r>
      <w:r w:rsidRPr="0083206A">
        <w:rPr>
          <w:u w:val="single"/>
          <w:lang w:val="ka-GE"/>
        </w:rPr>
        <w:t xml:space="preserve"> </w:t>
      </w:r>
      <w:r>
        <w:rPr>
          <w:u w:val="single"/>
          <w:lang w:val="ka-GE"/>
        </w:rPr>
        <w:t>მხრივ</w:t>
      </w:r>
    </w:p>
    <w:p w14:paraId="450E547C" w14:textId="77777777" w:rsidR="006B57E5" w:rsidRPr="00330B09" w:rsidRDefault="006B57E5" w:rsidP="006B57E5">
      <w:pPr>
        <w:spacing w:after="0" w:line="240" w:lineRule="auto"/>
        <w:jc w:val="both"/>
        <w:rPr>
          <w:lang w:val="ka-GE"/>
        </w:rPr>
      </w:pPr>
      <w:r w:rsidRPr="00330B09">
        <w:rPr>
          <w:lang w:val="ka-GE"/>
        </w:rPr>
        <w:t>არახშირი: ტკივილი გულმკერდის არეში ST სეგმენტის დეპრესიით ან მის გარეშე, გულის არითმიები და ბრადიკარდია. გულმკერდის არეში ტკივილი და გულის არითმიები ცალკეულ შემთხვევებში შეიძლება ფატალური იყოს.</w:t>
      </w:r>
    </w:p>
    <w:p w14:paraId="51CBE014" w14:textId="77777777" w:rsidR="006B57E5" w:rsidRPr="0083206A" w:rsidRDefault="006B57E5" w:rsidP="006B57E5">
      <w:pPr>
        <w:spacing w:after="0" w:line="240" w:lineRule="auto"/>
        <w:jc w:val="both"/>
        <w:rPr>
          <w:lang w:val="ka-GE"/>
        </w:rPr>
      </w:pPr>
      <w:r w:rsidRPr="00330B09">
        <w:rPr>
          <w:lang w:val="ka-GE"/>
        </w:rPr>
        <w:t xml:space="preserve">იშვიათი: ელექტროკარდიოგრამაზე გარდამავალი ცვლილებები, QTc ინტერვალის გახანგრძლივება (მათ შორის, </w:t>
      </w:r>
      <w:r>
        <w:rPr>
          <w:lang w:val="ka-GE"/>
        </w:rPr>
        <w:t>„</w:t>
      </w:r>
      <w:r w:rsidRPr="0083206A">
        <w:rPr>
          <w:lang w:val="ka-GE"/>
        </w:rPr>
        <w:t>Torsade de Pointes</w:t>
      </w:r>
      <w:r>
        <w:rPr>
          <w:lang w:val="ka-GE"/>
        </w:rPr>
        <w:t>“</w:t>
      </w:r>
      <w:r w:rsidRPr="0083206A">
        <w:rPr>
          <w:lang w:val="ka-GE"/>
        </w:rPr>
        <w:t>)</w:t>
      </w:r>
    </w:p>
    <w:p w14:paraId="1560409A" w14:textId="77777777" w:rsidR="006B57E5" w:rsidRPr="00330B09" w:rsidRDefault="006B57E5" w:rsidP="006B57E5">
      <w:pPr>
        <w:spacing w:after="0" w:line="240" w:lineRule="auto"/>
        <w:jc w:val="both"/>
        <w:rPr>
          <w:u w:val="single"/>
          <w:lang w:val="ka-GE"/>
        </w:rPr>
      </w:pPr>
      <w:r w:rsidRPr="00330B09">
        <w:rPr>
          <w:u w:val="single"/>
          <w:lang w:val="ka-GE"/>
        </w:rPr>
        <w:t>სისხლძარღვოვანი დარღვევები</w:t>
      </w:r>
    </w:p>
    <w:p w14:paraId="289B058D" w14:textId="77777777" w:rsidR="006B57E5" w:rsidRPr="00330B09" w:rsidRDefault="006B57E5" w:rsidP="006B57E5">
      <w:pPr>
        <w:spacing w:after="0" w:line="240" w:lineRule="auto"/>
        <w:jc w:val="both"/>
        <w:rPr>
          <w:lang w:val="ka-GE"/>
        </w:rPr>
      </w:pPr>
      <w:r w:rsidRPr="00330B09">
        <w:rPr>
          <w:lang w:val="ka-GE"/>
        </w:rPr>
        <w:t>ხშირი: სიწითლის ან სითბოს შეგრძნება.</w:t>
      </w:r>
    </w:p>
    <w:p w14:paraId="5E30AF23" w14:textId="77777777" w:rsidR="006B57E5" w:rsidRPr="00330B09" w:rsidRDefault="006B57E5" w:rsidP="006B57E5">
      <w:pPr>
        <w:spacing w:after="0" w:line="240" w:lineRule="auto"/>
        <w:jc w:val="both"/>
        <w:rPr>
          <w:lang w:val="ka-GE"/>
        </w:rPr>
      </w:pPr>
      <w:r w:rsidRPr="00330B09">
        <w:rPr>
          <w:lang w:val="ka-GE"/>
        </w:rPr>
        <w:t>არახშირი: ჰიპოტენზია</w:t>
      </w:r>
    </w:p>
    <w:p w14:paraId="0CBBC568" w14:textId="77777777" w:rsidR="006B57E5" w:rsidRPr="00330B09" w:rsidRDefault="006B57E5" w:rsidP="006B57E5">
      <w:pPr>
        <w:spacing w:after="0" w:line="240" w:lineRule="auto"/>
        <w:jc w:val="both"/>
        <w:rPr>
          <w:u w:val="single"/>
          <w:lang w:val="ka-GE"/>
        </w:rPr>
      </w:pPr>
      <w:r w:rsidRPr="00330B09">
        <w:rPr>
          <w:u w:val="single"/>
          <w:lang w:val="ka-GE"/>
        </w:rPr>
        <w:t>დარღვევები</w:t>
      </w:r>
      <w:r>
        <w:rPr>
          <w:u w:val="single"/>
          <w:lang w:val="ka-GE"/>
        </w:rPr>
        <w:t xml:space="preserve"> </w:t>
      </w:r>
      <w:r w:rsidRPr="00330B09">
        <w:rPr>
          <w:u w:val="single"/>
          <w:lang w:val="ka-GE"/>
        </w:rPr>
        <w:t>სასუნთქი სისტემის, გულმკერდის და შუასაყრის</w:t>
      </w:r>
      <w:r>
        <w:rPr>
          <w:u w:val="single"/>
          <w:lang w:val="ka-GE"/>
        </w:rPr>
        <w:t xml:space="preserve"> მხრივ</w:t>
      </w:r>
      <w:r w:rsidRPr="00330B09">
        <w:rPr>
          <w:u w:val="single"/>
          <w:lang w:val="ka-GE"/>
        </w:rPr>
        <w:t xml:space="preserve"> </w:t>
      </w:r>
    </w:p>
    <w:p w14:paraId="1A90EBA5" w14:textId="77777777" w:rsidR="006B57E5" w:rsidRPr="00330B09" w:rsidRDefault="006B57E5" w:rsidP="006B57E5">
      <w:pPr>
        <w:spacing w:after="0" w:line="240" w:lineRule="auto"/>
        <w:jc w:val="both"/>
        <w:rPr>
          <w:lang w:val="ka-GE"/>
        </w:rPr>
      </w:pPr>
      <w:r w:rsidRPr="00330B09">
        <w:rPr>
          <w:lang w:val="ka-GE"/>
        </w:rPr>
        <w:t>არახშირი: სლოკინი. კუჭ-ნაწლავის ტრაქტის დარღვევები</w:t>
      </w:r>
    </w:p>
    <w:p w14:paraId="44ACC9A5" w14:textId="77777777" w:rsidR="006B57E5" w:rsidRPr="00330B09" w:rsidRDefault="006B57E5" w:rsidP="006B57E5">
      <w:pPr>
        <w:spacing w:after="0" w:line="240" w:lineRule="auto"/>
        <w:jc w:val="both"/>
        <w:rPr>
          <w:lang w:val="ka-GE"/>
        </w:rPr>
      </w:pPr>
      <w:r w:rsidRPr="00330B09">
        <w:rPr>
          <w:lang w:val="ka-GE"/>
        </w:rPr>
        <w:t>ხშირი: ცნობილია, რომ ონდანსეტრონი ახანგრძლივებს მსხვილ ნაწლავში ტრანზიტის დროს და ზოგიერთ პაციენტში შეიძლება გამოიწვიოს ყაბზობა.</w:t>
      </w:r>
    </w:p>
    <w:p w14:paraId="33C09B54" w14:textId="77777777" w:rsidR="006B57E5" w:rsidRPr="00330B09" w:rsidRDefault="006B57E5" w:rsidP="006B57E5">
      <w:pPr>
        <w:spacing w:after="0" w:line="240" w:lineRule="auto"/>
        <w:jc w:val="both"/>
        <w:rPr>
          <w:u w:val="single"/>
          <w:lang w:val="ka-GE"/>
        </w:rPr>
      </w:pPr>
      <w:r w:rsidRPr="00330B09">
        <w:rPr>
          <w:u w:val="single"/>
          <w:lang w:val="ka-GE"/>
        </w:rPr>
        <w:t>ჰეპატობილიარული დარღვევები</w:t>
      </w:r>
    </w:p>
    <w:p w14:paraId="7F13BDED" w14:textId="77777777" w:rsidR="006B57E5" w:rsidRPr="00330B09" w:rsidRDefault="006B57E5" w:rsidP="006B57E5">
      <w:pPr>
        <w:spacing w:after="0" w:line="240" w:lineRule="auto"/>
        <w:jc w:val="both"/>
        <w:rPr>
          <w:lang w:val="ka-GE"/>
        </w:rPr>
      </w:pPr>
      <w:r w:rsidRPr="00330B09">
        <w:rPr>
          <w:lang w:val="ka-GE"/>
        </w:rPr>
        <w:t>არახშირი: დაფიქსირდა ღვიძლის ფუნქციური ტესტების უსიმპტომო მატება. ეს რეაქციები ხშირად აღინიშნებოდა ცისპლატინით ქიმიოთერაპიის ქვეშ მყოფ პაციენტებში.</w:t>
      </w:r>
    </w:p>
    <w:p w14:paraId="336A3A30" w14:textId="77777777" w:rsidR="006B57E5" w:rsidRPr="00330B09" w:rsidRDefault="006B57E5" w:rsidP="006B57E5">
      <w:pPr>
        <w:spacing w:after="0" w:line="240" w:lineRule="auto"/>
        <w:jc w:val="both"/>
        <w:rPr>
          <w:u w:val="single"/>
          <w:lang w:val="ka-GE"/>
        </w:rPr>
      </w:pPr>
      <w:r w:rsidRPr="00330B09">
        <w:rPr>
          <w:u w:val="single"/>
          <w:lang w:val="ka-GE"/>
        </w:rPr>
        <w:t>დარღვევები</w:t>
      </w:r>
      <w:r>
        <w:rPr>
          <w:u w:val="single"/>
          <w:lang w:val="ka-GE"/>
        </w:rPr>
        <w:t xml:space="preserve"> </w:t>
      </w:r>
      <w:r w:rsidRPr="00330B09">
        <w:rPr>
          <w:u w:val="single"/>
          <w:lang w:val="ka-GE"/>
        </w:rPr>
        <w:t>კანისა და კანქვეშა ქსოვილის</w:t>
      </w:r>
      <w:r>
        <w:rPr>
          <w:u w:val="single"/>
          <w:lang w:val="ka-GE"/>
        </w:rPr>
        <w:t xml:space="preserve"> მხრივ</w:t>
      </w:r>
      <w:r w:rsidRPr="00330B09">
        <w:rPr>
          <w:u w:val="single"/>
          <w:lang w:val="ka-GE"/>
        </w:rPr>
        <w:t xml:space="preserve"> </w:t>
      </w:r>
    </w:p>
    <w:p w14:paraId="0D471E7B" w14:textId="77777777" w:rsidR="006B57E5" w:rsidRPr="00330B09" w:rsidRDefault="006B57E5" w:rsidP="006B57E5">
      <w:pPr>
        <w:spacing w:after="0" w:line="240" w:lineRule="auto"/>
        <w:jc w:val="both"/>
        <w:rPr>
          <w:lang w:val="ka-GE"/>
        </w:rPr>
      </w:pPr>
      <w:r w:rsidRPr="00330B09">
        <w:rPr>
          <w:lang w:val="ka-GE"/>
        </w:rPr>
        <w:t>არახშირი: შეიძლება განვითარდეს ჰიპერმგრძნობელობის რეაქციები ინექციის ადგილის გარშემო (მაგ., გამონაყარი, ჭინჭრის ციება, ქავილი), რომლებიც ზოგჯერ ვრცელდება პრეპარატის შეყვანის ვენის გასწვრივ.</w:t>
      </w:r>
    </w:p>
    <w:p w14:paraId="7C68FC64" w14:textId="77777777" w:rsidR="006B57E5" w:rsidRPr="00330B09" w:rsidRDefault="006B57E5" w:rsidP="006B57E5">
      <w:pPr>
        <w:spacing w:after="0" w:line="240" w:lineRule="auto"/>
        <w:jc w:val="both"/>
        <w:rPr>
          <w:u w:val="single"/>
          <w:lang w:val="ka-GE"/>
        </w:rPr>
      </w:pPr>
      <w:r w:rsidRPr="00330B09">
        <w:rPr>
          <w:u w:val="single"/>
          <w:lang w:val="ka-GE"/>
        </w:rPr>
        <w:t>ზოგადი დარღვევები და გართულებები შეყვანის ადგილას</w:t>
      </w:r>
    </w:p>
    <w:p w14:paraId="62A792DE" w14:textId="77777777" w:rsidR="006B57E5" w:rsidRPr="00330B09" w:rsidRDefault="006B57E5" w:rsidP="006B57E5">
      <w:pPr>
        <w:spacing w:after="0" w:line="240" w:lineRule="auto"/>
        <w:jc w:val="both"/>
        <w:rPr>
          <w:lang w:val="ka-GE"/>
        </w:rPr>
      </w:pPr>
      <w:r w:rsidRPr="00330B09">
        <w:rPr>
          <w:lang w:val="ka-GE"/>
        </w:rPr>
        <w:t>ხშირი: ადგილობრივი რეაქციები ინტრავენური ინექციის ადგილას.</w:t>
      </w:r>
    </w:p>
    <w:p w14:paraId="51BA494E" w14:textId="77777777" w:rsidR="006B57E5" w:rsidRPr="00330B09" w:rsidRDefault="006B57E5" w:rsidP="006B57E5">
      <w:pPr>
        <w:spacing w:after="0" w:line="240" w:lineRule="auto"/>
        <w:jc w:val="both"/>
        <w:rPr>
          <w:u w:val="single"/>
          <w:lang w:val="ka-GE"/>
        </w:rPr>
      </w:pPr>
      <w:r w:rsidRPr="00330B09">
        <w:rPr>
          <w:u w:val="single"/>
          <w:lang w:val="ka-GE"/>
        </w:rPr>
        <w:t>პედიატრიული პოპულაცია</w:t>
      </w:r>
    </w:p>
    <w:p w14:paraId="729B1C6F" w14:textId="77777777" w:rsidR="006B57E5" w:rsidRPr="00330B09" w:rsidRDefault="006B57E5" w:rsidP="006B57E5">
      <w:pPr>
        <w:spacing w:after="0" w:line="240" w:lineRule="auto"/>
        <w:jc w:val="both"/>
        <w:rPr>
          <w:lang w:val="ka-GE"/>
        </w:rPr>
      </w:pPr>
      <w:r w:rsidRPr="00330B09">
        <w:rPr>
          <w:lang w:val="ka-GE"/>
        </w:rPr>
        <w:t>ბავშვებსა და მოზარდებში გვერდითი მოვლენების პროფილი შედარებადი იყო მოზრდილებში დაფიქსირებულ პროფილთან.</w:t>
      </w:r>
    </w:p>
    <w:p w14:paraId="439ECC21" w14:textId="77777777" w:rsidR="006B57E5" w:rsidRPr="00330B09" w:rsidRDefault="006B57E5" w:rsidP="006B57E5">
      <w:pPr>
        <w:spacing w:after="0" w:line="240" w:lineRule="auto"/>
        <w:jc w:val="both"/>
        <w:rPr>
          <w:lang w:val="ka-GE"/>
        </w:rPr>
      </w:pPr>
      <w:r w:rsidRPr="00330B09">
        <w:rPr>
          <w:lang w:val="ka-GE"/>
        </w:rPr>
        <w:t xml:space="preserve">შემდეგი კლინიკურად მნიშვნელოვანი გვერდითი რეაქციები აღწერილია სხვა </w:t>
      </w:r>
      <w:r>
        <w:rPr>
          <w:lang w:val="ka-GE"/>
        </w:rPr>
        <w:t>პუნქტებში</w:t>
      </w:r>
      <w:r w:rsidRPr="00330B09">
        <w:rPr>
          <w:lang w:val="ka-GE"/>
        </w:rPr>
        <w:t>:</w:t>
      </w:r>
    </w:p>
    <w:p w14:paraId="3E09E6EE" w14:textId="77777777" w:rsidR="006B57E5" w:rsidRPr="00330B09" w:rsidRDefault="006B57E5" w:rsidP="006B57E5">
      <w:pPr>
        <w:pStyle w:val="ListParagraph"/>
        <w:numPr>
          <w:ilvl w:val="0"/>
          <w:numId w:val="4"/>
        </w:numPr>
        <w:spacing w:after="0" w:line="240" w:lineRule="auto"/>
        <w:ind w:left="567"/>
        <w:jc w:val="both"/>
        <w:rPr>
          <w:lang w:val="ka-GE"/>
        </w:rPr>
      </w:pPr>
      <w:r w:rsidRPr="00330B09">
        <w:rPr>
          <w:lang w:val="ka-GE"/>
        </w:rPr>
        <w:t>ჰიპერმგრძნობელობის რეაქციები</w:t>
      </w:r>
    </w:p>
    <w:p w14:paraId="1CED033E" w14:textId="77777777" w:rsidR="006B57E5" w:rsidRPr="00330B09" w:rsidRDefault="006B57E5" w:rsidP="006B57E5">
      <w:pPr>
        <w:pStyle w:val="ListParagraph"/>
        <w:numPr>
          <w:ilvl w:val="0"/>
          <w:numId w:val="4"/>
        </w:numPr>
        <w:spacing w:after="0" w:line="240" w:lineRule="auto"/>
        <w:ind w:left="567"/>
        <w:jc w:val="both"/>
        <w:rPr>
          <w:lang w:val="ka-GE"/>
        </w:rPr>
      </w:pPr>
      <w:r w:rsidRPr="00330B09">
        <w:rPr>
          <w:lang w:val="ka-GE"/>
        </w:rPr>
        <w:t>QT - ინტერვალის გახანგრძლივება</w:t>
      </w:r>
    </w:p>
    <w:p w14:paraId="4BA21FA3" w14:textId="77777777" w:rsidR="006B57E5" w:rsidRPr="00330B09" w:rsidRDefault="006B57E5" w:rsidP="006B57E5">
      <w:pPr>
        <w:pStyle w:val="ListParagraph"/>
        <w:numPr>
          <w:ilvl w:val="0"/>
          <w:numId w:val="4"/>
        </w:numPr>
        <w:spacing w:after="0" w:line="240" w:lineRule="auto"/>
        <w:ind w:left="567"/>
        <w:jc w:val="both"/>
        <w:rPr>
          <w:lang w:val="ka-GE"/>
        </w:rPr>
      </w:pPr>
      <w:r w:rsidRPr="00330B09">
        <w:rPr>
          <w:lang w:val="ka-GE"/>
        </w:rPr>
        <w:lastRenderedPageBreak/>
        <w:t>სეროტონინის სინდრომი</w:t>
      </w:r>
    </w:p>
    <w:p w14:paraId="25A4A04F" w14:textId="77777777" w:rsidR="006B57E5" w:rsidRPr="00330B09" w:rsidRDefault="006B57E5" w:rsidP="006B57E5">
      <w:pPr>
        <w:pStyle w:val="ListParagraph"/>
        <w:numPr>
          <w:ilvl w:val="0"/>
          <w:numId w:val="4"/>
        </w:numPr>
        <w:spacing w:after="0" w:line="240" w:lineRule="auto"/>
        <w:ind w:left="567"/>
        <w:jc w:val="both"/>
        <w:rPr>
          <w:lang w:val="ka-GE"/>
        </w:rPr>
      </w:pPr>
      <w:r w:rsidRPr="00330B09">
        <w:rPr>
          <w:lang w:val="ka-GE"/>
        </w:rPr>
        <w:t xml:space="preserve">პროგრესირებადი </w:t>
      </w:r>
      <w:r>
        <w:rPr>
          <w:lang w:val="ka-GE"/>
        </w:rPr>
        <w:t>ნაწლავური გაუვალობის</w:t>
      </w:r>
      <w:r w:rsidRPr="00330B09">
        <w:rPr>
          <w:lang w:val="ka-GE"/>
        </w:rPr>
        <w:t xml:space="preserve"> და კუჭის შებერილობის შენიღბვა</w:t>
      </w:r>
    </w:p>
    <w:p w14:paraId="076BC788" w14:textId="77777777" w:rsidR="001B30E3" w:rsidRDefault="001B30E3" w:rsidP="008150DC">
      <w:pPr>
        <w:spacing w:after="0" w:line="240" w:lineRule="auto"/>
        <w:jc w:val="both"/>
        <w:rPr>
          <w:lang w:val="ka-GE"/>
        </w:rPr>
      </w:pPr>
    </w:p>
    <w:p w14:paraId="4CD2631B" w14:textId="77777777" w:rsidR="004B08E8" w:rsidRDefault="00687F1F" w:rsidP="004B08E8">
      <w:pPr>
        <w:spacing w:after="0" w:line="240" w:lineRule="auto"/>
        <w:jc w:val="both"/>
        <w:rPr>
          <w:b/>
          <w:bCs/>
        </w:rPr>
      </w:pPr>
      <w:r>
        <w:rPr>
          <w:b/>
          <w:bCs/>
          <w:lang w:val="ka-GE"/>
        </w:rPr>
        <w:t xml:space="preserve">4.9 </w:t>
      </w:r>
      <w:r w:rsidR="004B08E8">
        <w:rPr>
          <w:b/>
          <w:bCs/>
        </w:rPr>
        <w:t>ზედოზირება</w:t>
      </w:r>
    </w:p>
    <w:p w14:paraId="3613E809" w14:textId="77777777" w:rsidR="006B57E5" w:rsidRPr="006B57E5" w:rsidRDefault="006B57E5" w:rsidP="006B57E5">
      <w:pPr>
        <w:spacing w:after="0" w:line="240" w:lineRule="auto"/>
        <w:jc w:val="both"/>
        <w:rPr>
          <w:lang w:val="ka-GE"/>
        </w:rPr>
      </w:pPr>
      <w:r w:rsidRPr="006B57E5">
        <w:rPr>
          <w:lang w:val="ka-GE"/>
        </w:rPr>
        <w:t>ონდანსეტრონის დოზის გადაჭარბებისას სპეციფიკური ანტიდოტი არ არსებობს. პაციენტებს უნდა ჩაუტარდეთ შესაბამისი დამხმარე მკურნალობა.</w:t>
      </w:r>
      <w:r w:rsidRPr="006B57E5">
        <w:rPr>
          <w:lang w:val="en-US"/>
        </w:rPr>
        <w:t xml:space="preserve"> </w:t>
      </w:r>
      <w:r w:rsidRPr="006B57E5">
        <w:rPr>
          <w:lang w:val="ka-GE"/>
        </w:rPr>
        <w:t>არის მონაცემები შემთხვევით მიღებული 150 მგ-მდე ერთჯერადი ინტრავენური დოზების და 252 მგ-მდე დღიური ინტრავენური დოზების შესახებ, მნიშვნელოვანი გვერდითი მოვლენების გარეშე. ეს დოზები ათჯერ აღემატება რეკომენდებულ დღიურ დოზას.</w:t>
      </w:r>
    </w:p>
    <w:p w14:paraId="34B97C89" w14:textId="77777777" w:rsidR="006B57E5" w:rsidRPr="006B57E5" w:rsidRDefault="006B57E5" w:rsidP="006B57E5">
      <w:pPr>
        <w:spacing w:after="0" w:line="240" w:lineRule="auto"/>
        <w:jc w:val="both"/>
        <w:rPr>
          <w:lang w:val="ka-GE"/>
        </w:rPr>
      </w:pPr>
      <w:r w:rsidRPr="006B57E5">
        <w:rPr>
          <w:lang w:val="ka-GE"/>
        </w:rPr>
        <w:t>ზემოთ ჩამოთვლილი გვერდითი რეაქციების გარდა, ონდანსეტრონის დოზის გადაჭარბებისას აღწერილია შემდეგი მოვლენები: „უეცარი სიბრმავე“ (ამავროზი) 2-დან 3 წუთამდე ხანგრძლივობით, პლუს მძიმე ყაბზობა ერთ პაციენტში, რომელსაც ინტრავენურად ერთჯერადი დოზის სახით 72 მგ ონდანსეტრონი მიეცა. ჰიპოტენზია (და გონების დაკარგვა) განუვითარდა სხვა პაციენტს, რომელმაც 48 მგ ონდანსეტრონის ჰიდროქლორიდის ტაბლეტები მიიღო. 32 მგ-ის მხოლოდ 4 წუთის განმავლობაში ინფუზიის შემდეგ დაფიქსირდა ვაზოვაგალური ეპიზოდი გარდამავალი მეორე ხარისხის გულის ბლოკადით. ყველა შემთხვევაში, მოვლენები სრულად გაქრა.</w:t>
      </w:r>
    </w:p>
    <w:p w14:paraId="4AEB5063" w14:textId="77777777" w:rsidR="006B57E5" w:rsidRPr="006B57E5" w:rsidRDefault="006B57E5" w:rsidP="006B57E5">
      <w:pPr>
        <w:spacing w:after="0" w:line="240" w:lineRule="auto"/>
        <w:jc w:val="both"/>
        <w:rPr>
          <w:lang w:val="ka-GE"/>
        </w:rPr>
      </w:pPr>
      <w:r w:rsidRPr="006B57E5">
        <w:rPr>
          <w:lang w:val="ka-GE"/>
        </w:rPr>
        <w:t xml:space="preserve"> სეროტონინის სინდრომის შესაბამისი შემთხვევები დაფიქსირდა ბავშვებში ონდანსეტრონის შემთხვევითი პერორალური დოზის გადაჭარბების შემდეგ (სავარაუდოდ 5 მგ/კგ-ზე მეტის მიღება). აღწერილი სიმპტომები მოიცავდა ძილიანობას, მოუსვენრობას, ტაქიკარდიას, აჩქარებულ სუნთქვას, ჰიპერტენზიას, წამოხურებას, გაფართოებულ გუგებს, ძლიერ ოფლიანობას, კუნთების კანკალს, ჰორიზონტალურ ნისტაგმს, ჰიპერრეფლექსიას და კრუნჩხვებს. პაციენტებს დასჭირდათ დამხმარე მკურნალობა, ზოგიერთ შემთხვევაში ინტუბაცია და სრულად გამოჯანმრთელდნენ ერთი-ორი დღის განმავლობაში რაიმე ხანგრძლივი ეფექტების გარეშე. </w:t>
      </w:r>
    </w:p>
    <w:p w14:paraId="0EF03EFB" w14:textId="77777777" w:rsidR="008B02D3" w:rsidRDefault="008B02D3" w:rsidP="00733EFC">
      <w:pPr>
        <w:spacing w:after="0" w:line="240" w:lineRule="auto"/>
        <w:jc w:val="both"/>
        <w:rPr>
          <w:b/>
          <w:bCs/>
          <w:lang w:val="ka-GE"/>
        </w:rPr>
      </w:pPr>
    </w:p>
    <w:p w14:paraId="31ACEDBD" w14:textId="77777777" w:rsidR="00646F93" w:rsidRPr="00646F93" w:rsidRDefault="00646F93" w:rsidP="00646F93">
      <w:pPr>
        <w:spacing w:after="0" w:line="240" w:lineRule="auto"/>
        <w:jc w:val="both"/>
        <w:rPr>
          <w:b/>
          <w:bCs/>
          <w:lang w:val="ka-GE"/>
        </w:rPr>
      </w:pPr>
      <w:r>
        <w:rPr>
          <w:b/>
          <w:bCs/>
          <w:lang w:val="ka-GE"/>
        </w:rPr>
        <w:t xml:space="preserve">5. </w:t>
      </w:r>
      <w:r w:rsidRPr="00646F93">
        <w:rPr>
          <w:b/>
          <w:bCs/>
          <w:lang w:val="ka-GE"/>
        </w:rPr>
        <w:t>ფარმაკოლოგიური თვისებები</w:t>
      </w:r>
    </w:p>
    <w:p w14:paraId="52293B3C" w14:textId="0C1A7527" w:rsidR="00646F93" w:rsidRPr="004E4FDD" w:rsidRDefault="00646F93" w:rsidP="00646F93">
      <w:pPr>
        <w:spacing w:after="0" w:line="240" w:lineRule="auto"/>
        <w:jc w:val="both"/>
        <w:rPr>
          <w:lang w:val="ka-GE"/>
        </w:rPr>
      </w:pPr>
      <w:r w:rsidRPr="004E4FDD">
        <w:rPr>
          <w:lang w:val="ka-GE"/>
        </w:rPr>
        <w:t>ფარმაკოთერაპიული ჯგუფი: ღებინების და გულისრევის საწინააღმდეგო საშუალებები, სეროტონინის 5-HT3 ანტაგონისტები</w:t>
      </w:r>
    </w:p>
    <w:p w14:paraId="12D242E4" w14:textId="124F1E41" w:rsidR="008B02D3" w:rsidRDefault="006B57E5" w:rsidP="00646F93">
      <w:pPr>
        <w:spacing w:after="0" w:line="240" w:lineRule="auto"/>
        <w:jc w:val="both"/>
        <w:rPr>
          <w:lang w:val="ka-GE"/>
        </w:rPr>
      </w:pPr>
      <w:r>
        <w:rPr>
          <w:lang w:val="ka-GE"/>
        </w:rPr>
        <w:t>ათქ</w:t>
      </w:r>
      <w:r w:rsidR="00646F93" w:rsidRPr="004E4FDD">
        <w:rPr>
          <w:lang w:val="ka-GE"/>
        </w:rPr>
        <w:t xml:space="preserve"> კოდი: A04AA01</w:t>
      </w:r>
    </w:p>
    <w:p w14:paraId="275CF35B" w14:textId="77777777" w:rsidR="00626483" w:rsidRDefault="00626483" w:rsidP="00646F93">
      <w:pPr>
        <w:spacing w:after="0" w:line="240" w:lineRule="auto"/>
        <w:jc w:val="both"/>
        <w:rPr>
          <w:b/>
          <w:bCs/>
          <w:lang w:val="ka-GE"/>
        </w:rPr>
      </w:pPr>
      <w:r>
        <w:rPr>
          <w:b/>
          <w:bCs/>
          <w:lang w:val="ka-GE"/>
        </w:rPr>
        <w:t>5.1 მოქმედების მექანიზმი</w:t>
      </w:r>
    </w:p>
    <w:p w14:paraId="33F0AB52" w14:textId="77777777" w:rsidR="00A5755E" w:rsidRPr="00A5755E" w:rsidRDefault="00A5755E" w:rsidP="00A5755E">
      <w:pPr>
        <w:spacing w:after="0" w:line="240" w:lineRule="auto"/>
        <w:jc w:val="both"/>
        <w:rPr>
          <w:lang w:val="ka-GE"/>
        </w:rPr>
      </w:pPr>
      <w:r w:rsidRPr="00A5755E">
        <w:rPr>
          <w:lang w:val="ka-GE"/>
        </w:rPr>
        <w:t>ონდანსეტრონი ძლიერი, მაღალსელექციური 5-HT3 რეცეპტორების ანტაგონისტია.</w:t>
      </w:r>
    </w:p>
    <w:p w14:paraId="4F4990C0" w14:textId="77777777" w:rsidR="006B57E5" w:rsidRPr="00330B09" w:rsidRDefault="006B57E5" w:rsidP="006B57E5">
      <w:pPr>
        <w:spacing w:after="0" w:line="240" w:lineRule="auto"/>
        <w:jc w:val="both"/>
        <w:rPr>
          <w:lang w:val="ka-GE"/>
        </w:rPr>
      </w:pPr>
      <w:r w:rsidRPr="00330B09">
        <w:rPr>
          <w:lang w:val="ka-GE"/>
        </w:rPr>
        <w:t xml:space="preserve">ონდანსეტრონის მოქმედების ზუსტი მექანიზმი გულისრევისა და ღებინების მკურნალობისას უცნობია. ქიმიოთერაპიულმა საშუალებებმა და სხივურმა თერაპიამ შეიძლება გამოიწვიოს სეროტონინის (5-HT) გამოთავისუფლება წვრილ ნაწლავში და გამოიწვიოს ღებინების რეფლექსი ვაგუსური აფერენტების გააქტიურებით 5-HT3 რეცეპტორების მეშვეობით. ონდანსეტრონი ბლოკავს ამ რეფლექსის გააქტიურებას. ვაგუსური აფერენტების გააქტიურებამ ასევე შეიძლება გამოიწვიოს 5-HT-ის გამოთავისუფლება მეოთხე პარკუჭის ფსკერზე მდებარე Area postrema-ში და ამით ასევე გამოიწვიოს ღებინება ცენტრალური მექანიზმის მეშვეობით. ონდანსეტრონის ეფექტი ციტოტოქსიკური ქიმიოთერაპიით და სხივური თერაპიით გამოწვეული გულისრევისა და ღებინების მკურნალობაში, სავარაუდოდ, ეფუძნება პერიფერიული და ცენტრალური ნერვული სისტემის ნეირონებზე 5-HT3 რეცეპტორების ბლოკადას. ოპერაციის შემდგომი გულისრევისა და ღებინების მოქმედების მექანიზმები უცნობია, მაგრამ შეიძლება არსებობდეს მსგავსება ციტოტოქსიკურ გულისრევასა და ღებინებასთან. </w:t>
      </w:r>
    </w:p>
    <w:p w14:paraId="5442EAA5" w14:textId="77777777" w:rsidR="006B57E5" w:rsidRPr="00330B09" w:rsidRDefault="006B57E5" w:rsidP="006B57E5">
      <w:pPr>
        <w:spacing w:after="0" w:line="240" w:lineRule="auto"/>
        <w:jc w:val="both"/>
        <w:rPr>
          <w:lang w:val="ka-GE"/>
        </w:rPr>
      </w:pPr>
      <w:r w:rsidRPr="00330B09">
        <w:rPr>
          <w:lang w:val="ka-GE"/>
        </w:rPr>
        <w:t>ონდანსეტრონის QTc ინტერვალზე გავლენა გამოკვლეული იქნა ორმაგად ბრმა, რანდომიზებულ, პლაცებო- და (მოქსიფლოქსაცინ)დადებით ჯვარედინ კვლევაში, რომელშიც მონაწილეობდა 58 ჯანმრთელი ზრდასრული მამაკაცი და ქალი. ონდანსეტრონის დოზები მოიცავდა 8 მგ და 32 მგ</w:t>
      </w:r>
      <w:r>
        <w:rPr>
          <w:lang w:val="ka-GE"/>
        </w:rPr>
        <w:t>-ს</w:t>
      </w:r>
      <w:r w:rsidRPr="00330B09">
        <w:rPr>
          <w:lang w:val="ka-GE"/>
        </w:rPr>
        <w:t>, რომლებიც შეყვანილი იქნა ინტრავენურად 15 წუთის განმავლობაში.</w:t>
      </w:r>
    </w:p>
    <w:p w14:paraId="26308E11" w14:textId="77777777" w:rsidR="006B57E5" w:rsidRPr="00330B09" w:rsidRDefault="006B57E5" w:rsidP="006B57E5">
      <w:pPr>
        <w:spacing w:after="0" w:line="240" w:lineRule="auto"/>
        <w:jc w:val="both"/>
        <w:rPr>
          <w:lang w:val="ka-GE"/>
        </w:rPr>
      </w:pPr>
      <w:r w:rsidRPr="00330B09">
        <w:rPr>
          <w:lang w:val="ka-GE"/>
        </w:rPr>
        <w:t xml:space="preserve">ყველაზე მაღალი ტესტირებული დოზის დროს, რომელიც შეადგენდა 32 მგ-ს, QTcF ინტერვალის მაქსიმალური საშუალო სხვაობა (90%-იანი სანდოობის ინტერვალის ზედა ზღვარი) </w:t>
      </w:r>
      <w:r w:rsidRPr="00330B09">
        <w:rPr>
          <w:lang w:val="ka-GE"/>
        </w:rPr>
        <w:lastRenderedPageBreak/>
        <w:t xml:space="preserve">პლაცებოსთან შედარებით საწყისი დონის კორექციის შემდეგ იყო 19.6 (21.5) მილიწამი. ყველაზე დაბალი ტესტირებული დოზის - 8 მგ-ის დროს, QTcF ინტერვალის მაქსიმალური საშუალო სხვაობა (90%-იანი სანდოობის ინტერვალის ზედა ზღვარი) პლაცებოსთან შედარებით საწყისი კორექციის შემდეგ იყო 5.8 (7.8) მილიწამი. ამ კვლევაში არ დაფიქსირებულა QTcF მნიშვნელობები 480 მილიწამზე მეტი და QTcF ინტერვალის 60 მილიწამზე მეტი გახანგრძლივება. ელექტროკარდიოგრამაზე არ დაფიქსირებულა მნიშვნელოვანი ცვლილებები გაზომილ PR ან QRS ინტერვალებში. </w:t>
      </w:r>
    </w:p>
    <w:p w14:paraId="6861D670" w14:textId="77777777" w:rsidR="009E2298" w:rsidRPr="006B57E5" w:rsidRDefault="009E2298" w:rsidP="003E2AB6">
      <w:pPr>
        <w:spacing w:after="0" w:line="240" w:lineRule="auto"/>
        <w:jc w:val="both"/>
        <w:rPr>
          <w:lang w:val="ka-GE"/>
        </w:rPr>
      </w:pPr>
    </w:p>
    <w:p w14:paraId="0C6C7FB3" w14:textId="77777777" w:rsidR="00985A40" w:rsidRPr="00F121DC" w:rsidRDefault="00F10D5A" w:rsidP="00985A40">
      <w:pPr>
        <w:spacing w:after="0" w:line="240" w:lineRule="auto"/>
        <w:jc w:val="both"/>
        <w:rPr>
          <w:b/>
          <w:bCs/>
        </w:rPr>
      </w:pPr>
      <w:r>
        <w:rPr>
          <w:b/>
          <w:bCs/>
        </w:rPr>
        <w:t xml:space="preserve">5.2 </w:t>
      </w:r>
      <w:r w:rsidR="00985A40" w:rsidRPr="00F121DC">
        <w:rPr>
          <w:b/>
          <w:bCs/>
        </w:rPr>
        <w:t>ფარმაკოკინეტიკური თვისებები</w:t>
      </w:r>
    </w:p>
    <w:p w14:paraId="5E6DDDF5" w14:textId="77777777" w:rsidR="006B57E5" w:rsidRPr="00330B09" w:rsidRDefault="006B57E5" w:rsidP="006B57E5">
      <w:pPr>
        <w:spacing w:after="0" w:line="240" w:lineRule="auto"/>
        <w:jc w:val="both"/>
        <w:rPr>
          <w:lang w:val="ka-GE"/>
        </w:rPr>
      </w:pPr>
      <w:r w:rsidRPr="00330B09">
        <w:rPr>
          <w:lang w:val="ka-GE"/>
        </w:rPr>
        <w:t>შემდეგი საშუალო ფარმაკოკინეტიკური მონაცემები მიღებული იქნა ჯანმრთელ ზრდასრულ სუბიექტებში 0.15 მგ/კგ ერთჯერადი ინტრავენური დოზის შემდეგ.</w:t>
      </w:r>
    </w:p>
    <w:p w14:paraId="37E8DAF8" w14:textId="77777777" w:rsidR="006B57E5" w:rsidRPr="00330B09" w:rsidRDefault="006B57E5" w:rsidP="006B57E5">
      <w:pPr>
        <w:spacing w:after="0" w:line="240" w:lineRule="auto"/>
        <w:jc w:val="both"/>
        <w:rPr>
          <w:u w:val="single"/>
          <w:lang w:val="ka-GE"/>
        </w:rPr>
      </w:pPr>
      <w:r w:rsidRPr="00330B09">
        <w:rPr>
          <w:u w:val="single"/>
          <w:lang w:val="ka-GE"/>
        </w:rPr>
        <w:t>ფარმაკოკინეტიკა ჯანმრთელ ზრდასრულ სუბიექტებში</w:t>
      </w:r>
    </w:p>
    <w:p w14:paraId="7B252333" w14:textId="77777777" w:rsidR="006B57E5" w:rsidRPr="00330B09" w:rsidRDefault="006B57E5" w:rsidP="006B57E5">
      <w:pPr>
        <w:spacing w:after="0" w:line="240" w:lineRule="auto"/>
        <w:jc w:val="both"/>
        <w:rPr>
          <w:lang w:val="ka-GE"/>
        </w:rPr>
      </w:pPr>
    </w:p>
    <w:tbl>
      <w:tblPr>
        <w:tblW w:w="9632" w:type="dxa"/>
        <w:tblInd w:w="-5" w:type="dxa"/>
        <w:tblCellMar>
          <w:left w:w="0" w:type="dxa"/>
          <w:right w:w="0" w:type="dxa"/>
        </w:tblCellMar>
        <w:tblLook w:val="04A0" w:firstRow="1" w:lastRow="0" w:firstColumn="1" w:lastColumn="0" w:noHBand="0" w:noVBand="1"/>
      </w:tblPr>
      <w:tblGrid>
        <w:gridCol w:w="1635"/>
        <w:gridCol w:w="592"/>
        <w:gridCol w:w="3013"/>
        <w:gridCol w:w="2694"/>
        <w:gridCol w:w="1698"/>
      </w:tblGrid>
      <w:tr w:rsidR="006B57E5" w:rsidRPr="00330B09" w14:paraId="47DB5B54" w14:textId="77777777" w:rsidTr="005C3C52">
        <w:trPr>
          <w:trHeight w:val="231"/>
        </w:trPr>
        <w:tc>
          <w:tcPr>
            <w:tcW w:w="1635" w:type="dxa"/>
            <w:tcBorders>
              <w:top w:val="single" w:sz="8" w:space="0" w:color="231F20"/>
              <w:left w:val="single" w:sz="8" w:space="0" w:color="231F20"/>
              <w:bottom w:val="single" w:sz="8" w:space="0" w:color="231F20"/>
              <w:right w:val="single" w:sz="8" w:space="0" w:color="231F20"/>
            </w:tcBorders>
            <w:vAlign w:val="center"/>
            <w:hideMark/>
          </w:tcPr>
          <w:p w14:paraId="5AC443D4" w14:textId="77777777" w:rsidR="006B57E5" w:rsidRPr="00330B09" w:rsidRDefault="006B57E5" w:rsidP="005C3C52">
            <w:pPr>
              <w:spacing w:after="0"/>
              <w:jc w:val="both"/>
              <w:rPr>
                <w:rFonts w:ascii="Times New Roman" w:hAnsi="Times New Roman" w:cs="Times New Roman"/>
                <w:sz w:val="20"/>
                <w:szCs w:val="20"/>
                <w:lang w:val="ka-GE"/>
              </w:rPr>
            </w:pPr>
            <w:r w:rsidRPr="00330B09">
              <w:rPr>
                <w:rFonts w:cs="Sylfaen"/>
                <w:sz w:val="20"/>
                <w:szCs w:val="20"/>
                <w:lang w:val="ka-GE"/>
              </w:rPr>
              <w:t>ასაკობრივი</w:t>
            </w:r>
            <w:r w:rsidRPr="00330B09">
              <w:rPr>
                <w:rFonts w:ascii="Times New Roman" w:hAnsi="Times New Roman" w:cs="Times New Roman"/>
                <w:sz w:val="20"/>
                <w:szCs w:val="20"/>
                <w:lang w:val="ka-GE"/>
              </w:rPr>
              <w:t xml:space="preserve"> </w:t>
            </w:r>
            <w:r w:rsidRPr="00330B09">
              <w:rPr>
                <w:rFonts w:cs="Sylfaen"/>
                <w:sz w:val="20"/>
                <w:szCs w:val="20"/>
                <w:lang w:val="ka-GE"/>
              </w:rPr>
              <w:t>ჯგუფი</w:t>
            </w:r>
            <w:r w:rsidRPr="00330B09">
              <w:rPr>
                <w:rFonts w:ascii="Times New Roman" w:hAnsi="Times New Roman" w:cs="Times New Roman"/>
                <w:sz w:val="20"/>
                <w:szCs w:val="20"/>
                <w:lang w:val="ka-GE"/>
              </w:rPr>
              <w:t xml:space="preserve"> (</w:t>
            </w:r>
            <w:r w:rsidRPr="00330B09">
              <w:rPr>
                <w:rFonts w:cs="Sylfaen"/>
                <w:sz w:val="20"/>
                <w:szCs w:val="20"/>
                <w:lang w:val="ka-GE"/>
              </w:rPr>
              <w:t>წლები</w:t>
            </w:r>
            <w:r w:rsidRPr="00330B09">
              <w:rPr>
                <w:rFonts w:ascii="Times New Roman" w:hAnsi="Times New Roman" w:cs="Times New Roman"/>
                <w:sz w:val="20"/>
                <w:szCs w:val="20"/>
                <w:lang w:val="ka-GE"/>
              </w:rPr>
              <w:t>)</w:t>
            </w:r>
          </w:p>
        </w:tc>
        <w:tc>
          <w:tcPr>
            <w:tcW w:w="592" w:type="dxa"/>
            <w:tcBorders>
              <w:top w:val="single" w:sz="8" w:space="0" w:color="231F20"/>
              <w:left w:val="nil"/>
              <w:bottom w:val="single" w:sz="8" w:space="0" w:color="231F20"/>
              <w:right w:val="single" w:sz="8" w:space="0" w:color="231F20"/>
            </w:tcBorders>
            <w:vAlign w:val="center"/>
            <w:hideMark/>
          </w:tcPr>
          <w:p w14:paraId="366AEFDC" w14:textId="77777777" w:rsidR="006B57E5" w:rsidRPr="00330B09" w:rsidRDefault="006B57E5" w:rsidP="005C3C52">
            <w:pPr>
              <w:spacing w:after="0"/>
              <w:jc w:val="both"/>
              <w:rPr>
                <w:rFonts w:ascii="Times New Roman" w:hAnsi="Times New Roman" w:cs="Times New Roman"/>
                <w:sz w:val="20"/>
                <w:szCs w:val="20"/>
                <w:lang w:val="ka-GE"/>
              </w:rPr>
            </w:pPr>
            <w:r w:rsidRPr="00330B09">
              <w:rPr>
                <w:rFonts w:ascii="Times New Roman" w:hAnsi="Times New Roman" w:cs="Times New Roman"/>
                <w:sz w:val="20"/>
                <w:szCs w:val="20"/>
                <w:lang w:val="ka-GE"/>
              </w:rPr>
              <w:t>N</w:t>
            </w:r>
          </w:p>
        </w:tc>
        <w:tc>
          <w:tcPr>
            <w:tcW w:w="3013" w:type="dxa"/>
            <w:tcBorders>
              <w:top w:val="single" w:sz="8" w:space="0" w:color="231F20"/>
              <w:left w:val="nil"/>
              <w:bottom w:val="single" w:sz="8" w:space="0" w:color="231F20"/>
              <w:right w:val="single" w:sz="8" w:space="0" w:color="231F20"/>
            </w:tcBorders>
            <w:vAlign w:val="center"/>
            <w:hideMark/>
          </w:tcPr>
          <w:p w14:paraId="3F80AE94" w14:textId="77777777" w:rsidR="006B57E5" w:rsidRPr="00330B09" w:rsidRDefault="006B57E5" w:rsidP="005C3C52">
            <w:pPr>
              <w:spacing w:after="0"/>
              <w:jc w:val="both"/>
              <w:rPr>
                <w:rFonts w:ascii="Times New Roman" w:hAnsi="Times New Roman" w:cs="Times New Roman"/>
                <w:sz w:val="20"/>
                <w:szCs w:val="20"/>
                <w:lang w:val="ka-GE"/>
              </w:rPr>
            </w:pPr>
            <w:r w:rsidRPr="00330B09">
              <w:rPr>
                <w:rFonts w:cs="Sylfaen"/>
                <w:sz w:val="20"/>
                <w:szCs w:val="20"/>
                <w:lang w:val="ka-GE"/>
              </w:rPr>
              <w:t>პიკური</w:t>
            </w:r>
            <w:r w:rsidRPr="00330B09">
              <w:rPr>
                <w:rFonts w:ascii="Times New Roman" w:hAnsi="Times New Roman" w:cs="Times New Roman"/>
                <w:sz w:val="20"/>
                <w:szCs w:val="20"/>
                <w:lang w:val="ka-GE"/>
              </w:rPr>
              <w:t xml:space="preserve"> </w:t>
            </w:r>
            <w:r w:rsidRPr="00330B09">
              <w:rPr>
                <w:rFonts w:cs="Sylfaen"/>
                <w:sz w:val="20"/>
                <w:szCs w:val="20"/>
                <w:lang w:val="ka-GE"/>
              </w:rPr>
              <w:t>პლაზმური</w:t>
            </w:r>
            <w:r w:rsidRPr="00330B09">
              <w:rPr>
                <w:rFonts w:ascii="Times New Roman" w:hAnsi="Times New Roman" w:cs="Times New Roman"/>
                <w:sz w:val="20"/>
                <w:szCs w:val="20"/>
                <w:lang w:val="ka-GE"/>
              </w:rPr>
              <w:t xml:space="preserve"> </w:t>
            </w:r>
            <w:r w:rsidRPr="00330B09">
              <w:rPr>
                <w:rFonts w:cs="Sylfaen"/>
                <w:sz w:val="20"/>
                <w:szCs w:val="20"/>
                <w:lang w:val="ka-GE"/>
              </w:rPr>
              <w:t>კონცენტრაცია</w:t>
            </w:r>
            <w:r w:rsidRPr="00330B09">
              <w:rPr>
                <w:rFonts w:ascii="Times New Roman" w:hAnsi="Times New Roman" w:cs="Times New Roman"/>
                <w:sz w:val="20"/>
                <w:szCs w:val="20"/>
                <w:lang w:val="ka-GE"/>
              </w:rPr>
              <w:t xml:space="preserve"> (</w:t>
            </w:r>
            <w:r w:rsidRPr="00330B09">
              <w:rPr>
                <w:rFonts w:cs="Sylfaen"/>
                <w:sz w:val="20"/>
                <w:szCs w:val="20"/>
                <w:lang w:val="ka-GE"/>
              </w:rPr>
              <w:t>ნგ</w:t>
            </w:r>
            <w:r w:rsidRPr="00330B09">
              <w:rPr>
                <w:rFonts w:ascii="Times New Roman" w:hAnsi="Times New Roman" w:cs="Times New Roman"/>
                <w:sz w:val="20"/>
                <w:szCs w:val="20"/>
                <w:lang w:val="ka-GE"/>
              </w:rPr>
              <w:t>/</w:t>
            </w:r>
            <w:r w:rsidRPr="00330B09">
              <w:rPr>
                <w:rFonts w:cs="Sylfaen"/>
                <w:sz w:val="20"/>
                <w:szCs w:val="20"/>
                <w:lang w:val="ka-GE"/>
              </w:rPr>
              <w:t>მლ</w:t>
            </w:r>
            <w:r w:rsidRPr="00330B09">
              <w:rPr>
                <w:rFonts w:ascii="Times New Roman" w:hAnsi="Times New Roman" w:cs="Times New Roman"/>
                <w:sz w:val="20"/>
                <w:szCs w:val="20"/>
                <w:lang w:val="ka-GE"/>
              </w:rPr>
              <w:t>)</w:t>
            </w:r>
          </w:p>
        </w:tc>
        <w:tc>
          <w:tcPr>
            <w:tcW w:w="2694" w:type="dxa"/>
            <w:tcBorders>
              <w:top w:val="single" w:sz="8" w:space="0" w:color="231F20"/>
              <w:left w:val="nil"/>
              <w:bottom w:val="single" w:sz="8" w:space="0" w:color="231F20"/>
              <w:right w:val="single" w:sz="8" w:space="0" w:color="231F20"/>
            </w:tcBorders>
            <w:vAlign w:val="center"/>
            <w:hideMark/>
          </w:tcPr>
          <w:p w14:paraId="46B62D92" w14:textId="77777777" w:rsidR="006B57E5" w:rsidRPr="00330B09" w:rsidRDefault="006B57E5" w:rsidP="005C3C52">
            <w:pPr>
              <w:spacing w:after="0"/>
              <w:jc w:val="both"/>
              <w:rPr>
                <w:rFonts w:ascii="Times New Roman" w:hAnsi="Times New Roman" w:cs="Times New Roman"/>
                <w:sz w:val="20"/>
                <w:szCs w:val="20"/>
                <w:lang w:val="ka-GE"/>
              </w:rPr>
            </w:pPr>
            <w:r w:rsidRPr="00330B09">
              <w:rPr>
                <w:rFonts w:cs="Sylfaen"/>
                <w:sz w:val="20"/>
                <w:szCs w:val="20"/>
                <w:lang w:val="ka-GE"/>
              </w:rPr>
              <w:t>საშუალო</w:t>
            </w:r>
          </w:p>
          <w:p w14:paraId="55FF10A8" w14:textId="77777777" w:rsidR="006B57E5" w:rsidRPr="00330B09" w:rsidRDefault="006B57E5" w:rsidP="005C3C52">
            <w:pPr>
              <w:spacing w:after="0"/>
              <w:jc w:val="both"/>
              <w:rPr>
                <w:rFonts w:ascii="Times New Roman" w:hAnsi="Times New Roman" w:cs="Times New Roman"/>
                <w:sz w:val="20"/>
                <w:szCs w:val="20"/>
                <w:lang w:val="ka-GE"/>
              </w:rPr>
            </w:pPr>
            <w:r w:rsidRPr="00330B09">
              <w:rPr>
                <w:rFonts w:cs="Sylfaen"/>
                <w:sz w:val="20"/>
                <w:szCs w:val="20"/>
                <w:lang w:val="ka-GE"/>
              </w:rPr>
              <w:t>ელიმინაციის</w:t>
            </w:r>
          </w:p>
          <w:p w14:paraId="352ED5F9" w14:textId="77777777" w:rsidR="006B57E5" w:rsidRPr="00330B09" w:rsidRDefault="006B57E5" w:rsidP="005C3C52">
            <w:pPr>
              <w:spacing w:after="0"/>
              <w:jc w:val="both"/>
              <w:rPr>
                <w:rFonts w:ascii="Times New Roman" w:hAnsi="Times New Roman" w:cs="Times New Roman"/>
                <w:sz w:val="20"/>
                <w:szCs w:val="20"/>
                <w:u w:val="single"/>
                <w:lang w:val="ka-GE"/>
              </w:rPr>
            </w:pPr>
            <w:r w:rsidRPr="00330B09">
              <w:rPr>
                <w:rFonts w:cs="Sylfaen"/>
                <w:sz w:val="20"/>
                <w:szCs w:val="20"/>
                <w:lang w:val="ka-GE"/>
              </w:rPr>
              <w:t>ნახევარგამოყოფის</w:t>
            </w:r>
            <w:r w:rsidRPr="00330B09">
              <w:rPr>
                <w:rFonts w:ascii="Times New Roman" w:hAnsi="Times New Roman" w:cs="Times New Roman"/>
                <w:sz w:val="20"/>
                <w:szCs w:val="20"/>
                <w:lang w:val="ka-GE"/>
              </w:rPr>
              <w:t xml:space="preserve"> </w:t>
            </w:r>
            <w:r w:rsidRPr="00330B09">
              <w:rPr>
                <w:rFonts w:cs="Sylfaen"/>
                <w:sz w:val="20"/>
                <w:szCs w:val="20"/>
                <w:lang w:val="ka-GE"/>
              </w:rPr>
              <w:t>პერიოდი</w:t>
            </w:r>
            <w:r w:rsidRPr="00330B09">
              <w:rPr>
                <w:rFonts w:ascii="Times New Roman" w:hAnsi="Times New Roman" w:cs="Times New Roman"/>
                <w:sz w:val="20"/>
                <w:szCs w:val="20"/>
                <w:lang w:val="ka-GE"/>
              </w:rPr>
              <w:t xml:space="preserve"> (</w:t>
            </w:r>
            <w:r w:rsidRPr="00330B09">
              <w:rPr>
                <w:rFonts w:cs="Sylfaen"/>
                <w:sz w:val="20"/>
                <w:szCs w:val="20"/>
                <w:lang w:val="ka-GE"/>
              </w:rPr>
              <w:t>სთ</w:t>
            </w:r>
            <w:r w:rsidRPr="00330B09">
              <w:rPr>
                <w:rFonts w:ascii="Times New Roman" w:hAnsi="Times New Roman" w:cs="Times New Roman"/>
                <w:sz w:val="20"/>
                <w:szCs w:val="20"/>
                <w:lang w:val="ka-GE"/>
              </w:rPr>
              <w:t>)</w:t>
            </w:r>
          </w:p>
        </w:tc>
        <w:tc>
          <w:tcPr>
            <w:tcW w:w="1698" w:type="dxa"/>
            <w:tcBorders>
              <w:top w:val="single" w:sz="8" w:space="0" w:color="231F20"/>
              <w:left w:val="nil"/>
              <w:bottom w:val="single" w:sz="8" w:space="0" w:color="231F20"/>
              <w:right w:val="single" w:sz="8" w:space="0" w:color="231F20"/>
            </w:tcBorders>
            <w:vAlign w:val="center"/>
            <w:hideMark/>
          </w:tcPr>
          <w:p w14:paraId="60D37C3C" w14:textId="77777777" w:rsidR="006B57E5" w:rsidRPr="00330B09" w:rsidRDefault="006B57E5" w:rsidP="005C3C52">
            <w:pPr>
              <w:spacing w:after="0"/>
              <w:jc w:val="both"/>
              <w:rPr>
                <w:rFonts w:ascii="Times New Roman" w:hAnsi="Times New Roman" w:cs="Times New Roman"/>
                <w:sz w:val="20"/>
                <w:szCs w:val="20"/>
                <w:lang w:val="ka-GE"/>
              </w:rPr>
            </w:pPr>
            <w:r w:rsidRPr="00330B09">
              <w:rPr>
                <w:rFonts w:cs="Sylfaen"/>
                <w:sz w:val="20"/>
                <w:szCs w:val="20"/>
                <w:lang w:val="ka-GE"/>
              </w:rPr>
              <w:t>პლაზმური</w:t>
            </w:r>
          </w:p>
          <w:p w14:paraId="2C51EE47" w14:textId="77777777" w:rsidR="006B57E5" w:rsidRPr="00330B09" w:rsidRDefault="006B57E5" w:rsidP="005C3C52">
            <w:pPr>
              <w:spacing w:after="0"/>
              <w:jc w:val="both"/>
              <w:rPr>
                <w:rFonts w:ascii="Times New Roman" w:hAnsi="Times New Roman" w:cs="Times New Roman"/>
                <w:sz w:val="20"/>
                <w:szCs w:val="20"/>
                <w:lang w:val="ka-GE"/>
              </w:rPr>
            </w:pPr>
            <w:r w:rsidRPr="00330B09">
              <w:rPr>
                <w:rFonts w:cs="Sylfaen"/>
                <w:sz w:val="20"/>
                <w:szCs w:val="20"/>
                <w:lang w:val="ka-GE"/>
              </w:rPr>
              <w:t>კლირენსი</w:t>
            </w:r>
          </w:p>
          <w:p w14:paraId="5E2EE385" w14:textId="77777777" w:rsidR="006B57E5" w:rsidRPr="00330B09" w:rsidRDefault="006B57E5" w:rsidP="005C3C52">
            <w:pPr>
              <w:spacing w:after="0"/>
              <w:jc w:val="both"/>
              <w:rPr>
                <w:rFonts w:ascii="Times New Roman" w:hAnsi="Times New Roman" w:cs="Times New Roman"/>
                <w:sz w:val="20"/>
                <w:szCs w:val="20"/>
                <w:u w:val="single"/>
                <w:lang w:val="ka-GE"/>
              </w:rPr>
            </w:pPr>
            <w:r w:rsidRPr="00330B09">
              <w:rPr>
                <w:rFonts w:ascii="Times New Roman" w:hAnsi="Times New Roman" w:cs="Times New Roman"/>
                <w:sz w:val="20"/>
                <w:szCs w:val="20"/>
                <w:lang w:val="ka-GE"/>
              </w:rPr>
              <w:t>(</w:t>
            </w:r>
            <w:r w:rsidRPr="00330B09">
              <w:rPr>
                <w:rFonts w:cs="Sylfaen"/>
                <w:sz w:val="20"/>
                <w:szCs w:val="20"/>
                <w:lang w:val="ka-GE"/>
              </w:rPr>
              <w:t>ლ</w:t>
            </w:r>
            <w:r w:rsidRPr="00330B09">
              <w:rPr>
                <w:rFonts w:ascii="Times New Roman" w:hAnsi="Times New Roman" w:cs="Times New Roman"/>
                <w:sz w:val="20"/>
                <w:szCs w:val="20"/>
                <w:lang w:val="ka-GE"/>
              </w:rPr>
              <w:t>/</w:t>
            </w:r>
            <w:r w:rsidRPr="00330B09">
              <w:rPr>
                <w:rFonts w:cs="Sylfaen"/>
                <w:sz w:val="20"/>
                <w:szCs w:val="20"/>
                <w:lang w:val="ka-GE"/>
              </w:rPr>
              <w:t>სთ</w:t>
            </w:r>
            <w:r w:rsidRPr="00330B09">
              <w:rPr>
                <w:rFonts w:ascii="Times New Roman" w:hAnsi="Times New Roman" w:cs="Times New Roman"/>
                <w:sz w:val="20"/>
                <w:szCs w:val="20"/>
                <w:lang w:val="ka-GE"/>
              </w:rPr>
              <w:t>/</w:t>
            </w:r>
            <w:r w:rsidRPr="00330B09">
              <w:rPr>
                <w:rFonts w:cs="Sylfaen"/>
                <w:sz w:val="20"/>
                <w:szCs w:val="20"/>
                <w:lang w:val="ka-GE"/>
              </w:rPr>
              <w:t>კგ</w:t>
            </w:r>
            <w:r w:rsidRPr="00330B09">
              <w:rPr>
                <w:rFonts w:ascii="Times New Roman" w:hAnsi="Times New Roman" w:cs="Times New Roman"/>
                <w:sz w:val="20"/>
                <w:szCs w:val="20"/>
                <w:lang w:val="ka-GE"/>
              </w:rPr>
              <w:t>)</w:t>
            </w:r>
          </w:p>
        </w:tc>
      </w:tr>
      <w:tr w:rsidR="006B57E5" w:rsidRPr="00330B09" w14:paraId="49CEED61" w14:textId="77777777" w:rsidTr="005C3C52">
        <w:trPr>
          <w:trHeight w:val="121"/>
        </w:trPr>
        <w:tc>
          <w:tcPr>
            <w:tcW w:w="1635" w:type="dxa"/>
            <w:tcBorders>
              <w:top w:val="nil"/>
              <w:left w:val="single" w:sz="8" w:space="0" w:color="231F20"/>
              <w:bottom w:val="single" w:sz="8" w:space="0" w:color="231F20"/>
              <w:right w:val="single" w:sz="8" w:space="0" w:color="231F20"/>
            </w:tcBorders>
            <w:vAlign w:val="center"/>
            <w:hideMark/>
          </w:tcPr>
          <w:p w14:paraId="454B8294" w14:textId="77777777" w:rsidR="006B57E5" w:rsidRPr="00330B09" w:rsidRDefault="006B57E5" w:rsidP="005C3C52">
            <w:pPr>
              <w:spacing w:after="0"/>
              <w:jc w:val="both"/>
              <w:rPr>
                <w:rFonts w:ascii="Times New Roman" w:hAnsi="Times New Roman" w:cs="Times New Roman"/>
                <w:sz w:val="20"/>
                <w:szCs w:val="20"/>
                <w:lang w:val="ka-GE"/>
              </w:rPr>
            </w:pPr>
            <w:r w:rsidRPr="00330B09">
              <w:rPr>
                <w:rFonts w:ascii="Times New Roman" w:hAnsi="Times New Roman" w:cs="Times New Roman"/>
                <w:sz w:val="20"/>
                <w:szCs w:val="20"/>
                <w:lang w:val="ka-GE"/>
              </w:rPr>
              <w:t>19-40</w:t>
            </w:r>
          </w:p>
        </w:tc>
        <w:tc>
          <w:tcPr>
            <w:tcW w:w="592" w:type="dxa"/>
            <w:tcBorders>
              <w:top w:val="nil"/>
              <w:left w:val="nil"/>
              <w:bottom w:val="single" w:sz="8" w:space="0" w:color="231F20"/>
              <w:right w:val="single" w:sz="8" w:space="0" w:color="231F20"/>
            </w:tcBorders>
            <w:vAlign w:val="center"/>
            <w:hideMark/>
          </w:tcPr>
          <w:p w14:paraId="7CDD322B" w14:textId="77777777" w:rsidR="006B57E5" w:rsidRPr="00330B09" w:rsidRDefault="006B57E5" w:rsidP="005C3C52">
            <w:pPr>
              <w:spacing w:after="0"/>
              <w:jc w:val="both"/>
              <w:rPr>
                <w:rFonts w:ascii="Times New Roman" w:hAnsi="Times New Roman" w:cs="Times New Roman"/>
                <w:sz w:val="20"/>
                <w:szCs w:val="20"/>
                <w:lang w:val="ka-GE"/>
              </w:rPr>
            </w:pPr>
            <w:r w:rsidRPr="00330B09">
              <w:rPr>
                <w:rFonts w:ascii="Times New Roman" w:hAnsi="Times New Roman" w:cs="Times New Roman"/>
                <w:sz w:val="20"/>
                <w:szCs w:val="20"/>
                <w:lang w:val="ka-GE"/>
              </w:rPr>
              <w:t>11</w:t>
            </w:r>
          </w:p>
        </w:tc>
        <w:tc>
          <w:tcPr>
            <w:tcW w:w="3013" w:type="dxa"/>
            <w:tcBorders>
              <w:top w:val="nil"/>
              <w:left w:val="nil"/>
              <w:bottom w:val="single" w:sz="8" w:space="0" w:color="231F20"/>
              <w:right w:val="single" w:sz="8" w:space="0" w:color="231F20"/>
            </w:tcBorders>
            <w:vAlign w:val="center"/>
            <w:hideMark/>
          </w:tcPr>
          <w:p w14:paraId="4CDA839F" w14:textId="77777777" w:rsidR="006B57E5" w:rsidRPr="00330B09" w:rsidRDefault="006B57E5" w:rsidP="005C3C52">
            <w:pPr>
              <w:spacing w:after="0"/>
              <w:jc w:val="both"/>
              <w:rPr>
                <w:rFonts w:ascii="Times New Roman" w:hAnsi="Times New Roman" w:cs="Times New Roman"/>
                <w:sz w:val="20"/>
                <w:szCs w:val="20"/>
                <w:lang w:val="ka-GE"/>
              </w:rPr>
            </w:pPr>
            <w:r w:rsidRPr="00330B09">
              <w:rPr>
                <w:rFonts w:ascii="Times New Roman" w:hAnsi="Times New Roman" w:cs="Times New Roman"/>
                <w:sz w:val="20"/>
                <w:szCs w:val="20"/>
                <w:lang w:val="ka-GE"/>
              </w:rPr>
              <w:t>102</w:t>
            </w:r>
          </w:p>
        </w:tc>
        <w:tc>
          <w:tcPr>
            <w:tcW w:w="2694" w:type="dxa"/>
            <w:tcBorders>
              <w:top w:val="nil"/>
              <w:left w:val="nil"/>
              <w:bottom w:val="single" w:sz="8" w:space="0" w:color="231F20"/>
              <w:right w:val="single" w:sz="8" w:space="0" w:color="231F20"/>
            </w:tcBorders>
            <w:vAlign w:val="center"/>
            <w:hideMark/>
          </w:tcPr>
          <w:p w14:paraId="75F84918" w14:textId="77777777" w:rsidR="006B57E5" w:rsidRPr="00330B09" w:rsidRDefault="006B57E5" w:rsidP="005C3C52">
            <w:pPr>
              <w:spacing w:after="0"/>
              <w:jc w:val="both"/>
              <w:rPr>
                <w:rFonts w:ascii="Times New Roman" w:hAnsi="Times New Roman" w:cs="Times New Roman"/>
                <w:sz w:val="20"/>
                <w:szCs w:val="20"/>
                <w:lang w:val="ka-GE"/>
              </w:rPr>
            </w:pPr>
            <w:r w:rsidRPr="00330B09">
              <w:rPr>
                <w:rFonts w:ascii="Times New Roman" w:hAnsi="Times New Roman" w:cs="Times New Roman"/>
                <w:sz w:val="20"/>
                <w:szCs w:val="20"/>
                <w:lang w:val="ka-GE"/>
              </w:rPr>
              <w:t>3.5</w:t>
            </w:r>
          </w:p>
        </w:tc>
        <w:tc>
          <w:tcPr>
            <w:tcW w:w="1698" w:type="dxa"/>
            <w:tcBorders>
              <w:top w:val="nil"/>
              <w:left w:val="nil"/>
              <w:bottom w:val="single" w:sz="8" w:space="0" w:color="231F20"/>
              <w:right w:val="single" w:sz="8" w:space="0" w:color="231F20"/>
            </w:tcBorders>
            <w:vAlign w:val="center"/>
            <w:hideMark/>
          </w:tcPr>
          <w:p w14:paraId="511911DB" w14:textId="77777777" w:rsidR="006B57E5" w:rsidRPr="00330B09" w:rsidRDefault="006B57E5" w:rsidP="005C3C52">
            <w:pPr>
              <w:spacing w:after="0"/>
              <w:jc w:val="both"/>
              <w:rPr>
                <w:rFonts w:ascii="Times New Roman" w:hAnsi="Times New Roman" w:cs="Times New Roman"/>
                <w:sz w:val="20"/>
                <w:szCs w:val="20"/>
                <w:lang w:val="ka-GE"/>
              </w:rPr>
            </w:pPr>
            <w:r w:rsidRPr="00330B09">
              <w:rPr>
                <w:rFonts w:ascii="Times New Roman" w:hAnsi="Times New Roman" w:cs="Times New Roman"/>
                <w:sz w:val="20"/>
                <w:szCs w:val="20"/>
                <w:lang w:val="ka-GE"/>
              </w:rPr>
              <w:t>0.381</w:t>
            </w:r>
          </w:p>
        </w:tc>
      </w:tr>
      <w:tr w:rsidR="006B57E5" w:rsidRPr="00330B09" w14:paraId="44893574" w14:textId="77777777" w:rsidTr="005C3C52">
        <w:trPr>
          <w:trHeight w:val="121"/>
        </w:trPr>
        <w:tc>
          <w:tcPr>
            <w:tcW w:w="1635" w:type="dxa"/>
            <w:tcBorders>
              <w:top w:val="nil"/>
              <w:left w:val="single" w:sz="8" w:space="0" w:color="231F20"/>
              <w:bottom w:val="single" w:sz="8" w:space="0" w:color="231F20"/>
              <w:right w:val="single" w:sz="8" w:space="0" w:color="231F20"/>
            </w:tcBorders>
            <w:vAlign w:val="center"/>
            <w:hideMark/>
          </w:tcPr>
          <w:p w14:paraId="22756E84" w14:textId="77777777" w:rsidR="006B57E5" w:rsidRPr="00330B09" w:rsidRDefault="006B57E5" w:rsidP="005C3C52">
            <w:pPr>
              <w:spacing w:after="0"/>
              <w:jc w:val="both"/>
              <w:rPr>
                <w:rFonts w:ascii="Times New Roman" w:hAnsi="Times New Roman" w:cs="Times New Roman"/>
                <w:sz w:val="20"/>
                <w:szCs w:val="20"/>
                <w:lang w:val="ka-GE"/>
              </w:rPr>
            </w:pPr>
            <w:r w:rsidRPr="00330B09">
              <w:rPr>
                <w:rFonts w:ascii="Times New Roman" w:hAnsi="Times New Roman" w:cs="Times New Roman"/>
                <w:sz w:val="20"/>
                <w:szCs w:val="20"/>
                <w:lang w:val="ka-GE"/>
              </w:rPr>
              <w:t>61-74</w:t>
            </w:r>
          </w:p>
        </w:tc>
        <w:tc>
          <w:tcPr>
            <w:tcW w:w="592" w:type="dxa"/>
            <w:tcBorders>
              <w:top w:val="nil"/>
              <w:left w:val="nil"/>
              <w:bottom w:val="single" w:sz="8" w:space="0" w:color="231F20"/>
              <w:right w:val="single" w:sz="8" w:space="0" w:color="231F20"/>
            </w:tcBorders>
            <w:vAlign w:val="center"/>
            <w:hideMark/>
          </w:tcPr>
          <w:p w14:paraId="0E1D9459" w14:textId="77777777" w:rsidR="006B57E5" w:rsidRPr="00330B09" w:rsidRDefault="006B57E5" w:rsidP="005C3C52">
            <w:pPr>
              <w:spacing w:after="0"/>
              <w:jc w:val="both"/>
              <w:rPr>
                <w:rFonts w:ascii="Times New Roman" w:hAnsi="Times New Roman" w:cs="Times New Roman"/>
                <w:sz w:val="20"/>
                <w:szCs w:val="20"/>
                <w:lang w:val="ka-GE"/>
              </w:rPr>
            </w:pPr>
            <w:r w:rsidRPr="00330B09">
              <w:rPr>
                <w:rFonts w:ascii="Times New Roman" w:hAnsi="Times New Roman" w:cs="Times New Roman"/>
                <w:sz w:val="20"/>
                <w:szCs w:val="20"/>
                <w:lang w:val="ka-GE"/>
              </w:rPr>
              <w:t>12</w:t>
            </w:r>
          </w:p>
        </w:tc>
        <w:tc>
          <w:tcPr>
            <w:tcW w:w="3013" w:type="dxa"/>
            <w:tcBorders>
              <w:top w:val="nil"/>
              <w:left w:val="nil"/>
              <w:bottom w:val="single" w:sz="8" w:space="0" w:color="231F20"/>
              <w:right w:val="single" w:sz="8" w:space="0" w:color="231F20"/>
            </w:tcBorders>
            <w:vAlign w:val="center"/>
            <w:hideMark/>
          </w:tcPr>
          <w:p w14:paraId="1FD0DE5F" w14:textId="77777777" w:rsidR="006B57E5" w:rsidRPr="00330B09" w:rsidRDefault="006B57E5" w:rsidP="005C3C52">
            <w:pPr>
              <w:spacing w:after="0"/>
              <w:jc w:val="both"/>
              <w:rPr>
                <w:rFonts w:ascii="Times New Roman" w:hAnsi="Times New Roman" w:cs="Times New Roman"/>
                <w:sz w:val="20"/>
                <w:szCs w:val="20"/>
                <w:lang w:val="ka-GE"/>
              </w:rPr>
            </w:pPr>
            <w:r w:rsidRPr="00330B09">
              <w:rPr>
                <w:rFonts w:ascii="Times New Roman" w:hAnsi="Times New Roman" w:cs="Times New Roman"/>
                <w:sz w:val="20"/>
                <w:szCs w:val="20"/>
                <w:lang w:val="ka-GE"/>
              </w:rPr>
              <w:t>106</w:t>
            </w:r>
          </w:p>
        </w:tc>
        <w:tc>
          <w:tcPr>
            <w:tcW w:w="2694" w:type="dxa"/>
            <w:tcBorders>
              <w:top w:val="nil"/>
              <w:left w:val="nil"/>
              <w:bottom w:val="single" w:sz="8" w:space="0" w:color="231F20"/>
              <w:right w:val="single" w:sz="8" w:space="0" w:color="231F20"/>
            </w:tcBorders>
            <w:vAlign w:val="center"/>
            <w:hideMark/>
          </w:tcPr>
          <w:p w14:paraId="2AEF934B" w14:textId="77777777" w:rsidR="006B57E5" w:rsidRPr="00330B09" w:rsidRDefault="006B57E5" w:rsidP="005C3C52">
            <w:pPr>
              <w:spacing w:after="0"/>
              <w:jc w:val="both"/>
              <w:rPr>
                <w:rFonts w:ascii="Times New Roman" w:hAnsi="Times New Roman" w:cs="Times New Roman"/>
                <w:sz w:val="20"/>
                <w:szCs w:val="20"/>
                <w:lang w:val="ka-GE"/>
              </w:rPr>
            </w:pPr>
            <w:r w:rsidRPr="00330B09">
              <w:rPr>
                <w:rFonts w:ascii="Times New Roman" w:hAnsi="Times New Roman" w:cs="Times New Roman"/>
                <w:sz w:val="20"/>
                <w:szCs w:val="20"/>
                <w:lang w:val="ka-GE"/>
              </w:rPr>
              <w:t>4.7</w:t>
            </w:r>
          </w:p>
        </w:tc>
        <w:tc>
          <w:tcPr>
            <w:tcW w:w="1698" w:type="dxa"/>
            <w:tcBorders>
              <w:top w:val="nil"/>
              <w:left w:val="nil"/>
              <w:bottom w:val="single" w:sz="8" w:space="0" w:color="231F20"/>
              <w:right w:val="single" w:sz="8" w:space="0" w:color="231F20"/>
            </w:tcBorders>
            <w:vAlign w:val="center"/>
            <w:hideMark/>
          </w:tcPr>
          <w:p w14:paraId="43F2613D" w14:textId="77777777" w:rsidR="006B57E5" w:rsidRPr="00330B09" w:rsidRDefault="006B57E5" w:rsidP="005C3C52">
            <w:pPr>
              <w:spacing w:after="0"/>
              <w:jc w:val="both"/>
              <w:rPr>
                <w:rFonts w:ascii="Times New Roman" w:hAnsi="Times New Roman" w:cs="Times New Roman"/>
                <w:sz w:val="20"/>
                <w:szCs w:val="20"/>
                <w:lang w:val="ka-GE"/>
              </w:rPr>
            </w:pPr>
            <w:r w:rsidRPr="00330B09">
              <w:rPr>
                <w:rFonts w:ascii="Times New Roman" w:hAnsi="Times New Roman" w:cs="Times New Roman"/>
                <w:sz w:val="20"/>
                <w:szCs w:val="20"/>
                <w:lang w:val="ka-GE"/>
              </w:rPr>
              <w:t>0.319</w:t>
            </w:r>
          </w:p>
        </w:tc>
      </w:tr>
      <w:tr w:rsidR="006B57E5" w:rsidRPr="00330B09" w14:paraId="702A3FD0" w14:textId="77777777" w:rsidTr="005C3C52">
        <w:trPr>
          <w:trHeight w:val="121"/>
        </w:trPr>
        <w:tc>
          <w:tcPr>
            <w:tcW w:w="1635" w:type="dxa"/>
            <w:tcBorders>
              <w:top w:val="nil"/>
              <w:left w:val="single" w:sz="8" w:space="0" w:color="231F20"/>
              <w:bottom w:val="single" w:sz="8" w:space="0" w:color="231F20"/>
              <w:right w:val="single" w:sz="8" w:space="0" w:color="231F20"/>
            </w:tcBorders>
            <w:vAlign w:val="center"/>
            <w:hideMark/>
          </w:tcPr>
          <w:p w14:paraId="5ED48A3E" w14:textId="77777777" w:rsidR="006B57E5" w:rsidRPr="00330B09" w:rsidRDefault="006B57E5" w:rsidP="005C3C52">
            <w:pPr>
              <w:spacing w:after="0"/>
              <w:jc w:val="both"/>
              <w:rPr>
                <w:rFonts w:ascii="Times New Roman" w:hAnsi="Times New Roman" w:cs="Times New Roman"/>
                <w:sz w:val="20"/>
                <w:szCs w:val="20"/>
                <w:lang w:val="ka-GE"/>
              </w:rPr>
            </w:pPr>
            <w:r w:rsidRPr="00330B09">
              <w:rPr>
                <w:rFonts w:ascii="Times New Roman" w:hAnsi="Times New Roman" w:cs="Times New Roman"/>
                <w:sz w:val="20"/>
                <w:szCs w:val="20"/>
                <w:lang w:val="ka-GE"/>
              </w:rPr>
              <w:t>≥ 75</w:t>
            </w:r>
          </w:p>
        </w:tc>
        <w:tc>
          <w:tcPr>
            <w:tcW w:w="592" w:type="dxa"/>
            <w:tcBorders>
              <w:top w:val="nil"/>
              <w:left w:val="nil"/>
              <w:bottom w:val="single" w:sz="8" w:space="0" w:color="231F20"/>
              <w:right w:val="single" w:sz="8" w:space="0" w:color="231F20"/>
            </w:tcBorders>
            <w:vAlign w:val="center"/>
            <w:hideMark/>
          </w:tcPr>
          <w:p w14:paraId="1AC843F8" w14:textId="77777777" w:rsidR="006B57E5" w:rsidRPr="00330B09" w:rsidRDefault="006B57E5" w:rsidP="005C3C52">
            <w:pPr>
              <w:spacing w:after="0"/>
              <w:jc w:val="both"/>
              <w:rPr>
                <w:rFonts w:ascii="Times New Roman" w:hAnsi="Times New Roman" w:cs="Times New Roman"/>
                <w:sz w:val="20"/>
                <w:szCs w:val="20"/>
                <w:lang w:val="ka-GE"/>
              </w:rPr>
            </w:pPr>
            <w:r w:rsidRPr="00330B09">
              <w:rPr>
                <w:rFonts w:ascii="Times New Roman" w:hAnsi="Times New Roman" w:cs="Times New Roman"/>
                <w:sz w:val="20"/>
                <w:szCs w:val="20"/>
                <w:lang w:val="ka-GE"/>
              </w:rPr>
              <w:t>11</w:t>
            </w:r>
          </w:p>
        </w:tc>
        <w:tc>
          <w:tcPr>
            <w:tcW w:w="3013" w:type="dxa"/>
            <w:tcBorders>
              <w:top w:val="nil"/>
              <w:left w:val="nil"/>
              <w:bottom w:val="single" w:sz="8" w:space="0" w:color="231F20"/>
              <w:right w:val="single" w:sz="8" w:space="0" w:color="231F20"/>
            </w:tcBorders>
            <w:vAlign w:val="center"/>
            <w:hideMark/>
          </w:tcPr>
          <w:p w14:paraId="0FE43399" w14:textId="77777777" w:rsidR="006B57E5" w:rsidRPr="00330B09" w:rsidRDefault="006B57E5" w:rsidP="005C3C52">
            <w:pPr>
              <w:spacing w:after="0"/>
              <w:jc w:val="both"/>
              <w:rPr>
                <w:rFonts w:ascii="Times New Roman" w:hAnsi="Times New Roman" w:cs="Times New Roman"/>
                <w:sz w:val="20"/>
                <w:szCs w:val="20"/>
                <w:lang w:val="ka-GE"/>
              </w:rPr>
            </w:pPr>
            <w:r w:rsidRPr="00330B09">
              <w:rPr>
                <w:rFonts w:ascii="Times New Roman" w:hAnsi="Times New Roman" w:cs="Times New Roman"/>
                <w:sz w:val="20"/>
                <w:szCs w:val="20"/>
                <w:lang w:val="ka-GE"/>
              </w:rPr>
              <w:t>170</w:t>
            </w:r>
          </w:p>
        </w:tc>
        <w:tc>
          <w:tcPr>
            <w:tcW w:w="2694" w:type="dxa"/>
            <w:tcBorders>
              <w:top w:val="nil"/>
              <w:left w:val="nil"/>
              <w:bottom w:val="single" w:sz="8" w:space="0" w:color="231F20"/>
              <w:right w:val="single" w:sz="8" w:space="0" w:color="231F20"/>
            </w:tcBorders>
            <w:vAlign w:val="center"/>
            <w:hideMark/>
          </w:tcPr>
          <w:p w14:paraId="409C3864" w14:textId="77777777" w:rsidR="006B57E5" w:rsidRPr="00330B09" w:rsidRDefault="006B57E5" w:rsidP="005C3C52">
            <w:pPr>
              <w:spacing w:after="0"/>
              <w:jc w:val="both"/>
              <w:rPr>
                <w:rFonts w:ascii="Times New Roman" w:hAnsi="Times New Roman" w:cs="Times New Roman"/>
                <w:sz w:val="20"/>
                <w:szCs w:val="20"/>
                <w:lang w:val="ka-GE"/>
              </w:rPr>
            </w:pPr>
            <w:r w:rsidRPr="00330B09">
              <w:rPr>
                <w:rFonts w:ascii="Times New Roman" w:hAnsi="Times New Roman" w:cs="Times New Roman"/>
                <w:sz w:val="20"/>
                <w:szCs w:val="20"/>
                <w:lang w:val="ka-GE"/>
              </w:rPr>
              <w:t>5.5</w:t>
            </w:r>
          </w:p>
        </w:tc>
        <w:tc>
          <w:tcPr>
            <w:tcW w:w="1698" w:type="dxa"/>
            <w:tcBorders>
              <w:top w:val="nil"/>
              <w:left w:val="nil"/>
              <w:bottom w:val="single" w:sz="8" w:space="0" w:color="231F20"/>
              <w:right w:val="single" w:sz="8" w:space="0" w:color="231F20"/>
            </w:tcBorders>
            <w:vAlign w:val="center"/>
            <w:hideMark/>
          </w:tcPr>
          <w:p w14:paraId="442C3CEE" w14:textId="77777777" w:rsidR="006B57E5" w:rsidRPr="00330B09" w:rsidRDefault="006B57E5" w:rsidP="005C3C52">
            <w:pPr>
              <w:spacing w:after="0"/>
              <w:jc w:val="both"/>
              <w:rPr>
                <w:rFonts w:ascii="Times New Roman" w:hAnsi="Times New Roman" w:cs="Times New Roman"/>
                <w:sz w:val="20"/>
                <w:szCs w:val="20"/>
                <w:lang w:val="ka-GE"/>
              </w:rPr>
            </w:pPr>
            <w:r w:rsidRPr="00330B09">
              <w:rPr>
                <w:rFonts w:ascii="Times New Roman" w:hAnsi="Times New Roman" w:cs="Times New Roman"/>
                <w:sz w:val="20"/>
                <w:szCs w:val="20"/>
                <w:lang w:val="ka-GE"/>
              </w:rPr>
              <w:t>0.262</w:t>
            </w:r>
          </w:p>
        </w:tc>
      </w:tr>
    </w:tbl>
    <w:p w14:paraId="1FDF0819" w14:textId="77777777" w:rsidR="006B57E5" w:rsidRPr="00330B09" w:rsidRDefault="006B57E5" w:rsidP="006B57E5">
      <w:pPr>
        <w:spacing w:after="0" w:line="240" w:lineRule="auto"/>
        <w:jc w:val="both"/>
        <w:rPr>
          <w:lang w:val="ka-GE"/>
        </w:rPr>
      </w:pPr>
      <w:r w:rsidRPr="00330B09">
        <w:rPr>
          <w:u w:val="single"/>
          <w:lang w:val="ka-GE"/>
        </w:rPr>
        <w:t>აბსორბცი</w:t>
      </w:r>
      <w:r w:rsidRPr="00330B09">
        <w:rPr>
          <w:lang w:val="ka-GE"/>
        </w:rPr>
        <w:t>ა</w:t>
      </w:r>
    </w:p>
    <w:p w14:paraId="4A467289" w14:textId="77777777" w:rsidR="006B57E5" w:rsidRPr="00330B09" w:rsidRDefault="006B57E5" w:rsidP="006B57E5">
      <w:pPr>
        <w:spacing w:after="0" w:line="240" w:lineRule="auto"/>
        <w:jc w:val="both"/>
        <w:rPr>
          <w:lang w:val="ka-GE"/>
        </w:rPr>
      </w:pPr>
      <w:r>
        <w:rPr>
          <w:lang w:val="ka-GE"/>
        </w:rPr>
        <w:t>ჯანმრთელ</w:t>
      </w:r>
      <w:r w:rsidRPr="00330B09">
        <w:rPr>
          <w:lang w:val="ka-GE"/>
        </w:rPr>
        <w:t xml:space="preserve"> სუბიექტებში ჩატარებულ კვლევაში (n = 56), 5-წუთიანი ინფუზიის სახით მიღებული 4 მგ ერთჯერადი დოზის ფარმაკოკინეტიკა შედარებული იყო </w:t>
      </w:r>
      <w:r>
        <w:rPr>
          <w:lang w:val="ka-GE"/>
        </w:rPr>
        <w:t>ინტრამუსკულარული</w:t>
      </w:r>
      <w:r w:rsidRPr="00330B09">
        <w:rPr>
          <w:lang w:val="ka-GE"/>
        </w:rPr>
        <w:t xml:space="preserve"> ინექციის ფარმაკოკინეტიკასთან. სისტემური ექსპოზიცია, რომელიც იზომებოდა მრუდის ქვეშ საშუალო ფართობით (AUC), შედარებადი იყო ინტრავენური და </w:t>
      </w:r>
      <w:r>
        <w:rPr>
          <w:lang w:val="ka-GE"/>
        </w:rPr>
        <w:t>ინტრამუსკულარული</w:t>
      </w:r>
      <w:r w:rsidRPr="00330B09">
        <w:rPr>
          <w:lang w:val="ka-GE"/>
        </w:rPr>
        <w:t xml:space="preserve"> შეყვანის შემთხვევაში, შესაბამისად, 156 [95% </w:t>
      </w:r>
      <w:r>
        <w:rPr>
          <w:lang w:val="ka-GE"/>
        </w:rPr>
        <w:t>ნი</w:t>
      </w:r>
      <w:r w:rsidRPr="00330B09">
        <w:rPr>
          <w:lang w:val="ka-GE"/>
        </w:rPr>
        <w:t xml:space="preserve">: 136, 180] და 161 [95% </w:t>
      </w:r>
      <w:r>
        <w:rPr>
          <w:lang w:val="ka-GE"/>
        </w:rPr>
        <w:t>ნი</w:t>
      </w:r>
      <w:r w:rsidRPr="00330B09">
        <w:rPr>
          <w:lang w:val="ka-GE"/>
        </w:rPr>
        <w:t xml:space="preserve">: 137, 190] ნგ·სთ/მლ-ზე. საშუალო მაქსიმალური პლაზმური კონცენტრაცია იყო 42.9 [95% </w:t>
      </w:r>
      <w:r>
        <w:rPr>
          <w:lang w:val="ka-GE"/>
        </w:rPr>
        <w:t>ნი</w:t>
      </w:r>
      <w:r w:rsidRPr="00330B09">
        <w:rPr>
          <w:lang w:val="ka-GE"/>
        </w:rPr>
        <w:t xml:space="preserve">: 33.8, 54.4] ნგ/მლ ინტრავენური ინფუზიიდან 10 წუთის შემდეგ და 31.9 [95% </w:t>
      </w:r>
      <w:r>
        <w:rPr>
          <w:lang w:val="ka-GE"/>
        </w:rPr>
        <w:t>ნი</w:t>
      </w:r>
      <w:r w:rsidRPr="00330B09">
        <w:rPr>
          <w:lang w:val="ka-GE"/>
        </w:rPr>
        <w:t>: 26.3, 38.6] ნგ/მლ კუნთშიდა ინექციიდან 41 წუთის შემდეგ.</w:t>
      </w:r>
    </w:p>
    <w:p w14:paraId="0BA4C83E" w14:textId="77777777" w:rsidR="006B57E5" w:rsidRPr="00330B09" w:rsidRDefault="006B57E5" w:rsidP="006B57E5">
      <w:pPr>
        <w:spacing w:after="0" w:line="240" w:lineRule="auto"/>
        <w:jc w:val="both"/>
        <w:rPr>
          <w:u w:val="single"/>
          <w:lang w:val="ka-GE"/>
        </w:rPr>
      </w:pPr>
      <w:r w:rsidRPr="00330B09">
        <w:rPr>
          <w:u w:val="single"/>
          <w:lang w:val="ka-GE"/>
        </w:rPr>
        <w:t>განაწილება</w:t>
      </w:r>
    </w:p>
    <w:p w14:paraId="4BA2972A" w14:textId="77777777" w:rsidR="006B57E5" w:rsidRPr="00330B09" w:rsidRDefault="006B57E5" w:rsidP="006B57E5">
      <w:pPr>
        <w:spacing w:after="0" w:line="240" w:lineRule="auto"/>
        <w:jc w:val="both"/>
        <w:rPr>
          <w:u w:val="single"/>
          <w:lang w:val="ka-GE"/>
        </w:rPr>
      </w:pPr>
      <w:r w:rsidRPr="00330B09">
        <w:rPr>
          <w:lang w:val="ka-GE"/>
        </w:rPr>
        <w:t>ონდანსეტრონის პლაზმის ცილებთან შეკავშირება in vitro იყო 70-დან 76%-მდე ფარმაკოლოგიური კონცენტრაციის დიაპაზონში 10-დან 500 ნგ/მლ-მდე. მოცირკულირე პრეპარატი ასევე ნაწილდება ერითროციტებში.</w:t>
      </w:r>
    </w:p>
    <w:p w14:paraId="378DF947" w14:textId="77777777" w:rsidR="006B57E5" w:rsidRPr="00330B09" w:rsidRDefault="006B57E5" w:rsidP="006B57E5">
      <w:pPr>
        <w:spacing w:after="0" w:line="240" w:lineRule="auto"/>
        <w:jc w:val="both"/>
        <w:rPr>
          <w:lang w:val="ka-GE"/>
        </w:rPr>
      </w:pPr>
      <w:r w:rsidRPr="00330B09">
        <w:rPr>
          <w:u w:val="single"/>
          <w:lang w:val="ka-GE"/>
        </w:rPr>
        <w:t>ელიმინაცია</w:t>
      </w:r>
    </w:p>
    <w:p w14:paraId="5CA0FC85" w14:textId="77777777" w:rsidR="006B57E5" w:rsidRPr="00330B09" w:rsidRDefault="006B57E5" w:rsidP="006B57E5">
      <w:pPr>
        <w:spacing w:after="0" w:line="240" w:lineRule="auto"/>
        <w:jc w:val="both"/>
        <w:rPr>
          <w:lang w:val="ka-GE"/>
        </w:rPr>
      </w:pPr>
      <w:r w:rsidRPr="00330B09">
        <w:rPr>
          <w:lang w:val="ka-GE"/>
        </w:rPr>
        <w:t>მეტაბოლიზმი</w:t>
      </w:r>
    </w:p>
    <w:p w14:paraId="27047174" w14:textId="77777777" w:rsidR="006B57E5" w:rsidRPr="00330B09" w:rsidRDefault="006B57E5" w:rsidP="006B57E5">
      <w:pPr>
        <w:spacing w:after="0" w:line="240" w:lineRule="auto"/>
        <w:jc w:val="both"/>
        <w:rPr>
          <w:lang w:val="ka-GE"/>
        </w:rPr>
      </w:pPr>
      <w:r w:rsidRPr="00330B09">
        <w:rPr>
          <w:lang w:val="ka-GE"/>
        </w:rPr>
        <w:t>ადამიანებში ონდანსეტრონი ინტენსიურად მეტაბოლიზდება, რადიოაქტიურ</w:t>
      </w:r>
      <w:r>
        <w:rPr>
          <w:lang w:val="ka-GE"/>
        </w:rPr>
        <w:t>ად მონიშნული</w:t>
      </w:r>
      <w:r w:rsidRPr="00330B09">
        <w:rPr>
          <w:lang w:val="ka-GE"/>
        </w:rPr>
        <w:t xml:space="preserve"> დოზის დაახლოებით 5% შარდიდან საწყისი ნაერთის სახით გამოიყოფა. ძირითადი მეტაბოლური გზაა ინდოლის რგოლზე ჰიდროქსილირება, რასაც მოჰყვება გლუკურონიდის ან სულფატის კონიუგაცია. მიუხედავად იმისა, რომ ზოგიერთ არაკონიუგირებულ მეტაბოლიტს აქვს ფარმაკოლოგიური აქტივობა, ისინი პლაზმაში არ გვხვდება </w:t>
      </w:r>
      <w:r>
        <w:rPr>
          <w:lang w:val="ka-GE"/>
        </w:rPr>
        <w:t xml:space="preserve">იმ </w:t>
      </w:r>
      <w:r w:rsidRPr="00330B09">
        <w:rPr>
          <w:lang w:val="ka-GE"/>
        </w:rPr>
        <w:t xml:space="preserve">კონცენტრაციებში, რომლებიც, სავარაუდოდ, მნიშვნელოვნად უწყობს ხელს ონდანსეტრონის ბიოლოგიურ აქტივობას. მეტაბოლიტები შეინიშნება შარდში. მეტაბოლიზმის ინ ვიტრო კვლევებმა აჩვენა, რომ ონდანსეტრონი წარმოადგენს ადამიანის ღვიძლის ციტოქრომ P-450 ფერმენტების სუბსტრატს, მათ შორის CYP1A2, CYP2D6 და CYP3A4. ონდანსეტრონის საერთო მეტაბოლიზმის თვალსაზრისით, CYP3A4 დომინანტურ როლს ასრულებს, ხოლო ძირითადი in vivo მეტაბოლიტების ფორმირება ხორციელდება CYP1A2-ით. CYP2D6-ის როლი ონდანსეტრონის in vivo მეტაბოლიზმში უმნიშვნელოა. ინტრავენური ონდანსეტრონის ფარმაკოკინეტიკა არ განსხვავდებოდა იმ სუბიექტებს შორის, რომლებიც ექვემდებარებოდნენ CYP2D6-ის სუსტ მეტაბოლიზატორებს და იმ სუბიექტებს შორის, რომლებიც ექვემდებარებოდნენ CYP2D6-ის </w:t>
      </w:r>
      <w:r w:rsidRPr="00330B09">
        <w:rPr>
          <w:lang w:val="ka-GE"/>
        </w:rPr>
        <w:lastRenderedPageBreak/>
        <w:t>ინტენსიურ მეტაბოლიზატორებს, რაც კიდევ უფრო ადასტურებს CYP2D6-ის შეზღუდულ როლს ონდანსეტრონის განაწილებაში in vivo.</w:t>
      </w:r>
    </w:p>
    <w:p w14:paraId="708141A2" w14:textId="77777777" w:rsidR="006B57E5" w:rsidRPr="00330B09" w:rsidRDefault="006B57E5" w:rsidP="006B57E5">
      <w:pPr>
        <w:spacing w:after="0" w:line="240" w:lineRule="auto"/>
        <w:jc w:val="both"/>
        <w:rPr>
          <w:lang w:val="ka-GE"/>
        </w:rPr>
      </w:pPr>
      <w:r>
        <w:rPr>
          <w:lang w:val="ka-GE"/>
        </w:rPr>
        <w:t>ექსკრეცია</w:t>
      </w:r>
    </w:p>
    <w:p w14:paraId="29BFE388" w14:textId="77777777" w:rsidR="006B57E5" w:rsidRPr="00330B09" w:rsidRDefault="006B57E5" w:rsidP="006B57E5">
      <w:pPr>
        <w:spacing w:after="0" w:line="240" w:lineRule="auto"/>
        <w:jc w:val="both"/>
        <w:rPr>
          <w:lang w:val="ka-GE"/>
        </w:rPr>
      </w:pPr>
      <w:r w:rsidRPr="00330B09">
        <w:rPr>
          <w:lang w:val="ka-GE"/>
        </w:rPr>
        <w:t xml:space="preserve">ზრდასრულ </w:t>
      </w:r>
      <w:r>
        <w:rPr>
          <w:lang w:val="ka-GE"/>
        </w:rPr>
        <w:t>სიმსივნით</w:t>
      </w:r>
      <w:r w:rsidRPr="00330B09">
        <w:rPr>
          <w:lang w:val="ka-GE"/>
        </w:rPr>
        <w:t xml:space="preserve"> დაავადებულ პაციენტებში ონდანსეტრონის საშუალო ნახევარგამოყოფის პერიოდი იყო</w:t>
      </w:r>
      <w:r>
        <w:rPr>
          <w:lang w:val="ka-GE"/>
        </w:rPr>
        <w:t xml:space="preserve"> </w:t>
      </w:r>
      <w:r w:rsidRPr="00330B09">
        <w:rPr>
          <w:lang w:val="ka-GE"/>
        </w:rPr>
        <w:t>4.0 საათი. ფარმაკოკინეტიკამ 4 დღის განმავლობაში მრავალჯერადი დოზების მიღების შემდეგ განსხვავებები არ გამოავლინა. დოზის პროპორციულ კვლევაში, 32 მგ ონდანსეტრონის სისტემური ექსპოზიცია არ იყო დოზის პროპორციული, რაც ნაჩვენებია დოზის ნორმალიზებული AUC მნიშვნელობების 8 მგ დოზასთან შედარებით. ეს მიუთითებს სისტემური კლირენსის უმნიშვნელო შემცირებაზე პლაზმური კონცენტრაციების ზრდასთან ერთად.</w:t>
      </w:r>
    </w:p>
    <w:p w14:paraId="41889FAA" w14:textId="77777777" w:rsidR="006B57E5" w:rsidRPr="00330B09" w:rsidRDefault="006B57E5" w:rsidP="006B57E5">
      <w:pPr>
        <w:spacing w:after="0" w:line="240" w:lineRule="auto"/>
        <w:jc w:val="both"/>
        <w:rPr>
          <w:lang w:val="ka-GE"/>
        </w:rPr>
      </w:pPr>
      <w:r w:rsidRPr="00330B09">
        <w:rPr>
          <w:u w:val="single"/>
          <w:lang w:val="ka-GE"/>
        </w:rPr>
        <w:t>პაციენტთა სპეციფიკური პოპულაციები</w:t>
      </w:r>
    </w:p>
    <w:p w14:paraId="31620CA2" w14:textId="77777777" w:rsidR="006B57E5" w:rsidRPr="00330B09" w:rsidRDefault="006B57E5" w:rsidP="006B57E5">
      <w:pPr>
        <w:spacing w:after="0" w:line="240" w:lineRule="auto"/>
        <w:jc w:val="both"/>
        <w:rPr>
          <w:lang w:val="ka-GE"/>
        </w:rPr>
      </w:pPr>
      <w:r w:rsidRPr="00330B09">
        <w:rPr>
          <w:u w:val="single"/>
          <w:lang w:val="ka-GE"/>
        </w:rPr>
        <w:t>თირკმლის ფუნქციის დარღვევის მქონე პაციენტები:</w:t>
      </w:r>
      <w:r w:rsidRPr="00330B09">
        <w:rPr>
          <w:lang w:val="ka-GE"/>
        </w:rPr>
        <w:t xml:space="preserve"> ვინაიდან თირკმლის კლირენსი მთლიანი კლირენსის მხოლოდ მცირე ნაწილს (5%) შეადგენს, არ იყო მოსალოდნელი, რომ თირკმლის ფუნქციის დარღვევა მნიშვნელოვნად იმოქმედებდა ონდანსეტრონის მთლიან კლირენსზე. თუმცა, ონდანსეტრონის პლაზმური კლირენსი დაახლოებით 41%-ით შემცირდა თირკმლის მძიმე უკმარისობის მქონე პაციენტებში (კრეატინინის კლირენსი &lt; 30 მლ/წთ). კლირენსის ეს შემცირება ცვალებადია და არ კორელირებს სიცოცხლის ხანგრძლივობის ზრდასთან.</w:t>
      </w:r>
    </w:p>
    <w:p w14:paraId="198B6E75" w14:textId="77777777" w:rsidR="006B57E5" w:rsidRPr="00330B09" w:rsidRDefault="006B57E5" w:rsidP="006B57E5">
      <w:pPr>
        <w:spacing w:after="0" w:line="240" w:lineRule="auto"/>
        <w:jc w:val="both"/>
        <w:rPr>
          <w:lang w:val="ka-GE"/>
        </w:rPr>
      </w:pPr>
      <w:r w:rsidRPr="00330B09">
        <w:rPr>
          <w:u w:val="single"/>
          <w:lang w:val="ka-GE"/>
        </w:rPr>
        <w:t>ღვიძლის უკმარისობის მქონე პაციენტები:</w:t>
      </w:r>
      <w:r w:rsidRPr="00330B09">
        <w:rPr>
          <w:lang w:val="ka-GE"/>
        </w:rPr>
        <w:t xml:space="preserve"> ღვიძლის მსუბუქი და საშუალო უკმარისობის მქონე პაციენტებში კლირენსი განახევრდება და საშუალო ნახევარგამოყოფის პერიოდი იზრდება 11.6 საათამდე, ხოლო ღვიძლის უკმარისობის გარეშე 5.7 საათამდე. ღვიძლის მძიმე უკმარისობის მქონე პაციენტებში (ჩაილდ-პიუს ქულა ≥ 10), კლირენსი მცირდება ორჯერ ან სამჯერ და განაწილების აშკარა მოცულობა იზრდება, რაც იწვევს ნახევარგამოყოფის პერიოდის 20 საათამდე გახანგრძლივებას.</w:t>
      </w:r>
    </w:p>
    <w:p w14:paraId="15193C8C" w14:textId="77777777" w:rsidR="006B57E5" w:rsidRPr="00330B09" w:rsidRDefault="006B57E5" w:rsidP="006B57E5">
      <w:pPr>
        <w:spacing w:after="0" w:line="240" w:lineRule="auto"/>
        <w:jc w:val="both"/>
        <w:rPr>
          <w:lang w:val="ka-GE"/>
        </w:rPr>
      </w:pPr>
      <w:r w:rsidRPr="00330B09">
        <w:rPr>
          <w:u w:val="single"/>
          <w:lang w:val="ka-GE"/>
        </w:rPr>
        <w:t>პედიატრიული პაციენტები:</w:t>
      </w:r>
      <w:r w:rsidRPr="00330B09">
        <w:rPr>
          <w:lang w:val="ka-GE"/>
        </w:rPr>
        <w:t xml:space="preserve"> ფარმაკოკინეტიკური მონაცემები შეგროვდა 6-დან 48 თვემდე ასაკის 74 </w:t>
      </w:r>
      <w:r>
        <w:rPr>
          <w:lang w:val="ka-GE"/>
        </w:rPr>
        <w:t>სიმსივნით</w:t>
      </w:r>
      <w:r w:rsidRPr="00330B09">
        <w:rPr>
          <w:lang w:val="ka-GE"/>
        </w:rPr>
        <w:t xml:space="preserve"> დაავადებული პაციენტისგან, რომლებმაც უსაფრთხოებისა და ეფექტურობის კვლევის ფარგლებში ინტრავენურად მიიღეს 0.15 მგ/კგ ონდანსეტრონი ყოველ 4 საათში სამჯერ. ეს მონაცემები გაერთიანდა 1-დან 24 თვემდე ასაკის 41 ქირურგიული პაციენტის თანმიმდევრულ ფარმაკოკინეტიკურ მონაცემებთან, რომლებმაც ოპერაციამდე ზოგადი ანესთეზიის ქვეშ მიიღეს 0.1 მგ/კგ ონდანსეტრონის ერთჯერადი ინტრავენური დოზა. შემდგომში ჩატარდა კომბინირებული მონაცემთა ნაკრების პოპულაციური ფარმაკოკინეტიკური ანალიზი. ამ ანალიზის შედეგები წარმოდგენილია ცხრილში 5 და შედარებულია 4-დან 18 წლამდე ასაკის </w:t>
      </w:r>
      <w:r>
        <w:rPr>
          <w:lang w:val="ka-GE"/>
        </w:rPr>
        <w:t>სიმსივნით</w:t>
      </w:r>
      <w:r w:rsidRPr="00330B09">
        <w:rPr>
          <w:lang w:val="ka-GE"/>
        </w:rPr>
        <w:t xml:space="preserve"> დაავადებული პაციენტების ფარმაკოკინეტიკურ შედეგებთან.</w:t>
      </w:r>
    </w:p>
    <w:p w14:paraId="043489A0" w14:textId="77777777" w:rsidR="006B57E5" w:rsidRPr="00330B09" w:rsidRDefault="006B57E5" w:rsidP="006B57E5">
      <w:pPr>
        <w:spacing w:after="0" w:line="240" w:lineRule="auto"/>
        <w:jc w:val="both"/>
        <w:rPr>
          <w:u w:val="single"/>
          <w:lang w:val="ka-GE"/>
        </w:rPr>
      </w:pPr>
      <w:r w:rsidRPr="00330B09">
        <w:rPr>
          <w:u w:val="single"/>
          <w:lang w:val="ka-GE"/>
        </w:rPr>
        <w:t xml:space="preserve">ფარმაკოკინეტიკა 1 თვიდან 18 წლამდე ასაკის </w:t>
      </w:r>
      <w:r>
        <w:rPr>
          <w:u w:val="single"/>
          <w:lang w:val="ka-GE"/>
        </w:rPr>
        <w:t>სიმსივნით</w:t>
      </w:r>
      <w:r w:rsidRPr="00330B09">
        <w:rPr>
          <w:u w:val="single"/>
          <w:lang w:val="ka-GE"/>
        </w:rPr>
        <w:t xml:space="preserve"> დაავადებულ პაციენტებში</w:t>
      </w:r>
    </w:p>
    <w:p w14:paraId="6E906C87" w14:textId="77777777" w:rsidR="006B57E5" w:rsidRPr="00330B09" w:rsidRDefault="006B57E5" w:rsidP="006B57E5">
      <w:pPr>
        <w:spacing w:after="0" w:line="240" w:lineRule="auto"/>
        <w:jc w:val="both"/>
        <w:rPr>
          <w:lang w:val="ka-GE"/>
        </w:rPr>
      </w:pPr>
    </w:p>
    <w:tbl>
      <w:tblPr>
        <w:tblW w:w="9529" w:type="dxa"/>
        <w:tblInd w:w="-5" w:type="dxa"/>
        <w:tblCellMar>
          <w:left w:w="0" w:type="dxa"/>
          <w:right w:w="0" w:type="dxa"/>
        </w:tblCellMar>
        <w:tblLook w:val="04A0" w:firstRow="1" w:lastRow="0" w:firstColumn="1" w:lastColumn="0" w:noHBand="0" w:noVBand="1"/>
      </w:tblPr>
      <w:tblGrid>
        <w:gridCol w:w="4815"/>
        <w:gridCol w:w="724"/>
        <w:gridCol w:w="1238"/>
        <w:gridCol w:w="1424"/>
        <w:gridCol w:w="1328"/>
      </w:tblGrid>
      <w:tr w:rsidR="006B57E5" w:rsidRPr="00330B09" w14:paraId="1E1B2203" w14:textId="77777777" w:rsidTr="005C3C52">
        <w:trPr>
          <w:trHeight w:val="165"/>
        </w:trPr>
        <w:tc>
          <w:tcPr>
            <w:tcW w:w="4815" w:type="dxa"/>
            <w:tcBorders>
              <w:top w:val="single" w:sz="8" w:space="0" w:color="231F20"/>
              <w:left w:val="single" w:sz="8" w:space="0" w:color="231F20"/>
              <w:bottom w:val="single" w:sz="8" w:space="0" w:color="231F20"/>
              <w:right w:val="single" w:sz="8" w:space="0" w:color="231F20"/>
            </w:tcBorders>
            <w:vAlign w:val="center"/>
            <w:hideMark/>
          </w:tcPr>
          <w:p w14:paraId="35A07A18" w14:textId="77777777" w:rsidR="006B57E5" w:rsidRPr="00330B09" w:rsidRDefault="006B57E5" w:rsidP="005C3C52">
            <w:pPr>
              <w:spacing w:after="0"/>
              <w:jc w:val="both"/>
              <w:rPr>
                <w:rFonts w:ascii="Times New Roman" w:hAnsi="Times New Roman" w:cs="Times New Roman"/>
                <w:b/>
                <w:bCs/>
                <w:sz w:val="20"/>
                <w:szCs w:val="20"/>
                <w:lang w:val="ka-GE"/>
              </w:rPr>
            </w:pPr>
            <w:r w:rsidRPr="00330B09">
              <w:rPr>
                <w:rFonts w:cs="Sylfaen"/>
                <w:b/>
                <w:bCs/>
                <w:sz w:val="20"/>
                <w:szCs w:val="20"/>
                <w:lang w:val="ka-GE"/>
              </w:rPr>
              <w:t>სუბიექტები</w:t>
            </w:r>
            <w:r w:rsidRPr="00330B09">
              <w:rPr>
                <w:rFonts w:ascii="Times New Roman" w:hAnsi="Times New Roman" w:cs="Times New Roman"/>
                <w:b/>
                <w:bCs/>
                <w:sz w:val="20"/>
                <w:szCs w:val="20"/>
                <w:lang w:val="ka-GE"/>
              </w:rPr>
              <w:t xml:space="preserve"> </w:t>
            </w:r>
            <w:r w:rsidRPr="00330B09">
              <w:rPr>
                <w:rFonts w:cs="Sylfaen"/>
                <w:b/>
                <w:bCs/>
                <w:sz w:val="20"/>
                <w:szCs w:val="20"/>
                <w:lang w:val="ka-GE"/>
              </w:rPr>
              <w:t>და</w:t>
            </w:r>
            <w:r w:rsidRPr="00330B09">
              <w:rPr>
                <w:rFonts w:ascii="Times New Roman" w:hAnsi="Times New Roman" w:cs="Times New Roman"/>
                <w:b/>
                <w:bCs/>
                <w:sz w:val="20"/>
                <w:szCs w:val="20"/>
                <w:lang w:val="ka-GE"/>
              </w:rPr>
              <w:t xml:space="preserve"> </w:t>
            </w:r>
            <w:r w:rsidRPr="00330B09">
              <w:rPr>
                <w:rFonts w:cs="Sylfaen"/>
                <w:b/>
                <w:bCs/>
                <w:sz w:val="20"/>
                <w:szCs w:val="20"/>
                <w:lang w:val="ka-GE"/>
              </w:rPr>
              <w:t>ასაკობრივი</w:t>
            </w:r>
            <w:r w:rsidRPr="00330B09">
              <w:rPr>
                <w:rFonts w:ascii="Times New Roman" w:hAnsi="Times New Roman" w:cs="Times New Roman"/>
                <w:b/>
                <w:bCs/>
                <w:sz w:val="20"/>
                <w:szCs w:val="20"/>
                <w:lang w:val="ka-GE"/>
              </w:rPr>
              <w:t xml:space="preserve"> </w:t>
            </w:r>
            <w:r w:rsidRPr="00330B09">
              <w:rPr>
                <w:rFonts w:cs="Sylfaen"/>
                <w:b/>
                <w:bCs/>
                <w:sz w:val="20"/>
                <w:szCs w:val="20"/>
                <w:lang w:val="ka-GE"/>
              </w:rPr>
              <w:t>ჯგუფი</w:t>
            </w:r>
          </w:p>
        </w:tc>
        <w:tc>
          <w:tcPr>
            <w:tcW w:w="724" w:type="dxa"/>
            <w:tcBorders>
              <w:top w:val="single" w:sz="8" w:space="0" w:color="231F20"/>
              <w:left w:val="nil"/>
              <w:bottom w:val="single" w:sz="8" w:space="0" w:color="231F20"/>
              <w:right w:val="single" w:sz="8" w:space="0" w:color="231F20"/>
            </w:tcBorders>
            <w:vAlign w:val="center"/>
            <w:hideMark/>
          </w:tcPr>
          <w:p w14:paraId="6878B8B8" w14:textId="77777777" w:rsidR="006B57E5" w:rsidRPr="00330B09" w:rsidRDefault="006B57E5" w:rsidP="005C3C52">
            <w:pPr>
              <w:spacing w:after="0"/>
              <w:jc w:val="both"/>
              <w:rPr>
                <w:rFonts w:ascii="Times New Roman" w:hAnsi="Times New Roman" w:cs="Times New Roman"/>
                <w:b/>
                <w:bCs/>
                <w:sz w:val="20"/>
                <w:szCs w:val="20"/>
                <w:lang w:val="ka-GE"/>
              </w:rPr>
            </w:pPr>
            <w:r w:rsidRPr="00330B09">
              <w:rPr>
                <w:rFonts w:ascii="Times New Roman" w:hAnsi="Times New Roman" w:cs="Times New Roman"/>
                <w:b/>
                <w:bCs/>
                <w:sz w:val="20"/>
                <w:szCs w:val="20"/>
                <w:lang w:val="ka-GE"/>
              </w:rPr>
              <w:t>N</w:t>
            </w:r>
          </w:p>
        </w:tc>
        <w:tc>
          <w:tcPr>
            <w:tcW w:w="1238" w:type="dxa"/>
            <w:tcBorders>
              <w:top w:val="single" w:sz="8" w:space="0" w:color="231F20"/>
              <w:left w:val="nil"/>
              <w:bottom w:val="single" w:sz="8" w:space="0" w:color="231F20"/>
              <w:right w:val="single" w:sz="8" w:space="0" w:color="231F20"/>
            </w:tcBorders>
            <w:vAlign w:val="center"/>
            <w:hideMark/>
          </w:tcPr>
          <w:p w14:paraId="7A53480D" w14:textId="77777777" w:rsidR="006B57E5" w:rsidRPr="00330B09" w:rsidRDefault="006B57E5" w:rsidP="005C3C52">
            <w:pPr>
              <w:spacing w:after="0"/>
              <w:jc w:val="both"/>
              <w:rPr>
                <w:rFonts w:ascii="Times New Roman" w:hAnsi="Times New Roman" w:cs="Times New Roman"/>
                <w:sz w:val="20"/>
                <w:szCs w:val="20"/>
                <w:lang w:val="ka-GE"/>
              </w:rPr>
            </w:pPr>
            <w:r w:rsidRPr="00330B09">
              <w:rPr>
                <w:rFonts w:ascii="Times New Roman" w:hAnsi="Times New Roman" w:cs="Times New Roman"/>
                <w:sz w:val="20"/>
                <w:szCs w:val="20"/>
                <w:lang w:val="ka-GE"/>
              </w:rPr>
              <w:t>CL</w:t>
            </w:r>
          </w:p>
          <w:p w14:paraId="6800196D" w14:textId="77777777" w:rsidR="006B57E5" w:rsidRPr="00330B09" w:rsidRDefault="006B57E5" w:rsidP="005C3C52">
            <w:pPr>
              <w:spacing w:after="0"/>
              <w:jc w:val="both"/>
              <w:rPr>
                <w:rFonts w:ascii="Times New Roman" w:hAnsi="Times New Roman" w:cs="Times New Roman"/>
                <w:sz w:val="20"/>
                <w:szCs w:val="20"/>
                <w:u w:val="single"/>
                <w:lang w:val="ka-GE"/>
              </w:rPr>
            </w:pPr>
            <w:r w:rsidRPr="00330B09">
              <w:rPr>
                <w:rFonts w:ascii="Times New Roman" w:hAnsi="Times New Roman" w:cs="Times New Roman"/>
                <w:sz w:val="20"/>
                <w:szCs w:val="20"/>
                <w:lang w:val="ka-GE"/>
              </w:rPr>
              <w:t>(</w:t>
            </w:r>
            <w:r w:rsidRPr="00330B09">
              <w:rPr>
                <w:rFonts w:cs="Sylfaen"/>
                <w:sz w:val="20"/>
                <w:szCs w:val="20"/>
                <w:lang w:val="ka-GE"/>
              </w:rPr>
              <w:t>ლ</w:t>
            </w:r>
            <w:r w:rsidRPr="00330B09">
              <w:rPr>
                <w:rFonts w:ascii="Times New Roman" w:hAnsi="Times New Roman" w:cs="Times New Roman"/>
                <w:sz w:val="20"/>
                <w:szCs w:val="20"/>
                <w:lang w:val="ka-GE"/>
              </w:rPr>
              <w:t>/</w:t>
            </w:r>
            <w:r w:rsidRPr="00330B09">
              <w:rPr>
                <w:rFonts w:cs="Sylfaen"/>
                <w:sz w:val="20"/>
                <w:szCs w:val="20"/>
                <w:lang w:val="ka-GE"/>
              </w:rPr>
              <w:t>სთ</w:t>
            </w:r>
            <w:r w:rsidRPr="00330B09">
              <w:rPr>
                <w:rFonts w:ascii="Times New Roman" w:hAnsi="Times New Roman" w:cs="Times New Roman"/>
                <w:sz w:val="20"/>
                <w:szCs w:val="20"/>
                <w:lang w:val="ka-GE"/>
              </w:rPr>
              <w:t>/</w:t>
            </w:r>
            <w:r w:rsidRPr="00330B09">
              <w:rPr>
                <w:rFonts w:cs="Sylfaen"/>
                <w:sz w:val="20"/>
                <w:szCs w:val="20"/>
                <w:lang w:val="ka-GE"/>
              </w:rPr>
              <w:t>კგ</w:t>
            </w:r>
            <w:r w:rsidRPr="00330B09">
              <w:rPr>
                <w:rFonts w:ascii="Times New Roman" w:hAnsi="Times New Roman" w:cs="Times New Roman"/>
                <w:sz w:val="20"/>
                <w:szCs w:val="20"/>
                <w:lang w:val="ka-GE"/>
              </w:rPr>
              <w:t>)</w:t>
            </w:r>
          </w:p>
        </w:tc>
        <w:tc>
          <w:tcPr>
            <w:tcW w:w="1424" w:type="dxa"/>
            <w:tcBorders>
              <w:top w:val="single" w:sz="8" w:space="0" w:color="231F20"/>
              <w:left w:val="nil"/>
              <w:bottom w:val="single" w:sz="8" w:space="0" w:color="231F20"/>
              <w:right w:val="single" w:sz="8" w:space="0" w:color="231F20"/>
            </w:tcBorders>
            <w:vAlign w:val="center"/>
            <w:hideMark/>
          </w:tcPr>
          <w:p w14:paraId="66DC4A6E" w14:textId="77777777" w:rsidR="006B57E5" w:rsidRPr="00330B09" w:rsidRDefault="006B57E5" w:rsidP="005C3C52">
            <w:pPr>
              <w:spacing w:after="0"/>
              <w:jc w:val="both"/>
              <w:rPr>
                <w:rFonts w:ascii="Times New Roman" w:hAnsi="Times New Roman" w:cs="Times New Roman"/>
                <w:sz w:val="20"/>
                <w:szCs w:val="20"/>
                <w:lang w:val="ka-GE"/>
              </w:rPr>
            </w:pPr>
            <w:r w:rsidRPr="00330B09">
              <w:rPr>
                <w:rFonts w:ascii="Times New Roman" w:hAnsi="Times New Roman" w:cs="Times New Roman"/>
                <w:sz w:val="20"/>
                <w:szCs w:val="20"/>
                <w:lang w:val="ka-GE"/>
              </w:rPr>
              <w:t>VDSS</w:t>
            </w:r>
          </w:p>
          <w:p w14:paraId="2C204404" w14:textId="77777777" w:rsidR="006B57E5" w:rsidRPr="00330B09" w:rsidRDefault="006B57E5" w:rsidP="005C3C52">
            <w:pPr>
              <w:spacing w:after="0"/>
              <w:jc w:val="both"/>
              <w:rPr>
                <w:rFonts w:ascii="Times New Roman" w:hAnsi="Times New Roman" w:cs="Times New Roman"/>
                <w:sz w:val="20"/>
                <w:szCs w:val="20"/>
                <w:u w:val="single"/>
                <w:lang w:val="ka-GE"/>
              </w:rPr>
            </w:pPr>
            <w:r w:rsidRPr="00330B09">
              <w:rPr>
                <w:rFonts w:ascii="Times New Roman" w:hAnsi="Times New Roman" w:cs="Times New Roman"/>
                <w:sz w:val="20"/>
                <w:szCs w:val="20"/>
                <w:lang w:val="ka-GE"/>
              </w:rPr>
              <w:t>(</w:t>
            </w:r>
            <w:r w:rsidRPr="00330B09">
              <w:rPr>
                <w:rFonts w:cs="Sylfaen"/>
                <w:sz w:val="20"/>
                <w:szCs w:val="20"/>
                <w:lang w:val="ka-GE"/>
              </w:rPr>
              <w:t>ლ</w:t>
            </w:r>
            <w:r w:rsidRPr="00330B09">
              <w:rPr>
                <w:rFonts w:ascii="Times New Roman" w:hAnsi="Times New Roman" w:cs="Times New Roman"/>
                <w:sz w:val="20"/>
                <w:szCs w:val="20"/>
                <w:lang w:val="ka-GE"/>
              </w:rPr>
              <w:t>/</w:t>
            </w:r>
            <w:r w:rsidRPr="00330B09">
              <w:rPr>
                <w:rFonts w:cs="Sylfaen"/>
                <w:sz w:val="20"/>
                <w:szCs w:val="20"/>
                <w:lang w:val="ka-GE"/>
              </w:rPr>
              <w:t>კგ</w:t>
            </w:r>
            <w:r w:rsidRPr="00330B09">
              <w:rPr>
                <w:rFonts w:ascii="Times New Roman" w:hAnsi="Times New Roman" w:cs="Times New Roman"/>
                <w:sz w:val="20"/>
                <w:szCs w:val="20"/>
                <w:lang w:val="ka-GE"/>
              </w:rPr>
              <w:t>)</w:t>
            </w:r>
          </w:p>
        </w:tc>
        <w:tc>
          <w:tcPr>
            <w:tcW w:w="1328" w:type="dxa"/>
            <w:tcBorders>
              <w:top w:val="single" w:sz="8" w:space="0" w:color="231F20"/>
              <w:left w:val="nil"/>
              <w:bottom w:val="single" w:sz="8" w:space="0" w:color="231F20"/>
              <w:right w:val="single" w:sz="8" w:space="0" w:color="231F20"/>
            </w:tcBorders>
            <w:vAlign w:val="center"/>
            <w:hideMark/>
          </w:tcPr>
          <w:p w14:paraId="6CDE1010" w14:textId="77777777" w:rsidR="006B57E5" w:rsidRPr="00330B09" w:rsidRDefault="006B57E5" w:rsidP="005C3C52">
            <w:pPr>
              <w:spacing w:after="0"/>
              <w:jc w:val="both"/>
              <w:rPr>
                <w:rFonts w:ascii="Times New Roman" w:hAnsi="Times New Roman" w:cs="Times New Roman"/>
                <w:sz w:val="20"/>
                <w:szCs w:val="20"/>
                <w:lang w:val="ka-GE"/>
              </w:rPr>
            </w:pPr>
            <w:r w:rsidRPr="00330B09">
              <w:rPr>
                <w:rFonts w:ascii="Times New Roman" w:hAnsi="Times New Roman" w:cs="Times New Roman"/>
                <w:sz w:val="20"/>
                <w:szCs w:val="20"/>
                <w:lang w:val="ka-GE"/>
              </w:rPr>
              <w:t>t½ (</w:t>
            </w:r>
            <w:r w:rsidRPr="00330B09">
              <w:rPr>
                <w:rFonts w:cs="Times New Roman"/>
                <w:sz w:val="20"/>
                <w:szCs w:val="20"/>
                <w:lang w:val="ka-GE"/>
              </w:rPr>
              <w:t>სთ</w:t>
            </w:r>
            <w:r w:rsidRPr="00330B09">
              <w:rPr>
                <w:rFonts w:ascii="Times New Roman" w:hAnsi="Times New Roman" w:cs="Times New Roman"/>
                <w:sz w:val="20"/>
                <w:szCs w:val="20"/>
                <w:lang w:val="ka-GE"/>
              </w:rPr>
              <w:t>)</w:t>
            </w:r>
          </w:p>
        </w:tc>
      </w:tr>
      <w:tr w:rsidR="006B57E5" w:rsidRPr="00330B09" w14:paraId="704AFEA2" w14:textId="77777777" w:rsidTr="005C3C52">
        <w:trPr>
          <w:trHeight w:val="87"/>
        </w:trPr>
        <w:tc>
          <w:tcPr>
            <w:tcW w:w="4815" w:type="dxa"/>
            <w:tcBorders>
              <w:top w:val="nil"/>
              <w:left w:val="single" w:sz="8" w:space="0" w:color="231F20"/>
              <w:bottom w:val="single" w:sz="8" w:space="0" w:color="231F20"/>
              <w:right w:val="single" w:sz="8" w:space="0" w:color="231F20"/>
            </w:tcBorders>
            <w:hideMark/>
          </w:tcPr>
          <w:p w14:paraId="11F48BA8" w14:textId="77777777" w:rsidR="006B57E5" w:rsidRPr="00330B09" w:rsidRDefault="006B57E5" w:rsidP="005C3C52">
            <w:pPr>
              <w:spacing w:after="0"/>
              <w:jc w:val="both"/>
              <w:rPr>
                <w:rFonts w:ascii="Times New Roman" w:hAnsi="Times New Roman" w:cs="Times New Roman"/>
                <w:sz w:val="20"/>
                <w:szCs w:val="20"/>
                <w:lang w:val="ka-GE"/>
              </w:rPr>
            </w:pPr>
            <w:r w:rsidRPr="00330B09">
              <w:rPr>
                <w:rFonts w:ascii="Times New Roman" w:hAnsi="Times New Roman" w:cs="Times New Roman"/>
                <w:sz w:val="20"/>
                <w:szCs w:val="20"/>
                <w:lang w:val="ka-GE"/>
              </w:rPr>
              <w:t> </w:t>
            </w:r>
          </w:p>
        </w:tc>
        <w:tc>
          <w:tcPr>
            <w:tcW w:w="724" w:type="dxa"/>
            <w:tcBorders>
              <w:top w:val="nil"/>
              <w:left w:val="nil"/>
              <w:bottom w:val="single" w:sz="8" w:space="0" w:color="231F20"/>
              <w:right w:val="single" w:sz="8" w:space="0" w:color="231F20"/>
            </w:tcBorders>
            <w:vAlign w:val="center"/>
            <w:hideMark/>
          </w:tcPr>
          <w:p w14:paraId="6D9E7934" w14:textId="77777777" w:rsidR="006B57E5" w:rsidRPr="00330B09" w:rsidRDefault="006B57E5" w:rsidP="005C3C52">
            <w:pPr>
              <w:spacing w:after="0"/>
              <w:jc w:val="both"/>
              <w:rPr>
                <w:rFonts w:ascii="Times New Roman" w:hAnsi="Times New Roman" w:cs="Times New Roman"/>
                <w:sz w:val="20"/>
                <w:szCs w:val="20"/>
                <w:lang w:val="ka-GE"/>
              </w:rPr>
            </w:pPr>
            <w:r w:rsidRPr="00330B09">
              <w:rPr>
                <w:rFonts w:ascii="Times New Roman" w:hAnsi="Times New Roman" w:cs="Times New Roman"/>
                <w:sz w:val="20"/>
                <w:szCs w:val="20"/>
                <w:lang w:val="ka-GE"/>
              </w:rPr>
              <w:t> </w:t>
            </w:r>
          </w:p>
        </w:tc>
        <w:tc>
          <w:tcPr>
            <w:tcW w:w="2662" w:type="dxa"/>
            <w:gridSpan w:val="2"/>
            <w:tcBorders>
              <w:top w:val="nil"/>
              <w:left w:val="nil"/>
              <w:bottom w:val="single" w:sz="8" w:space="0" w:color="231F20"/>
              <w:right w:val="single" w:sz="8" w:space="0" w:color="231F20"/>
            </w:tcBorders>
            <w:vAlign w:val="center"/>
            <w:hideMark/>
          </w:tcPr>
          <w:p w14:paraId="739CC389" w14:textId="77777777" w:rsidR="006B57E5" w:rsidRPr="00330B09" w:rsidRDefault="006B57E5" w:rsidP="005C3C52">
            <w:pPr>
              <w:spacing w:after="0"/>
              <w:jc w:val="both"/>
              <w:rPr>
                <w:rFonts w:cs="Times New Roman"/>
                <w:b/>
                <w:bCs/>
                <w:sz w:val="20"/>
                <w:szCs w:val="20"/>
                <w:lang w:val="ka-GE"/>
              </w:rPr>
            </w:pPr>
            <w:r w:rsidRPr="00330B09">
              <w:rPr>
                <w:rFonts w:cs="Times New Roman"/>
                <w:b/>
                <w:bCs/>
                <w:sz w:val="20"/>
                <w:szCs w:val="20"/>
                <w:lang w:val="ka-GE"/>
              </w:rPr>
              <w:t>გეომეტრიული საშუალო</w:t>
            </w:r>
          </w:p>
        </w:tc>
        <w:tc>
          <w:tcPr>
            <w:tcW w:w="1328" w:type="dxa"/>
            <w:tcBorders>
              <w:top w:val="nil"/>
              <w:left w:val="nil"/>
              <w:bottom w:val="single" w:sz="8" w:space="0" w:color="231F20"/>
              <w:right w:val="single" w:sz="8" w:space="0" w:color="231F20"/>
            </w:tcBorders>
            <w:vAlign w:val="center"/>
            <w:hideMark/>
          </w:tcPr>
          <w:p w14:paraId="60066484" w14:textId="77777777" w:rsidR="006B57E5" w:rsidRPr="00330B09" w:rsidRDefault="006B57E5" w:rsidP="005C3C52">
            <w:pPr>
              <w:spacing w:after="0"/>
              <w:jc w:val="both"/>
              <w:rPr>
                <w:rFonts w:cs="Times New Roman"/>
                <w:b/>
                <w:bCs/>
                <w:sz w:val="20"/>
                <w:szCs w:val="20"/>
                <w:lang w:val="ka-GE"/>
              </w:rPr>
            </w:pPr>
            <w:r w:rsidRPr="00330B09">
              <w:rPr>
                <w:rFonts w:cs="Times New Roman"/>
                <w:b/>
                <w:bCs/>
                <w:sz w:val="20"/>
                <w:szCs w:val="20"/>
                <w:lang w:val="ka-GE"/>
              </w:rPr>
              <w:t>საშუალო</w:t>
            </w:r>
          </w:p>
        </w:tc>
      </w:tr>
      <w:tr w:rsidR="006B57E5" w:rsidRPr="00330B09" w14:paraId="3CE18B4C" w14:textId="77777777" w:rsidTr="005C3C52">
        <w:trPr>
          <w:trHeight w:val="87"/>
        </w:trPr>
        <w:tc>
          <w:tcPr>
            <w:tcW w:w="4815" w:type="dxa"/>
            <w:tcBorders>
              <w:top w:val="nil"/>
              <w:left w:val="single" w:sz="8" w:space="0" w:color="231F20"/>
              <w:bottom w:val="single" w:sz="8" w:space="0" w:color="231F20"/>
              <w:right w:val="single" w:sz="8" w:space="0" w:color="231F20"/>
            </w:tcBorders>
            <w:hideMark/>
          </w:tcPr>
          <w:p w14:paraId="08176F29" w14:textId="77777777" w:rsidR="006B57E5" w:rsidRPr="00330B09" w:rsidRDefault="006B57E5" w:rsidP="005C3C52">
            <w:pPr>
              <w:spacing w:after="0"/>
              <w:ind w:right="138"/>
              <w:jc w:val="both"/>
              <w:rPr>
                <w:rFonts w:ascii="Times New Roman" w:hAnsi="Times New Roman" w:cs="Times New Roman"/>
                <w:sz w:val="20"/>
                <w:szCs w:val="20"/>
                <w:lang w:val="ka-GE"/>
              </w:rPr>
            </w:pPr>
            <w:r w:rsidRPr="00330B09">
              <w:rPr>
                <w:rFonts w:ascii="Times New Roman" w:hAnsi="Times New Roman" w:cs="Times New Roman"/>
                <w:sz w:val="20"/>
                <w:szCs w:val="20"/>
                <w:lang w:val="ka-GE"/>
              </w:rPr>
              <w:t>4-</w:t>
            </w:r>
            <w:r w:rsidRPr="00330B09">
              <w:rPr>
                <w:rFonts w:cs="Sylfaen"/>
                <w:sz w:val="20"/>
                <w:szCs w:val="20"/>
                <w:lang w:val="ka-GE"/>
              </w:rPr>
              <w:t>დან</w:t>
            </w:r>
            <w:r w:rsidRPr="00330B09">
              <w:rPr>
                <w:rFonts w:ascii="Times New Roman" w:hAnsi="Times New Roman" w:cs="Times New Roman"/>
                <w:sz w:val="20"/>
                <w:szCs w:val="20"/>
                <w:lang w:val="ka-GE"/>
              </w:rPr>
              <w:t xml:space="preserve"> 18 </w:t>
            </w:r>
            <w:r w:rsidRPr="00330B09">
              <w:rPr>
                <w:rFonts w:cs="Sylfaen"/>
                <w:sz w:val="20"/>
                <w:szCs w:val="20"/>
                <w:lang w:val="ka-GE"/>
              </w:rPr>
              <w:t>წლამდე</w:t>
            </w:r>
            <w:r w:rsidRPr="00330B09">
              <w:rPr>
                <w:rFonts w:ascii="Times New Roman" w:hAnsi="Times New Roman" w:cs="Times New Roman"/>
                <w:sz w:val="20"/>
                <w:szCs w:val="20"/>
                <w:lang w:val="ka-GE"/>
              </w:rPr>
              <w:t xml:space="preserve"> </w:t>
            </w:r>
            <w:r w:rsidRPr="00330B09">
              <w:rPr>
                <w:rFonts w:cs="Sylfaen"/>
                <w:sz w:val="20"/>
                <w:szCs w:val="20"/>
                <w:lang w:val="ka-GE"/>
              </w:rPr>
              <w:t>ასაკის</w:t>
            </w:r>
            <w:r w:rsidRPr="00330B09">
              <w:rPr>
                <w:rFonts w:ascii="Times New Roman" w:hAnsi="Times New Roman" w:cs="Times New Roman"/>
                <w:sz w:val="20"/>
                <w:szCs w:val="20"/>
                <w:lang w:val="ka-GE"/>
              </w:rPr>
              <w:t xml:space="preserve"> </w:t>
            </w:r>
            <w:r>
              <w:rPr>
                <w:rFonts w:cs="Sylfaen"/>
                <w:sz w:val="20"/>
                <w:szCs w:val="20"/>
                <w:lang w:val="ka-GE"/>
              </w:rPr>
              <w:t>სიმსივნით</w:t>
            </w:r>
            <w:r w:rsidRPr="00330B09">
              <w:rPr>
                <w:rFonts w:ascii="Times New Roman" w:hAnsi="Times New Roman" w:cs="Times New Roman"/>
                <w:sz w:val="20"/>
                <w:szCs w:val="20"/>
                <w:lang w:val="ka-GE"/>
              </w:rPr>
              <w:t xml:space="preserve"> </w:t>
            </w:r>
            <w:r w:rsidRPr="00330B09">
              <w:rPr>
                <w:rFonts w:cs="Sylfaen"/>
                <w:sz w:val="20"/>
                <w:szCs w:val="20"/>
                <w:lang w:val="ka-GE"/>
              </w:rPr>
              <w:t>დაავადებული</w:t>
            </w:r>
            <w:r w:rsidRPr="00330B09">
              <w:rPr>
                <w:rFonts w:ascii="Times New Roman" w:hAnsi="Times New Roman" w:cs="Times New Roman"/>
                <w:sz w:val="20"/>
                <w:szCs w:val="20"/>
                <w:lang w:val="ka-GE"/>
              </w:rPr>
              <w:t xml:space="preserve"> </w:t>
            </w:r>
            <w:r>
              <w:rPr>
                <w:rFonts w:cs="Times New Roman"/>
                <w:sz w:val="20"/>
                <w:szCs w:val="20"/>
                <w:lang w:val="ka-GE"/>
              </w:rPr>
              <w:t xml:space="preserve">პედიატრიული </w:t>
            </w:r>
            <w:r w:rsidRPr="00330B09">
              <w:rPr>
                <w:rFonts w:cs="Sylfaen"/>
                <w:sz w:val="20"/>
                <w:szCs w:val="20"/>
                <w:lang w:val="ka-GE"/>
              </w:rPr>
              <w:t>პაციენტები</w:t>
            </w:r>
          </w:p>
        </w:tc>
        <w:tc>
          <w:tcPr>
            <w:tcW w:w="724" w:type="dxa"/>
            <w:tcBorders>
              <w:top w:val="nil"/>
              <w:left w:val="nil"/>
              <w:bottom w:val="single" w:sz="8" w:space="0" w:color="231F20"/>
              <w:right w:val="single" w:sz="8" w:space="0" w:color="231F20"/>
            </w:tcBorders>
            <w:vAlign w:val="center"/>
            <w:hideMark/>
          </w:tcPr>
          <w:p w14:paraId="0610375D" w14:textId="77777777" w:rsidR="006B57E5" w:rsidRPr="00330B09" w:rsidRDefault="006B57E5" w:rsidP="005C3C52">
            <w:pPr>
              <w:spacing w:after="0"/>
              <w:jc w:val="both"/>
              <w:rPr>
                <w:rFonts w:ascii="Times New Roman" w:hAnsi="Times New Roman" w:cs="Times New Roman"/>
                <w:sz w:val="20"/>
                <w:szCs w:val="20"/>
                <w:lang w:val="ka-GE"/>
              </w:rPr>
            </w:pPr>
            <w:r w:rsidRPr="00330B09">
              <w:rPr>
                <w:rFonts w:ascii="Times New Roman" w:hAnsi="Times New Roman" w:cs="Times New Roman"/>
                <w:sz w:val="20"/>
                <w:szCs w:val="20"/>
                <w:lang w:val="ka-GE"/>
              </w:rPr>
              <w:t>N = 21</w:t>
            </w:r>
          </w:p>
        </w:tc>
        <w:tc>
          <w:tcPr>
            <w:tcW w:w="1238" w:type="dxa"/>
            <w:tcBorders>
              <w:top w:val="nil"/>
              <w:left w:val="nil"/>
              <w:bottom w:val="single" w:sz="8" w:space="0" w:color="231F20"/>
              <w:right w:val="single" w:sz="8" w:space="0" w:color="231F20"/>
            </w:tcBorders>
            <w:vAlign w:val="center"/>
            <w:hideMark/>
          </w:tcPr>
          <w:p w14:paraId="3728987E" w14:textId="77777777" w:rsidR="006B57E5" w:rsidRPr="00330B09" w:rsidRDefault="006B57E5" w:rsidP="005C3C52">
            <w:pPr>
              <w:spacing w:after="0"/>
              <w:jc w:val="both"/>
              <w:rPr>
                <w:rFonts w:ascii="Times New Roman" w:hAnsi="Times New Roman" w:cs="Times New Roman"/>
                <w:sz w:val="20"/>
                <w:szCs w:val="20"/>
                <w:lang w:val="ka-GE"/>
              </w:rPr>
            </w:pPr>
            <w:r w:rsidRPr="00330B09">
              <w:rPr>
                <w:rFonts w:ascii="Times New Roman" w:hAnsi="Times New Roman" w:cs="Times New Roman"/>
                <w:sz w:val="20"/>
                <w:szCs w:val="20"/>
                <w:lang w:val="ka-GE"/>
              </w:rPr>
              <w:t>0.599</w:t>
            </w:r>
          </w:p>
        </w:tc>
        <w:tc>
          <w:tcPr>
            <w:tcW w:w="1424" w:type="dxa"/>
            <w:tcBorders>
              <w:top w:val="nil"/>
              <w:left w:val="nil"/>
              <w:bottom w:val="single" w:sz="8" w:space="0" w:color="231F20"/>
              <w:right w:val="single" w:sz="8" w:space="0" w:color="231F20"/>
            </w:tcBorders>
            <w:vAlign w:val="center"/>
            <w:hideMark/>
          </w:tcPr>
          <w:p w14:paraId="2B6EEBF9" w14:textId="77777777" w:rsidR="006B57E5" w:rsidRPr="00330B09" w:rsidRDefault="006B57E5" w:rsidP="005C3C52">
            <w:pPr>
              <w:spacing w:after="0"/>
              <w:jc w:val="both"/>
              <w:rPr>
                <w:rFonts w:ascii="Times New Roman" w:hAnsi="Times New Roman" w:cs="Times New Roman"/>
                <w:sz w:val="20"/>
                <w:szCs w:val="20"/>
                <w:lang w:val="ka-GE"/>
              </w:rPr>
            </w:pPr>
            <w:r w:rsidRPr="00330B09">
              <w:rPr>
                <w:rFonts w:ascii="Times New Roman" w:hAnsi="Times New Roman" w:cs="Times New Roman"/>
                <w:sz w:val="20"/>
                <w:szCs w:val="20"/>
                <w:lang w:val="ka-GE"/>
              </w:rPr>
              <w:t>1.9</w:t>
            </w:r>
          </w:p>
        </w:tc>
        <w:tc>
          <w:tcPr>
            <w:tcW w:w="1328" w:type="dxa"/>
            <w:tcBorders>
              <w:top w:val="nil"/>
              <w:left w:val="nil"/>
              <w:bottom w:val="single" w:sz="8" w:space="0" w:color="231F20"/>
              <w:right w:val="single" w:sz="8" w:space="0" w:color="231F20"/>
            </w:tcBorders>
            <w:vAlign w:val="center"/>
            <w:hideMark/>
          </w:tcPr>
          <w:p w14:paraId="595F6CE6" w14:textId="77777777" w:rsidR="006B57E5" w:rsidRPr="00330B09" w:rsidRDefault="006B57E5" w:rsidP="005C3C52">
            <w:pPr>
              <w:spacing w:after="0"/>
              <w:jc w:val="both"/>
              <w:rPr>
                <w:rFonts w:ascii="Times New Roman" w:hAnsi="Times New Roman" w:cs="Times New Roman"/>
                <w:sz w:val="20"/>
                <w:szCs w:val="20"/>
                <w:lang w:val="ka-GE"/>
              </w:rPr>
            </w:pPr>
            <w:r w:rsidRPr="00330B09">
              <w:rPr>
                <w:rFonts w:ascii="Times New Roman" w:hAnsi="Times New Roman" w:cs="Times New Roman"/>
                <w:sz w:val="20"/>
                <w:szCs w:val="20"/>
                <w:lang w:val="ka-GE"/>
              </w:rPr>
              <w:t>2.8</w:t>
            </w:r>
          </w:p>
        </w:tc>
      </w:tr>
      <w:tr w:rsidR="006B57E5" w:rsidRPr="00330B09" w14:paraId="5BEFE2C8" w14:textId="77777777" w:rsidTr="005C3C52">
        <w:trPr>
          <w:trHeight w:val="165"/>
        </w:trPr>
        <w:tc>
          <w:tcPr>
            <w:tcW w:w="4815" w:type="dxa"/>
            <w:tcBorders>
              <w:top w:val="nil"/>
              <w:left w:val="single" w:sz="8" w:space="0" w:color="231F20"/>
              <w:bottom w:val="single" w:sz="8" w:space="0" w:color="231F20"/>
              <w:right w:val="single" w:sz="8" w:space="0" w:color="231F20"/>
            </w:tcBorders>
            <w:hideMark/>
          </w:tcPr>
          <w:p w14:paraId="33A9B0FC" w14:textId="77777777" w:rsidR="006B57E5" w:rsidRPr="00330B09" w:rsidRDefault="006B57E5" w:rsidP="005C3C52">
            <w:pPr>
              <w:spacing w:after="0"/>
              <w:jc w:val="both"/>
              <w:rPr>
                <w:rFonts w:ascii="Times New Roman" w:hAnsi="Times New Roman" w:cs="Times New Roman"/>
                <w:sz w:val="20"/>
                <w:szCs w:val="20"/>
                <w:lang w:val="ka-GE"/>
              </w:rPr>
            </w:pPr>
            <w:r w:rsidRPr="00330B09">
              <w:rPr>
                <w:rFonts w:ascii="Times New Roman" w:hAnsi="Times New Roman" w:cs="Times New Roman"/>
                <w:sz w:val="20"/>
                <w:szCs w:val="20"/>
                <w:lang w:val="ka-GE"/>
              </w:rPr>
              <w:t xml:space="preserve">1 </w:t>
            </w:r>
            <w:r w:rsidRPr="00330B09">
              <w:rPr>
                <w:rFonts w:cs="Sylfaen"/>
                <w:sz w:val="20"/>
                <w:szCs w:val="20"/>
                <w:lang w:val="ka-GE"/>
              </w:rPr>
              <w:t>თვიდან</w:t>
            </w:r>
            <w:r w:rsidRPr="00330B09">
              <w:rPr>
                <w:rFonts w:ascii="Times New Roman" w:hAnsi="Times New Roman" w:cs="Times New Roman"/>
                <w:sz w:val="20"/>
                <w:szCs w:val="20"/>
                <w:lang w:val="ka-GE"/>
              </w:rPr>
              <w:t xml:space="preserve"> 48 </w:t>
            </w:r>
            <w:r w:rsidRPr="00330B09">
              <w:rPr>
                <w:rFonts w:cs="Sylfaen"/>
                <w:sz w:val="20"/>
                <w:szCs w:val="20"/>
                <w:lang w:val="ka-GE"/>
              </w:rPr>
              <w:t xml:space="preserve">თვემდე პაციენტების </w:t>
            </w:r>
            <w:r w:rsidRPr="00330B09">
              <w:rPr>
                <w:rFonts w:ascii="Times New Roman" w:hAnsi="Times New Roman" w:cs="Times New Roman"/>
                <w:sz w:val="20"/>
                <w:szCs w:val="20"/>
                <w:lang w:val="ka-GE"/>
              </w:rPr>
              <w:t>PK</w:t>
            </w:r>
          </w:p>
        </w:tc>
        <w:tc>
          <w:tcPr>
            <w:tcW w:w="724" w:type="dxa"/>
            <w:tcBorders>
              <w:top w:val="nil"/>
              <w:left w:val="nil"/>
              <w:bottom w:val="single" w:sz="8" w:space="0" w:color="231F20"/>
              <w:right w:val="single" w:sz="8" w:space="0" w:color="231F20"/>
            </w:tcBorders>
            <w:vAlign w:val="center"/>
            <w:hideMark/>
          </w:tcPr>
          <w:p w14:paraId="0FF78D3D" w14:textId="77777777" w:rsidR="006B57E5" w:rsidRPr="00330B09" w:rsidRDefault="006B57E5" w:rsidP="005C3C52">
            <w:pPr>
              <w:spacing w:after="0"/>
              <w:jc w:val="both"/>
              <w:rPr>
                <w:rFonts w:ascii="Times New Roman" w:hAnsi="Times New Roman" w:cs="Times New Roman"/>
                <w:sz w:val="20"/>
                <w:szCs w:val="20"/>
                <w:lang w:val="ka-GE"/>
              </w:rPr>
            </w:pPr>
            <w:r w:rsidRPr="00330B09">
              <w:rPr>
                <w:rFonts w:ascii="Times New Roman" w:hAnsi="Times New Roman" w:cs="Times New Roman"/>
                <w:sz w:val="20"/>
                <w:szCs w:val="20"/>
                <w:lang w:val="ka-GE"/>
              </w:rPr>
              <w:t>N = 115</w:t>
            </w:r>
          </w:p>
        </w:tc>
        <w:tc>
          <w:tcPr>
            <w:tcW w:w="1238" w:type="dxa"/>
            <w:tcBorders>
              <w:top w:val="nil"/>
              <w:left w:val="nil"/>
              <w:bottom w:val="single" w:sz="8" w:space="0" w:color="231F20"/>
              <w:right w:val="single" w:sz="8" w:space="0" w:color="231F20"/>
            </w:tcBorders>
            <w:vAlign w:val="center"/>
            <w:hideMark/>
          </w:tcPr>
          <w:p w14:paraId="26F220E6" w14:textId="77777777" w:rsidR="006B57E5" w:rsidRPr="00330B09" w:rsidRDefault="006B57E5" w:rsidP="005C3C52">
            <w:pPr>
              <w:spacing w:after="0"/>
              <w:jc w:val="both"/>
              <w:rPr>
                <w:rFonts w:ascii="Times New Roman" w:hAnsi="Times New Roman" w:cs="Times New Roman"/>
                <w:sz w:val="20"/>
                <w:szCs w:val="20"/>
                <w:lang w:val="ka-GE"/>
              </w:rPr>
            </w:pPr>
            <w:r w:rsidRPr="00330B09">
              <w:rPr>
                <w:rFonts w:ascii="Times New Roman" w:hAnsi="Times New Roman" w:cs="Times New Roman"/>
                <w:sz w:val="20"/>
                <w:szCs w:val="20"/>
                <w:lang w:val="ka-GE"/>
              </w:rPr>
              <w:t>0.582</w:t>
            </w:r>
          </w:p>
        </w:tc>
        <w:tc>
          <w:tcPr>
            <w:tcW w:w="1424" w:type="dxa"/>
            <w:tcBorders>
              <w:top w:val="nil"/>
              <w:left w:val="nil"/>
              <w:bottom w:val="single" w:sz="8" w:space="0" w:color="231F20"/>
              <w:right w:val="single" w:sz="8" w:space="0" w:color="231F20"/>
            </w:tcBorders>
            <w:vAlign w:val="center"/>
            <w:hideMark/>
          </w:tcPr>
          <w:p w14:paraId="31E4D2D3" w14:textId="77777777" w:rsidR="006B57E5" w:rsidRPr="00330B09" w:rsidRDefault="006B57E5" w:rsidP="005C3C52">
            <w:pPr>
              <w:spacing w:after="0"/>
              <w:jc w:val="both"/>
              <w:rPr>
                <w:rFonts w:ascii="Times New Roman" w:hAnsi="Times New Roman" w:cs="Times New Roman"/>
                <w:sz w:val="20"/>
                <w:szCs w:val="20"/>
                <w:lang w:val="ka-GE"/>
              </w:rPr>
            </w:pPr>
            <w:r w:rsidRPr="00330B09">
              <w:rPr>
                <w:rFonts w:ascii="Times New Roman" w:hAnsi="Times New Roman" w:cs="Times New Roman"/>
                <w:sz w:val="20"/>
                <w:szCs w:val="20"/>
                <w:lang w:val="ka-GE"/>
              </w:rPr>
              <w:t>3.65</w:t>
            </w:r>
          </w:p>
        </w:tc>
        <w:tc>
          <w:tcPr>
            <w:tcW w:w="1328" w:type="dxa"/>
            <w:tcBorders>
              <w:top w:val="nil"/>
              <w:left w:val="nil"/>
              <w:bottom w:val="single" w:sz="8" w:space="0" w:color="231F20"/>
              <w:right w:val="single" w:sz="8" w:space="0" w:color="231F20"/>
            </w:tcBorders>
            <w:vAlign w:val="center"/>
            <w:hideMark/>
          </w:tcPr>
          <w:p w14:paraId="3278B621" w14:textId="77777777" w:rsidR="006B57E5" w:rsidRPr="00330B09" w:rsidRDefault="006B57E5" w:rsidP="005C3C52">
            <w:pPr>
              <w:spacing w:after="0"/>
              <w:jc w:val="both"/>
              <w:rPr>
                <w:rFonts w:ascii="Times New Roman" w:hAnsi="Times New Roman" w:cs="Times New Roman"/>
                <w:sz w:val="20"/>
                <w:szCs w:val="20"/>
                <w:lang w:val="ka-GE"/>
              </w:rPr>
            </w:pPr>
            <w:r w:rsidRPr="00330B09">
              <w:rPr>
                <w:rFonts w:ascii="Times New Roman" w:hAnsi="Times New Roman" w:cs="Times New Roman"/>
                <w:sz w:val="20"/>
                <w:szCs w:val="20"/>
                <w:lang w:val="ka-GE"/>
              </w:rPr>
              <w:t>4.9</w:t>
            </w:r>
          </w:p>
        </w:tc>
      </w:tr>
    </w:tbl>
    <w:p w14:paraId="1CDC07D9" w14:textId="77777777" w:rsidR="006B57E5" w:rsidRPr="00330B09" w:rsidRDefault="006B57E5" w:rsidP="006B57E5">
      <w:pPr>
        <w:spacing w:after="0" w:line="240" w:lineRule="auto"/>
        <w:jc w:val="both"/>
        <w:rPr>
          <w:lang w:val="ka-GE"/>
        </w:rPr>
      </w:pPr>
    </w:p>
    <w:p w14:paraId="4025C69B" w14:textId="77777777" w:rsidR="006B57E5" w:rsidRPr="00330B09" w:rsidRDefault="006B57E5" w:rsidP="006B57E5">
      <w:pPr>
        <w:spacing w:after="0" w:line="240" w:lineRule="auto"/>
        <w:jc w:val="both"/>
        <w:rPr>
          <w:lang w:val="ka-GE"/>
        </w:rPr>
      </w:pPr>
      <w:r w:rsidRPr="00330B09">
        <w:rPr>
          <w:lang w:val="ka-GE"/>
        </w:rPr>
        <w:t xml:space="preserve">პოპულაციის ფარმაკოკინეტიკა (PK): </w:t>
      </w:r>
      <w:r>
        <w:rPr>
          <w:lang w:val="ka-GE"/>
        </w:rPr>
        <w:t>სიმსივნით</w:t>
      </w:r>
      <w:r w:rsidRPr="00330B09">
        <w:rPr>
          <w:lang w:val="ka-GE"/>
        </w:rPr>
        <w:t xml:space="preserve"> დაავადებული პაციენტების 64% და ქირურგიული ჩარევით პაციენტების 36%.</w:t>
      </w:r>
    </w:p>
    <w:p w14:paraId="0440F9AF" w14:textId="77777777" w:rsidR="006B57E5" w:rsidRPr="00330B09" w:rsidRDefault="006B57E5" w:rsidP="006B57E5">
      <w:pPr>
        <w:spacing w:after="0" w:line="240" w:lineRule="auto"/>
        <w:jc w:val="both"/>
        <w:rPr>
          <w:lang w:val="ka-GE"/>
        </w:rPr>
      </w:pPr>
    </w:p>
    <w:p w14:paraId="4BB76C17" w14:textId="77777777" w:rsidR="006B57E5" w:rsidRPr="00330B09" w:rsidRDefault="006B57E5" w:rsidP="006B57E5">
      <w:pPr>
        <w:spacing w:after="0" w:line="240" w:lineRule="auto"/>
        <w:jc w:val="both"/>
        <w:rPr>
          <w:lang w:val="ka-GE"/>
        </w:rPr>
      </w:pPr>
      <w:r w:rsidRPr="00330B09">
        <w:rPr>
          <w:lang w:val="ka-GE"/>
        </w:rPr>
        <w:t xml:space="preserve">პოპულაციური ფარმაკოკინეტიკური ანალიზის საფუძველზე, მოსალოდნელია, რომ 6-დან 48 თვემდე ასაკის </w:t>
      </w:r>
      <w:r>
        <w:rPr>
          <w:lang w:val="ka-GE"/>
        </w:rPr>
        <w:t>სიმსივნით</w:t>
      </w:r>
      <w:r w:rsidRPr="00330B09">
        <w:rPr>
          <w:lang w:val="ka-GE"/>
        </w:rPr>
        <w:t xml:space="preserve"> დაავადებული პაციენტები, რომლებიც იღებენ 0.15 მგ/კგ ონდანსეტრონის დოზას ინტრავენურად ყოველ 4 საათში ერთხელ 3 დოზის განმავლობაში, აღწევენ სისტემურ ექსპოზიციას (auc), რომელიც შეესაბამება </w:t>
      </w:r>
      <w:r>
        <w:rPr>
          <w:lang w:val="ka-GE"/>
        </w:rPr>
        <w:t>სიმსივნით</w:t>
      </w:r>
      <w:r w:rsidRPr="00330B09">
        <w:rPr>
          <w:lang w:val="ka-GE"/>
        </w:rPr>
        <w:t xml:space="preserve"> დაავადებულ პაციენტებში (4-დან 18 წლამდე) მსგავსი დოზების გამოყენებით მიღწეულ ექსპოზიციას.</w:t>
      </w:r>
    </w:p>
    <w:p w14:paraId="56BA8D10" w14:textId="77777777" w:rsidR="006B57E5" w:rsidRPr="00330B09" w:rsidRDefault="006B57E5" w:rsidP="006B57E5">
      <w:pPr>
        <w:spacing w:after="0" w:line="240" w:lineRule="auto"/>
        <w:jc w:val="both"/>
        <w:rPr>
          <w:lang w:val="ka-GE"/>
        </w:rPr>
      </w:pPr>
      <w:r w:rsidRPr="00330B09">
        <w:rPr>
          <w:lang w:val="ka-GE"/>
        </w:rPr>
        <w:lastRenderedPageBreak/>
        <w:t>ოცდაერთი პედიატრიული პაციენტის (3-დან 12 წლამდე) კვლევაში, რომლებსაც უტარდებოდათ ოპერაცია ანესთეზი</w:t>
      </w:r>
      <w:r>
        <w:rPr>
          <w:lang w:val="ka-GE"/>
        </w:rPr>
        <w:t>ა</w:t>
      </w:r>
      <w:r w:rsidRPr="00330B09">
        <w:rPr>
          <w:lang w:val="ka-GE"/>
        </w:rPr>
        <w:t xml:space="preserve"> 45 წუთიდან 2 საათამდე ხანგრძლივობით, ონდანსეტრონის ერთჯერადი ინტრავენური დოზა, 2 მგ (3-დან 7 წლამდე) ან 4 მგ (8-დან 12 წლამდე), შეიყვანეს ანესთეზიის ინდუქციის დაწყებამდე დაუყოვნებლივ. ამ პედიატრიულ ქირურგიულ პაციენტებში საშუალო წონა-ნორმალური კლირენსი და განაწილების მოცულობის მაჩვენებლები მსგავსი იყო ახალგაზრდა მოზრდილებში ადრე დაფიქსირებული მაჩვენებლებისა. საშუალო ტერმინალური ნახევარგამოყოფის პერიოდი ოდნავ შემცირებული იყო პედიატრიულ პაციენტებში (დიაპაზონი, 2.5-დან 3 საათამდე) მოზრდილებთან შედარებით (დიაპაზონი, 3-დან 3.5 საათამდე).</w:t>
      </w:r>
    </w:p>
    <w:p w14:paraId="4DC28F6E" w14:textId="77777777" w:rsidR="006B57E5" w:rsidRPr="00330B09" w:rsidRDefault="006B57E5" w:rsidP="006B57E5">
      <w:pPr>
        <w:spacing w:after="0" w:line="240" w:lineRule="auto"/>
        <w:jc w:val="both"/>
        <w:rPr>
          <w:lang w:val="ka-GE"/>
        </w:rPr>
      </w:pPr>
      <w:r>
        <w:rPr>
          <w:lang w:val="ka-GE"/>
        </w:rPr>
        <w:t>კ</w:t>
      </w:r>
      <w:r w:rsidRPr="00330B09">
        <w:rPr>
          <w:lang w:val="ka-GE"/>
        </w:rPr>
        <w:t>ვლევაში, რომელშიც მონაწილეობდა 51 პედიატრიული პაციენტი (1-დან 24 თვემდე ასაკის), რომლებსაც უტარდებოდათ ქირურგიული ჩარევა ზოგადი ანესთეზიი</w:t>
      </w:r>
      <w:r>
        <w:rPr>
          <w:lang w:val="ka-GE"/>
        </w:rPr>
        <w:t>თ</w:t>
      </w:r>
      <w:r w:rsidRPr="00330B09">
        <w:rPr>
          <w:lang w:val="ka-GE"/>
        </w:rPr>
        <w:t>, ოპერაციამდე შეიყვანეს ონდანსეტრონის ერთჯერადი ინტრავენური დოზა, 0.1 ან 0.2 მგ/კგ. როგორც ნაჩვენებია ცხრილში 6, ფარმაკოკინეტიკური მონაცემების მქონე 41 პაციენტი დაიყო ორ ჯგუფად: 1-დან 4 თვემდე ასაკის პაციენტები და 5-დან 24 თვემდე ასაკის პაციენტები. ეს პაციენტები შედარებული იქნა 3-დან 12 წლამდე ასაკის პედიატრიულ პაციენტებთან.</w:t>
      </w:r>
    </w:p>
    <w:p w14:paraId="3C054906" w14:textId="77777777" w:rsidR="006B57E5" w:rsidRPr="00330B09" w:rsidRDefault="006B57E5" w:rsidP="006B57E5">
      <w:pPr>
        <w:spacing w:after="0" w:line="240" w:lineRule="auto"/>
        <w:jc w:val="both"/>
        <w:rPr>
          <w:lang w:val="ka-GE"/>
        </w:rPr>
      </w:pPr>
      <w:r w:rsidRPr="00330B09">
        <w:rPr>
          <w:u w:val="single"/>
          <w:lang w:val="ka-GE"/>
        </w:rPr>
        <w:t>ფარმაკოკინეტიკა 1 თვიდან 12 წლამდე ასაკის პედიატრიულ ქირურგიულ პაციენტებში</w:t>
      </w:r>
    </w:p>
    <w:p w14:paraId="31CF51C2" w14:textId="77777777" w:rsidR="006B57E5" w:rsidRPr="00330B09" w:rsidRDefault="006B57E5" w:rsidP="006B57E5">
      <w:pPr>
        <w:spacing w:after="0" w:line="240" w:lineRule="auto"/>
        <w:jc w:val="both"/>
        <w:rPr>
          <w:lang w:val="ka-GE"/>
        </w:rPr>
      </w:pPr>
    </w:p>
    <w:tbl>
      <w:tblPr>
        <w:tblW w:w="10170" w:type="dxa"/>
        <w:tblInd w:w="-5" w:type="dxa"/>
        <w:tblCellMar>
          <w:left w:w="0" w:type="dxa"/>
          <w:right w:w="0" w:type="dxa"/>
        </w:tblCellMar>
        <w:tblLook w:val="04A0" w:firstRow="1" w:lastRow="0" w:firstColumn="1" w:lastColumn="0" w:noHBand="0" w:noVBand="1"/>
      </w:tblPr>
      <w:tblGrid>
        <w:gridCol w:w="5524"/>
        <w:gridCol w:w="992"/>
        <w:gridCol w:w="1417"/>
        <w:gridCol w:w="919"/>
        <w:gridCol w:w="1318"/>
      </w:tblGrid>
      <w:tr w:rsidR="006B57E5" w:rsidRPr="00330B09" w14:paraId="3375411B" w14:textId="77777777" w:rsidTr="005C3C52">
        <w:trPr>
          <w:trHeight w:val="161"/>
        </w:trPr>
        <w:tc>
          <w:tcPr>
            <w:tcW w:w="5524" w:type="dxa"/>
            <w:tcBorders>
              <w:top w:val="single" w:sz="8" w:space="0" w:color="231F20"/>
              <w:left w:val="single" w:sz="8" w:space="0" w:color="231F20"/>
              <w:bottom w:val="single" w:sz="8" w:space="0" w:color="231F20"/>
              <w:right w:val="single" w:sz="8" w:space="0" w:color="231F20"/>
            </w:tcBorders>
            <w:hideMark/>
          </w:tcPr>
          <w:p w14:paraId="79804C80" w14:textId="77777777" w:rsidR="006B57E5" w:rsidRPr="00330B09" w:rsidRDefault="006B57E5" w:rsidP="005C3C52">
            <w:pPr>
              <w:spacing w:after="0"/>
              <w:jc w:val="both"/>
              <w:rPr>
                <w:rFonts w:ascii="Times New Roman" w:hAnsi="Times New Roman" w:cs="Times New Roman"/>
                <w:b/>
                <w:bCs/>
                <w:sz w:val="20"/>
                <w:szCs w:val="20"/>
                <w:lang w:val="ka-GE"/>
              </w:rPr>
            </w:pPr>
            <w:r w:rsidRPr="00330B09">
              <w:rPr>
                <w:rFonts w:cs="Sylfaen"/>
                <w:b/>
                <w:bCs/>
                <w:sz w:val="20"/>
                <w:szCs w:val="20"/>
                <w:lang w:val="ka-GE"/>
              </w:rPr>
              <w:t>სუბიექტები</w:t>
            </w:r>
            <w:r w:rsidRPr="00330B09">
              <w:rPr>
                <w:rFonts w:ascii="Times New Roman" w:hAnsi="Times New Roman" w:cs="Times New Roman"/>
                <w:b/>
                <w:bCs/>
                <w:sz w:val="20"/>
                <w:szCs w:val="20"/>
                <w:lang w:val="ka-GE"/>
              </w:rPr>
              <w:t xml:space="preserve"> </w:t>
            </w:r>
            <w:r w:rsidRPr="00330B09">
              <w:rPr>
                <w:rFonts w:cs="Sylfaen"/>
                <w:b/>
                <w:bCs/>
                <w:sz w:val="20"/>
                <w:szCs w:val="20"/>
                <w:lang w:val="ka-GE"/>
              </w:rPr>
              <w:t>და</w:t>
            </w:r>
            <w:r w:rsidRPr="00330B09">
              <w:rPr>
                <w:rFonts w:ascii="Times New Roman" w:hAnsi="Times New Roman" w:cs="Times New Roman"/>
                <w:b/>
                <w:bCs/>
                <w:sz w:val="20"/>
                <w:szCs w:val="20"/>
                <w:lang w:val="ka-GE"/>
              </w:rPr>
              <w:t xml:space="preserve"> </w:t>
            </w:r>
            <w:r w:rsidRPr="00330B09">
              <w:rPr>
                <w:rFonts w:cs="Sylfaen"/>
                <w:b/>
                <w:bCs/>
                <w:sz w:val="20"/>
                <w:szCs w:val="20"/>
                <w:lang w:val="ka-GE"/>
              </w:rPr>
              <w:t>ასაკობრივი</w:t>
            </w:r>
            <w:r w:rsidRPr="00330B09">
              <w:rPr>
                <w:rFonts w:ascii="Times New Roman" w:hAnsi="Times New Roman" w:cs="Times New Roman"/>
                <w:b/>
                <w:bCs/>
                <w:sz w:val="20"/>
                <w:szCs w:val="20"/>
                <w:lang w:val="ka-GE"/>
              </w:rPr>
              <w:t xml:space="preserve"> </w:t>
            </w:r>
            <w:r w:rsidRPr="00330B09">
              <w:rPr>
                <w:rFonts w:cs="Sylfaen"/>
                <w:b/>
                <w:bCs/>
                <w:sz w:val="20"/>
                <w:szCs w:val="20"/>
                <w:lang w:val="ka-GE"/>
              </w:rPr>
              <w:t>ჯგუფი</w:t>
            </w:r>
          </w:p>
        </w:tc>
        <w:tc>
          <w:tcPr>
            <w:tcW w:w="992" w:type="dxa"/>
            <w:tcBorders>
              <w:top w:val="single" w:sz="8" w:space="0" w:color="231F20"/>
              <w:left w:val="nil"/>
              <w:bottom w:val="single" w:sz="8" w:space="0" w:color="231F20"/>
              <w:right w:val="single" w:sz="8" w:space="0" w:color="231F20"/>
            </w:tcBorders>
            <w:vAlign w:val="center"/>
            <w:hideMark/>
          </w:tcPr>
          <w:p w14:paraId="4A03C036" w14:textId="77777777" w:rsidR="006B57E5" w:rsidRPr="00330B09" w:rsidRDefault="006B57E5" w:rsidP="005C3C52">
            <w:pPr>
              <w:spacing w:after="0"/>
              <w:jc w:val="both"/>
              <w:rPr>
                <w:rFonts w:ascii="Times New Roman" w:hAnsi="Times New Roman" w:cs="Times New Roman"/>
                <w:b/>
                <w:bCs/>
                <w:sz w:val="20"/>
                <w:szCs w:val="20"/>
                <w:lang w:val="ka-GE"/>
              </w:rPr>
            </w:pPr>
            <w:r w:rsidRPr="00330B09">
              <w:rPr>
                <w:rFonts w:ascii="Times New Roman" w:hAnsi="Times New Roman" w:cs="Times New Roman"/>
                <w:b/>
                <w:bCs/>
                <w:sz w:val="20"/>
                <w:szCs w:val="20"/>
                <w:lang w:val="ka-GE"/>
              </w:rPr>
              <w:t>N</w:t>
            </w:r>
          </w:p>
        </w:tc>
        <w:tc>
          <w:tcPr>
            <w:tcW w:w="1417" w:type="dxa"/>
            <w:tcBorders>
              <w:top w:val="single" w:sz="8" w:space="0" w:color="231F20"/>
              <w:left w:val="nil"/>
              <w:bottom w:val="single" w:sz="8" w:space="0" w:color="231F20"/>
              <w:right w:val="single" w:sz="8" w:space="0" w:color="231F20"/>
            </w:tcBorders>
            <w:vAlign w:val="center"/>
            <w:hideMark/>
          </w:tcPr>
          <w:p w14:paraId="0CF1BF3F" w14:textId="77777777" w:rsidR="006B57E5" w:rsidRPr="00330B09" w:rsidRDefault="006B57E5" w:rsidP="005C3C52">
            <w:pPr>
              <w:spacing w:after="0"/>
              <w:jc w:val="both"/>
              <w:rPr>
                <w:rFonts w:ascii="Times New Roman" w:hAnsi="Times New Roman" w:cs="Times New Roman"/>
                <w:b/>
                <w:bCs/>
                <w:sz w:val="20"/>
                <w:szCs w:val="20"/>
                <w:lang w:val="ka-GE"/>
              </w:rPr>
            </w:pPr>
            <w:r w:rsidRPr="00330B09">
              <w:rPr>
                <w:rFonts w:ascii="Times New Roman" w:hAnsi="Times New Roman" w:cs="Times New Roman"/>
                <w:b/>
                <w:bCs/>
                <w:sz w:val="20"/>
                <w:szCs w:val="20"/>
                <w:lang w:val="ka-GE"/>
              </w:rPr>
              <w:t>CL</w:t>
            </w:r>
          </w:p>
          <w:p w14:paraId="31428F62" w14:textId="77777777" w:rsidR="006B57E5" w:rsidRPr="00330B09" w:rsidRDefault="006B57E5" w:rsidP="005C3C52">
            <w:pPr>
              <w:spacing w:after="0"/>
              <w:jc w:val="both"/>
              <w:rPr>
                <w:rFonts w:ascii="Times New Roman" w:hAnsi="Times New Roman" w:cs="Times New Roman"/>
                <w:sz w:val="20"/>
                <w:szCs w:val="20"/>
                <w:u w:val="single"/>
                <w:lang w:val="ka-GE"/>
              </w:rPr>
            </w:pPr>
            <w:r w:rsidRPr="00330B09">
              <w:rPr>
                <w:rFonts w:ascii="Times New Roman" w:hAnsi="Times New Roman" w:cs="Times New Roman"/>
                <w:b/>
                <w:bCs/>
                <w:sz w:val="20"/>
                <w:szCs w:val="20"/>
                <w:lang w:val="ka-GE"/>
              </w:rPr>
              <w:t>(</w:t>
            </w:r>
            <w:r w:rsidRPr="00330B09">
              <w:rPr>
                <w:rFonts w:cs="Sylfaen"/>
                <w:b/>
                <w:bCs/>
                <w:sz w:val="20"/>
                <w:szCs w:val="20"/>
                <w:lang w:val="ka-GE"/>
              </w:rPr>
              <w:t>ლ</w:t>
            </w:r>
            <w:r w:rsidRPr="00330B09">
              <w:rPr>
                <w:rFonts w:ascii="Times New Roman" w:hAnsi="Times New Roman" w:cs="Times New Roman"/>
                <w:b/>
                <w:bCs/>
                <w:sz w:val="20"/>
                <w:szCs w:val="20"/>
                <w:lang w:val="ka-GE"/>
              </w:rPr>
              <w:t>/</w:t>
            </w:r>
            <w:r w:rsidRPr="00330B09">
              <w:rPr>
                <w:rFonts w:cs="Sylfaen"/>
                <w:b/>
                <w:bCs/>
                <w:sz w:val="20"/>
                <w:szCs w:val="20"/>
                <w:lang w:val="ka-GE"/>
              </w:rPr>
              <w:t>სთ</w:t>
            </w:r>
            <w:r w:rsidRPr="00330B09">
              <w:rPr>
                <w:rFonts w:ascii="Times New Roman" w:hAnsi="Times New Roman" w:cs="Times New Roman"/>
                <w:b/>
                <w:bCs/>
                <w:sz w:val="20"/>
                <w:szCs w:val="20"/>
                <w:lang w:val="ka-GE"/>
              </w:rPr>
              <w:t>/</w:t>
            </w:r>
            <w:r w:rsidRPr="00330B09">
              <w:rPr>
                <w:rFonts w:cs="Sylfaen"/>
                <w:b/>
                <w:bCs/>
                <w:sz w:val="20"/>
                <w:szCs w:val="20"/>
                <w:lang w:val="ka-GE"/>
              </w:rPr>
              <w:t>კგ</w:t>
            </w:r>
            <w:r w:rsidRPr="00330B09">
              <w:rPr>
                <w:rFonts w:ascii="Times New Roman" w:hAnsi="Times New Roman" w:cs="Times New Roman"/>
                <w:b/>
                <w:bCs/>
                <w:sz w:val="20"/>
                <w:szCs w:val="20"/>
                <w:lang w:val="ka-GE"/>
              </w:rPr>
              <w:t>)</w:t>
            </w:r>
          </w:p>
        </w:tc>
        <w:tc>
          <w:tcPr>
            <w:tcW w:w="919" w:type="dxa"/>
            <w:tcBorders>
              <w:top w:val="single" w:sz="8" w:space="0" w:color="231F20"/>
              <w:left w:val="nil"/>
              <w:bottom w:val="single" w:sz="8" w:space="0" w:color="231F20"/>
              <w:right w:val="single" w:sz="8" w:space="0" w:color="231F20"/>
            </w:tcBorders>
            <w:vAlign w:val="center"/>
            <w:hideMark/>
          </w:tcPr>
          <w:p w14:paraId="61835E9E" w14:textId="77777777" w:rsidR="006B57E5" w:rsidRPr="00330B09" w:rsidRDefault="006B57E5" w:rsidP="005C3C52">
            <w:pPr>
              <w:spacing w:after="0"/>
              <w:jc w:val="both"/>
              <w:rPr>
                <w:rFonts w:ascii="Times New Roman" w:hAnsi="Times New Roman" w:cs="Times New Roman"/>
                <w:b/>
                <w:bCs/>
                <w:sz w:val="20"/>
                <w:szCs w:val="20"/>
                <w:lang w:val="ka-GE"/>
              </w:rPr>
            </w:pPr>
            <w:r w:rsidRPr="00330B09">
              <w:rPr>
                <w:rFonts w:ascii="Times New Roman" w:hAnsi="Times New Roman" w:cs="Times New Roman"/>
                <w:b/>
                <w:bCs/>
                <w:sz w:val="20"/>
                <w:szCs w:val="20"/>
                <w:lang w:val="ka-GE"/>
              </w:rPr>
              <w:t>VDSS</w:t>
            </w:r>
          </w:p>
          <w:p w14:paraId="07D1C033" w14:textId="77777777" w:rsidR="006B57E5" w:rsidRPr="00330B09" w:rsidRDefault="006B57E5" w:rsidP="005C3C52">
            <w:pPr>
              <w:spacing w:after="0"/>
              <w:jc w:val="both"/>
              <w:rPr>
                <w:rFonts w:ascii="Times New Roman" w:hAnsi="Times New Roman" w:cs="Times New Roman"/>
                <w:sz w:val="20"/>
                <w:szCs w:val="20"/>
                <w:u w:val="single"/>
                <w:lang w:val="ka-GE"/>
              </w:rPr>
            </w:pPr>
            <w:r w:rsidRPr="00330B09">
              <w:rPr>
                <w:rFonts w:ascii="Times New Roman" w:hAnsi="Times New Roman" w:cs="Times New Roman"/>
                <w:b/>
                <w:bCs/>
                <w:sz w:val="20"/>
                <w:szCs w:val="20"/>
                <w:lang w:val="ka-GE"/>
              </w:rPr>
              <w:t>(</w:t>
            </w:r>
            <w:r w:rsidRPr="00330B09">
              <w:rPr>
                <w:rFonts w:cs="Sylfaen"/>
                <w:b/>
                <w:bCs/>
                <w:sz w:val="20"/>
                <w:szCs w:val="20"/>
                <w:lang w:val="ka-GE"/>
              </w:rPr>
              <w:t>ლ</w:t>
            </w:r>
            <w:r w:rsidRPr="00330B09">
              <w:rPr>
                <w:rFonts w:ascii="Times New Roman" w:hAnsi="Times New Roman" w:cs="Times New Roman"/>
                <w:b/>
                <w:bCs/>
                <w:sz w:val="20"/>
                <w:szCs w:val="20"/>
                <w:lang w:val="ka-GE"/>
              </w:rPr>
              <w:t>/</w:t>
            </w:r>
            <w:r w:rsidRPr="00330B09">
              <w:rPr>
                <w:rFonts w:cs="Sylfaen"/>
                <w:b/>
                <w:bCs/>
                <w:sz w:val="20"/>
                <w:szCs w:val="20"/>
                <w:lang w:val="ka-GE"/>
              </w:rPr>
              <w:t>კგ</w:t>
            </w:r>
            <w:r w:rsidRPr="00330B09">
              <w:rPr>
                <w:rFonts w:ascii="Times New Roman" w:hAnsi="Times New Roman" w:cs="Times New Roman"/>
                <w:b/>
                <w:bCs/>
                <w:sz w:val="20"/>
                <w:szCs w:val="20"/>
                <w:lang w:val="ka-GE"/>
              </w:rPr>
              <w:t>)</w:t>
            </w:r>
          </w:p>
        </w:tc>
        <w:tc>
          <w:tcPr>
            <w:tcW w:w="1318" w:type="dxa"/>
            <w:tcBorders>
              <w:top w:val="single" w:sz="8" w:space="0" w:color="231F20"/>
              <w:left w:val="nil"/>
              <w:bottom w:val="single" w:sz="8" w:space="0" w:color="231F20"/>
              <w:right w:val="single" w:sz="8" w:space="0" w:color="231F20"/>
            </w:tcBorders>
            <w:vAlign w:val="center"/>
            <w:hideMark/>
          </w:tcPr>
          <w:p w14:paraId="14C70E1E" w14:textId="77777777" w:rsidR="006B57E5" w:rsidRPr="00330B09" w:rsidRDefault="006B57E5" w:rsidP="005C3C52">
            <w:pPr>
              <w:spacing w:after="0"/>
              <w:jc w:val="both"/>
              <w:rPr>
                <w:rFonts w:ascii="Times New Roman" w:hAnsi="Times New Roman" w:cs="Times New Roman"/>
                <w:b/>
                <w:bCs/>
                <w:sz w:val="20"/>
                <w:szCs w:val="20"/>
                <w:lang w:val="ka-GE"/>
              </w:rPr>
            </w:pPr>
            <w:r w:rsidRPr="00330B09">
              <w:rPr>
                <w:rFonts w:ascii="Times New Roman" w:hAnsi="Times New Roman" w:cs="Times New Roman"/>
                <w:b/>
                <w:bCs/>
                <w:sz w:val="20"/>
                <w:szCs w:val="20"/>
                <w:lang w:val="ka-GE"/>
              </w:rPr>
              <w:t>t½ (</w:t>
            </w:r>
            <w:r w:rsidRPr="00330B09">
              <w:rPr>
                <w:rFonts w:cs="Times New Roman"/>
                <w:b/>
                <w:bCs/>
                <w:sz w:val="20"/>
                <w:szCs w:val="20"/>
                <w:lang w:val="ka-GE"/>
              </w:rPr>
              <w:t>სთ</w:t>
            </w:r>
            <w:r w:rsidRPr="00330B09">
              <w:rPr>
                <w:rFonts w:ascii="Times New Roman" w:hAnsi="Times New Roman" w:cs="Times New Roman"/>
                <w:b/>
                <w:bCs/>
                <w:sz w:val="20"/>
                <w:szCs w:val="20"/>
                <w:lang w:val="ka-GE"/>
              </w:rPr>
              <w:t>)</w:t>
            </w:r>
          </w:p>
        </w:tc>
      </w:tr>
      <w:tr w:rsidR="006B57E5" w:rsidRPr="00330B09" w14:paraId="44971BF4" w14:textId="77777777" w:rsidTr="005C3C52">
        <w:trPr>
          <w:trHeight w:val="84"/>
        </w:trPr>
        <w:tc>
          <w:tcPr>
            <w:tcW w:w="5524" w:type="dxa"/>
            <w:tcBorders>
              <w:top w:val="nil"/>
              <w:left w:val="single" w:sz="8" w:space="0" w:color="231F20"/>
              <w:bottom w:val="single" w:sz="8" w:space="0" w:color="231F20"/>
              <w:right w:val="single" w:sz="8" w:space="0" w:color="231F20"/>
            </w:tcBorders>
            <w:hideMark/>
          </w:tcPr>
          <w:p w14:paraId="344F8918" w14:textId="77777777" w:rsidR="006B57E5" w:rsidRPr="00330B09" w:rsidRDefault="006B57E5" w:rsidP="005C3C52">
            <w:pPr>
              <w:spacing w:after="0"/>
              <w:jc w:val="both"/>
              <w:rPr>
                <w:rFonts w:ascii="Times New Roman" w:hAnsi="Times New Roman" w:cs="Times New Roman"/>
                <w:sz w:val="20"/>
                <w:szCs w:val="20"/>
                <w:lang w:val="ka-GE"/>
              </w:rPr>
            </w:pPr>
            <w:r w:rsidRPr="00330B09">
              <w:rPr>
                <w:rFonts w:ascii="Times New Roman" w:hAnsi="Times New Roman" w:cs="Times New Roman"/>
                <w:sz w:val="20"/>
                <w:szCs w:val="20"/>
                <w:lang w:val="ka-GE"/>
              </w:rPr>
              <w:t> </w:t>
            </w:r>
          </w:p>
        </w:tc>
        <w:tc>
          <w:tcPr>
            <w:tcW w:w="992" w:type="dxa"/>
            <w:tcBorders>
              <w:top w:val="nil"/>
              <w:left w:val="nil"/>
              <w:bottom w:val="single" w:sz="8" w:space="0" w:color="231F20"/>
              <w:right w:val="single" w:sz="8" w:space="0" w:color="231F20"/>
            </w:tcBorders>
            <w:vAlign w:val="center"/>
            <w:hideMark/>
          </w:tcPr>
          <w:p w14:paraId="6A4B20DA" w14:textId="77777777" w:rsidR="006B57E5" w:rsidRPr="00330B09" w:rsidRDefault="006B57E5" w:rsidP="005C3C52">
            <w:pPr>
              <w:spacing w:after="0"/>
              <w:jc w:val="both"/>
              <w:rPr>
                <w:rFonts w:ascii="Times New Roman" w:hAnsi="Times New Roman" w:cs="Times New Roman"/>
                <w:sz w:val="20"/>
                <w:szCs w:val="20"/>
                <w:lang w:val="ka-GE"/>
              </w:rPr>
            </w:pPr>
            <w:r w:rsidRPr="00330B09">
              <w:rPr>
                <w:rFonts w:ascii="Times New Roman" w:hAnsi="Times New Roman" w:cs="Times New Roman"/>
                <w:sz w:val="20"/>
                <w:szCs w:val="20"/>
                <w:lang w:val="ka-GE"/>
              </w:rPr>
              <w:t> </w:t>
            </w:r>
          </w:p>
        </w:tc>
        <w:tc>
          <w:tcPr>
            <w:tcW w:w="2336" w:type="dxa"/>
            <w:gridSpan w:val="2"/>
            <w:tcBorders>
              <w:top w:val="nil"/>
              <w:left w:val="nil"/>
              <w:bottom w:val="single" w:sz="8" w:space="0" w:color="231F20"/>
              <w:right w:val="single" w:sz="8" w:space="0" w:color="231F20"/>
            </w:tcBorders>
            <w:vAlign w:val="center"/>
            <w:hideMark/>
          </w:tcPr>
          <w:p w14:paraId="5F3841CE" w14:textId="77777777" w:rsidR="006B57E5" w:rsidRPr="00330B09" w:rsidRDefault="006B57E5" w:rsidP="005C3C52">
            <w:pPr>
              <w:spacing w:after="0"/>
              <w:jc w:val="both"/>
              <w:rPr>
                <w:rFonts w:ascii="Times New Roman" w:hAnsi="Times New Roman" w:cs="Times New Roman"/>
                <w:b/>
                <w:bCs/>
                <w:sz w:val="20"/>
                <w:szCs w:val="20"/>
                <w:lang w:val="ka-GE"/>
              </w:rPr>
            </w:pPr>
            <w:r w:rsidRPr="00330B09">
              <w:rPr>
                <w:rFonts w:cs="Sylfaen"/>
                <w:b/>
                <w:bCs/>
                <w:sz w:val="20"/>
                <w:szCs w:val="20"/>
                <w:lang w:val="ka-GE"/>
              </w:rPr>
              <w:t>გეომეტრიული</w:t>
            </w:r>
            <w:r w:rsidRPr="00330B09">
              <w:rPr>
                <w:rFonts w:ascii="Times New Roman" w:hAnsi="Times New Roman" w:cs="Times New Roman"/>
                <w:b/>
                <w:bCs/>
                <w:sz w:val="20"/>
                <w:szCs w:val="20"/>
                <w:lang w:val="ka-GE"/>
              </w:rPr>
              <w:t xml:space="preserve"> </w:t>
            </w:r>
            <w:r w:rsidRPr="00330B09">
              <w:rPr>
                <w:rFonts w:cs="Sylfaen"/>
                <w:b/>
                <w:bCs/>
                <w:sz w:val="20"/>
                <w:szCs w:val="20"/>
                <w:lang w:val="ka-GE"/>
              </w:rPr>
              <w:t>საშუალო</w:t>
            </w:r>
          </w:p>
        </w:tc>
        <w:tc>
          <w:tcPr>
            <w:tcW w:w="1318" w:type="dxa"/>
            <w:tcBorders>
              <w:top w:val="nil"/>
              <w:left w:val="nil"/>
              <w:bottom w:val="single" w:sz="8" w:space="0" w:color="231F20"/>
              <w:right w:val="single" w:sz="8" w:space="0" w:color="231F20"/>
            </w:tcBorders>
            <w:vAlign w:val="center"/>
            <w:hideMark/>
          </w:tcPr>
          <w:p w14:paraId="0C416A49" w14:textId="77777777" w:rsidR="006B57E5" w:rsidRPr="00330B09" w:rsidRDefault="006B57E5" w:rsidP="005C3C52">
            <w:pPr>
              <w:spacing w:after="0"/>
              <w:jc w:val="both"/>
              <w:rPr>
                <w:rFonts w:ascii="Times New Roman" w:hAnsi="Times New Roman" w:cs="Times New Roman"/>
                <w:b/>
                <w:bCs/>
                <w:sz w:val="20"/>
                <w:szCs w:val="20"/>
                <w:lang w:val="ka-GE"/>
              </w:rPr>
            </w:pPr>
            <w:r w:rsidRPr="00330B09">
              <w:rPr>
                <w:rFonts w:cs="Sylfaen"/>
                <w:b/>
                <w:bCs/>
                <w:sz w:val="20"/>
                <w:szCs w:val="20"/>
                <w:lang w:val="ka-GE"/>
              </w:rPr>
              <w:t>საშუალო</w:t>
            </w:r>
          </w:p>
        </w:tc>
      </w:tr>
      <w:tr w:rsidR="006B57E5" w:rsidRPr="00330B09" w14:paraId="355FA9A8" w14:textId="77777777" w:rsidTr="005C3C52">
        <w:trPr>
          <w:trHeight w:val="161"/>
        </w:trPr>
        <w:tc>
          <w:tcPr>
            <w:tcW w:w="5524" w:type="dxa"/>
            <w:tcBorders>
              <w:top w:val="nil"/>
              <w:left w:val="single" w:sz="8" w:space="0" w:color="231F20"/>
              <w:bottom w:val="single" w:sz="8" w:space="0" w:color="231F20"/>
              <w:right w:val="single" w:sz="8" w:space="0" w:color="231F20"/>
            </w:tcBorders>
            <w:hideMark/>
          </w:tcPr>
          <w:p w14:paraId="74184AA3" w14:textId="77777777" w:rsidR="006B57E5" w:rsidRPr="00330B09" w:rsidRDefault="006B57E5" w:rsidP="005C3C52">
            <w:pPr>
              <w:spacing w:after="0"/>
              <w:jc w:val="both"/>
              <w:rPr>
                <w:rFonts w:ascii="Times New Roman" w:hAnsi="Times New Roman" w:cs="Times New Roman"/>
                <w:sz w:val="20"/>
                <w:szCs w:val="20"/>
                <w:lang w:val="ka-GE"/>
              </w:rPr>
            </w:pPr>
            <w:r w:rsidRPr="00330B09">
              <w:rPr>
                <w:rFonts w:cs="Sylfaen"/>
                <w:sz w:val="20"/>
                <w:szCs w:val="20"/>
                <w:lang w:val="ka-GE"/>
              </w:rPr>
              <w:t>პედიატრიული</w:t>
            </w:r>
            <w:r w:rsidRPr="00330B09">
              <w:rPr>
                <w:rFonts w:ascii="Times New Roman" w:hAnsi="Times New Roman" w:cs="Times New Roman"/>
                <w:sz w:val="20"/>
                <w:szCs w:val="20"/>
                <w:lang w:val="ka-GE"/>
              </w:rPr>
              <w:t xml:space="preserve"> </w:t>
            </w:r>
            <w:r w:rsidRPr="00330B09">
              <w:rPr>
                <w:rFonts w:cs="Sylfaen"/>
                <w:sz w:val="20"/>
                <w:szCs w:val="20"/>
                <w:lang w:val="ka-GE"/>
              </w:rPr>
              <w:t>ქირურგიული</w:t>
            </w:r>
            <w:r w:rsidRPr="00330B09">
              <w:rPr>
                <w:rFonts w:ascii="Times New Roman" w:hAnsi="Times New Roman" w:cs="Times New Roman"/>
                <w:sz w:val="20"/>
                <w:szCs w:val="20"/>
                <w:lang w:val="ka-GE"/>
              </w:rPr>
              <w:t xml:space="preserve"> </w:t>
            </w:r>
            <w:r w:rsidRPr="00330B09">
              <w:rPr>
                <w:rFonts w:cs="Sylfaen"/>
                <w:sz w:val="20"/>
                <w:szCs w:val="20"/>
                <w:lang w:val="ka-GE"/>
              </w:rPr>
              <w:t>პაციენტები</w:t>
            </w:r>
            <w:r w:rsidRPr="00330B09">
              <w:rPr>
                <w:rFonts w:ascii="Times New Roman" w:hAnsi="Times New Roman" w:cs="Times New Roman"/>
                <w:sz w:val="20"/>
                <w:szCs w:val="20"/>
                <w:lang w:val="ka-GE"/>
              </w:rPr>
              <w:t xml:space="preserve"> 3-</w:t>
            </w:r>
            <w:r w:rsidRPr="00330B09">
              <w:rPr>
                <w:rFonts w:cs="Sylfaen"/>
                <w:sz w:val="20"/>
                <w:szCs w:val="20"/>
                <w:lang w:val="ka-GE"/>
              </w:rPr>
              <w:t>დან</w:t>
            </w:r>
            <w:r w:rsidRPr="00330B09">
              <w:rPr>
                <w:rFonts w:ascii="Times New Roman" w:hAnsi="Times New Roman" w:cs="Times New Roman"/>
                <w:sz w:val="20"/>
                <w:szCs w:val="20"/>
                <w:lang w:val="ka-GE"/>
              </w:rPr>
              <w:t xml:space="preserve"> 12 </w:t>
            </w:r>
            <w:r w:rsidRPr="00330B09">
              <w:rPr>
                <w:rFonts w:cs="Sylfaen"/>
                <w:sz w:val="20"/>
                <w:szCs w:val="20"/>
                <w:lang w:val="ka-GE"/>
              </w:rPr>
              <w:t>წლამდე</w:t>
            </w:r>
          </w:p>
        </w:tc>
        <w:tc>
          <w:tcPr>
            <w:tcW w:w="992" w:type="dxa"/>
            <w:tcBorders>
              <w:top w:val="nil"/>
              <w:left w:val="nil"/>
              <w:bottom w:val="single" w:sz="8" w:space="0" w:color="231F20"/>
              <w:right w:val="single" w:sz="8" w:space="0" w:color="231F20"/>
            </w:tcBorders>
            <w:vAlign w:val="center"/>
            <w:hideMark/>
          </w:tcPr>
          <w:p w14:paraId="62F437BD" w14:textId="77777777" w:rsidR="006B57E5" w:rsidRPr="00330B09" w:rsidRDefault="006B57E5" w:rsidP="005C3C52">
            <w:pPr>
              <w:spacing w:after="0"/>
              <w:jc w:val="both"/>
              <w:rPr>
                <w:rFonts w:ascii="Times New Roman" w:hAnsi="Times New Roman" w:cs="Times New Roman"/>
                <w:sz w:val="20"/>
                <w:szCs w:val="20"/>
                <w:lang w:val="ka-GE"/>
              </w:rPr>
            </w:pPr>
            <w:r w:rsidRPr="00330B09">
              <w:rPr>
                <w:rFonts w:ascii="Times New Roman" w:hAnsi="Times New Roman" w:cs="Times New Roman"/>
                <w:sz w:val="20"/>
                <w:szCs w:val="20"/>
                <w:lang w:val="ka-GE"/>
              </w:rPr>
              <w:t>N = 21</w:t>
            </w:r>
          </w:p>
        </w:tc>
        <w:tc>
          <w:tcPr>
            <w:tcW w:w="1417" w:type="dxa"/>
            <w:tcBorders>
              <w:top w:val="nil"/>
              <w:left w:val="nil"/>
              <w:bottom w:val="single" w:sz="8" w:space="0" w:color="231F20"/>
              <w:right w:val="single" w:sz="8" w:space="0" w:color="231F20"/>
            </w:tcBorders>
            <w:vAlign w:val="center"/>
            <w:hideMark/>
          </w:tcPr>
          <w:p w14:paraId="4E0B367C" w14:textId="77777777" w:rsidR="006B57E5" w:rsidRPr="00330B09" w:rsidRDefault="006B57E5" w:rsidP="005C3C52">
            <w:pPr>
              <w:spacing w:after="0"/>
              <w:jc w:val="both"/>
              <w:rPr>
                <w:rFonts w:ascii="Times New Roman" w:hAnsi="Times New Roman" w:cs="Times New Roman"/>
                <w:sz w:val="20"/>
                <w:szCs w:val="20"/>
                <w:lang w:val="ka-GE"/>
              </w:rPr>
            </w:pPr>
            <w:r w:rsidRPr="00330B09">
              <w:rPr>
                <w:rFonts w:ascii="Times New Roman" w:hAnsi="Times New Roman" w:cs="Times New Roman"/>
                <w:sz w:val="20"/>
                <w:szCs w:val="20"/>
                <w:lang w:val="ka-GE"/>
              </w:rPr>
              <w:t>0.439</w:t>
            </w:r>
          </w:p>
        </w:tc>
        <w:tc>
          <w:tcPr>
            <w:tcW w:w="919" w:type="dxa"/>
            <w:tcBorders>
              <w:top w:val="nil"/>
              <w:left w:val="nil"/>
              <w:bottom w:val="single" w:sz="8" w:space="0" w:color="231F20"/>
              <w:right w:val="single" w:sz="8" w:space="0" w:color="231F20"/>
            </w:tcBorders>
            <w:vAlign w:val="center"/>
            <w:hideMark/>
          </w:tcPr>
          <w:p w14:paraId="1F36114F" w14:textId="77777777" w:rsidR="006B57E5" w:rsidRPr="00330B09" w:rsidRDefault="006B57E5" w:rsidP="005C3C52">
            <w:pPr>
              <w:spacing w:after="0"/>
              <w:jc w:val="both"/>
              <w:rPr>
                <w:rFonts w:ascii="Times New Roman" w:hAnsi="Times New Roman" w:cs="Times New Roman"/>
                <w:sz w:val="20"/>
                <w:szCs w:val="20"/>
                <w:lang w:val="ka-GE"/>
              </w:rPr>
            </w:pPr>
            <w:r w:rsidRPr="00330B09">
              <w:rPr>
                <w:rFonts w:ascii="Times New Roman" w:hAnsi="Times New Roman" w:cs="Times New Roman"/>
                <w:sz w:val="20"/>
                <w:szCs w:val="20"/>
                <w:lang w:val="ka-GE"/>
              </w:rPr>
              <w:t>1.65</w:t>
            </w:r>
          </w:p>
        </w:tc>
        <w:tc>
          <w:tcPr>
            <w:tcW w:w="1318" w:type="dxa"/>
            <w:tcBorders>
              <w:top w:val="nil"/>
              <w:left w:val="nil"/>
              <w:bottom w:val="single" w:sz="8" w:space="0" w:color="231F20"/>
              <w:right w:val="single" w:sz="8" w:space="0" w:color="231F20"/>
            </w:tcBorders>
            <w:vAlign w:val="center"/>
            <w:hideMark/>
          </w:tcPr>
          <w:p w14:paraId="7842CA81" w14:textId="77777777" w:rsidR="006B57E5" w:rsidRPr="00330B09" w:rsidRDefault="006B57E5" w:rsidP="005C3C52">
            <w:pPr>
              <w:spacing w:after="0"/>
              <w:jc w:val="both"/>
              <w:rPr>
                <w:rFonts w:ascii="Times New Roman" w:hAnsi="Times New Roman" w:cs="Times New Roman"/>
                <w:sz w:val="20"/>
                <w:szCs w:val="20"/>
                <w:lang w:val="ka-GE"/>
              </w:rPr>
            </w:pPr>
            <w:r w:rsidRPr="00330B09">
              <w:rPr>
                <w:rFonts w:ascii="Times New Roman" w:hAnsi="Times New Roman" w:cs="Times New Roman"/>
                <w:sz w:val="20"/>
                <w:szCs w:val="20"/>
                <w:lang w:val="ka-GE"/>
              </w:rPr>
              <w:t>2.9</w:t>
            </w:r>
          </w:p>
        </w:tc>
      </w:tr>
      <w:tr w:rsidR="006B57E5" w:rsidRPr="00330B09" w14:paraId="3F3C5D42" w14:textId="77777777" w:rsidTr="005C3C52">
        <w:trPr>
          <w:trHeight w:val="161"/>
        </w:trPr>
        <w:tc>
          <w:tcPr>
            <w:tcW w:w="5524" w:type="dxa"/>
            <w:tcBorders>
              <w:top w:val="nil"/>
              <w:left w:val="single" w:sz="8" w:space="0" w:color="231F20"/>
              <w:bottom w:val="single" w:sz="8" w:space="0" w:color="231F20"/>
              <w:right w:val="single" w:sz="8" w:space="0" w:color="231F20"/>
            </w:tcBorders>
            <w:hideMark/>
          </w:tcPr>
          <w:p w14:paraId="31FC5000" w14:textId="77777777" w:rsidR="006B57E5" w:rsidRPr="00330B09" w:rsidRDefault="006B57E5" w:rsidP="005C3C52">
            <w:pPr>
              <w:spacing w:after="0"/>
              <w:jc w:val="both"/>
              <w:rPr>
                <w:rFonts w:ascii="Times New Roman" w:hAnsi="Times New Roman" w:cs="Times New Roman"/>
                <w:sz w:val="20"/>
                <w:szCs w:val="20"/>
                <w:lang w:val="ka-GE"/>
              </w:rPr>
            </w:pPr>
            <w:r w:rsidRPr="00330B09">
              <w:rPr>
                <w:rFonts w:cs="Sylfaen"/>
                <w:sz w:val="20"/>
                <w:szCs w:val="20"/>
                <w:lang w:val="ka-GE"/>
              </w:rPr>
              <w:t>პედიატრიული</w:t>
            </w:r>
            <w:r w:rsidRPr="00330B09">
              <w:rPr>
                <w:rFonts w:ascii="Times New Roman" w:hAnsi="Times New Roman" w:cs="Times New Roman"/>
                <w:sz w:val="20"/>
                <w:szCs w:val="20"/>
                <w:lang w:val="ka-GE"/>
              </w:rPr>
              <w:t xml:space="preserve"> </w:t>
            </w:r>
            <w:r w:rsidRPr="00330B09">
              <w:rPr>
                <w:rFonts w:cs="Sylfaen"/>
                <w:sz w:val="20"/>
                <w:szCs w:val="20"/>
                <w:lang w:val="ka-GE"/>
              </w:rPr>
              <w:t>ქირურგიული</w:t>
            </w:r>
            <w:r w:rsidRPr="00330B09">
              <w:rPr>
                <w:rFonts w:ascii="Times New Roman" w:hAnsi="Times New Roman" w:cs="Times New Roman"/>
                <w:sz w:val="20"/>
                <w:szCs w:val="20"/>
                <w:lang w:val="ka-GE"/>
              </w:rPr>
              <w:t xml:space="preserve"> </w:t>
            </w:r>
            <w:r w:rsidRPr="00330B09">
              <w:rPr>
                <w:rFonts w:cs="Sylfaen"/>
                <w:sz w:val="20"/>
                <w:szCs w:val="20"/>
                <w:lang w:val="ka-GE"/>
              </w:rPr>
              <w:t>პაციენტები</w:t>
            </w:r>
            <w:r w:rsidRPr="00330B09">
              <w:rPr>
                <w:rFonts w:ascii="Times New Roman" w:hAnsi="Times New Roman" w:cs="Times New Roman"/>
                <w:sz w:val="20"/>
                <w:szCs w:val="20"/>
                <w:lang w:val="ka-GE"/>
              </w:rPr>
              <w:t xml:space="preserve"> 5-</w:t>
            </w:r>
            <w:r w:rsidRPr="00330B09">
              <w:rPr>
                <w:rFonts w:cs="Sylfaen"/>
                <w:sz w:val="20"/>
                <w:szCs w:val="20"/>
                <w:lang w:val="ka-GE"/>
              </w:rPr>
              <w:t>დან</w:t>
            </w:r>
            <w:r w:rsidRPr="00330B09">
              <w:rPr>
                <w:rFonts w:ascii="Times New Roman" w:hAnsi="Times New Roman" w:cs="Times New Roman"/>
                <w:sz w:val="20"/>
                <w:szCs w:val="20"/>
                <w:lang w:val="ka-GE"/>
              </w:rPr>
              <w:t xml:space="preserve"> 24 </w:t>
            </w:r>
            <w:r w:rsidRPr="00330B09">
              <w:rPr>
                <w:rFonts w:cs="Sylfaen"/>
                <w:sz w:val="20"/>
                <w:szCs w:val="20"/>
                <w:lang w:val="ka-GE"/>
              </w:rPr>
              <w:t>თვემდე</w:t>
            </w:r>
          </w:p>
        </w:tc>
        <w:tc>
          <w:tcPr>
            <w:tcW w:w="992" w:type="dxa"/>
            <w:tcBorders>
              <w:top w:val="nil"/>
              <w:left w:val="nil"/>
              <w:bottom w:val="single" w:sz="8" w:space="0" w:color="231F20"/>
              <w:right w:val="single" w:sz="8" w:space="0" w:color="231F20"/>
            </w:tcBorders>
            <w:vAlign w:val="center"/>
            <w:hideMark/>
          </w:tcPr>
          <w:p w14:paraId="3795CBCB" w14:textId="77777777" w:rsidR="006B57E5" w:rsidRPr="00330B09" w:rsidRDefault="006B57E5" w:rsidP="005C3C52">
            <w:pPr>
              <w:spacing w:after="0"/>
              <w:jc w:val="both"/>
              <w:rPr>
                <w:rFonts w:ascii="Times New Roman" w:hAnsi="Times New Roman" w:cs="Times New Roman"/>
                <w:sz w:val="20"/>
                <w:szCs w:val="20"/>
                <w:lang w:val="ka-GE"/>
              </w:rPr>
            </w:pPr>
            <w:r w:rsidRPr="00330B09">
              <w:rPr>
                <w:rFonts w:ascii="Times New Roman" w:hAnsi="Times New Roman" w:cs="Times New Roman"/>
                <w:sz w:val="20"/>
                <w:szCs w:val="20"/>
                <w:lang w:val="ka-GE"/>
              </w:rPr>
              <w:t>N = 22</w:t>
            </w:r>
          </w:p>
        </w:tc>
        <w:tc>
          <w:tcPr>
            <w:tcW w:w="1417" w:type="dxa"/>
            <w:tcBorders>
              <w:top w:val="nil"/>
              <w:left w:val="nil"/>
              <w:bottom w:val="single" w:sz="8" w:space="0" w:color="231F20"/>
              <w:right w:val="single" w:sz="8" w:space="0" w:color="231F20"/>
            </w:tcBorders>
            <w:vAlign w:val="center"/>
            <w:hideMark/>
          </w:tcPr>
          <w:p w14:paraId="08B802A4" w14:textId="77777777" w:rsidR="006B57E5" w:rsidRPr="00330B09" w:rsidRDefault="006B57E5" w:rsidP="005C3C52">
            <w:pPr>
              <w:spacing w:after="0"/>
              <w:jc w:val="both"/>
              <w:rPr>
                <w:rFonts w:ascii="Times New Roman" w:hAnsi="Times New Roman" w:cs="Times New Roman"/>
                <w:sz w:val="20"/>
                <w:szCs w:val="20"/>
                <w:lang w:val="ka-GE"/>
              </w:rPr>
            </w:pPr>
            <w:r w:rsidRPr="00330B09">
              <w:rPr>
                <w:rFonts w:ascii="Times New Roman" w:hAnsi="Times New Roman" w:cs="Times New Roman"/>
                <w:sz w:val="20"/>
                <w:szCs w:val="20"/>
                <w:lang w:val="ka-GE"/>
              </w:rPr>
              <w:t>0.581</w:t>
            </w:r>
          </w:p>
        </w:tc>
        <w:tc>
          <w:tcPr>
            <w:tcW w:w="919" w:type="dxa"/>
            <w:tcBorders>
              <w:top w:val="nil"/>
              <w:left w:val="nil"/>
              <w:bottom w:val="single" w:sz="8" w:space="0" w:color="231F20"/>
              <w:right w:val="single" w:sz="8" w:space="0" w:color="231F20"/>
            </w:tcBorders>
            <w:vAlign w:val="center"/>
            <w:hideMark/>
          </w:tcPr>
          <w:p w14:paraId="164A0388" w14:textId="77777777" w:rsidR="006B57E5" w:rsidRPr="00330B09" w:rsidRDefault="006B57E5" w:rsidP="005C3C52">
            <w:pPr>
              <w:spacing w:after="0"/>
              <w:jc w:val="both"/>
              <w:rPr>
                <w:rFonts w:ascii="Times New Roman" w:hAnsi="Times New Roman" w:cs="Times New Roman"/>
                <w:sz w:val="20"/>
                <w:szCs w:val="20"/>
                <w:lang w:val="ka-GE"/>
              </w:rPr>
            </w:pPr>
            <w:r w:rsidRPr="00330B09">
              <w:rPr>
                <w:rFonts w:ascii="Times New Roman" w:hAnsi="Times New Roman" w:cs="Times New Roman"/>
                <w:sz w:val="20"/>
                <w:szCs w:val="20"/>
                <w:lang w:val="ka-GE"/>
              </w:rPr>
              <w:t>2.3</w:t>
            </w:r>
          </w:p>
        </w:tc>
        <w:tc>
          <w:tcPr>
            <w:tcW w:w="1318" w:type="dxa"/>
            <w:tcBorders>
              <w:top w:val="nil"/>
              <w:left w:val="nil"/>
              <w:bottom w:val="single" w:sz="8" w:space="0" w:color="231F20"/>
              <w:right w:val="single" w:sz="8" w:space="0" w:color="231F20"/>
            </w:tcBorders>
            <w:vAlign w:val="center"/>
            <w:hideMark/>
          </w:tcPr>
          <w:p w14:paraId="3076237E" w14:textId="77777777" w:rsidR="006B57E5" w:rsidRPr="00330B09" w:rsidRDefault="006B57E5" w:rsidP="005C3C52">
            <w:pPr>
              <w:spacing w:after="0"/>
              <w:jc w:val="both"/>
              <w:rPr>
                <w:rFonts w:ascii="Times New Roman" w:hAnsi="Times New Roman" w:cs="Times New Roman"/>
                <w:sz w:val="20"/>
                <w:szCs w:val="20"/>
                <w:lang w:val="ka-GE"/>
              </w:rPr>
            </w:pPr>
            <w:r w:rsidRPr="00330B09">
              <w:rPr>
                <w:rFonts w:ascii="Times New Roman" w:hAnsi="Times New Roman" w:cs="Times New Roman"/>
                <w:sz w:val="20"/>
                <w:szCs w:val="20"/>
                <w:lang w:val="ka-GE"/>
              </w:rPr>
              <w:t>2.9</w:t>
            </w:r>
          </w:p>
        </w:tc>
      </w:tr>
      <w:tr w:rsidR="006B57E5" w:rsidRPr="00330B09" w14:paraId="059A2753" w14:textId="77777777" w:rsidTr="005C3C52">
        <w:trPr>
          <w:trHeight w:val="161"/>
        </w:trPr>
        <w:tc>
          <w:tcPr>
            <w:tcW w:w="5524" w:type="dxa"/>
            <w:tcBorders>
              <w:top w:val="nil"/>
              <w:left w:val="single" w:sz="8" w:space="0" w:color="231F20"/>
              <w:bottom w:val="single" w:sz="8" w:space="0" w:color="231F20"/>
              <w:right w:val="single" w:sz="8" w:space="0" w:color="231F20"/>
            </w:tcBorders>
            <w:hideMark/>
          </w:tcPr>
          <w:p w14:paraId="09D28792" w14:textId="77777777" w:rsidR="006B57E5" w:rsidRPr="00330B09" w:rsidRDefault="006B57E5" w:rsidP="005C3C52">
            <w:pPr>
              <w:spacing w:after="0"/>
              <w:jc w:val="both"/>
              <w:rPr>
                <w:rFonts w:ascii="Times New Roman" w:hAnsi="Times New Roman" w:cs="Times New Roman"/>
                <w:sz w:val="20"/>
                <w:szCs w:val="20"/>
                <w:lang w:val="ka-GE"/>
              </w:rPr>
            </w:pPr>
            <w:r w:rsidRPr="00330B09">
              <w:rPr>
                <w:rFonts w:cs="Sylfaen"/>
                <w:sz w:val="20"/>
                <w:szCs w:val="20"/>
                <w:lang w:val="ka-GE"/>
              </w:rPr>
              <w:t>პედიატრიული</w:t>
            </w:r>
            <w:r w:rsidRPr="00330B09">
              <w:rPr>
                <w:rFonts w:ascii="Times New Roman" w:hAnsi="Times New Roman" w:cs="Times New Roman"/>
                <w:sz w:val="20"/>
                <w:szCs w:val="20"/>
                <w:lang w:val="ka-GE"/>
              </w:rPr>
              <w:t xml:space="preserve"> </w:t>
            </w:r>
            <w:r w:rsidRPr="00330B09">
              <w:rPr>
                <w:rFonts w:cs="Sylfaen"/>
                <w:sz w:val="20"/>
                <w:szCs w:val="20"/>
                <w:lang w:val="ka-GE"/>
              </w:rPr>
              <w:t>ქირურგიული</w:t>
            </w:r>
            <w:r w:rsidRPr="00330B09">
              <w:rPr>
                <w:rFonts w:ascii="Times New Roman" w:hAnsi="Times New Roman" w:cs="Times New Roman"/>
                <w:sz w:val="20"/>
                <w:szCs w:val="20"/>
                <w:lang w:val="ka-GE"/>
              </w:rPr>
              <w:t xml:space="preserve"> </w:t>
            </w:r>
            <w:r w:rsidRPr="00330B09">
              <w:rPr>
                <w:rFonts w:cs="Sylfaen"/>
                <w:sz w:val="20"/>
                <w:szCs w:val="20"/>
                <w:lang w:val="ka-GE"/>
              </w:rPr>
              <w:t>პაციენტები</w:t>
            </w:r>
            <w:r w:rsidRPr="00330B09">
              <w:rPr>
                <w:rFonts w:ascii="Times New Roman" w:hAnsi="Times New Roman" w:cs="Times New Roman"/>
                <w:sz w:val="20"/>
                <w:szCs w:val="20"/>
                <w:lang w:val="ka-GE"/>
              </w:rPr>
              <w:t xml:space="preserve"> 1 </w:t>
            </w:r>
            <w:r w:rsidRPr="00330B09">
              <w:rPr>
                <w:rFonts w:cs="Sylfaen"/>
                <w:sz w:val="20"/>
                <w:szCs w:val="20"/>
                <w:lang w:val="ka-GE"/>
              </w:rPr>
              <w:t>თვიდან</w:t>
            </w:r>
            <w:r w:rsidRPr="00330B09">
              <w:rPr>
                <w:rFonts w:ascii="Times New Roman" w:hAnsi="Times New Roman" w:cs="Times New Roman"/>
                <w:sz w:val="20"/>
                <w:szCs w:val="20"/>
                <w:lang w:val="ka-GE"/>
              </w:rPr>
              <w:t xml:space="preserve"> 4 </w:t>
            </w:r>
            <w:r w:rsidRPr="00330B09">
              <w:rPr>
                <w:rFonts w:cs="Sylfaen"/>
                <w:sz w:val="20"/>
                <w:szCs w:val="20"/>
                <w:lang w:val="ka-GE"/>
              </w:rPr>
              <w:t>თვემდე</w:t>
            </w:r>
          </w:p>
        </w:tc>
        <w:tc>
          <w:tcPr>
            <w:tcW w:w="992" w:type="dxa"/>
            <w:tcBorders>
              <w:top w:val="nil"/>
              <w:left w:val="nil"/>
              <w:bottom w:val="single" w:sz="8" w:space="0" w:color="231F20"/>
              <w:right w:val="single" w:sz="8" w:space="0" w:color="231F20"/>
            </w:tcBorders>
            <w:vAlign w:val="center"/>
            <w:hideMark/>
          </w:tcPr>
          <w:p w14:paraId="6CA7904D" w14:textId="77777777" w:rsidR="006B57E5" w:rsidRPr="00330B09" w:rsidRDefault="006B57E5" w:rsidP="005C3C52">
            <w:pPr>
              <w:spacing w:after="0"/>
              <w:jc w:val="both"/>
              <w:rPr>
                <w:rFonts w:ascii="Times New Roman" w:hAnsi="Times New Roman" w:cs="Times New Roman"/>
                <w:sz w:val="20"/>
                <w:szCs w:val="20"/>
                <w:lang w:val="ka-GE"/>
              </w:rPr>
            </w:pPr>
            <w:r w:rsidRPr="00330B09">
              <w:rPr>
                <w:rFonts w:ascii="Times New Roman" w:hAnsi="Times New Roman" w:cs="Times New Roman"/>
                <w:sz w:val="20"/>
                <w:szCs w:val="20"/>
                <w:lang w:val="ka-GE"/>
              </w:rPr>
              <w:t>N = 19</w:t>
            </w:r>
          </w:p>
        </w:tc>
        <w:tc>
          <w:tcPr>
            <w:tcW w:w="1417" w:type="dxa"/>
            <w:tcBorders>
              <w:top w:val="nil"/>
              <w:left w:val="nil"/>
              <w:bottom w:val="single" w:sz="8" w:space="0" w:color="231F20"/>
              <w:right w:val="single" w:sz="8" w:space="0" w:color="231F20"/>
            </w:tcBorders>
            <w:vAlign w:val="center"/>
            <w:hideMark/>
          </w:tcPr>
          <w:p w14:paraId="7357D6E0" w14:textId="77777777" w:rsidR="006B57E5" w:rsidRPr="00330B09" w:rsidRDefault="006B57E5" w:rsidP="005C3C52">
            <w:pPr>
              <w:spacing w:after="0"/>
              <w:jc w:val="both"/>
              <w:rPr>
                <w:rFonts w:ascii="Times New Roman" w:hAnsi="Times New Roman" w:cs="Times New Roman"/>
                <w:sz w:val="20"/>
                <w:szCs w:val="20"/>
                <w:lang w:val="ka-GE"/>
              </w:rPr>
            </w:pPr>
            <w:r w:rsidRPr="00330B09">
              <w:rPr>
                <w:rFonts w:ascii="Times New Roman" w:hAnsi="Times New Roman" w:cs="Times New Roman"/>
                <w:sz w:val="20"/>
                <w:szCs w:val="20"/>
                <w:lang w:val="ka-GE"/>
              </w:rPr>
              <w:t>0.401</w:t>
            </w:r>
          </w:p>
        </w:tc>
        <w:tc>
          <w:tcPr>
            <w:tcW w:w="919" w:type="dxa"/>
            <w:tcBorders>
              <w:top w:val="nil"/>
              <w:left w:val="nil"/>
              <w:bottom w:val="single" w:sz="8" w:space="0" w:color="231F20"/>
              <w:right w:val="single" w:sz="8" w:space="0" w:color="231F20"/>
            </w:tcBorders>
            <w:vAlign w:val="center"/>
            <w:hideMark/>
          </w:tcPr>
          <w:p w14:paraId="0BDB47CA" w14:textId="77777777" w:rsidR="006B57E5" w:rsidRPr="00330B09" w:rsidRDefault="006B57E5" w:rsidP="005C3C52">
            <w:pPr>
              <w:spacing w:after="0"/>
              <w:jc w:val="both"/>
              <w:rPr>
                <w:rFonts w:ascii="Times New Roman" w:hAnsi="Times New Roman" w:cs="Times New Roman"/>
                <w:sz w:val="20"/>
                <w:szCs w:val="20"/>
                <w:lang w:val="ka-GE"/>
              </w:rPr>
            </w:pPr>
            <w:r w:rsidRPr="00330B09">
              <w:rPr>
                <w:rFonts w:ascii="Times New Roman" w:hAnsi="Times New Roman" w:cs="Times New Roman"/>
                <w:sz w:val="20"/>
                <w:szCs w:val="20"/>
                <w:lang w:val="ka-GE"/>
              </w:rPr>
              <w:t>3.5</w:t>
            </w:r>
          </w:p>
        </w:tc>
        <w:tc>
          <w:tcPr>
            <w:tcW w:w="1318" w:type="dxa"/>
            <w:tcBorders>
              <w:top w:val="nil"/>
              <w:left w:val="nil"/>
              <w:bottom w:val="single" w:sz="8" w:space="0" w:color="231F20"/>
              <w:right w:val="single" w:sz="8" w:space="0" w:color="231F20"/>
            </w:tcBorders>
            <w:vAlign w:val="center"/>
            <w:hideMark/>
          </w:tcPr>
          <w:p w14:paraId="765DBFF6" w14:textId="77777777" w:rsidR="006B57E5" w:rsidRPr="00330B09" w:rsidRDefault="006B57E5" w:rsidP="005C3C52">
            <w:pPr>
              <w:spacing w:after="0"/>
              <w:jc w:val="both"/>
              <w:rPr>
                <w:rFonts w:ascii="Times New Roman" w:hAnsi="Times New Roman" w:cs="Times New Roman"/>
                <w:sz w:val="20"/>
                <w:szCs w:val="20"/>
                <w:lang w:val="ka-GE"/>
              </w:rPr>
            </w:pPr>
            <w:r w:rsidRPr="00330B09">
              <w:rPr>
                <w:rFonts w:ascii="Times New Roman" w:hAnsi="Times New Roman" w:cs="Times New Roman"/>
                <w:sz w:val="20"/>
                <w:szCs w:val="20"/>
                <w:lang w:val="ka-GE"/>
              </w:rPr>
              <w:t>6.7</w:t>
            </w:r>
          </w:p>
        </w:tc>
      </w:tr>
    </w:tbl>
    <w:p w14:paraId="05E33E73" w14:textId="77777777" w:rsidR="006B57E5" w:rsidRPr="00330B09" w:rsidRDefault="006B57E5" w:rsidP="006B57E5">
      <w:pPr>
        <w:spacing w:after="0" w:line="240" w:lineRule="auto"/>
        <w:jc w:val="both"/>
        <w:rPr>
          <w:lang w:val="ka-GE"/>
        </w:rPr>
      </w:pPr>
    </w:p>
    <w:p w14:paraId="79DF6417" w14:textId="77777777" w:rsidR="006B57E5" w:rsidRPr="00330B09" w:rsidRDefault="006B57E5" w:rsidP="006B57E5">
      <w:pPr>
        <w:spacing w:after="0" w:line="240" w:lineRule="auto"/>
        <w:jc w:val="both"/>
        <w:rPr>
          <w:lang w:val="ka-GE"/>
        </w:rPr>
      </w:pPr>
      <w:r w:rsidRPr="00330B09">
        <w:rPr>
          <w:lang w:val="ka-GE"/>
        </w:rPr>
        <w:t xml:space="preserve">ზოგადად, 18 წლამდე ასაკის ქირურგიული და </w:t>
      </w:r>
      <w:r>
        <w:rPr>
          <w:lang w:val="ka-GE"/>
        </w:rPr>
        <w:t>სიმსივნით</w:t>
      </w:r>
      <w:r w:rsidRPr="00330B09">
        <w:rPr>
          <w:lang w:val="ka-GE"/>
        </w:rPr>
        <w:t xml:space="preserve"> დაავადებულ პედიატრიულ პაციენტებს, როგორც წესი, უფრო მაღალი ონდანსეტრონის კლირენსი აქვთ მოზრდილებთან შედარებით, რაც იწვევს ნახევარგამოყოფის უფრო მოკლე პერიოდს პედიატრიული პაციენტების უმეტესობაში. 1 თვიდან 4 თვემდე ასაკის პაციენტებში, ამ ასაკობრივ ჯგუფში განაწილების უფრო მაღალი მოცულობის გამო, ნახევარგამოყოფის უფრო ხანგრძლივი პერიოდი დაფიქსირდა.</w:t>
      </w:r>
    </w:p>
    <w:p w14:paraId="0A0FCDE8" w14:textId="77777777" w:rsidR="006B57E5" w:rsidRPr="00330B09" w:rsidRDefault="006B57E5" w:rsidP="006B57E5">
      <w:pPr>
        <w:spacing w:after="0" w:line="240" w:lineRule="auto"/>
        <w:jc w:val="both"/>
        <w:rPr>
          <w:lang w:val="ka-GE"/>
        </w:rPr>
      </w:pPr>
      <w:r w:rsidRPr="00330B09">
        <w:rPr>
          <w:lang w:val="ka-GE"/>
        </w:rPr>
        <w:t>ოცდაერთი პედიატრიული კიბოთი დაავადებული პაციენტის (4-დან 18 წლამდე ასაკის) კვლევაში, რომლებმაც მიიღეს ონდანსეტრონის 0.15 მგ/კგ სამი ინტრავენური დოზა 4-საათიანი ინტერვალებით, 15 წელზე უფროსი ასაკის პაციენტებში გამოვლინდა ონდანსეტრონის ფარმაკოკინეტიკური პარამეტრები ზრდასრულების მსგავსი.</w:t>
      </w:r>
    </w:p>
    <w:p w14:paraId="1B5AE106" w14:textId="77777777" w:rsidR="006B57E5" w:rsidRPr="00330B09" w:rsidRDefault="006B57E5" w:rsidP="006B57E5">
      <w:pPr>
        <w:spacing w:after="0" w:line="240" w:lineRule="auto"/>
        <w:jc w:val="both"/>
        <w:rPr>
          <w:lang w:val="ka-GE"/>
        </w:rPr>
      </w:pPr>
      <w:r w:rsidRPr="00330B09">
        <w:rPr>
          <w:u w:val="single"/>
          <w:lang w:val="ka-GE"/>
        </w:rPr>
        <w:t>გერიატრიული პაციენტები:</w:t>
      </w:r>
      <w:r w:rsidRPr="00330B09">
        <w:rPr>
          <w:lang w:val="ka-GE"/>
        </w:rPr>
        <w:t xml:space="preserve"> 75 წელზე უფროსი ასაკის პაციენტებში აღინიშნება კლირენსის შემცირება და ნახევარგამოყოფის პერიოდის გაზრდა.</w:t>
      </w:r>
    </w:p>
    <w:p w14:paraId="5DB6B983" w14:textId="77777777" w:rsidR="00275D25" w:rsidRDefault="00275D25" w:rsidP="00E37241">
      <w:pPr>
        <w:spacing w:after="0" w:line="240" w:lineRule="auto"/>
        <w:jc w:val="both"/>
      </w:pPr>
    </w:p>
    <w:p w14:paraId="45F7AFAE" w14:textId="77777777" w:rsidR="00275D25" w:rsidRPr="00275D25" w:rsidRDefault="00275D25" w:rsidP="00275D25">
      <w:pPr>
        <w:spacing w:after="0" w:line="240" w:lineRule="auto"/>
        <w:jc w:val="both"/>
        <w:rPr>
          <w:b/>
          <w:bCs/>
        </w:rPr>
      </w:pPr>
      <w:r>
        <w:rPr>
          <w:b/>
          <w:bCs/>
        </w:rPr>
        <w:t xml:space="preserve">5.3 </w:t>
      </w:r>
      <w:r w:rsidRPr="00275D25">
        <w:rPr>
          <w:b/>
          <w:bCs/>
        </w:rPr>
        <w:t>პრეკლინიკური უსაფრთხოების მონაცემები</w:t>
      </w:r>
    </w:p>
    <w:p w14:paraId="4A1B7EED" w14:textId="77777777" w:rsidR="00275D25" w:rsidRPr="00275D25" w:rsidRDefault="00275D25" w:rsidP="00275D25">
      <w:pPr>
        <w:spacing w:after="0" w:line="240" w:lineRule="auto"/>
        <w:jc w:val="both"/>
        <w:rPr>
          <w:lang w:val="ka-GE"/>
        </w:rPr>
      </w:pPr>
      <w:r>
        <w:rPr>
          <w:lang w:val="ka-GE"/>
        </w:rPr>
        <w:t>არ აღინიშნება</w:t>
      </w:r>
    </w:p>
    <w:p w14:paraId="1BE12656" w14:textId="77777777" w:rsidR="00275D25" w:rsidRPr="00275D25" w:rsidRDefault="00275D25" w:rsidP="00275D25">
      <w:pPr>
        <w:spacing w:after="0" w:line="240" w:lineRule="auto"/>
        <w:jc w:val="both"/>
        <w:rPr>
          <w:b/>
          <w:bCs/>
        </w:rPr>
      </w:pPr>
    </w:p>
    <w:p w14:paraId="27887BB9" w14:textId="77777777" w:rsidR="00275D25" w:rsidRPr="00275D25" w:rsidRDefault="001D15D8" w:rsidP="00275D25">
      <w:pPr>
        <w:spacing w:after="0" w:line="240" w:lineRule="auto"/>
        <w:jc w:val="both"/>
        <w:rPr>
          <w:b/>
          <w:bCs/>
        </w:rPr>
      </w:pPr>
      <w:r>
        <w:rPr>
          <w:b/>
          <w:bCs/>
        </w:rPr>
        <w:t xml:space="preserve">6. </w:t>
      </w:r>
      <w:r w:rsidR="00275D25" w:rsidRPr="00275D25">
        <w:rPr>
          <w:b/>
          <w:bCs/>
        </w:rPr>
        <w:t xml:space="preserve">ფარმაცევტული </w:t>
      </w:r>
      <w:r w:rsidR="00B62F43">
        <w:rPr>
          <w:b/>
          <w:bCs/>
        </w:rPr>
        <w:t>მონაცემები</w:t>
      </w:r>
    </w:p>
    <w:p w14:paraId="39FF30D0" w14:textId="77777777" w:rsidR="00275D25" w:rsidRPr="00275D25" w:rsidRDefault="001D15D8" w:rsidP="00275D25">
      <w:pPr>
        <w:spacing w:after="0" w:line="240" w:lineRule="auto"/>
        <w:jc w:val="both"/>
        <w:rPr>
          <w:b/>
          <w:bCs/>
        </w:rPr>
      </w:pPr>
      <w:r>
        <w:rPr>
          <w:b/>
          <w:bCs/>
        </w:rPr>
        <w:t xml:space="preserve">6.1 </w:t>
      </w:r>
      <w:r w:rsidR="00991096">
        <w:rPr>
          <w:b/>
          <w:bCs/>
        </w:rPr>
        <w:t>დამხმარე ნივთიერებების ჩამონათვალი</w:t>
      </w:r>
    </w:p>
    <w:p w14:paraId="0E0075C8" w14:textId="77777777" w:rsidR="00275D25" w:rsidRDefault="00275D25" w:rsidP="00275D25">
      <w:pPr>
        <w:spacing w:after="0" w:line="240" w:lineRule="auto"/>
        <w:jc w:val="both"/>
      </w:pPr>
      <w:r w:rsidRPr="00E66148">
        <w:t>ნატრიუმის ქლორიდი, ლიმონმჟავას მონოჰიდრატი, ნატრიუმის ციტრატი, ნატრიუმის ჰიდროქსიდი,</w:t>
      </w:r>
      <w:r w:rsidR="002349E2">
        <w:t xml:space="preserve"> </w:t>
      </w:r>
      <w:r w:rsidRPr="00E66148">
        <w:t>საინექციო წყალი.</w:t>
      </w:r>
    </w:p>
    <w:p w14:paraId="42B32171" w14:textId="77777777" w:rsidR="00DC56DF" w:rsidRDefault="00DC56DF" w:rsidP="00275D25">
      <w:pPr>
        <w:spacing w:after="0" w:line="240" w:lineRule="auto"/>
        <w:jc w:val="both"/>
      </w:pPr>
    </w:p>
    <w:p w14:paraId="6D16D732" w14:textId="77777777" w:rsidR="00E37241" w:rsidRDefault="00DC56DF" w:rsidP="00E37241">
      <w:pPr>
        <w:spacing w:after="0" w:line="240" w:lineRule="auto"/>
        <w:jc w:val="both"/>
        <w:rPr>
          <w:b/>
          <w:bCs/>
          <w:lang w:val="ka-GE"/>
        </w:rPr>
      </w:pPr>
      <w:r>
        <w:rPr>
          <w:b/>
          <w:bCs/>
        </w:rPr>
        <w:t xml:space="preserve">6.2 </w:t>
      </w:r>
      <w:r>
        <w:rPr>
          <w:b/>
          <w:bCs/>
          <w:lang w:val="ka-GE"/>
        </w:rPr>
        <w:t>შეუთავსებლობა</w:t>
      </w:r>
    </w:p>
    <w:p w14:paraId="204A8FA1" w14:textId="77777777" w:rsidR="00DC56DF" w:rsidRDefault="00DC56DF" w:rsidP="00E37241">
      <w:pPr>
        <w:spacing w:after="0" w:line="240" w:lineRule="auto"/>
        <w:jc w:val="both"/>
        <w:rPr>
          <w:lang w:val="ka-GE"/>
        </w:rPr>
      </w:pPr>
      <w:r>
        <w:rPr>
          <w:lang w:val="ka-GE"/>
        </w:rPr>
        <w:t>არ აღინიშნება</w:t>
      </w:r>
    </w:p>
    <w:p w14:paraId="6774CDB5" w14:textId="77777777" w:rsidR="00DC56DF" w:rsidRDefault="00DC56DF" w:rsidP="00E37241">
      <w:pPr>
        <w:spacing w:after="0" w:line="240" w:lineRule="auto"/>
        <w:jc w:val="both"/>
        <w:rPr>
          <w:lang w:val="ka-GE"/>
        </w:rPr>
      </w:pPr>
    </w:p>
    <w:p w14:paraId="070477C4" w14:textId="77777777" w:rsidR="00962602" w:rsidRPr="00962602" w:rsidRDefault="00962602" w:rsidP="00962602">
      <w:pPr>
        <w:spacing w:after="0" w:line="240" w:lineRule="auto"/>
        <w:jc w:val="both"/>
        <w:rPr>
          <w:b/>
          <w:bCs/>
          <w:lang w:val="ka-GE"/>
        </w:rPr>
      </w:pPr>
      <w:r>
        <w:rPr>
          <w:b/>
          <w:bCs/>
          <w:lang w:val="ka-GE"/>
        </w:rPr>
        <w:t xml:space="preserve">6.3 </w:t>
      </w:r>
      <w:r w:rsidRPr="00962602">
        <w:rPr>
          <w:b/>
          <w:bCs/>
          <w:lang w:val="ka-GE"/>
        </w:rPr>
        <w:t>ვარგისიანობის ვადა</w:t>
      </w:r>
    </w:p>
    <w:p w14:paraId="517359F7" w14:textId="77777777" w:rsidR="00962602" w:rsidRPr="000D07CA" w:rsidRDefault="00962602" w:rsidP="00962602">
      <w:pPr>
        <w:spacing w:after="0" w:line="240" w:lineRule="auto"/>
        <w:jc w:val="both"/>
        <w:rPr>
          <w:lang w:val="ka-GE"/>
        </w:rPr>
      </w:pPr>
      <w:r w:rsidRPr="000D07CA">
        <w:rPr>
          <w:lang w:val="ka-GE"/>
        </w:rPr>
        <w:t>36 თვე</w:t>
      </w:r>
    </w:p>
    <w:p w14:paraId="514F48AC" w14:textId="77777777" w:rsidR="00962602" w:rsidRPr="00962602" w:rsidRDefault="00962602" w:rsidP="00962602">
      <w:pPr>
        <w:spacing w:after="0" w:line="240" w:lineRule="auto"/>
        <w:jc w:val="both"/>
        <w:rPr>
          <w:b/>
          <w:bCs/>
          <w:lang w:val="ka-GE"/>
        </w:rPr>
      </w:pPr>
    </w:p>
    <w:p w14:paraId="69A3D68F" w14:textId="77777777" w:rsidR="00962602" w:rsidRPr="00962602" w:rsidRDefault="00ED70A0" w:rsidP="00962602">
      <w:pPr>
        <w:spacing w:after="0" w:line="240" w:lineRule="auto"/>
        <w:jc w:val="both"/>
        <w:rPr>
          <w:b/>
          <w:bCs/>
          <w:lang w:val="ka-GE"/>
        </w:rPr>
      </w:pPr>
      <w:r>
        <w:rPr>
          <w:b/>
          <w:bCs/>
          <w:lang w:val="ka-GE"/>
        </w:rPr>
        <w:t xml:space="preserve">6.4 </w:t>
      </w:r>
      <w:r w:rsidR="00962602" w:rsidRPr="00962602">
        <w:rPr>
          <w:b/>
          <w:bCs/>
          <w:lang w:val="ka-GE"/>
        </w:rPr>
        <w:t xml:space="preserve">შენახვის სპეციალური </w:t>
      </w:r>
      <w:r>
        <w:rPr>
          <w:b/>
          <w:bCs/>
          <w:lang w:val="ka-GE"/>
        </w:rPr>
        <w:t>პირობები</w:t>
      </w:r>
    </w:p>
    <w:p w14:paraId="4D6B1140" w14:textId="77777777" w:rsidR="00962602" w:rsidRPr="006B57E5" w:rsidRDefault="00962602" w:rsidP="00962602">
      <w:pPr>
        <w:spacing w:after="0" w:line="240" w:lineRule="auto"/>
        <w:jc w:val="both"/>
        <w:rPr>
          <w:lang w:val="ka-GE"/>
        </w:rPr>
      </w:pPr>
      <w:r w:rsidRPr="006B57E5">
        <w:rPr>
          <w:lang w:val="ka-GE"/>
        </w:rPr>
        <w:t>შეინახეთ</w:t>
      </w:r>
      <w:r w:rsidR="004B7C3D" w:rsidRPr="006B57E5">
        <w:rPr>
          <w:lang w:val="ka-GE"/>
        </w:rPr>
        <w:t xml:space="preserve"> არაუმეტეს</w:t>
      </w:r>
      <w:r w:rsidRPr="006B57E5">
        <w:rPr>
          <w:lang w:val="ka-GE"/>
        </w:rPr>
        <w:t xml:space="preserve"> 30°C ტემპერატურაზე. დაიცავით სინათლისგან. არ გაყინოთ.</w:t>
      </w:r>
    </w:p>
    <w:p w14:paraId="1F81B445" w14:textId="77777777" w:rsidR="00962602" w:rsidRPr="00962602" w:rsidRDefault="00962602" w:rsidP="00962602">
      <w:pPr>
        <w:spacing w:after="0" w:line="240" w:lineRule="auto"/>
        <w:jc w:val="both"/>
        <w:rPr>
          <w:b/>
          <w:bCs/>
          <w:lang w:val="ka-GE"/>
        </w:rPr>
      </w:pPr>
    </w:p>
    <w:p w14:paraId="4DED83BF" w14:textId="77777777" w:rsidR="00646026" w:rsidRDefault="00852711" w:rsidP="00962602">
      <w:pPr>
        <w:spacing w:after="0" w:line="240" w:lineRule="auto"/>
        <w:jc w:val="both"/>
        <w:rPr>
          <w:b/>
          <w:bCs/>
          <w:lang w:val="ka-GE"/>
        </w:rPr>
      </w:pPr>
      <w:r>
        <w:rPr>
          <w:b/>
          <w:bCs/>
          <w:lang w:val="ka-GE"/>
        </w:rPr>
        <w:t xml:space="preserve">6.5 შეფუთვის ფორმა და შემცველობა </w:t>
      </w:r>
    </w:p>
    <w:p w14:paraId="2BE41792" w14:textId="77777777" w:rsidR="00962602" w:rsidRDefault="00136F69" w:rsidP="00962602">
      <w:pPr>
        <w:spacing w:after="0" w:line="240" w:lineRule="auto"/>
        <w:jc w:val="both"/>
        <w:rPr>
          <w:lang w:val="ka-GE"/>
        </w:rPr>
      </w:pPr>
      <w:r>
        <w:rPr>
          <w:lang w:val="ka-GE"/>
        </w:rPr>
        <w:t xml:space="preserve">10 ცალი 4 მლ-იანი ამპულა შეფუთვაში. </w:t>
      </w:r>
    </w:p>
    <w:p w14:paraId="53EBD226" w14:textId="77777777" w:rsidR="00450686" w:rsidRDefault="00450686" w:rsidP="00962602">
      <w:pPr>
        <w:spacing w:after="0" w:line="240" w:lineRule="auto"/>
        <w:jc w:val="both"/>
        <w:rPr>
          <w:lang w:val="ka-GE"/>
        </w:rPr>
      </w:pPr>
    </w:p>
    <w:p w14:paraId="6243A80D" w14:textId="77777777" w:rsidR="00450686" w:rsidRDefault="00450686" w:rsidP="00450686">
      <w:pPr>
        <w:autoSpaceDE w:val="0"/>
        <w:autoSpaceDN w:val="0"/>
        <w:adjustRightInd w:val="0"/>
        <w:jc w:val="both"/>
        <w:rPr>
          <w:rFonts w:cs="Sylfaen"/>
          <w:b/>
          <w:noProof/>
          <w:color w:val="000000"/>
          <w:lang w:val="ka-GE"/>
        </w:rPr>
      </w:pPr>
      <w:r w:rsidRPr="000F4D22">
        <w:rPr>
          <w:rFonts w:cs="Sylfaen"/>
          <w:b/>
          <w:noProof/>
          <w:color w:val="000000"/>
          <w:lang w:val="ka-GE"/>
        </w:rPr>
        <w:t>გაცემის რეჟიმი:</w:t>
      </w:r>
    </w:p>
    <w:p w14:paraId="5892D7EF" w14:textId="77777777" w:rsidR="00450686" w:rsidRPr="000F4D22" w:rsidRDefault="00450686" w:rsidP="00450686">
      <w:pPr>
        <w:autoSpaceDE w:val="0"/>
        <w:autoSpaceDN w:val="0"/>
        <w:adjustRightInd w:val="0"/>
        <w:jc w:val="both"/>
        <w:rPr>
          <w:rFonts w:cs="Sylfaen"/>
          <w:noProof/>
          <w:lang w:val="ka-GE"/>
        </w:rPr>
      </w:pPr>
      <w:r w:rsidRPr="000F4D22">
        <w:rPr>
          <w:rFonts w:cs="Sylfaen"/>
          <w:b/>
          <w:noProof/>
          <w:color w:val="000000"/>
          <w:lang w:val="ka-GE"/>
        </w:rPr>
        <w:t>ფარმაცევტული</w:t>
      </w:r>
      <w:r w:rsidRPr="000F4D22">
        <w:rPr>
          <w:b/>
          <w:noProof/>
          <w:color w:val="000000"/>
          <w:lang w:val="ka-GE"/>
        </w:rPr>
        <w:t xml:space="preserve"> </w:t>
      </w:r>
      <w:r w:rsidRPr="000F4D22">
        <w:rPr>
          <w:rFonts w:cs="Sylfaen"/>
          <w:b/>
          <w:noProof/>
          <w:color w:val="000000"/>
          <w:lang w:val="ka-GE"/>
        </w:rPr>
        <w:t>პროდუქტის</w:t>
      </w:r>
      <w:r w:rsidRPr="000F4D22">
        <w:rPr>
          <w:b/>
          <w:noProof/>
          <w:color w:val="000000"/>
          <w:lang w:val="ka-GE"/>
        </w:rPr>
        <w:t xml:space="preserve"> </w:t>
      </w:r>
      <w:r w:rsidRPr="000F4D22">
        <w:rPr>
          <w:rFonts w:cs="Sylfaen"/>
          <w:b/>
          <w:noProof/>
          <w:color w:val="000000"/>
          <w:lang w:val="ka-GE"/>
        </w:rPr>
        <w:t>ჯგუფი -</w:t>
      </w:r>
      <w:r w:rsidRPr="000F4D22">
        <w:rPr>
          <w:rFonts w:cs="Sylfaen"/>
          <w:noProof/>
          <w:color w:val="000000"/>
          <w:lang w:val="en-US"/>
        </w:rPr>
        <w:t xml:space="preserve"> </w:t>
      </w:r>
      <w:r w:rsidRPr="00490528">
        <w:rPr>
          <w:rFonts w:cs="Sylfaen"/>
          <w:noProof/>
          <w:lang w:val="ka-GE"/>
        </w:rPr>
        <w:t>II, გაიცემა ფორმა №3 რეცეპტით</w:t>
      </w:r>
    </w:p>
    <w:p w14:paraId="5E28E770" w14:textId="77777777" w:rsidR="00450686" w:rsidRPr="002719D8" w:rsidRDefault="00450686" w:rsidP="00962602">
      <w:pPr>
        <w:spacing w:after="0" w:line="240" w:lineRule="auto"/>
        <w:jc w:val="both"/>
        <w:rPr>
          <w:lang w:val="ka-GE"/>
        </w:rPr>
      </w:pPr>
    </w:p>
    <w:p w14:paraId="68690611" w14:textId="77777777" w:rsidR="00962602" w:rsidRPr="00962602" w:rsidRDefault="00962602" w:rsidP="00962602">
      <w:pPr>
        <w:spacing w:after="0" w:line="240" w:lineRule="auto"/>
        <w:jc w:val="both"/>
        <w:rPr>
          <w:b/>
          <w:bCs/>
          <w:lang w:val="ka-GE"/>
        </w:rPr>
      </w:pPr>
    </w:p>
    <w:p w14:paraId="201AA5B3" w14:textId="77777777" w:rsidR="00CA609C" w:rsidRDefault="00AD4B38" w:rsidP="00962602">
      <w:pPr>
        <w:spacing w:after="0" w:line="240" w:lineRule="auto"/>
        <w:jc w:val="both"/>
        <w:rPr>
          <w:b/>
          <w:bCs/>
          <w:lang w:val="ka-GE"/>
        </w:rPr>
      </w:pPr>
      <w:r>
        <w:rPr>
          <w:b/>
          <w:bCs/>
          <w:lang w:val="ka-GE"/>
        </w:rPr>
        <w:t xml:space="preserve">7. </w:t>
      </w:r>
      <w:r w:rsidR="00053785">
        <w:rPr>
          <w:b/>
          <w:bCs/>
          <w:lang w:val="ka-GE"/>
        </w:rPr>
        <w:t>სავაჭრო ნებართვის მფლობელი</w:t>
      </w:r>
    </w:p>
    <w:p w14:paraId="3953909B" w14:textId="08776F50" w:rsidR="00962602" w:rsidRPr="008B768C" w:rsidRDefault="0024100C" w:rsidP="00962602">
      <w:pPr>
        <w:spacing w:after="0" w:line="240" w:lineRule="auto"/>
        <w:jc w:val="both"/>
        <w:rPr>
          <w:lang w:val="ka-GE"/>
        </w:rPr>
      </w:pPr>
      <w:r>
        <w:rPr>
          <w:lang w:val="en-US"/>
        </w:rPr>
        <w:t xml:space="preserve">Humaniqe Biopharmaceuticals </w:t>
      </w:r>
      <w:r w:rsidR="00962602" w:rsidRPr="008B768C">
        <w:rPr>
          <w:lang w:val="ka-GE"/>
        </w:rPr>
        <w:t>Pvt Ltd</w:t>
      </w:r>
    </w:p>
    <w:p w14:paraId="55DF5636" w14:textId="77777777" w:rsidR="00962602" w:rsidRDefault="00F72063" w:rsidP="00962602">
      <w:pPr>
        <w:spacing w:after="0" w:line="240" w:lineRule="auto"/>
        <w:jc w:val="both"/>
        <w:rPr>
          <w:lang w:val="ka-GE"/>
        </w:rPr>
      </w:pPr>
      <w:r>
        <w:rPr>
          <w:lang w:val="ka-GE"/>
        </w:rPr>
        <w:t>ინდოეთი</w:t>
      </w:r>
    </w:p>
    <w:p w14:paraId="73FB2F87" w14:textId="77777777" w:rsidR="00F72063" w:rsidRPr="00962602" w:rsidRDefault="00F72063" w:rsidP="00962602">
      <w:pPr>
        <w:spacing w:after="0" w:line="240" w:lineRule="auto"/>
        <w:jc w:val="both"/>
        <w:rPr>
          <w:b/>
          <w:bCs/>
          <w:lang w:val="ka-GE"/>
        </w:rPr>
      </w:pPr>
    </w:p>
    <w:p w14:paraId="065B4D0D" w14:textId="77777777" w:rsidR="00962602" w:rsidRPr="00962602" w:rsidRDefault="00F164FF" w:rsidP="00962602">
      <w:pPr>
        <w:spacing w:after="0" w:line="240" w:lineRule="auto"/>
        <w:jc w:val="both"/>
        <w:rPr>
          <w:b/>
          <w:bCs/>
          <w:lang w:val="ka-GE"/>
        </w:rPr>
      </w:pPr>
      <w:r>
        <w:rPr>
          <w:b/>
          <w:bCs/>
          <w:lang w:val="ka-GE"/>
        </w:rPr>
        <w:t xml:space="preserve">8. </w:t>
      </w:r>
      <w:r w:rsidR="00962602" w:rsidRPr="00962602">
        <w:rPr>
          <w:b/>
          <w:bCs/>
          <w:lang w:val="ka-GE"/>
        </w:rPr>
        <w:t>მწარმოებლის დასახელება და მისამართი</w:t>
      </w:r>
    </w:p>
    <w:p w14:paraId="77A79AB3" w14:textId="77777777" w:rsidR="00962602" w:rsidRPr="00D76184" w:rsidRDefault="00962602" w:rsidP="00962602">
      <w:pPr>
        <w:spacing w:after="0" w:line="240" w:lineRule="auto"/>
        <w:jc w:val="both"/>
        <w:rPr>
          <w:lang w:val="ka-GE"/>
        </w:rPr>
      </w:pPr>
      <w:r w:rsidRPr="00D76184">
        <w:rPr>
          <w:lang w:val="ka-GE"/>
        </w:rPr>
        <w:t>Sovereign Pharma Pvt. Ltd.</w:t>
      </w:r>
    </w:p>
    <w:p w14:paraId="73E6C0F5" w14:textId="77777777" w:rsidR="00DC56DF" w:rsidRDefault="00962602" w:rsidP="00962602">
      <w:pPr>
        <w:spacing w:after="0" w:line="240" w:lineRule="auto"/>
        <w:jc w:val="both"/>
        <w:rPr>
          <w:lang w:val="ka-GE"/>
        </w:rPr>
      </w:pPr>
      <w:r w:rsidRPr="00D76184">
        <w:rPr>
          <w:lang w:val="ka-GE"/>
        </w:rPr>
        <w:t>Survey No. 46/1-4, Kadaiya Village, Nani Daman - 396210, ინდოეთი</w:t>
      </w:r>
    </w:p>
    <w:p w14:paraId="768561A0" w14:textId="77777777" w:rsidR="00185137" w:rsidRDefault="00185137" w:rsidP="00962602">
      <w:pPr>
        <w:spacing w:after="0" w:line="240" w:lineRule="auto"/>
        <w:jc w:val="both"/>
        <w:rPr>
          <w:lang w:val="ka-GE"/>
        </w:rPr>
      </w:pPr>
    </w:p>
    <w:p w14:paraId="75FF233E" w14:textId="77777777" w:rsidR="00185137" w:rsidRPr="006B57E5" w:rsidRDefault="00185137" w:rsidP="00185137">
      <w:pPr>
        <w:spacing w:after="0" w:line="240" w:lineRule="auto"/>
        <w:jc w:val="both"/>
        <w:rPr>
          <w:lang w:val="en-US"/>
        </w:rPr>
      </w:pPr>
    </w:p>
    <w:p w14:paraId="0C0443AA" w14:textId="77777777" w:rsidR="00185137" w:rsidRPr="00D76184" w:rsidRDefault="00185137" w:rsidP="00962602">
      <w:pPr>
        <w:spacing w:after="0" w:line="240" w:lineRule="auto"/>
        <w:jc w:val="both"/>
        <w:rPr>
          <w:lang w:val="ka-GE"/>
        </w:rPr>
      </w:pPr>
    </w:p>
    <w:p w14:paraId="1AA4897B" w14:textId="77777777" w:rsidR="00B301AB" w:rsidRDefault="00B301AB" w:rsidP="00AF77D3">
      <w:pPr>
        <w:spacing w:after="0" w:line="240" w:lineRule="auto"/>
        <w:jc w:val="both"/>
      </w:pPr>
    </w:p>
    <w:p w14:paraId="353AFA6B" w14:textId="77777777" w:rsidR="00AF77D3" w:rsidRDefault="00AF77D3" w:rsidP="00AF77D3">
      <w:pPr>
        <w:spacing w:after="0" w:line="240" w:lineRule="auto"/>
        <w:jc w:val="both"/>
      </w:pPr>
    </w:p>
    <w:p w14:paraId="32A5A055" w14:textId="77777777" w:rsidR="00AF77D3" w:rsidRPr="00F10D5A" w:rsidRDefault="00AF77D3" w:rsidP="003E2AB6">
      <w:pPr>
        <w:spacing w:after="0" w:line="240" w:lineRule="auto"/>
        <w:jc w:val="both"/>
        <w:rPr>
          <w:b/>
          <w:bCs/>
        </w:rPr>
      </w:pPr>
    </w:p>
    <w:p w14:paraId="17049EF8" w14:textId="77777777" w:rsidR="00626483" w:rsidRPr="00626483" w:rsidRDefault="00626483" w:rsidP="003E2AB6">
      <w:pPr>
        <w:spacing w:after="0" w:line="240" w:lineRule="auto"/>
        <w:jc w:val="both"/>
        <w:rPr>
          <w:lang w:val="ka-GE"/>
        </w:rPr>
      </w:pPr>
    </w:p>
    <w:sectPr w:rsidR="00626483" w:rsidRPr="00626483" w:rsidSect="004222E3">
      <w:pgSz w:w="11906" w:h="16838"/>
      <w:pgMar w:top="507" w:right="708" w:bottom="371" w:left="70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Aptos">
    <w:altName w:val="Calibri"/>
    <w:charset w:val="00"/>
    <w:family w:val="swiss"/>
    <w:pitch w:val="variable"/>
    <w:sig w:usb0="20000287" w:usb1="00000003" w:usb2="00000000" w:usb3="00000000" w:csb0="0000019F" w:csb1="00000000"/>
  </w:font>
  <w:font w:name="Times New Roman (Textkörper CS)">
    <w:altName w:val="Times New Roman"/>
    <w:panose1 w:val="00000000000000000000"/>
    <w:charset w:val="00"/>
    <w:family w:val="roman"/>
    <w:notTrueType/>
    <w:pitch w:val="default"/>
  </w:font>
  <w:font w:name="Aptos Display">
    <w:altName w:val="Calibri"/>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993D26"/>
    <w:multiLevelType w:val="hybridMultilevel"/>
    <w:tmpl w:val="1FAED60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 w15:restartNumberingAfterBreak="0">
    <w:nsid w:val="443F5582"/>
    <w:multiLevelType w:val="hybridMultilevel"/>
    <w:tmpl w:val="57BAEE1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48326B5C"/>
    <w:multiLevelType w:val="hybridMultilevel"/>
    <w:tmpl w:val="CEB8074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57EC3DA4"/>
    <w:multiLevelType w:val="hybridMultilevel"/>
    <w:tmpl w:val="DBBC4D4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5A0840F9"/>
    <w:multiLevelType w:val="hybridMultilevel"/>
    <w:tmpl w:val="B5BEBE0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66080A5C"/>
    <w:multiLevelType w:val="hybridMultilevel"/>
    <w:tmpl w:val="56B03272"/>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hint="default"/>
      </w:rPr>
    </w:lvl>
    <w:lvl w:ilvl="8" w:tplc="04070005" w:tentative="1">
      <w:start w:val="1"/>
      <w:numFmt w:val="bullet"/>
      <w:lvlText w:val=""/>
      <w:lvlJc w:val="left"/>
      <w:pPr>
        <w:ind w:left="6840" w:hanging="360"/>
      </w:pPr>
      <w:rPr>
        <w:rFonts w:ascii="Wingdings" w:hAnsi="Wingdings" w:hint="default"/>
      </w:rPr>
    </w:lvl>
  </w:abstractNum>
  <w:num w:numId="1" w16cid:durableId="504059053">
    <w:abstractNumId w:val="2"/>
  </w:num>
  <w:num w:numId="2" w16cid:durableId="2058434835">
    <w:abstractNumId w:val="3"/>
  </w:num>
  <w:num w:numId="3" w16cid:durableId="571817665">
    <w:abstractNumId w:val="4"/>
  </w:num>
  <w:num w:numId="4" w16cid:durableId="588001745">
    <w:abstractNumId w:val="5"/>
  </w:num>
  <w:num w:numId="5" w16cid:durableId="584803209">
    <w:abstractNumId w:val="1"/>
  </w:num>
  <w:num w:numId="6" w16cid:durableId="20568518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14F8"/>
    <w:rsid w:val="0002699C"/>
    <w:rsid w:val="0003367A"/>
    <w:rsid w:val="0005042B"/>
    <w:rsid w:val="00053785"/>
    <w:rsid w:val="000B16D0"/>
    <w:rsid w:val="000D07CA"/>
    <w:rsid w:val="000D4D9A"/>
    <w:rsid w:val="000E699B"/>
    <w:rsid w:val="00121A0A"/>
    <w:rsid w:val="00130BC9"/>
    <w:rsid w:val="00136F69"/>
    <w:rsid w:val="00144DA7"/>
    <w:rsid w:val="00185137"/>
    <w:rsid w:val="001B30E3"/>
    <w:rsid w:val="001C1E7E"/>
    <w:rsid w:val="001D15D8"/>
    <w:rsid w:val="002016BF"/>
    <w:rsid w:val="002349E2"/>
    <w:rsid w:val="00235DD8"/>
    <w:rsid w:val="0024100C"/>
    <w:rsid w:val="00251191"/>
    <w:rsid w:val="002719D8"/>
    <w:rsid w:val="0027328E"/>
    <w:rsid w:val="00275D25"/>
    <w:rsid w:val="00297886"/>
    <w:rsid w:val="002D23C4"/>
    <w:rsid w:val="0030796C"/>
    <w:rsid w:val="00382EA0"/>
    <w:rsid w:val="003A05F3"/>
    <w:rsid w:val="003D114A"/>
    <w:rsid w:val="003E2AB6"/>
    <w:rsid w:val="003F3D29"/>
    <w:rsid w:val="004222E3"/>
    <w:rsid w:val="00444032"/>
    <w:rsid w:val="00450686"/>
    <w:rsid w:val="0047686E"/>
    <w:rsid w:val="00483D1C"/>
    <w:rsid w:val="004A0027"/>
    <w:rsid w:val="004B08E8"/>
    <w:rsid w:val="004B7C3D"/>
    <w:rsid w:val="004C2A2C"/>
    <w:rsid w:val="004E4FDD"/>
    <w:rsid w:val="00526D9E"/>
    <w:rsid w:val="005515A6"/>
    <w:rsid w:val="0059214D"/>
    <w:rsid w:val="005F6B11"/>
    <w:rsid w:val="00622146"/>
    <w:rsid w:val="00626483"/>
    <w:rsid w:val="00646026"/>
    <w:rsid w:val="00646F93"/>
    <w:rsid w:val="006661F3"/>
    <w:rsid w:val="00673252"/>
    <w:rsid w:val="00682707"/>
    <w:rsid w:val="00687F1F"/>
    <w:rsid w:val="00690019"/>
    <w:rsid w:val="0069696C"/>
    <w:rsid w:val="006B57E5"/>
    <w:rsid w:val="006D4822"/>
    <w:rsid w:val="006D7D8F"/>
    <w:rsid w:val="00720555"/>
    <w:rsid w:val="00733EFC"/>
    <w:rsid w:val="007968A7"/>
    <w:rsid w:val="007B3D6F"/>
    <w:rsid w:val="007D70FA"/>
    <w:rsid w:val="007F4112"/>
    <w:rsid w:val="007F561C"/>
    <w:rsid w:val="008020B8"/>
    <w:rsid w:val="008150DC"/>
    <w:rsid w:val="0083206A"/>
    <w:rsid w:val="00852711"/>
    <w:rsid w:val="00856E5A"/>
    <w:rsid w:val="0086636F"/>
    <w:rsid w:val="008B02D3"/>
    <w:rsid w:val="008B4703"/>
    <w:rsid w:val="008B768C"/>
    <w:rsid w:val="008C504E"/>
    <w:rsid w:val="008E0837"/>
    <w:rsid w:val="009403E6"/>
    <w:rsid w:val="0094622A"/>
    <w:rsid w:val="00962501"/>
    <w:rsid w:val="00962602"/>
    <w:rsid w:val="00985A40"/>
    <w:rsid w:val="00991096"/>
    <w:rsid w:val="0099261A"/>
    <w:rsid w:val="00992BB5"/>
    <w:rsid w:val="009D061B"/>
    <w:rsid w:val="009D3F0A"/>
    <w:rsid w:val="009E2298"/>
    <w:rsid w:val="009E6CE5"/>
    <w:rsid w:val="00A43502"/>
    <w:rsid w:val="00A525EE"/>
    <w:rsid w:val="00A5755E"/>
    <w:rsid w:val="00A832CD"/>
    <w:rsid w:val="00AD4B38"/>
    <w:rsid w:val="00AE08F8"/>
    <w:rsid w:val="00AF77D3"/>
    <w:rsid w:val="00B251D1"/>
    <w:rsid w:val="00B301AB"/>
    <w:rsid w:val="00B4468B"/>
    <w:rsid w:val="00B4564D"/>
    <w:rsid w:val="00B62F43"/>
    <w:rsid w:val="00B70051"/>
    <w:rsid w:val="00B8658F"/>
    <w:rsid w:val="00C033F0"/>
    <w:rsid w:val="00C179B7"/>
    <w:rsid w:val="00C21364"/>
    <w:rsid w:val="00C31A40"/>
    <w:rsid w:val="00C60222"/>
    <w:rsid w:val="00C602A1"/>
    <w:rsid w:val="00CA609C"/>
    <w:rsid w:val="00CB7FA9"/>
    <w:rsid w:val="00CE4DB7"/>
    <w:rsid w:val="00D07D39"/>
    <w:rsid w:val="00D07F82"/>
    <w:rsid w:val="00D215BE"/>
    <w:rsid w:val="00D37D38"/>
    <w:rsid w:val="00D47B11"/>
    <w:rsid w:val="00D76184"/>
    <w:rsid w:val="00D9673E"/>
    <w:rsid w:val="00DC56DF"/>
    <w:rsid w:val="00DF096F"/>
    <w:rsid w:val="00E0675C"/>
    <w:rsid w:val="00E37241"/>
    <w:rsid w:val="00E66148"/>
    <w:rsid w:val="00E67206"/>
    <w:rsid w:val="00E7319B"/>
    <w:rsid w:val="00EC4451"/>
    <w:rsid w:val="00EC603A"/>
    <w:rsid w:val="00ED70A0"/>
    <w:rsid w:val="00EE14F8"/>
    <w:rsid w:val="00EE28F0"/>
    <w:rsid w:val="00F10D5A"/>
    <w:rsid w:val="00F11566"/>
    <w:rsid w:val="00F115C6"/>
    <w:rsid w:val="00F164FF"/>
    <w:rsid w:val="00F26401"/>
    <w:rsid w:val="00F44663"/>
    <w:rsid w:val="00F45FFD"/>
    <w:rsid w:val="00F60A5C"/>
    <w:rsid w:val="00F71644"/>
    <w:rsid w:val="00F7206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84BC01"/>
  <w15:chartTrackingRefBased/>
  <w15:docId w15:val="{C0F5FF57-3C28-E945-9B84-46DEF7E050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Sylfaen" w:eastAsiaTheme="minorHAnsi" w:hAnsi="Sylfaen" w:cs="Times New Roman (Textkörper CS)"/>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E14F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E14F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E14F8"/>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E14F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EE14F8"/>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EE14F8"/>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EE14F8"/>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EE14F8"/>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EE14F8"/>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14F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E14F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E14F8"/>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E14F8"/>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EE14F8"/>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EE14F8"/>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EE14F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EE14F8"/>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EE14F8"/>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EE14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E14F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E14F8"/>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E14F8"/>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EE14F8"/>
    <w:pPr>
      <w:spacing w:before="160"/>
      <w:jc w:val="center"/>
    </w:pPr>
    <w:rPr>
      <w:i/>
      <w:iCs/>
      <w:color w:val="404040" w:themeColor="text1" w:themeTint="BF"/>
    </w:rPr>
  </w:style>
  <w:style w:type="character" w:customStyle="1" w:styleId="QuoteChar">
    <w:name w:val="Quote Char"/>
    <w:basedOn w:val="DefaultParagraphFont"/>
    <w:link w:val="Quote"/>
    <w:uiPriority w:val="29"/>
    <w:rsid w:val="00EE14F8"/>
    <w:rPr>
      <w:i/>
      <w:iCs/>
      <w:color w:val="404040" w:themeColor="text1" w:themeTint="BF"/>
    </w:rPr>
  </w:style>
  <w:style w:type="paragraph" w:styleId="ListParagraph">
    <w:name w:val="List Paragraph"/>
    <w:basedOn w:val="Normal"/>
    <w:uiPriority w:val="34"/>
    <w:qFormat/>
    <w:rsid w:val="00EE14F8"/>
    <w:pPr>
      <w:ind w:left="720"/>
      <w:contextualSpacing/>
    </w:pPr>
  </w:style>
  <w:style w:type="character" w:styleId="IntenseEmphasis">
    <w:name w:val="Intense Emphasis"/>
    <w:basedOn w:val="DefaultParagraphFont"/>
    <w:uiPriority w:val="21"/>
    <w:qFormat/>
    <w:rsid w:val="00EE14F8"/>
    <w:rPr>
      <w:i/>
      <w:iCs/>
      <w:color w:val="0F4761" w:themeColor="accent1" w:themeShade="BF"/>
    </w:rPr>
  </w:style>
  <w:style w:type="paragraph" w:styleId="IntenseQuote">
    <w:name w:val="Intense Quote"/>
    <w:basedOn w:val="Normal"/>
    <w:next w:val="Normal"/>
    <w:link w:val="IntenseQuoteChar"/>
    <w:uiPriority w:val="30"/>
    <w:qFormat/>
    <w:rsid w:val="00EE14F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E14F8"/>
    <w:rPr>
      <w:i/>
      <w:iCs/>
      <w:color w:val="0F4761" w:themeColor="accent1" w:themeShade="BF"/>
    </w:rPr>
  </w:style>
  <w:style w:type="character" w:styleId="IntenseReference">
    <w:name w:val="Intense Reference"/>
    <w:basedOn w:val="DefaultParagraphFont"/>
    <w:uiPriority w:val="32"/>
    <w:qFormat/>
    <w:rsid w:val="00EE14F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4266</Words>
  <Characters>24317</Characters>
  <Application>Microsoft Office Word</Application>
  <DocSecurity>0</DocSecurity>
  <Lines>202</Lines>
  <Paragraphs>57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28526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n_fabritius@outlook.de</dc:creator>
  <cp:keywords/>
  <dc:description/>
  <cp:lastModifiedBy>Zaza Chapichadze</cp:lastModifiedBy>
  <cp:revision>139</cp:revision>
  <dcterms:created xsi:type="dcterms:W3CDTF">2026-03-25T13:48:00Z</dcterms:created>
  <dcterms:modified xsi:type="dcterms:W3CDTF">2026-07-13T10:58:00Z</dcterms:modified>
</cp:coreProperties>
</file>