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C0C47" w14:textId="485B10EF" w:rsidR="00D35BA8" w:rsidRPr="00330B09" w:rsidRDefault="00D35BA8" w:rsidP="00DA1E38">
      <w:pPr>
        <w:spacing w:after="0" w:line="240" w:lineRule="auto"/>
        <w:jc w:val="center"/>
        <w:rPr>
          <w:b/>
          <w:bCs/>
          <w:lang w:val="ka-GE"/>
        </w:rPr>
      </w:pPr>
      <w:r w:rsidRPr="00330B09">
        <w:rPr>
          <w:b/>
          <w:bCs/>
          <w:lang w:val="ka-GE"/>
        </w:rPr>
        <w:t>გამოყენების ინსტრუქცია</w:t>
      </w:r>
    </w:p>
    <w:p w14:paraId="3C2F3BA3" w14:textId="06B5BC0E" w:rsidR="00DA1E38" w:rsidRPr="00330B09" w:rsidRDefault="00DA1E38" w:rsidP="00DA1E38">
      <w:pPr>
        <w:spacing w:after="0" w:line="240" w:lineRule="auto"/>
        <w:jc w:val="center"/>
        <w:rPr>
          <w:b/>
          <w:bCs/>
          <w:lang w:val="ka-GE"/>
        </w:rPr>
      </w:pPr>
      <w:r w:rsidRPr="00330B09">
        <w:rPr>
          <w:b/>
          <w:bCs/>
          <w:lang w:val="ka-GE"/>
        </w:rPr>
        <w:t>ონდანი</w:t>
      </w:r>
      <w:r w:rsidR="00D35BA8" w:rsidRPr="00330B09">
        <w:rPr>
          <w:b/>
          <w:bCs/>
          <w:lang w:val="ka-GE"/>
        </w:rPr>
        <w:t>ქე</w:t>
      </w:r>
    </w:p>
    <w:p w14:paraId="2F627D4D" w14:textId="0BE256EA" w:rsidR="00D35BA8" w:rsidRPr="00330B09" w:rsidRDefault="00DA1E38" w:rsidP="00D35BA8">
      <w:pPr>
        <w:spacing w:after="0" w:line="240" w:lineRule="auto"/>
        <w:jc w:val="center"/>
        <w:rPr>
          <w:b/>
          <w:bCs/>
          <w:lang w:val="ka-GE"/>
        </w:rPr>
      </w:pPr>
      <w:r w:rsidRPr="00330B09">
        <w:rPr>
          <w:b/>
          <w:bCs/>
          <w:lang w:val="ka-GE"/>
        </w:rPr>
        <w:t>ონდანსეტრონის ინექცია BP 2 მგ/მლ</w:t>
      </w:r>
      <w:r w:rsidR="00D35BA8" w:rsidRPr="00330B09">
        <w:rPr>
          <w:b/>
          <w:bCs/>
          <w:lang w:val="ka-GE"/>
        </w:rPr>
        <w:t>, ი.მ/ი.ვ.</w:t>
      </w:r>
    </w:p>
    <w:p w14:paraId="25DBFC58" w14:textId="77777777" w:rsidR="00BE71A4" w:rsidRPr="00330B09" w:rsidRDefault="00BE71A4" w:rsidP="00BE71A4">
      <w:pPr>
        <w:spacing w:after="0" w:line="240" w:lineRule="auto"/>
        <w:jc w:val="both"/>
        <w:rPr>
          <w:b/>
          <w:bCs/>
          <w:lang w:val="ka-GE"/>
        </w:rPr>
      </w:pPr>
    </w:p>
    <w:p w14:paraId="036C8986" w14:textId="77777777" w:rsidR="000149D3" w:rsidRPr="00330B09" w:rsidRDefault="000149D3" w:rsidP="000149D3">
      <w:pPr>
        <w:spacing w:after="0" w:line="240" w:lineRule="auto"/>
        <w:jc w:val="both"/>
        <w:rPr>
          <w:b/>
          <w:bCs/>
          <w:lang w:val="ka-GE"/>
        </w:rPr>
      </w:pPr>
      <w:r w:rsidRPr="00330B09">
        <w:rPr>
          <w:b/>
          <w:bCs/>
          <w:lang w:val="ka-GE"/>
        </w:rPr>
        <w:t>შემადგენლობა</w:t>
      </w:r>
    </w:p>
    <w:p w14:paraId="75E48D14" w14:textId="77777777" w:rsidR="000149D3" w:rsidRPr="00330B09" w:rsidRDefault="000149D3" w:rsidP="000149D3">
      <w:pPr>
        <w:spacing w:after="0" w:line="240" w:lineRule="auto"/>
        <w:jc w:val="both"/>
        <w:rPr>
          <w:lang w:val="ka-GE"/>
        </w:rPr>
      </w:pPr>
      <w:r w:rsidRPr="00330B09">
        <w:rPr>
          <w:lang w:val="ka-GE"/>
        </w:rPr>
        <w:t>თითოეული მლ შეიცავს:</w:t>
      </w:r>
    </w:p>
    <w:p w14:paraId="5C052955" w14:textId="77777777" w:rsidR="000149D3" w:rsidRPr="00330B09" w:rsidRDefault="000149D3" w:rsidP="000149D3">
      <w:pPr>
        <w:spacing w:after="0" w:line="240" w:lineRule="auto"/>
        <w:jc w:val="both"/>
        <w:rPr>
          <w:lang w:val="ka-GE"/>
        </w:rPr>
      </w:pPr>
      <w:r w:rsidRPr="00330B09">
        <w:rPr>
          <w:lang w:val="ka-GE"/>
        </w:rPr>
        <w:t>ონდანსეტრონის ჰიდროქლორიდის დიჰიდრატი BP</w:t>
      </w:r>
    </w:p>
    <w:p w14:paraId="4D0F7F77" w14:textId="77777777" w:rsidR="000149D3" w:rsidRPr="00330B09" w:rsidRDefault="000149D3" w:rsidP="000149D3">
      <w:pPr>
        <w:spacing w:after="0" w:line="240" w:lineRule="auto"/>
        <w:jc w:val="both"/>
        <w:rPr>
          <w:lang w:val="ka-GE"/>
        </w:rPr>
      </w:pPr>
      <w:r w:rsidRPr="00330B09">
        <w:rPr>
          <w:lang w:val="ka-GE"/>
        </w:rPr>
        <w:t>ექვივალენტურია 2 მგ ონდანსეტრონის</w:t>
      </w:r>
    </w:p>
    <w:p w14:paraId="6699CD0C" w14:textId="7FD5B112" w:rsidR="000149D3" w:rsidRPr="00330B09" w:rsidRDefault="000149D3" w:rsidP="000149D3">
      <w:pPr>
        <w:spacing w:after="0" w:line="240" w:lineRule="auto"/>
        <w:jc w:val="both"/>
        <w:rPr>
          <w:lang w:val="ka-GE"/>
        </w:rPr>
      </w:pPr>
      <w:r w:rsidRPr="00330B09">
        <w:rPr>
          <w:lang w:val="ka-GE"/>
        </w:rPr>
        <w:t xml:space="preserve">საინექციო წყალი BP </w:t>
      </w:r>
      <w:r w:rsidR="00D35BA8" w:rsidRPr="00330B09">
        <w:rPr>
          <w:lang w:val="ka-GE"/>
        </w:rPr>
        <w:t>ს.რ.</w:t>
      </w:r>
    </w:p>
    <w:p w14:paraId="355C36E0" w14:textId="77777777" w:rsidR="00BE71A4" w:rsidRPr="00330B09" w:rsidRDefault="000149D3" w:rsidP="000149D3">
      <w:pPr>
        <w:spacing w:after="0" w:line="240" w:lineRule="auto"/>
        <w:jc w:val="both"/>
        <w:rPr>
          <w:lang w:val="ka-GE"/>
        </w:rPr>
      </w:pPr>
      <w:r w:rsidRPr="00330B09">
        <w:rPr>
          <w:lang w:val="ka-GE"/>
        </w:rPr>
        <w:t>დამხმარე ნივთიერებები: ნატრიუმის ქლორიდი, ლიმონმჟავას მონოჰიდრატი, ნატრიუმის ციტრატი, ნატრიუმის ჰიდროქსიდი.</w:t>
      </w:r>
    </w:p>
    <w:p w14:paraId="2DB21055" w14:textId="77777777" w:rsidR="00DD0F4A" w:rsidRPr="00330B09" w:rsidRDefault="00DD0F4A" w:rsidP="000149D3">
      <w:pPr>
        <w:spacing w:after="0" w:line="240" w:lineRule="auto"/>
        <w:jc w:val="both"/>
        <w:rPr>
          <w:lang w:val="ka-GE"/>
        </w:rPr>
      </w:pPr>
    </w:p>
    <w:p w14:paraId="2329685E" w14:textId="77777777" w:rsidR="00DD0F4A" w:rsidRPr="00330B09" w:rsidRDefault="00DD0F4A" w:rsidP="00DD0F4A">
      <w:pPr>
        <w:spacing w:after="0" w:line="240" w:lineRule="auto"/>
        <w:jc w:val="both"/>
        <w:rPr>
          <w:b/>
          <w:bCs/>
          <w:lang w:val="ka-GE"/>
        </w:rPr>
      </w:pPr>
      <w:r w:rsidRPr="00330B09">
        <w:rPr>
          <w:b/>
          <w:bCs/>
          <w:lang w:val="ka-GE"/>
        </w:rPr>
        <w:t>ფარმაკოლოგიური თვისებები</w:t>
      </w:r>
    </w:p>
    <w:p w14:paraId="0695AFAD" w14:textId="77777777" w:rsidR="00DD0F4A" w:rsidRPr="00330B09" w:rsidRDefault="00DD0F4A" w:rsidP="00DD0F4A">
      <w:pPr>
        <w:spacing w:after="0" w:line="240" w:lineRule="auto"/>
        <w:jc w:val="both"/>
        <w:rPr>
          <w:u w:val="single"/>
          <w:lang w:val="ka-GE"/>
        </w:rPr>
      </w:pPr>
      <w:r w:rsidRPr="00330B09">
        <w:rPr>
          <w:u w:val="single"/>
          <w:lang w:val="ka-GE"/>
        </w:rPr>
        <w:t>მოქმედების მექანიზმი</w:t>
      </w:r>
    </w:p>
    <w:p w14:paraId="378124F0" w14:textId="1E36E125" w:rsidR="00DD0F4A" w:rsidRPr="00330B09" w:rsidRDefault="00DD0F4A" w:rsidP="00DD0F4A">
      <w:pPr>
        <w:spacing w:after="0" w:line="240" w:lineRule="auto"/>
        <w:jc w:val="both"/>
        <w:rPr>
          <w:lang w:val="ka-GE"/>
        </w:rPr>
      </w:pPr>
      <w:r w:rsidRPr="00330B09">
        <w:rPr>
          <w:u w:val="single"/>
          <w:lang w:val="ka-GE"/>
        </w:rPr>
        <w:t>ფარმაკოთერაპიული ჯგუფი:</w:t>
      </w:r>
      <w:r w:rsidRPr="00330B09">
        <w:rPr>
          <w:lang w:val="ka-GE"/>
        </w:rPr>
        <w:t xml:space="preserve"> ღებინების და გულისრევის საწინააღმდეგო საშუალებები, სეროტონინის (5HT3) ანტაგონისტები</w:t>
      </w:r>
    </w:p>
    <w:p w14:paraId="7072E1A7" w14:textId="1E0A44C0" w:rsidR="00DD0F4A" w:rsidRPr="00330B09" w:rsidRDefault="00D35BA8" w:rsidP="00DD0F4A">
      <w:pPr>
        <w:spacing w:after="0" w:line="240" w:lineRule="auto"/>
        <w:jc w:val="both"/>
        <w:rPr>
          <w:lang w:val="ka-GE"/>
        </w:rPr>
      </w:pPr>
      <w:r w:rsidRPr="00330B09">
        <w:rPr>
          <w:lang w:val="ka-GE"/>
        </w:rPr>
        <w:t>ათქ</w:t>
      </w:r>
      <w:r w:rsidR="00DD0F4A" w:rsidRPr="00330B09">
        <w:rPr>
          <w:lang w:val="ka-GE"/>
        </w:rPr>
        <w:t xml:space="preserve"> კოდი: A04AA01</w:t>
      </w:r>
    </w:p>
    <w:p w14:paraId="0247B50A" w14:textId="77777777" w:rsidR="00DD0F4A" w:rsidRPr="00330B09" w:rsidRDefault="00DD0F4A" w:rsidP="00DD0F4A">
      <w:pPr>
        <w:spacing w:after="0" w:line="240" w:lineRule="auto"/>
        <w:jc w:val="both"/>
        <w:rPr>
          <w:lang w:val="ka-GE"/>
        </w:rPr>
      </w:pPr>
      <w:r w:rsidRPr="00330B09">
        <w:rPr>
          <w:lang w:val="ka-GE"/>
        </w:rPr>
        <w:t>ონდანსეტრონი არის ძლიერი, მაღალსელექციური 5HT3 რეცეპტორების ანტაგონისტი.</w:t>
      </w:r>
    </w:p>
    <w:p w14:paraId="13F8ED5E" w14:textId="77777777" w:rsidR="0032403F" w:rsidRPr="00330B09" w:rsidRDefault="0032403F" w:rsidP="00DD0F4A">
      <w:pPr>
        <w:spacing w:after="0" w:line="240" w:lineRule="auto"/>
        <w:jc w:val="both"/>
        <w:rPr>
          <w:lang w:val="ka-GE"/>
        </w:rPr>
      </w:pPr>
    </w:p>
    <w:p w14:paraId="4FB6F37C" w14:textId="77777777" w:rsidR="00321FE4" w:rsidRPr="00330B09" w:rsidRDefault="00321FE4" w:rsidP="00321FE4">
      <w:pPr>
        <w:spacing w:after="0" w:line="240" w:lineRule="auto"/>
        <w:jc w:val="both"/>
        <w:rPr>
          <w:b/>
          <w:bCs/>
          <w:lang w:val="ka-GE"/>
        </w:rPr>
      </w:pPr>
      <w:r w:rsidRPr="00330B09">
        <w:rPr>
          <w:b/>
          <w:bCs/>
          <w:lang w:val="ka-GE"/>
        </w:rPr>
        <w:t>ფარმაკოდინამიკური თვისებები</w:t>
      </w:r>
    </w:p>
    <w:p w14:paraId="38A7BFB4" w14:textId="77777777" w:rsidR="00B26D05" w:rsidRPr="00330B09" w:rsidRDefault="00321FE4" w:rsidP="00321FE4">
      <w:pPr>
        <w:spacing w:after="0" w:line="240" w:lineRule="auto"/>
        <w:jc w:val="both"/>
        <w:rPr>
          <w:lang w:val="ka-GE"/>
        </w:rPr>
      </w:pPr>
      <w:bookmarkStart w:id="0" w:name="_Hlk232779126"/>
      <w:r w:rsidRPr="00330B09">
        <w:rPr>
          <w:lang w:val="ka-GE"/>
        </w:rPr>
        <w:t xml:space="preserve">ონდანსეტრონის მოქმედების ზუსტი მექანიზმი </w:t>
      </w:r>
      <w:r w:rsidR="003F44AD" w:rsidRPr="00330B09">
        <w:rPr>
          <w:lang w:val="ka-GE"/>
        </w:rPr>
        <w:t>გულისრევისა და ღებინების მკურნალობის</w:t>
      </w:r>
      <w:r w:rsidR="008E3E4C" w:rsidRPr="00330B09">
        <w:rPr>
          <w:lang w:val="ka-GE"/>
        </w:rPr>
        <w:t>ას</w:t>
      </w:r>
      <w:r w:rsidR="003F44AD" w:rsidRPr="00330B09">
        <w:rPr>
          <w:lang w:val="ka-GE"/>
        </w:rPr>
        <w:t xml:space="preserve"> </w:t>
      </w:r>
      <w:r w:rsidRPr="00330B09">
        <w:rPr>
          <w:lang w:val="ka-GE"/>
        </w:rPr>
        <w:t xml:space="preserve">უცნობია. ქიმიოთერაპიულმა საშუალებებმა და სხივურმა თერაპიამ შეიძლება გამოიწვიოს სეროტონინის (5-HT) გამოთავისუფლება წვრილ ნაწლავში და გამოიწვიოს ღებინების რეფლექსი ვაგუსური აფერენტების გააქტიურებით 5-HT3 რეცეპტორების მეშვეობით. ონდანსეტრონი ბლოკავს ამ რეფლექსის გააქტიურებას. ვაგუსური აფერენტების გააქტიურებამ ასევე შეიძლება გამოიწვიოს 5-HT-ის გამოთავისუფლება მეოთხე პარკუჭის ფსკერზე მდებარე </w:t>
      </w:r>
      <w:r w:rsidR="00050AF4" w:rsidRPr="00330B09">
        <w:rPr>
          <w:lang w:val="ka-GE"/>
        </w:rPr>
        <w:t>A</w:t>
      </w:r>
      <w:r w:rsidRPr="00330B09">
        <w:rPr>
          <w:lang w:val="ka-GE"/>
        </w:rPr>
        <w:t>rea postrema-ში და ამით ასევე გამოიწვიოს ღებინება ცენტრალური მექანიზმის მეშვეობით. ონდანსეტრონის ეფექტი ციტოტოქსიკური ქიმიოთერაპიით და სხივური თერაპიით გამოწვეული გულისრევისა და ღებინების მკურნალობაში, სავარაუდოდ, ეფუძნება პერიფერიული და ცენტრალური ნერვული სისტემის ნეირონებზე 5-HT3 რეცეპტორების ბლოკადას. ოპერაციის შემდგომი გულისრევისა და ღებინების მოქმედების მექანიზმები უცნობია, მაგრამ შეიძლება არსებობდეს მსგავსება ციტოტოქსიკურ გულისრევასა და ღებინებასთან.</w:t>
      </w:r>
      <w:r w:rsidR="006A6FB9" w:rsidRPr="00330B09">
        <w:rPr>
          <w:lang w:val="ka-GE"/>
        </w:rPr>
        <w:t xml:space="preserve"> </w:t>
      </w:r>
    </w:p>
    <w:p w14:paraId="16722633" w14:textId="7F541352" w:rsidR="008342B5" w:rsidRPr="00330B09" w:rsidRDefault="00B26D05" w:rsidP="00321FE4">
      <w:pPr>
        <w:spacing w:after="0" w:line="240" w:lineRule="auto"/>
        <w:jc w:val="both"/>
        <w:rPr>
          <w:lang w:val="ka-GE"/>
        </w:rPr>
      </w:pPr>
      <w:r w:rsidRPr="00330B09">
        <w:rPr>
          <w:lang w:val="ka-GE"/>
        </w:rPr>
        <w:t xml:space="preserve">ონდანსეტრონის QTc ინტერვალზე გავლენა გამოკვლეული იქნა ორმაგად ბრმა, რანდომიზებულ, პლაცებო- და </w:t>
      </w:r>
      <w:r w:rsidR="00707D04" w:rsidRPr="00330B09">
        <w:rPr>
          <w:lang w:val="ka-GE"/>
        </w:rPr>
        <w:t>(</w:t>
      </w:r>
      <w:r w:rsidRPr="00330B09">
        <w:rPr>
          <w:lang w:val="ka-GE"/>
        </w:rPr>
        <w:t>მოქსიფლოქსაცინ</w:t>
      </w:r>
      <w:r w:rsidR="00707D04" w:rsidRPr="00330B09">
        <w:rPr>
          <w:lang w:val="ka-GE"/>
        </w:rPr>
        <w:t>)</w:t>
      </w:r>
      <w:r w:rsidRPr="00330B09">
        <w:rPr>
          <w:lang w:val="ka-GE"/>
        </w:rPr>
        <w:t xml:space="preserve">დადებით ჯვარედინ კვლევაში, რომელშიც მონაწილეობდა 58 ჯანმრთელი ზრდასრული მამაკაცი და ქალი. </w:t>
      </w:r>
      <w:r w:rsidR="008342B5" w:rsidRPr="00330B09">
        <w:rPr>
          <w:lang w:val="ka-GE"/>
        </w:rPr>
        <w:t>ონდანსეტრონის დოზები მოიცავდა 8 მგ და 32 მგ</w:t>
      </w:r>
      <w:r w:rsidR="0083614B">
        <w:rPr>
          <w:lang w:val="ka-GE"/>
        </w:rPr>
        <w:t>-ს</w:t>
      </w:r>
      <w:r w:rsidR="008342B5" w:rsidRPr="00330B09">
        <w:rPr>
          <w:lang w:val="ka-GE"/>
        </w:rPr>
        <w:t>, რომლებიც შეყვანილი იქნა ინტრავენურად 15 წუთის განმავლობაში.</w:t>
      </w:r>
    </w:p>
    <w:p w14:paraId="343022C8" w14:textId="57762886" w:rsidR="00B26D05" w:rsidRPr="00330B09" w:rsidRDefault="00B26D05" w:rsidP="00321FE4">
      <w:pPr>
        <w:spacing w:after="0" w:line="240" w:lineRule="auto"/>
        <w:jc w:val="both"/>
        <w:rPr>
          <w:lang w:val="ka-GE"/>
        </w:rPr>
      </w:pPr>
      <w:r w:rsidRPr="00330B09">
        <w:rPr>
          <w:lang w:val="ka-GE"/>
        </w:rPr>
        <w:t>ყველაზე მაღალი ტესტირებული დოზის</w:t>
      </w:r>
      <w:r w:rsidR="00C675F4" w:rsidRPr="00330B09">
        <w:rPr>
          <w:lang w:val="ka-GE"/>
        </w:rPr>
        <w:t xml:space="preserve"> დროს, რომელიც შეადგენდა </w:t>
      </w:r>
      <w:r w:rsidRPr="00330B09">
        <w:rPr>
          <w:lang w:val="ka-GE"/>
        </w:rPr>
        <w:t>32 მგ-ს</w:t>
      </w:r>
      <w:r w:rsidR="00C675F4" w:rsidRPr="00330B09">
        <w:rPr>
          <w:lang w:val="ka-GE"/>
        </w:rPr>
        <w:t xml:space="preserve">, </w:t>
      </w:r>
      <w:r w:rsidRPr="00330B09">
        <w:rPr>
          <w:lang w:val="ka-GE"/>
        </w:rPr>
        <w:t xml:space="preserve">QTcF ინტერვალის მაქსიმალური საშუალო სხვაობა (90%-იანი სანდოობის ინტერვალის ზედა ზღვარი) პლაცებოსთან შედარებით საწყისი </w:t>
      </w:r>
      <w:r w:rsidR="00293F08" w:rsidRPr="00330B09">
        <w:rPr>
          <w:lang w:val="ka-GE"/>
        </w:rPr>
        <w:t xml:space="preserve">დონის </w:t>
      </w:r>
      <w:r w:rsidRPr="00330B09">
        <w:rPr>
          <w:lang w:val="ka-GE"/>
        </w:rPr>
        <w:t xml:space="preserve">კორექციის შემდეგ იყო 19.6 (21.5) </w:t>
      </w:r>
      <w:r w:rsidR="007F1A97" w:rsidRPr="00330B09">
        <w:rPr>
          <w:lang w:val="ka-GE"/>
        </w:rPr>
        <w:t>მილიწამი.</w:t>
      </w:r>
      <w:r w:rsidRPr="00330B09">
        <w:rPr>
          <w:lang w:val="ka-GE"/>
        </w:rPr>
        <w:t xml:space="preserve"> ყველაზე დაბალი ტესტირებული დოზის - 8 მგ-ის დროს, QTcF ინტერვალის მაქსიმალური საშუალო სხვაობა (90%-იანი სანდოობის ინტერვალის ზედა ზღვარი) პლაცებოსთან შედარებით საწყისი კორექციის შემდეგ იყო 5.8 (7.8) </w:t>
      </w:r>
      <w:r w:rsidR="008A3F21" w:rsidRPr="00330B09">
        <w:rPr>
          <w:lang w:val="ka-GE"/>
        </w:rPr>
        <w:t>მილიწამი.</w:t>
      </w:r>
      <w:r w:rsidRPr="00330B09">
        <w:rPr>
          <w:lang w:val="ka-GE"/>
        </w:rPr>
        <w:t xml:space="preserve"> ამ კვლევაში არ დაფიქსირებულა QTcF მნიშვნელობები 480</w:t>
      </w:r>
      <w:r w:rsidR="00224B9B" w:rsidRPr="00330B09">
        <w:rPr>
          <w:lang w:val="ka-GE"/>
        </w:rPr>
        <w:t xml:space="preserve"> მილიწამ</w:t>
      </w:r>
      <w:r w:rsidRPr="00330B09">
        <w:rPr>
          <w:lang w:val="ka-GE"/>
        </w:rPr>
        <w:t xml:space="preserve">ზე მეტი და QTcF ინტერვალის 60 </w:t>
      </w:r>
      <w:r w:rsidR="00566CA1" w:rsidRPr="00330B09">
        <w:rPr>
          <w:lang w:val="ka-GE"/>
        </w:rPr>
        <w:t xml:space="preserve">მილიწამზე </w:t>
      </w:r>
      <w:r w:rsidRPr="00330B09">
        <w:rPr>
          <w:lang w:val="ka-GE"/>
        </w:rPr>
        <w:t>მეტი გახანგრძლივება. ელექტროკარდიოგრამაზე არ დაფიქსირებულა მნიშვნელოვანი ცვლილებები გაზომილ PR ან QRS ინტერვალებში.</w:t>
      </w:r>
      <w:r w:rsidR="00657838" w:rsidRPr="00330B09">
        <w:rPr>
          <w:lang w:val="ka-GE"/>
        </w:rPr>
        <w:t xml:space="preserve"> </w:t>
      </w:r>
    </w:p>
    <w:bookmarkEnd w:id="0"/>
    <w:p w14:paraId="35B32B99" w14:textId="77777777" w:rsidR="00F36A92" w:rsidRPr="00330B09" w:rsidRDefault="00F36A92" w:rsidP="00321FE4">
      <w:pPr>
        <w:spacing w:after="0" w:line="240" w:lineRule="auto"/>
        <w:jc w:val="both"/>
        <w:rPr>
          <w:lang w:val="ka-GE"/>
        </w:rPr>
      </w:pPr>
    </w:p>
    <w:p w14:paraId="359C575D" w14:textId="77777777" w:rsidR="00F36A92" w:rsidRPr="00330B09" w:rsidRDefault="00F36A92" w:rsidP="00F36A92">
      <w:pPr>
        <w:spacing w:after="0" w:line="240" w:lineRule="auto"/>
        <w:jc w:val="both"/>
        <w:rPr>
          <w:b/>
          <w:bCs/>
          <w:lang w:val="ka-GE"/>
        </w:rPr>
      </w:pPr>
      <w:r w:rsidRPr="00330B09">
        <w:rPr>
          <w:b/>
          <w:bCs/>
          <w:lang w:val="ka-GE"/>
        </w:rPr>
        <w:t>ფარმაკოკინეტიკური თვისებები</w:t>
      </w:r>
    </w:p>
    <w:p w14:paraId="56898FA5" w14:textId="6AFD80B5" w:rsidR="00F36A92" w:rsidRPr="00330B09" w:rsidRDefault="00F36A92" w:rsidP="00F36A92">
      <w:pPr>
        <w:spacing w:after="0" w:line="240" w:lineRule="auto"/>
        <w:jc w:val="both"/>
        <w:rPr>
          <w:lang w:val="ka-GE"/>
        </w:rPr>
      </w:pPr>
      <w:bookmarkStart w:id="1" w:name="_Hlk232779166"/>
      <w:r w:rsidRPr="00330B09">
        <w:rPr>
          <w:lang w:val="ka-GE"/>
        </w:rPr>
        <w:t>შემდეგი საშუალო ფარმაკოკინეტიკური მონაცემები მიღებული იქნა ჯანმრთელ ზრდასრულ სუბიექტებში 0.15 მგ/კგ ერთჯერადი ინტრავენური დოზის შემდეგ.</w:t>
      </w:r>
    </w:p>
    <w:p w14:paraId="7658A2F3" w14:textId="77777777" w:rsidR="00F36A92" w:rsidRPr="00330B09" w:rsidRDefault="00F36A92" w:rsidP="00F36A92">
      <w:pPr>
        <w:spacing w:after="0" w:line="240" w:lineRule="auto"/>
        <w:jc w:val="both"/>
        <w:rPr>
          <w:u w:val="single"/>
          <w:lang w:val="ka-GE"/>
        </w:rPr>
      </w:pPr>
      <w:r w:rsidRPr="00330B09">
        <w:rPr>
          <w:u w:val="single"/>
          <w:lang w:val="ka-GE"/>
        </w:rPr>
        <w:t>ფარმაკოკინეტიკა ჯანმრთელ ზრდასრულ სუბიექტებში</w:t>
      </w:r>
    </w:p>
    <w:p w14:paraId="417047B4" w14:textId="77777777" w:rsidR="0041673B" w:rsidRPr="00330B09" w:rsidRDefault="0041673B" w:rsidP="00F36A92">
      <w:pPr>
        <w:spacing w:after="0" w:line="240" w:lineRule="auto"/>
        <w:jc w:val="both"/>
        <w:rPr>
          <w:lang w:val="ka-GE"/>
        </w:rPr>
      </w:pPr>
    </w:p>
    <w:tbl>
      <w:tblPr>
        <w:tblW w:w="9632" w:type="dxa"/>
        <w:tblInd w:w="-5" w:type="dxa"/>
        <w:tblCellMar>
          <w:left w:w="0" w:type="dxa"/>
          <w:right w:w="0" w:type="dxa"/>
        </w:tblCellMar>
        <w:tblLook w:val="04A0" w:firstRow="1" w:lastRow="0" w:firstColumn="1" w:lastColumn="0" w:noHBand="0" w:noVBand="1"/>
      </w:tblPr>
      <w:tblGrid>
        <w:gridCol w:w="1635"/>
        <w:gridCol w:w="592"/>
        <w:gridCol w:w="3013"/>
        <w:gridCol w:w="2694"/>
        <w:gridCol w:w="1698"/>
      </w:tblGrid>
      <w:tr w:rsidR="009C5963" w:rsidRPr="00330B09" w14:paraId="380FAE80" w14:textId="77777777" w:rsidTr="00714A01">
        <w:trPr>
          <w:trHeight w:val="231"/>
        </w:trPr>
        <w:tc>
          <w:tcPr>
            <w:tcW w:w="1635" w:type="dxa"/>
            <w:tcBorders>
              <w:top w:val="single" w:sz="8" w:space="0" w:color="231F20"/>
              <w:left w:val="single" w:sz="8" w:space="0" w:color="231F20"/>
              <w:bottom w:val="single" w:sz="8" w:space="0" w:color="231F20"/>
              <w:right w:val="single" w:sz="8" w:space="0" w:color="231F20"/>
            </w:tcBorders>
            <w:vAlign w:val="center"/>
            <w:hideMark/>
          </w:tcPr>
          <w:p w14:paraId="0B7B8EF3" w14:textId="77777777" w:rsidR="009C5963" w:rsidRPr="00330B09" w:rsidRDefault="004E73B6" w:rsidP="009E4C3F">
            <w:pPr>
              <w:spacing w:after="0"/>
              <w:jc w:val="both"/>
              <w:rPr>
                <w:rFonts w:ascii="Times New Roman" w:hAnsi="Times New Roman" w:cs="Times New Roman"/>
                <w:sz w:val="20"/>
                <w:szCs w:val="20"/>
                <w:lang w:val="ka-GE"/>
              </w:rPr>
            </w:pPr>
            <w:r w:rsidRPr="00330B09">
              <w:rPr>
                <w:rFonts w:cs="Sylfaen"/>
                <w:sz w:val="20"/>
                <w:szCs w:val="20"/>
                <w:lang w:val="ka-GE"/>
              </w:rPr>
              <w:t>ასაკობრივი</w:t>
            </w:r>
            <w:r w:rsidRPr="00330B09">
              <w:rPr>
                <w:rFonts w:ascii="Times New Roman" w:hAnsi="Times New Roman" w:cs="Times New Roman"/>
                <w:sz w:val="20"/>
                <w:szCs w:val="20"/>
                <w:lang w:val="ka-GE"/>
              </w:rPr>
              <w:t xml:space="preserve"> </w:t>
            </w:r>
            <w:r w:rsidRPr="00330B09">
              <w:rPr>
                <w:rFonts w:cs="Sylfaen"/>
                <w:sz w:val="20"/>
                <w:szCs w:val="20"/>
                <w:lang w:val="ka-GE"/>
              </w:rPr>
              <w:t>ჯგუფი</w:t>
            </w:r>
            <w:r w:rsidRPr="00330B09">
              <w:rPr>
                <w:rFonts w:ascii="Times New Roman" w:hAnsi="Times New Roman" w:cs="Times New Roman"/>
                <w:sz w:val="20"/>
                <w:szCs w:val="20"/>
                <w:lang w:val="ka-GE"/>
              </w:rPr>
              <w:t xml:space="preserve"> (</w:t>
            </w:r>
            <w:r w:rsidRPr="00330B09">
              <w:rPr>
                <w:rFonts w:cs="Sylfaen"/>
                <w:sz w:val="20"/>
                <w:szCs w:val="20"/>
                <w:lang w:val="ka-GE"/>
              </w:rPr>
              <w:t>წლები</w:t>
            </w:r>
            <w:r w:rsidRPr="00330B09">
              <w:rPr>
                <w:rFonts w:ascii="Times New Roman" w:hAnsi="Times New Roman" w:cs="Times New Roman"/>
                <w:sz w:val="20"/>
                <w:szCs w:val="20"/>
                <w:lang w:val="ka-GE"/>
              </w:rPr>
              <w:t>)</w:t>
            </w:r>
          </w:p>
        </w:tc>
        <w:tc>
          <w:tcPr>
            <w:tcW w:w="592" w:type="dxa"/>
            <w:tcBorders>
              <w:top w:val="single" w:sz="8" w:space="0" w:color="231F20"/>
              <w:left w:val="nil"/>
              <w:bottom w:val="single" w:sz="8" w:space="0" w:color="231F20"/>
              <w:right w:val="single" w:sz="8" w:space="0" w:color="231F20"/>
            </w:tcBorders>
            <w:vAlign w:val="center"/>
            <w:hideMark/>
          </w:tcPr>
          <w:p w14:paraId="1E27A97E"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w:t>
            </w:r>
          </w:p>
        </w:tc>
        <w:tc>
          <w:tcPr>
            <w:tcW w:w="3013" w:type="dxa"/>
            <w:tcBorders>
              <w:top w:val="single" w:sz="8" w:space="0" w:color="231F20"/>
              <w:left w:val="nil"/>
              <w:bottom w:val="single" w:sz="8" w:space="0" w:color="231F20"/>
              <w:right w:val="single" w:sz="8" w:space="0" w:color="231F20"/>
            </w:tcBorders>
            <w:vAlign w:val="center"/>
            <w:hideMark/>
          </w:tcPr>
          <w:p w14:paraId="729DF680" w14:textId="77777777" w:rsidR="009C5963" w:rsidRPr="00330B09" w:rsidRDefault="00182201" w:rsidP="009E4C3F">
            <w:pPr>
              <w:spacing w:after="0"/>
              <w:jc w:val="both"/>
              <w:rPr>
                <w:rFonts w:ascii="Times New Roman" w:hAnsi="Times New Roman" w:cs="Times New Roman"/>
                <w:sz w:val="20"/>
                <w:szCs w:val="20"/>
                <w:lang w:val="ka-GE"/>
              </w:rPr>
            </w:pPr>
            <w:r w:rsidRPr="00330B09">
              <w:rPr>
                <w:rFonts w:cs="Sylfaen"/>
                <w:sz w:val="20"/>
                <w:szCs w:val="20"/>
                <w:lang w:val="ka-GE"/>
              </w:rPr>
              <w:t>პიკური</w:t>
            </w:r>
            <w:r w:rsidRPr="00330B09">
              <w:rPr>
                <w:rFonts w:ascii="Times New Roman" w:hAnsi="Times New Roman" w:cs="Times New Roman"/>
                <w:sz w:val="20"/>
                <w:szCs w:val="20"/>
                <w:lang w:val="ka-GE"/>
              </w:rPr>
              <w:t xml:space="preserve"> </w:t>
            </w:r>
            <w:r w:rsidRPr="00330B09">
              <w:rPr>
                <w:rFonts w:cs="Sylfaen"/>
                <w:sz w:val="20"/>
                <w:szCs w:val="20"/>
                <w:lang w:val="ka-GE"/>
              </w:rPr>
              <w:t>პლაზმური</w:t>
            </w:r>
            <w:r w:rsidRPr="00330B09">
              <w:rPr>
                <w:rFonts w:ascii="Times New Roman" w:hAnsi="Times New Roman" w:cs="Times New Roman"/>
                <w:sz w:val="20"/>
                <w:szCs w:val="20"/>
                <w:lang w:val="ka-GE"/>
              </w:rPr>
              <w:t xml:space="preserve"> </w:t>
            </w:r>
            <w:r w:rsidRPr="00330B09">
              <w:rPr>
                <w:rFonts w:cs="Sylfaen"/>
                <w:sz w:val="20"/>
                <w:szCs w:val="20"/>
                <w:lang w:val="ka-GE"/>
              </w:rPr>
              <w:t>კონცენტრაცია</w:t>
            </w:r>
            <w:r w:rsidRPr="00330B09">
              <w:rPr>
                <w:rFonts w:ascii="Times New Roman" w:hAnsi="Times New Roman" w:cs="Times New Roman"/>
                <w:sz w:val="20"/>
                <w:szCs w:val="20"/>
                <w:lang w:val="ka-GE"/>
              </w:rPr>
              <w:t xml:space="preserve"> (</w:t>
            </w:r>
            <w:r w:rsidRPr="00330B09">
              <w:rPr>
                <w:rFonts w:cs="Sylfaen"/>
                <w:sz w:val="20"/>
                <w:szCs w:val="20"/>
                <w:lang w:val="ka-GE"/>
              </w:rPr>
              <w:t>ნგ</w:t>
            </w:r>
            <w:r w:rsidRPr="00330B09">
              <w:rPr>
                <w:rFonts w:ascii="Times New Roman" w:hAnsi="Times New Roman" w:cs="Times New Roman"/>
                <w:sz w:val="20"/>
                <w:szCs w:val="20"/>
                <w:lang w:val="ka-GE"/>
              </w:rPr>
              <w:t>/</w:t>
            </w:r>
            <w:r w:rsidRPr="00330B09">
              <w:rPr>
                <w:rFonts w:cs="Sylfaen"/>
                <w:sz w:val="20"/>
                <w:szCs w:val="20"/>
                <w:lang w:val="ka-GE"/>
              </w:rPr>
              <w:t>მლ</w:t>
            </w:r>
            <w:r w:rsidRPr="00330B09">
              <w:rPr>
                <w:rFonts w:ascii="Times New Roman" w:hAnsi="Times New Roman" w:cs="Times New Roman"/>
                <w:sz w:val="20"/>
                <w:szCs w:val="20"/>
                <w:lang w:val="ka-GE"/>
              </w:rPr>
              <w:t>)</w:t>
            </w:r>
          </w:p>
        </w:tc>
        <w:tc>
          <w:tcPr>
            <w:tcW w:w="2694" w:type="dxa"/>
            <w:tcBorders>
              <w:top w:val="single" w:sz="8" w:space="0" w:color="231F20"/>
              <w:left w:val="nil"/>
              <w:bottom w:val="single" w:sz="8" w:space="0" w:color="231F20"/>
              <w:right w:val="single" w:sz="8" w:space="0" w:color="231F20"/>
            </w:tcBorders>
            <w:vAlign w:val="center"/>
            <w:hideMark/>
          </w:tcPr>
          <w:p w14:paraId="31068164" w14:textId="77777777" w:rsidR="00A9034B" w:rsidRPr="00330B09" w:rsidRDefault="00A9034B" w:rsidP="00A9034B">
            <w:pPr>
              <w:spacing w:after="0"/>
              <w:jc w:val="both"/>
              <w:rPr>
                <w:rFonts w:ascii="Times New Roman" w:hAnsi="Times New Roman" w:cs="Times New Roman"/>
                <w:sz w:val="20"/>
                <w:szCs w:val="20"/>
                <w:lang w:val="ka-GE"/>
              </w:rPr>
            </w:pPr>
            <w:r w:rsidRPr="00330B09">
              <w:rPr>
                <w:rFonts w:cs="Sylfaen"/>
                <w:sz w:val="20"/>
                <w:szCs w:val="20"/>
                <w:lang w:val="ka-GE"/>
              </w:rPr>
              <w:t>საშუალო</w:t>
            </w:r>
          </w:p>
          <w:p w14:paraId="619E9A97" w14:textId="77777777" w:rsidR="00A9034B" w:rsidRPr="00330B09" w:rsidRDefault="00A9034B" w:rsidP="00A9034B">
            <w:pPr>
              <w:spacing w:after="0"/>
              <w:jc w:val="both"/>
              <w:rPr>
                <w:rFonts w:ascii="Times New Roman" w:hAnsi="Times New Roman" w:cs="Times New Roman"/>
                <w:sz w:val="20"/>
                <w:szCs w:val="20"/>
                <w:lang w:val="ka-GE"/>
              </w:rPr>
            </w:pPr>
            <w:r w:rsidRPr="00330B09">
              <w:rPr>
                <w:rFonts w:cs="Sylfaen"/>
                <w:sz w:val="20"/>
                <w:szCs w:val="20"/>
                <w:lang w:val="ka-GE"/>
              </w:rPr>
              <w:t>ელიმინაციის</w:t>
            </w:r>
          </w:p>
          <w:p w14:paraId="1C9D74B7" w14:textId="77777777" w:rsidR="009C5963" w:rsidRPr="00330B09" w:rsidRDefault="00A9034B" w:rsidP="00A9034B">
            <w:pPr>
              <w:spacing w:after="0"/>
              <w:jc w:val="both"/>
              <w:rPr>
                <w:rFonts w:ascii="Times New Roman" w:hAnsi="Times New Roman" w:cs="Times New Roman"/>
                <w:sz w:val="20"/>
                <w:szCs w:val="20"/>
                <w:u w:val="single"/>
                <w:lang w:val="ka-GE"/>
              </w:rPr>
            </w:pPr>
            <w:r w:rsidRPr="00330B09">
              <w:rPr>
                <w:rFonts w:cs="Sylfaen"/>
                <w:sz w:val="20"/>
                <w:szCs w:val="20"/>
                <w:lang w:val="ka-GE"/>
              </w:rPr>
              <w:t>ნახევარგამოყოფის</w:t>
            </w:r>
            <w:r w:rsidRPr="00330B09">
              <w:rPr>
                <w:rFonts w:ascii="Times New Roman" w:hAnsi="Times New Roman" w:cs="Times New Roman"/>
                <w:sz w:val="20"/>
                <w:szCs w:val="20"/>
                <w:lang w:val="ka-GE"/>
              </w:rPr>
              <w:t xml:space="preserve"> </w:t>
            </w:r>
            <w:r w:rsidRPr="00330B09">
              <w:rPr>
                <w:rFonts w:cs="Sylfaen"/>
                <w:sz w:val="20"/>
                <w:szCs w:val="20"/>
                <w:lang w:val="ka-GE"/>
              </w:rPr>
              <w:t>პერიოდი</w:t>
            </w:r>
            <w:r w:rsidRPr="00330B09">
              <w:rPr>
                <w:rFonts w:ascii="Times New Roman" w:hAnsi="Times New Roman" w:cs="Times New Roman"/>
                <w:sz w:val="20"/>
                <w:szCs w:val="20"/>
                <w:lang w:val="ka-GE"/>
              </w:rPr>
              <w:t xml:space="preserve"> (</w:t>
            </w:r>
            <w:r w:rsidRPr="00330B09">
              <w:rPr>
                <w:rFonts w:cs="Sylfaen"/>
                <w:sz w:val="20"/>
                <w:szCs w:val="20"/>
                <w:lang w:val="ka-GE"/>
              </w:rPr>
              <w:t>სთ</w:t>
            </w:r>
            <w:r w:rsidRPr="00330B09">
              <w:rPr>
                <w:rFonts w:ascii="Times New Roman" w:hAnsi="Times New Roman" w:cs="Times New Roman"/>
                <w:sz w:val="20"/>
                <w:szCs w:val="20"/>
                <w:lang w:val="ka-GE"/>
              </w:rPr>
              <w:t>)</w:t>
            </w:r>
          </w:p>
        </w:tc>
        <w:tc>
          <w:tcPr>
            <w:tcW w:w="1698" w:type="dxa"/>
            <w:tcBorders>
              <w:top w:val="single" w:sz="8" w:space="0" w:color="231F20"/>
              <w:left w:val="nil"/>
              <w:bottom w:val="single" w:sz="8" w:space="0" w:color="231F20"/>
              <w:right w:val="single" w:sz="8" w:space="0" w:color="231F20"/>
            </w:tcBorders>
            <w:vAlign w:val="center"/>
            <w:hideMark/>
          </w:tcPr>
          <w:p w14:paraId="5F934C7F" w14:textId="77777777" w:rsidR="008546C1" w:rsidRPr="00330B09" w:rsidRDefault="008546C1" w:rsidP="008546C1">
            <w:pPr>
              <w:spacing w:after="0"/>
              <w:jc w:val="both"/>
              <w:rPr>
                <w:rFonts w:ascii="Times New Roman" w:hAnsi="Times New Roman" w:cs="Times New Roman"/>
                <w:sz w:val="20"/>
                <w:szCs w:val="20"/>
                <w:lang w:val="ka-GE"/>
              </w:rPr>
            </w:pPr>
            <w:r w:rsidRPr="00330B09">
              <w:rPr>
                <w:rFonts w:cs="Sylfaen"/>
                <w:sz w:val="20"/>
                <w:szCs w:val="20"/>
                <w:lang w:val="ka-GE"/>
              </w:rPr>
              <w:t>პლაზმური</w:t>
            </w:r>
          </w:p>
          <w:p w14:paraId="30EA90EF" w14:textId="77777777" w:rsidR="008546C1" w:rsidRPr="00330B09" w:rsidRDefault="008546C1" w:rsidP="008546C1">
            <w:pPr>
              <w:spacing w:after="0"/>
              <w:jc w:val="both"/>
              <w:rPr>
                <w:rFonts w:ascii="Times New Roman" w:hAnsi="Times New Roman" w:cs="Times New Roman"/>
                <w:sz w:val="20"/>
                <w:szCs w:val="20"/>
                <w:lang w:val="ka-GE"/>
              </w:rPr>
            </w:pPr>
            <w:r w:rsidRPr="00330B09">
              <w:rPr>
                <w:rFonts w:cs="Sylfaen"/>
                <w:sz w:val="20"/>
                <w:szCs w:val="20"/>
                <w:lang w:val="ka-GE"/>
              </w:rPr>
              <w:t>კლირენსი</w:t>
            </w:r>
          </w:p>
          <w:p w14:paraId="31C6F0C6" w14:textId="77777777" w:rsidR="009C5963" w:rsidRPr="00330B09" w:rsidRDefault="008546C1" w:rsidP="008546C1">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სთ</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r>
      <w:tr w:rsidR="009C5963" w:rsidRPr="00330B09" w14:paraId="31882081" w14:textId="77777777" w:rsidTr="00714A01">
        <w:trPr>
          <w:trHeight w:val="121"/>
        </w:trPr>
        <w:tc>
          <w:tcPr>
            <w:tcW w:w="1635" w:type="dxa"/>
            <w:tcBorders>
              <w:top w:val="nil"/>
              <w:left w:val="single" w:sz="8" w:space="0" w:color="231F20"/>
              <w:bottom w:val="single" w:sz="8" w:space="0" w:color="231F20"/>
              <w:right w:val="single" w:sz="8" w:space="0" w:color="231F20"/>
            </w:tcBorders>
            <w:vAlign w:val="center"/>
            <w:hideMark/>
          </w:tcPr>
          <w:p w14:paraId="4CA644C8"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19-40</w:t>
            </w:r>
          </w:p>
        </w:tc>
        <w:tc>
          <w:tcPr>
            <w:tcW w:w="592" w:type="dxa"/>
            <w:tcBorders>
              <w:top w:val="nil"/>
              <w:left w:val="nil"/>
              <w:bottom w:val="single" w:sz="8" w:space="0" w:color="231F20"/>
              <w:right w:val="single" w:sz="8" w:space="0" w:color="231F20"/>
            </w:tcBorders>
            <w:vAlign w:val="center"/>
            <w:hideMark/>
          </w:tcPr>
          <w:p w14:paraId="21A99628"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11</w:t>
            </w:r>
          </w:p>
        </w:tc>
        <w:tc>
          <w:tcPr>
            <w:tcW w:w="3013" w:type="dxa"/>
            <w:tcBorders>
              <w:top w:val="nil"/>
              <w:left w:val="nil"/>
              <w:bottom w:val="single" w:sz="8" w:space="0" w:color="231F20"/>
              <w:right w:val="single" w:sz="8" w:space="0" w:color="231F20"/>
            </w:tcBorders>
            <w:vAlign w:val="center"/>
            <w:hideMark/>
          </w:tcPr>
          <w:p w14:paraId="01F24CC9"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102</w:t>
            </w:r>
          </w:p>
        </w:tc>
        <w:tc>
          <w:tcPr>
            <w:tcW w:w="2694" w:type="dxa"/>
            <w:tcBorders>
              <w:top w:val="nil"/>
              <w:left w:val="nil"/>
              <w:bottom w:val="single" w:sz="8" w:space="0" w:color="231F20"/>
              <w:right w:val="single" w:sz="8" w:space="0" w:color="231F20"/>
            </w:tcBorders>
            <w:vAlign w:val="center"/>
            <w:hideMark/>
          </w:tcPr>
          <w:p w14:paraId="47785CBD"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3.5</w:t>
            </w:r>
          </w:p>
        </w:tc>
        <w:tc>
          <w:tcPr>
            <w:tcW w:w="1698" w:type="dxa"/>
            <w:tcBorders>
              <w:top w:val="nil"/>
              <w:left w:val="nil"/>
              <w:bottom w:val="single" w:sz="8" w:space="0" w:color="231F20"/>
              <w:right w:val="single" w:sz="8" w:space="0" w:color="231F20"/>
            </w:tcBorders>
            <w:vAlign w:val="center"/>
            <w:hideMark/>
          </w:tcPr>
          <w:p w14:paraId="6F8A8E75"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0.381</w:t>
            </w:r>
          </w:p>
        </w:tc>
      </w:tr>
      <w:tr w:rsidR="009C5963" w:rsidRPr="00330B09" w14:paraId="1F2B9AB0" w14:textId="77777777" w:rsidTr="00714A01">
        <w:trPr>
          <w:trHeight w:val="121"/>
        </w:trPr>
        <w:tc>
          <w:tcPr>
            <w:tcW w:w="1635" w:type="dxa"/>
            <w:tcBorders>
              <w:top w:val="nil"/>
              <w:left w:val="single" w:sz="8" w:space="0" w:color="231F20"/>
              <w:bottom w:val="single" w:sz="8" w:space="0" w:color="231F20"/>
              <w:right w:val="single" w:sz="8" w:space="0" w:color="231F20"/>
            </w:tcBorders>
            <w:vAlign w:val="center"/>
            <w:hideMark/>
          </w:tcPr>
          <w:p w14:paraId="4E53D465"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61-74</w:t>
            </w:r>
          </w:p>
        </w:tc>
        <w:tc>
          <w:tcPr>
            <w:tcW w:w="592" w:type="dxa"/>
            <w:tcBorders>
              <w:top w:val="nil"/>
              <w:left w:val="nil"/>
              <w:bottom w:val="single" w:sz="8" w:space="0" w:color="231F20"/>
              <w:right w:val="single" w:sz="8" w:space="0" w:color="231F20"/>
            </w:tcBorders>
            <w:vAlign w:val="center"/>
            <w:hideMark/>
          </w:tcPr>
          <w:p w14:paraId="0108173D"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12</w:t>
            </w:r>
          </w:p>
        </w:tc>
        <w:tc>
          <w:tcPr>
            <w:tcW w:w="3013" w:type="dxa"/>
            <w:tcBorders>
              <w:top w:val="nil"/>
              <w:left w:val="nil"/>
              <w:bottom w:val="single" w:sz="8" w:space="0" w:color="231F20"/>
              <w:right w:val="single" w:sz="8" w:space="0" w:color="231F20"/>
            </w:tcBorders>
            <w:vAlign w:val="center"/>
            <w:hideMark/>
          </w:tcPr>
          <w:p w14:paraId="2E702BE5"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106</w:t>
            </w:r>
          </w:p>
        </w:tc>
        <w:tc>
          <w:tcPr>
            <w:tcW w:w="2694" w:type="dxa"/>
            <w:tcBorders>
              <w:top w:val="nil"/>
              <w:left w:val="nil"/>
              <w:bottom w:val="single" w:sz="8" w:space="0" w:color="231F20"/>
              <w:right w:val="single" w:sz="8" w:space="0" w:color="231F20"/>
            </w:tcBorders>
            <w:vAlign w:val="center"/>
            <w:hideMark/>
          </w:tcPr>
          <w:p w14:paraId="2050B488"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4.7</w:t>
            </w:r>
          </w:p>
        </w:tc>
        <w:tc>
          <w:tcPr>
            <w:tcW w:w="1698" w:type="dxa"/>
            <w:tcBorders>
              <w:top w:val="nil"/>
              <w:left w:val="nil"/>
              <w:bottom w:val="single" w:sz="8" w:space="0" w:color="231F20"/>
              <w:right w:val="single" w:sz="8" w:space="0" w:color="231F20"/>
            </w:tcBorders>
            <w:vAlign w:val="center"/>
            <w:hideMark/>
          </w:tcPr>
          <w:p w14:paraId="532A7732"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0.319</w:t>
            </w:r>
          </w:p>
        </w:tc>
      </w:tr>
      <w:tr w:rsidR="009C5963" w:rsidRPr="00330B09" w14:paraId="6DA601DF" w14:textId="77777777" w:rsidTr="00714A01">
        <w:trPr>
          <w:trHeight w:val="121"/>
        </w:trPr>
        <w:tc>
          <w:tcPr>
            <w:tcW w:w="1635" w:type="dxa"/>
            <w:tcBorders>
              <w:top w:val="nil"/>
              <w:left w:val="single" w:sz="8" w:space="0" w:color="231F20"/>
              <w:bottom w:val="single" w:sz="8" w:space="0" w:color="231F20"/>
              <w:right w:val="single" w:sz="8" w:space="0" w:color="231F20"/>
            </w:tcBorders>
            <w:vAlign w:val="center"/>
            <w:hideMark/>
          </w:tcPr>
          <w:p w14:paraId="66DA01BD"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75</w:t>
            </w:r>
          </w:p>
        </w:tc>
        <w:tc>
          <w:tcPr>
            <w:tcW w:w="592" w:type="dxa"/>
            <w:tcBorders>
              <w:top w:val="nil"/>
              <w:left w:val="nil"/>
              <w:bottom w:val="single" w:sz="8" w:space="0" w:color="231F20"/>
              <w:right w:val="single" w:sz="8" w:space="0" w:color="231F20"/>
            </w:tcBorders>
            <w:vAlign w:val="center"/>
            <w:hideMark/>
          </w:tcPr>
          <w:p w14:paraId="5481AB84"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11</w:t>
            </w:r>
          </w:p>
        </w:tc>
        <w:tc>
          <w:tcPr>
            <w:tcW w:w="3013" w:type="dxa"/>
            <w:tcBorders>
              <w:top w:val="nil"/>
              <w:left w:val="nil"/>
              <w:bottom w:val="single" w:sz="8" w:space="0" w:color="231F20"/>
              <w:right w:val="single" w:sz="8" w:space="0" w:color="231F20"/>
            </w:tcBorders>
            <w:vAlign w:val="center"/>
            <w:hideMark/>
          </w:tcPr>
          <w:p w14:paraId="0D9DCA76"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170</w:t>
            </w:r>
          </w:p>
        </w:tc>
        <w:tc>
          <w:tcPr>
            <w:tcW w:w="2694" w:type="dxa"/>
            <w:tcBorders>
              <w:top w:val="nil"/>
              <w:left w:val="nil"/>
              <w:bottom w:val="single" w:sz="8" w:space="0" w:color="231F20"/>
              <w:right w:val="single" w:sz="8" w:space="0" w:color="231F20"/>
            </w:tcBorders>
            <w:vAlign w:val="center"/>
            <w:hideMark/>
          </w:tcPr>
          <w:p w14:paraId="796CCCBB"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5.5</w:t>
            </w:r>
          </w:p>
        </w:tc>
        <w:tc>
          <w:tcPr>
            <w:tcW w:w="1698" w:type="dxa"/>
            <w:tcBorders>
              <w:top w:val="nil"/>
              <w:left w:val="nil"/>
              <w:bottom w:val="single" w:sz="8" w:space="0" w:color="231F20"/>
              <w:right w:val="single" w:sz="8" w:space="0" w:color="231F20"/>
            </w:tcBorders>
            <w:vAlign w:val="center"/>
            <w:hideMark/>
          </w:tcPr>
          <w:p w14:paraId="5DF72728" w14:textId="77777777" w:rsidR="009C5963" w:rsidRPr="00330B09" w:rsidRDefault="009C5963"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0.262</w:t>
            </w:r>
          </w:p>
        </w:tc>
      </w:tr>
    </w:tbl>
    <w:p w14:paraId="14A2A7C6" w14:textId="77777777" w:rsidR="00BF78B8" w:rsidRPr="00330B09" w:rsidRDefault="00BF78B8" w:rsidP="00BF78B8">
      <w:pPr>
        <w:spacing w:after="0" w:line="240" w:lineRule="auto"/>
        <w:jc w:val="both"/>
        <w:rPr>
          <w:lang w:val="ka-GE"/>
        </w:rPr>
      </w:pPr>
      <w:r w:rsidRPr="00330B09">
        <w:rPr>
          <w:u w:val="single"/>
          <w:lang w:val="ka-GE"/>
        </w:rPr>
        <w:t>აბსორბცი</w:t>
      </w:r>
      <w:r w:rsidRPr="00330B09">
        <w:rPr>
          <w:lang w:val="ka-GE"/>
        </w:rPr>
        <w:t>ა</w:t>
      </w:r>
    </w:p>
    <w:p w14:paraId="3F0B0FCD" w14:textId="5E10D049" w:rsidR="000F0016" w:rsidRPr="00330B09" w:rsidRDefault="00E76110" w:rsidP="00BF78B8">
      <w:pPr>
        <w:spacing w:after="0" w:line="240" w:lineRule="auto"/>
        <w:jc w:val="both"/>
        <w:rPr>
          <w:lang w:val="ka-GE"/>
        </w:rPr>
      </w:pPr>
      <w:r>
        <w:rPr>
          <w:lang w:val="ka-GE"/>
        </w:rPr>
        <w:t>ჯანმრთელ</w:t>
      </w:r>
      <w:r w:rsidR="00BF78B8" w:rsidRPr="00330B09">
        <w:rPr>
          <w:lang w:val="ka-GE"/>
        </w:rPr>
        <w:t xml:space="preserve"> </w:t>
      </w:r>
      <w:r w:rsidR="00401E7D" w:rsidRPr="00330B09">
        <w:rPr>
          <w:lang w:val="ka-GE"/>
        </w:rPr>
        <w:t>სუბიექტებში</w:t>
      </w:r>
      <w:r w:rsidR="00BF78B8" w:rsidRPr="00330B09">
        <w:rPr>
          <w:lang w:val="ka-GE"/>
        </w:rPr>
        <w:t xml:space="preserve"> ჩატარებულ კვლევაში (n = 56), 5-წუთიანი ინფუზიის სახით მიღებული 4 მგ ერთჯერადი დოზის ფარმაკოკინეტიკა შედარებული იყო </w:t>
      </w:r>
      <w:r w:rsidR="00C03ADA">
        <w:rPr>
          <w:lang w:val="ka-GE"/>
        </w:rPr>
        <w:t>ინტრამუსკულარული</w:t>
      </w:r>
      <w:r w:rsidR="00BF78B8" w:rsidRPr="00330B09">
        <w:rPr>
          <w:lang w:val="ka-GE"/>
        </w:rPr>
        <w:t xml:space="preserve"> ინექციის ფარმაკოკინეტიკასთან. სისტემური ექსპოზიცია, რომელიც იზომებოდა მრუდის ქვეშ საშუალო ფართობით (AUC), შედარებადი იყო ინტრავენური და </w:t>
      </w:r>
      <w:r w:rsidR="00781396">
        <w:rPr>
          <w:lang w:val="ka-GE"/>
        </w:rPr>
        <w:t>ინტრამუსკულარული</w:t>
      </w:r>
      <w:r w:rsidR="00BF78B8" w:rsidRPr="00330B09">
        <w:rPr>
          <w:lang w:val="ka-GE"/>
        </w:rPr>
        <w:t xml:space="preserve"> შეყვანის შემთხვევაში, შესაბამისად, 156 [95% </w:t>
      </w:r>
      <w:r w:rsidR="00781396">
        <w:rPr>
          <w:lang w:val="ka-GE"/>
        </w:rPr>
        <w:t>ნი</w:t>
      </w:r>
      <w:r w:rsidR="00BF78B8" w:rsidRPr="00330B09">
        <w:rPr>
          <w:lang w:val="ka-GE"/>
        </w:rPr>
        <w:t xml:space="preserve">: 136, 180] და 161 [95% </w:t>
      </w:r>
      <w:r w:rsidR="00781396">
        <w:rPr>
          <w:lang w:val="ka-GE"/>
        </w:rPr>
        <w:t>ნი</w:t>
      </w:r>
      <w:r w:rsidR="00BF78B8" w:rsidRPr="00330B09">
        <w:rPr>
          <w:lang w:val="ka-GE"/>
        </w:rPr>
        <w:t xml:space="preserve">: 137, 190] ნგ·სთ/მლ-ზე. საშუალო მაქსიმალური პლაზმური კონცენტრაცია იყო 42.9 [95% </w:t>
      </w:r>
      <w:r w:rsidR="00781396">
        <w:rPr>
          <w:lang w:val="ka-GE"/>
        </w:rPr>
        <w:t>ნი</w:t>
      </w:r>
      <w:r w:rsidR="00BF78B8" w:rsidRPr="00330B09">
        <w:rPr>
          <w:lang w:val="ka-GE"/>
        </w:rPr>
        <w:t>:</w:t>
      </w:r>
      <w:r w:rsidR="000F3034" w:rsidRPr="00330B09">
        <w:rPr>
          <w:lang w:val="ka-GE"/>
        </w:rPr>
        <w:t xml:space="preserve"> </w:t>
      </w:r>
      <w:r w:rsidR="000F0016" w:rsidRPr="00330B09">
        <w:rPr>
          <w:lang w:val="ka-GE"/>
        </w:rPr>
        <w:t xml:space="preserve">33.8, 54.4] ნგ/მლ ინტრავენური ინფუზიიდან 10 წუთის შემდეგ და 31.9 [95% </w:t>
      </w:r>
      <w:r w:rsidR="00781396">
        <w:rPr>
          <w:lang w:val="ka-GE"/>
        </w:rPr>
        <w:t>ნი</w:t>
      </w:r>
      <w:r w:rsidR="000F0016" w:rsidRPr="00330B09">
        <w:rPr>
          <w:lang w:val="ka-GE"/>
        </w:rPr>
        <w:t>: 26.3, 38.6] ნგ/მლ კუნთშიდა ინექციიდან 41 წუთის შემდეგ.</w:t>
      </w:r>
    </w:p>
    <w:p w14:paraId="266A0025" w14:textId="77777777" w:rsidR="002912DB" w:rsidRPr="00330B09" w:rsidRDefault="002912DB" w:rsidP="00BF78B8">
      <w:pPr>
        <w:spacing w:after="0" w:line="240" w:lineRule="auto"/>
        <w:jc w:val="both"/>
        <w:rPr>
          <w:u w:val="single"/>
          <w:lang w:val="ka-GE"/>
        </w:rPr>
      </w:pPr>
      <w:r w:rsidRPr="00330B09">
        <w:rPr>
          <w:u w:val="single"/>
          <w:lang w:val="ka-GE"/>
        </w:rPr>
        <w:t>განაწილება</w:t>
      </w:r>
    </w:p>
    <w:p w14:paraId="4B9448A8" w14:textId="77777777" w:rsidR="002912DB" w:rsidRPr="00330B09" w:rsidRDefault="00431A0D" w:rsidP="00BF78B8">
      <w:pPr>
        <w:spacing w:after="0" w:line="240" w:lineRule="auto"/>
        <w:jc w:val="both"/>
        <w:rPr>
          <w:u w:val="single"/>
          <w:lang w:val="ka-GE"/>
        </w:rPr>
      </w:pPr>
      <w:r w:rsidRPr="00330B09">
        <w:rPr>
          <w:lang w:val="ka-GE"/>
        </w:rPr>
        <w:t>ონდანსეტრონის პლაზმის ცილებთან შეკავშირება in vitro იყო 70-დან 76%-მდე ფარმაკოლოგიური კონცენტრაციის დიაპაზონში 10-დან 500 ნგ/მლ-მდე. მოცირკულირე პრეპარატი ასევე ნაწილდება ერითროციტებში.</w:t>
      </w:r>
    </w:p>
    <w:p w14:paraId="12B43E3C" w14:textId="77777777" w:rsidR="0075031F" w:rsidRPr="00330B09" w:rsidRDefault="0075031F" w:rsidP="00BF78B8">
      <w:pPr>
        <w:spacing w:after="0" w:line="240" w:lineRule="auto"/>
        <w:jc w:val="both"/>
        <w:rPr>
          <w:lang w:val="ka-GE"/>
        </w:rPr>
      </w:pPr>
      <w:r w:rsidRPr="00330B09">
        <w:rPr>
          <w:u w:val="single"/>
          <w:lang w:val="ka-GE"/>
        </w:rPr>
        <w:t>ელიმინაცია</w:t>
      </w:r>
    </w:p>
    <w:p w14:paraId="27C4382C" w14:textId="77777777" w:rsidR="00FA2907" w:rsidRPr="00330B09" w:rsidRDefault="00392F48" w:rsidP="00BF78B8">
      <w:pPr>
        <w:spacing w:after="0" w:line="240" w:lineRule="auto"/>
        <w:jc w:val="both"/>
        <w:rPr>
          <w:lang w:val="ka-GE"/>
        </w:rPr>
      </w:pPr>
      <w:r w:rsidRPr="00330B09">
        <w:rPr>
          <w:lang w:val="ka-GE"/>
        </w:rPr>
        <w:t>მეტაბოლიზმი</w:t>
      </w:r>
    </w:p>
    <w:p w14:paraId="2DABC88D" w14:textId="1B8D71DD" w:rsidR="00FA2907" w:rsidRPr="00330B09" w:rsidRDefault="00781396" w:rsidP="00FA2907">
      <w:pPr>
        <w:spacing w:after="0" w:line="240" w:lineRule="auto"/>
        <w:jc w:val="both"/>
        <w:rPr>
          <w:lang w:val="ka-GE"/>
        </w:rPr>
      </w:pPr>
      <w:r w:rsidRPr="00330B09">
        <w:rPr>
          <w:lang w:val="ka-GE"/>
        </w:rPr>
        <w:t xml:space="preserve">ადამიანებში </w:t>
      </w:r>
      <w:r w:rsidR="00FA2907" w:rsidRPr="00330B09">
        <w:rPr>
          <w:lang w:val="ka-GE"/>
        </w:rPr>
        <w:t>ონდანსეტრონი ინტენსიურად მეტაბოლიზდება, რადიოაქტიურ</w:t>
      </w:r>
      <w:r w:rsidR="00D1329D">
        <w:rPr>
          <w:lang w:val="ka-GE"/>
        </w:rPr>
        <w:t>ად მონიშნული</w:t>
      </w:r>
      <w:r w:rsidR="00FA2907" w:rsidRPr="00330B09">
        <w:rPr>
          <w:lang w:val="ka-GE"/>
        </w:rPr>
        <w:t xml:space="preserve"> დოზის დაახლოებით 5% შარდიდან საწყისი ნაერთის სახით გამოიყოფა. ძირითადი მეტაბოლური გზაა ინდოლის რგოლზე ჰიდროქსილირება, რასაც მოჰყვება გლუკურონიდის ან სულფატის კონიუგაცია. მიუხედავად იმისა, რომ ზოგიერთ არაკონიუგირებულ მეტაბოლიტს აქვს ფარმაკოლოგიური აქტივობა, ისინი პლაზმაში არ გვხვდება </w:t>
      </w:r>
      <w:r w:rsidR="00D1329D">
        <w:rPr>
          <w:lang w:val="ka-GE"/>
        </w:rPr>
        <w:t xml:space="preserve">იმ </w:t>
      </w:r>
      <w:r w:rsidR="00FA2907" w:rsidRPr="00330B09">
        <w:rPr>
          <w:lang w:val="ka-GE"/>
        </w:rPr>
        <w:t xml:space="preserve">კონცენტრაციებში, რომლებიც, სავარაუდოდ, მნიშვნელოვნად უწყობს ხელს ონდანსეტრონის ბიოლოგიურ აქტივობას. მეტაბოლიტები შეინიშნება შარდში. მეტაბოლიზმის ინ ვიტრო კვლევებმა აჩვენა, რომ ონდანსეტრონი წარმოადგენს ადამიანის ღვიძლის ციტოქრომ P-450 ფერმენტების სუბსტრატს, მათ შორის CYP1A2, CYP2D6 და CYP3A4. ონდანსეტრონის საერთო მეტაბოლიზმის თვალსაზრისით, CYP3A4 დომინანტურ როლს ასრულებს, ხოლო ძირითადი in vivo მეტაბოლიტების ფორმირება ხორციელდება CYP1A2-ით. CYP2D6-ის როლი ონდანსეტრონის in vivo მეტაბოლიზმში უმნიშვნელოა. ინტრავენური ონდანსეტრონის ფარმაკოკინეტიკა არ განსხვავდებოდა იმ სუბიექტებს შორის, რომლებიც </w:t>
      </w:r>
      <w:r w:rsidR="00836F6E" w:rsidRPr="00330B09">
        <w:rPr>
          <w:lang w:val="ka-GE"/>
        </w:rPr>
        <w:t>ექვემდებარებოდნენ</w:t>
      </w:r>
      <w:r w:rsidR="00FA2907" w:rsidRPr="00330B09">
        <w:rPr>
          <w:lang w:val="ka-GE"/>
        </w:rPr>
        <w:t xml:space="preserve"> CYP2D6-ის სუს</w:t>
      </w:r>
      <w:r w:rsidR="00836F6E" w:rsidRPr="00330B09">
        <w:rPr>
          <w:lang w:val="ka-GE"/>
        </w:rPr>
        <w:t>ტ</w:t>
      </w:r>
      <w:r w:rsidR="00FA2907" w:rsidRPr="00330B09">
        <w:rPr>
          <w:lang w:val="ka-GE"/>
        </w:rPr>
        <w:t xml:space="preserve"> მეტაბოლიზატორებ</w:t>
      </w:r>
      <w:r w:rsidR="00836F6E" w:rsidRPr="00330B09">
        <w:rPr>
          <w:lang w:val="ka-GE"/>
        </w:rPr>
        <w:t>ს</w:t>
      </w:r>
      <w:r w:rsidR="00FA2907" w:rsidRPr="00330B09">
        <w:rPr>
          <w:lang w:val="ka-GE"/>
        </w:rPr>
        <w:t xml:space="preserve"> და იმ სუბიექტებს შორის, რომლებიც </w:t>
      </w:r>
      <w:r w:rsidR="00C63B3B" w:rsidRPr="00330B09">
        <w:rPr>
          <w:lang w:val="ka-GE"/>
        </w:rPr>
        <w:t>ექვემდებარებოდნენ</w:t>
      </w:r>
      <w:r w:rsidR="00FA2907" w:rsidRPr="00330B09">
        <w:rPr>
          <w:lang w:val="ka-GE"/>
        </w:rPr>
        <w:t xml:space="preserve"> CYP2D6-ის ინტენსიურ</w:t>
      </w:r>
      <w:r w:rsidR="004614A0" w:rsidRPr="00330B09">
        <w:rPr>
          <w:lang w:val="ka-GE"/>
        </w:rPr>
        <w:t xml:space="preserve"> </w:t>
      </w:r>
      <w:r w:rsidR="00FA2907" w:rsidRPr="00330B09">
        <w:rPr>
          <w:lang w:val="ka-GE"/>
        </w:rPr>
        <w:t>მეტაბოლიზატორე</w:t>
      </w:r>
      <w:r w:rsidR="00B04DA0" w:rsidRPr="00330B09">
        <w:rPr>
          <w:lang w:val="ka-GE"/>
        </w:rPr>
        <w:t>ბს</w:t>
      </w:r>
      <w:r w:rsidR="00FA2907" w:rsidRPr="00330B09">
        <w:rPr>
          <w:lang w:val="ka-GE"/>
        </w:rPr>
        <w:t>, რაც კიდევ უფრო ადასტურებს CYP2D6-ის შეზღუდულ როლს ონდანსეტრონის განაწილებაში in vivo.</w:t>
      </w:r>
    </w:p>
    <w:p w14:paraId="32399786" w14:textId="427EB1B6" w:rsidR="00FA2907" w:rsidRPr="00330B09" w:rsidRDefault="00781396" w:rsidP="00FA2907">
      <w:pPr>
        <w:spacing w:after="0" w:line="240" w:lineRule="auto"/>
        <w:jc w:val="both"/>
        <w:rPr>
          <w:lang w:val="ka-GE"/>
        </w:rPr>
      </w:pPr>
      <w:r>
        <w:rPr>
          <w:lang w:val="ka-GE"/>
        </w:rPr>
        <w:t>ექსკრეცია</w:t>
      </w:r>
    </w:p>
    <w:p w14:paraId="6676C266" w14:textId="7F5566A8" w:rsidR="00FA2907" w:rsidRPr="00330B09" w:rsidRDefault="00FA2907" w:rsidP="00FA2907">
      <w:pPr>
        <w:spacing w:after="0" w:line="240" w:lineRule="auto"/>
        <w:jc w:val="both"/>
        <w:rPr>
          <w:lang w:val="ka-GE"/>
        </w:rPr>
      </w:pPr>
      <w:r w:rsidRPr="00330B09">
        <w:rPr>
          <w:lang w:val="ka-GE"/>
        </w:rPr>
        <w:t xml:space="preserve">ზრდასრულ </w:t>
      </w:r>
      <w:r w:rsidR="00D1329D">
        <w:rPr>
          <w:lang w:val="ka-GE"/>
        </w:rPr>
        <w:t>სიმსივნით</w:t>
      </w:r>
      <w:r w:rsidRPr="00330B09">
        <w:rPr>
          <w:lang w:val="ka-GE"/>
        </w:rPr>
        <w:t xml:space="preserve"> დაავადებულ პაციენტებში ონდანსეტრონის საშუალო ნახევარგამოყოფის პერიოდი </w:t>
      </w:r>
      <w:r w:rsidR="00D1329D" w:rsidRPr="00330B09">
        <w:rPr>
          <w:lang w:val="ka-GE"/>
        </w:rPr>
        <w:t>იყო</w:t>
      </w:r>
      <w:r w:rsidR="00D1329D">
        <w:rPr>
          <w:lang w:val="ka-GE"/>
        </w:rPr>
        <w:t xml:space="preserve"> </w:t>
      </w:r>
      <w:r w:rsidRPr="00330B09">
        <w:rPr>
          <w:lang w:val="ka-GE"/>
        </w:rPr>
        <w:t xml:space="preserve">4.0 საათი. ფარმაკოკინეტიკამ 4 დღის განმავლობაში </w:t>
      </w:r>
      <w:r w:rsidRPr="00330B09">
        <w:rPr>
          <w:lang w:val="ka-GE"/>
        </w:rPr>
        <w:lastRenderedPageBreak/>
        <w:t>მრავალჯერადი დოზების მიღების შემდეგ განსხვავებები არ გამოავლინა. დოზის პროპორციულ კვლევაში, 32 მგ ონდანსეტრონის სისტემური ექსპოზიცია არ იყო დოზის პროპორციული, რაც ნაჩვენებია დოზის ნორმალიზებული AUC მნიშვნელობების 8 მგ დოზასთან შედარებით. ეს მიუთითებს სისტემური კლირენსის უმნიშვნელო შემცირებაზე პლაზმური კონცენტრაციების ზრდასთან ერთად.</w:t>
      </w:r>
    </w:p>
    <w:p w14:paraId="750CB145" w14:textId="77777777" w:rsidR="00FA2907" w:rsidRPr="00330B09" w:rsidRDefault="00FA2907" w:rsidP="00FA2907">
      <w:pPr>
        <w:spacing w:after="0" w:line="240" w:lineRule="auto"/>
        <w:jc w:val="both"/>
        <w:rPr>
          <w:lang w:val="ka-GE"/>
        </w:rPr>
      </w:pPr>
      <w:r w:rsidRPr="00330B09">
        <w:rPr>
          <w:u w:val="single"/>
          <w:lang w:val="ka-GE"/>
        </w:rPr>
        <w:t>პაციენტთა სპეციფიკური პოპულაციები</w:t>
      </w:r>
    </w:p>
    <w:p w14:paraId="02F9ABB1" w14:textId="77777777" w:rsidR="00E0311C" w:rsidRPr="00330B09" w:rsidRDefault="00E0311C" w:rsidP="00FA2907">
      <w:pPr>
        <w:spacing w:after="0" w:line="240" w:lineRule="auto"/>
        <w:jc w:val="both"/>
        <w:rPr>
          <w:lang w:val="ka-GE"/>
        </w:rPr>
      </w:pPr>
      <w:r w:rsidRPr="00330B09">
        <w:rPr>
          <w:u w:val="single"/>
          <w:lang w:val="ka-GE"/>
        </w:rPr>
        <w:t>თირკმლის ფუნქციის დარღვევის მქონე პაციენტები:</w:t>
      </w:r>
      <w:r w:rsidRPr="00330B09">
        <w:rPr>
          <w:lang w:val="ka-GE"/>
        </w:rPr>
        <w:t xml:space="preserve"> ვინაიდან თირკმლის კლირენსი მთლიანი კლირენსის მხოლოდ მცირე ნაწილს (5%) შეადგენს, არ იყო მოსალოდნელი, რომ </w:t>
      </w:r>
      <w:r w:rsidR="00CD3EF5" w:rsidRPr="00330B09">
        <w:rPr>
          <w:lang w:val="ka-GE"/>
        </w:rPr>
        <w:t xml:space="preserve">თირკმლის ფუნქციის დარღვევა </w:t>
      </w:r>
      <w:r w:rsidRPr="00330B09">
        <w:rPr>
          <w:lang w:val="ka-GE"/>
        </w:rPr>
        <w:t>მნიშვნელოვნად იმოქმედებდა ონდანსეტრონის მთლიან კლირენსზე. თუმცა, ონდანსეტრონის პლაზმური კლირენსი დაახლოებით 41%-ით შემცირდა თირკმლის მძიმე უკმარისობის მქონე პაციენტებში (კრეატინინის კლირენსი &lt; 30 მლ/წთ). კლირენსის ეს შემცირება ცვალებადია და არ კორელირებს სიცოცხლის ხანგრძლივობის ზრდასთან.</w:t>
      </w:r>
    </w:p>
    <w:p w14:paraId="3F3C5016" w14:textId="77777777" w:rsidR="00DD7560" w:rsidRPr="00330B09" w:rsidRDefault="00DD7560" w:rsidP="00FA2907">
      <w:pPr>
        <w:spacing w:after="0" w:line="240" w:lineRule="auto"/>
        <w:jc w:val="both"/>
        <w:rPr>
          <w:lang w:val="ka-GE"/>
        </w:rPr>
      </w:pPr>
      <w:r w:rsidRPr="00330B09">
        <w:rPr>
          <w:u w:val="single"/>
          <w:lang w:val="ka-GE"/>
        </w:rPr>
        <w:t>ღვიძლის უკმარისობის მქონე პაციენტები:</w:t>
      </w:r>
      <w:r w:rsidRPr="00330B09">
        <w:rPr>
          <w:lang w:val="ka-GE"/>
        </w:rPr>
        <w:t xml:space="preserve"> ღვიძლის მსუბუქი და საშუალო უკმარისობის მქონე პაციენტებში კლირენსი განახევრდება და საშუალო ნახევარგამოყოფის პერიოდი იზრდება 11.6 საათამდე, </w:t>
      </w:r>
      <w:r w:rsidR="00B84360" w:rsidRPr="00330B09">
        <w:rPr>
          <w:lang w:val="ka-GE"/>
        </w:rPr>
        <w:t xml:space="preserve">ხოლო </w:t>
      </w:r>
      <w:r w:rsidRPr="00330B09">
        <w:rPr>
          <w:lang w:val="ka-GE"/>
        </w:rPr>
        <w:t>ღვიძლის უკმარისობის გარეშე 5.7 საათამდე. ღვიძლის მძიმე უკმარისობის მქონე პაციენტებში (ჩაილდ-პიუს</w:t>
      </w:r>
      <w:r w:rsidR="005C028A" w:rsidRPr="00330B09">
        <w:rPr>
          <w:lang w:val="ka-GE"/>
        </w:rPr>
        <w:t xml:space="preserve"> ქულა</w:t>
      </w:r>
      <w:r w:rsidRPr="00330B09">
        <w:rPr>
          <w:lang w:val="ka-GE"/>
        </w:rPr>
        <w:t xml:space="preserve"> ≥ 10), კლირენსი მცირდება ორჯერ ან სამჯერ და განაწილების აშკარა მოცულობა იზრდება, რაც იწვევს ნახევარგამოყოფის პერიოდის 20 საათამდე გახანგრძლივებას.</w:t>
      </w:r>
    </w:p>
    <w:p w14:paraId="07D92AF9" w14:textId="7EB35902" w:rsidR="00C4378E" w:rsidRPr="00330B09" w:rsidRDefault="00C4378E" w:rsidP="00FA2907">
      <w:pPr>
        <w:spacing w:after="0" w:line="240" w:lineRule="auto"/>
        <w:jc w:val="both"/>
        <w:rPr>
          <w:lang w:val="ka-GE"/>
        </w:rPr>
      </w:pPr>
      <w:r w:rsidRPr="00330B09">
        <w:rPr>
          <w:u w:val="single"/>
          <w:lang w:val="ka-GE"/>
        </w:rPr>
        <w:t>პედიატრიული პაციენტები:</w:t>
      </w:r>
      <w:r w:rsidRPr="00330B09">
        <w:rPr>
          <w:lang w:val="ka-GE"/>
        </w:rPr>
        <w:t xml:space="preserve"> ფარმაკოკინეტიკური მონაცემები შეგროვდა 6-დან 48 თვემდე ასაკის 74 </w:t>
      </w:r>
      <w:r w:rsidR="00EC0835">
        <w:rPr>
          <w:lang w:val="ka-GE"/>
        </w:rPr>
        <w:t>სიმსივნით</w:t>
      </w:r>
      <w:r w:rsidRPr="00330B09">
        <w:rPr>
          <w:lang w:val="ka-GE"/>
        </w:rPr>
        <w:t xml:space="preserve"> დაავადებული პაციენტისგან, რომლებმაც უსაფრთხოებისა და ეფექტურობის კვლევის ფარგლებში ინტრავენურად მიიღეს 0.15 მგ/კგ ონდანსეტრონი ყოველ 4 საათში სამჯერ. ეს მონაცემები გაერთიანდა 1-დან 24 თვემდე ასაკის 41 ქირურგიული პაციენტის თანმიმდევრულ ფარმაკოკინეტიკურ მონაცემებთან, რომლებმაც ოპერაციამდე ზოგადი ანესთეზიის ქვეშ მიიღეს 0.1 მგ/კგ ონდანსეტრონის ერთჯერადი ინტრავენური დოზა. შემდგომში ჩატარდა კომბინირებული მონაცემთა ნაკრების პოპულაციური ფარმაკოკინეტიკური ანალიზი. ამ ანალიზის შედეგები წარმოდგენილია ცხრილში 5 და შედარებულია 4-დან 18 წლამდე ასაკის </w:t>
      </w:r>
      <w:r w:rsidR="00EC0835">
        <w:rPr>
          <w:lang w:val="ka-GE"/>
        </w:rPr>
        <w:t>სიმსივნით</w:t>
      </w:r>
      <w:r w:rsidRPr="00330B09">
        <w:rPr>
          <w:lang w:val="ka-GE"/>
        </w:rPr>
        <w:t xml:space="preserve"> დაავადებული პაციენტების ფარმაკოკინეტიკურ შედეგებთან</w:t>
      </w:r>
      <w:r w:rsidR="00F11C3E" w:rsidRPr="00330B09">
        <w:rPr>
          <w:lang w:val="ka-GE"/>
        </w:rPr>
        <w:t>.</w:t>
      </w:r>
    </w:p>
    <w:p w14:paraId="315247CF" w14:textId="72C93B59" w:rsidR="00F11C3E" w:rsidRPr="00330B09" w:rsidRDefault="00F11C3E" w:rsidP="00FA2907">
      <w:pPr>
        <w:spacing w:after="0" w:line="240" w:lineRule="auto"/>
        <w:jc w:val="both"/>
        <w:rPr>
          <w:u w:val="single"/>
          <w:lang w:val="ka-GE"/>
        </w:rPr>
      </w:pPr>
      <w:r w:rsidRPr="00330B09">
        <w:rPr>
          <w:u w:val="single"/>
          <w:lang w:val="ka-GE"/>
        </w:rPr>
        <w:t xml:space="preserve">ფარმაკოკინეტიკა 1 თვიდან 18 წლამდე ასაკის </w:t>
      </w:r>
      <w:r w:rsidR="00EC0835">
        <w:rPr>
          <w:u w:val="single"/>
          <w:lang w:val="ka-GE"/>
        </w:rPr>
        <w:t>სიმსივნით</w:t>
      </w:r>
      <w:r w:rsidRPr="00330B09">
        <w:rPr>
          <w:u w:val="single"/>
          <w:lang w:val="ka-GE"/>
        </w:rPr>
        <w:t xml:space="preserve"> დაავადებულ პაციენტებში</w:t>
      </w:r>
    </w:p>
    <w:p w14:paraId="3C999043" w14:textId="77777777" w:rsidR="007269F6" w:rsidRPr="00330B09" w:rsidRDefault="007269F6" w:rsidP="00FA2907">
      <w:pPr>
        <w:spacing w:after="0" w:line="240" w:lineRule="auto"/>
        <w:jc w:val="both"/>
        <w:rPr>
          <w:lang w:val="ka-GE"/>
        </w:rPr>
      </w:pPr>
    </w:p>
    <w:tbl>
      <w:tblPr>
        <w:tblW w:w="9529" w:type="dxa"/>
        <w:tblInd w:w="-5" w:type="dxa"/>
        <w:tblCellMar>
          <w:left w:w="0" w:type="dxa"/>
          <w:right w:w="0" w:type="dxa"/>
        </w:tblCellMar>
        <w:tblLook w:val="04A0" w:firstRow="1" w:lastRow="0" w:firstColumn="1" w:lastColumn="0" w:noHBand="0" w:noVBand="1"/>
      </w:tblPr>
      <w:tblGrid>
        <w:gridCol w:w="4815"/>
        <w:gridCol w:w="724"/>
        <w:gridCol w:w="1238"/>
        <w:gridCol w:w="1424"/>
        <w:gridCol w:w="1328"/>
      </w:tblGrid>
      <w:tr w:rsidR="00FA1B92" w:rsidRPr="00330B09" w14:paraId="48CC5A43" w14:textId="77777777" w:rsidTr="00023003">
        <w:trPr>
          <w:trHeight w:val="165"/>
        </w:trPr>
        <w:tc>
          <w:tcPr>
            <w:tcW w:w="4815" w:type="dxa"/>
            <w:tcBorders>
              <w:top w:val="single" w:sz="8" w:space="0" w:color="231F20"/>
              <w:left w:val="single" w:sz="8" w:space="0" w:color="231F20"/>
              <w:bottom w:val="single" w:sz="8" w:space="0" w:color="231F20"/>
              <w:right w:val="single" w:sz="8" w:space="0" w:color="231F20"/>
            </w:tcBorders>
            <w:vAlign w:val="center"/>
            <w:hideMark/>
          </w:tcPr>
          <w:p w14:paraId="6A403FCA" w14:textId="77777777" w:rsidR="00FA1B92" w:rsidRPr="00330B09" w:rsidRDefault="00580A99" w:rsidP="009E4C3F">
            <w:pPr>
              <w:spacing w:after="0"/>
              <w:jc w:val="both"/>
              <w:rPr>
                <w:rFonts w:ascii="Times New Roman" w:hAnsi="Times New Roman" w:cs="Times New Roman"/>
                <w:b/>
                <w:bCs/>
                <w:sz w:val="20"/>
                <w:szCs w:val="20"/>
                <w:lang w:val="ka-GE"/>
              </w:rPr>
            </w:pPr>
            <w:r w:rsidRPr="00330B09">
              <w:rPr>
                <w:rFonts w:cs="Sylfaen"/>
                <w:b/>
                <w:bCs/>
                <w:sz w:val="20"/>
                <w:szCs w:val="20"/>
                <w:lang w:val="ka-GE"/>
              </w:rPr>
              <w:t>სუბიექტები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და</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ასაკობრივი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ჯგუფი</w:t>
            </w:r>
          </w:p>
        </w:tc>
        <w:tc>
          <w:tcPr>
            <w:tcW w:w="724" w:type="dxa"/>
            <w:tcBorders>
              <w:top w:val="single" w:sz="8" w:space="0" w:color="231F20"/>
              <w:left w:val="nil"/>
              <w:bottom w:val="single" w:sz="8" w:space="0" w:color="231F20"/>
              <w:right w:val="single" w:sz="8" w:space="0" w:color="231F20"/>
            </w:tcBorders>
            <w:vAlign w:val="center"/>
            <w:hideMark/>
          </w:tcPr>
          <w:p w14:paraId="3DDC2656" w14:textId="77777777" w:rsidR="00FA1B92" w:rsidRPr="00330B09" w:rsidRDefault="00FA1B92" w:rsidP="009E4C3F">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N</w:t>
            </w:r>
          </w:p>
        </w:tc>
        <w:tc>
          <w:tcPr>
            <w:tcW w:w="1238" w:type="dxa"/>
            <w:tcBorders>
              <w:top w:val="single" w:sz="8" w:space="0" w:color="231F20"/>
              <w:left w:val="nil"/>
              <w:bottom w:val="single" w:sz="8" w:space="0" w:color="231F20"/>
              <w:right w:val="single" w:sz="8" w:space="0" w:color="231F20"/>
            </w:tcBorders>
            <w:vAlign w:val="center"/>
            <w:hideMark/>
          </w:tcPr>
          <w:p w14:paraId="41B7980B" w14:textId="77777777" w:rsidR="00580A99" w:rsidRPr="00330B09" w:rsidRDefault="00580A99" w:rsidP="00580A99">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CL</w:t>
            </w:r>
          </w:p>
          <w:p w14:paraId="3B50BFEE" w14:textId="77777777" w:rsidR="00FA1B92" w:rsidRPr="00330B09" w:rsidRDefault="00580A99" w:rsidP="00580A99">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სთ</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c>
          <w:tcPr>
            <w:tcW w:w="1424" w:type="dxa"/>
            <w:tcBorders>
              <w:top w:val="single" w:sz="8" w:space="0" w:color="231F20"/>
              <w:left w:val="nil"/>
              <w:bottom w:val="single" w:sz="8" w:space="0" w:color="231F20"/>
              <w:right w:val="single" w:sz="8" w:space="0" w:color="231F20"/>
            </w:tcBorders>
            <w:vAlign w:val="center"/>
            <w:hideMark/>
          </w:tcPr>
          <w:p w14:paraId="23DFD073" w14:textId="77777777" w:rsidR="00BE17DF" w:rsidRPr="00330B09" w:rsidRDefault="00BE17DF" w:rsidP="00BE17D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VDSS</w:t>
            </w:r>
          </w:p>
          <w:p w14:paraId="5C4C8E16" w14:textId="77777777" w:rsidR="00FA1B92" w:rsidRPr="00330B09" w:rsidRDefault="00BE17DF" w:rsidP="00BE17DF">
            <w:pPr>
              <w:spacing w:after="0"/>
              <w:jc w:val="both"/>
              <w:rPr>
                <w:rFonts w:ascii="Times New Roman" w:hAnsi="Times New Roman" w:cs="Times New Roman"/>
                <w:sz w:val="20"/>
                <w:szCs w:val="20"/>
                <w:u w:val="single"/>
                <w:lang w:val="ka-GE"/>
              </w:rPr>
            </w:pPr>
            <w:r w:rsidRPr="00330B09">
              <w:rPr>
                <w:rFonts w:ascii="Times New Roman" w:hAnsi="Times New Roman" w:cs="Times New Roman"/>
                <w:sz w:val="20"/>
                <w:szCs w:val="20"/>
                <w:lang w:val="ka-GE"/>
              </w:rPr>
              <w:t>(</w:t>
            </w:r>
            <w:r w:rsidRPr="00330B09">
              <w:rPr>
                <w:rFonts w:cs="Sylfaen"/>
                <w:sz w:val="20"/>
                <w:szCs w:val="20"/>
                <w:lang w:val="ka-GE"/>
              </w:rPr>
              <w:t>ლ</w:t>
            </w:r>
            <w:r w:rsidRPr="00330B09">
              <w:rPr>
                <w:rFonts w:ascii="Times New Roman" w:hAnsi="Times New Roman" w:cs="Times New Roman"/>
                <w:sz w:val="20"/>
                <w:szCs w:val="20"/>
                <w:lang w:val="ka-GE"/>
              </w:rPr>
              <w:t>/</w:t>
            </w:r>
            <w:r w:rsidRPr="00330B09">
              <w:rPr>
                <w:rFonts w:cs="Sylfaen"/>
                <w:sz w:val="20"/>
                <w:szCs w:val="20"/>
                <w:lang w:val="ka-GE"/>
              </w:rPr>
              <w:t>კგ</w:t>
            </w:r>
            <w:r w:rsidRPr="00330B09">
              <w:rPr>
                <w:rFonts w:ascii="Times New Roman" w:hAnsi="Times New Roman" w:cs="Times New Roman"/>
                <w:sz w:val="20"/>
                <w:szCs w:val="20"/>
                <w:lang w:val="ka-GE"/>
              </w:rPr>
              <w:t>)</w:t>
            </w:r>
          </w:p>
        </w:tc>
        <w:tc>
          <w:tcPr>
            <w:tcW w:w="1328" w:type="dxa"/>
            <w:tcBorders>
              <w:top w:val="single" w:sz="8" w:space="0" w:color="231F20"/>
              <w:left w:val="nil"/>
              <w:bottom w:val="single" w:sz="8" w:space="0" w:color="231F20"/>
              <w:right w:val="single" w:sz="8" w:space="0" w:color="231F20"/>
            </w:tcBorders>
            <w:vAlign w:val="center"/>
            <w:hideMark/>
          </w:tcPr>
          <w:p w14:paraId="7FF3D8AD"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t½ (</w:t>
            </w:r>
            <w:r w:rsidR="00BE17DF" w:rsidRPr="00330B09">
              <w:rPr>
                <w:rFonts w:cs="Times New Roman"/>
                <w:sz w:val="20"/>
                <w:szCs w:val="20"/>
                <w:lang w:val="ka-GE"/>
              </w:rPr>
              <w:t>სთ</w:t>
            </w:r>
            <w:r w:rsidRPr="00330B09">
              <w:rPr>
                <w:rFonts w:ascii="Times New Roman" w:hAnsi="Times New Roman" w:cs="Times New Roman"/>
                <w:sz w:val="20"/>
                <w:szCs w:val="20"/>
                <w:lang w:val="ka-GE"/>
              </w:rPr>
              <w:t>)</w:t>
            </w:r>
          </w:p>
        </w:tc>
      </w:tr>
      <w:tr w:rsidR="00FA1B92" w:rsidRPr="00330B09" w14:paraId="25BC59E3" w14:textId="77777777" w:rsidTr="00023003">
        <w:trPr>
          <w:trHeight w:val="87"/>
        </w:trPr>
        <w:tc>
          <w:tcPr>
            <w:tcW w:w="4815" w:type="dxa"/>
            <w:tcBorders>
              <w:top w:val="nil"/>
              <w:left w:val="single" w:sz="8" w:space="0" w:color="231F20"/>
              <w:bottom w:val="single" w:sz="8" w:space="0" w:color="231F20"/>
              <w:right w:val="single" w:sz="8" w:space="0" w:color="231F20"/>
            </w:tcBorders>
            <w:hideMark/>
          </w:tcPr>
          <w:p w14:paraId="62AF8817"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724" w:type="dxa"/>
            <w:tcBorders>
              <w:top w:val="nil"/>
              <w:left w:val="nil"/>
              <w:bottom w:val="single" w:sz="8" w:space="0" w:color="231F20"/>
              <w:right w:val="single" w:sz="8" w:space="0" w:color="231F20"/>
            </w:tcBorders>
            <w:vAlign w:val="center"/>
            <w:hideMark/>
          </w:tcPr>
          <w:p w14:paraId="0304CCB3"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2662" w:type="dxa"/>
            <w:gridSpan w:val="2"/>
            <w:tcBorders>
              <w:top w:val="nil"/>
              <w:left w:val="nil"/>
              <w:bottom w:val="single" w:sz="8" w:space="0" w:color="231F20"/>
              <w:right w:val="single" w:sz="8" w:space="0" w:color="231F20"/>
            </w:tcBorders>
            <w:vAlign w:val="center"/>
            <w:hideMark/>
          </w:tcPr>
          <w:p w14:paraId="6A2DA98B" w14:textId="77777777" w:rsidR="00FA1B92" w:rsidRPr="00330B09" w:rsidRDefault="002E494B" w:rsidP="009E4C3F">
            <w:pPr>
              <w:spacing w:after="0"/>
              <w:jc w:val="both"/>
              <w:rPr>
                <w:rFonts w:cs="Times New Roman"/>
                <w:b/>
                <w:bCs/>
                <w:sz w:val="20"/>
                <w:szCs w:val="20"/>
                <w:lang w:val="ka-GE"/>
              </w:rPr>
            </w:pPr>
            <w:r w:rsidRPr="00330B09">
              <w:rPr>
                <w:rFonts w:cs="Times New Roman"/>
                <w:b/>
                <w:bCs/>
                <w:sz w:val="20"/>
                <w:szCs w:val="20"/>
                <w:lang w:val="ka-GE"/>
              </w:rPr>
              <w:t>გეომეტრიული საშუალო</w:t>
            </w:r>
          </w:p>
        </w:tc>
        <w:tc>
          <w:tcPr>
            <w:tcW w:w="1328" w:type="dxa"/>
            <w:tcBorders>
              <w:top w:val="nil"/>
              <w:left w:val="nil"/>
              <w:bottom w:val="single" w:sz="8" w:space="0" w:color="231F20"/>
              <w:right w:val="single" w:sz="8" w:space="0" w:color="231F20"/>
            </w:tcBorders>
            <w:vAlign w:val="center"/>
            <w:hideMark/>
          </w:tcPr>
          <w:p w14:paraId="74CE3461" w14:textId="77777777" w:rsidR="00FA1B92" w:rsidRPr="00330B09" w:rsidRDefault="002E494B" w:rsidP="009E4C3F">
            <w:pPr>
              <w:spacing w:after="0"/>
              <w:jc w:val="both"/>
              <w:rPr>
                <w:rFonts w:cs="Times New Roman"/>
                <w:b/>
                <w:bCs/>
                <w:sz w:val="20"/>
                <w:szCs w:val="20"/>
                <w:lang w:val="ka-GE"/>
              </w:rPr>
            </w:pPr>
            <w:r w:rsidRPr="00330B09">
              <w:rPr>
                <w:rFonts w:cs="Times New Roman"/>
                <w:b/>
                <w:bCs/>
                <w:sz w:val="20"/>
                <w:szCs w:val="20"/>
                <w:lang w:val="ka-GE"/>
              </w:rPr>
              <w:t>საშუალო</w:t>
            </w:r>
          </w:p>
        </w:tc>
      </w:tr>
      <w:tr w:rsidR="00FA1B92" w:rsidRPr="00330B09" w14:paraId="73F19E14" w14:textId="77777777" w:rsidTr="00023003">
        <w:trPr>
          <w:trHeight w:val="87"/>
        </w:trPr>
        <w:tc>
          <w:tcPr>
            <w:tcW w:w="4815" w:type="dxa"/>
            <w:tcBorders>
              <w:top w:val="nil"/>
              <w:left w:val="single" w:sz="8" w:space="0" w:color="231F20"/>
              <w:bottom w:val="single" w:sz="8" w:space="0" w:color="231F20"/>
              <w:right w:val="single" w:sz="8" w:space="0" w:color="231F20"/>
            </w:tcBorders>
            <w:hideMark/>
          </w:tcPr>
          <w:p w14:paraId="45D11BA0" w14:textId="188AE106" w:rsidR="00FA1B92" w:rsidRPr="00330B09" w:rsidRDefault="00B10170" w:rsidP="00023003">
            <w:pPr>
              <w:spacing w:after="0"/>
              <w:ind w:right="138"/>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w:t>
            </w:r>
            <w:r w:rsidRPr="00330B09">
              <w:rPr>
                <w:rFonts w:cs="Sylfaen"/>
                <w:sz w:val="20"/>
                <w:szCs w:val="20"/>
                <w:lang w:val="ka-GE"/>
              </w:rPr>
              <w:t>დან</w:t>
            </w:r>
            <w:r w:rsidRPr="00330B09">
              <w:rPr>
                <w:rFonts w:ascii="Times New Roman" w:hAnsi="Times New Roman" w:cs="Times New Roman"/>
                <w:sz w:val="20"/>
                <w:szCs w:val="20"/>
                <w:lang w:val="ka-GE"/>
              </w:rPr>
              <w:t xml:space="preserve"> 18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00EC0835">
              <w:rPr>
                <w:rFonts w:cs="Sylfaen"/>
                <w:sz w:val="20"/>
                <w:szCs w:val="20"/>
                <w:lang w:val="ka-GE"/>
              </w:rPr>
              <w:t>სიმსივნით</w:t>
            </w:r>
            <w:r w:rsidRPr="00330B09">
              <w:rPr>
                <w:rFonts w:ascii="Times New Roman" w:hAnsi="Times New Roman" w:cs="Times New Roman"/>
                <w:sz w:val="20"/>
                <w:szCs w:val="20"/>
                <w:lang w:val="ka-GE"/>
              </w:rPr>
              <w:t xml:space="preserve"> </w:t>
            </w:r>
            <w:r w:rsidRPr="00330B09">
              <w:rPr>
                <w:rFonts w:cs="Sylfaen"/>
                <w:sz w:val="20"/>
                <w:szCs w:val="20"/>
                <w:lang w:val="ka-GE"/>
              </w:rPr>
              <w:t>დაავადებული</w:t>
            </w:r>
            <w:r w:rsidRPr="00330B09">
              <w:rPr>
                <w:rFonts w:ascii="Times New Roman" w:hAnsi="Times New Roman" w:cs="Times New Roman"/>
                <w:sz w:val="20"/>
                <w:szCs w:val="20"/>
                <w:lang w:val="ka-GE"/>
              </w:rPr>
              <w:t xml:space="preserve"> </w:t>
            </w:r>
            <w:r w:rsidR="00EC0835">
              <w:rPr>
                <w:rFonts w:cs="Times New Roman"/>
                <w:sz w:val="20"/>
                <w:szCs w:val="20"/>
                <w:lang w:val="ka-GE"/>
              </w:rPr>
              <w:t xml:space="preserve">პედიატრიული </w:t>
            </w:r>
            <w:r w:rsidRPr="00330B09">
              <w:rPr>
                <w:rFonts w:cs="Sylfaen"/>
                <w:sz w:val="20"/>
                <w:szCs w:val="20"/>
                <w:lang w:val="ka-GE"/>
              </w:rPr>
              <w:t>პაციენტები</w:t>
            </w:r>
          </w:p>
        </w:tc>
        <w:tc>
          <w:tcPr>
            <w:tcW w:w="724" w:type="dxa"/>
            <w:tcBorders>
              <w:top w:val="nil"/>
              <w:left w:val="nil"/>
              <w:bottom w:val="single" w:sz="8" w:space="0" w:color="231F20"/>
              <w:right w:val="single" w:sz="8" w:space="0" w:color="231F20"/>
            </w:tcBorders>
            <w:vAlign w:val="center"/>
            <w:hideMark/>
          </w:tcPr>
          <w:p w14:paraId="021DB1E1"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21</w:t>
            </w:r>
          </w:p>
        </w:tc>
        <w:tc>
          <w:tcPr>
            <w:tcW w:w="1238" w:type="dxa"/>
            <w:tcBorders>
              <w:top w:val="nil"/>
              <w:left w:val="nil"/>
              <w:bottom w:val="single" w:sz="8" w:space="0" w:color="231F20"/>
              <w:right w:val="single" w:sz="8" w:space="0" w:color="231F20"/>
            </w:tcBorders>
            <w:vAlign w:val="center"/>
            <w:hideMark/>
          </w:tcPr>
          <w:p w14:paraId="483DB5AB"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0.599</w:t>
            </w:r>
          </w:p>
        </w:tc>
        <w:tc>
          <w:tcPr>
            <w:tcW w:w="1424" w:type="dxa"/>
            <w:tcBorders>
              <w:top w:val="nil"/>
              <w:left w:val="nil"/>
              <w:bottom w:val="single" w:sz="8" w:space="0" w:color="231F20"/>
              <w:right w:val="single" w:sz="8" w:space="0" w:color="231F20"/>
            </w:tcBorders>
            <w:vAlign w:val="center"/>
            <w:hideMark/>
          </w:tcPr>
          <w:p w14:paraId="026F2C0E"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1.9</w:t>
            </w:r>
          </w:p>
        </w:tc>
        <w:tc>
          <w:tcPr>
            <w:tcW w:w="1328" w:type="dxa"/>
            <w:tcBorders>
              <w:top w:val="nil"/>
              <w:left w:val="nil"/>
              <w:bottom w:val="single" w:sz="8" w:space="0" w:color="231F20"/>
              <w:right w:val="single" w:sz="8" w:space="0" w:color="231F20"/>
            </w:tcBorders>
            <w:vAlign w:val="center"/>
            <w:hideMark/>
          </w:tcPr>
          <w:p w14:paraId="7DF9D1C6"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2.8</w:t>
            </w:r>
          </w:p>
        </w:tc>
      </w:tr>
      <w:tr w:rsidR="00FA1B92" w:rsidRPr="00330B09" w14:paraId="061D3A69" w14:textId="77777777" w:rsidTr="00023003">
        <w:trPr>
          <w:trHeight w:val="165"/>
        </w:trPr>
        <w:tc>
          <w:tcPr>
            <w:tcW w:w="4815" w:type="dxa"/>
            <w:tcBorders>
              <w:top w:val="nil"/>
              <w:left w:val="single" w:sz="8" w:space="0" w:color="231F20"/>
              <w:bottom w:val="single" w:sz="8" w:space="0" w:color="231F20"/>
              <w:right w:val="single" w:sz="8" w:space="0" w:color="231F20"/>
            </w:tcBorders>
            <w:hideMark/>
          </w:tcPr>
          <w:p w14:paraId="174A4D7E" w14:textId="77777777" w:rsidR="00FA1B92" w:rsidRPr="00330B09" w:rsidRDefault="001C023D"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48 </w:t>
            </w:r>
            <w:r w:rsidRPr="00330B09">
              <w:rPr>
                <w:rFonts w:cs="Sylfaen"/>
                <w:sz w:val="20"/>
                <w:szCs w:val="20"/>
                <w:lang w:val="ka-GE"/>
              </w:rPr>
              <w:t>თვემდე</w:t>
            </w:r>
            <w:r w:rsidR="00141348" w:rsidRPr="00330B09">
              <w:rPr>
                <w:rFonts w:cs="Sylfaen"/>
                <w:sz w:val="20"/>
                <w:szCs w:val="20"/>
                <w:lang w:val="ka-GE"/>
              </w:rPr>
              <w:t xml:space="preserve"> პაციენტების </w:t>
            </w:r>
            <w:r w:rsidR="00203C5B" w:rsidRPr="00330B09">
              <w:rPr>
                <w:rFonts w:ascii="Times New Roman" w:hAnsi="Times New Roman" w:cs="Times New Roman"/>
                <w:sz w:val="20"/>
                <w:szCs w:val="20"/>
                <w:lang w:val="ka-GE"/>
              </w:rPr>
              <w:t>PK</w:t>
            </w:r>
          </w:p>
        </w:tc>
        <w:tc>
          <w:tcPr>
            <w:tcW w:w="724" w:type="dxa"/>
            <w:tcBorders>
              <w:top w:val="nil"/>
              <w:left w:val="nil"/>
              <w:bottom w:val="single" w:sz="8" w:space="0" w:color="231F20"/>
              <w:right w:val="single" w:sz="8" w:space="0" w:color="231F20"/>
            </w:tcBorders>
            <w:vAlign w:val="center"/>
            <w:hideMark/>
          </w:tcPr>
          <w:p w14:paraId="188BA7BA"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115</w:t>
            </w:r>
          </w:p>
        </w:tc>
        <w:tc>
          <w:tcPr>
            <w:tcW w:w="1238" w:type="dxa"/>
            <w:tcBorders>
              <w:top w:val="nil"/>
              <w:left w:val="nil"/>
              <w:bottom w:val="single" w:sz="8" w:space="0" w:color="231F20"/>
              <w:right w:val="single" w:sz="8" w:space="0" w:color="231F20"/>
            </w:tcBorders>
            <w:vAlign w:val="center"/>
            <w:hideMark/>
          </w:tcPr>
          <w:p w14:paraId="40AE52F4"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0.582</w:t>
            </w:r>
          </w:p>
        </w:tc>
        <w:tc>
          <w:tcPr>
            <w:tcW w:w="1424" w:type="dxa"/>
            <w:tcBorders>
              <w:top w:val="nil"/>
              <w:left w:val="nil"/>
              <w:bottom w:val="single" w:sz="8" w:space="0" w:color="231F20"/>
              <w:right w:val="single" w:sz="8" w:space="0" w:color="231F20"/>
            </w:tcBorders>
            <w:vAlign w:val="center"/>
            <w:hideMark/>
          </w:tcPr>
          <w:p w14:paraId="7AB11FF2"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3.65</w:t>
            </w:r>
          </w:p>
        </w:tc>
        <w:tc>
          <w:tcPr>
            <w:tcW w:w="1328" w:type="dxa"/>
            <w:tcBorders>
              <w:top w:val="nil"/>
              <w:left w:val="nil"/>
              <w:bottom w:val="single" w:sz="8" w:space="0" w:color="231F20"/>
              <w:right w:val="single" w:sz="8" w:space="0" w:color="231F20"/>
            </w:tcBorders>
            <w:vAlign w:val="center"/>
            <w:hideMark/>
          </w:tcPr>
          <w:p w14:paraId="782387CA" w14:textId="77777777" w:rsidR="00FA1B92" w:rsidRPr="00330B09" w:rsidRDefault="00FA1B92"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4.9</w:t>
            </w:r>
          </w:p>
        </w:tc>
      </w:tr>
    </w:tbl>
    <w:p w14:paraId="2A568285" w14:textId="77777777" w:rsidR="00FA1B92" w:rsidRPr="00330B09" w:rsidRDefault="00FA1B92" w:rsidP="00FA2907">
      <w:pPr>
        <w:spacing w:after="0" w:line="240" w:lineRule="auto"/>
        <w:jc w:val="both"/>
        <w:rPr>
          <w:lang w:val="ka-GE"/>
        </w:rPr>
      </w:pPr>
    </w:p>
    <w:p w14:paraId="53DA00E1" w14:textId="271AE723" w:rsidR="008A23EC" w:rsidRPr="00330B09" w:rsidRDefault="00711D27" w:rsidP="00FA2907">
      <w:pPr>
        <w:spacing w:after="0" w:line="240" w:lineRule="auto"/>
        <w:jc w:val="both"/>
        <w:rPr>
          <w:lang w:val="ka-GE"/>
        </w:rPr>
      </w:pPr>
      <w:r w:rsidRPr="00330B09">
        <w:rPr>
          <w:lang w:val="ka-GE"/>
        </w:rPr>
        <w:t xml:space="preserve">პოპულაციის ფარმაკოკინეტიკა (PK): </w:t>
      </w:r>
      <w:r w:rsidR="00EC0835">
        <w:rPr>
          <w:lang w:val="ka-GE"/>
        </w:rPr>
        <w:t>სიმსივნით</w:t>
      </w:r>
      <w:r w:rsidRPr="00330B09">
        <w:rPr>
          <w:lang w:val="ka-GE"/>
        </w:rPr>
        <w:t xml:space="preserve"> დაავადებული პაციენტების 64% და ქირურგიული ჩარევით პაციენტების 36%.</w:t>
      </w:r>
    </w:p>
    <w:p w14:paraId="6D60AC66" w14:textId="77777777" w:rsidR="00FF0056" w:rsidRPr="00330B09" w:rsidRDefault="00FF0056" w:rsidP="00FA2907">
      <w:pPr>
        <w:spacing w:after="0" w:line="240" w:lineRule="auto"/>
        <w:jc w:val="both"/>
        <w:rPr>
          <w:lang w:val="ka-GE"/>
        </w:rPr>
      </w:pPr>
    </w:p>
    <w:p w14:paraId="30C2BE24" w14:textId="02C07F96" w:rsidR="00FF0056" w:rsidRPr="00330B09" w:rsidRDefault="00E6234E" w:rsidP="00FA2907">
      <w:pPr>
        <w:spacing w:after="0" w:line="240" w:lineRule="auto"/>
        <w:jc w:val="both"/>
        <w:rPr>
          <w:lang w:val="ka-GE"/>
        </w:rPr>
      </w:pPr>
      <w:r w:rsidRPr="00330B09">
        <w:rPr>
          <w:lang w:val="ka-GE"/>
        </w:rPr>
        <w:t xml:space="preserve">პოპულაციური ფარმაკოკინეტიკური ანალიზის საფუძველზე, მოსალოდნელია, რომ 6-დან 48 თვემდე ასაკის </w:t>
      </w:r>
      <w:r w:rsidR="00EC0835">
        <w:rPr>
          <w:lang w:val="ka-GE"/>
        </w:rPr>
        <w:t>სიმსივნით</w:t>
      </w:r>
      <w:r w:rsidRPr="00330B09">
        <w:rPr>
          <w:lang w:val="ka-GE"/>
        </w:rPr>
        <w:t xml:space="preserve"> დაავადებული პაციენტები, რომლებიც იღებენ 0.15 მგ/კგ ონდანსეტრონის დოზას ინტრავენურად ყოველ 4 საათში ერთხელ 3 დოზის განმავლობაში, აღწევენ სისტემურ ექსპოზიციას (auc), რომელიც შეესაბამება </w:t>
      </w:r>
      <w:r w:rsidR="00EC0835">
        <w:rPr>
          <w:lang w:val="ka-GE"/>
        </w:rPr>
        <w:t>სიმსივნით</w:t>
      </w:r>
      <w:r w:rsidRPr="00330B09">
        <w:rPr>
          <w:lang w:val="ka-GE"/>
        </w:rPr>
        <w:t xml:space="preserve"> დაავადებულ პაციენტებში (4-დან 18 წლამდე) მსგავსი დოზების გამოყენებით მიღწეულ ექსპოზიციას.</w:t>
      </w:r>
    </w:p>
    <w:p w14:paraId="3A0532EF" w14:textId="18229ED7" w:rsidR="004624E8" w:rsidRPr="00330B09" w:rsidRDefault="004624E8" w:rsidP="00FA2907">
      <w:pPr>
        <w:spacing w:after="0" w:line="240" w:lineRule="auto"/>
        <w:jc w:val="both"/>
        <w:rPr>
          <w:lang w:val="ka-GE"/>
        </w:rPr>
      </w:pPr>
      <w:r w:rsidRPr="00330B09">
        <w:rPr>
          <w:lang w:val="ka-GE"/>
        </w:rPr>
        <w:lastRenderedPageBreak/>
        <w:t>ოცდაერთი პედიატრიული პაციენტის (3-დან 12 წლამდე) კვლევაში, რომლებსაც უტარდებოდათ ოპერაცია ანესთეზი</w:t>
      </w:r>
      <w:r w:rsidR="00EC0835">
        <w:rPr>
          <w:lang w:val="ka-GE"/>
        </w:rPr>
        <w:t>ა</w:t>
      </w:r>
      <w:r w:rsidRPr="00330B09">
        <w:rPr>
          <w:lang w:val="ka-GE"/>
        </w:rPr>
        <w:t xml:space="preserve"> 45 წუთიდან 2 საათამდე ხანგრძლივობით, ონდანსეტრონის ერთჯერადი ინტრავენური დოზა, 2 მგ (3-დან 7 წლამდე) ან 4 მგ (8-დან 12 წლამდე), შეიყვანეს ანესთეზიის ინდუქციის დაწყებამდე დაუყოვნებლივ. ამ პედიატრიულ ქირურგიულ პაციენტებში საშუალო წონა-ნორმალური კლირენსი და განაწილების მოცულობის მაჩვენებლები მსგავსი იყო ახალგაზრდა მოზრდილებში ადრე დაფიქსირებული მაჩვენებლებისა. საშუალო ტერმინალური ნახევარგამოყოფის პერიოდი ოდნავ შემცირებული იყო პედიატრიულ პაციენტებში (დიაპაზონი, 2.5-დან 3 საათამდე) მოზრდილებთან შედარებით (დიაპაზონი, 3-დან 3.5 საათამდე).</w:t>
      </w:r>
    </w:p>
    <w:p w14:paraId="747FDC14" w14:textId="579D8AD6" w:rsidR="00C16734" w:rsidRPr="00330B09" w:rsidRDefault="00EC0835" w:rsidP="00FA2907">
      <w:pPr>
        <w:spacing w:after="0" w:line="240" w:lineRule="auto"/>
        <w:jc w:val="both"/>
        <w:rPr>
          <w:lang w:val="ka-GE"/>
        </w:rPr>
      </w:pPr>
      <w:r>
        <w:rPr>
          <w:lang w:val="ka-GE"/>
        </w:rPr>
        <w:t>კ</w:t>
      </w:r>
      <w:r w:rsidR="00C16734" w:rsidRPr="00330B09">
        <w:rPr>
          <w:lang w:val="ka-GE"/>
        </w:rPr>
        <w:t>ვლევაში, რომელშიც მონაწილეობდა 51 პედიატრიული პაციენტი (1-დან 24 თვემდე ასაკის), რომლებსაც უტარდებოდათ ქირურგიული ჩარევა ზოგადი ანესთეზიი</w:t>
      </w:r>
      <w:r>
        <w:rPr>
          <w:lang w:val="ka-GE"/>
        </w:rPr>
        <w:t>თ</w:t>
      </w:r>
      <w:r w:rsidR="00C16734" w:rsidRPr="00330B09">
        <w:rPr>
          <w:lang w:val="ka-GE"/>
        </w:rPr>
        <w:t>, ოპერაციამდე შეიყვანეს ონდანსეტრონის ერთჯერადი ინტრავენური დოზა, 0.1 ან 0.2 მგ/კგ. როგორც ნაჩვენებია ცხრილში 6, ფარმაკოკინეტიკური მონაცემების მქონე 41 პაციენტი დაიყო ორ ჯგუფად: 1-დან 4 თვემდე ასაკის პაციენტები და 5-დან 24 თვემდე ასაკის პაციენტები</w:t>
      </w:r>
      <w:r w:rsidR="002A5280" w:rsidRPr="00330B09">
        <w:rPr>
          <w:lang w:val="ka-GE"/>
        </w:rPr>
        <w:t>.</w:t>
      </w:r>
      <w:r w:rsidR="00C16734" w:rsidRPr="00330B09">
        <w:rPr>
          <w:lang w:val="ka-GE"/>
        </w:rPr>
        <w:t xml:space="preserve"> </w:t>
      </w:r>
      <w:r w:rsidR="002A5280" w:rsidRPr="00330B09">
        <w:rPr>
          <w:lang w:val="ka-GE"/>
        </w:rPr>
        <w:t>ეს პაციენტები შედარებული იქნა 3-დან 12 წლამდე ასაკის პედიატრიულ პაციენტებთან.</w:t>
      </w:r>
    </w:p>
    <w:p w14:paraId="682AE2A0" w14:textId="77777777" w:rsidR="00D85484" w:rsidRPr="00330B09" w:rsidRDefault="00D85484" w:rsidP="00FA2907">
      <w:pPr>
        <w:spacing w:after="0" w:line="240" w:lineRule="auto"/>
        <w:jc w:val="both"/>
        <w:rPr>
          <w:lang w:val="ka-GE"/>
        </w:rPr>
      </w:pPr>
      <w:r w:rsidRPr="00330B09">
        <w:rPr>
          <w:u w:val="single"/>
          <w:lang w:val="ka-GE"/>
        </w:rPr>
        <w:t>ფარმაკოკინეტიკა 1 თვიდან 12 წლამდე ასაკის პედიატრიულ ქირურგიულ პაციენტებში</w:t>
      </w:r>
    </w:p>
    <w:p w14:paraId="5044FB9A" w14:textId="77777777" w:rsidR="00A45E5E" w:rsidRPr="00330B09" w:rsidRDefault="00A45E5E" w:rsidP="00FA2907">
      <w:pPr>
        <w:spacing w:after="0" w:line="240" w:lineRule="auto"/>
        <w:jc w:val="both"/>
        <w:rPr>
          <w:lang w:val="ka-GE"/>
        </w:rPr>
      </w:pPr>
    </w:p>
    <w:tbl>
      <w:tblPr>
        <w:tblW w:w="10170" w:type="dxa"/>
        <w:tblInd w:w="-5" w:type="dxa"/>
        <w:tblCellMar>
          <w:left w:w="0" w:type="dxa"/>
          <w:right w:w="0" w:type="dxa"/>
        </w:tblCellMar>
        <w:tblLook w:val="04A0" w:firstRow="1" w:lastRow="0" w:firstColumn="1" w:lastColumn="0" w:noHBand="0" w:noVBand="1"/>
      </w:tblPr>
      <w:tblGrid>
        <w:gridCol w:w="5524"/>
        <w:gridCol w:w="992"/>
        <w:gridCol w:w="1417"/>
        <w:gridCol w:w="919"/>
        <w:gridCol w:w="1318"/>
      </w:tblGrid>
      <w:tr w:rsidR="00A45E5E" w:rsidRPr="00330B09" w14:paraId="36B2F67F" w14:textId="77777777" w:rsidTr="00FA3D38">
        <w:trPr>
          <w:trHeight w:val="161"/>
        </w:trPr>
        <w:tc>
          <w:tcPr>
            <w:tcW w:w="5524" w:type="dxa"/>
            <w:tcBorders>
              <w:top w:val="single" w:sz="8" w:space="0" w:color="231F20"/>
              <w:left w:val="single" w:sz="8" w:space="0" w:color="231F20"/>
              <w:bottom w:val="single" w:sz="8" w:space="0" w:color="231F20"/>
              <w:right w:val="single" w:sz="8" w:space="0" w:color="231F20"/>
            </w:tcBorders>
            <w:hideMark/>
          </w:tcPr>
          <w:p w14:paraId="017516DF" w14:textId="77777777" w:rsidR="00A45E5E" w:rsidRPr="00330B09" w:rsidRDefault="00596022" w:rsidP="009E4C3F">
            <w:pPr>
              <w:spacing w:after="0"/>
              <w:jc w:val="both"/>
              <w:rPr>
                <w:rFonts w:ascii="Times New Roman" w:hAnsi="Times New Roman" w:cs="Times New Roman"/>
                <w:b/>
                <w:bCs/>
                <w:sz w:val="20"/>
                <w:szCs w:val="20"/>
                <w:lang w:val="ka-GE"/>
              </w:rPr>
            </w:pPr>
            <w:r w:rsidRPr="00330B09">
              <w:rPr>
                <w:rFonts w:cs="Sylfaen"/>
                <w:b/>
                <w:bCs/>
                <w:sz w:val="20"/>
                <w:szCs w:val="20"/>
                <w:lang w:val="ka-GE"/>
              </w:rPr>
              <w:t>სუბიექტები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და</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ასაკობრივი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ჯგუფი</w:t>
            </w:r>
          </w:p>
        </w:tc>
        <w:tc>
          <w:tcPr>
            <w:tcW w:w="992" w:type="dxa"/>
            <w:tcBorders>
              <w:top w:val="single" w:sz="8" w:space="0" w:color="231F20"/>
              <w:left w:val="nil"/>
              <w:bottom w:val="single" w:sz="8" w:space="0" w:color="231F20"/>
              <w:right w:val="single" w:sz="8" w:space="0" w:color="231F20"/>
            </w:tcBorders>
            <w:vAlign w:val="center"/>
            <w:hideMark/>
          </w:tcPr>
          <w:p w14:paraId="03FB06E9" w14:textId="77777777" w:rsidR="00A45E5E" w:rsidRPr="00330B09" w:rsidRDefault="00A45E5E" w:rsidP="009E4C3F">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N</w:t>
            </w:r>
          </w:p>
        </w:tc>
        <w:tc>
          <w:tcPr>
            <w:tcW w:w="1417" w:type="dxa"/>
            <w:tcBorders>
              <w:top w:val="single" w:sz="8" w:space="0" w:color="231F20"/>
              <w:left w:val="nil"/>
              <w:bottom w:val="single" w:sz="8" w:space="0" w:color="231F20"/>
              <w:right w:val="single" w:sz="8" w:space="0" w:color="231F20"/>
            </w:tcBorders>
            <w:vAlign w:val="center"/>
            <w:hideMark/>
          </w:tcPr>
          <w:p w14:paraId="5044DE54" w14:textId="77777777" w:rsidR="00596022" w:rsidRPr="00330B09" w:rsidRDefault="00596022" w:rsidP="0059602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CL</w:t>
            </w:r>
          </w:p>
          <w:p w14:paraId="7D121F00" w14:textId="77777777" w:rsidR="00A45E5E" w:rsidRPr="00330B09" w:rsidRDefault="00596022" w:rsidP="00596022">
            <w:pPr>
              <w:spacing w:after="0"/>
              <w:jc w:val="both"/>
              <w:rPr>
                <w:rFonts w:ascii="Times New Roman" w:hAnsi="Times New Roman" w:cs="Times New Roman"/>
                <w:sz w:val="20"/>
                <w:szCs w:val="20"/>
                <w:u w:val="single"/>
                <w:lang w:val="ka-GE"/>
              </w:rPr>
            </w:pPr>
            <w:r w:rsidRPr="00330B09">
              <w:rPr>
                <w:rFonts w:ascii="Times New Roman" w:hAnsi="Times New Roman" w:cs="Times New Roman"/>
                <w:b/>
                <w:bCs/>
                <w:sz w:val="20"/>
                <w:szCs w:val="20"/>
                <w:lang w:val="ka-GE"/>
              </w:rPr>
              <w:t>(</w:t>
            </w:r>
            <w:r w:rsidRPr="00330B09">
              <w:rPr>
                <w:rFonts w:cs="Sylfaen"/>
                <w:b/>
                <w:bCs/>
                <w:sz w:val="20"/>
                <w:szCs w:val="20"/>
                <w:lang w:val="ka-GE"/>
              </w:rPr>
              <w:t>ლ</w:t>
            </w:r>
            <w:r w:rsidRPr="00330B09">
              <w:rPr>
                <w:rFonts w:ascii="Times New Roman" w:hAnsi="Times New Roman" w:cs="Times New Roman"/>
                <w:b/>
                <w:bCs/>
                <w:sz w:val="20"/>
                <w:szCs w:val="20"/>
                <w:lang w:val="ka-GE"/>
              </w:rPr>
              <w:t>/</w:t>
            </w:r>
            <w:r w:rsidRPr="00330B09">
              <w:rPr>
                <w:rFonts w:cs="Sylfaen"/>
                <w:b/>
                <w:bCs/>
                <w:sz w:val="20"/>
                <w:szCs w:val="20"/>
                <w:lang w:val="ka-GE"/>
              </w:rPr>
              <w:t>სთ</w:t>
            </w:r>
            <w:r w:rsidRPr="00330B09">
              <w:rPr>
                <w:rFonts w:ascii="Times New Roman" w:hAnsi="Times New Roman" w:cs="Times New Roman"/>
                <w:b/>
                <w:bCs/>
                <w:sz w:val="20"/>
                <w:szCs w:val="20"/>
                <w:lang w:val="ka-GE"/>
              </w:rPr>
              <w:t>/</w:t>
            </w:r>
            <w:r w:rsidRPr="00330B09">
              <w:rPr>
                <w:rFonts w:cs="Sylfaen"/>
                <w:b/>
                <w:bCs/>
                <w:sz w:val="20"/>
                <w:szCs w:val="20"/>
                <w:lang w:val="ka-GE"/>
              </w:rPr>
              <w:t>კგ</w:t>
            </w:r>
            <w:r w:rsidRPr="00330B09">
              <w:rPr>
                <w:rFonts w:ascii="Times New Roman" w:hAnsi="Times New Roman" w:cs="Times New Roman"/>
                <w:b/>
                <w:bCs/>
                <w:sz w:val="20"/>
                <w:szCs w:val="20"/>
                <w:lang w:val="ka-GE"/>
              </w:rPr>
              <w:t>)</w:t>
            </w:r>
          </w:p>
        </w:tc>
        <w:tc>
          <w:tcPr>
            <w:tcW w:w="919" w:type="dxa"/>
            <w:tcBorders>
              <w:top w:val="single" w:sz="8" w:space="0" w:color="231F20"/>
              <w:left w:val="nil"/>
              <w:bottom w:val="single" w:sz="8" w:space="0" w:color="231F20"/>
              <w:right w:val="single" w:sz="8" w:space="0" w:color="231F20"/>
            </w:tcBorders>
            <w:vAlign w:val="center"/>
            <w:hideMark/>
          </w:tcPr>
          <w:p w14:paraId="3B3C45D3" w14:textId="77777777" w:rsidR="00596022" w:rsidRPr="00330B09" w:rsidRDefault="00596022" w:rsidP="00596022">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VDSS</w:t>
            </w:r>
          </w:p>
          <w:p w14:paraId="124F8F30" w14:textId="77777777" w:rsidR="00A45E5E" w:rsidRPr="00330B09" w:rsidRDefault="00596022" w:rsidP="00596022">
            <w:pPr>
              <w:spacing w:after="0"/>
              <w:jc w:val="both"/>
              <w:rPr>
                <w:rFonts w:ascii="Times New Roman" w:hAnsi="Times New Roman" w:cs="Times New Roman"/>
                <w:sz w:val="20"/>
                <w:szCs w:val="20"/>
                <w:u w:val="single"/>
                <w:lang w:val="ka-GE"/>
              </w:rPr>
            </w:pPr>
            <w:r w:rsidRPr="00330B09">
              <w:rPr>
                <w:rFonts w:ascii="Times New Roman" w:hAnsi="Times New Roman" w:cs="Times New Roman"/>
                <w:b/>
                <w:bCs/>
                <w:sz w:val="20"/>
                <w:szCs w:val="20"/>
                <w:lang w:val="ka-GE"/>
              </w:rPr>
              <w:t>(</w:t>
            </w:r>
            <w:r w:rsidRPr="00330B09">
              <w:rPr>
                <w:rFonts w:cs="Sylfaen"/>
                <w:b/>
                <w:bCs/>
                <w:sz w:val="20"/>
                <w:szCs w:val="20"/>
                <w:lang w:val="ka-GE"/>
              </w:rPr>
              <w:t>ლ</w:t>
            </w:r>
            <w:r w:rsidRPr="00330B09">
              <w:rPr>
                <w:rFonts w:ascii="Times New Roman" w:hAnsi="Times New Roman" w:cs="Times New Roman"/>
                <w:b/>
                <w:bCs/>
                <w:sz w:val="20"/>
                <w:szCs w:val="20"/>
                <w:lang w:val="ka-GE"/>
              </w:rPr>
              <w:t>/</w:t>
            </w:r>
            <w:r w:rsidRPr="00330B09">
              <w:rPr>
                <w:rFonts w:cs="Sylfaen"/>
                <w:b/>
                <w:bCs/>
                <w:sz w:val="20"/>
                <w:szCs w:val="20"/>
                <w:lang w:val="ka-GE"/>
              </w:rPr>
              <w:t>კგ</w:t>
            </w:r>
            <w:r w:rsidRPr="00330B09">
              <w:rPr>
                <w:rFonts w:ascii="Times New Roman" w:hAnsi="Times New Roman" w:cs="Times New Roman"/>
                <w:b/>
                <w:bCs/>
                <w:sz w:val="20"/>
                <w:szCs w:val="20"/>
                <w:lang w:val="ka-GE"/>
              </w:rPr>
              <w:t>)</w:t>
            </w:r>
          </w:p>
        </w:tc>
        <w:tc>
          <w:tcPr>
            <w:tcW w:w="1318" w:type="dxa"/>
            <w:tcBorders>
              <w:top w:val="single" w:sz="8" w:space="0" w:color="231F20"/>
              <w:left w:val="nil"/>
              <w:bottom w:val="single" w:sz="8" w:space="0" w:color="231F20"/>
              <w:right w:val="single" w:sz="8" w:space="0" w:color="231F20"/>
            </w:tcBorders>
            <w:vAlign w:val="center"/>
            <w:hideMark/>
          </w:tcPr>
          <w:p w14:paraId="1134EE9F" w14:textId="77777777" w:rsidR="00A45E5E" w:rsidRPr="00330B09" w:rsidRDefault="00A45E5E" w:rsidP="009E4C3F">
            <w:pPr>
              <w:spacing w:after="0"/>
              <w:jc w:val="both"/>
              <w:rPr>
                <w:rFonts w:ascii="Times New Roman" w:hAnsi="Times New Roman" w:cs="Times New Roman"/>
                <w:b/>
                <w:bCs/>
                <w:sz w:val="20"/>
                <w:szCs w:val="20"/>
                <w:lang w:val="ka-GE"/>
              </w:rPr>
            </w:pPr>
            <w:r w:rsidRPr="00330B09">
              <w:rPr>
                <w:rFonts w:ascii="Times New Roman" w:hAnsi="Times New Roman" w:cs="Times New Roman"/>
                <w:b/>
                <w:bCs/>
                <w:sz w:val="20"/>
                <w:szCs w:val="20"/>
                <w:lang w:val="ka-GE"/>
              </w:rPr>
              <w:t>t½</w:t>
            </w:r>
            <w:r w:rsidR="00EA5B61" w:rsidRPr="00330B09">
              <w:rPr>
                <w:rFonts w:ascii="Times New Roman" w:hAnsi="Times New Roman" w:cs="Times New Roman"/>
                <w:b/>
                <w:bCs/>
                <w:sz w:val="20"/>
                <w:szCs w:val="20"/>
                <w:lang w:val="ka-GE"/>
              </w:rPr>
              <w:t xml:space="preserve"> </w:t>
            </w:r>
            <w:r w:rsidRPr="00330B09">
              <w:rPr>
                <w:rFonts w:ascii="Times New Roman" w:hAnsi="Times New Roman" w:cs="Times New Roman"/>
                <w:b/>
                <w:bCs/>
                <w:sz w:val="20"/>
                <w:szCs w:val="20"/>
                <w:lang w:val="ka-GE"/>
              </w:rPr>
              <w:t>(</w:t>
            </w:r>
            <w:r w:rsidR="00596022" w:rsidRPr="00330B09">
              <w:rPr>
                <w:rFonts w:cs="Times New Roman"/>
                <w:b/>
                <w:bCs/>
                <w:sz w:val="20"/>
                <w:szCs w:val="20"/>
                <w:lang w:val="ka-GE"/>
              </w:rPr>
              <w:t>სთ</w:t>
            </w:r>
            <w:r w:rsidRPr="00330B09">
              <w:rPr>
                <w:rFonts w:ascii="Times New Roman" w:hAnsi="Times New Roman" w:cs="Times New Roman"/>
                <w:b/>
                <w:bCs/>
                <w:sz w:val="20"/>
                <w:szCs w:val="20"/>
                <w:lang w:val="ka-GE"/>
              </w:rPr>
              <w:t>)</w:t>
            </w:r>
          </w:p>
        </w:tc>
      </w:tr>
      <w:tr w:rsidR="00A45E5E" w:rsidRPr="00330B09" w14:paraId="1B8BACE6" w14:textId="77777777" w:rsidTr="00FA3D38">
        <w:trPr>
          <w:trHeight w:val="84"/>
        </w:trPr>
        <w:tc>
          <w:tcPr>
            <w:tcW w:w="5524" w:type="dxa"/>
            <w:tcBorders>
              <w:top w:val="nil"/>
              <w:left w:val="single" w:sz="8" w:space="0" w:color="231F20"/>
              <w:bottom w:val="single" w:sz="8" w:space="0" w:color="231F20"/>
              <w:right w:val="single" w:sz="8" w:space="0" w:color="231F20"/>
            </w:tcBorders>
            <w:hideMark/>
          </w:tcPr>
          <w:p w14:paraId="0AA72A7A"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992" w:type="dxa"/>
            <w:tcBorders>
              <w:top w:val="nil"/>
              <w:left w:val="nil"/>
              <w:bottom w:val="single" w:sz="8" w:space="0" w:color="231F20"/>
              <w:right w:val="single" w:sz="8" w:space="0" w:color="231F20"/>
            </w:tcBorders>
            <w:vAlign w:val="center"/>
            <w:hideMark/>
          </w:tcPr>
          <w:p w14:paraId="4A15309C"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w:t>
            </w:r>
          </w:p>
        </w:tc>
        <w:tc>
          <w:tcPr>
            <w:tcW w:w="2336" w:type="dxa"/>
            <w:gridSpan w:val="2"/>
            <w:tcBorders>
              <w:top w:val="nil"/>
              <w:left w:val="nil"/>
              <w:bottom w:val="single" w:sz="8" w:space="0" w:color="231F20"/>
              <w:right w:val="single" w:sz="8" w:space="0" w:color="231F20"/>
            </w:tcBorders>
            <w:vAlign w:val="center"/>
            <w:hideMark/>
          </w:tcPr>
          <w:p w14:paraId="29F6A38B" w14:textId="77777777" w:rsidR="00A45E5E" w:rsidRPr="00330B09" w:rsidRDefault="00EB5C3E" w:rsidP="009E4C3F">
            <w:pPr>
              <w:spacing w:after="0"/>
              <w:jc w:val="both"/>
              <w:rPr>
                <w:rFonts w:ascii="Times New Roman" w:hAnsi="Times New Roman" w:cs="Times New Roman"/>
                <w:b/>
                <w:bCs/>
                <w:sz w:val="20"/>
                <w:szCs w:val="20"/>
                <w:lang w:val="ka-GE"/>
              </w:rPr>
            </w:pPr>
            <w:r w:rsidRPr="00330B09">
              <w:rPr>
                <w:rFonts w:cs="Sylfaen"/>
                <w:b/>
                <w:bCs/>
                <w:sz w:val="20"/>
                <w:szCs w:val="20"/>
                <w:lang w:val="ka-GE"/>
              </w:rPr>
              <w:t>გეომეტრიული</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საშუალო</w:t>
            </w:r>
          </w:p>
        </w:tc>
        <w:tc>
          <w:tcPr>
            <w:tcW w:w="1318" w:type="dxa"/>
            <w:tcBorders>
              <w:top w:val="nil"/>
              <w:left w:val="nil"/>
              <w:bottom w:val="single" w:sz="8" w:space="0" w:color="231F20"/>
              <w:right w:val="single" w:sz="8" w:space="0" w:color="231F20"/>
            </w:tcBorders>
            <w:vAlign w:val="center"/>
            <w:hideMark/>
          </w:tcPr>
          <w:p w14:paraId="75ECE149" w14:textId="77777777" w:rsidR="00A45E5E" w:rsidRPr="00330B09" w:rsidRDefault="00EB5C3E" w:rsidP="009E4C3F">
            <w:pPr>
              <w:spacing w:after="0"/>
              <w:jc w:val="both"/>
              <w:rPr>
                <w:rFonts w:ascii="Times New Roman" w:hAnsi="Times New Roman" w:cs="Times New Roman"/>
                <w:b/>
                <w:bCs/>
                <w:sz w:val="20"/>
                <w:szCs w:val="20"/>
                <w:lang w:val="ka-GE"/>
              </w:rPr>
            </w:pPr>
            <w:r w:rsidRPr="00330B09">
              <w:rPr>
                <w:rFonts w:cs="Sylfaen"/>
                <w:b/>
                <w:bCs/>
                <w:sz w:val="20"/>
                <w:szCs w:val="20"/>
                <w:lang w:val="ka-GE"/>
              </w:rPr>
              <w:t>საშუალო</w:t>
            </w:r>
          </w:p>
        </w:tc>
      </w:tr>
      <w:tr w:rsidR="00A45E5E" w:rsidRPr="00330B09" w14:paraId="3CD60DB0" w14:textId="77777777" w:rsidTr="00FA3D38">
        <w:trPr>
          <w:trHeight w:val="161"/>
        </w:trPr>
        <w:tc>
          <w:tcPr>
            <w:tcW w:w="5524" w:type="dxa"/>
            <w:tcBorders>
              <w:top w:val="nil"/>
              <w:left w:val="single" w:sz="8" w:space="0" w:color="231F20"/>
              <w:bottom w:val="single" w:sz="8" w:space="0" w:color="231F20"/>
              <w:right w:val="single" w:sz="8" w:space="0" w:color="231F20"/>
            </w:tcBorders>
            <w:hideMark/>
          </w:tcPr>
          <w:p w14:paraId="5874C54D" w14:textId="77777777" w:rsidR="00A45E5E" w:rsidRPr="00330B09" w:rsidRDefault="00EB5C3E" w:rsidP="009E4C3F">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3-</w:t>
            </w:r>
            <w:r w:rsidRPr="00330B09">
              <w:rPr>
                <w:rFonts w:cs="Sylfaen"/>
                <w:sz w:val="20"/>
                <w:szCs w:val="20"/>
                <w:lang w:val="ka-GE"/>
              </w:rPr>
              <w:t>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p>
        </w:tc>
        <w:tc>
          <w:tcPr>
            <w:tcW w:w="992" w:type="dxa"/>
            <w:tcBorders>
              <w:top w:val="nil"/>
              <w:left w:val="nil"/>
              <w:bottom w:val="single" w:sz="8" w:space="0" w:color="231F20"/>
              <w:right w:val="single" w:sz="8" w:space="0" w:color="231F20"/>
            </w:tcBorders>
            <w:vAlign w:val="center"/>
            <w:hideMark/>
          </w:tcPr>
          <w:p w14:paraId="12C1FB55"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21</w:t>
            </w:r>
          </w:p>
        </w:tc>
        <w:tc>
          <w:tcPr>
            <w:tcW w:w="1417" w:type="dxa"/>
            <w:tcBorders>
              <w:top w:val="nil"/>
              <w:left w:val="nil"/>
              <w:bottom w:val="single" w:sz="8" w:space="0" w:color="231F20"/>
              <w:right w:val="single" w:sz="8" w:space="0" w:color="231F20"/>
            </w:tcBorders>
            <w:vAlign w:val="center"/>
            <w:hideMark/>
          </w:tcPr>
          <w:p w14:paraId="36D3B5FC"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0.439</w:t>
            </w:r>
          </w:p>
        </w:tc>
        <w:tc>
          <w:tcPr>
            <w:tcW w:w="919" w:type="dxa"/>
            <w:tcBorders>
              <w:top w:val="nil"/>
              <w:left w:val="nil"/>
              <w:bottom w:val="single" w:sz="8" w:space="0" w:color="231F20"/>
              <w:right w:val="single" w:sz="8" w:space="0" w:color="231F20"/>
            </w:tcBorders>
            <w:vAlign w:val="center"/>
            <w:hideMark/>
          </w:tcPr>
          <w:p w14:paraId="72F950AC"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1.65</w:t>
            </w:r>
          </w:p>
        </w:tc>
        <w:tc>
          <w:tcPr>
            <w:tcW w:w="1318" w:type="dxa"/>
            <w:tcBorders>
              <w:top w:val="nil"/>
              <w:left w:val="nil"/>
              <w:bottom w:val="single" w:sz="8" w:space="0" w:color="231F20"/>
              <w:right w:val="single" w:sz="8" w:space="0" w:color="231F20"/>
            </w:tcBorders>
            <w:vAlign w:val="center"/>
            <w:hideMark/>
          </w:tcPr>
          <w:p w14:paraId="6198C54D"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2.9</w:t>
            </w:r>
          </w:p>
        </w:tc>
      </w:tr>
      <w:tr w:rsidR="00A45E5E" w:rsidRPr="00330B09" w14:paraId="05E6741F" w14:textId="77777777" w:rsidTr="00FA3D38">
        <w:trPr>
          <w:trHeight w:val="161"/>
        </w:trPr>
        <w:tc>
          <w:tcPr>
            <w:tcW w:w="5524" w:type="dxa"/>
            <w:tcBorders>
              <w:top w:val="nil"/>
              <w:left w:val="single" w:sz="8" w:space="0" w:color="231F20"/>
              <w:bottom w:val="single" w:sz="8" w:space="0" w:color="231F20"/>
              <w:right w:val="single" w:sz="8" w:space="0" w:color="231F20"/>
            </w:tcBorders>
            <w:hideMark/>
          </w:tcPr>
          <w:p w14:paraId="7AD7F64B" w14:textId="77777777" w:rsidR="00A45E5E" w:rsidRPr="00330B09" w:rsidRDefault="00EB5C3E" w:rsidP="009E4C3F">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5-</w:t>
            </w:r>
            <w:r w:rsidRPr="00330B09">
              <w:rPr>
                <w:rFonts w:cs="Sylfaen"/>
                <w:sz w:val="20"/>
                <w:szCs w:val="20"/>
                <w:lang w:val="ka-GE"/>
              </w:rPr>
              <w:t>დან</w:t>
            </w:r>
            <w:r w:rsidRPr="00330B09">
              <w:rPr>
                <w:rFonts w:ascii="Times New Roman" w:hAnsi="Times New Roman" w:cs="Times New Roman"/>
                <w:sz w:val="20"/>
                <w:szCs w:val="20"/>
                <w:lang w:val="ka-GE"/>
              </w:rPr>
              <w:t xml:space="preserve"> 24 </w:t>
            </w:r>
            <w:r w:rsidRPr="00330B09">
              <w:rPr>
                <w:rFonts w:cs="Sylfaen"/>
                <w:sz w:val="20"/>
                <w:szCs w:val="20"/>
                <w:lang w:val="ka-GE"/>
              </w:rPr>
              <w:t>თვემდე</w:t>
            </w:r>
          </w:p>
        </w:tc>
        <w:tc>
          <w:tcPr>
            <w:tcW w:w="992" w:type="dxa"/>
            <w:tcBorders>
              <w:top w:val="nil"/>
              <w:left w:val="nil"/>
              <w:bottom w:val="single" w:sz="8" w:space="0" w:color="231F20"/>
              <w:right w:val="single" w:sz="8" w:space="0" w:color="231F20"/>
            </w:tcBorders>
            <w:vAlign w:val="center"/>
            <w:hideMark/>
          </w:tcPr>
          <w:p w14:paraId="4A10A7E3"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22</w:t>
            </w:r>
          </w:p>
        </w:tc>
        <w:tc>
          <w:tcPr>
            <w:tcW w:w="1417" w:type="dxa"/>
            <w:tcBorders>
              <w:top w:val="nil"/>
              <w:left w:val="nil"/>
              <w:bottom w:val="single" w:sz="8" w:space="0" w:color="231F20"/>
              <w:right w:val="single" w:sz="8" w:space="0" w:color="231F20"/>
            </w:tcBorders>
            <w:vAlign w:val="center"/>
            <w:hideMark/>
          </w:tcPr>
          <w:p w14:paraId="7C05870D"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0.581</w:t>
            </w:r>
          </w:p>
        </w:tc>
        <w:tc>
          <w:tcPr>
            <w:tcW w:w="919" w:type="dxa"/>
            <w:tcBorders>
              <w:top w:val="nil"/>
              <w:left w:val="nil"/>
              <w:bottom w:val="single" w:sz="8" w:space="0" w:color="231F20"/>
              <w:right w:val="single" w:sz="8" w:space="0" w:color="231F20"/>
            </w:tcBorders>
            <w:vAlign w:val="center"/>
            <w:hideMark/>
          </w:tcPr>
          <w:p w14:paraId="7B1B0AE2"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2.3</w:t>
            </w:r>
          </w:p>
        </w:tc>
        <w:tc>
          <w:tcPr>
            <w:tcW w:w="1318" w:type="dxa"/>
            <w:tcBorders>
              <w:top w:val="nil"/>
              <w:left w:val="nil"/>
              <w:bottom w:val="single" w:sz="8" w:space="0" w:color="231F20"/>
              <w:right w:val="single" w:sz="8" w:space="0" w:color="231F20"/>
            </w:tcBorders>
            <w:vAlign w:val="center"/>
            <w:hideMark/>
          </w:tcPr>
          <w:p w14:paraId="577D8865"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2.9</w:t>
            </w:r>
          </w:p>
        </w:tc>
      </w:tr>
      <w:tr w:rsidR="00A45E5E" w:rsidRPr="00330B09" w14:paraId="0FD1C9DC" w14:textId="77777777" w:rsidTr="00FA3D38">
        <w:trPr>
          <w:trHeight w:val="161"/>
        </w:trPr>
        <w:tc>
          <w:tcPr>
            <w:tcW w:w="5524" w:type="dxa"/>
            <w:tcBorders>
              <w:top w:val="nil"/>
              <w:left w:val="single" w:sz="8" w:space="0" w:color="231F20"/>
              <w:bottom w:val="single" w:sz="8" w:space="0" w:color="231F20"/>
              <w:right w:val="single" w:sz="8" w:space="0" w:color="231F20"/>
            </w:tcBorders>
            <w:hideMark/>
          </w:tcPr>
          <w:p w14:paraId="75016C2D" w14:textId="77777777" w:rsidR="00A45E5E" w:rsidRPr="00330B09" w:rsidRDefault="00EB5C3E" w:rsidP="009E4C3F">
            <w:pPr>
              <w:spacing w:after="0"/>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ქირურგიული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4 </w:t>
            </w:r>
            <w:r w:rsidRPr="00330B09">
              <w:rPr>
                <w:rFonts w:cs="Sylfaen"/>
                <w:sz w:val="20"/>
                <w:szCs w:val="20"/>
                <w:lang w:val="ka-GE"/>
              </w:rPr>
              <w:t>თვემდე</w:t>
            </w:r>
          </w:p>
        </w:tc>
        <w:tc>
          <w:tcPr>
            <w:tcW w:w="992" w:type="dxa"/>
            <w:tcBorders>
              <w:top w:val="nil"/>
              <w:left w:val="nil"/>
              <w:bottom w:val="single" w:sz="8" w:space="0" w:color="231F20"/>
              <w:right w:val="single" w:sz="8" w:space="0" w:color="231F20"/>
            </w:tcBorders>
            <w:vAlign w:val="center"/>
            <w:hideMark/>
          </w:tcPr>
          <w:p w14:paraId="529FECEA"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N = 19</w:t>
            </w:r>
          </w:p>
        </w:tc>
        <w:tc>
          <w:tcPr>
            <w:tcW w:w="1417" w:type="dxa"/>
            <w:tcBorders>
              <w:top w:val="nil"/>
              <w:left w:val="nil"/>
              <w:bottom w:val="single" w:sz="8" w:space="0" w:color="231F20"/>
              <w:right w:val="single" w:sz="8" w:space="0" w:color="231F20"/>
            </w:tcBorders>
            <w:vAlign w:val="center"/>
            <w:hideMark/>
          </w:tcPr>
          <w:p w14:paraId="5C509C81"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0.401</w:t>
            </w:r>
          </w:p>
        </w:tc>
        <w:tc>
          <w:tcPr>
            <w:tcW w:w="919" w:type="dxa"/>
            <w:tcBorders>
              <w:top w:val="nil"/>
              <w:left w:val="nil"/>
              <w:bottom w:val="single" w:sz="8" w:space="0" w:color="231F20"/>
              <w:right w:val="single" w:sz="8" w:space="0" w:color="231F20"/>
            </w:tcBorders>
            <w:vAlign w:val="center"/>
            <w:hideMark/>
          </w:tcPr>
          <w:p w14:paraId="1B90F65A"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3.5</w:t>
            </w:r>
          </w:p>
        </w:tc>
        <w:tc>
          <w:tcPr>
            <w:tcW w:w="1318" w:type="dxa"/>
            <w:tcBorders>
              <w:top w:val="nil"/>
              <w:left w:val="nil"/>
              <w:bottom w:val="single" w:sz="8" w:space="0" w:color="231F20"/>
              <w:right w:val="single" w:sz="8" w:space="0" w:color="231F20"/>
            </w:tcBorders>
            <w:vAlign w:val="center"/>
            <w:hideMark/>
          </w:tcPr>
          <w:p w14:paraId="2347AD58" w14:textId="77777777" w:rsidR="00A45E5E" w:rsidRPr="00330B09" w:rsidRDefault="00A45E5E" w:rsidP="009E4C3F">
            <w:pPr>
              <w:spacing w:after="0"/>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6.7</w:t>
            </w:r>
          </w:p>
        </w:tc>
      </w:tr>
    </w:tbl>
    <w:p w14:paraId="7E39BBEF" w14:textId="77777777" w:rsidR="00A45E5E" w:rsidRPr="00330B09" w:rsidRDefault="00A45E5E" w:rsidP="00FA2907">
      <w:pPr>
        <w:spacing w:after="0" w:line="240" w:lineRule="auto"/>
        <w:jc w:val="both"/>
        <w:rPr>
          <w:lang w:val="ka-GE"/>
        </w:rPr>
      </w:pPr>
    </w:p>
    <w:p w14:paraId="07EBB6D0" w14:textId="7AB7FDA4" w:rsidR="00D43625" w:rsidRPr="00330B09" w:rsidRDefault="00447190" w:rsidP="00FA2907">
      <w:pPr>
        <w:spacing w:after="0" w:line="240" w:lineRule="auto"/>
        <w:jc w:val="both"/>
        <w:rPr>
          <w:lang w:val="ka-GE"/>
        </w:rPr>
      </w:pPr>
      <w:r w:rsidRPr="00330B09">
        <w:rPr>
          <w:lang w:val="ka-GE"/>
        </w:rPr>
        <w:t xml:space="preserve">ზოგადად, 18 წლამდე ასაკის ქირურგიული და </w:t>
      </w:r>
      <w:r w:rsidR="00EC0835">
        <w:rPr>
          <w:lang w:val="ka-GE"/>
        </w:rPr>
        <w:t>სიმსივნით</w:t>
      </w:r>
      <w:r w:rsidRPr="00330B09">
        <w:rPr>
          <w:lang w:val="ka-GE"/>
        </w:rPr>
        <w:t xml:space="preserve"> დაავადებულ პედიატრიულ პაციენტებს, როგორც წესი, უფრო მაღალი ონდანსეტრონის კლირენსი აქვთ მოზრდილებთან შედარებით, რაც იწვევს ნახევარგამოყოფის უფრო მოკლე პერიოდს პედიატრიული პაციენტების უმეტესობაში. 1 თვიდან 4 თვემდე ასაკის პაციენტებში, ამ ასაკობრივ ჯგუფში განაწილების უფრო მაღალი მოცულობის გამო, ნახევარგამოყოფის უფრო ხანგრძლივი პერიოდი დაფიქსირდა.</w:t>
      </w:r>
    </w:p>
    <w:p w14:paraId="78D10E1E" w14:textId="77777777" w:rsidR="000335B9" w:rsidRPr="00330B09" w:rsidRDefault="005214DC" w:rsidP="00FA2907">
      <w:pPr>
        <w:spacing w:after="0" w:line="240" w:lineRule="auto"/>
        <w:jc w:val="both"/>
        <w:rPr>
          <w:lang w:val="ka-GE"/>
        </w:rPr>
      </w:pPr>
      <w:r w:rsidRPr="00330B09">
        <w:rPr>
          <w:lang w:val="ka-GE"/>
        </w:rPr>
        <w:t>ოცდაერთი პედიატრიული კიბოთი დაავადებული პაციენტის (4-დან 18 წლამდე ასაკის) კვლევაში, რომლებმაც მიიღეს ონდანსეტრონის 0.15 მგ/კგ სამი ინტრავენური დოზა 4-საათიანი ინტერვალებით, 15 წელზე უფროსი ასაკის პაციენტებში გამოვლინდა ონდანსეტრონის ფარმაკოკინეტიკური პარამეტრები ზრდასრულების მსგავსი.</w:t>
      </w:r>
    </w:p>
    <w:p w14:paraId="07179CD2" w14:textId="77777777" w:rsidR="009B6F63" w:rsidRPr="00330B09" w:rsidRDefault="009B6F63" w:rsidP="00FA2907">
      <w:pPr>
        <w:spacing w:after="0" w:line="240" w:lineRule="auto"/>
        <w:jc w:val="both"/>
        <w:rPr>
          <w:lang w:val="ka-GE"/>
        </w:rPr>
      </w:pPr>
      <w:r w:rsidRPr="00330B09">
        <w:rPr>
          <w:u w:val="single"/>
          <w:lang w:val="ka-GE"/>
        </w:rPr>
        <w:t>გერიატრიული პაციენტები:</w:t>
      </w:r>
      <w:r w:rsidRPr="00330B09">
        <w:rPr>
          <w:lang w:val="ka-GE"/>
        </w:rPr>
        <w:t xml:space="preserve"> 75 წელზე უფროსი ასაკის პაციენტებში აღინიშნება კლირენსის შემცირება და ნახევარგამოყოფის პერიოდის გაზრდა.</w:t>
      </w:r>
    </w:p>
    <w:bookmarkEnd w:id="1"/>
    <w:p w14:paraId="2FE7EAF3" w14:textId="77777777" w:rsidR="00D85484" w:rsidRPr="00330B09" w:rsidRDefault="00D85484" w:rsidP="00FA2907">
      <w:pPr>
        <w:spacing w:after="0" w:line="240" w:lineRule="auto"/>
        <w:jc w:val="both"/>
        <w:rPr>
          <w:lang w:val="ka-GE"/>
        </w:rPr>
      </w:pPr>
    </w:p>
    <w:p w14:paraId="6F2D2AC4" w14:textId="77777777" w:rsidR="004A22B3" w:rsidRPr="00330B09" w:rsidRDefault="004A22B3" w:rsidP="004A22B3">
      <w:pPr>
        <w:spacing w:after="0" w:line="240" w:lineRule="auto"/>
        <w:jc w:val="both"/>
        <w:rPr>
          <w:b/>
          <w:bCs/>
          <w:lang w:val="ka-GE"/>
        </w:rPr>
      </w:pPr>
      <w:r w:rsidRPr="00330B09">
        <w:rPr>
          <w:b/>
          <w:bCs/>
          <w:lang w:val="ka-GE"/>
        </w:rPr>
        <w:t>ჩვენებები</w:t>
      </w:r>
    </w:p>
    <w:p w14:paraId="32CE8DC6" w14:textId="0BE2C15A" w:rsidR="004A22B3" w:rsidRPr="00330B09" w:rsidRDefault="00C833D9" w:rsidP="004A22B3">
      <w:pPr>
        <w:spacing w:after="0" w:line="240" w:lineRule="auto"/>
        <w:jc w:val="both"/>
        <w:rPr>
          <w:lang w:val="ka-GE"/>
        </w:rPr>
      </w:pPr>
      <w:bookmarkStart w:id="2" w:name="_Hlk232778528"/>
      <w:r w:rsidRPr="00330B09">
        <w:rPr>
          <w:u w:val="single"/>
          <w:lang w:val="ka-GE"/>
        </w:rPr>
        <w:t>გულისრევისა და ღებინების პრევენცი</w:t>
      </w:r>
      <w:r>
        <w:rPr>
          <w:u w:val="single"/>
          <w:lang w:val="ka-GE"/>
        </w:rPr>
        <w:t>ისთვის, რომელიც დაკავშირებულია სიმსივნის</w:t>
      </w:r>
      <w:r w:rsidR="004A22B3" w:rsidRPr="00330B09">
        <w:rPr>
          <w:u w:val="single"/>
          <w:lang w:val="ka-GE"/>
        </w:rPr>
        <w:t xml:space="preserve"> </w:t>
      </w:r>
      <w:r w:rsidR="00642E0D">
        <w:rPr>
          <w:u w:val="single"/>
          <w:lang w:val="ka-GE"/>
        </w:rPr>
        <w:t xml:space="preserve">საწინააღმდეგო </w:t>
      </w:r>
      <w:bookmarkStart w:id="3" w:name="_Hlk232171685"/>
      <w:r w:rsidR="00642E0D" w:rsidRPr="00330B09">
        <w:rPr>
          <w:u w:val="single"/>
          <w:lang w:val="ka-GE"/>
        </w:rPr>
        <w:t>ემეტოგენურ</w:t>
      </w:r>
      <w:r w:rsidR="00ED7238">
        <w:rPr>
          <w:u w:val="single"/>
          <w:lang w:val="ka-GE"/>
        </w:rPr>
        <w:t>ი</w:t>
      </w:r>
      <w:r w:rsidR="00642E0D" w:rsidRPr="00330B09">
        <w:rPr>
          <w:u w:val="single"/>
          <w:lang w:val="ka-GE"/>
        </w:rPr>
        <w:t xml:space="preserve"> </w:t>
      </w:r>
      <w:r w:rsidR="004A22B3" w:rsidRPr="00330B09">
        <w:rPr>
          <w:u w:val="single"/>
          <w:lang w:val="ka-GE"/>
        </w:rPr>
        <w:t xml:space="preserve">ქიმიოთერაპიის საწყის და განმეორებით </w:t>
      </w:r>
      <w:r w:rsidR="00642E0D">
        <w:rPr>
          <w:u w:val="single"/>
          <w:lang w:val="ka-GE"/>
        </w:rPr>
        <w:t>კურს</w:t>
      </w:r>
      <w:r w:rsidR="00ED7238">
        <w:rPr>
          <w:u w:val="single"/>
          <w:lang w:val="ka-GE"/>
        </w:rPr>
        <w:t>თან</w:t>
      </w:r>
      <w:bookmarkEnd w:id="3"/>
      <w:r>
        <w:rPr>
          <w:u w:val="single"/>
          <w:lang w:val="ka-GE"/>
        </w:rPr>
        <w:t>.</w:t>
      </w:r>
    </w:p>
    <w:p w14:paraId="3921C66A" w14:textId="77D81079" w:rsidR="00273B47" w:rsidRPr="00330B09" w:rsidRDefault="00273B47" w:rsidP="00273B47">
      <w:pPr>
        <w:spacing w:after="0" w:line="240" w:lineRule="auto"/>
        <w:jc w:val="both"/>
        <w:rPr>
          <w:lang w:val="ka-GE"/>
        </w:rPr>
      </w:pPr>
      <w:r w:rsidRPr="00330B09">
        <w:rPr>
          <w:lang w:val="ka-GE"/>
        </w:rPr>
        <w:t>ონდანი</w:t>
      </w:r>
      <w:r w:rsidR="00255876" w:rsidRPr="00330B09">
        <w:rPr>
          <w:lang w:val="ka-GE"/>
        </w:rPr>
        <w:t>ქე</w:t>
      </w:r>
      <w:r w:rsidRPr="00330B09">
        <w:rPr>
          <w:lang w:val="ka-GE"/>
        </w:rPr>
        <w:t xml:space="preserve">ს ინექცია </w:t>
      </w:r>
      <w:r w:rsidR="00642E0D">
        <w:rPr>
          <w:lang w:val="ka-GE"/>
        </w:rPr>
        <w:t>გამოიყენება</w:t>
      </w:r>
      <w:r w:rsidRPr="00330B09">
        <w:rPr>
          <w:lang w:val="ka-GE"/>
        </w:rPr>
        <w:t xml:space="preserve"> გულისრევისა და ღებინების პროფილაქტიკისთვის, რომელიც დაკავშირებულია საწყის და </w:t>
      </w:r>
      <w:r w:rsidR="00642E0D">
        <w:rPr>
          <w:lang w:val="ka-GE"/>
        </w:rPr>
        <w:t>განმერებით</w:t>
      </w:r>
      <w:r w:rsidRPr="00330B09">
        <w:rPr>
          <w:lang w:val="ka-GE"/>
        </w:rPr>
        <w:t xml:space="preserve"> ემეტოგენურ ქიმიოთერაპიასთან </w:t>
      </w:r>
      <w:r w:rsidR="00C833D9">
        <w:rPr>
          <w:lang w:val="ka-GE"/>
        </w:rPr>
        <w:t>სიმსივნი</w:t>
      </w:r>
      <w:r w:rsidR="0007288A">
        <w:rPr>
          <w:lang w:val="ka-GE"/>
        </w:rPr>
        <w:t>თ</w:t>
      </w:r>
      <w:r w:rsidRPr="00330B09">
        <w:rPr>
          <w:lang w:val="ka-GE"/>
        </w:rPr>
        <w:t xml:space="preserve"> დაავადებულ პაციენტებში, მათ შორის მაღალი დოზით ცისპლატინის მიღებასთან.</w:t>
      </w:r>
    </w:p>
    <w:p w14:paraId="5FC5900C" w14:textId="2B3FD830" w:rsidR="00D85484" w:rsidRDefault="00273B47" w:rsidP="00273B47">
      <w:pPr>
        <w:spacing w:after="0" w:line="240" w:lineRule="auto"/>
        <w:jc w:val="both"/>
        <w:rPr>
          <w:lang w:val="ka-GE"/>
        </w:rPr>
      </w:pPr>
      <w:r w:rsidRPr="00330B09">
        <w:rPr>
          <w:lang w:val="ka-GE"/>
        </w:rPr>
        <w:t>ონდანი</w:t>
      </w:r>
      <w:r w:rsidR="00255876" w:rsidRPr="00330B09">
        <w:rPr>
          <w:lang w:val="ka-GE"/>
        </w:rPr>
        <w:t xml:space="preserve">ქე გამოიყენება </w:t>
      </w:r>
      <w:r w:rsidRPr="00330B09">
        <w:rPr>
          <w:lang w:val="ka-GE"/>
        </w:rPr>
        <w:t>6 თვის და უფროსი ასაკის პაციენტებ</w:t>
      </w:r>
      <w:r w:rsidR="00C833D9">
        <w:rPr>
          <w:lang w:val="ka-GE"/>
        </w:rPr>
        <w:t>ში.</w:t>
      </w:r>
    </w:p>
    <w:p w14:paraId="570C8D43" w14:textId="77777777" w:rsidR="00642E0D" w:rsidRPr="00330B09" w:rsidRDefault="00642E0D" w:rsidP="00273B47">
      <w:pPr>
        <w:spacing w:after="0" w:line="240" w:lineRule="auto"/>
        <w:jc w:val="both"/>
        <w:rPr>
          <w:lang w:val="ka-GE"/>
        </w:rPr>
      </w:pPr>
    </w:p>
    <w:p w14:paraId="3933F766" w14:textId="77777777" w:rsidR="00A27DAD" w:rsidRPr="00330B09" w:rsidRDefault="00A27DAD" w:rsidP="00273B47">
      <w:pPr>
        <w:spacing w:after="0" w:line="240" w:lineRule="auto"/>
        <w:jc w:val="both"/>
        <w:rPr>
          <w:u w:val="single"/>
          <w:lang w:val="ka-GE"/>
        </w:rPr>
      </w:pPr>
      <w:r w:rsidRPr="00330B09">
        <w:rPr>
          <w:u w:val="single"/>
          <w:lang w:val="ka-GE"/>
        </w:rPr>
        <w:lastRenderedPageBreak/>
        <w:t>ოპერაციის შემდგომი გულისრევის და/ან ღებინების პრევენცია</w:t>
      </w:r>
    </w:p>
    <w:p w14:paraId="1B13529D" w14:textId="3F935F41" w:rsidR="00ED7238" w:rsidRDefault="00F55D12" w:rsidP="00273B47">
      <w:pPr>
        <w:spacing w:after="0" w:line="240" w:lineRule="auto"/>
        <w:jc w:val="both"/>
        <w:rPr>
          <w:lang w:val="ka-GE"/>
        </w:rPr>
      </w:pPr>
      <w:r w:rsidRPr="00330B09">
        <w:rPr>
          <w:lang w:val="ka-GE"/>
        </w:rPr>
        <w:t>ონდანი</w:t>
      </w:r>
      <w:r w:rsidR="00ED7238">
        <w:rPr>
          <w:lang w:val="ka-GE"/>
        </w:rPr>
        <w:t>ქეს</w:t>
      </w:r>
      <w:r w:rsidR="00094C16" w:rsidRPr="00330B09">
        <w:rPr>
          <w:lang w:val="ka-GE"/>
        </w:rPr>
        <w:t xml:space="preserve"> </w:t>
      </w:r>
      <w:r w:rsidR="00ED7238">
        <w:rPr>
          <w:lang w:val="ka-GE"/>
        </w:rPr>
        <w:t>ინექცია</w:t>
      </w:r>
      <w:r w:rsidR="00094C16" w:rsidRPr="00330B09">
        <w:rPr>
          <w:lang w:val="ka-GE"/>
        </w:rPr>
        <w:t xml:space="preserve"> </w:t>
      </w:r>
      <w:r w:rsidR="00ED7238">
        <w:rPr>
          <w:lang w:val="ka-GE"/>
        </w:rPr>
        <w:t>გამოიყენება</w:t>
      </w:r>
      <w:r w:rsidR="00094C16" w:rsidRPr="00330B09">
        <w:rPr>
          <w:lang w:val="ka-GE"/>
        </w:rPr>
        <w:t xml:space="preserve"> პოსტოპერაციული გულისრევის და/ან ღებინების პროფილაქტიკისთვის. სხვა ღებინების საწინააღმდეგო საშუალებების მსგავსად, რუტინული პროფილაქტიკა არ არის რეკომენდებული </w:t>
      </w:r>
      <w:r w:rsidR="00C833D9">
        <w:rPr>
          <w:lang w:val="ka-GE"/>
        </w:rPr>
        <w:t xml:space="preserve">იმ </w:t>
      </w:r>
      <w:r w:rsidR="00094C16" w:rsidRPr="00330B09">
        <w:rPr>
          <w:lang w:val="ka-GE"/>
        </w:rPr>
        <w:t>პაციენტებში, რომლ</w:t>
      </w:r>
      <w:r w:rsidR="00C833D9">
        <w:rPr>
          <w:lang w:val="ka-GE"/>
        </w:rPr>
        <w:t>თა შემთხვევაში</w:t>
      </w:r>
      <w:r w:rsidR="00094C16" w:rsidRPr="00330B09">
        <w:rPr>
          <w:lang w:val="ka-GE"/>
        </w:rPr>
        <w:t xml:space="preserve"> პოსტოპერაციული გულისრევის და/ან ღებინების </w:t>
      </w:r>
      <w:r w:rsidR="005A3663">
        <w:rPr>
          <w:lang w:val="ka-GE"/>
        </w:rPr>
        <w:t>განვითარება ნაკლებად მოსალოდნელია.</w:t>
      </w:r>
      <w:r w:rsidR="00094C16" w:rsidRPr="00330B09">
        <w:rPr>
          <w:lang w:val="ka-GE"/>
        </w:rPr>
        <w:t xml:space="preserve">  პაციენტებში, რომელთათვისაც პოსტოპერაციული გულისრევ</w:t>
      </w:r>
      <w:r w:rsidR="005A3663">
        <w:rPr>
          <w:lang w:val="ka-GE"/>
        </w:rPr>
        <w:t>ა</w:t>
      </w:r>
      <w:r w:rsidR="00094C16" w:rsidRPr="00330B09">
        <w:rPr>
          <w:lang w:val="ka-GE"/>
        </w:rPr>
        <w:t xml:space="preserve"> და/ან ღებინებ</w:t>
      </w:r>
      <w:r w:rsidR="005A3663">
        <w:rPr>
          <w:lang w:val="ka-GE"/>
        </w:rPr>
        <w:t>ა</w:t>
      </w:r>
      <w:r w:rsidR="00094C16" w:rsidRPr="00330B09">
        <w:rPr>
          <w:lang w:val="ka-GE"/>
        </w:rPr>
        <w:t xml:space="preserve"> თავიდან </w:t>
      </w:r>
      <w:r w:rsidR="005A3663">
        <w:rPr>
          <w:lang w:val="ka-GE"/>
        </w:rPr>
        <w:t>უნდა იქნას არიდებული,</w:t>
      </w:r>
      <w:r w:rsidR="00094C16" w:rsidRPr="00330B09">
        <w:rPr>
          <w:lang w:val="ka-GE"/>
        </w:rPr>
        <w:t xml:space="preserve"> </w:t>
      </w:r>
      <w:r w:rsidR="007A5A84" w:rsidRPr="00330B09">
        <w:rPr>
          <w:lang w:val="ka-GE"/>
        </w:rPr>
        <w:t>ონდანი</w:t>
      </w:r>
      <w:r w:rsidR="00ED7238">
        <w:rPr>
          <w:lang w:val="ka-GE"/>
        </w:rPr>
        <w:t>ქეს</w:t>
      </w:r>
      <w:r w:rsidR="007A5A84" w:rsidRPr="00330B09">
        <w:rPr>
          <w:lang w:val="ka-GE"/>
        </w:rPr>
        <w:t xml:space="preserve"> </w:t>
      </w:r>
      <w:r w:rsidR="00094C16" w:rsidRPr="00330B09">
        <w:rPr>
          <w:lang w:val="ka-GE"/>
        </w:rPr>
        <w:t xml:space="preserve">ინექციის გამოყენება რეკომენდებულია იმ შემთხვევებშიც კი, როდესაც პოსტოპერაციული გულისრევის და/ან ღებინების </w:t>
      </w:r>
      <w:r w:rsidR="005A3663">
        <w:rPr>
          <w:lang w:val="ka-GE"/>
        </w:rPr>
        <w:t>განვითარების სიხშირე</w:t>
      </w:r>
      <w:r w:rsidR="00094C16" w:rsidRPr="00330B09">
        <w:rPr>
          <w:lang w:val="ka-GE"/>
        </w:rPr>
        <w:t xml:space="preserve"> დაბალია. პაციენტებ</w:t>
      </w:r>
      <w:r w:rsidR="005A3663">
        <w:rPr>
          <w:lang w:val="ka-GE"/>
        </w:rPr>
        <w:t>ში</w:t>
      </w:r>
      <w:r w:rsidR="00094C16" w:rsidRPr="00330B09">
        <w:rPr>
          <w:lang w:val="ka-GE"/>
        </w:rPr>
        <w:t xml:space="preserve">, რომლებიც არ იღებენ </w:t>
      </w:r>
      <w:r w:rsidR="00991C22" w:rsidRPr="00330B09">
        <w:rPr>
          <w:lang w:val="ka-GE"/>
        </w:rPr>
        <w:t>ონდანი</w:t>
      </w:r>
      <w:r w:rsidR="00ED7238">
        <w:rPr>
          <w:lang w:val="ka-GE"/>
        </w:rPr>
        <w:t>ქეს</w:t>
      </w:r>
      <w:r w:rsidR="00094C16" w:rsidRPr="00330B09">
        <w:rPr>
          <w:lang w:val="ka-GE"/>
        </w:rPr>
        <w:t xml:space="preserve"> </w:t>
      </w:r>
      <w:r w:rsidR="00ED7238">
        <w:rPr>
          <w:lang w:val="ka-GE"/>
        </w:rPr>
        <w:t xml:space="preserve">საპროფილაქტიკო </w:t>
      </w:r>
      <w:r w:rsidR="00094C16" w:rsidRPr="00330B09">
        <w:rPr>
          <w:lang w:val="ka-GE"/>
        </w:rPr>
        <w:t xml:space="preserve">ინექციას და შემდგომში უვითარდებათ პოსტოპერაციული გულისრევა და/ან ღებინება, </w:t>
      </w:r>
      <w:r w:rsidR="005A3663">
        <w:rPr>
          <w:lang w:val="ka-GE"/>
        </w:rPr>
        <w:t xml:space="preserve">შესაძლებელია </w:t>
      </w:r>
      <w:r w:rsidR="00ED7238">
        <w:rPr>
          <w:lang w:val="ka-GE"/>
        </w:rPr>
        <w:t>ონდანიქეს</w:t>
      </w:r>
      <w:r w:rsidR="00BE2331" w:rsidRPr="00330B09">
        <w:rPr>
          <w:lang w:val="ka-GE"/>
        </w:rPr>
        <w:t xml:space="preserve"> </w:t>
      </w:r>
      <w:r w:rsidR="00094C16" w:rsidRPr="00330B09">
        <w:rPr>
          <w:lang w:val="ka-GE"/>
        </w:rPr>
        <w:t>ინექციები</w:t>
      </w:r>
      <w:r w:rsidR="005A3663">
        <w:rPr>
          <w:lang w:val="ka-GE"/>
        </w:rPr>
        <w:t>ს გამოყენება</w:t>
      </w:r>
      <w:r w:rsidR="00094C16" w:rsidRPr="00330B09">
        <w:rPr>
          <w:lang w:val="ka-GE"/>
        </w:rPr>
        <w:t xml:space="preserve"> შემდგომი ეპიზოდების თავიდან ასაცილებლად. </w:t>
      </w:r>
    </w:p>
    <w:p w14:paraId="19A6D222" w14:textId="4BD93EAB" w:rsidR="00094C16" w:rsidRPr="00330B09" w:rsidRDefault="00F11F53" w:rsidP="00273B47">
      <w:pPr>
        <w:spacing w:after="0" w:line="240" w:lineRule="auto"/>
        <w:jc w:val="both"/>
        <w:rPr>
          <w:lang w:val="ka-GE"/>
        </w:rPr>
      </w:pPr>
      <w:r w:rsidRPr="00330B09">
        <w:rPr>
          <w:lang w:val="ka-GE"/>
        </w:rPr>
        <w:t>ონდანი</w:t>
      </w:r>
      <w:r w:rsidR="00ED7238">
        <w:rPr>
          <w:lang w:val="ka-GE"/>
        </w:rPr>
        <w:t>ქე</w:t>
      </w:r>
      <w:r w:rsidRPr="00330B09">
        <w:rPr>
          <w:lang w:val="ka-GE"/>
        </w:rPr>
        <w:t xml:space="preserve"> გამო</w:t>
      </w:r>
      <w:r w:rsidR="005A3663">
        <w:rPr>
          <w:lang w:val="ka-GE"/>
        </w:rPr>
        <w:t>ი</w:t>
      </w:r>
      <w:r w:rsidRPr="00330B09">
        <w:rPr>
          <w:lang w:val="ka-GE"/>
        </w:rPr>
        <w:t xml:space="preserve">ყენება </w:t>
      </w:r>
      <w:r w:rsidR="00094C16" w:rsidRPr="00330B09">
        <w:rPr>
          <w:lang w:val="ka-GE"/>
        </w:rPr>
        <w:t>ერთი თვის და უფროსი ასაკის პაციენტებ</w:t>
      </w:r>
      <w:r w:rsidR="00ED7238">
        <w:rPr>
          <w:lang w:val="ka-GE"/>
        </w:rPr>
        <w:t>ისთვის.</w:t>
      </w:r>
    </w:p>
    <w:bookmarkEnd w:id="2"/>
    <w:p w14:paraId="2FD8202B" w14:textId="77777777" w:rsidR="005C0ACC" w:rsidRPr="00330B09" w:rsidRDefault="005C0ACC" w:rsidP="0093511B">
      <w:pPr>
        <w:spacing w:after="0" w:line="240" w:lineRule="auto"/>
        <w:jc w:val="both"/>
        <w:rPr>
          <w:b/>
          <w:bCs/>
          <w:lang w:val="ka-GE"/>
        </w:rPr>
      </w:pPr>
    </w:p>
    <w:p w14:paraId="1156E5D8" w14:textId="77777777" w:rsidR="0093511B" w:rsidRPr="00330B09" w:rsidRDefault="0093511B" w:rsidP="0093511B">
      <w:pPr>
        <w:spacing w:after="0" w:line="240" w:lineRule="auto"/>
        <w:jc w:val="both"/>
        <w:rPr>
          <w:b/>
          <w:bCs/>
          <w:lang w:val="ka-GE"/>
        </w:rPr>
      </w:pPr>
      <w:r w:rsidRPr="00330B09">
        <w:rPr>
          <w:b/>
          <w:bCs/>
          <w:lang w:val="ka-GE"/>
        </w:rPr>
        <w:t>დოზირება</w:t>
      </w:r>
    </w:p>
    <w:p w14:paraId="1BD6744F" w14:textId="6F484D4E" w:rsidR="005A3663" w:rsidRPr="005A3663" w:rsidRDefault="005A3663" w:rsidP="005A3663">
      <w:pPr>
        <w:spacing w:after="0" w:line="240" w:lineRule="auto"/>
        <w:jc w:val="both"/>
        <w:rPr>
          <w:u w:val="single"/>
          <w:lang w:val="ka-GE"/>
        </w:rPr>
      </w:pPr>
      <w:bookmarkStart w:id="4" w:name="_Hlk232778582"/>
      <w:r w:rsidRPr="005A3663">
        <w:rPr>
          <w:u w:val="single"/>
          <w:lang w:val="ka-GE"/>
        </w:rPr>
        <w:t>გულისრევისა და ღებინების პრევენცი</w:t>
      </w:r>
      <w:r>
        <w:rPr>
          <w:u w:val="single"/>
          <w:lang w:val="ka-GE"/>
        </w:rPr>
        <w:t>ა</w:t>
      </w:r>
      <w:r w:rsidRPr="005A3663">
        <w:rPr>
          <w:u w:val="single"/>
          <w:lang w:val="ka-GE"/>
        </w:rPr>
        <w:t>, რომელიც დაკავშირებულია სიმსივნის საწინააღმდეგო ემეტოგენური</w:t>
      </w:r>
      <w:r w:rsidR="006D5EDB">
        <w:rPr>
          <w:u w:val="single"/>
          <w:lang w:val="ka-GE"/>
        </w:rPr>
        <w:t xml:space="preserve"> </w:t>
      </w:r>
      <w:r w:rsidRPr="005A3663">
        <w:rPr>
          <w:u w:val="single"/>
          <w:lang w:val="ka-GE"/>
        </w:rPr>
        <w:t>ქიმიოთერაპიის საწყის და განმეორებით კურსთან.</w:t>
      </w:r>
    </w:p>
    <w:p w14:paraId="4B5284B9" w14:textId="606CFA47" w:rsidR="00636D3D" w:rsidRPr="00330B09" w:rsidRDefault="00636D3D" w:rsidP="0093511B">
      <w:pPr>
        <w:spacing w:after="0" w:line="240" w:lineRule="auto"/>
        <w:jc w:val="both"/>
        <w:rPr>
          <w:lang w:val="ka-GE"/>
        </w:rPr>
      </w:pPr>
      <w:r w:rsidRPr="00330B09">
        <w:rPr>
          <w:lang w:val="ka-GE"/>
        </w:rPr>
        <w:t>მომზადების მნიშვნელოვანი ინსტრუქციები</w:t>
      </w:r>
    </w:p>
    <w:p w14:paraId="37BA85B3" w14:textId="2ACB7249" w:rsidR="00B61682" w:rsidRPr="00330B09" w:rsidRDefault="00B61682" w:rsidP="00B9281C">
      <w:pPr>
        <w:pStyle w:val="ListParagraph"/>
        <w:numPr>
          <w:ilvl w:val="0"/>
          <w:numId w:val="2"/>
        </w:numPr>
        <w:spacing w:after="0" w:line="240" w:lineRule="auto"/>
        <w:jc w:val="both"/>
        <w:rPr>
          <w:lang w:val="ka-GE"/>
        </w:rPr>
      </w:pPr>
      <w:r w:rsidRPr="00330B09">
        <w:rPr>
          <w:lang w:val="ka-GE"/>
        </w:rPr>
        <w:t xml:space="preserve">ემეტოგენურ ქიმიოთერაპიასთან დაკავშირებული გულისრევისა და ღებინების თავიდან ასაცილებლად, მოზრდილებსა და ბავშვებში გამოყენებამდე </w:t>
      </w:r>
      <w:r w:rsidR="00ED7238">
        <w:rPr>
          <w:lang w:val="ka-GE"/>
        </w:rPr>
        <w:t>ონდანიქე</w:t>
      </w:r>
      <w:r w:rsidRPr="00330B09">
        <w:rPr>
          <w:lang w:val="ka-GE"/>
        </w:rPr>
        <w:t xml:space="preserve"> უნდა განზავდეს 50 მლ 5%-იან </w:t>
      </w:r>
      <w:r w:rsidR="006E0469">
        <w:rPr>
          <w:lang w:val="ka-GE"/>
        </w:rPr>
        <w:t>დექსტროზის</w:t>
      </w:r>
      <w:r w:rsidRPr="00330B09">
        <w:rPr>
          <w:lang w:val="ka-GE"/>
        </w:rPr>
        <w:t xml:space="preserve"> ხსნარში ან 0.9%-იან ნატრიუმის ქლორიდის ხსნარში.</w:t>
      </w:r>
      <w:r w:rsidR="00B9281C" w:rsidRPr="00330B09">
        <w:rPr>
          <w:lang w:val="ka-GE"/>
        </w:rPr>
        <w:t xml:space="preserve"> </w:t>
      </w:r>
      <w:r w:rsidRPr="00330B09">
        <w:rPr>
          <w:u w:val="single"/>
          <w:lang w:val="ka-GE"/>
        </w:rPr>
        <w:t>6 თვიდან 1 წლამდე ასაკის და/ან 10 კგ</w:t>
      </w:r>
      <w:r w:rsidR="006D5EDB">
        <w:rPr>
          <w:u w:val="single"/>
          <w:lang w:val="ka-GE"/>
        </w:rPr>
        <w:t xml:space="preserve"> ან ნაკლები</w:t>
      </w:r>
      <w:r w:rsidRPr="00330B09">
        <w:rPr>
          <w:u w:val="single"/>
          <w:lang w:val="ka-GE"/>
        </w:rPr>
        <w:t xml:space="preserve"> წონის </w:t>
      </w:r>
      <w:r w:rsidR="00013B99" w:rsidRPr="00330B09">
        <w:rPr>
          <w:u w:val="single"/>
          <w:lang w:val="ka-GE"/>
        </w:rPr>
        <w:t>პედიატრიულ პაციენტებში</w:t>
      </w:r>
      <w:r w:rsidRPr="00330B09">
        <w:rPr>
          <w:u w:val="single"/>
          <w:lang w:val="ka-GE"/>
        </w:rPr>
        <w:t>:</w:t>
      </w:r>
      <w:r w:rsidRPr="00330B09">
        <w:rPr>
          <w:lang w:val="ka-GE"/>
        </w:rPr>
        <w:t xml:space="preserve"> სითხის მოთხოვნილები</w:t>
      </w:r>
      <w:r w:rsidR="00A7073E" w:rsidRPr="00330B09">
        <w:rPr>
          <w:lang w:val="ka-GE"/>
        </w:rPr>
        <w:t>ს შესაბამისად</w:t>
      </w:r>
      <w:r w:rsidRPr="00330B09">
        <w:rPr>
          <w:lang w:val="ka-GE"/>
        </w:rPr>
        <w:t>, ონდანი</w:t>
      </w:r>
      <w:r w:rsidR="00ED7238">
        <w:rPr>
          <w:lang w:val="ka-GE"/>
        </w:rPr>
        <w:t>ქეს</w:t>
      </w:r>
      <w:r w:rsidRPr="00330B09">
        <w:rPr>
          <w:lang w:val="ka-GE"/>
        </w:rPr>
        <w:t xml:space="preserve"> განზავება შესაძლებელია 10-დან 50 მლ-მდე 5%-იან </w:t>
      </w:r>
      <w:r w:rsidR="006E0469">
        <w:rPr>
          <w:lang w:val="ka-GE"/>
        </w:rPr>
        <w:t>დექსტროზის</w:t>
      </w:r>
      <w:r w:rsidRPr="00330B09">
        <w:rPr>
          <w:lang w:val="ka-GE"/>
        </w:rPr>
        <w:t xml:space="preserve"> ხსნარში ან 0.9%-იან ნატრიუმის ქლორიდის ხსნარში.</w:t>
      </w:r>
    </w:p>
    <w:p w14:paraId="09A7EB5D" w14:textId="79326C25" w:rsidR="00B9281C" w:rsidRPr="00ED0155" w:rsidRDefault="00B9281C" w:rsidP="00B9281C">
      <w:pPr>
        <w:pStyle w:val="ListParagraph"/>
        <w:numPr>
          <w:ilvl w:val="0"/>
          <w:numId w:val="2"/>
        </w:numPr>
        <w:spacing w:after="0" w:line="240" w:lineRule="auto"/>
        <w:jc w:val="both"/>
        <w:rPr>
          <w:lang w:val="ka-GE"/>
        </w:rPr>
      </w:pPr>
      <w:r w:rsidRPr="00ED0155">
        <w:rPr>
          <w:lang w:val="ka-GE"/>
        </w:rPr>
        <w:t>ნალექი</w:t>
      </w:r>
      <w:r w:rsidR="00ED0155">
        <w:rPr>
          <w:lang w:val="ka-GE"/>
        </w:rPr>
        <w:t>ს</w:t>
      </w:r>
      <w:r w:rsidRPr="00ED0155">
        <w:rPr>
          <w:lang w:val="ka-GE"/>
        </w:rPr>
        <w:t xml:space="preserve"> წარმოიქმნ</w:t>
      </w:r>
      <w:r w:rsidR="00ED0155">
        <w:rPr>
          <w:lang w:val="ka-GE"/>
        </w:rPr>
        <w:t>ის შემთხვევაში</w:t>
      </w:r>
      <w:r w:rsidRPr="00ED0155">
        <w:rPr>
          <w:lang w:val="ka-GE"/>
        </w:rPr>
        <w:t xml:space="preserve">, მისი </w:t>
      </w:r>
      <w:r w:rsidR="006E0469" w:rsidRPr="00ED0155">
        <w:rPr>
          <w:lang w:val="ka-GE"/>
        </w:rPr>
        <w:t>გაქრობა</w:t>
      </w:r>
      <w:r w:rsidRPr="00ED0155">
        <w:rPr>
          <w:lang w:val="ka-GE"/>
        </w:rPr>
        <w:t xml:space="preserve"> შესაძლებელია </w:t>
      </w:r>
      <w:r w:rsidR="00ED0155" w:rsidRPr="00ED0155">
        <w:rPr>
          <w:lang w:val="ka-GE"/>
        </w:rPr>
        <w:t>ამპულის</w:t>
      </w:r>
      <w:r w:rsidRPr="00ED0155">
        <w:rPr>
          <w:lang w:val="ka-GE"/>
        </w:rPr>
        <w:t xml:space="preserve"> ენერგიულად შენჯღრივით.</w:t>
      </w:r>
    </w:p>
    <w:p w14:paraId="09FCFF44" w14:textId="77777777" w:rsidR="00785CA2" w:rsidRPr="00330B09" w:rsidRDefault="005175AA" w:rsidP="00B9281C">
      <w:pPr>
        <w:pStyle w:val="ListParagraph"/>
        <w:numPr>
          <w:ilvl w:val="0"/>
          <w:numId w:val="2"/>
        </w:numPr>
        <w:spacing w:after="0" w:line="240" w:lineRule="auto"/>
        <w:jc w:val="both"/>
        <w:rPr>
          <w:lang w:val="ka-GE"/>
        </w:rPr>
      </w:pPr>
      <w:r w:rsidRPr="00330B09">
        <w:rPr>
          <w:lang w:val="ka-GE"/>
        </w:rPr>
        <w:t>ონდანსეტრონის საინექციო ხსნარი არ უნდა შეერიოს ხსნარებს, რომელთა ფიზიკური და ქიმიური თავსებადობა დადგენილი არ არის. ეს განსაკუთრებით ეხება ტუტე ხსნარებს, რადგან შეიძლება წარმოიქმნას ნალექი.</w:t>
      </w:r>
    </w:p>
    <w:p w14:paraId="49D99B2F" w14:textId="66BE071F" w:rsidR="00750394" w:rsidRPr="00330B09" w:rsidRDefault="00493815" w:rsidP="00B9281C">
      <w:pPr>
        <w:pStyle w:val="ListParagraph"/>
        <w:numPr>
          <w:ilvl w:val="0"/>
          <w:numId w:val="2"/>
        </w:numPr>
        <w:spacing w:after="0" w:line="240" w:lineRule="auto"/>
        <w:jc w:val="both"/>
        <w:rPr>
          <w:lang w:val="ka-GE"/>
        </w:rPr>
      </w:pPr>
      <w:r w:rsidRPr="00330B09">
        <w:rPr>
          <w:lang w:val="ka-GE"/>
        </w:rPr>
        <w:t xml:space="preserve">გამოყენებამდე განზავებული </w:t>
      </w:r>
      <w:r w:rsidR="006602AD" w:rsidRPr="00330B09">
        <w:rPr>
          <w:lang w:val="ka-GE"/>
        </w:rPr>
        <w:t>ონდანი</w:t>
      </w:r>
      <w:r w:rsidR="006E0469">
        <w:rPr>
          <w:lang w:val="ka-GE"/>
        </w:rPr>
        <w:t>ქეს</w:t>
      </w:r>
      <w:r w:rsidRPr="00330B09">
        <w:rPr>
          <w:lang w:val="ka-GE"/>
        </w:rPr>
        <w:t xml:space="preserve"> საინექციო ხსნარი უნდა შემოწმდეს ნაწილაკებს</w:t>
      </w:r>
      <w:r w:rsidR="00990ADD">
        <w:rPr>
          <w:lang w:val="ka-GE"/>
        </w:rPr>
        <w:t xml:space="preserve"> არსებობასა</w:t>
      </w:r>
      <w:r w:rsidRPr="00330B09">
        <w:rPr>
          <w:lang w:val="ka-GE"/>
        </w:rPr>
        <w:t xml:space="preserve"> და ფერის ცვლილებაზე</w:t>
      </w:r>
      <w:r w:rsidR="00990ADD">
        <w:rPr>
          <w:lang w:val="ka-GE"/>
        </w:rPr>
        <w:t xml:space="preserve">, </w:t>
      </w:r>
      <w:bookmarkStart w:id="5" w:name="_Hlk232185108"/>
      <w:r w:rsidR="00990ADD">
        <w:rPr>
          <w:lang w:val="ka-GE"/>
        </w:rPr>
        <w:t xml:space="preserve">ხოლო </w:t>
      </w:r>
      <w:r w:rsidR="00EA6943">
        <w:rPr>
          <w:lang w:val="ka-GE"/>
        </w:rPr>
        <w:t xml:space="preserve">მათი აღმოჩენის შემთხვევაში </w:t>
      </w:r>
      <w:r w:rsidR="00990ADD">
        <w:rPr>
          <w:lang w:val="ka-GE"/>
        </w:rPr>
        <w:t>არ უნდა იქნას გამოყენებული.</w:t>
      </w:r>
    </w:p>
    <w:bookmarkEnd w:id="5"/>
    <w:p w14:paraId="3C233EDA" w14:textId="2DD1BEF4" w:rsidR="00F00A5F" w:rsidRPr="00330B09" w:rsidRDefault="00F00A5F" w:rsidP="00B9281C">
      <w:pPr>
        <w:pStyle w:val="ListParagraph"/>
        <w:numPr>
          <w:ilvl w:val="0"/>
          <w:numId w:val="2"/>
        </w:numPr>
        <w:spacing w:after="0" w:line="240" w:lineRule="auto"/>
        <w:jc w:val="both"/>
        <w:rPr>
          <w:lang w:val="ka-GE"/>
        </w:rPr>
      </w:pPr>
      <w:r w:rsidRPr="00330B09">
        <w:rPr>
          <w:u w:val="single"/>
          <w:lang w:val="ka-GE"/>
        </w:rPr>
        <w:t>შენახვა:</w:t>
      </w:r>
      <w:r w:rsidRPr="00330B09">
        <w:rPr>
          <w:lang w:val="ka-GE"/>
        </w:rPr>
        <w:t xml:space="preserve"> არ გამოიყენოთ </w:t>
      </w:r>
      <w:r w:rsidR="00990ADD">
        <w:rPr>
          <w:lang w:val="ka-GE"/>
        </w:rPr>
        <w:t xml:space="preserve">განზავებიდან </w:t>
      </w:r>
      <w:r w:rsidRPr="00330B09">
        <w:rPr>
          <w:lang w:val="ka-GE"/>
        </w:rPr>
        <w:t xml:space="preserve">24 საათზე </w:t>
      </w:r>
      <w:r w:rsidR="00990ADD">
        <w:rPr>
          <w:lang w:val="ka-GE"/>
        </w:rPr>
        <w:t>შემდეგ.</w:t>
      </w:r>
      <w:r w:rsidRPr="00330B09">
        <w:rPr>
          <w:lang w:val="ka-GE"/>
        </w:rPr>
        <w:t xml:space="preserve"> მიუხედავად იმისა, რომ </w:t>
      </w:r>
      <w:r w:rsidR="00134168" w:rsidRPr="00330B09">
        <w:rPr>
          <w:lang w:val="ka-GE"/>
        </w:rPr>
        <w:t>ონდანი</w:t>
      </w:r>
      <w:r w:rsidR="002A5939">
        <w:rPr>
          <w:lang w:val="ka-GE"/>
        </w:rPr>
        <w:t>ქეს</w:t>
      </w:r>
      <w:r w:rsidRPr="00330B09">
        <w:rPr>
          <w:lang w:val="ka-GE"/>
        </w:rPr>
        <w:t xml:space="preserve"> საინექციო ხსნარი ქიმიურად და ფიზიკურად სტაბილურია რეკომენდებული განზავებ</w:t>
      </w:r>
      <w:r w:rsidR="00990ADD">
        <w:rPr>
          <w:lang w:val="ka-GE"/>
        </w:rPr>
        <w:t>ა</w:t>
      </w:r>
      <w:r w:rsidRPr="00330B09">
        <w:rPr>
          <w:lang w:val="ka-GE"/>
        </w:rPr>
        <w:t xml:space="preserve">, უნდა </w:t>
      </w:r>
      <w:r w:rsidR="00990ADD">
        <w:rPr>
          <w:lang w:val="ka-GE"/>
        </w:rPr>
        <w:t>მოხდეს</w:t>
      </w:r>
      <w:r w:rsidRPr="00330B09">
        <w:rPr>
          <w:lang w:val="ka-GE"/>
        </w:rPr>
        <w:t xml:space="preserve"> სტერილურ</w:t>
      </w:r>
      <w:r w:rsidR="00990ADD">
        <w:rPr>
          <w:lang w:val="ka-GE"/>
        </w:rPr>
        <w:t>ობის დაცვით</w:t>
      </w:r>
      <w:r w:rsidRPr="00330B09">
        <w:rPr>
          <w:lang w:val="ka-GE"/>
        </w:rPr>
        <w:t>, რადგან გამხსნელები, როგორც წესი, არ შეიცავ</w:t>
      </w:r>
      <w:r w:rsidR="00990ADD">
        <w:rPr>
          <w:lang w:val="ka-GE"/>
        </w:rPr>
        <w:t>ენ</w:t>
      </w:r>
      <w:r w:rsidRPr="00330B09">
        <w:rPr>
          <w:lang w:val="ka-GE"/>
        </w:rPr>
        <w:t xml:space="preserve"> კონსერვანტებს.</w:t>
      </w:r>
      <w:r w:rsidR="000F028F" w:rsidRPr="00330B09">
        <w:rPr>
          <w:lang w:val="ka-GE"/>
        </w:rPr>
        <w:t xml:space="preserve"> </w:t>
      </w:r>
    </w:p>
    <w:p w14:paraId="2F2F16CD" w14:textId="77777777" w:rsidR="00F74399" w:rsidRPr="00330B09" w:rsidRDefault="00F74399" w:rsidP="00F74399">
      <w:pPr>
        <w:spacing w:after="0" w:line="240" w:lineRule="auto"/>
        <w:jc w:val="both"/>
        <w:rPr>
          <w:u w:val="single"/>
          <w:lang w:val="ka-GE"/>
        </w:rPr>
      </w:pPr>
      <w:r w:rsidRPr="00330B09">
        <w:rPr>
          <w:u w:val="single"/>
          <w:lang w:val="ka-GE"/>
        </w:rPr>
        <w:t>დოზირება და მიღებ</w:t>
      </w:r>
      <w:r w:rsidR="00C2727B" w:rsidRPr="00330B09">
        <w:rPr>
          <w:u w:val="single"/>
          <w:lang w:val="ka-GE"/>
        </w:rPr>
        <w:t>ის წესი</w:t>
      </w:r>
    </w:p>
    <w:p w14:paraId="3C8A75A3" w14:textId="4C530E5D" w:rsidR="00C2727B" w:rsidRPr="00330B09" w:rsidRDefault="00990ADD" w:rsidP="00F74399">
      <w:pPr>
        <w:spacing w:after="0" w:line="240" w:lineRule="auto"/>
        <w:jc w:val="both"/>
        <w:rPr>
          <w:lang w:val="ka-GE"/>
        </w:rPr>
      </w:pPr>
      <w:r w:rsidRPr="00330B09">
        <w:rPr>
          <w:lang w:val="ka-GE"/>
        </w:rPr>
        <w:t>6 თვის და უფროსი ასაკის პედიატრიულ პაციენტებ</w:t>
      </w:r>
      <w:r>
        <w:rPr>
          <w:lang w:val="ka-GE"/>
        </w:rPr>
        <w:t xml:space="preserve">სა და მოზრდილებში </w:t>
      </w:r>
      <w:r w:rsidR="00C2727B" w:rsidRPr="00330B09">
        <w:rPr>
          <w:lang w:val="ka-GE"/>
        </w:rPr>
        <w:t xml:space="preserve">ემეტოგენურ ქიმიოთერაპიასთან </w:t>
      </w:r>
      <w:r>
        <w:rPr>
          <w:lang w:val="ka-GE"/>
        </w:rPr>
        <w:t>დაკავშირებული</w:t>
      </w:r>
      <w:r w:rsidR="00C2727B" w:rsidRPr="00330B09">
        <w:rPr>
          <w:lang w:val="ka-GE"/>
        </w:rPr>
        <w:t xml:space="preserve"> გულისრევისა და ღებინების პროფილაქტიკისთვის  რეკომენდებული</w:t>
      </w:r>
      <w:r w:rsidR="00202BA2">
        <w:rPr>
          <w:lang w:val="ka-GE"/>
        </w:rPr>
        <w:t xml:space="preserve">ა </w:t>
      </w:r>
      <w:r w:rsidR="00C2727B" w:rsidRPr="00330B09">
        <w:rPr>
          <w:lang w:val="ka-GE"/>
        </w:rPr>
        <w:t>0.15 მგ/კგ</w:t>
      </w:r>
      <w:r>
        <w:rPr>
          <w:lang w:val="ka-GE"/>
        </w:rPr>
        <w:t>-ზე</w:t>
      </w:r>
      <w:r w:rsidR="00C2727B" w:rsidRPr="00330B09">
        <w:rPr>
          <w:lang w:val="ka-GE"/>
        </w:rPr>
        <w:t xml:space="preserve"> თითო დოზაზე</w:t>
      </w:r>
      <w:r w:rsidR="002A5939">
        <w:rPr>
          <w:lang w:val="ka-GE"/>
        </w:rPr>
        <w:t>,</w:t>
      </w:r>
      <w:r w:rsidR="00C2727B" w:rsidRPr="00330B09">
        <w:rPr>
          <w:lang w:val="ka-GE"/>
        </w:rPr>
        <w:t xml:space="preserve"> სამი დოზისთვის (მაქსიმუმ 16 მგ თითო დოზაზე).</w:t>
      </w:r>
    </w:p>
    <w:p w14:paraId="26CFCCC7" w14:textId="3AC69D48" w:rsidR="00C8170F" w:rsidRPr="00330B09" w:rsidRDefault="00B20678" w:rsidP="00F74399">
      <w:pPr>
        <w:spacing w:after="0" w:line="240" w:lineRule="auto"/>
        <w:jc w:val="both"/>
        <w:rPr>
          <w:lang w:val="ka-GE"/>
        </w:rPr>
      </w:pPr>
      <w:r w:rsidRPr="00330B09">
        <w:rPr>
          <w:lang w:val="ka-GE"/>
        </w:rPr>
        <w:t>გაფრთხილება</w:t>
      </w:r>
      <w:r w:rsidR="00C8170F" w:rsidRPr="00330B09">
        <w:rPr>
          <w:lang w:val="ka-GE"/>
        </w:rPr>
        <w:t>: ონდანი</w:t>
      </w:r>
      <w:r w:rsidR="002A5939">
        <w:rPr>
          <w:lang w:val="ka-GE"/>
        </w:rPr>
        <w:t>ქე</w:t>
      </w:r>
      <w:r w:rsidR="00C8170F" w:rsidRPr="00330B09">
        <w:rPr>
          <w:lang w:val="ka-GE"/>
        </w:rPr>
        <w:t xml:space="preserve">ს საინექციო ხსნარი მოზრდილებსა და </w:t>
      </w:r>
      <w:r w:rsidR="00990ADD">
        <w:rPr>
          <w:lang w:val="ka-GE"/>
        </w:rPr>
        <w:t>პედიატრიულ პაციენტებში</w:t>
      </w:r>
      <w:r w:rsidR="009C7CC2" w:rsidRPr="00330B09">
        <w:rPr>
          <w:lang w:val="ka-GE"/>
        </w:rPr>
        <w:t xml:space="preserve"> გამოყენებამდ</w:t>
      </w:r>
      <w:r w:rsidR="00B14BEF" w:rsidRPr="00330B09">
        <w:rPr>
          <w:lang w:val="ka-GE"/>
        </w:rPr>
        <w:t>ე უნდა განზავდეს</w:t>
      </w:r>
      <w:r w:rsidR="00C8170F" w:rsidRPr="00330B09">
        <w:rPr>
          <w:lang w:val="ka-GE"/>
        </w:rPr>
        <w:t>. ინტრავენური ინფუზია კეთდება 15 წუთის განმავლობაში, ემეტოგენური ქიმიოთერაპიის დაწყებამდე 30 წუთით ადრე. ინფუზია მეორდება პირველი დოზის მიღებიდან 4 და 8 საათის შემდეგ.</w:t>
      </w:r>
    </w:p>
    <w:p w14:paraId="0CEFAA9D" w14:textId="77777777" w:rsidR="001F4C29" w:rsidRPr="00330B09" w:rsidRDefault="001F4C29" w:rsidP="00F74399">
      <w:pPr>
        <w:spacing w:after="0" w:line="240" w:lineRule="auto"/>
        <w:jc w:val="both"/>
        <w:rPr>
          <w:lang w:val="ka-GE"/>
        </w:rPr>
      </w:pPr>
      <w:r w:rsidRPr="00330B09">
        <w:rPr>
          <w:u w:val="single"/>
          <w:lang w:val="ka-GE"/>
        </w:rPr>
        <w:t>პოსტოპერაციული გულისრევისა და ღებინების პრევენცია</w:t>
      </w:r>
    </w:p>
    <w:p w14:paraId="617104FA" w14:textId="77777777" w:rsidR="004B6752" w:rsidRPr="00330B09" w:rsidRDefault="004B6752" w:rsidP="004B6752">
      <w:pPr>
        <w:spacing w:after="0" w:line="240" w:lineRule="auto"/>
        <w:jc w:val="both"/>
        <w:rPr>
          <w:lang w:val="ka-GE"/>
        </w:rPr>
      </w:pPr>
      <w:r w:rsidRPr="00330B09">
        <w:rPr>
          <w:lang w:val="ka-GE"/>
        </w:rPr>
        <w:t>მომზადების მნიშვნელოვანი ინსტრუქციები</w:t>
      </w:r>
    </w:p>
    <w:p w14:paraId="47D8D0A6" w14:textId="6794C0E2" w:rsidR="004B6752" w:rsidRPr="00330B09" w:rsidRDefault="00990ADD" w:rsidP="00B15151">
      <w:pPr>
        <w:pStyle w:val="ListParagraph"/>
        <w:numPr>
          <w:ilvl w:val="0"/>
          <w:numId w:val="6"/>
        </w:numPr>
        <w:spacing w:after="0" w:line="240" w:lineRule="auto"/>
        <w:ind w:left="426"/>
        <w:jc w:val="both"/>
        <w:rPr>
          <w:lang w:val="ka-GE"/>
        </w:rPr>
      </w:pPr>
      <w:r>
        <w:rPr>
          <w:lang w:val="ka-GE"/>
        </w:rPr>
        <w:lastRenderedPageBreak/>
        <w:t>მოზრდილი</w:t>
      </w:r>
      <w:r w:rsidR="004B6752" w:rsidRPr="00330B09">
        <w:rPr>
          <w:lang w:val="ka-GE"/>
        </w:rPr>
        <w:t xml:space="preserve"> და პედიატრიული პაციენტებისთვის </w:t>
      </w:r>
      <w:r w:rsidR="003D04D2" w:rsidRPr="00330B09">
        <w:rPr>
          <w:lang w:val="ka-GE"/>
        </w:rPr>
        <w:t>ონდანი</w:t>
      </w:r>
      <w:r w:rsidR="002A5939">
        <w:rPr>
          <w:lang w:val="ka-GE"/>
        </w:rPr>
        <w:t>ქე</w:t>
      </w:r>
      <w:r w:rsidR="003D04D2" w:rsidRPr="00330B09">
        <w:rPr>
          <w:lang w:val="ka-GE"/>
        </w:rPr>
        <w:t>ს</w:t>
      </w:r>
      <w:r w:rsidR="004B6752" w:rsidRPr="00330B09">
        <w:rPr>
          <w:lang w:val="ka-GE"/>
        </w:rPr>
        <w:t xml:space="preserve"> ინექციის განზავება საჭირო არ არის.</w:t>
      </w:r>
    </w:p>
    <w:p w14:paraId="63C9445F" w14:textId="0C92D104" w:rsidR="004B6752" w:rsidRPr="0007288A" w:rsidRDefault="004B6752" w:rsidP="00ED0155">
      <w:pPr>
        <w:pStyle w:val="ListParagraph"/>
        <w:numPr>
          <w:ilvl w:val="0"/>
          <w:numId w:val="6"/>
        </w:numPr>
        <w:spacing w:after="0" w:line="240" w:lineRule="auto"/>
        <w:ind w:left="426"/>
        <w:jc w:val="both"/>
        <w:rPr>
          <w:lang w:val="ka-GE"/>
        </w:rPr>
      </w:pPr>
      <w:r w:rsidRPr="0007288A">
        <w:rPr>
          <w:lang w:val="ka-GE"/>
        </w:rPr>
        <w:t xml:space="preserve">გამოყენებამდე ვიზუალურად შეამოწმეთ </w:t>
      </w:r>
      <w:r w:rsidR="003E2312" w:rsidRPr="0007288A">
        <w:rPr>
          <w:lang w:val="ka-GE"/>
        </w:rPr>
        <w:t>ონდანი</w:t>
      </w:r>
      <w:r w:rsidR="00202BA2" w:rsidRPr="0007288A">
        <w:rPr>
          <w:lang w:val="ka-GE"/>
        </w:rPr>
        <w:t>ქეს</w:t>
      </w:r>
      <w:r w:rsidR="003E2312" w:rsidRPr="0007288A">
        <w:rPr>
          <w:lang w:val="ka-GE"/>
        </w:rPr>
        <w:t xml:space="preserve"> </w:t>
      </w:r>
      <w:r w:rsidRPr="0007288A">
        <w:rPr>
          <w:lang w:val="ka-GE"/>
        </w:rPr>
        <w:t>ინექცია ნაწილაკებ</w:t>
      </w:r>
      <w:r w:rsidR="00202BA2" w:rsidRPr="0007288A">
        <w:rPr>
          <w:lang w:val="ka-GE"/>
        </w:rPr>
        <w:t>ის არსებობასა</w:t>
      </w:r>
      <w:r w:rsidRPr="0007288A">
        <w:rPr>
          <w:lang w:val="ka-GE"/>
        </w:rPr>
        <w:t xml:space="preserve"> და ფერის </w:t>
      </w:r>
      <w:r w:rsidR="00797019" w:rsidRPr="0007288A">
        <w:rPr>
          <w:lang w:val="ka-GE"/>
        </w:rPr>
        <w:t>ცვლილებაზე</w:t>
      </w:r>
      <w:r w:rsidR="000E1422" w:rsidRPr="0007288A">
        <w:rPr>
          <w:lang w:val="ka-GE"/>
        </w:rPr>
        <w:t xml:space="preserve"> და </w:t>
      </w:r>
      <w:r w:rsidR="00385063" w:rsidRPr="0007288A">
        <w:rPr>
          <w:lang w:val="ka-GE"/>
        </w:rPr>
        <w:t>ხოლო მათი აღმოჩენის შემთხვევაში არ უნდა იქნას გამოყენებული.</w:t>
      </w:r>
      <w:bookmarkEnd w:id="4"/>
    </w:p>
    <w:p w14:paraId="3B50E912" w14:textId="77777777" w:rsidR="00B648FF" w:rsidRPr="00330B09" w:rsidRDefault="00B648FF" w:rsidP="00B648FF">
      <w:pPr>
        <w:spacing w:after="0" w:line="240" w:lineRule="auto"/>
        <w:jc w:val="both"/>
        <w:rPr>
          <w:lang w:val="ka-GE"/>
        </w:rPr>
      </w:pPr>
    </w:p>
    <w:p w14:paraId="2A0A3B58" w14:textId="77777777" w:rsidR="00B648FF" w:rsidRPr="00330B09" w:rsidRDefault="00B648FF" w:rsidP="00B648FF">
      <w:pPr>
        <w:spacing w:after="0" w:line="240" w:lineRule="auto"/>
        <w:jc w:val="both"/>
        <w:rPr>
          <w:lang w:val="ka-GE"/>
        </w:rPr>
      </w:pPr>
      <w:r w:rsidRPr="00330B09">
        <w:rPr>
          <w:b/>
          <w:bCs/>
          <w:u w:val="single"/>
          <w:lang w:val="ka-GE"/>
        </w:rPr>
        <w:t xml:space="preserve">დოზირება და </w:t>
      </w:r>
      <w:r w:rsidR="00792C0E" w:rsidRPr="00330B09">
        <w:rPr>
          <w:b/>
          <w:bCs/>
          <w:u w:val="single"/>
          <w:lang w:val="ka-GE"/>
        </w:rPr>
        <w:t>გამოყენების წესი</w:t>
      </w:r>
    </w:p>
    <w:p w14:paraId="659376B5" w14:textId="77777777" w:rsidR="00C30774" w:rsidRPr="00330B09" w:rsidRDefault="00C30774" w:rsidP="00C30774">
      <w:pPr>
        <w:spacing w:after="0" w:line="240" w:lineRule="auto"/>
        <w:jc w:val="both"/>
        <w:rPr>
          <w:lang w:val="ka-GE"/>
        </w:rPr>
      </w:pPr>
      <w:r w:rsidRPr="00330B09">
        <w:rPr>
          <w:lang w:val="ka-GE"/>
        </w:rPr>
        <w:t>პოსტოპერაციული გულისრევისა და ღებინების პროფილაქტიკისთვის მოზრდილებსა და ერთი თვის და უფროსი ასაკის ბავშვებში რეკომენდებული დოზირება და გამოყენების ინსტრუქცია მოცემულია ცხრილში 1.</w:t>
      </w:r>
    </w:p>
    <w:p w14:paraId="653DF27E" w14:textId="77777777" w:rsidR="00C30774" w:rsidRPr="00330B09" w:rsidRDefault="00C30774" w:rsidP="00C30774">
      <w:pPr>
        <w:spacing w:after="0" w:line="240" w:lineRule="auto"/>
        <w:jc w:val="both"/>
        <w:rPr>
          <w:lang w:val="ka-GE"/>
        </w:rPr>
      </w:pPr>
    </w:p>
    <w:p w14:paraId="148CA577" w14:textId="5AA815A6" w:rsidR="006F7509" w:rsidRPr="00330B09" w:rsidRDefault="00C30774" w:rsidP="00C30774">
      <w:pPr>
        <w:spacing w:after="0" w:line="240" w:lineRule="auto"/>
        <w:jc w:val="both"/>
        <w:rPr>
          <w:lang w:val="ka-GE"/>
        </w:rPr>
      </w:pPr>
      <w:bookmarkStart w:id="6" w:name="_Hlk232778673"/>
      <w:r w:rsidRPr="00330B09">
        <w:rPr>
          <w:lang w:val="ka-GE"/>
        </w:rPr>
        <w:t xml:space="preserve">ცხრილი 1: პოსტოპერაციული გულისრევისა და ღებინების პროფილაქტიკისთვის </w:t>
      </w:r>
      <w:r w:rsidR="00272DBB" w:rsidRPr="00330B09">
        <w:rPr>
          <w:lang w:val="ka-GE"/>
        </w:rPr>
        <w:t>ონდანი</w:t>
      </w:r>
      <w:r w:rsidR="00202BA2">
        <w:rPr>
          <w:lang w:val="ka-GE"/>
        </w:rPr>
        <w:t>ქეს</w:t>
      </w:r>
      <w:r w:rsidRPr="00330B09">
        <w:rPr>
          <w:lang w:val="ka-GE"/>
        </w:rPr>
        <w:t xml:space="preserve"> ინექციის რეკომენდებული დოზირება და გამოყენების ინსტრუქცია</w:t>
      </w:r>
    </w:p>
    <w:tbl>
      <w:tblPr>
        <w:tblW w:w="10201" w:type="dxa"/>
        <w:tblInd w:w="-5" w:type="dxa"/>
        <w:tblLayout w:type="fixed"/>
        <w:tblCellMar>
          <w:left w:w="0" w:type="dxa"/>
          <w:right w:w="0" w:type="dxa"/>
        </w:tblCellMar>
        <w:tblLook w:val="04A0" w:firstRow="1" w:lastRow="0" w:firstColumn="1" w:lastColumn="0" w:noHBand="0" w:noVBand="1"/>
      </w:tblPr>
      <w:tblGrid>
        <w:gridCol w:w="1980"/>
        <w:gridCol w:w="1417"/>
        <w:gridCol w:w="3402"/>
        <w:gridCol w:w="3402"/>
      </w:tblGrid>
      <w:tr w:rsidR="00203EFA" w:rsidRPr="00330B09" w14:paraId="78607794" w14:textId="77777777" w:rsidTr="00294A77">
        <w:trPr>
          <w:trHeight w:val="437"/>
        </w:trPr>
        <w:tc>
          <w:tcPr>
            <w:tcW w:w="1980" w:type="dxa"/>
            <w:tcBorders>
              <w:top w:val="single" w:sz="8" w:space="0" w:color="231F20"/>
              <w:left w:val="single" w:sz="8" w:space="0" w:color="231F20"/>
              <w:bottom w:val="single" w:sz="8" w:space="0" w:color="231F20"/>
              <w:right w:val="single" w:sz="8" w:space="0" w:color="231F20"/>
            </w:tcBorders>
            <w:hideMark/>
          </w:tcPr>
          <w:p w14:paraId="72B489F6" w14:textId="77777777" w:rsidR="00203EFA" w:rsidRPr="00330B09" w:rsidRDefault="00203EFA" w:rsidP="009E4C3F">
            <w:pPr>
              <w:spacing w:after="0"/>
              <w:jc w:val="both"/>
              <w:rPr>
                <w:rFonts w:cs="Times New Roman"/>
                <w:b/>
                <w:bCs/>
                <w:sz w:val="20"/>
                <w:szCs w:val="20"/>
                <w:lang w:val="ka-GE"/>
              </w:rPr>
            </w:pPr>
            <w:bookmarkStart w:id="7" w:name="_Hlk232778790"/>
            <w:bookmarkStart w:id="8" w:name="_Hlk232778712"/>
            <w:bookmarkEnd w:id="6"/>
            <w:r w:rsidRPr="00330B09">
              <w:rPr>
                <w:rFonts w:cs="Times New Roman"/>
                <w:b/>
                <w:bCs/>
                <w:sz w:val="20"/>
                <w:szCs w:val="20"/>
                <w:lang w:val="ka-GE"/>
              </w:rPr>
              <w:t>პოპულაცია</w:t>
            </w:r>
          </w:p>
        </w:tc>
        <w:tc>
          <w:tcPr>
            <w:tcW w:w="1417" w:type="dxa"/>
            <w:tcBorders>
              <w:top w:val="single" w:sz="8" w:space="0" w:color="231F20"/>
              <w:left w:val="nil"/>
              <w:bottom w:val="single" w:sz="8" w:space="0" w:color="231F20"/>
              <w:right w:val="single" w:sz="8" w:space="0" w:color="231F20"/>
            </w:tcBorders>
            <w:hideMark/>
          </w:tcPr>
          <w:p w14:paraId="131DAA5D" w14:textId="77777777" w:rsidR="00203EFA" w:rsidRPr="00330B09" w:rsidRDefault="00203EFA" w:rsidP="009E4C3F">
            <w:pPr>
              <w:spacing w:after="0"/>
              <w:jc w:val="both"/>
              <w:rPr>
                <w:rFonts w:cs="Times New Roman"/>
                <w:b/>
                <w:bCs/>
                <w:sz w:val="20"/>
                <w:szCs w:val="20"/>
                <w:lang w:val="ka-GE"/>
              </w:rPr>
            </w:pPr>
            <w:r w:rsidRPr="00330B09">
              <w:rPr>
                <w:rFonts w:cs="Times New Roman"/>
                <w:b/>
                <w:bCs/>
                <w:sz w:val="20"/>
                <w:szCs w:val="20"/>
                <w:lang w:val="ka-GE"/>
              </w:rPr>
              <w:t>რეკომენდებული ერთჯერადი დოზა</w:t>
            </w:r>
          </w:p>
        </w:tc>
        <w:tc>
          <w:tcPr>
            <w:tcW w:w="3402" w:type="dxa"/>
            <w:tcBorders>
              <w:top w:val="single" w:sz="8" w:space="0" w:color="231F20"/>
              <w:left w:val="nil"/>
              <w:bottom w:val="single" w:sz="8" w:space="0" w:color="231F20"/>
              <w:right w:val="single" w:sz="8" w:space="0" w:color="231F20"/>
            </w:tcBorders>
            <w:hideMark/>
          </w:tcPr>
          <w:p w14:paraId="741D7F55" w14:textId="77777777" w:rsidR="00203EFA" w:rsidRPr="00330B09" w:rsidRDefault="00203EFA" w:rsidP="009E4C3F">
            <w:pPr>
              <w:spacing w:after="0"/>
              <w:jc w:val="both"/>
              <w:rPr>
                <w:rFonts w:cs="Times New Roman"/>
                <w:b/>
                <w:bCs/>
                <w:sz w:val="20"/>
                <w:szCs w:val="20"/>
                <w:lang w:val="ka-GE"/>
              </w:rPr>
            </w:pPr>
            <w:r w:rsidRPr="00330B09">
              <w:rPr>
                <w:rFonts w:cs="Times New Roman"/>
                <w:b/>
                <w:bCs/>
                <w:sz w:val="20"/>
                <w:szCs w:val="20"/>
                <w:lang w:val="ka-GE"/>
              </w:rPr>
              <w:t>გამოყენების წესი</w:t>
            </w:r>
          </w:p>
        </w:tc>
        <w:tc>
          <w:tcPr>
            <w:tcW w:w="3402" w:type="dxa"/>
            <w:tcBorders>
              <w:top w:val="single" w:sz="8" w:space="0" w:color="231F20"/>
              <w:left w:val="nil"/>
              <w:bottom w:val="single" w:sz="8" w:space="0" w:color="231F20"/>
              <w:right w:val="single" w:sz="8" w:space="0" w:color="231F20"/>
            </w:tcBorders>
            <w:hideMark/>
          </w:tcPr>
          <w:p w14:paraId="2AAAE002" w14:textId="77777777" w:rsidR="00203EFA" w:rsidRPr="00330B09" w:rsidRDefault="0044263E" w:rsidP="009E4C3F">
            <w:pPr>
              <w:spacing w:after="0"/>
              <w:jc w:val="both"/>
              <w:rPr>
                <w:rFonts w:ascii="Times New Roman" w:hAnsi="Times New Roman" w:cs="Times New Roman"/>
                <w:b/>
                <w:bCs/>
                <w:sz w:val="20"/>
                <w:szCs w:val="20"/>
                <w:lang w:val="ka-GE"/>
              </w:rPr>
            </w:pPr>
            <w:r w:rsidRPr="00330B09">
              <w:rPr>
                <w:rFonts w:cs="Sylfaen"/>
                <w:b/>
                <w:bCs/>
                <w:sz w:val="20"/>
                <w:szCs w:val="20"/>
                <w:lang w:val="ka-GE"/>
              </w:rPr>
              <w:t>მიღების</w:t>
            </w:r>
            <w:r w:rsidRPr="00330B09">
              <w:rPr>
                <w:rFonts w:ascii="Times New Roman" w:hAnsi="Times New Roman" w:cs="Times New Roman"/>
                <w:b/>
                <w:bCs/>
                <w:sz w:val="20"/>
                <w:szCs w:val="20"/>
                <w:lang w:val="ka-GE"/>
              </w:rPr>
              <w:t xml:space="preserve"> </w:t>
            </w:r>
            <w:r w:rsidRPr="00330B09">
              <w:rPr>
                <w:rFonts w:cs="Sylfaen"/>
                <w:b/>
                <w:bCs/>
                <w:sz w:val="20"/>
                <w:szCs w:val="20"/>
                <w:lang w:val="ka-GE"/>
              </w:rPr>
              <w:t>დრო</w:t>
            </w:r>
          </w:p>
        </w:tc>
      </w:tr>
      <w:tr w:rsidR="00AD45BA" w:rsidRPr="00330B09" w14:paraId="716F6391" w14:textId="77777777" w:rsidTr="00294A77">
        <w:trPr>
          <w:trHeight w:val="861"/>
        </w:trPr>
        <w:tc>
          <w:tcPr>
            <w:tcW w:w="1980" w:type="dxa"/>
            <w:tcBorders>
              <w:top w:val="nil"/>
              <w:left w:val="single" w:sz="8" w:space="0" w:color="231F20"/>
              <w:bottom w:val="single" w:sz="4" w:space="0" w:color="auto"/>
              <w:right w:val="single" w:sz="8" w:space="0" w:color="231F20"/>
            </w:tcBorders>
            <w:hideMark/>
          </w:tcPr>
          <w:p w14:paraId="27D85437" w14:textId="77777777" w:rsidR="00AD45BA" w:rsidRPr="00330B09" w:rsidRDefault="00AD45BA" w:rsidP="00294A77">
            <w:pPr>
              <w:spacing w:after="0"/>
              <w:ind w:right="137"/>
              <w:jc w:val="both"/>
              <w:rPr>
                <w:rFonts w:ascii="Times New Roman" w:hAnsi="Times New Roman" w:cs="Times New Roman"/>
                <w:sz w:val="20"/>
                <w:szCs w:val="20"/>
                <w:lang w:val="ka-GE"/>
              </w:rPr>
            </w:pPr>
            <w:r w:rsidRPr="00330B09">
              <w:rPr>
                <w:rFonts w:cs="Sylfaen"/>
                <w:sz w:val="20"/>
                <w:szCs w:val="20"/>
                <w:lang w:val="ka-GE"/>
              </w:rPr>
              <w:t>მოზრდილები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12 </w:t>
            </w:r>
            <w:r w:rsidRPr="00330B09">
              <w:rPr>
                <w:rFonts w:cs="Sylfaen"/>
                <w:sz w:val="20"/>
                <w:szCs w:val="20"/>
                <w:lang w:val="ka-GE"/>
              </w:rPr>
              <w:t>წელზე</w:t>
            </w:r>
            <w:r w:rsidRPr="00330B09">
              <w:rPr>
                <w:rFonts w:ascii="Times New Roman" w:hAnsi="Times New Roman" w:cs="Times New Roman"/>
                <w:sz w:val="20"/>
                <w:szCs w:val="20"/>
                <w:lang w:val="ka-GE"/>
              </w:rPr>
              <w:t xml:space="preserve"> </w:t>
            </w:r>
            <w:r w:rsidRPr="00330B09">
              <w:rPr>
                <w:rFonts w:cs="Sylfaen"/>
                <w:sz w:val="20"/>
                <w:szCs w:val="20"/>
                <w:lang w:val="ka-GE"/>
              </w:rPr>
              <w:t>უფროსი</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p>
        </w:tc>
        <w:tc>
          <w:tcPr>
            <w:tcW w:w="1417" w:type="dxa"/>
            <w:tcBorders>
              <w:top w:val="nil"/>
              <w:left w:val="nil"/>
              <w:bottom w:val="single" w:sz="4" w:space="0" w:color="auto"/>
              <w:right w:val="single" w:sz="8" w:space="0" w:color="231F20"/>
            </w:tcBorders>
            <w:hideMark/>
          </w:tcPr>
          <w:p w14:paraId="312387BD" w14:textId="77777777" w:rsidR="00AD45BA" w:rsidRPr="00330B09" w:rsidRDefault="00AD45BA" w:rsidP="0007288A">
            <w:pPr>
              <w:spacing w:after="0"/>
              <w:jc w:val="center"/>
              <w:rPr>
                <w:rFonts w:cs="Times New Roman"/>
                <w:sz w:val="20"/>
                <w:szCs w:val="20"/>
                <w:lang w:val="ka-GE"/>
              </w:rPr>
            </w:pPr>
            <w:r w:rsidRPr="00330B09">
              <w:rPr>
                <w:rFonts w:ascii="Times New Roman" w:hAnsi="Times New Roman" w:cs="Times New Roman"/>
                <w:sz w:val="20"/>
                <w:szCs w:val="20"/>
                <w:lang w:val="ka-GE"/>
              </w:rPr>
              <w:t>4 </w:t>
            </w:r>
            <w:r w:rsidRPr="00330B09">
              <w:rPr>
                <w:rFonts w:cs="Times New Roman"/>
                <w:sz w:val="20"/>
                <w:szCs w:val="20"/>
                <w:lang w:val="ka-GE"/>
              </w:rPr>
              <w:t>მგ</w:t>
            </w:r>
          </w:p>
        </w:tc>
        <w:tc>
          <w:tcPr>
            <w:tcW w:w="3402" w:type="dxa"/>
            <w:tcBorders>
              <w:top w:val="nil"/>
              <w:left w:val="nil"/>
              <w:bottom w:val="single" w:sz="4" w:space="0" w:color="auto"/>
              <w:right w:val="single" w:sz="8" w:space="0" w:color="231F20"/>
            </w:tcBorders>
            <w:hideMark/>
          </w:tcPr>
          <w:p w14:paraId="3B1B3B9F" w14:textId="7AD3F595" w:rsidR="00AD45BA" w:rsidRPr="00330B09" w:rsidRDefault="00AD45BA" w:rsidP="00294A77">
            <w:pPr>
              <w:spacing w:after="0"/>
              <w:ind w:left="282" w:right="136"/>
              <w:jc w:val="both"/>
              <w:rPr>
                <w:rFonts w:ascii="Times New Roman" w:hAnsi="Times New Roman" w:cs="Times New Roman"/>
                <w:sz w:val="20"/>
                <w:szCs w:val="20"/>
                <w:lang w:val="ka-GE"/>
              </w:rPr>
            </w:pPr>
            <w:r w:rsidRPr="00330B09">
              <w:rPr>
                <w:rFonts w:cs="Sylfaen"/>
                <w:sz w:val="20"/>
                <w:szCs w:val="20"/>
                <w:lang w:val="ka-GE"/>
              </w:rPr>
              <w:t>შესაძლებელია</w:t>
            </w:r>
            <w:r w:rsidRPr="00330B09">
              <w:rPr>
                <w:rFonts w:ascii="Times New Roman" w:hAnsi="Times New Roman" w:cs="Times New Roman"/>
                <w:sz w:val="20"/>
                <w:szCs w:val="20"/>
                <w:lang w:val="ka-GE"/>
              </w:rPr>
              <w:t xml:space="preserve"> </w:t>
            </w: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ან</w:t>
            </w:r>
            <w:r w:rsidRPr="00330B09">
              <w:rPr>
                <w:rFonts w:ascii="Times New Roman" w:hAnsi="Times New Roman" w:cs="Times New Roman"/>
                <w:sz w:val="20"/>
                <w:szCs w:val="20"/>
                <w:lang w:val="ka-GE"/>
              </w:rPr>
              <w:t xml:space="preserve"> </w:t>
            </w:r>
            <w:proofErr w:type="spellStart"/>
            <w:r w:rsidR="00202BA2">
              <w:rPr>
                <w:rFonts w:cs="Sylfaen"/>
                <w:sz w:val="20"/>
                <w:szCs w:val="20"/>
                <w:lang w:val="ka-GE"/>
              </w:rPr>
              <w:t>ინტრამუსკულარულად</w:t>
            </w:r>
            <w:proofErr w:type="spellEnd"/>
            <w:r w:rsidRPr="00330B09">
              <w:rPr>
                <w:rFonts w:ascii="Times New Roman" w:hAnsi="Times New Roman" w:cs="Times New Roman"/>
                <w:sz w:val="20"/>
                <w:szCs w:val="20"/>
                <w:lang w:val="ka-GE"/>
              </w:rPr>
              <w:t xml:space="preserve"> </w:t>
            </w:r>
            <w:r w:rsidRPr="00330B09">
              <w:rPr>
                <w:rFonts w:cs="Sylfaen"/>
                <w:sz w:val="20"/>
                <w:szCs w:val="20"/>
                <w:lang w:val="ka-GE"/>
              </w:rPr>
              <w:t>შეყვანა</w:t>
            </w:r>
            <w:r w:rsidRPr="00330B09">
              <w:rPr>
                <w:rFonts w:ascii="Times New Roman" w:hAnsi="Times New Roman" w:cs="Times New Roman"/>
                <w:sz w:val="20"/>
                <w:szCs w:val="20"/>
                <w:lang w:val="ka-GE"/>
              </w:rPr>
              <w:t>:</w:t>
            </w:r>
          </w:p>
          <w:p w14:paraId="1ECB1410" w14:textId="77777777" w:rsidR="00AD45BA" w:rsidRPr="00330B09" w:rsidRDefault="00AD45BA" w:rsidP="00294A77">
            <w:pPr>
              <w:pStyle w:val="ListParagraph"/>
              <w:numPr>
                <w:ilvl w:val="0"/>
                <w:numId w:val="8"/>
              </w:numPr>
              <w:tabs>
                <w:tab w:val="left" w:pos="428"/>
              </w:tabs>
              <w:spacing w:after="0"/>
              <w:ind w:left="282" w:right="136" w:firstLine="0"/>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შპრიცის</w:t>
            </w:r>
            <w:r w:rsidRPr="00330B09">
              <w:rPr>
                <w:rFonts w:ascii="Times New Roman" w:hAnsi="Times New Roman" w:cs="Times New Roman"/>
                <w:sz w:val="20"/>
                <w:szCs w:val="20"/>
                <w:lang w:val="ka-GE"/>
              </w:rPr>
              <w:t xml:space="preserve"> </w:t>
            </w:r>
            <w:r w:rsidRPr="00330B09">
              <w:rPr>
                <w:rFonts w:cs="Sylfaen"/>
                <w:sz w:val="20"/>
                <w:szCs w:val="20"/>
                <w:lang w:val="ka-GE"/>
              </w:rPr>
              <w:t>განუზავებელი</w:t>
            </w:r>
            <w:r w:rsidRPr="00330B09">
              <w:rPr>
                <w:rFonts w:ascii="Times New Roman" w:hAnsi="Times New Roman" w:cs="Times New Roman"/>
                <w:sz w:val="20"/>
                <w:szCs w:val="20"/>
                <w:lang w:val="ka-GE"/>
              </w:rPr>
              <w:t xml:space="preserve"> </w:t>
            </w:r>
            <w:r w:rsidRPr="00330B09">
              <w:rPr>
                <w:rFonts w:cs="Sylfaen"/>
                <w:sz w:val="20"/>
                <w:szCs w:val="20"/>
                <w:lang w:val="ka-GE"/>
              </w:rPr>
              <w:t>შიგთავსი</w:t>
            </w:r>
            <w:r w:rsidRPr="00330B09">
              <w:rPr>
                <w:rFonts w:ascii="Times New Roman" w:hAnsi="Times New Roman" w:cs="Times New Roman"/>
                <w:sz w:val="20"/>
                <w:szCs w:val="20"/>
                <w:lang w:val="ka-GE"/>
              </w:rPr>
              <w:t xml:space="preserve"> (4 </w:t>
            </w:r>
            <w:r w:rsidRPr="00330B09">
              <w:rPr>
                <w:rFonts w:cs="Sylfaen"/>
                <w:sz w:val="20"/>
                <w:szCs w:val="20"/>
                <w:lang w:val="ka-GE"/>
              </w:rPr>
              <w:t>მგ</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p w14:paraId="6FCD605C" w14:textId="1FD533B5" w:rsidR="00AD45BA" w:rsidRPr="00330B09" w:rsidRDefault="00202BA2" w:rsidP="00294A77">
            <w:pPr>
              <w:pStyle w:val="ListParagraph"/>
              <w:numPr>
                <w:ilvl w:val="0"/>
                <w:numId w:val="8"/>
              </w:numPr>
              <w:tabs>
                <w:tab w:val="left" w:pos="428"/>
              </w:tabs>
              <w:spacing w:after="0"/>
              <w:ind w:left="282" w:right="136" w:firstLine="0"/>
              <w:jc w:val="both"/>
              <w:rPr>
                <w:rFonts w:ascii="Times New Roman" w:hAnsi="Times New Roman" w:cs="Times New Roman"/>
                <w:sz w:val="20"/>
                <w:szCs w:val="20"/>
                <w:lang w:val="ka-GE"/>
              </w:rPr>
            </w:pPr>
            <w:r>
              <w:rPr>
                <w:rFonts w:cs="Times New Roman"/>
                <w:sz w:val="20"/>
                <w:szCs w:val="20"/>
                <w:lang w:val="ka-GE"/>
              </w:rPr>
              <w:t>ინტრამუსკულარულად</w:t>
            </w:r>
            <w:r w:rsidR="00AD45BA" w:rsidRPr="00330B09">
              <w:rPr>
                <w:rFonts w:ascii="Times New Roman" w:hAnsi="Times New Roman" w:cs="Times New Roman"/>
                <w:sz w:val="20"/>
                <w:szCs w:val="20"/>
                <w:lang w:val="ka-GE"/>
              </w:rPr>
              <w:t xml:space="preserve">: </w:t>
            </w:r>
            <w:r w:rsidR="00385063">
              <w:rPr>
                <w:rFonts w:cs="Times New Roman"/>
                <w:sz w:val="20"/>
                <w:szCs w:val="20"/>
                <w:lang w:val="ka-GE"/>
              </w:rPr>
              <w:t xml:space="preserve">გამოიყენება </w:t>
            </w:r>
            <w:r w:rsidR="00AD45BA" w:rsidRPr="00330B09">
              <w:rPr>
                <w:rFonts w:cs="Sylfaen"/>
                <w:sz w:val="20"/>
                <w:szCs w:val="20"/>
                <w:lang w:val="ka-GE"/>
              </w:rPr>
              <w:t>შპრიცის</w:t>
            </w:r>
            <w:r w:rsidR="00AD45BA" w:rsidRPr="00330B09">
              <w:rPr>
                <w:rFonts w:ascii="Times New Roman" w:hAnsi="Times New Roman" w:cs="Times New Roman"/>
                <w:sz w:val="20"/>
                <w:szCs w:val="20"/>
                <w:lang w:val="ka-GE"/>
              </w:rPr>
              <w:t xml:space="preserve"> </w:t>
            </w:r>
            <w:r w:rsidR="00AD45BA" w:rsidRPr="00330B09">
              <w:rPr>
                <w:rFonts w:cs="Sylfaen"/>
                <w:sz w:val="20"/>
                <w:szCs w:val="20"/>
                <w:lang w:val="ka-GE"/>
              </w:rPr>
              <w:t>განუზავებელი</w:t>
            </w:r>
            <w:r w:rsidR="00AD45BA" w:rsidRPr="00330B09">
              <w:rPr>
                <w:rFonts w:ascii="Times New Roman" w:hAnsi="Times New Roman" w:cs="Times New Roman"/>
                <w:sz w:val="20"/>
                <w:szCs w:val="20"/>
                <w:lang w:val="ka-GE"/>
              </w:rPr>
              <w:t xml:space="preserve"> </w:t>
            </w:r>
            <w:r w:rsidR="00AD45BA" w:rsidRPr="00330B09">
              <w:rPr>
                <w:rFonts w:cs="Sylfaen"/>
                <w:sz w:val="20"/>
                <w:szCs w:val="20"/>
                <w:lang w:val="ka-GE"/>
              </w:rPr>
              <w:t>შიგთავსი</w:t>
            </w:r>
            <w:r w:rsidR="00AD45BA" w:rsidRPr="00330B09">
              <w:rPr>
                <w:rFonts w:ascii="Times New Roman" w:hAnsi="Times New Roman" w:cs="Times New Roman"/>
                <w:sz w:val="20"/>
                <w:szCs w:val="20"/>
                <w:lang w:val="ka-GE"/>
              </w:rPr>
              <w:t xml:space="preserve"> (4 </w:t>
            </w:r>
            <w:r w:rsidR="00AD45BA" w:rsidRPr="00330B09">
              <w:rPr>
                <w:rFonts w:cs="Sylfaen"/>
                <w:sz w:val="20"/>
                <w:szCs w:val="20"/>
                <w:lang w:val="ka-GE"/>
              </w:rPr>
              <w:t>მგ</w:t>
            </w:r>
            <w:r w:rsidR="00AD45BA" w:rsidRPr="00330B09">
              <w:rPr>
                <w:rFonts w:ascii="Times New Roman" w:hAnsi="Times New Roman" w:cs="Times New Roman"/>
                <w:sz w:val="20"/>
                <w:szCs w:val="20"/>
                <w:lang w:val="ka-GE"/>
              </w:rPr>
              <w:t>).</w:t>
            </w:r>
          </w:p>
        </w:tc>
        <w:tc>
          <w:tcPr>
            <w:tcW w:w="3402" w:type="dxa"/>
            <w:vMerge w:val="restart"/>
            <w:tcBorders>
              <w:top w:val="nil"/>
              <w:left w:val="nil"/>
              <w:right w:val="single" w:sz="8" w:space="0" w:color="231F20"/>
            </w:tcBorders>
            <w:hideMark/>
          </w:tcPr>
          <w:p w14:paraId="34F68C41" w14:textId="162C7D55" w:rsidR="00AD45BA" w:rsidRPr="00330B09" w:rsidRDefault="00AD45BA" w:rsidP="00AD47E7">
            <w:pPr>
              <w:spacing w:after="0"/>
              <w:ind w:left="147" w:right="133"/>
              <w:jc w:val="both"/>
              <w:rPr>
                <w:rFonts w:ascii="Times New Roman" w:hAnsi="Times New Roman" w:cs="Times New Roman"/>
                <w:sz w:val="20"/>
                <w:szCs w:val="20"/>
                <w:lang w:val="ka-GE"/>
              </w:rPr>
            </w:pPr>
            <w:r w:rsidRPr="00330B09">
              <w:rPr>
                <w:rFonts w:cs="Sylfaen"/>
                <w:sz w:val="20"/>
                <w:szCs w:val="20"/>
                <w:lang w:val="ka-GE"/>
              </w:rPr>
              <w:t>პრეპარატი</w:t>
            </w:r>
            <w:r w:rsidRPr="00330B09">
              <w:rPr>
                <w:rFonts w:ascii="Times New Roman" w:hAnsi="Times New Roman" w:cs="Times New Roman"/>
                <w:sz w:val="20"/>
                <w:szCs w:val="20"/>
                <w:lang w:val="ka-GE"/>
              </w:rPr>
              <w:t xml:space="preserve"> </w:t>
            </w:r>
            <w:r w:rsidR="00202BA2">
              <w:rPr>
                <w:rFonts w:cs="Sylfaen"/>
                <w:sz w:val="20"/>
                <w:szCs w:val="20"/>
                <w:lang w:val="ka-GE"/>
              </w:rPr>
              <w:t xml:space="preserve">შეყვანა ხდება </w:t>
            </w:r>
            <w:r w:rsidR="00202BA2" w:rsidRPr="00330B09">
              <w:rPr>
                <w:rFonts w:cs="Sylfaen"/>
                <w:sz w:val="20"/>
                <w:szCs w:val="20"/>
                <w:lang w:val="ka-GE"/>
              </w:rPr>
              <w:t>დაუყოვნებლივ</w:t>
            </w:r>
            <w:r w:rsidR="00202BA2">
              <w:rPr>
                <w:rFonts w:cs="Sylfaen"/>
                <w:sz w:val="20"/>
                <w:szCs w:val="20"/>
                <w:lang w:val="ka-GE"/>
              </w:rPr>
              <w:t>,</w:t>
            </w:r>
            <w:r w:rsidR="00202BA2" w:rsidRPr="00330B09">
              <w:rPr>
                <w:rFonts w:ascii="Times New Roman" w:hAnsi="Times New Roman" w:cs="Times New Roman"/>
                <w:sz w:val="20"/>
                <w:szCs w:val="20"/>
                <w:lang w:val="ka-GE"/>
              </w:rPr>
              <w:t xml:space="preserve"> </w:t>
            </w:r>
            <w:r w:rsidRPr="00330B09">
              <w:rPr>
                <w:rFonts w:ascii="Times New Roman" w:hAnsi="Times New Roman" w:cs="Times New Roman"/>
                <w:sz w:val="20"/>
                <w:szCs w:val="20"/>
                <w:lang w:val="ka-GE"/>
              </w:rPr>
              <w:t xml:space="preserve"> </w:t>
            </w:r>
            <w:r w:rsidRPr="00330B09">
              <w:rPr>
                <w:rFonts w:cs="Sylfaen"/>
                <w:sz w:val="20"/>
                <w:szCs w:val="20"/>
                <w:lang w:val="ka-GE"/>
              </w:rPr>
              <w:t>ანესთეზიის</w:t>
            </w:r>
            <w:r w:rsidRPr="00330B09">
              <w:rPr>
                <w:rFonts w:ascii="Times New Roman" w:hAnsi="Times New Roman" w:cs="Times New Roman"/>
                <w:sz w:val="20"/>
                <w:szCs w:val="20"/>
                <w:lang w:val="ka-GE"/>
              </w:rPr>
              <w:t xml:space="preserve"> </w:t>
            </w:r>
            <w:r w:rsidRPr="00330B09">
              <w:rPr>
                <w:rFonts w:cs="Sylfaen"/>
                <w:sz w:val="20"/>
                <w:szCs w:val="20"/>
                <w:lang w:val="ka-GE"/>
              </w:rPr>
              <w:t>დაწყებამდე</w:t>
            </w:r>
            <w:r w:rsidRPr="00330B09">
              <w:rPr>
                <w:rFonts w:ascii="Times New Roman" w:hAnsi="Times New Roman" w:cs="Times New Roman"/>
                <w:sz w:val="20"/>
                <w:szCs w:val="20"/>
                <w:lang w:val="ka-GE"/>
              </w:rPr>
              <w:t xml:space="preserve"> </w:t>
            </w:r>
            <w:r w:rsidRPr="00330B09">
              <w:rPr>
                <w:rFonts w:cs="Sylfaen"/>
                <w:sz w:val="20"/>
                <w:szCs w:val="20"/>
                <w:lang w:val="ka-GE"/>
              </w:rPr>
              <w:t>ან</w:t>
            </w:r>
            <w:r w:rsidRPr="00330B09">
              <w:rPr>
                <w:rFonts w:ascii="Times New Roman" w:hAnsi="Times New Roman" w:cs="Times New Roman"/>
                <w:sz w:val="20"/>
                <w:szCs w:val="20"/>
                <w:lang w:val="ka-GE"/>
              </w:rPr>
              <w:t xml:space="preserve"> </w:t>
            </w:r>
            <w:r w:rsidRPr="00330B09">
              <w:rPr>
                <w:rFonts w:cs="Sylfaen"/>
                <w:sz w:val="20"/>
                <w:szCs w:val="20"/>
                <w:lang w:val="ka-GE"/>
              </w:rPr>
              <w:t>ოპერაციის</w:t>
            </w:r>
            <w:r w:rsidRPr="00330B09">
              <w:rPr>
                <w:rFonts w:ascii="Times New Roman" w:hAnsi="Times New Roman" w:cs="Times New Roman"/>
                <w:sz w:val="20"/>
                <w:szCs w:val="20"/>
                <w:lang w:val="ka-GE"/>
              </w:rPr>
              <w:t xml:space="preserve"> </w:t>
            </w:r>
            <w:r w:rsidRPr="00330B09">
              <w:rPr>
                <w:rFonts w:cs="Sylfaen"/>
                <w:sz w:val="20"/>
                <w:szCs w:val="20"/>
                <w:lang w:val="ka-GE"/>
              </w:rPr>
              <w:t>შემდგომ</w:t>
            </w:r>
            <w:r w:rsidRPr="00330B09">
              <w:rPr>
                <w:rFonts w:ascii="Times New Roman" w:hAnsi="Times New Roman" w:cs="Times New Roman"/>
                <w:sz w:val="20"/>
                <w:szCs w:val="20"/>
                <w:lang w:val="ka-GE"/>
              </w:rPr>
              <w:t xml:space="preserve"> </w:t>
            </w:r>
            <w:r w:rsidRPr="00330B09">
              <w:rPr>
                <w:rFonts w:cs="Sylfaen"/>
                <w:sz w:val="20"/>
                <w:szCs w:val="20"/>
                <w:lang w:val="ka-GE"/>
              </w:rPr>
              <w:t>პერიოდში</w:t>
            </w:r>
            <w:r w:rsidRPr="00330B09">
              <w:rPr>
                <w:rFonts w:ascii="Times New Roman" w:hAnsi="Times New Roman" w:cs="Times New Roman"/>
                <w:sz w:val="20"/>
                <w:szCs w:val="20"/>
                <w:lang w:val="ka-GE"/>
              </w:rPr>
              <w:t xml:space="preserve">, </w:t>
            </w:r>
            <w:r w:rsidRPr="00330B09">
              <w:rPr>
                <w:rFonts w:cs="Sylfaen"/>
                <w:sz w:val="20"/>
                <w:szCs w:val="20"/>
                <w:lang w:val="ka-GE"/>
              </w:rPr>
              <w:t>თუ</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პაციენტს</w:t>
            </w:r>
            <w:r w:rsidRPr="00330B09">
              <w:rPr>
                <w:rFonts w:ascii="Times New Roman" w:hAnsi="Times New Roman" w:cs="Times New Roman"/>
                <w:sz w:val="20"/>
                <w:szCs w:val="20"/>
                <w:lang w:val="ka-GE"/>
              </w:rPr>
              <w:t xml:space="preserve"> </w:t>
            </w:r>
            <w:r w:rsidRPr="00330B09">
              <w:rPr>
                <w:rFonts w:cs="Sylfaen"/>
                <w:sz w:val="20"/>
                <w:szCs w:val="20"/>
                <w:lang w:val="ka-GE"/>
              </w:rPr>
              <w:t>არ</w:t>
            </w:r>
            <w:r w:rsidRPr="00330B09">
              <w:rPr>
                <w:rFonts w:ascii="Times New Roman" w:hAnsi="Times New Roman" w:cs="Times New Roman"/>
                <w:sz w:val="20"/>
                <w:szCs w:val="20"/>
                <w:lang w:val="ka-GE"/>
              </w:rPr>
              <w:t xml:space="preserve"> </w:t>
            </w:r>
            <w:r w:rsidRPr="00330B09">
              <w:rPr>
                <w:rFonts w:cs="Sylfaen"/>
                <w:sz w:val="20"/>
                <w:szCs w:val="20"/>
                <w:lang w:val="ka-GE"/>
              </w:rPr>
              <w:t>მიუღია</w:t>
            </w:r>
            <w:r w:rsidRPr="00330B09">
              <w:rPr>
                <w:rFonts w:ascii="Times New Roman" w:hAnsi="Times New Roman" w:cs="Times New Roman"/>
                <w:sz w:val="20"/>
                <w:szCs w:val="20"/>
                <w:lang w:val="ka-GE"/>
              </w:rPr>
              <w:t xml:space="preserve"> </w:t>
            </w:r>
            <w:r w:rsidR="00202BA2">
              <w:rPr>
                <w:rFonts w:cs="Sylfaen"/>
                <w:sz w:val="20"/>
                <w:szCs w:val="20"/>
                <w:lang w:val="ka-GE"/>
              </w:rPr>
              <w:t>საპროფილაქტიკოდ</w:t>
            </w:r>
            <w:r w:rsidRPr="00330B09">
              <w:rPr>
                <w:rFonts w:ascii="Times New Roman" w:hAnsi="Times New Roman" w:cs="Times New Roman"/>
                <w:sz w:val="20"/>
                <w:szCs w:val="20"/>
                <w:lang w:val="ka-GE"/>
              </w:rPr>
              <w:t xml:space="preserve"> </w:t>
            </w:r>
            <w:r w:rsidRPr="00330B09">
              <w:rPr>
                <w:rFonts w:cs="Sylfaen"/>
                <w:sz w:val="20"/>
                <w:szCs w:val="20"/>
                <w:lang w:val="ka-GE"/>
              </w:rPr>
              <w:t>ღებინების საწინააღმდეგო</w:t>
            </w:r>
            <w:r w:rsidRPr="00330B09">
              <w:rPr>
                <w:rFonts w:ascii="Times New Roman" w:hAnsi="Times New Roman" w:cs="Times New Roman"/>
                <w:sz w:val="20"/>
                <w:szCs w:val="20"/>
                <w:lang w:val="ka-GE"/>
              </w:rPr>
              <w:t xml:space="preserve"> </w:t>
            </w:r>
            <w:r w:rsidRPr="00330B09">
              <w:rPr>
                <w:rFonts w:cs="Sylfaen"/>
                <w:sz w:val="20"/>
                <w:szCs w:val="20"/>
                <w:lang w:val="ka-GE"/>
              </w:rPr>
              <w:t>საშუალებები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t>გულისრევა</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w:t>
            </w:r>
            <w:r w:rsidRPr="00330B09">
              <w:rPr>
                <w:rFonts w:cs="Sylfaen"/>
                <w:sz w:val="20"/>
                <w:szCs w:val="20"/>
                <w:lang w:val="ka-GE"/>
              </w:rPr>
              <w:t>ან</w:t>
            </w:r>
            <w:r w:rsidRPr="00330B09">
              <w:rPr>
                <w:rFonts w:ascii="Times New Roman" w:hAnsi="Times New Roman" w:cs="Times New Roman"/>
                <w:sz w:val="20"/>
                <w:szCs w:val="20"/>
                <w:lang w:val="ka-GE"/>
              </w:rPr>
              <w:t xml:space="preserve"> </w:t>
            </w:r>
            <w:r w:rsidRPr="00330B09">
              <w:rPr>
                <w:rFonts w:cs="Sylfaen"/>
                <w:sz w:val="20"/>
                <w:szCs w:val="20"/>
                <w:lang w:val="ka-GE"/>
              </w:rPr>
              <w:t>ღებინება</w:t>
            </w:r>
            <w:r w:rsidRPr="00330B09">
              <w:rPr>
                <w:rFonts w:ascii="Times New Roman" w:hAnsi="Times New Roman" w:cs="Times New Roman"/>
                <w:sz w:val="20"/>
                <w:szCs w:val="20"/>
                <w:lang w:val="ka-GE"/>
              </w:rPr>
              <w:t xml:space="preserve"> </w:t>
            </w:r>
            <w:r w:rsidRPr="00330B09">
              <w:rPr>
                <w:rFonts w:cs="Sylfaen"/>
                <w:sz w:val="20"/>
                <w:szCs w:val="20"/>
                <w:lang w:val="ka-GE"/>
              </w:rPr>
              <w:t>განვითარდა</w:t>
            </w:r>
            <w:r w:rsidRPr="00330B09">
              <w:rPr>
                <w:rFonts w:ascii="Times New Roman" w:hAnsi="Times New Roman" w:cs="Times New Roman"/>
                <w:sz w:val="20"/>
                <w:szCs w:val="20"/>
                <w:lang w:val="ka-GE"/>
              </w:rPr>
              <w:t xml:space="preserve"> </w:t>
            </w:r>
            <w:r w:rsidRPr="00330B09">
              <w:rPr>
                <w:rFonts w:cs="Sylfaen"/>
                <w:sz w:val="20"/>
                <w:szCs w:val="20"/>
                <w:lang w:val="ka-GE"/>
              </w:rPr>
              <w:t>ოპერაციიდან</w:t>
            </w:r>
            <w:r w:rsidRPr="00330B09">
              <w:rPr>
                <w:rFonts w:ascii="Times New Roman" w:hAnsi="Times New Roman" w:cs="Times New Roman"/>
                <w:sz w:val="20"/>
                <w:szCs w:val="20"/>
                <w:lang w:val="ka-GE"/>
              </w:rPr>
              <w:t xml:space="preserve"> 2 </w:t>
            </w:r>
            <w:r w:rsidRPr="00330B09">
              <w:rPr>
                <w:rFonts w:cs="Sylfaen"/>
                <w:sz w:val="20"/>
                <w:szCs w:val="20"/>
                <w:lang w:val="ka-GE"/>
              </w:rPr>
              <w:t>საათის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w:t>
            </w:r>
          </w:p>
        </w:tc>
      </w:tr>
      <w:tr w:rsidR="00AD45BA" w:rsidRPr="00330B09" w14:paraId="39143FB6" w14:textId="77777777" w:rsidTr="00294A77">
        <w:trPr>
          <w:trHeight w:val="331"/>
        </w:trPr>
        <w:tc>
          <w:tcPr>
            <w:tcW w:w="1980" w:type="dxa"/>
            <w:tcBorders>
              <w:top w:val="single" w:sz="4" w:space="0" w:color="auto"/>
              <w:left w:val="single" w:sz="8" w:space="0" w:color="231F20"/>
              <w:bottom w:val="single" w:sz="8" w:space="0" w:color="231F20"/>
              <w:right w:val="single" w:sz="8" w:space="0" w:color="231F20"/>
            </w:tcBorders>
            <w:hideMark/>
          </w:tcPr>
          <w:p w14:paraId="594B963A" w14:textId="2DB85703" w:rsidR="00AD45BA" w:rsidRPr="00330B09" w:rsidRDefault="00AD45BA" w:rsidP="00294A77">
            <w:pPr>
              <w:spacing w:after="0"/>
              <w:ind w:right="137"/>
              <w:jc w:val="both"/>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w:t>
            </w:r>
            <w:r w:rsidR="00385063">
              <w:rPr>
                <w:rFonts w:cs="Times New Roman"/>
                <w:sz w:val="20"/>
                <w:szCs w:val="20"/>
                <w:lang w:val="ka-GE"/>
              </w:rPr>
              <w:t xml:space="preserve">და </w:t>
            </w:r>
            <w:r w:rsidRPr="00330B09">
              <w:rPr>
                <w:rFonts w:cs="Sylfaen"/>
                <w:sz w:val="20"/>
                <w:szCs w:val="20"/>
                <w:lang w:val="ka-GE"/>
              </w:rPr>
              <w:t>რომელთა</w:t>
            </w:r>
            <w:r w:rsidRPr="00330B09">
              <w:rPr>
                <w:rFonts w:ascii="Times New Roman" w:hAnsi="Times New Roman" w:cs="Times New Roman"/>
                <w:sz w:val="20"/>
                <w:szCs w:val="20"/>
                <w:lang w:val="ka-GE"/>
              </w:rPr>
              <w:t xml:space="preserve"> </w:t>
            </w:r>
            <w:r w:rsidRPr="00330B09">
              <w:rPr>
                <w:rFonts w:cs="Sylfaen"/>
                <w:sz w:val="20"/>
                <w:szCs w:val="20"/>
                <w:lang w:val="ka-GE"/>
              </w:rPr>
              <w:t>წონა</w:t>
            </w:r>
            <w:r w:rsidRPr="00330B09">
              <w:rPr>
                <w:rFonts w:ascii="Times New Roman" w:hAnsi="Times New Roman" w:cs="Times New Roman"/>
                <w:sz w:val="20"/>
                <w:szCs w:val="20"/>
                <w:lang w:val="ka-GE"/>
              </w:rPr>
              <w:t xml:space="preserve"> 40 </w:t>
            </w:r>
            <w:r w:rsidRPr="00330B09">
              <w:rPr>
                <w:rFonts w:cs="Sylfaen"/>
                <w:sz w:val="20"/>
                <w:szCs w:val="20"/>
                <w:lang w:val="ka-GE"/>
              </w:rPr>
              <w:t>კგ</w:t>
            </w:r>
            <w:r w:rsidRPr="00330B09">
              <w:rPr>
                <w:rFonts w:ascii="Times New Roman" w:hAnsi="Times New Roman" w:cs="Times New Roman"/>
                <w:sz w:val="20"/>
                <w:szCs w:val="20"/>
                <w:lang w:val="ka-GE"/>
              </w:rPr>
              <w:t>-</w:t>
            </w:r>
            <w:r w:rsidRPr="00330B09">
              <w:rPr>
                <w:rFonts w:cs="Sylfaen"/>
                <w:sz w:val="20"/>
                <w:szCs w:val="20"/>
                <w:lang w:val="ka-GE"/>
              </w:rPr>
              <w:t>ზე</w:t>
            </w:r>
            <w:r w:rsidRPr="00330B09">
              <w:rPr>
                <w:rFonts w:ascii="Times New Roman" w:hAnsi="Times New Roman" w:cs="Times New Roman"/>
                <w:sz w:val="20"/>
                <w:szCs w:val="20"/>
                <w:lang w:val="ka-GE"/>
              </w:rPr>
              <w:t xml:space="preserve"> </w:t>
            </w:r>
            <w:r w:rsidRPr="00330B09">
              <w:rPr>
                <w:rFonts w:cs="Sylfaen"/>
                <w:sz w:val="20"/>
                <w:szCs w:val="20"/>
                <w:lang w:val="ka-GE"/>
              </w:rPr>
              <w:t>მეტია</w:t>
            </w:r>
          </w:p>
        </w:tc>
        <w:tc>
          <w:tcPr>
            <w:tcW w:w="1417" w:type="dxa"/>
            <w:tcBorders>
              <w:top w:val="single" w:sz="4" w:space="0" w:color="auto"/>
              <w:left w:val="nil"/>
              <w:bottom w:val="single" w:sz="8" w:space="0" w:color="231F20"/>
              <w:right w:val="single" w:sz="8" w:space="0" w:color="231F20"/>
            </w:tcBorders>
            <w:hideMark/>
          </w:tcPr>
          <w:p w14:paraId="43CF2648" w14:textId="77777777" w:rsidR="00AD45BA" w:rsidRPr="00330B09" w:rsidRDefault="00AD45BA" w:rsidP="0007288A">
            <w:pPr>
              <w:spacing w:after="0"/>
              <w:jc w:val="center"/>
              <w:rPr>
                <w:rFonts w:cs="Times New Roman"/>
                <w:sz w:val="20"/>
                <w:szCs w:val="20"/>
                <w:lang w:val="ka-GE"/>
              </w:rPr>
            </w:pPr>
            <w:r w:rsidRPr="00330B09">
              <w:rPr>
                <w:rFonts w:ascii="Times New Roman" w:hAnsi="Times New Roman" w:cs="Times New Roman"/>
                <w:sz w:val="20"/>
                <w:szCs w:val="20"/>
                <w:lang w:val="ka-GE"/>
              </w:rPr>
              <w:t>4 </w:t>
            </w:r>
            <w:r w:rsidRPr="00330B09">
              <w:rPr>
                <w:rFonts w:cs="Times New Roman"/>
                <w:sz w:val="20"/>
                <w:szCs w:val="20"/>
                <w:lang w:val="ka-GE"/>
              </w:rPr>
              <w:t>მგ</w:t>
            </w:r>
          </w:p>
        </w:tc>
        <w:tc>
          <w:tcPr>
            <w:tcW w:w="3402" w:type="dxa"/>
            <w:tcBorders>
              <w:top w:val="single" w:sz="4" w:space="0" w:color="auto"/>
              <w:left w:val="nil"/>
              <w:bottom w:val="single" w:sz="8" w:space="0" w:color="231F20"/>
              <w:right w:val="single" w:sz="8" w:space="0" w:color="231F20"/>
            </w:tcBorders>
            <w:hideMark/>
          </w:tcPr>
          <w:p w14:paraId="7CFC719E" w14:textId="77777777" w:rsidR="00AD45BA" w:rsidRPr="00330B09" w:rsidRDefault="00AD45BA" w:rsidP="00294A77">
            <w:pPr>
              <w:spacing w:after="0"/>
              <w:ind w:left="282" w:right="136"/>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tc>
        <w:tc>
          <w:tcPr>
            <w:tcW w:w="3402" w:type="dxa"/>
            <w:vMerge/>
            <w:tcBorders>
              <w:left w:val="nil"/>
              <w:right w:val="single" w:sz="8" w:space="0" w:color="231F20"/>
            </w:tcBorders>
            <w:vAlign w:val="center"/>
            <w:hideMark/>
          </w:tcPr>
          <w:p w14:paraId="7B9FB5F4" w14:textId="77777777" w:rsidR="00AD45BA" w:rsidRPr="00330B09" w:rsidRDefault="00AD45BA" w:rsidP="009E4C3F">
            <w:pPr>
              <w:spacing w:after="0"/>
              <w:jc w:val="both"/>
              <w:rPr>
                <w:rFonts w:ascii="Times New Roman" w:hAnsi="Times New Roman" w:cs="Times New Roman"/>
                <w:sz w:val="20"/>
                <w:szCs w:val="20"/>
                <w:lang w:val="ka-GE"/>
              </w:rPr>
            </w:pPr>
          </w:p>
        </w:tc>
      </w:tr>
      <w:tr w:rsidR="00AD45BA" w:rsidRPr="00330B09" w14:paraId="300BF1FC" w14:textId="77777777" w:rsidTr="00294A77">
        <w:trPr>
          <w:trHeight w:val="638"/>
        </w:trPr>
        <w:tc>
          <w:tcPr>
            <w:tcW w:w="1980" w:type="dxa"/>
            <w:tcBorders>
              <w:top w:val="nil"/>
              <w:left w:val="single" w:sz="8" w:space="0" w:color="231F20"/>
              <w:bottom w:val="nil"/>
              <w:right w:val="single" w:sz="8" w:space="0" w:color="231F20"/>
            </w:tcBorders>
            <w:hideMark/>
          </w:tcPr>
          <w:p w14:paraId="58DCFC83" w14:textId="5A8BDDAC" w:rsidR="00AD45BA" w:rsidRPr="00330B09" w:rsidRDefault="00AD45BA" w:rsidP="00294A77">
            <w:pPr>
              <w:spacing w:after="0"/>
              <w:ind w:right="137"/>
              <w:jc w:val="both"/>
              <w:rPr>
                <w:rFonts w:ascii="Times New Roman" w:hAnsi="Times New Roman" w:cs="Times New Roman"/>
                <w:sz w:val="20"/>
                <w:szCs w:val="20"/>
                <w:lang w:val="ka-GE"/>
              </w:rPr>
            </w:pPr>
            <w:r w:rsidRPr="00330B09">
              <w:rPr>
                <w:rFonts w:cs="Sylfaen"/>
                <w:sz w:val="20"/>
                <w:szCs w:val="20"/>
                <w:lang w:val="ka-GE"/>
              </w:rPr>
              <w:t>პედიატრიული</w:t>
            </w:r>
            <w:r w:rsidRPr="00330B09">
              <w:rPr>
                <w:rFonts w:ascii="Times New Roman" w:hAnsi="Times New Roman" w:cs="Times New Roman"/>
                <w:sz w:val="20"/>
                <w:szCs w:val="20"/>
                <w:lang w:val="ka-GE"/>
              </w:rPr>
              <w:t xml:space="preserve"> </w:t>
            </w:r>
            <w:r w:rsidRPr="00330B09">
              <w:rPr>
                <w:rFonts w:cs="Sylfaen"/>
                <w:sz w:val="20"/>
                <w:szCs w:val="20"/>
                <w:lang w:val="ka-GE"/>
              </w:rPr>
              <w:t>პაციენტები</w:t>
            </w:r>
            <w:r w:rsidRPr="00330B09">
              <w:rPr>
                <w:rFonts w:ascii="Times New Roman" w:hAnsi="Times New Roman" w:cs="Times New Roman"/>
                <w:sz w:val="20"/>
                <w:szCs w:val="20"/>
                <w:lang w:val="ka-GE"/>
              </w:rPr>
              <w:t xml:space="preserve"> 1 </w:t>
            </w:r>
            <w:r w:rsidRPr="00330B09">
              <w:rPr>
                <w:rFonts w:cs="Sylfaen"/>
                <w:sz w:val="20"/>
                <w:szCs w:val="20"/>
                <w:lang w:val="ka-GE"/>
              </w:rPr>
              <w:t>თვიდან</w:t>
            </w:r>
            <w:r w:rsidRPr="00330B09">
              <w:rPr>
                <w:rFonts w:ascii="Times New Roman" w:hAnsi="Times New Roman" w:cs="Times New Roman"/>
                <w:sz w:val="20"/>
                <w:szCs w:val="20"/>
                <w:lang w:val="ka-GE"/>
              </w:rPr>
              <w:t xml:space="preserve"> 12 </w:t>
            </w:r>
            <w:r w:rsidRPr="00330B09">
              <w:rPr>
                <w:rFonts w:cs="Sylfaen"/>
                <w:sz w:val="20"/>
                <w:szCs w:val="20"/>
                <w:lang w:val="ka-GE"/>
              </w:rPr>
              <w:t>წლამდე</w:t>
            </w:r>
            <w:r w:rsidRPr="00330B09">
              <w:rPr>
                <w:rFonts w:ascii="Times New Roman" w:hAnsi="Times New Roman" w:cs="Times New Roman"/>
                <w:sz w:val="20"/>
                <w:szCs w:val="20"/>
                <w:lang w:val="ka-GE"/>
              </w:rPr>
              <w:t xml:space="preserve"> </w:t>
            </w:r>
            <w:r w:rsidRPr="00330B09">
              <w:rPr>
                <w:rFonts w:cs="Sylfaen"/>
                <w:sz w:val="20"/>
                <w:szCs w:val="20"/>
                <w:lang w:val="ka-GE"/>
              </w:rPr>
              <w:t>ასაკის</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40 </w:t>
            </w:r>
            <w:r w:rsidRPr="00330B09">
              <w:rPr>
                <w:rFonts w:cs="Sylfaen"/>
                <w:sz w:val="20"/>
                <w:szCs w:val="20"/>
                <w:lang w:val="ka-GE"/>
              </w:rPr>
              <w:t>კგ</w:t>
            </w:r>
            <w:r w:rsidR="00385063">
              <w:rPr>
                <w:rFonts w:cs="Times New Roman"/>
                <w:sz w:val="20"/>
                <w:szCs w:val="20"/>
                <w:lang w:val="ka-GE"/>
              </w:rPr>
              <w:t>-ზე</w:t>
            </w:r>
            <w:r w:rsidRPr="00330B09">
              <w:rPr>
                <w:rFonts w:ascii="Times New Roman" w:hAnsi="Times New Roman" w:cs="Times New Roman"/>
                <w:sz w:val="20"/>
                <w:szCs w:val="20"/>
                <w:lang w:val="ka-GE"/>
              </w:rPr>
              <w:t xml:space="preserve"> </w:t>
            </w:r>
            <w:r w:rsidRPr="00330B09">
              <w:rPr>
                <w:rFonts w:cs="Sylfaen"/>
                <w:sz w:val="20"/>
                <w:szCs w:val="20"/>
                <w:lang w:val="ka-GE"/>
              </w:rPr>
              <w:t>ნაკლები</w:t>
            </w:r>
            <w:r w:rsidRPr="00330B09">
              <w:rPr>
                <w:rFonts w:ascii="Times New Roman" w:hAnsi="Times New Roman" w:cs="Times New Roman"/>
                <w:sz w:val="20"/>
                <w:szCs w:val="20"/>
                <w:lang w:val="ka-GE"/>
              </w:rPr>
              <w:t xml:space="preserve"> </w:t>
            </w:r>
            <w:r w:rsidRPr="00330B09">
              <w:rPr>
                <w:rFonts w:cs="Sylfaen"/>
                <w:sz w:val="20"/>
                <w:szCs w:val="20"/>
                <w:lang w:val="ka-GE"/>
              </w:rPr>
              <w:t>წონის</w:t>
            </w:r>
          </w:p>
        </w:tc>
        <w:tc>
          <w:tcPr>
            <w:tcW w:w="1417" w:type="dxa"/>
            <w:tcBorders>
              <w:top w:val="nil"/>
              <w:left w:val="nil"/>
              <w:bottom w:val="nil"/>
              <w:right w:val="single" w:sz="8" w:space="0" w:color="231F20"/>
            </w:tcBorders>
            <w:hideMark/>
          </w:tcPr>
          <w:p w14:paraId="30D00DCD" w14:textId="77777777" w:rsidR="00AD45BA" w:rsidRPr="00330B09" w:rsidRDefault="00AD45BA" w:rsidP="0007288A">
            <w:pPr>
              <w:spacing w:after="0"/>
              <w:jc w:val="center"/>
              <w:rPr>
                <w:rFonts w:ascii="Times New Roman" w:hAnsi="Times New Roman" w:cs="Times New Roman"/>
                <w:sz w:val="20"/>
                <w:szCs w:val="20"/>
                <w:lang w:val="ka-GE"/>
              </w:rPr>
            </w:pPr>
            <w:r w:rsidRPr="00330B09">
              <w:rPr>
                <w:rFonts w:ascii="Times New Roman" w:hAnsi="Times New Roman" w:cs="Times New Roman"/>
                <w:sz w:val="20"/>
                <w:szCs w:val="20"/>
                <w:lang w:val="ka-GE"/>
              </w:rPr>
              <w:t xml:space="preserve">0.1 </w:t>
            </w:r>
            <w:proofErr w:type="spellStart"/>
            <w:r w:rsidRPr="00330B09">
              <w:rPr>
                <w:rFonts w:cs="Sylfaen"/>
                <w:sz w:val="20"/>
                <w:szCs w:val="20"/>
                <w:lang w:val="ka-GE"/>
              </w:rPr>
              <w:t>მგ</w:t>
            </w:r>
            <w:proofErr w:type="spellEnd"/>
            <w:r w:rsidRPr="00330B09">
              <w:rPr>
                <w:rFonts w:ascii="Times New Roman" w:hAnsi="Times New Roman" w:cs="Times New Roman"/>
                <w:sz w:val="20"/>
                <w:szCs w:val="20"/>
                <w:lang w:val="ka-GE"/>
              </w:rPr>
              <w:t>/</w:t>
            </w:r>
            <w:r w:rsidRPr="00330B09">
              <w:rPr>
                <w:rFonts w:cs="Sylfaen"/>
                <w:sz w:val="20"/>
                <w:szCs w:val="20"/>
                <w:lang w:val="ka-GE"/>
              </w:rPr>
              <w:t>კგ</w:t>
            </w:r>
          </w:p>
        </w:tc>
        <w:tc>
          <w:tcPr>
            <w:tcW w:w="3402" w:type="dxa"/>
            <w:tcBorders>
              <w:top w:val="nil"/>
              <w:left w:val="nil"/>
              <w:bottom w:val="nil"/>
              <w:right w:val="single" w:sz="8" w:space="0" w:color="231F20"/>
            </w:tcBorders>
            <w:hideMark/>
          </w:tcPr>
          <w:p w14:paraId="38AE2DA4" w14:textId="77777777" w:rsidR="00AD45BA" w:rsidRPr="00330B09" w:rsidRDefault="00AD45BA" w:rsidP="00294A77">
            <w:pPr>
              <w:spacing w:after="0"/>
              <w:ind w:left="282" w:right="136"/>
              <w:jc w:val="both"/>
              <w:rPr>
                <w:rFonts w:ascii="Times New Roman" w:hAnsi="Times New Roman" w:cs="Times New Roman"/>
                <w:sz w:val="20"/>
                <w:szCs w:val="20"/>
                <w:lang w:val="ka-GE"/>
              </w:rPr>
            </w:pPr>
            <w:r w:rsidRPr="00330B09">
              <w:rPr>
                <w:rFonts w:cs="Sylfaen"/>
                <w:sz w:val="20"/>
                <w:szCs w:val="20"/>
                <w:lang w:val="ka-GE"/>
              </w:rPr>
              <w:t>ინტრავენურად</w:t>
            </w:r>
            <w:r w:rsidRPr="00330B09">
              <w:rPr>
                <w:rFonts w:ascii="Times New Roman" w:hAnsi="Times New Roman" w:cs="Times New Roman"/>
                <w:sz w:val="20"/>
                <w:szCs w:val="20"/>
                <w:lang w:val="ka-GE"/>
              </w:rPr>
              <w:t xml:space="preserve"> </w:t>
            </w:r>
            <w:r w:rsidRPr="00330B09">
              <w:rPr>
                <w:rFonts w:cs="Sylfaen"/>
                <w:sz w:val="20"/>
                <w:szCs w:val="20"/>
                <w:lang w:val="ka-GE"/>
              </w:rPr>
              <w:t>შეჰყავთ</w:t>
            </w:r>
            <w:r w:rsidRPr="00330B09">
              <w:rPr>
                <w:rFonts w:ascii="Times New Roman" w:hAnsi="Times New Roman" w:cs="Times New Roman"/>
                <w:sz w:val="20"/>
                <w:szCs w:val="20"/>
                <w:lang w:val="ka-GE"/>
              </w:rPr>
              <w:t xml:space="preserve"> </w:t>
            </w:r>
            <w:r w:rsidRPr="00330B09">
              <w:rPr>
                <w:rFonts w:cs="Sylfaen"/>
                <w:sz w:val="20"/>
                <w:szCs w:val="20"/>
                <w:lang w:val="ka-GE"/>
              </w:rPr>
              <w:t>მინიმუმ</w:t>
            </w:r>
            <w:r w:rsidRPr="00330B09">
              <w:rPr>
                <w:rFonts w:ascii="Times New Roman" w:hAnsi="Times New Roman" w:cs="Times New Roman"/>
                <w:sz w:val="20"/>
                <w:szCs w:val="20"/>
                <w:lang w:val="ka-GE"/>
              </w:rPr>
              <w:t xml:space="preserve"> 30 </w:t>
            </w:r>
            <w:r w:rsidRPr="00330B09">
              <w:rPr>
                <w:rFonts w:cs="Sylfaen"/>
                <w:sz w:val="20"/>
                <w:szCs w:val="20"/>
                <w:lang w:val="ka-GE"/>
              </w:rPr>
              <w:t>წამის</w:t>
            </w:r>
            <w:r w:rsidRPr="00330B09">
              <w:rPr>
                <w:rFonts w:ascii="Times New Roman" w:hAnsi="Times New Roman" w:cs="Times New Roman"/>
                <w:sz w:val="20"/>
                <w:szCs w:val="20"/>
                <w:lang w:val="ka-GE"/>
              </w:rPr>
              <w:t xml:space="preserve"> </w:t>
            </w:r>
            <w:r w:rsidRPr="00330B09">
              <w:rPr>
                <w:rFonts w:cs="Sylfaen"/>
                <w:sz w:val="20"/>
                <w:szCs w:val="20"/>
                <w:lang w:val="ka-GE"/>
              </w:rPr>
              <w:t>განმავლობაში</w:t>
            </w:r>
            <w:r w:rsidRPr="00330B09">
              <w:rPr>
                <w:rFonts w:ascii="Times New Roman" w:hAnsi="Times New Roman" w:cs="Times New Roman"/>
                <w:sz w:val="20"/>
                <w:szCs w:val="20"/>
                <w:lang w:val="ka-GE"/>
              </w:rPr>
              <w:t xml:space="preserve"> </w:t>
            </w:r>
            <w:r w:rsidRPr="00330B09">
              <w:rPr>
                <w:rFonts w:cs="Sylfaen"/>
                <w:sz w:val="20"/>
                <w:szCs w:val="20"/>
                <w:lang w:val="ka-GE"/>
              </w:rPr>
              <w:t>და</w:t>
            </w:r>
            <w:r w:rsidRPr="00330B09">
              <w:rPr>
                <w:rFonts w:ascii="Times New Roman" w:hAnsi="Times New Roman" w:cs="Times New Roman"/>
                <w:sz w:val="20"/>
                <w:szCs w:val="20"/>
                <w:lang w:val="ka-GE"/>
              </w:rPr>
              <w:t xml:space="preserve"> </w:t>
            </w:r>
            <w:r w:rsidRPr="00330B09">
              <w:rPr>
                <w:rFonts w:cs="Sylfaen"/>
                <w:sz w:val="20"/>
                <w:szCs w:val="20"/>
                <w:lang w:val="ka-GE"/>
              </w:rPr>
              <w:t>სასურველია</w:t>
            </w:r>
            <w:r w:rsidRPr="00330B09">
              <w:rPr>
                <w:rFonts w:ascii="Times New Roman" w:hAnsi="Times New Roman" w:cs="Times New Roman"/>
                <w:sz w:val="20"/>
                <w:szCs w:val="20"/>
                <w:lang w:val="ka-GE"/>
              </w:rPr>
              <w:t xml:space="preserve"> </w:t>
            </w:r>
            <w:r w:rsidRPr="00330B09">
              <w:rPr>
                <w:rFonts w:cs="Sylfaen"/>
                <w:sz w:val="20"/>
                <w:szCs w:val="20"/>
                <w:lang w:val="ka-GE"/>
              </w:rPr>
              <w:t>უფრო</w:t>
            </w:r>
            <w:r w:rsidRPr="00330B09">
              <w:rPr>
                <w:rFonts w:ascii="Times New Roman" w:hAnsi="Times New Roman" w:cs="Times New Roman"/>
                <w:sz w:val="20"/>
                <w:szCs w:val="20"/>
                <w:lang w:val="ka-GE"/>
              </w:rPr>
              <w:t xml:space="preserve"> </w:t>
            </w:r>
            <w:r w:rsidRPr="00330B09">
              <w:rPr>
                <w:rFonts w:cs="Sylfaen"/>
                <w:sz w:val="20"/>
                <w:szCs w:val="20"/>
                <w:lang w:val="ka-GE"/>
              </w:rPr>
              <w:t>დიდხანს</w:t>
            </w:r>
            <w:r w:rsidRPr="00330B09">
              <w:rPr>
                <w:rFonts w:ascii="Times New Roman" w:hAnsi="Times New Roman" w:cs="Times New Roman"/>
                <w:sz w:val="20"/>
                <w:szCs w:val="20"/>
                <w:lang w:val="ka-GE"/>
              </w:rPr>
              <w:t xml:space="preserve"> (2-</w:t>
            </w:r>
            <w:r w:rsidRPr="00330B09">
              <w:rPr>
                <w:rFonts w:cs="Sylfaen"/>
                <w:sz w:val="20"/>
                <w:szCs w:val="20"/>
                <w:lang w:val="ka-GE"/>
              </w:rPr>
              <w:t>დან</w:t>
            </w:r>
            <w:r w:rsidRPr="00330B09">
              <w:rPr>
                <w:rFonts w:ascii="Times New Roman" w:hAnsi="Times New Roman" w:cs="Times New Roman"/>
                <w:sz w:val="20"/>
                <w:szCs w:val="20"/>
                <w:lang w:val="ka-GE"/>
              </w:rPr>
              <w:t xml:space="preserve"> 5 </w:t>
            </w:r>
            <w:r w:rsidRPr="00330B09">
              <w:rPr>
                <w:rFonts w:cs="Sylfaen"/>
                <w:sz w:val="20"/>
                <w:szCs w:val="20"/>
                <w:lang w:val="ka-GE"/>
              </w:rPr>
              <w:t>წუთამდე</w:t>
            </w:r>
            <w:r w:rsidRPr="00330B09">
              <w:rPr>
                <w:rFonts w:ascii="Times New Roman" w:hAnsi="Times New Roman" w:cs="Times New Roman"/>
                <w:sz w:val="20"/>
                <w:szCs w:val="20"/>
                <w:lang w:val="ka-GE"/>
              </w:rPr>
              <w:t>).</w:t>
            </w:r>
          </w:p>
        </w:tc>
        <w:tc>
          <w:tcPr>
            <w:tcW w:w="3402" w:type="dxa"/>
            <w:vMerge/>
            <w:tcBorders>
              <w:left w:val="nil"/>
              <w:right w:val="single" w:sz="8" w:space="0" w:color="231F20"/>
            </w:tcBorders>
            <w:vAlign w:val="center"/>
            <w:hideMark/>
          </w:tcPr>
          <w:p w14:paraId="0D19C0F3" w14:textId="77777777" w:rsidR="00AD45BA" w:rsidRPr="00330B09" w:rsidRDefault="00AD45BA" w:rsidP="009E4C3F">
            <w:pPr>
              <w:spacing w:after="0"/>
              <w:jc w:val="both"/>
              <w:rPr>
                <w:rFonts w:ascii="Times New Roman" w:hAnsi="Times New Roman" w:cs="Times New Roman"/>
                <w:sz w:val="20"/>
                <w:szCs w:val="20"/>
                <w:lang w:val="ka-GE"/>
              </w:rPr>
            </w:pPr>
          </w:p>
        </w:tc>
      </w:tr>
      <w:tr w:rsidR="00AD45BA" w:rsidRPr="00330B09" w14:paraId="253A8D6C" w14:textId="77777777" w:rsidTr="00294A77">
        <w:trPr>
          <w:trHeight w:val="331"/>
        </w:trPr>
        <w:tc>
          <w:tcPr>
            <w:tcW w:w="1980" w:type="dxa"/>
            <w:tcBorders>
              <w:top w:val="nil"/>
              <w:left w:val="single" w:sz="8" w:space="0" w:color="231F20"/>
              <w:bottom w:val="single" w:sz="8" w:space="0" w:color="231F20"/>
              <w:right w:val="single" w:sz="8" w:space="0" w:color="231F20"/>
            </w:tcBorders>
          </w:tcPr>
          <w:p w14:paraId="554F23DE" w14:textId="77777777" w:rsidR="00AD45BA" w:rsidRPr="00330B09" w:rsidRDefault="00AD45BA" w:rsidP="009E4C3F">
            <w:pPr>
              <w:spacing w:after="0"/>
              <w:jc w:val="both"/>
              <w:rPr>
                <w:rFonts w:cs="Sylfaen"/>
                <w:sz w:val="20"/>
                <w:szCs w:val="20"/>
                <w:lang w:val="ka-GE"/>
              </w:rPr>
            </w:pPr>
          </w:p>
        </w:tc>
        <w:tc>
          <w:tcPr>
            <w:tcW w:w="1417" w:type="dxa"/>
            <w:tcBorders>
              <w:top w:val="nil"/>
              <w:left w:val="nil"/>
              <w:bottom w:val="single" w:sz="8" w:space="0" w:color="231F20"/>
              <w:right w:val="single" w:sz="8" w:space="0" w:color="231F20"/>
            </w:tcBorders>
          </w:tcPr>
          <w:p w14:paraId="581FD4E3" w14:textId="77777777" w:rsidR="00AD45BA" w:rsidRPr="00330B09" w:rsidRDefault="00AD45BA" w:rsidP="009E4C3F">
            <w:pPr>
              <w:spacing w:after="0"/>
              <w:jc w:val="both"/>
              <w:rPr>
                <w:rFonts w:ascii="Times New Roman" w:hAnsi="Times New Roman" w:cs="Times New Roman"/>
                <w:sz w:val="20"/>
                <w:szCs w:val="20"/>
                <w:lang w:val="ka-GE"/>
              </w:rPr>
            </w:pPr>
          </w:p>
        </w:tc>
        <w:tc>
          <w:tcPr>
            <w:tcW w:w="3402" w:type="dxa"/>
            <w:tcBorders>
              <w:top w:val="nil"/>
              <w:left w:val="nil"/>
              <w:bottom w:val="single" w:sz="8" w:space="0" w:color="231F20"/>
              <w:right w:val="single" w:sz="8" w:space="0" w:color="231F20"/>
            </w:tcBorders>
          </w:tcPr>
          <w:p w14:paraId="5836EF1E" w14:textId="77777777" w:rsidR="00AD45BA" w:rsidRPr="00330B09" w:rsidRDefault="00AD45BA" w:rsidP="009E4C3F">
            <w:pPr>
              <w:spacing w:after="0"/>
              <w:jc w:val="both"/>
              <w:rPr>
                <w:rFonts w:cs="Sylfaen"/>
                <w:sz w:val="20"/>
                <w:szCs w:val="20"/>
                <w:lang w:val="ka-GE"/>
              </w:rPr>
            </w:pPr>
          </w:p>
        </w:tc>
        <w:tc>
          <w:tcPr>
            <w:tcW w:w="3402" w:type="dxa"/>
            <w:vMerge/>
            <w:tcBorders>
              <w:left w:val="nil"/>
              <w:bottom w:val="single" w:sz="8" w:space="0" w:color="231F20"/>
              <w:right w:val="single" w:sz="8" w:space="0" w:color="231F20"/>
            </w:tcBorders>
            <w:vAlign w:val="center"/>
          </w:tcPr>
          <w:p w14:paraId="4E8025E4" w14:textId="77777777" w:rsidR="00AD45BA" w:rsidRPr="00330B09" w:rsidRDefault="00AD45BA" w:rsidP="009E4C3F">
            <w:pPr>
              <w:spacing w:after="0"/>
              <w:jc w:val="both"/>
              <w:rPr>
                <w:rFonts w:ascii="Times New Roman" w:hAnsi="Times New Roman" w:cs="Times New Roman"/>
                <w:sz w:val="20"/>
                <w:szCs w:val="20"/>
                <w:lang w:val="ka-GE"/>
              </w:rPr>
            </w:pPr>
          </w:p>
        </w:tc>
      </w:tr>
      <w:bookmarkEnd w:id="8"/>
    </w:tbl>
    <w:p w14:paraId="525029CC" w14:textId="77777777" w:rsidR="000E1422" w:rsidRPr="00330B09" w:rsidRDefault="000E1422" w:rsidP="000E1422">
      <w:pPr>
        <w:spacing w:after="0" w:line="240" w:lineRule="auto"/>
        <w:jc w:val="both"/>
        <w:rPr>
          <w:lang w:val="ka-GE"/>
        </w:rPr>
      </w:pPr>
    </w:p>
    <w:p w14:paraId="68604E79" w14:textId="77777777" w:rsidR="00B9281C" w:rsidRPr="00330B09" w:rsidRDefault="00AD45BA" w:rsidP="00B61682">
      <w:pPr>
        <w:spacing w:after="0" w:line="240" w:lineRule="auto"/>
        <w:jc w:val="both"/>
        <w:rPr>
          <w:lang w:val="ka-GE"/>
        </w:rPr>
      </w:pPr>
      <w:bookmarkStart w:id="9" w:name="_Hlk232778831"/>
      <w:bookmarkEnd w:id="7"/>
      <w:r w:rsidRPr="00330B09">
        <w:rPr>
          <w:u w:val="single"/>
          <w:lang w:val="ka-GE"/>
        </w:rPr>
        <w:t>დოზის კორექცია ღვიძლის უკმარისობის მქონე პაციენტებისთვის</w:t>
      </w:r>
    </w:p>
    <w:bookmarkEnd w:id="9"/>
    <w:p w14:paraId="51AF7037" w14:textId="1DEE3AEC" w:rsidR="00CA2F3B" w:rsidRPr="00330B09" w:rsidRDefault="00CA2F3B" w:rsidP="00B61682">
      <w:pPr>
        <w:spacing w:after="0" w:line="240" w:lineRule="auto"/>
        <w:jc w:val="both"/>
        <w:rPr>
          <w:lang w:val="ka-GE"/>
        </w:rPr>
      </w:pPr>
      <w:r w:rsidRPr="00330B09">
        <w:rPr>
          <w:lang w:val="ka-GE"/>
        </w:rPr>
        <w:t xml:space="preserve">ღვიძლის მძიმე უკმარისობის მქონე პაციენტებში (ჩაილდ-პიუს შკალით ≥ 10), რეკომენდებულია </w:t>
      </w:r>
      <w:r w:rsidR="003E220E">
        <w:rPr>
          <w:lang w:val="ka-GE"/>
        </w:rPr>
        <w:t xml:space="preserve">ერთჯერადად </w:t>
      </w:r>
      <w:r w:rsidRPr="00330B09">
        <w:rPr>
          <w:lang w:val="ka-GE"/>
        </w:rPr>
        <w:t>8 მგ მაქსიმალური დღიური დოზა, რომელიც მიიღება 15 წუთიანი ინფუზიის სახით ემეტოგენური ქიმიოთერაპიის დაწყებამდე 30 წუთით ადრე. ამ პაციენტებში ონდანი</w:t>
      </w:r>
      <w:r w:rsidR="003E220E">
        <w:rPr>
          <w:lang w:val="ka-GE"/>
        </w:rPr>
        <w:t>ქეს</w:t>
      </w:r>
      <w:r w:rsidRPr="00330B09">
        <w:rPr>
          <w:lang w:val="ka-GE"/>
        </w:rPr>
        <w:t xml:space="preserve"> გამოყენების გამოცდილება მკურნალობის პირველი დღის შემდეგ არ არსებობს.</w:t>
      </w:r>
    </w:p>
    <w:p w14:paraId="5270DC46" w14:textId="77777777" w:rsidR="00C02CFB" w:rsidRPr="00330B09" w:rsidRDefault="00C02CFB" w:rsidP="00B61682">
      <w:pPr>
        <w:spacing w:after="0" w:line="240" w:lineRule="auto"/>
        <w:jc w:val="both"/>
        <w:rPr>
          <w:lang w:val="ka-GE"/>
        </w:rPr>
      </w:pPr>
    </w:p>
    <w:p w14:paraId="4EBF51A8" w14:textId="77777777" w:rsidR="00C02CFB" w:rsidRPr="00330B09" w:rsidRDefault="00C02CFB" w:rsidP="00B61682">
      <w:pPr>
        <w:spacing w:after="0" w:line="240" w:lineRule="auto"/>
        <w:jc w:val="both"/>
        <w:rPr>
          <w:b/>
          <w:bCs/>
          <w:lang w:val="ka-GE"/>
        </w:rPr>
      </w:pPr>
      <w:r w:rsidRPr="00330B09">
        <w:rPr>
          <w:b/>
          <w:bCs/>
          <w:lang w:val="ka-GE"/>
        </w:rPr>
        <w:t>უკუჩვენებები</w:t>
      </w:r>
    </w:p>
    <w:p w14:paraId="1CAC66E9" w14:textId="6D28E47E" w:rsidR="00C02CFB" w:rsidRPr="00330B09" w:rsidRDefault="00EA3734" w:rsidP="00B61682">
      <w:pPr>
        <w:spacing w:after="0" w:line="240" w:lineRule="auto"/>
        <w:jc w:val="both"/>
        <w:rPr>
          <w:lang w:val="ka-GE"/>
        </w:rPr>
      </w:pPr>
      <w:bookmarkStart w:id="10" w:name="_Hlk232778874"/>
      <w:r w:rsidRPr="00330B09">
        <w:rPr>
          <w:lang w:val="ka-GE"/>
        </w:rPr>
        <w:t>ონდანი</w:t>
      </w:r>
      <w:r w:rsidR="0025138A">
        <w:rPr>
          <w:lang w:val="ka-GE"/>
        </w:rPr>
        <w:t>ქეს</w:t>
      </w:r>
      <w:r w:rsidRPr="00330B09">
        <w:rPr>
          <w:lang w:val="ka-GE"/>
        </w:rPr>
        <w:t xml:space="preserve"> ინექცია უკუნაჩვენებია პაციენტებში, რომლებსაც აქვთ ცნობილი ჰიპერმგრძნობელობა (მაგ., ანაფილაქსია) ამ პროდუქტის ან მისი რომელიმე კომპონენტის მიმართ. ანაფილაქსიური რეაქციები აღინიშნა პაციენტებში, რომლებიც იღებდნენ ონდანი</w:t>
      </w:r>
      <w:r w:rsidR="0025138A">
        <w:rPr>
          <w:lang w:val="ka-GE"/>
        </w:rPr>
        <w:t>ქეს</w:t>
      </w:r>
      <w:r w:rsidRPr="00330B09">
        <w:rPr>
          <w:lang w:val="ka-GE"/>
        </w:rPr>
        <w:t>. აპომორფინისა და ონდანი</w:t>
      </w:r>
      <w:r w:rsidR="0025138A">
        <w:rPr>
          <w:lang w:val="ka-GE"/>
        </w:rPr>
        <w:t>ქეს</w:t>
      </w:r>
      <w:r w:rsidRPr="00330B09">
        <w:rPr>
          <w:lang w:val="ka-GE"/>
        </w:rPr>
        <w:t xml:space="preserve"> ერთდროული გამოყენება უკუნაჩვენებია, რადგან აპომორფინისა და ონდანი</w:t>
      </w:r>
      <w:r w:rsidR="0025138A">
        <w:rPr>
          <w:lang w:val="ka-GE"/>
        </w:rPr>
        <w:t>ქეს</w:t>
      </w:r>
      <w:r w:rsidRPr="00330B09">
        <w:rPr>
          <w:lang w:val="ka-GE"/>
        </w:rPr>
        <w:t xml:space="preserve"> ერთდროული მიღების შემდეგ დაფიქსირდა მძიმე ჰიპოტენზიის და გონების დაკარგვის შემთხვევები.</w:t>
      </w:r>
    </w:p>
    <w:bookmarkEnd w:id="10"/>
    <w:p w14:paraId="1CF4BA0F" w14:textId="77777777" w:rsidR="002C2E31" w:rsidRPr="00330B09" w:rsidRDefault="002C2E31" w:rsidP="00B61682">
      <w:pPr>
        <w:spacing w:after="0" w:line="240" w:lineRule="auto"/>
        <w:jc w:val="both"/>
        <w:rPr>
          <w:b/>
          <w:bCs/>
          <w:lang w:val="ka-GE"/>
        </w:rPr>
      </w:pPr>
    </w:p>
    <w:p w14:paraId="73929AE0" w14:textId="77777777" w:rsidR="002C2E31" w:rsidRPr="00330B09" w:rsidRDefault="002A2D77" w:rsidP="002C2E31">
      <w:pPr>
        <w:spacing w:after="0" w:line="240" w:lineRule="auto"/>
        <w:jc w:val="both"/>
        <w:rPr>
          <w:b/>
          <w:bCs/>
          <w:lang w:val="ka-GE"/>
        </w:rPr>
      </w:pPr>
      <w:r w:rsidRPr="00330B09">
        <w:rPr>
          <w:b/>
          <w:bCs/>
          <w:lang w:val="ka-GE"/>
        </w:rPr>
        <w:t>სპეციალური</w:t>
      </w:r>
      <w:r w:rsidR="002C2E31" w:rsidRPr="00330B09">
        <w:rPr>
          <w:b/>
          <w:bCs/>
          <w:lang w:val="ka-GE"/>
        </w:rPr>
        <w:t xml:space="preserve"> გაფრთხილებები და სიფრთხილის ზომები გამოყენებისას</w:t>
      </w:r>
    </w:p>
    <w:p w14:paraId="5A4C83E0" w14:textId="77777777" w:rsidR="002C2E31" w:rsidRPr="00330B09" w:rsidRDefault="002C2E31" w:rsidP="002C2E31">
      <w:pPr>
        <w:spacing w:after="0" w:line="240" w:lineRule="auto"/>
        <w:jc w:val="both"/>
        <w:rPr>
          <w:u w:val="single"/>
          <w:lang w:val="ka-GE"/>
        </w:rPr>
      </w:pPr>
      <w:bookmarkStart w:id="11" w:name="_Hlk232778909"/>
      <w:r w:rsidRPr="00330B09">
        <w:rPr>
          <w:u w:val="single"/>
          <w:lang w:val="ka-GE"/>
        </w:rPr>
        <w:t>ჰიპერმგრძნობელობის რეაქციები</w:t>
      </w:r>
    </w:p>
    <w:p w14:paraId="446C15FF" w14:textId="77777777" w:rsidR="002C2E31" w:rsidRPr="00330B09" w:rsidRDefault="002C2E31" w:rsidP="002C2E31">
      <w:pPr>
        <w:spacing w:after="0" w:line="240" w:lineRule="auto"/>
        <w:jc w:val="both"/>
        <w:rPr>
          <w:lang w:val="ka-GE"/>
        </w:rPr>
      </w:pPr>
      <w:r w:rsidRPr="00330B09">
        <w:rPr>
          <w:lang w:val="ka-GE"/>
        </w:rPr>
        <w:t>ჰიპერმგრძნობელობის რეაქციები, მათ შორის ანაფილაქსია და ბრონქოსპაზმი, აღწერილია პაციენტებში, რომლებსაც აღენიშნებათ ჰიპერმგრძნობელობა სხვა სელექციური 5-HT3 რეცეპტორების ანტაგონისტების მიმართ.</w:t>
      </w:r>
      <w:r w:rsidR="008D6019" w:rsidRPr="00330B09">
        <w:rPr>
          <w:lang w:val="ka-GE"/>
        </w:rPr>
        <w:t xml:space="preserve"> </w:t>
      </w:r>
    </w:p>
    <w:p w14:paraId="0194A784" w14:textId="77777777" w:rsidR="008D6019" w:rsidRPr="00330B09" w:rsidRDefault="008D6019" w:rsidP="008D6019">
      <w:pPr>
        <w:spacing w:after="0" w:line="240" w:lineRule="auto"/>
        <w:jc w:val="both"/>
        <w:rPr>
          <w:u w:val="single"/>
          <w:lang w:val="ka-GE"/>
        </w:rPr>
      </w:pPr>
      <w:r w:rsidRPr="00330B09">
        <w:rPr>
          <w:u w:val="single"/>
          <w:lang w:val="ka-GE"/>
        </w:rPr>
        <w:t>QT ინტერვალის გახანგრძლივება</w:t>
      </w:r>
    </w:p>
    <w:p w14:paraId="3EEB1831" w14:textId="4BE92C41" w:rsidR="008D6019" w:rsidRPr="0025138A" w:rsidRDefault="008D6019" w:rsidP="008D6019">
      <w:pPr>
        <w:spacing w:after="0" w:line="240" w:lineRule="auto"/>
        <w:jc w:val="both"/>
        <w:rPr>
          <w:lang w:val="ka-GE"/>
        </w:rPr>
      </w:pPr>
      <w:r w:rsidRPr="00330B09">
        <w:rPr>
          <w:lang w:val="ka-GE"/>
        </w:rPr>
        <w:t xml:space="preserve">ონდანსეტრონი </w:t>
      </w:r>
      <w:r w:rsidR="00553DC8" w:rsidRPr="00330B09">
        <w:rPr>
          <w:lang w:val="ka-GE"/>
        </w:rPr>
        <w:t>დოზის შესაბამისად</w:t>
      </w:r>
      <w:r w:rsidRPr="00330B09">
        <w:rPr>
          <w:lang w:val="ka-GE"/>
        </w:rPr>
        <w:t xml:space="preserve"> ახანგრძლივებს QT ინტერვალს. ონდანსეტრონ</w:t>
      </w:r>
      <w:r w:rsidR="0025138A">
        <w:rPr>
          <w:lang w:val="ka-GE"/>
        </w:rPr>
        <w:t>ის</w:t>
      </w:r>
      <w:r w:rsidRPr="00330B09">
        <w:rPr>
          <w:lang w:val="ka-GE"/>
        </w:rPr>
        <w:t xml:space="preserve"> მიმღებ პაციენტებში ასევე აღინიშნა </w:t>
      </w:r>
      <w:r w:rsidR="0025138A">
        <w:rPr>
          <w:lang w:val="ka-GE"/>
        </w:rPr>
        <w:t>„</w:t>
      </w:r>
      <w:r w:rsidR="0025138A" w:rsidRPr="0025138A">
        <w:rPr>
          <w:lang w:val="ka-GE"/>
        </w:rPr>
        <w:t>Torsade de Pointes</w:t>
      </w:r>
      <w:r w:rsidR="0025138A">
        <w:rPr>
          <w:lang w:val="ka-GE"/>
        </w:rPr>
        <w:t>“</w:t>
      </w:r>
      <w:r w:rsidR="0025138A" w:rsidRPr="0025138A">
        <w:rPr>
          <w:lang w:val="ka-GE"/>
        </w:rPr>
        <w:t>-</w:t>
      </w:r>
      <w:r w:rsidR="0025138A">
        <w:rPr>
          <w:lang w:val="ka-GE"/>
        </w:rPr>
        <w:t>ს</w:t>
      </w:r>
      <w:r w:rsidRPr="00330B09">
        <w:rPr>
          <w:lang w:val="ka-GE"/>
        </w:rPr>
        <w:t xml:space="preserve"> პოსტმარკეტინგული შემთხვევები. ონდანსეტრონის გამოყენება თავიდან უნდა იქნას აცილებული თანდაყოლილი გახანგრძლივებული QT სინდრომის მქონე პაციენტებში. ელექტროლიტური </w:t>
      </w:r>
      <w:r w:rsidR="0025138A">
        <w:rPr>
          <w:lang w:val="ka-GE"/>
        </w:rPr>
        <w:t xml:space="preserve">ბალანსის </w:t>
      </w:r>
      <w:r w:rsidRPr="00330B09">
        <w:rPr>
          <w:lang w:val="ka-GE"/>
        </w:rPr>
        <w:t>დარღვევების (მაგ., ჰიპოკალიემია ან ჰიპომაგნიემია), გულის</w:t>
      </w:r>
      <w:r w:rsidR="0025138A">
        <w:rPr>
          <w:lang w:val="ka-GE"/>
        </w:rPr>
        <w:t xml:space="preserve"> თანდაყოლილი </w:t>
      </w:r>
      <w:r w:rsidRPr="00330B09">
        <w:rPr>
          <w:lang w:val="ka-GE"/>
        </w:rPr>
        <w:t xml:space="preserve"> უკმარისობის, ბრადიკარდიის მქონე პაციენტებში ან სხვა მედიკამენტების მიღებისას, რომლებსაც შეუძლიათ QT ინტერვალის გახანგრძლივება</w:t>
      </w:r>
      <w:r w:rsidR="00492860">
        <w:rPr>
          <w:lang w:val="ka-GE"/>
        </w:rPr>
        <w:t xml:space="preserve"> </w:t>
      </w:r>
      <w:r w:rsidR="005011DA" w:rsidRPr="00330B09">
        <w:rPr>
          <w:lang w:val="ka-GE"/>
        </w:rPr>
        <w:t>რეკომენდებულია</w:t>
      </w:r>
      <w:r w:rsidRPr="00330B09">
        <w:rPr>
          <w:lang w:val="ka-GE"/>
        </w:rPr>
        <w:t xml:space="preserve"> ელექტროკარდიოგრამის მონიტორინგი.</w:t>
      </w:r>
    </w:p>
    <w:p w14:paraId="5C0BF434" w14:textId="77777777" w:rsidR="005011DA" w:rsidRPr="00330B09" w:rsidRDefault="005011DA" w:rsidP="008D6019">
      <w:pPr>
        <w:spacing w:after="0" w:line="240" w:lineRule="auto"/>
        <w:jc w:val="both"/>
        <w:rPr>
          <w:lang w:val="ka-GE"/>
        </w:rPr>
      </w:pPr>
      <w:r w:rsidRPr="00330B09">
        <w:rPr>
          <w:u w:val="single"/>
          <w:lang w:val="ka-GE"/>
        </w:rPr>
        <w:t>სეროტონინის სინდრომი</w:t>
      </w:r>
    </w:p>
    <w:p w14:paraId="51A4637A" w14:textId="26B4C841" w:rsidR="005D329D" w:rsidRPr="00330B09" w:rsidRDefault="005D329D" w:rsidP="008D6019">
      <w:pPr>
        <w:spacing w:after="0" w:line="240" w:lineRule="auto"/>
        <w:jc w:val="both"/>
        <w:rPr>
          <w:lang w:val="ka-GE"/>
        </w:rPr>
      </w:pPr>
      <w:r w:rsidRPr="00330B09">
        <w:rPr>
          <w:lang w:val="ka-GE"/>
        </w:rPr>
        <w:t xml:space="preserve">სეროტონინის სინდრომის შემთხვევები დაფიქსირდა 5-HT3 რეცეპტორების ანტაგონისტების გამოყენებასთან დაკავშირებით. შეტყობინებების უმეტესობა </w:t>
      </w:r>
      <w:r w:rsidR="0026373C" w:rsidRPr="00330B09">
        <w:rPr>
          <w:lang w:val="ka-GE"/>
        </w:rPr>
        <w:t>ასოცირდება</w:t>
      </w:r>
      <w:r w:rsidRPr="00330B09">
        <w:rPr>
          <w:lang w:val="ka-GE"/>
        </w:rPr>
        <w:t xml:space="preserve"> სეროტონერგული პრეპარატების (მაგ., სეროტონინის შერჩევითი უკუმიტაცების ინჰიბიტორები (SSRIs), სეროტონინ-ნორეპინეფრინის უკუმიტაცების ინჰიბიტორები (SNRIs), მონოამინოქსიდაზას ინჰიბიტორები, მირტაზაპინი, ფენტანილი, ლითიუმი, ტრამადოლი და ინტრავენური მეთილენის ლურჯი) თანმხლებ გამოყენებას</w:t>
      </w:r>
      <w:r w:rsidR="007D643E" w:rsidRPr="00330B09">
        <w:rPr>
          <w:lang w:val="ka-GE"/>
        </w:rPr>
        <w:t>თან</w:t>
      </w:r>
      <w:r w:rsidRPr="00330B09">
        <w:rPr>
          <w:lang w:val="ka-GE"/>
        </w:rPr>
        <w:t>. ზოგიერთი შემთხვევა ფატალურ</w:t>
      </w:r>
      <w:r w:rsidR="00492860">
        <w:rPr>
          <w:lang w:val="ka-GE"/>
        </w:rPr>
        <w:t xml:space="preserve">ად დასრულდა. </w:t>
      </w:r>
      <w:r w:rsidRPr="00330B09">
        <w:rPr>
          <w:lang w:val="ka-GE"/>
        </w:rPr>
        <w:t xml:space="preserve">სეროტონინის სინდრომი ასევე დაფიქსირდა მხოლოდ ონდანსეტრონის დოზის გადაჭარბების შემდეგ. 5-HT3 რეცეპტორების ანტაგონისტების გამოყენებასთან </w:t>
      </w:r>
      <w:r w:rsidR="008F58F4" w:rsidRPr="00330B09">
        <w:rPr>
          <w:lang w:val="ka-GE"/>
        </w:rPr>
        <w:t>ასოცირებული</w:t>
      </w:r>
      <w:r w:rsidRPr="00330B09">
        <w:rPr>
          <w:lang w:val="ka-GE"/>
        </w:rPr>
        <w:t xml:space="preserve"> სეროტონინის სინდრომის შემთხვევების უმეტესობა </w:t>
      </w:r>
      <w:r w:rsidR="00152E3B" w:rsidRPr="00330B09">
        <w:rPr>
          <w:lang w:val="ka-GE"/>
        </w:rPr>
        <w:t>დაფიქსირდა</w:t>
      </w:r>
      <w:r w:rsidRPr="00330B09">
        <w:rPr>
          <w:lang w:val="ka-GE"/>
        </w:rPr>
        <w:t xml:space="preserve"> რეანიმაციულ </w:t>
      </w:r>
      <w:r w:rsidR="00492860">
        <w:rPr>
          <w:lang w:val="ka-GE"/>
        </w:rPr>
        <w:t>განყოფილებაში</w:t>
      </w:r>
      <w:r w:rsidRPr="00330B09">
        <w:rPr>
          <w:lang w:val="ka-GE"/>
        </w:rPr>
        <w:t xml:space="preserve"> ან ინფუზიურ ცენტრ</w:t>
      </w:r>
      <w:r w:rsidR="00E45592" w:rsidRPr="00330B09">
        <w:rPr>
          <w:lang w:val="ka-GE"/>
        </w:rPr>
        <w:t>ში.</w:t>
      </w:r>
    </w:p>
    <w:p w14:paraId="2A893170" w14:textId="77777777" w:rsidR="0026373C" w:rsidRPr="00330B09" w:rsidRDefault="000B21C0" w:rsidP="008D6019">
      <w:pPr>
        <w:spacing w:after="0" w:line="240" w:lineRule="auto"/>
        <w:jc w:val="both"/>
        <w:rPr>
          <w:lang w:val="ka-GE"/>
        </w:rPr>
      </w:pPr>
      <w:r w:rsidRPr="00330B09">
        <w:rPr>
          <w:lang w:val="ka-GE"/>
        </w:rPr>
        <w:t>სეროტონინის სინდრომთან დაკავშირებული სიმპტომები შეიძლება მოიცავდეს ნიშნებისა და სიმპტომების შემდეგ კომბინაციას: ფსიქიკური მდგომარეობის ცვლილებები (მაგ., აგზნება, ჰალუცინაციები, დელირიუმი და კომა), ვეგეტატიური ნერვული სისტემის არასტაბილურობა (მაგ., ტაქიკარდია, ლაბილური არტერიული წნევა, თავბრუსხვევა, ოფლიანობა, წამოხურება, ჰიპერთერმია), ნერვ-კუნთოვანი სიმპტომები (მაგ., ტრემორი, რიგიდულობა, მიოკლონუსი, ჰიპერრეფლექსია, კოორდინაციის დარღვევა), კრუნჩხვები, კუჭ-ნაწლავის სიმპტომებით ან მათ გარეშე (მაგ., გულისრევა, ღებინება, დიარეა). პაციენტები უნდა იყვნენ მონიტორინგის ქვეშ სეროტონინის სინდრომის გამოვლენის თვალსაზრისით, განსაკუთრებით ონდანსეტრონისა და სხვა სეროტონერგული პრეპარატების ერთდროული გამოყენებისას. თუ სეროტონინის სინდრომის სიმპტომები გამოვლინდა, შეწყვიტეთ ონდანსეტრონის მიღება და დაიწყეთ დამხმარე მკურნალობა. პაციენტები უნდა იყვნენ ინფორმირებულნი სეროტონინის სინდრომის მომატებული რისკის შესახებ, განსაკუთრებით თუ ონდანსეტრონი გამოიყენება სხვა სეროტონერგულ პრეპარატებთან ერთად.</w:t>
      </w:r>
    </w:p>
    <w:p w14:paraId="6C3A61AA" w14:textId="3B4A1B0C" w:rsidR="00350D39" w:rsidRPr="00330B09" w:rsidRDefault="00350D39" w:rsidP="008D6019">
      <w:pPr>
        <w:spacing w:after="0" w:line="240" w:lineRule="auto"/>
        <w:jc w:val="both"/>
        <w:rPr>
          <w:u w:val="single"/>
          <w:lang w:val="ka-GE"/>
        </w:rPr>
      </w:pPr>
      <w:r w:rsidRPr="00330B09">
        <w:rPr>
          <w:u w:val="single"/>
          <w:lang w:val="ka-GE"/>
        </w:rPr>
        <w:lastRenderedPageBreak/>
        <w:t xml:space="preserve">პროგრესირებადი </w:t>
      </w:r>
      <w:r w:rsidR="00492860">
        <w:rPr>
          <w:u w:val="single"/>
          <w:lang w:val="ka-GE"/>
        </w:rPr>
        <w:t>ნაწლავური გაუვალობისა</w:t>
      </w:r>
      <w:r w:rsidRPr="00330B09">
        <w:rPr>
          <w:u w:val="single"/>
          <w:lang w:val="ka-GE"/>
        </w:rPr>
        <w:t xml:space="preserve"> და კუჭის შებერილობის შენიღბვა</w:t>
      </w:r>
    </w:p>
    <w:p w14:paraId="16C197A5" w14:textId="6F8FA074" w:rsidR="00F36707" w:rsidRPr="00330B09" w:rsidRDefault="00F36707" w:rsidP="00F36707">
      <w:pPr>
        <w:spacing w:after="0" w:line="240" w:lineRule="auto"/>
        <w:jc w:val="both"/>
        <w:rPr>
          <w:lang w:val="ka-GE"/>
        </w:rPr>
      </w:pPr>
      <w:r w:rsidRPr="00330B09">
        <w:rPr>
          <w:lang w:val="ka-GE"/>
        </w:rPr>
        <w:t xml:space="preserve">ონდანსეტრონის გამოყენებამ მუცლის ღრუს ოპერაციის შემდეგ ან ქიმიოთერაპიით გამოწვეული გულისრევისა და ღებინების მქონე პაციენტებში შეიძლება შენიღბოს პროგრესირებადი </w:t>
      </w:r>
      <w:r w:rsidR="00492860">
        <w:rPr>
          <w:lang w:val="ka-GE"/>
        </w:rPr>
        <w:t>ნაწლავური გაუვალობა</w:t>
      </w:r>
      <w:r w:rsidRPr="00330B09">
        <w:rPr>
          <w:lang w:val="ka-GE"/>
        </w:rPr>
        <w:t xml:space="preserve"> და კუჭის შებერილობა. აკონტროლეთ ნაწლავების აქტივობის შემცირება, განსაკუთრებით იმ პაციენტებში, რომლებსაც აქვთ კუჭ-ნაწლავის ობსტრუქციის რისკ-ფაქტორები.</w:t>
      </w:r>
    </w:p>
    <w:p w14:paraId="1BE3432D" w14:textId="77777777" w:rsidR="008F58F4" w:rsidRPr="00330B09" w:rsidRDefault="00F36707" w:rsidP="00F36707">
      <w:pPr>
        <w:spacing w:after="0" w:line="240" w:lineRule="auto"/>
        <w:jc w:val="both"/>
        <w:rPr>
          <w:lang w:val="ka-GE"/>
        </w:rPr>
      </w:pPr>
      <w:r w:rsidRPr="00330B09">
        <w:rPr>
          <w:lang w:val="ka-GE"/>
        </w:rPr>
        <w:t>ონდანსეტრონი არ არის პრეპარატი, რომელიც ასტიმულირებს კუჭის ან ნაწლავების პერისტალტიკას. ის არ უნდა იქნას გამოყენებული ნაზოგასტრალური შეწოვის შემცვლელად.</w:t>
      </w:r>
    </w:p>
    <w:bookmarkEnd w:id="11"/>
    <w:p w14:paraId="7894CB98" w14:textId="77777777" w:rsidR="00BE587E" w:rsidRPr="00330B09" w:rsidRDefault="00BE587E" w:rsidP="00F36707">
      <w:pPr>
        <w:spacing w:after="0" w:line="240" w:lineRule="auto"/>
        <w:jc w:val="both"/>
        <w:rPr>
          <w:lang w:val="ka-GE"/>
        </w:rPr>
      </w:pPr>
    </w:p>
    <w:p w14:paraId="7F537389" w14:textId="77777777" w:rsidR="00BE587E" w:rsidRPr="00330B09" w:rsidRDefault="00BE587E" w:rsidP="00BE587E">
      <w:pPr>
        <w:spacing w:after="0" w:line="240" w:lineRule="auto"/>
        <w:jc w:val="both"/>
        <w:rPr>
          <w:b/>
          <w:bCs/>
          <w:lang w:val="ka-GE"/>
        </w:rPr>
      </w:pPr>
      <w:r w:rsidRPr="00330B09">
        <w:rPr>
          <w:b/>
          <w:bCs/>
          <w:lang w:val="ka-GE"/>
        </w:rPr>
        <w:t>ურთიერთქმედება სხვა სამკურნალო საშუალებებთან</w:t>
      </w:r>
    </w:p>
    <w:p w14:paraId="3F844F92" w14:textId="77777777" w:rsidR="00BE587E" w:rsidRPr="00330B09" w:rsidRDefault="00BE587E" w:rsidP="00BE587E">
      <w:pPr>
        <w:spacing w:after="0" w:line="240" w:lineRule="auto"/>
        <w:jc w:val="both"/>
        <w:rPr>
          <w:lang w:val="ka-GE"/>
        </w:rPr>
      </w:pPr>
      <w:bookmarkStart w:id="12" w:name="_Hlk232778938"/>
      <w:r w:rsidRPr="00330B09">
        <w:rPr>
          <w:u w:val="single"/>
          <w:lang w:val="ka-GE"/>
        </w:rPr>
        <w:t>ციტოქრომ P-450 ფერმენტებზე მოქმედი პრეპარატები</w:t>
      </w:r>
    </w:p>
    <w:p w14:paraId="51ED772B" w14:textId="38D36A46" w:rsidR="00933A0C" w:rsidRPr="00330B09" w:rsidRDefault="00492860" w:rsidP="00BE587E">
      <w:pPr>
        <w:spacing w:after="0" w:line="240" w:lineRule="auto"/>
        <w:jc w:val="both"/>
        <w:rPr>
          <w:lang w:val="ka-GE"/>
        </w:rPr>
      </w:pPr>
      <w:r>
        <w:rPr>
          <w:lang w:val="ka-GE"/>
        </w:rPr>
        <w:t>სავარაუდოა, რომ</w:t>
      </w:r>
      <w:r w:rsidR="00933A0C" w:rsidRPr="00330B09">
        <w:rPr>
          <w:lang w:val="ka-GE"/>
        </w:rPr>
        <w:t xml:space="preserve"> ონდანსეტრონი არ იწვევს </w:t>
      </w:r>
      <w:r>
        <w:rPr>
          <w:lang w:val="ka-GE"/>
        </w:rPr>
        <w:t xml:space="preserve">პრეპარატების მეტაბოლიზმზე მოქმედი </w:t>
      </w:r>
      <w:r w:rsidR="00933A0C" w:rsidRPr="00330B09">
        <w:rPr>
          <w:lang w:val="ka-GE"/>
        </w:rPr>
        <w:t xml:space="preserve">ღვიძლის ციტოქრომ P-450 ფერმენტული სისტემის ინდუცირებას ან ინჰიბირებას. რადგან ონდანსეტრონი მეტაბოლიზდება ღვიძლის ციტოქრომ p-450 </w:t>
      </w:r>
      <w:r>
        <w:rPr>
          <w:lang w:val="ka-GE"/>
        </w:rPr>
        <w:t>პრეპარატების</w:t>
      </w:r>
      <w:r w:rsidR="00933A0C" w:rsidRPr="00330B09">
        <w:rPr>
          <w:lang w:val="ka-GE"/>
        </w:rPr>
        <w:t xml:space="preserve"> მეტაბოლიზმზე </w:t>
      </w:r>
      <w:r w:rsidR="00766CE6" w:rsidRPr="00330B09">
        <w:rPr>
          <w:lang w:val="ka-GE"/>
        </w:rPr>
        <w:t>მოქმედი</w:t>
      </w:r>
      <w:r w:rsidR="00933A0C" w:rsidRPr="00330B09">
        <w:rPr>
          <w:lang w:val="ka-GE"/>
        </w:rPr>
        <w:t xml:space="preserve"> ფერმენტებით (CYP3A4, CYP2D6, CYP1A2), ამ ფერმენტების ინდუქტორებმა ან ინჰიბიტორებმა შეიძლება შეცვალონ ონდანსეტრონის კლირენსი და, შესაბამისად, ნახევარგამოყოფის პერიოდი. შეზღუდული ხელმისაწვდომი მონაცემების საფუძველზე, ამ პრეპარატების მიმღები პაციენტებისთვის დოზის კორექცია რეკომენდებული არ არის.</w:t>
      </w:r>
      <w:r w:rsidR="00287B8A" w:rsidRPr="00330B09">
        <w:rPr>
          <w:lang w:val="ka-GE"/>
        </w:rPr>
        <w:t xml:space="preserve"> </w:t>
      </w:r>
    </w:p>
    <w:p w14:paraId="1E019260" w14:textId="77777777" w:rsidR="00B12304" w:rsidRPr="00330B09" w:rsidRDefault="00B12304" w:rsidP="00B12304">
      <w:pPr>
        <w:spacing w:after="0" w:line="240" w:lineRule="auto"/>
        <w:jc w:val="both"/>
        <w:rPr>
          <w:u w:val="single"/>
          <w:lang w:val="ka-GE"/>
        </w:rPr>
      </w:pPr>
      <w:r w:rsidRPr="00330B09">
        <w:rPr>
          <w:u w:val="single"/>
          <w:lang w:val="ka-GE"/>
        </w:rPr>
        <w:t>აპომორფინი</w:t>
      </w:r>
    </w:p>
    <w:p w14:paraId="3D5939FA" w14:textId="77777777" w:rsidR="00B12304" w:rsidRPr="00330B09" w:rsidRDefault="00B12304" w:rsidP="00B12304">
      <w:pPr>
        <w:spacing w:after="0" w:line="240" w:lineRule="auto"/>
        <w:jc w:val="both"/>
        <w:rPr>
          <w:lang w:val="ka-GE"/>
        </w:rPr>
      </w:pPr>
      <w:r w:rsidRPr="00330B09">
        <w:rPr>
          <w:lang w:val="ka-GE"/>
        </w:rPr>
        <w:t>ონდანსეტრონთან აპომორფინის მიღებისას ღრმა ჰიპოტენზიისა და გონების დაკარგვის შესახებ ინფორმაციის საფუძველზე, აპომორფინისა და ონდანსეტრონის ერთდროული გამოყენება უკუნაჩვენებია.</w:t>
      </w:r>
    </w:p>
    <w:p w14:paraId="23120224" w14:textId="77777777" w:rsidR="00DA5967" w:rsidRPr="00330B09" w:rsidRDefault="00DA5967" w:rsidP="00DA5967">
      <w:pPr>
        <w:spacing w:after="0" w:line="240" w:lineRule="auto"/>
        <w:jc w:val="both"/>
        <w:rPr>
          <w:u w:val="single"/>
          <w:lang w:val="ka-GE"/>
        </w:rPr>
      </w:pPr>
      <w:r w:rsidRPr="00330B09">
        <w:rPr>
          <w:u w:val="single"/>
          <w:lang w:val="ka-GE"/>
        </w:rPr>
        <w:t>ფენიტოინი, კარბამაზეპინი და რიფამპინი</w:t>
      </w:r>
    </w:p>
    <w:p w14:paraId="04E8DC26" w14:textId="02939FAB" w:rsidR="00C02CFB" w:rsidRPr="00330B09" w:rsidRDefault="00DA5967" w:rsidP="00DA5967">
      <w:pPr>
        <w:spacing w:after="0" w:line="240" w:lineRule="auto"/>
        <w:jc w:val="both"/>
        <w:rPr>
          <w:lang w:val="ka-GE"/>
        </w:rPr>
      </w:pPr>
      <w:r w:rsidRPr="00330B09">
        <w:rPr>
          <w:lang w:val="ka-GE"/>
        </w:rPr>
        <w:t xml:space="preserve">CYP3A4-ის ძლიერი ინდუქტორებით (მაგ., ფენიტოინი, კარბამაზეპინი და რიფამპინი) მკურნალობის მიმღებ პაციენტებში ონდანსეტრონის კლირენსი მნიშვნელოვნად გაიზარდა და ონდანსეტრონის კონცენტრაცია სისხლში შემცირდა. თუმცა, </w:t>
      </w:r>
      <w:r w:rsidR="0072658F">
        <w:rPr>
          <w:lang w:val="ka-GE"/>
        </w:rPr>
        <w:t>ხელმისაწვდომი</w:t>
      </w:r>
      <w:r w:rsidRPr="00330B09">
        <w:rPr>
          <w:lang w:val="ka-GE"/>
        </w:rPr>
        <w:t xml:space="preserve"> მონაცემების საფუძველზე, ამ პრეპარატების მიმღები პაციენტებისთვის ონდანსეტრონის დოზის კორექცია რეკომენდებული არ არის.</w:t>
      </w:r>
    </w:p>
    <w:p w14:paraId="745252B4" w14:textId="77777777" w:rsidR="00131F53" w:rsidRPr="00330B09" w:rsidRDefault="00131F53" w:rsidP="00131F53">
      <w:pPr>
        <w:spacing w:after="0" w:line="240" w:lineRule="auto"/>
        <w:jc w:val="both"/>
        <w:rPr>
          <w:u w:val="single"/>
          <w:lang w:val="ka-GE"/>
        </w:rPr>
      </w:pPr>
      <w:r w:rsidRPr="00330B09">
        <w:rPr>
          <w:u w:val="single"/>
          <w:lang w:val="ka-GE"/>
        </w:rPr>
        <w:t>ტრამადოლი</w:t>
      </w:r>
    </w:p>
    <w:p w14:paraId="153BA660" w14:textId="7ED225ED" w:rsidR="00131F53" w:rsidRPr="00330B09" w:rsidRDefault="00131F53" w:rsidP="00131F53">
      <w:pPr>
        <w:spacing w:after="0" w:line="240" w:lineRule="auto"/>
        <w:jc w:val="both"/>
        <w:rPr>
          <w:lang w:val="ka-GE"/>
        </w:rPr>
      </w:pPr>
      <w:r w:rsidRPr="00330B09">
        <w:rPr>
          <w:lang w:val="ka-GE"/>
        </w:rPr>
        <w:t>მიუხედავად იმისა, რომ არ არსებობს მონაცემები ონდანსეტრონსა და ტრამადოლს შორის ფარმაკოკინეტიკური ურთიერთქმედების შესახებ, ორი მცირე კვლევის მონაცემები მიუთითებს, რომ ონდანსეტრონის ერთდროულმა გამოყენებამ შეიძლება გამოიწვიოს ტრამადოლის ტკივილგამაყუჩებელი აქტივობის შემცირება. ამ კვლევებში პაციენტები, რომლებიც ერთდროულად ონდანსეტრონს</w:t>
      </w:r>
      <w:r w:rsidR="0072658F">
        <w:rPr>
          <w:lang w:val="ka-GE"/>
        </w:rPr>
        <w:t>აც</w:t>
      </w:r>
      <w:r w:rsidRPr="00330B09">
        <w:rPr>
          <w:lang w:val="ka-GE"/>
        </w:rPr>
        <w:t xml:space="preserve"> იღებდნენ, უფრო ხშირად </w:t>
      </w:r>
      <w:r w:rsidR="0072658F">
        <w:rPr>
          <w:lang w:val="ka-GE"/>
        </w:rPr>
        <w:t>იყენებდნენ</w:t>
      </w:r>
      <w:r w:rsidRPr="00330B09">
        <w:rPr>
          <w:lang w:val="ka-GE"/>
        </w:rPr>
        <w:t xml:space="preserve"> ტრამადოლს, რაც იწვევდა ტრამადოლის კუმულაციური დოზის ზრდას პაციენტის მიერ კონტროლირებადი მიღებისას.</w:t>
      </w:r>
    </w:p>
    <w:p w14:paraId="2C6A6267" w14:textId="77777777" w:rsidR="00E00D19" w:rsidRPr="00330B09" w:rsidRDefault="00E00D19" w:rsidP="00E00D19">
      <w:pPr>
        <w:spacing w:after="0" w:line="240" w:lineRule="auto"/>
        <w:jc w:val="both"/>
        <w:rPr>
          <w:u w:val="single"/>
          <w:lang w:val="ka-GE"/>
        </w:rPr>
      </w:pPr>
      <w:r w:rsidRPr="00330B09">
        <w:rPr>
          <w:u w:val="single"/>
          <w:lang w:val="ka-GE"/>
        </w:rPr>
        <w:t>სეროტონინერგული პრეპარატები</w:t>
      </w:r>
    </w:p>
    <w:p w14:paraId="084DE5BC" w14:textId="77777777" w:rsidR="00E00D19" w:rsidRPr="00330B09" w:rsidRDefault="00E00D19" w:rsidP="00E00D19">
      <w:pPr>
        <w:spacing w:after="0" w:line="240" w:lineRule="auto"/>
        <w:jc w:val="both"/>
        <w:rPr>
          <w:lang w:val="ka-GE"/>
        </w:rPr>
      </w:pPr>
      <w:r w:rsidRPr="00330B09">
        <w:rPr>
          <w:lang w:val="ka-GE"/>
        </w:rPr>
        <w:t>სეროტონინის სინდრომი (მათ შორის შეცვლილი ფსიქიკური მდგომარეობა, ავტონომიური ნერვული სისტემის არასტაბილურობა და ნერვ-კუნთოვანი სიმპტომები) აღწერილია 5-HT3 რეცეპტორების ანტაგონისტების და სხვა სეროტონინერგული პრეპარატების, მათ შორის SSRI-ების და SNRI-ების ერთდროული გამოყენების შემდეგ.</w:t>
      </w:r>
      <w:r w:rsidR="00567996" w:rsidRPr="00330B09">
        <w:rPr>
          <w:lang w:val="ka-GE"/>
        </w:rPr>
        <w:t xml:space="preserve"> </w:t>
      </w:r>
    </w:p>
    <w:p w14:paraId="2F730862" w14:textId="77777777" w:rsidR="00190749" w:rsidRPr="00330B09" w:rsidRDefault="00190749" w:rsidP="00190749">
      <w:pPr>
        <w:spacing w:after="0" w:line="240" w:lineRule="auto"/>
        <w:jc w:val="both"/>
        <w:rPr>
          <w:u w:val="single"/>
          <w:lang w:val="ka-GE"/>
        </w:rPr>
      </w:pPr>
      <w:r w:rsidRPr="00330B09">
        <w:rPr>
          <w:u w:val="single"/>
          <w:lang w:val="ka-GE"/>
        </w:rPr>
        <w:t>ქიმიოთერაპია</w:t>
      </w:r>
    </w:p>
    <w:p w14:paraId="6B155C15" w14:textId="0EC2DEB8" w:rsidR="00190749" w:rsidRPr="00330B09" w:rsidRDefault="0072658F" w:rsidP="00190749">
      <w:pPr>
        <w:spacing w:after="0" w:line="240" w:lineRule="auto"/>
        <w:jc w:val="both"/>
        <w:rPr>
          <w:lang w:val="ka-GE"/>
        </w:rPr>
      </w:pPr>
      <w:r>
        <w:rPr>
          <w:lang w:val="ka-GE"/>
        </w:rPr>
        <w:t>პაციენტებში,</w:t>
      </w:r>
      <w:r w:rsidR="00190749" w:rsidRPr="00330B09">
        <w:rPr>
          <w:lang w:val="ka-GE"/>
        </w:rPr>
        <w:t xml:space="preserve"> კარმუსტინი, ეტოპოზიდი და ცისპლატინი გავლენას არ ახდენენ ონდანსეტრონის ფარმაკოკინეტიკაზე. სამოცდათექვსმეტ პედიატრიულ პაციენტზე ჩატარებულ ჯვარედინი კვლევისას, ინტრავენურმა ონდანსეტრონმა არ გაზარდა მეტოტრექსატის მაღალი დოზების დონე სისხლში.</w:t>
      </w:r>
    </w:p>
    <w:p w14:paraId="2D7A9295" w14:textId="77777777" w:rsidR="00F76FD9" w:rsidRPr="00330B09" w:rsidRDefault="00F76FD9" w:rsidP="00F76FD9">
      <w:pPr>
        <w:spacing w:after="0" w:line="240" w:lineRule="auto"/>
        <w:jc w:val="both"/>
        <w:rPr>
          <w:u w:val="single"/>
          <w:lang w:val="ka-GE"/>
        </w:rPr>
      </w:pPr>
      <w:r w:rsidRPr="00330B09">
        <w:rPr>
          <w:u w:val="single"/>
          <w:lang w:val="ka-GE"/>
        </w:rPr>
        <w:t>ტემაზეპამი</w:t>
      </w:r>
    </w:p>
    <w:p w14:paraId="525628D5" w14:textId="77777777" w:rsidR="00F76FD9" w:rsidRPr="00330B09" w:rsidRDefault="00F76FD9" w:rsidP="00F76FD9">
      <w:pPr>
        <w:spacing w:after="0" w:line="240" w:lineRule="auto"/>
        <w:jc w:val="both"/>
        <w:rPr>
          <w:lang w:val="ka-GE"/>
        </w:rPr>
      </w:pPr>
      <w:r w:rsidRPr="00330B09">
        <w:rPr>
          <w:lang w:val="ka-GE"/>
        </w:rPr>
        <w:lastRenderedPageBreak/>
        <w:t>ონდანსეტრონის ერთდროულმა მიღებამ გავლენა არ მოახდინა ტემაზეპამის ფარმაკოკინეტიკასა და ფარმაკოდინამიკაზე.</w:t>
      </w:r>
    </w:p>
    <w:p w14:paraId="4E6950E4" w14:textId="77777777" w:rsidR="00426A5A" w:rsidRPr="00330B09" w:rsidRDefault="00426A5A" w:rsidP="00426A5A">
      <w:pPr>
        <w:spacing w:after="0" w:line="240" w:lineRule="auto"/>
        <w:jc w:val="both"/>
        <w:rPr>
          <w:u w:val="single"/>
          <w:lang w:val="ka-GE"/>
        </w:rPr>
      </w:pPr>
      <w:r w:rsidRPr="00330B09">
        <w:rPr>
          <w:u w:val="single"/>
          <w:lang w:val="ka-GE"/>
        </w:rPr>
        <w:t>ალფენტანილი და ატრაკურიუმი</w:t>
      </w:r>
    </w:p>
    <w:p w14:paraId="395108AE" w14:textId="64E6EBB8" w:rsidR="00426A5A" w:rsidRPr="00330B09" w:rsidRDefault="00426A5A" w:rsidP="00426A5A">
      <w:pPr>
        <w:spacing w:after="0" w:line="240" w:lineRule="auto"/>
        <w:jc w:val="both"/>
        <w:rPr>
          <w:lang w:val="ka-GE"/>
        </w:rPr>
      </w:pPr>
      <w:r w:rsidRPr="00330B09">
        <w:rPr>
          <w:lang w:val="ka-GE"/>
        </w:rPr>
        <w:t>ონდანსეტრონი არ ცვლის ალფენტანილის მიერ გამოწვეულ სუნთქვის დამთრგუნველ ეფექტებს ან ატრაკურიუმის მიერ გამოწვეულ ნერვ</w:t>
      </w:r>
      <w:r w:rsidR="0072658F">
        <w:rPr>
          <w:lang w:val="ka-GE"/>
        </w:rPr>
        <w:t>-</w:t>
      </w:r>
      <w:r w:rsidRPr="00330B09">
        <w:rPr>
          <w:lang w:val="ka-GE"/>
        </w:rPr>
        <w:t>კუნთოვანი ბლოკადის ხარისხს. ზოგად ან ადგილობრივ ანესთეტიკებთან ურთიერთქმედება არ არის შესწავლილი.</w:t>
      </w:r>
    </w:p>
    <w:p w14:paraId="74C6CA7B" w14:textId="77777777" w:rsidR="00426A5A" w:rsidRPr="0072658F" w:rsidRDefault="00426A5A" w:rsidP="00426A5A">
      <w:pPr>
        <w:spacing w:after="0" w:line="240" w:lineRule="auto"/>
        <w:jc w:val="both"/>
        <w:rPr>
          <w:lang w:val="ka-GE"/>
        </w:rPr>
      </w:pPr>
      <w:r w:rsidRPr="0072658F">
        <w:rPr>
          <w:lang w:val="ka-GE"/>
        </w:rPr>
        <w:t>გამოიყენება სპეციალურ პოპულაციებში.</w:t>
      </w:r>
    </w:p>
    <w:p w14:paraId="0952D7A2" w14:textId="77777777" w:rsidR="00CE0F36" w:rsidRPr="00330B09" w:rsidRDefault="00CE0F36" w:rsidP="00426A5A">
      <w:pPr>
        <w:spacing w:after="0" w:line="240" w:lineRule="auto"/>
        <w:jc w:val="both"/>
        <w:rPr>
          <w:lang w:val="ka-GE"/>
        </w:rPr>
      </w:pPr>
      <w:r w:rsidRPr="00330B09">
        <w:rPr>
          <w:u w:val="single"/>
          <w:lang w:val="ka-GE"/>
        </w:rPr>
        <w:t>თირკმლის უკმარისობის მქონე პაციენტები</w:t>
      </w:r>
    </w:p>
    <w:p w14:paraId="4A271A92" w14:textId="77777777" w:rsidR="00AF2492" w:rsidRPr="00330B09" w:rsidRDefault="00DC6606" w:rsidP="00426A5A">
      <w:pPr>
        <w:spacing w:after="0" w:line="240" w:lineRule="auto"/>
        <w:jc w:val="both"/>
        <w:rPr>
          <w:lang w:val="ka-GE"/>
        </w:rPr>
      </w:pPr>
      <w:r w:rsidRPr="00330B09">
        <w:rPr>
          <w:lang w:val="ka-GE"/>
        </w:rPr>
        <w:t>მიუხედავად იმისა, რომ პლაზმური კლირენსი შემცირებულია თირკმლის მძიმე უკმარისობის მქონე პაციენტებში (კრეატინინის კლირენსი &lt; 30 მლ/წთ), დოზის კორექცია რეკომენდებული არ არის.</w:t>
      </w:r>
    </w:p>
    <w:p w14:paraId="59334022" w14:textId="77777777" w:rsidR="00743DCA" w:rsidRPr="00330B09" w:rsidRDefault="00743DCA" w:rsidP="00743DCA">
      <w:pPr>
        <w:spacing w:after="0" w:line="240" w:lineRule="auto"/>
        <w:jc w:val="both"/>
        <w:rPr>
          <w:u w:val="single"/>
          <w:lang w:val="ka-GE"/>
        </w:rPr>
      </w:pPr>
      <w:r w:rsidRPr="00330B09">
        <w:rPr>
          <w:u w:val="single"/>
          <w:lang w:val="ka-GE"/>
        </w:rPr>
        <w:t>ღვიძლის ფუნქციის დარღვევის მქონე პაციენტები</w:t>
      </w:r>
    </w:p>
    <w:p w14:paraId="1E30442D" w14:textId="565176BF" w:rsidR="00743DCA" w:rsidRPr="00330B09" w:rsidRDefault="00743DCA" w:rsidP="00743DCA">
      <w:pPr>
        <w:spacing w:after="0" w:line="240" w:lineRule="auto"/>
        <w:jc w:val="both"/>
        <w:rPr>
          <w:lang w:val="ka-GE"/>
        </w:rPr>
      </w:pPr>
      <w:r w:rsidRPr="00330B09">
        <w:rPr>
          <w:lang w:val="ka-GE"/>
        </w:rPr>
        <w:t xml:space="preserve">ღვიძლის მძიმე უკმარისობის მქონე პაციენტებში (ჩაილდ-პიუს შკალით 10 ან მეტი), კლირენსი მცირდება და განაწილების მოცულობა იზრდება, რაც იწვევს პლაზმიდან ნახევარგამოყოფის პერიოდის ზრდას. ასეთ პაციენტებში დღიური </w:t>
      </w:r>
      <w:r w:rsidR="0072658F">
        <w:rPr>
          <w:lang w:val="ka-GE"/>
        </w:rPr>
        <w:t xml:space="preserve">ჯამური </w:t>
      </w:r>
      <w:r w:rsidRPr="00330B09">
        <w:rPr>
          <w:lang w:val="ka-GE"/>
        </w:rPr>
        <w:t>დოზა არ უნდა აღემატებოდეს 8 მგ-ს.</w:t>
      </w:r>
    </w:p>
    <w:bookmarkEnd w:id="12"/>
    <w:p w14:paraId="3CB4346F" w14:textId="77777777" w:rsidR="00C9559D" w:rsidRPr="00330B09" w:rsidRDefault="00C9559D" w:rsidP="00743DCA">
      <w:pPr>
        <w:spacing w:after="0" w:line="240" w:lineRule="auto"/>
        <w:jc w:val="both"/>
        <w:rPr>
          <w:lang w:val="ka-GE"/>
        </w:rPr>
      </w:pPr>
    </w:p>
    <w:p w14:paraId="684C681A" w14:textId="77777777" w:rsidR="00C9559D" w:rsidRPr="00330B09" w:rsidRDefault="00C9559D" w:rsidP="00C9559D">
      <w:pPr>
        <w:spacing w:after="0" w:line="240" w:lineRule="auto"/>
        <w:jc w:val="both"/>
        <w:rPr>
          <w:b/>
          <w:bCs/>
          <w:lang w:val="ka-GE"/>
        </w:rPr>
      </w:pPr>
      <w:r w:rsidRPr="00330B09">
        <w:rPr>
          <w:b/>
          <w:bCs/>
          <w:lang w:val="ka-GE"/>
        </w:rPr>
        <w:t>ორსულობა და ძუძუთი კვება</w:t>
      </w:r>
    </w:p>
    <w:p w14:paraId="5642AF38" w14:textId="0287D2EF" w:rsidR="00C9559D" w:rsidRPr="00330B09" w:rsidRDefault="00C9559D" w:rsidP="00C9559D">
      <w:pPr>
        <w:spacing w:after="0" w:line="240" w:lineRule="auto"/>
        <w:jc w:val="both"/>
        <w:rPr>
          <w:lang w:val="ka-GE"/>
        </w:rPr>
      </w:pPr>
      <w:bookmarkStart w:id="13" w:name="_Hlk232778956"/>
      <w:r w:rsidRPr="00330B09">
        <w:rPr>
          <w:lang w:val="ka-GE"/>
        </w:rPr>
        <w:t xml:space="preserve">ორსულობის პირველ ტრიმესტრში ონდანსეტრონის ინექცია </w:t>
      </w:r>
      <w:r w:rsidR="0072658F">
        <w:rPr>
          <w:lang w:val="ka-GE"/>
        </w:rPr>
        <w:t>გამოიყენება</w:t>
      </w:r>
      <w:r w:rsidRPr="00330B09">
        <w:rPr>
          <w:lang w:val="ka-GE"/>
        </w:rPr>
        <w:t xml:space="preserve"> მხოლოდ ექიმთან კონსულტაციის შემდეგ</w:t>
      </w:r>
      <w:r w:rsidR="0072658F">
        <w:rPr>
          <w:lang w:val="ka-GE"/>
        </w:rPr>
        <w:t>, მაშინ, როდესაც დადგინდება</w:t>
      </w:r>
      <w:r w:rsidRPr="00330B09">
        <w:rPr>
          <w:lang w:val="ka-GE"/>
        </w:rPr>
        <w:t xml:space="preserve"> თქვენთვის და </w:t>
      </w:r>
      <w:r w:rsidR="0072658F">
        <w:rPr>
          <w:lang w:val="ka-GE"/>
        </w:rPr>
        <w:t xml:space="preserve">ნაყოფისთვის </w:t>
      </w:r>
      <w:r w:rsidRPr="00330B09">
        <w:rPr>
          <w:lang w:val="ka-GE"/>
        </w:rPr>
        <w:t xml:space="preserve">სხვადასხვა მკურნალობის ვარიანტების პოტენციური სარგებლი და რისკები. ონდანსეტრონმა შეიძლება ოდნავ გაზარდოს ბავშვში ტუჩისა და სასის ნაპრალის (ზედა ტუჩის და/ან სასის ხვრელები ან ნაპრალები) </w:t>
      </w:r>
      <w:r w:rsidR="0072658F">
        <w:rPr>
          <w:lang w:val="ka-GE"/>
        </w:rPr>
        <w:t xml:space="preserve">განვითარების </w:t>
      </w:r>
      <w:r w:rsidRPr="00330B09">
        <w:rPr>
          <w:lang w:val="ka-GE"/>
        </w:rPr>
        <w:t>რისკი. თუ უკვე ორსულად ხართ, ფიქრობთ, რომ შეიძლება ორსულად იყოთ ან გეგმავთ ორსულობას, ონდანსეტრონის ინექციის გამოყენებამდე კონსულტაცია გაიარეთ ექიმთან ან ფარმაცევტთან.</w:t>
      </w:r>
    </w:p>
    <w:p w14:paraId="5748E842" w14:textId="3C92F037" w:rsidR="00C9559D" w:rsidRPr="00330B09" w:rsidRDefault="00C9559D" w:rsidP="00C9559D">
      <w:pPr>
        <w:spacing w:after="0" w:line="240" w:lineRule="auto"/>
        <w:jc w:val="both"/>
        <w:rPr>
          <w:lang w:val="ka-GE"/>
        </w:rPr>
      </w:pPr>
      <w:r w:rsidRPr="00330B09">
        <w:rPr>
          <w:lang w:val="ka-GE"/>
        </w:rPr>
        <w:t>რეპროდუქციული ასაკის ქალებ</w:t>
      </w:r>
      <w:r w:rsidR="0072658F">
        <w:rPr>
          <w:lang w:val="ka-GE"/>
        </w:rPr>
        <w:t xml:space="preserve">ისთვის შესაძლოა მიზანშეწონილი იყოს </w:t>
      </w:r>
      <w:r w:rsidRPr="00330B09">
        <w:rPr>
          <w:lang w:val="ka-GE"/>
        </w:rPr>
        <w:t>კონტრაცეფციის საიმედო მეთოდ</w:t>
      </w:r>
      <w:r w:rsidR="0072658F">
        <w:rPr>
          <w:lang w:val="ka-GE"/>
        </w:rPr>
        <w:t>ებ</w:t>
      </w:r>
      <w:r w:rsidRPr="00330B09">
        <w:rPr>
          <w:lang w:val="ka-GE"/>
        </w:rPr>
        <w:t>ს გამოყენება.</w:t>
      </w:r>
    </w:p>
    <w:p w14:paraId="230321EA" w14:textId="16FCA152" w:rsidR="00C9559D" w:rsidRPr="00330B09" w:rsidRDefault="00C9559D" w:rsidP="00C9559D">
      <w:pPr>
        <w:spacing w:after="0" w:line="240" w:lineRule="auto"/>
        <w:jc w:val="both"/>
        <w:rPr>
          <w:lang w:val="ka-GE"/>
        </w:rPr>
      </w:pPr>
      <w:r w:rsidRPr="00330B09">
        <w:rPr>
          <w:lang w:val="ka-GE"/>
        </w:rPr>
        <w:t xml:space="preserve">ონდანსეტრონის ინექციით მკურნალობის დროს არ </w:t>
      </w:r>
      <w:r w:rsidR="007978BD" w:rsidRPr="00330B09">
        <w:rPr>
          <w:lang w:val="ka-GE"/>
        </w:rPr>
        <w:t>კვებოთ</w:t>
      </w:r>
      <w:r w:rsidRPr="00330B09">
        <w:rPr>
          <w:lang w:val="ka-GE"/>
        </w:rPr>
        <w:t xml:space="preserve"> ბავშვ</w:t>
      </w:r>
      <w:r w:rsidR="007978BD" w:rsidRPr="00330B09">
        <w:rPr>
          <w:lang w:val="ka-GE"/>
        </w:rPr>
        <w:t>ი</w:t>
      </w:r>
      <w:r w:rsidRPr="00330B09">
        <w:rPr>
          <w:lang w:val="ka-GE"/>
        </w:rPr>
        <w:t xml:space="preserve"> ძუძუთი</w:t>
      </w:r>
      <w:r w:rsidR="0072658F">
        <w:rPr>
          <w:lang w:val="ka-GE"/>
        </w:rPr>
        <w:t>, რადგან მისი</w:t>
      </w:r>
      <w:r w:rsidRPr="00330B09">
        <w:rPr>
          <w:lang w:val="ka-GE"/>
        </w:rPr>
        <w:t xml:space="preserve"> მცირე რაოდენობით გადადის დედის რძეში. კონსულტაცია გაიარეთ ექიმთან ან </w:t>
      </w:r>
      <w:r w:rsidR="00AB49C8">
        <w:rPr>
          <w:lang w:val="ka-GE"/>
        </w:rPr>
        <w:t>მეანთან.</w:t>
      </w:r>
    </w:p>
    <w:bookmarkEnd w:id="13"/>
    <w:p w14:paraId="4A38E41A" w14:textId="77777777" w:rsidR="00AE6628" w:rsidRPr="00330B09" w:rsidRDefault="00AE6628" w:rsidP="00AE6628">
      <w:pPr>
        <w:spacing w:after="0" w:line="240" w:lineRule="auto"/>
        <w:jc w:val="both"/>
        <w:rPr>
          <w:lang w:val="ka-GE"/>
        </w:rPr>
      </w:pPr>
    </w:p>
    <w:p w14:paraId="039387F9" w14:textId="77777777" w:rsidR="00AE6628" w:rsidRPr="00330B09" w:rsidRDefault="00AE6628" w:rsidP="00AE6628">
      <w:pPr>
        <w:spacing w:after="0" w:line="240" w:lineRule="auto"/>
        <w:jc w:val="both"/>
        <w:rPr>
          <w:b/>
          <w:bCs/>
          <w:lang w:val="ka-GE"/>
        </w:rPr>
      </w:pPr>
      <w:r w:rsidRPr="00330B09">
        <w:rPr>
          <w:b/>
          <w:bCs/>
          <w:lang w:val="ka-GE"/>
        </w:rPr>
        <w:t>არასასურველი ეფექტები</w:t>
      </w:r>
    </w:p>
    <w:p w14:paraId="4DD41CB8" w14:textId="77777777" w:rsidR="00AE6628" w:rsidRPr="00330B09" w:rsidRDefault="00AE6628" w:rsidP="00AE6628">
      <w:pPr>
        <w:spacing w:after="0" w:line="240" w:lineRule="auto"/>
        <w:jc w:val="both"/>
        <w:rPr>
          <w:lang w:val="ka-GE"/>
        </w:rPr>
      </w:pPr>
      <w:r w:rsidRPr="00330B09">
        <w:rPr>
          <w:lang w:val="ka-GE"/>
        </w:rPr>
        <w:t>გამოიყენება შემდეგი სიხშირის კლასიფიკაცია:</w:t>
      </w:r>
    </w:p>
    <w:p w14:paraId="5D5EA0B3" w14:textId="77777777" w:rsidR="00AE6628" w:rsidRPr="00330B09" w:rsidRDefault="00AE6628" w:rsidP="00AE6628">
      <w:pPr>
        <w:spacing w:after="0" w:line="240" w:lineRule="auto"/>
        <w:jc w:val="both"/>
        <w:rPr>
          <w:lang w:val="ka-GE"/>
        </w:rPr>
      </w:pPr>
      <w:r w:rsidRPr="00330B09">
        <w:rPr>
          <w:lang w:val="ka-GE"/>
        </w:rPr>
        <w:t>ძალიან ხშირი: ≥1/10.</w:t>
      </w:r>
    </w:p>
    <w:p w14:paraId="1247D569" w14:textId="77777777" w:rsidR="00AE6628" w:rsidRPr="00330B09" w:rsidRDefault="00AE6628" w:rsidP="00AE6628">
      <w:pPr>
        <w:spacing w:after="0" w:line="240" w:lineRule="auto"/>
        <w:jc w:val="both"/>
        <w:rPr>
          <w:lang w:val="ka-GE"/>
        </w:rPr>
      </w:pPr>
      <w:r w:rsidRPr="00330B09">
        <w:rPr>
          <w:lang w:val="ka-GE"/>
        </w:rPr>
        <w:t>ხშირი: ≥1/100 – &lt;1/10.</w:t>
      </w:r>
    </w:p>
    <w:p w14:paraId="68D2E393" w14:textId="77777777" w:rsidR="00C55F33" w:rsidRPr="00330B09" w:rsidRDefault="00AE6628" w:rsidP="00AE6628">
      <w:pPr>
        <w:spacing w:after="0" w:line="240" w:lineRule="auto"/>
        <w:jc w:val="both"/>
        <w:rPr>
          <w:lang w:val="ka-GE"/>
        </w:rPr>
      </w:pPr>
      <w:r w:rsidRPr="00330B09">
        <w:rPr>
          <w:lang w:val="ka-GE"/>
        </w:rPr>
        <w:t>არახშირი: ≥1/1,000-დან &lt;1/100-მდე.</w:t>
      </w:r>
    </w:p>
    <w:p w14:paraId="7D7174B6" w14:textId="77777777" w:rsidR="00881C78" w:rsidRPr="00330B09" w:rsidRDefault="002A6AE4" w:rsidP="002A6AE4">
      <w:pPr>
        <w:spacing w:after="0" w:line="240" w:lineRule="auto"/>
        <w:jc w:val="both"/>
        <w:rPr>
          <w:lang w:val="ka-GE"/>
        </w:rPr>
      </w:pPr>
      <w:r w:rsidRPr="00330B09">
        <w:rPr>
          <w:lang w:val="ka-GE"/>
        </w:rPr>
        <w:t xml:space="preserve">იშვიათი: ≥1/10,000-დან &lt;1/1,000-მდე; </w:t>
      </w:r>
    </w:p>
    <w:p w14:paraId="0497630E" w14:textId="77777777" w:rsidR="002A6AE4" w:rsidRPr="00330B09" w:rsidRDefault="00AB6015" w:rsidP="002A6AE4">
      <w:pPr>
        <w:spacing w:after="0" w:line="240" w:lineRule="auto"/>
        <w:jc w:val="both"/>
        <w:rPr>
          <w:lang w:val="ka-GE"/>
        </w:rPr>
      </w:pPr>
      <w:r w:rsidRPr="00330B09">
        <w:rPr>
          <w:lang w:val="ka-GE"/>
        </w:rPr>
        <w:t>ძალიან</w:t>
      </w:r>
      <w:r w:rsidR="002A6AE4" w:rsidRPr="00330B09">
        <w:rPr>
          <w:lang w:val="ka-GE"/>
        </w:rPr>
        <w:t xml:space="preserve"> იშვიათი: &lt;1/10,000.</w:t>
      </w:r>
    </w:p>
    <w:p w14:paraId="5EBB319A" w14:textId="74C594C9" w:rsidR="007F5DCC" w:rsidRPr="00330B09" w:rsidRDefault="00CE3FF5" w:rsidP="00C9559D">
      <w:pPr>
        <w:spacing w:after="0" w:line="240" w:lineRule="auto"/>
        <w:jc w:val="both"/>
        <w:rPr>
          <w:lang w:val="ka-GE"/>
        </w:rPr>
      </w:pPr>
      <w:r w:rsidRPr="00330B09">
        <w:rPr>
          <w:lang w:val="ka-GE"/>
        </w:rPr>
        <w:t>სიხშირე უცნობია - არსებული მონაცემებით შეუძლებელია სიხშირის დადგენა.</w:t>
      </w:r>
    </w:p>
    <w:p w14:paraId="4E6ACF50" w14:textId="274ECBAA" w:rsidR="00CE3FF5" w:rsidRPr="00330B09" w:rsidRDefault="00AB49C8" w:rsidP="00C9559D">
      <w:pPr>
        <w:spacing w:after="0" w:line="240" w:lineRule="auto"/>
        <w:jc w:val="both"/>
        <w:rPr>
          <w:lang w:val="ka-GE"/>
        </w:rPr>
      </w:pPr>
      <w:bookmarkStart w:id="14" w:name="_Hlk232778996"/>
      <w:r w:rsidRPr="00330B09">
        <w:rPr>
          <w:u w:val="single"/>
          <w:lang w:val="ka-GE"/>
        </w:rPr>
        <w:t>დარღვევები</w:t>
      </w:r>
      <w:r>
        <w:rPr>
          <w:u w:val="single"/>
          <w:lang w:val="ka-GE"/>
        </w:rPr>
        <w:t xml:space="preserve"> </w:t>
      </w:r>
      <w:r w:rsidR="00CE3FF5" w:rsidRPr="00330B09">
        <w:rPr>
          <w:u w:val="single"/>
          <w:lang w:val="ka-GE"/>
        </w:rPr>
        <w:t>იმუნური სისტემის</w:t>
      </w:r>
      <w:r>
        <w:rPr>
          <w:u w:val="single"/>
          <w:lang w:val="ka-GE"/>
        </w:rPr>
        <w:t xml:space="preserve"> მხრივ</w:t>
      </w:r>
      <w:r w:rsidR="00CE3FF5" w:rsidRPr="00330B09">
        <w:rPr>
          <w:u w:val="single"/>
          <w:lang w:val="ka-GE"/>
        </w:rPr>
        <w:t xml:space="preserve"> </w:t>
      </w:r>
    </w:p>
    <w:p w14:paraId="72A01F41" w14:textId="49EA7822" w:rsidR="00893658" w:rsidRPr="00330B09" w:rsidRDefault="00893658" w:rsidP="00893658">
      <w:pPr>
        <w:spacing w:after="0" w:line="240" w:lineRule="auto"/>
        <w:jc w:val="both"/>
        <w:rPr>
          <w:lang w:val="ka-GE"/>
        </w:rPr>
      </w:pPr>
      <w:r w:rsidRPr="00330B09">
        <w:rPr>
          <w:lang w:val="ka-GE"/>
        </w:rPr>
        <w:t xml:space="preserve">იშვიათი: დაუყოვნებელი ჰიპერმგრძნობელობის რეაქციები, ზოგჯერ მძიმე, ანაფილაქსიის ჩათვლით. ანაფილაქსია შეიძლება </w:t>
      </w:r>
      <w:r w:rsidR="00AB49C8" w:rsidRPr="00330B09">
        <w:rPr>
          <w:lang w:val="ka-GE"/>
        </w:rPr>
        <w:t>იყო</w:t>
      </w:r>
      <w:r w:rsidR="00AB49C8">
        <w:rPr>
          <w:lang w:val="ka-GE"/>
        </w:rPr>
        <w:t xml:space="preserve">ს </w:t>
      </w:r>
      <w:r w:rsidRPr="00330B09">
        <w:rPr>
          <w:lang w:val="ka-GE"/>
        </w:rPr>
        <w:t>ფატალური</w:t>
      </w:r>
      <w:r w:rsidR="00AB49C8">
        <w:rPr>
          <w:lang w:val="ka-GE"/>
        </w:rPr>
        <w:t>.</w:t>
      </w:r>
      <w:r w:rsidRPr="00330B09">
        <w:rPr>
          <w:lang w:val="ka-GE"/>
        </w:rPr>
        <w:t xml:space="preserve"> </w:t>
      </w:r>
    </w:p>
    <w:p w14:paraId="03DBEFBC" w14:textId="77777777" w:rsidR="007F5DCC" w:rsidRPr="00330B09" w:rsidRDefault="00893658" w:rsidP="00893658">
      <w:pPr>
        <w:spacing w:after="0" w:line="240" w:lineRule="auto"/>
        <w:jc w:val="both"/>
        <w:rPr>
          <w:lang w:val="ka-GE"/>
        </w:rPr>
      </w:pPr>
      <w:r w:rsidRPr="00330B09">
        <w:rPr>
          <w:lang w:val="ka-GE"/>
        </w:rPr>
        <w:t>ჰიპერმგრძნობელობის რეაქციები ასევე დაფიქსირდა პაციენტებში, რომლებიც მგრძნობიარენი იყვნენ სხვა სელექციური 5-HT3 რეცეპტორების ანტაგონისტების მიმართ.</w:t>
      </w:r>
    </w:p>
    <w:p w14:paraId="2788C129" w14:textId="4DDC4957" w:rsidR="007F5DCC" w:rsidRPr="00330B09" w:rsidRDefault="00AB49C8" w:rsidP="007F5DCC">
      <w:pPr>
        <w:spacing w:after="0" w:line="240" w:lineRule="auto"/>
        <w:jc w:val="both"/>
        <w:rPr>
          <w:u w:val="single"/>
          <w:lang w:val="ka-GE"/>
        </w:rPr>
      </w:pPr>
      <w:r w:rsidRPr="00330B09">
        <w:rPr>
          <w:u w:val="single"/>
          <w:lang w:val="ka-GE"/>
        </w:rPr>
        <w:t>დარღვევები</w:t>
      </w:r>
      <w:r>
        <w:rPr>
          <w:u w:val="single"/>
          <w:lang w:val="ka-GE"/>
        </w:rPr>
        <w:t xml:space="preserve"> </w:t>
      </w:r>
      <w:r w:rsidR="007F5DCC" w:rsidRPr="00330B09">
        <w:rPr>
          <w:u w:val="single"/>
          <w:lang w:val="ka-GE"/>
        </w:rPr>
        <w:t>ნერვული სისტემის</w:t>
      </w:r>
      <w:r w:rsidR="004C02D4">
        <w:rPr>
          <w:u w:val="single"/>
          <w:lang w:val="ka-GE"/>
        </w:rPr>
        <w:t xml:space="preserve"> მხრივ</w:t>
      </w:r>
    </w:p>
    <w:p w14:paraId="44670EC5" w14:textId="77777777" w:rsidR="007F5DCC" w:rsidRPr="00330B09" w:rsidRDefault="007F5DCC" w:rsidP="007F5DCC">
      <w:pPr>
        <w:spacing w:after="0" w:line="240" w:lineRule="auto"/>
        <w:jc w:val="both"/>
        <w:rPr>
          <w:lang w:val="ka-GE"/>
        </w:rPr>
      </w:pPr>
      <w:r w:rsidRPr="00330B09">
        <w:rPr>
          <w:lang w:val="ka-GE"/>
        </w:rPr>
        <w:t>ხშირი: თავის ტკივილი.</w:t>
      </w:r>
    </w:p>
    <w:p w14:paraId="40AE8358" w14:textId="77777777" w:rsidR="007F5DCC" w:rsidRPr="00330B09" w:rsidRDefault="007F5DCC" w:rsidP="007F5DCC">
      <w:pPr>
        <w:spacing w:after="0" w:line="240" w:lineRule="auto"/>
        <w:jc w:val="both"/>
        <w:rPr>
          <w:lang w:val="ka-GE"/>
        </w:rPr>
      </w:pPr>
      <w:r w:rsidRPr="00330B09">
        <w:rPr>
          <w:lang w:val="ka-GE"/>
        </w:rPr>
        <w:t xml:space="preserve">არახშირი: არსებობს შეტყობინებები უნებლიე მოძრაობის დარღვევების შესახებ, როგორიცაა ექსტრაპირამიდული რეაქციები, მაგ. ოკულოგირული კრიზისი/დისტონიური რეაქციები და </w:t>
      </w:r>
      <w:r w:rsidRPr="00330B09">
        <w:rPr>
          <w:lang w:val="ka-GE"/>
        </w:rPr>
        <w:lastRenderedPageBreak/>
        <w:t>დისკინეზია მუდმივი კლინიკური შედეგების და კრუნჩხვების (მაგ. ეპილეფსიური სპაზმების) დამადასტურებელი ნიშნების გარეშე, თუმცა უცნობი ფარმაკოლოგიური მექანიზმი ვერ ხსნის ონდანსეტრონის მიერ ამ ეფექტების გამომწვევ მიზეზს.</w:t>
      </w:r>
    </w:p>
    <w:p w14:paraId="01F19067" w14:textId="77777777" w:rsidR="007F5DCC" w:rsidRPr="00330B09" w:rsidRDefault="007F5DCC" w:rsidP="007F5DCC">
      <w:pPr>
        <w:spacing w:after="0" w:line="240" w:lineRule="auto"/>
        <w:jc w:val="both"/>
        <w:rPr>
          <w:lang w:val="ka-GE"/>
        </w:rPr>
      </w:pPr>
      <w:r w:rsidRPr="00330B09">
        <w:rPr>
          <w:lang w:val="ka-GE"/>
        </w:rPr>
        <w:t>იშვიათი: თავბრუსხვევა სწრაფი ინტრავენური შეყვანის დროს.</w:t>
      </w:r>
    </w:p>
    <w:p w14:paraId="2B3D7332" w14:textId="77777777" w:rsidR="00B136A9" w:rsidRPr="00330B09" w:rsidRDefault="007F5DCC" w:rsidP="007F5DCC">
      <w:pPr>
        <w:spacing w:after="0" w:line="240" w:lineRule="auto"/>
        <w:jc w:val="both"/>
        <w:rPr>
          <w:lang w:val="ka-GE"/>
        </w:rPr>
      </w:pPr>
      <w:r w:rsidRPr="00330B09">
        <w:rPr>
          <w:lang w:val="ka-GE"/>
        </w:rPr>
        <w:t>ძალიან იშვიათი: დეპრესია.</w:t>
      </w:r>
    </w:p>
    <w:p w14:paraId="6F790C59" w14:textId="38C6D6AE" w:rsidR="00C51AC5" w:rsidRPr="00330B09" w:rsidRDefault="00C51AC5" w:rsidP="00C51AC5">
      <w:pPr>
        <w:spacing w:after="0" w:line="240" w:lineRule="auto"/>
        <w:jc w:val="both"/>
        <w:rPr>
          <w:u w:val="single"/>
          <w:lang w:val="ka-GE"/>
        </w:rPr>
      </w:pPr>
      <w:r w:rsidRPr="00330B09">
        <w:rPr>
          <w:u w:val="single"/>
          <w:lang w:val="ka-GE"/>
        </w:rPr>
        <w:t>დარღვევები</w:t>
      </w:r>
      <w:r w:rsidR="004C02D4">
        <w:rPr>
          <w:u w:val="single"/>
          <w:lang w:val="ka-GE"/>
        </w:rPr>
        <w:t xml:space="preserve"> მხედველობის ორგანოს მხრივ</w:t>
      </w:r>
    </w:p>
    <w:p w14:paraId="11DB923E" w14:textId="77777777" w:rsidR="00C51AC5" w:rsidRPr="00330B09" w:rsidRDefault="00C51AC5" w:rsidP="00C51AC5">
      <w:pPr>
        <w:spacing w:after="0" w:line="240" w:lineRule="auto"/>
        <w:jc w:val="both"/>
        <w:rPr>
          <w:lang w:val="ka-GE"/>
        </w:rPr>
      </w:pPr>
      <w:r w:rsidRPr="00330B09">
        <w:rPr>
          <w:lang w:val="ka-GE"/>
        </w:rPr>
        <w:t>იშვიათი: მხედველობის გარდამავალი დარღვევები (მაგ., მხედველობის დაბინდვა) სწრაფი ინტრავენური შეყვანის დროს.</w:t>
      </w:r>
    </w:p>
    <w:p w14:paraId="2F861B2F" w14:textId="77777777" w:rsidR="00B136A9" w:rsidRPr="00330B09" w:rsidRDefault="00C51AC5" w:rsidP="00C51AC5">
      <w:pPr>
        <w:spacing w:after="0" w:line="240" w:lineRule="auto"/>
        <w:jc w:val="both"/>
        <w:rPr>
          <w:lang w:val="ka-GE"/>
        </w:rPr>
      </w:pPr>
      <w:r w:rsidRPr="00330B09">
        <w:rPr>
          <w:lang w:val="ka-GE"/>
        </w:rPr>
        <w:t>ძალიან იშვიათი: ცალკეულ შემთხვევებში, ქიმიოთერაპიული საშუალებების, მათ შორის ცისპლატინის მიმღებ პაციენტებში აღინიშნა გარდამავალი სიბრმავე. აღწერილი შემთხვევების უმეტესობა 20 წუთში გაქრა. გარდამავალი სიბრმავის ზოგიერთი შემთხვევა კორტიკალური წარმოშობის იყო.</w:t>
      </w:r>
    </w:p>
    <w:p w14:paraId="46CD9890" w14:textId="2DADC476" w:rsidR="00013661" w:rsidRPr="004C02D4" w:rsidRDefault="00013661" w:rsidP="00013661">
      <w:pPr>
        <w:spacing w:after="0" w:line="240" w:lineRule="auto"/>
        <w:jc w:val="both"/>
        <w:rPr>
          <w:u w:val="single"/>
          <w:lang w:val="ka-GE"/>
        </w:rPr>
      </w:pPr>
      <w:r w:rsidRPr="00330B09">
        <w:rPr>
          <w:u w:val="single"/>
          <w:lang w:val="ka-GE"/>
        </w:rPr>
        <w:t>დარღვევები</w:t>
      </w:r>
      <w:r w:rsidR="004C02D4" w:rsidRPr="0007288A">
        <w:rPr>
          <w:u w:val="single"/>
          <w:lang w:val="ka-GE"/>
        </w:rPr>
        <w:t xml:space="preserve"> </w:t>
      </w:r>
      <w:r w:rsidR="004C02D4" w:rsidRPr="00330B09">
        <w:rPr>
          <w:u w:val="single"/>
          <w:lang w:val="ka-GE"/>
        </w:rPr>
        <w:t>გულის</w:t>
      </w:r>
      <w:r w:rsidR="004C02D4" w:rsidRPr="0007288A">
        <w:rPr>
          <w:u w:val="single"/>
          <w:lang w:val="ka-GE"/>
        </w:rPr>
        <w:t xml:space="preserve"> </w:t>
      </w:r>
      <w:r w:rsidR="004C02D4">
        <w:rPr>
          <w:u w:val="single"/>
          <w:lang w:val="ka-GE"/>
        </w:rPr>
        <w:t>მხრივ</w:t>
      </w:r>
    </w:p>
    <w:p w14:paraId="5862B8E2" w14:textId="77777777" w:rsidR="00013661" w:rsidRPr="00330B09" w:rsidRDefault="00013661" w:rsidP="00013661">
      <w:pPr>
        <w:spacing w:after="0" w:line="240" w:lineRule="auto"/>
        <w:jc w:val="both"/>
        <w:rPr>
          <w:lang w:val="ka-GE"/>
        </w:rPr>
      </w:pPr>
      <w:r w:rsidRPr="00330B09">
        <w:rPr>
          <w:lang w:val="ka-GE"/>
        </w:rPr>
        <w:t>არახშირი: ტკივილი გულმკერდის არეში ST სეგმენტის დეპრესიით ან მის გარეშე, გულის არითმიები და ბრადიკარდია. გულმკერდის არეში ტკივილი და გულის არითმიები ცალკეულ შემთხვევებში შეიძლება ფატალური იყოს.</w:t>
      </w:r>
    </w:p>
    <w:p w14:paraId="5E5B9782" w14:textId="3E1365AD" w:rsidR="00A35936" w:rsidRPr="0007288A" w:rsidRDefault="00013661" w:rsidP="00013661">
      <w:pPr>
        <w:spacing w:after="0" w:line="240" w:lineRule="auto"/>
        <w:jc w:val="both"/>
        <w:rPr>
          <w:lang w:val="ka-GE"/>
        </w:rPr>
      </w:pPr>
      <w:r w:rsidRPr="00330B09">
        <w:rPr>
          <w:lang w:val="ka-GE"/>
        </w:rPr>
        <w:t xml:space="preserve">იშვიათი: ელექტროკარდიოგრამაზე გარდამავალი ცვლილებები, QTc ინტერვალის გახანგრძლივება (მათ შორის, </w:t>
      </w:r>
      <w:r w:rsidR="004C02D4">
        <w:rPr>
          <w:lang w:val="ka-GE"/>
        </w:rPr>
        <w:t>„</w:t>
      </w:r>
      <w:r w:rsidR="004C02D4" w:rsidRPr="0007288A">
        <w:rPr>
          <w:lang w:val="ka-GE"/>
        </w:rPr>
        <w:t>Torsade de Pointes</w:t>
      </w:r>
      <w:r w:rsidR="004C02D4">
        <w:rPr>
          <w:lang w:val="ka-GE"/>
        </w:rPr>
        <w:t>“</w:t>
      </w:r>
      <w:r w:rsidR="004C02D4" w:rsidRPr="0007288A">
        <w:rPr>
          <w:lang w:val="ka-GE"/>
        </w:rPr>
        <w:t>)</w:t>
      </w:r>
    </w:p>
    <w:p w14:paraId="7AD03528" w14:textId="77777777" w:rsidR="00092108" w:rsidRPr="00330B09" w:rsidRDefault="00092108" w:rsidP="00092108">
      <w:pPr>
        <w:spacing w:after="0" w:line="240" w:lineRule="auto"/>
        <w:jc w:val="both"/>
        <w:rPr>
          <w:u w:val="single"/>
          <w:lang w:val="ka-GE"/>
        </w:rPr>
      </w:pPr>
      <w:r w:rsidRPr="00330B09">
        <w:rPr>
          <w:u w:val="single"/>
          <w:lang w:val="ka-GE"/>
        </w:rPr>
        <w:t>სისხლძარღვოვანი დარღვევები</w:t>
      </w:r>
    </w:p>
    <w:p w14:paraId="2094450E" w14:textId="77777777" w:rsidR="00092108" w:rsidRPr="00330B09" w:rsidRDefault="00092108" w:rsidP="00092108">
      <w:pPr>
        <w:spacing w:after="0" w:line="240" w:lineRule="auto"/>
        <w:jc w:val="both"/>
        <w:rPr>
          <w:lang w:val="ka-GE"/>
        </w:rPr>
      </w:pPr>
      <w:r w:rsidRPr="00330B09">
        <w:rPr>
          <w:lang w:val="ka-GE"/>
        </w:rPr>
        <w:t>ხშირი: სიწითლის ან სითბოს შეგრძნება.</w:t>
      </w:r>
    </w:p>
    <w:p w14:paraId="7329F7EF" w14:textId="77777777" w:rsidR="005646C2" w:rsidRPr="00330B09" w:rsidRDefault="00092108" w:rsidP="00092108">
      <w:pPr>
        <w:spacing w:after="0" w:line="240" w:lineRule="auto"/>
        <w:jc w:val="both"/>
        <w:rPr>
          <w:lang w:val="ka-GE"/>
        </w:rPr>
      </w:pPr>
      <w:r w:rsidRPr="00330B09">
        <w:rPr>
          <w:lang w:val="ka-GE"/>
        </w:rPr>
        <w:t>არახშირი: ჰიპოტენზია</w:t>
      </w:r>
    </w:p>
    <w:p w14:paraId="2C198177" w14:textId="4738A4C1" w:rsidR="00305AB6" w:rsidRPr="00330B09" w:rsidRDefault="004C02D4" w:rsidP="00305AB6">
      <w:pPr>
        <w:spacing w:after="0" w:line="240" w:lineRule="auto"/>
        <w:jc w:val="both"/>
        <w:rPr>
          <w:u w:val="single"/>
          <w:lang w:val="ka-GE"/>
        </w:rPr>
      </w:pPr>
      <w:r w:rsidRPr="00330B09">
        <w:rPr>
          <w:u w:val="single"/>
          <w:lang w:val="ka-GE"/>
        </w:rPr>
        <w:t>დარღვევები</w:t>
      </w:r>
      <w:r>
        <w:rPr>
          <w:u w:val="single"/>
          <w:lang w:val="ka-GE"/>
        </w:rPr>
        <w:t xml:space="preserve"> </w:t>
      </w:r>
      <w:r w:rsidR="00305AB6" w:rsidRPr="00330B09">
        <w:rPr>
          <w:u w:val="single"/>
          <w:lang w:val="ka-GE"/>
        </w:rPr>
        <w:t>სასუნთქი სისტემის, გულმკერდის და შუასაყრის</w:t>
      </w:r>
      <w:r>
        <w:rPr>
          <w:u w:val="single"/>
          <w:lang w:val="ka-GE"/>
        </w:rPr>
        <w:t xml:space="preserve"> მხრივ</w:t>
      </w:r>
      <w:r w:rsidR="00305AB6" w:rsidRPr="00330B09">
        <w:rPr>
          <w:u w:val="single"/>
          <w:lang w:val="ka-GE"/>
        </w:rPr>
        <w:t xml:space="preserve"> </w:t>
      </w:r>
    </w:p>
    <w:p w14:paraId="69886C99" w14:textId="77777777" w:rsidR="00305AB6" w:rsidRPr="00330B09" w:rsidRDefault="00305AB6" w:rsidP="00305AB6">
      <w:pPr>
        <w:spacing w:after="0" w:line="240" w:lineRule="auto"/>
        <w:jc w:val="both"/>
        <w:rPr>
          <w:lang w:val="ka-GE"/>
        </w:rPr>
      </w:pPr>
      <w:r w:rsidRPr="00330B09">
        <w:rPr>
          <w:lang w:val="ka-GE"/>
        </w:rPr>
        <w:t>არახშირი: სლოკინი. კუჭ-ნაწლავის ტრაქტის დარღვევები</w:t>
      </w:r>
    </w:p>
    <w:p w14:paraId="31BB1687" w14:textId="77777777" w:rsidR="006F7DC1" w:rsidRPr="00330B09" w:rsidRDefault="00305AB6" w:rsidP="00305AB6">
      <w:pPr>
        <w:spacing w:after="0" w:line="240" w:lineRule="auto"/>
        <w:jc w:val="both"/>
        <w:rPr>
          <w:lang w:val="ka-GE"/>
        </w:rPr>
      </w:pPr>
      <w:r w:rsidRPr="00330B09">
        <w:rPr>
          <w:lang w:val="ka-GE"/>
        </w:rPr>
        <w:t>ხშირი: ცნობილია, რომ ონდანსეტრონი ახანგრძლივებს მსხვილ ნაწლავში ტრანზიტის დროს და ზოგიერთ პაციენტში შეიძლება გამოიწვიოს ყაბზობა.</w:t>
      </w:r>
    </w:p>
    <w:p w14:paraId="715C16ED" w14:textId="77777777" w:rsidR="000B251F" w:rsidRPr="00330B09" w:rsidRDefault="000B251F" w:rsidP="000B251F">
      <w:pPr>
        <w:spacing w:after="0" w:line="240" w:lineRule="auto"/>
        <w:jc w:val="both"/>
        <w:rPr>
          <w:u w:val="single"/>
          <w:lang w:val="ka-GE"/>
        </w:rPr>
      </w:pPr>
      <w:r w:rsidRPr="00330B09">
        <w:rPr>
          <w:u w:val="single"/>
          <w:lang w:val="ka-GE"/>
        </w:rPr>
        <w:t>ჰეპატობილიარული დარღვევები</w:t>
      </w:r>
    </w:p>
    <w:p w14:paraId="74E872C9" w14:textId="77777777" w:rsidR="006F7DC1" w:rsidRPr="00330B09" w:rsidRDefault="000B251F" w:rsidP="000B251F">
      <w:pPr>
        <w:spacing w:after="0" w:line="240" w:lineRule="auto"/>
        <w:jc w:val="both"/>
        <w:rPr>
          <w:lang w:val="ka-GE"/>
        </w:rPr>
      </w:pPr>
      <w:r w:rsidRPr="00330B09">
        <w:rPr>
          <w:lang w:val="ka-GE"/>
        </w:rPr>
        <w:t>არახშირი: დაფიქსირდა ღვიძლის ფუნქციური ტესტების უსიმპტომო მატება. ეს რეაქციები ხშირად აღინიშნებოდა ცისპლატინით ქიმიოთერაპიის ქვეშ მყოფ პაციენტებში.</w:t>
      </w:r>
    </w:p>
    <w:p w14:paraId="1488906B" w14:textId="1B42026C" w:rsidR="00666E7C" w:rsidRPr="00330B09" w:rsidRDefault="004C02D4" w:rsidP="00666E7C">
      <w:pPr>
        <w:spacing w:after="0" w:line="240" w:lineRule="auto"/>
        <w:jc w:val="both"/>
        <w:rPr>
          <w:u w:val="single"/>
          <w:lang w:val="ka-GE"/>
        </w:rPr>
      </w:pPr>
      <w:r w:rsidRPr="00330B09">
        <w:rPr>
          <w:u w:val="single"/>
          <w:lang w:val="ka-GE"/>
        </w:rPr>
        <w:t>დარღვევები</w:t>
      </w:r>
      <w:r>
        <w:rPr>
          <w:u w:val="single"/>
          <w:lang w:val="ka-GE"/>
        </w:rPr>
        <w:t xml:space="preserve"> </w:t>
      </w:r>
      <w:r w:rsidR="00666E7C" w:rsidRPr="00330B09">
        <w:rPr>
          <w:u w:val="single"/>
          <w:lang w:val="ka-GE"/>
        </w:rPr>
        <w:t>კანისა და კანქვეშა ქსოვილის</w:t>
      </w:r>
      <w:r>
        <w:rPr>
          <w:u w:val="single"/>
          <w:lang w:val="ka-GE"/>
        </w:rPr>
        <w:t xml:space="preserve"> მხრივ</w:t>
      </w:r>
      <w:r w:rsidR="00666E7C" w:rsidRPr="00330B09">
        <w:rPr>
          <w:u w:val="single"/>
          <w:lang w:val="ka-GE"/>
        </w:rPr>
        <w:t xml:space="preserve"> </w:t>
      </w:r>
    </w:p>
    <w:p w14:paraId="5619150A" w14:textId="77777777" w:rsidR="005F3706" w:rsidRPr="00330B09" w:rsidRDefault="00666E7C" w:rsidP="00666E7C">
      <w:pPr>
        <w:spacing w:after="0" w:line="240" w:lineRule="auto"/>
        <w:jc w:val="both"/>
        <w:rPr>
          <w:lang w:val="ka-GE"/>
        </w:rPr>
      </w:pPr>
      <w:r w:rsidRPr="00330B09">
        <w:rPr>
          <w:lang w:val="ka-GE"/>
        </w:rPr>
        <w:t>არახშირი: შეიძლება განვითარდეს ჰიპერმგრძნობელობის რეაქციები ინექციის ადგილის გარშემო (მაგ., გამონაყარი, ჭინჭრის ციება, ქავილი), რომლებიც ზოგჯერ ვრცელდება პრეპარატის შეყვანის ვენის გასწვრივ.</w:t>
      </w:r>
    </w:p>
    <w:p w14:paraId="1B48F501" w14:textId="77777777" w:rsidR="005F3706" w:rsidRPr="00330B09" w:rsidRDefault="005F3706" w:rsidP="005F3706">
      <w:pPr>
        <w:spacing w:after="0" w:line="240" w:lineRule="auto"/>
        <w:jc w:val="both"/>
        <w:rPr>
          <w:u w:val="single"/>
          <w:lang w:val="ka-GE"/>
        </w:rPr>
      </w:pPr>
      <w:r w:rsidRPr="00330B09">
        <w:rPr>
          <w:u w:val="single"/>
          <w:lang w:val="ka-GE"/>
        </w:rPr>
        <w:t>ზოგადი დარღვევები და გართულებები შეყვანის ადგილას</w:t>
      </w:r>
    </w:p>
    <w:p w14:paraId="58EBEF12" w14:textId="77777777" w:rsidR="003407BE" w:rsidRPr="00330B09" w:rsidRDefault="005F3706" w:rsidP="005F3706">
      <w:pPr>
        <w:spacing w:after="0" w:line="240" w:lineRule="auto"/>
        <w:jc w:val="both"/>
        <w:rPr>
          <w:lang w:val="ka-GE"/>
        </w:rPr>
      </w:pPr>
      <w:r w:rsidRPr="00330B09">
        <w:rPr>
          <w:lang w:val="ka-GE"/>
        </w:rPr>
        <w:t>ხშირი: ადგილობრივი რეაქციები ინტრავენური ინექციის ადგილას.</w:t>
      </w:r>
    </w:p>
    <w:p w14:paraId="6E3F58DB" w14:textId="77777777" w:rsidR="003407BE" w:rsidRPr="00330B09" w:rsidRDefault="003407BE" w:rsidP="003407BE">
      <w:pPr>
        <w:spacing w:after="0" w:line="240" w:lineRule="auto"/>
        <w:jc w:val="both"/>
        <w:rPr>
          <w:u w:val="single"/>
          <w:lang w:val="ka-GE"/>
        </w:rPr>
      </w:pPr>
      <w:r w:rsidRPr="00330B09">
        <w:rPr>
          <w:u w:val="single"/>
          <w:lang w:val="ka-GE"/>
        </w:rPr>
        <w:t>პედიატრიული პოპულაცია</w:t>
      </w:r>
    </w:p>
    <w:p w14:paraId="0F40C92A" w14:textId="77777777" w:rsidR="003407BE" w:rsidRPr="00330B09" w:rsidRDefault="003407BE" w:rsidP="003407BE">
      <w:pPr>
        <w:spacing w:after="0" w:line="240" w:lineRule="auto"/>
        <w:jc w:val="both"/>
        <w:rPr>
          <w:lang w:val="ka-GE"/>
        </w:rPr>
      </w:pPr>
      <w:r w:rsidRPr="00330B09">
        <w:rPr>
          <w:lang w:val="ka-GE"/>
        </w:rPr>
        <w:t>ბავშვებსა და მოზარდებში გვერდითი მოვლენების პროფილი შედარებადი იყო მოზრდილებში დაფიქსირებულ პროფილთან.</w:t>
      </w:r>
    </w:p>
    <w:p w14:paraId="4372109F" w14:textId="4C676352" w:rsidR="003407BE" w:rsidRPr="00330B09" w:rsidRDefault="003407BE" w:rsidP="003407BE">
      <w:pPr>
        <w:spacing w:after="0" w:line="240" w:lineRule="auto"/>
        <w:jc w:val="both"/>
        <w:rPr>
          <w:lang w:val="ka-GE"/>
        </w:rPr>
      </w:pPr>
      <w:r w:rsidRPr="00330B09">
        <w:rPr>
          <w:lang w:val="ka-GE"/>
        </w:rPr>
        <w:t xml:space="preserve">შემდეგი კლინიკურად მნიშვნელოვანი გვერდითი რეაქციები აღწერილია სხვა </w:t>
      </w:r>
      <w:r w:rsidR="004C02D4">
        <w:rPr>
          <w:lang w:val="ka-GE"/>
        </w:rPr>
        <w:t>პუნქტებში</w:t>
      </w:r>
      <w:r w:rsidRPr="00330B09">
        <w:rPr>
          <w:lang w:val="ka-GE"/>
        </w:rPr>
        <w:t>:</w:t>
      </w:r>
    </w:p>
    <w:p w14:paraId="09F47EBA" w14:textId="77777777" w:rsidR="003407BE" w:rsidRPr="00330B09" w:rsidRDefault="003407BE" w:rsidP="00DB112D">
      <w:pPr>
        <w:pStyle w:val="ListParagraph"/>
        <w:numPr>
          <w:ilvl w:val="0"/>
          <w:numId w:val="11"/>
        </w:numPr>
        <w:spacing w:after="0" w:line="240" w:lineRule="auto"/>
        <w:ind w:left="567"/>
        <w:jc w:val="both"/>
        <w:rPr>
          <w:lang w:val="ka-GE"/>
        </w:rPr>
      </w:pPr>
      <w:r w:rsidRPr="00330B09">
        <w:rPr>
          <w:lang w:val="ka-GE"/>
        </w:rPr>
        <w:t>ჰიპერმგრძნობელობის რეაქციები</w:t>
      </w:r>
    </w:p>
    <w:p w14:paraId="03AE6CAE" w14:textId="77777777" w:rsidR="003407BE" w:rsidRPr="00330B09" w:rsidRDefault="003407BE" w:rsidP="00DB112D">
      <w:pPr>
        <w:pStyle w:val="ListParagraph"/>
        <w:numPr>
          <w:ilvl w:val="0"/>
          <w:numId w:val="11"/>
        </w:numPr>
        <w:spacing w:after="0" w:line="240" w:lineRule="auto"/>
        <w:ind w:left="567"/>
        <w:jc w:val="both"/>
        <w:rPr>
          <w:lang w:val="ka-GE"/>
        </w:rPr>
      </w:pPr>
      <w:r w:rsidRPr="00330B09">
        <w:rPr>
          <w:lang w:val="ka-GE"/>
        </w:rPr>
        <w:t>Q</w:t>
      </w:r>
      <w:r w:rsidR="00CD7D02" w:rsidRPr="00330B09">
        <w:rPr>
          <w:lang w:val="ka-GE"/>
        </w:rPr>
        <w:t>T</w:t>
      </w:r>
      <w:r w:rsidR="0078761C" w:rsidRPr="00330B09">
        <w:rPr>
          <w:lang w:val="ka-GE"/>
        </w:rPr>
        <w:t xml:space="preserve"> -</w:t>
      </w:r>
      <w:r w:rsidRPr="00330B09">
        <w:rPr>
          <w:lang w:val="ka-GE"/>
        </w:rPr>
        <w:t xml:space="preserve"> ინტერვალის გახანგრძლივება</w:t>
      </w:r>
    </w:p>
    <w:p w14:paraId="558C1126" w14:textId="77777777" w:rsidR="003407BE" w:rsidRPr="00330B09" w:rsidRDefault="003407BE" w:rsidP="00DB112D">
      <w:pPr>
        <w:pStyle w:val="ListParagraph"/>
        <w:numPr>
          <w:ilvl w:val="0"/>
          <w:numId w:val="11"/>
        </w:numPr>
        <w:spacing w:after="0" w:line="240" w:lineRule="auto"/>
        <w:ind w:left="567"/>
        <w:jc w:val="both"/>
        <w:rPr>
          <w:lang w:val="ka-GE"/>
        </w:rPr>
      </w:pPr>
      <w:r w:rsidRPr="00330B09">
        <w:rPr>
          <w:lang w:val="ka-GE"/>
        </w:rPr>
        <w:t>სეროტონინის სინდრომი</w:t>
      </w:r>
    </w:p>
    <w:p w14:paraId="797AB2A5" w14:textId="64B928A5" w:rsidR="003407BE" w:rsidRPr="00330B09" w:rsidRDefault="003407BE" w:rsidP="00DB112D">
      <w:pPr>
        <w:pStyle w:val="ListParagraph"/>
        <w:numPr>
          <w:ilvl w:val="0"/>
          <w:numId w:val="11"/>
        </w:numPr>
        <w:spacing w:after="0" w:line="240" w:lineRule="auto"/>
        <w:ind w:left="567"/>
        <w:jc w:val="both"/>
        <w:rPr>
          <w:lang w:val="ka-GE"/>
        </w:rPr>
      </w:pPr>
      <w:r w:rsidRPr="00330B09">
        <w:rPr>
          <w:lang w:val="ka-GE"/>
        </w:rPr>
        <w:t xml:space="preserve">პროგრესირებადი </w:t>
      </w:r>
      <w:r w:rsidR="004C02D4">
        <w:rPr>
          <w:lang w:val="ka-GE"/>
        </w:rPr>
        <w:t>ნაწლავური გაუვალობის</w:t>
      </w:r>
      <w:r w:rsidRPr="00330B09">
        <w:rPr>
          <w:lang w:val="ka-GE"/>
        </w:rPr>
        <w:t xml:space="preserve"> და კუჭის შებერილობის შენიღბვა</w:t>
      </w:r>
    </w:p>
    <w:bookmarkEnd w:id="14"/>
    <w:p w14:paraId="73246DF5" w14:textId="77777777" w:rsidR="000D0322" w:rsidRPr="00330B09" w:rsidRDefault="000D0322" w:rsidP="000D0322">
      <w:pPr>
        <w:spacing w:after="0" w:line="240" w:lineRule="auto"/>
        <w:jc w:val="both"/>
        <w:rPr>
          <w:b/>
          <w:bCs/>
          <w:lang w:val="ka-GE"/>
        </w:rPr>
      </w:pPr>
    </w:p>
    <w:p w14:paraId="579B4052" w14:textId="77777777" w:rsidR="000D0322" w:rsidRPr="00330B09" w:rsidRDefault="000D0322" w:rsidP="000D0322">
      <w:pPr>
        <w:spacing w:after="0" w:line="240" w:lineRule="auto"/>
        <w:jc w:val="both"/>
        <w:rPr>
          <w:b/>
          <w:bCs/>
          <w:lang w:val="ka-GE"/>
        </w:rPr>
      </w:pPr>
      <w:r w:rsidRPr="00330B09">
        <w:rPr>
          <w:b/>
          <w:bCs/>
          <w:lang w:val="ka-GE"/>
        </w:rPr>
        <w:t>ზედოზირება</w:t>
      </w:r>
    </w:p>
    <w:p w14:paraId="79FF6E6A" w14:textId="28721B13" w:rsidR="000D0322" w:rsidRPr="00330B09" w:rsidRDefault="00CD5A7C" w:rsidP="000D0322">
      <w:pPr>
        <w:spacing w:after="0" w:line="240" w:lineRule="auto"/>
        <w:jc w:val="both"/>
        <w:rPr>
          <w:lang w:val="ka-GE"/>
        </w:rPr>
      </w:pPr>
      <w:bookmarkStart w:id="15" w:name="_Hlk232779014"/>
      <w:r w:rsidRPr="00330B09">
        <w:rPr>
          <w:lang w:val="ka-GE"/>
        </w:rPr>
        <w:t>ონდანსეტრონის დოზის გადაჭარბების</w:t>
      </w:r>
      <w:r w:rsidR="004E07A7">
        <w:rPr>
          <w:lang w:val="ka-GE"/>
        </w:rPr>
        <w:t>ას</w:t>
      </w:r>
      <w:r w:rsidRPr="00330B09">
        <w:rPr>
          <w:lang w:val="ka-GE"/>
        </w:rPr>
        <w:t xml:space="preserve"> სპეციფიკური ანტიდოტი არ არსებობს. პაციენტებს უნდა ჩაუტარდეთ შესაბამისი დამხმარე მკურნალობა.</w:t>
      </w:r>
      <w:r w:rsidR="004E07A7">
        <w:rPr>
          <w:lang w:val="en-US"/>
        </w:rPr>
        <w:t xml:space="preserve"> </w:t>
      </w:r>
      <w:r w:rsidR="004E07A7">
        <w:rPr>
          <w:lang w:val="ka-GE"/>
        </w:rPr>
        <w:t>არის მონაცემები შემთხვევით</w:t>
      </w:r>
      <w:r w:rsidRPr="00330B09">
        <w:rPr>
          <w:lang w:val="ka-GE"/>
        </w:rPr>
        <w:t xml:space="preserve"> მიღებული 150 მგ-მდე ერთჯერადი ინტრავენური დოზები</w:t>
      </w:r>
      <w:r w:rsidR="004E07A7">
        <w:rPr>
          <w:lang w:val="ka-GE"/>
        </w:rPr>
        <w:t>ს</w:t>
      </w:r>
      <w:r w:rsidRPr="00330B09">
        <w:rPr>
          <w:lang w:val="ka-GE"/>
        </w:rPr>
        <w:t xml:space="preserve"> და 252 მგ-მდე დღიური </w:t>
      </w:r>
      <w:r w:rsidRPr="00330B09">
        <w:rPr>
          <w:lang w:val="ka-GE"/>
        </w:rPr>
        <w:lastRenderedPageBreak/>
        <w:t>ინტრავენური დოზები</w:t>
      </w:r>
      <w:r w:rsidR="004E07A7">
        <w:rPr>
          <w:lang w:val="ka-GE"/>
        </w:rPr>
        <w:t>ს შესახებ,</w:t>
      </w:r>
      <w:r w:rsidRPr="00330B09">
        <w:rPr>
          <w:lang w:val="ka-GE"/>
        </w:rPr>
        <w:t xml:space="preserve"> მნიშვნელოვანი გვერდითი მოვლენების გარეშე. ეს დოზები ათჯერ აღემატება რეკომენდებულ დღიურ დოზას.</w:t>
      </w:r>
    </w:p>
    <w:p w14:paraId="638264BC" w14:textId="77777777" w:rsidR="004E07A7" w:rsidRDefault="00337684" w:rsidP="00337684">
      <w:pPr>
        <w:spacing w:after="0" w:line="240" w:lineRule="auto"/>
        <w:jc w:val="both"/>
        <w:rPr>
          <w:lang w:val="ka-GE"/>
        </w:rPr>
      </w:pPr>
      <w:r w:rsidRPr="00330B09">
        <w:rPr>
          <w:lang w:val="ka-GE"/>
        </w:rPr>
        <w:t>ზემოთ ჩამოთვლილი გვერდითი რეაქციების გარდა, ონდანსეტრონის დოზის გადაჭარბებისას აღწერილია შემდეგი მოვლენები: „უეცარი სიბრმავე“ (ამავროზი) 2-დან 3 წუთამდე ხანგრძლივობით, პლუს მძიმე ყაბზობა ერთ პაციენტში, რომელსაც ინტრავენურად ერთჯერადი დოზის სახით 72 მგ ონდანსეტრონი მიეცა. ჰიპოტენზია (და გონების დაკარგვა) განუვითარდა სხვა პაციენტს, რომელმაც 48 მგ ონდანსეტრონის ჰიდროქლორიდის ტაბლეტები მიიღო. 32 მგ-ის მხოლოდ 4 წუთის განმავლობაში ინფუზიის შემდეგ დაფიქსირდა ვაზოვაგალური ეპიზოდი გარდამავალი მეორე ხარისხის გულის ბლოკადით. ყველა შემთხვევაში, მოვლენები სრულად გაქრა.</w:t>
      </w:r>
    </w:p>
    <w:p w14:paraId="573BD689" w14:textId="7A12AEF6" w:rsidR="00337684" w:rsidRPr="00330B09" w:rsidRDefault="00996C5C" w:rsidP="00337684">
      <w:pPr>
        <w:spacing w:after="0" w:line="240" w:lineRule="auto"/>
        <w:jc w:val="both"/>
        <w:rPr>
          <w:lang w:val="ka-GE"/>
        </w:rPr>
      </w:pPr>
      <w:r w:rsidRPr="00330B09">
        <w:rPr>
          <w:lang w:val="ka-GE"/>
        </w:rPr>
        <w:t xml:space="preserve"> </w:t>
      </w:r>
      <w:r w:rsidR="004D44E8" w:rsidRPr="00330B09">
        <w:rPr>
          <w:lang w:val="ka-GE"/>
        </w:rPr>
        <w:t>სეროტონინის სინდრომის შესაბამისი შემთხვევები დაფიქსირდა ბავშვებში ონდანსეტრონის შემთხვევითი პერორალური დოზის გადაჭარბების შემდეგ (</w:t>
      </w:r>
      <w:r w:rsidR="00B860D4" w:rsidRPr="00330B09">
        <w:rPr>
          <w:lang w:val="ka-GE"/>
        </w:rPr>
        <w:t>სავარაუდო</w:t>
      </w:r>
      <w:r w:rsidR="00B860D4">
        <w:rPr>
          <w:lang w:val="ka-GE"/>
        </w:rPr>
        <w:t>დ</w:t>
      </w:r>
      <w:r w:rsidR="00B860D4" w:rsidRPr="00330B09">
        <w:rPr>
          <w:lang w:val="ka-GE"/>
        </w:rPr>
        <w:t xml:space="preserve"> </w:t>
      </w:r>
      <w:r w:rsidR="004D44E8" w:rsidRPr="00330B09">
        <w:rPr>
          <w:lang w:val="ka-GE"/>
        </w:rPr>
        <w:t>5 მგ/კგ-ზე მეტი</w:t>
      </w:r>
      <w:r w:rsidR="00B860D4">
        <w:rPr>
          <w:lang w:val="ka-GE"/>
        </w:rPr>
        <w:t>ს მიღება)</w:t>
      </w:r>
      <w:r w:rsidR="004D44E8" w:rsidRPr="00330B09">
        <w:rPr>
          <w:lang w:val="ka-GE"/>
        </w:rPr>
        <w:t>. აღწერილი სიმპტომები მოიცავდა ძილიანობას, მოუსვენრობას, ტაქიკარდიას, აჩქარებულ სუნთქვას, ჰიპერტენზიას, წამოხურებას, გაფართოებულ გუგებს, ძლიერ ოფლიანობას, კუნთების კანკალს, ჰორიზონტალურ ნისტაგმს, ჰიპერრეფლექსიას და კრუნჩხვებს. პაციენტებს დასჭირდათ დამხმარე მკურნალობა, ზოგიერთ შემთხვევაში ინტუბაცია და სრულად გამოჯანმრთელდნენ ერთი-ორი დღის განმავლობაში რაიმე ხანგრძლივი ეფექტების გარეშე.</w:t>
      </w:r>
      <w:r w:rsidR="00A12476" w:rsidRPr="00330B09">
        <w:rPr>
          <w:lang w:val="ka-GE"/>
        </w:rPr>
        <w:t xml:space="preserve"> </w:t>
      </w:r>
    </w:p>
    <w:bookmarkEnd w:id="15"/>
    <w:p w14:paraId="2DA233B1" w14:textId="77777777" w:rsidR="00FA43C8" w:rsidRPr="00330B09" w:rsidRDefault="00FA43C8" w:rsidP="00337684">
      <w:pPr>
        <w:spacing w:after="0" w:line="240" w:lineRule="auto"/>
        <w:jc w:val="both"/>
        <w:rPr>
          <w:lang w:val="ka-GE"/>
        </w:rPr>
      </w:pPr>
    </w:p>
    <w:p w14:paraId="42A5D2AF" w14:textId="77777777" w:rsidR="00FA43C8" w:rsidRPr="00330B09" w:rsidRDefault="00FA43C8" w:rsidP="00FA43C8">
      <w:pPr>
        <w:spacing w:after="0" w:line="240" w:lineRule="auto"/>
        <w:jc w:val="both"/>
        <w:rPr>
          <w:lang w:val="ka-GE"/>
        </w:rPr>
      </w:pPr>
      <w:r w:rsidRPr="00330B09">
        <w:rPr>
          <w:b/>
          <w:bCs/>
          <w:lang w:val="ka-GE"/>
        </w:rPr>
        <w:t>შეფუთვა:</w:t>
      </w:r>
      <w:r w:rsidRPr="00330B09">
        <w:rPr>
          <w:lang w:val="ka-GE"/>
        </w:rPr>
        <w:t xml:space="preserve"> 10 x 4 მლ ამპულა შეფუთვაში.</w:t>
      </w:r>
    </w:p>
    <w:p w14:paraId="6E90650E" w14:textId="77777777" w:rsidR="00FA43C8" w:rsidRPr="00330B09" w:rsidRDefault="00FA43C8" w:rsidP="00FA43C8">
      <w:pPr>
        <w:spacing w:after="0" w:line="240" w:lineRule="auto"/>
        <w:jc w:val="both"/>
        <w:rPr>
          <w:lang w:val="ka-GE"/>
        </w:rPr>
      </w:pPr>
    </w:p>
    <w:p w14:paraId="3481AFFD" w14:textId="4CE6B0A5" w:rsidR="00FA43C8" w:rsidRPr="00330B09" w:rsidRDefault="00FA43C8" w:rsidP="00FA43C8">
      <w:pPr>
        <w:spacing w:after="0" w:line="240" w:lineRule="auto"/>
        <w:jc w:val="both"/>
        <w:rPr>
          <w:lang w:val="ka-GE"/>
        </w:rPr>
      </w:pPr>
      <w:r w:rsidRPr="00330B09">
        <w:rPr>
          <w:b/>
          <w:bCs/>
          <w:lang w:val="ka-GE"/>
        </w:rPr>
        <w:t>შენახვა:</w:t>
      </w:r>
      <w:r w:rsidRPr="00330B09">
        <w:rPr>
          <w:lang w:val="ka-GE"/>
        </w:rPr>
        <w:t xml:space="preserve"> </w:t>
      </w:r>
      <w:r w:rsidR="00B860D4" w:rsidRPr="00330B09">
        <w:rPr>
          <w:lang w:val="ka-GE"/>
        </w:rPr>
        <w:t xml:space="preserve">დაიცავით სინათლისგან. </w:t>
      </w:r>
      <w:r w:rsidRPr="00330B09">
        <w:rPr>
          <w:lang w:val="ka-GE"/>
        </w:rPr>
        <w:t>შეინახეთ</w:t>
      </w:r>
      <w:r w:rsidR="00423D44" w:rsidRPr="00330B09">
        <w:rPr>
          <w:lang w:val="ka-GE"/>
        </w:rPr>
        <w:t xml:space="preserve"> არაუმეტეს</w:t>
      </w:r>
      <w:r w:rsidRPr="00330B09">
        <w:rPr>
          <w:lang w:val="ka-GE"/>
        </w:rPr>
        <w:t xml:space="preserve"> 30°C</w:t>
      </w:r>
      <w:r w:rsidR="00423D44" w:rsidRPr="00330B09">
        <w:rPr>
          <w:lang w:val="ka-GE"/>
        </w:rPr>
        <w:t xml:space="preserve"> </w:t>
      </w:r>
      <w:r w:rsidRPr="00330B09">
        <w:rPr>
          <w:lang w:val="ka-GE"/>
        </w:rPr>
        <w:t xml:space="preserve">ტემპერატურაზე. </w:t>
      </w:r>
    </w:p>
    <w:p w14:paraId="6E4957F2" w14:textId="77777777" w:rsidR="00FA43C8" w:rsidRPr="00330B09" w:rsidRDefault="00FA43C8" w:rsidP="00FA43C8">
      <w:pPr>
        <w:spacing w:after="0" w:line="240" w:lineRule="auto"/>
        <w:jc w:val="both"/>
        <w:rPr>
          <w:lang w:val="ka-GE"/>
        </w:rPr>
      </w:pPr>
      <w:r w:rsidRPr="00330B09">
        <w:rPr>
          <w:b/>
          <w:bCs/>
          <w:lang w:val="ka-GE"/>
        </w:rPr>
        <w:t>ვარგისიანობის ვადა:</w:t>
      </w:r>
      <w:r w:rsidRPr="00330B09">
        <w:rPr>
          <w:lang w:val="ka-GE"/>
        </w:rPr>
        <w:t xml:space="preserve"> 36 თვე</w:t>
      </w:r>
    </w:p>
    <w:p w14:paraId="0EBFD35B" w14:textId="77777777" w:rsidR="00707DF1" w:rsidRPr="00330B09" w:rsidRDefault="00707DF1" w:rsidP="00FA43C8">
      <w:pPr>
        <w:spacing w:after="0" w:line="240" w:lineRule="auto"/>
        <w:jc w:val="both"/>
        <w:rPr>
          <w:lang w:val="ka-GE"/>
        </w:rPr>
      </w:pPr>
    </w:p>
    <w:p w14:paraId="6A9067DA" w14:textId="77777777" w:rsidR="00294A77" w:rsidRDefault="00294A77" w:rsidP="00294A77">
      <w:pPr>
        <w:autoSpaceDE w:val="0"/>
        <w:autoSpaceDN w:val="0"/>
        <w:adjustRightInd w:val="0"/>
        <w:jc w:val="both"/>
        <w:rPr>
          <w:rFonts w:cs="Sylfaen"/>
          <w:b/>
          <w:noProof/>
          <w:color w:val="000000"/>
          <w:lang w:val="ka-GE"/>
        </w:rPr>
      </w:pPr>
      <w:r w:rsidRPr="000F4D22">
        <w:rPr>
          <w:rFonts w:cs="Sylfaen"/>
          <w:b/>
          <w:noProof/>
          <w:color w:val="000000"/>
          <w:lang w:val="ka-GE"/>
        </w:rPr>
        <w:t>გაცემის რეჟიმი:</w:t>
      </w:r>
    </w:p>
    <w:p w14:paraId="40ECF521" w14:textId="77777777" w:rsidR="00294A77" w:rsidRPr="000F4D22" w:rsidRDefault="00294A77" w:rsidP="00294A77">
      <w:pPr>
        <w:autoSpaceDE w:val="0"/>
        <w:autoSpaceDN w:val="0"/>
        <w:adjustRightInd w:val="0"/>
        <w:jc w:val="both"/>
        <w:rPr>
          <w:rFonts w:cs="Sylfaen"/>
          <w:noProof/>
          <w:lang w:val="ka-GE"/>
        </w:rPr>
      </w:pPr>
      <w:r w:rsidRPr="000F4D22">
        <w:rPr>
          <w:rFonts w:cs="Sylfaen"/>
          <w:b/>
          <w:noProof/>
          <w:color w:val="000000"/>
          <w:lang w:val="ka-GE"/>
        </w:rPr>
        <w:t>ფარმაცევტული</w:t>
      </w:r>
      <w:r w:rsidRPr="000F4D22">
        <w:rPr>
          <w:b/>
          <w:noProof/>
          <w:color w:val="000000"/>
          <w:lang w:val="ka-GE"/>
        </w:rPr>
        <w:t xml:space="preserve"> </w:t>
      </w:r>
      <w:r w:rsidRPr="000F4D22">
        <w:rPr>
          <w:rFonts w:cs="Sylfaen"/>
          <w:b/>
          <w:noProof/>
          <w:color w:val="000000"/>
          <w:lang w:val="ka-GE"/>
        </w:rPr>
        <w:t>პროდუქტის</w:t>
      </w:r>
      <w:r w:rsidRPr="000F4D22">
        <w:rPr>
          <w:b/>
          <w:noProof/>
          <w:color w:val="000000"/>
          <w:lang w:val="ka-GE"/>
        </w:rPr>
        <w:t xml:space="preserve"> </w:t>
      </w:r>
      <w:r w:rsidRPr="000F4D22">
        <w:rPr>
          <w:rFonts w:cs="Sylfaen"/>
          <w:b/>
          <w:noProof/>
          <w:color w:val="000000"/>
          <w:lang w:val="ka-GE"/>
        </w:rPr>
        <w:t>ჯგუფი -</w:t>
      </w:r>
      <w:r w:rsidRPr="000F4D22">
        <w:rPr>
          <w:rFonts w:cs="Sylfaen"/>
          <w:noProof/>
          <w:color w:val="000000"/>
          <w:lang w:val="en-US"/>
        </w:rPr>
        <w:t xml:space="preserve"> </w:t>
      </w:r>
      <w:r w:rsidRPr="00490528">
        <w:rPr>
          <w:rFonts w:cs="Sylfaen"/>
          <w:noProof/>
          <w:lang w:val="ka-GE"/>
        </w:rPr>
        <w:t>II, გაიცემა ფორმა №3 რეცეპტით</w:t>
      </w:r>
    </w:p>
    <w:p w14:paraId="24E18B22" w14:textId="77777777" w:rsidR="00294A77" w:rsidRDefault="00294A77" w:rsidP="00707DF1">
      <w:pPr>
        <w:spacing w:after="0" w:line="240" w:lineRule="auto"/>
        <w:jc w:val="both"/>
        <w:rPr>
          <w:b/>
          <w:bCs/>
          <w:lang w:val="ka-GE"/>
        </w:rPr>
      </w:pPr>
    </w:p>
    <w:p w14:paraId="701C0806" w14:textId="6EDCBA3C" w:rsidR="00707DF1" w:rsidRPr="00330B09" w:rsidRDefault="00B66F9D" w:rsidP="00707DF1">
      <w:pPr>
        <w:spacing w:after="0" w:line="240" w:lineRule="auto"/>
        <w:jc w:val="both"/>
        <w:rPr>
          <w:b/>
          <w:bCs/>
          <w:lang w:val="ka-GE"/>
        </w:rPr>
      </w:pPr>
      <w:r w:rsidRPr="00330B09">
        <w:rPr>
          <w:b/>
          <w:bCs/>
          <w:lang w:val="ka-GE"/>
        </w:rPr>
        <w:t>წარმოებულია</w:t>
      </w:r>
      <w:r w:rsidR="002D1D1F" w:rsidRPr="00330B09">
        <w:rPr>
          <w:b/>
          <w:bCs/>
          <w:lang w:val="ka-GE"/>
        </w:rPr>
        <w:t xml:space="preserve"> ინდოეთში:</w:t>
      </w:r>
    </w:p>
    <w:p w14:paraId="7E6CB055" w14:textId="491383A1" w:rsidR="00707DF1" w:rsidRPr="00330B09" w:rsidRDefault="00707DF1" w:rsidP="00707DF1">
      <w:pPr>
        <w:spacing w:after="0" w:line="240" w:lineRule="auto"/>
        <w:jc w:val="both"/>
        <w:rPr>
          <w:lang w:val="ka-GE"/>
        </w:rPr>
      </w:pPr>
      <w:r w:rsidRPr="00330B09">
        <w:rPr>
          <w:lang w:val="ka-GE"/>
        </w:rPr>
        <w:t>Sovereign Pharma Pvt. Ltd.</w:t>
      </w:r>
    </w:p>
    <w:p w14:paraId="2AB5AB49" w14:textId="77777777" w:rsidR="00707DF1" w:rsidRPr="00330B09" w:rsidRDefault="006F73DD" w:rsidP="00707DF1">
      <w:pPr>
        <w:spacing w:after="0" w:line="240" w:lineRule="auto"/>
        <w:jc w:val="both"/>
        <w:rPr>
          <w:lang w:val="ka-GE"/>
        </w:rPr>
      </w:pPr>
      <w:r w:rsidRPr="00330B09">
        <w:rPr>
          <w:lang w:val="ka-GE"/>
        </w:rPr>
        <w:t>სურვეი</w:t>
      </w:r>
      <w:r w:rsidR="00707DF1" w:rsidRPr="00330B09">
        <w:rPr>
          <w:lang w:val="ka-GE"/>
        </w:rPr>
        <w:t xml:space="preserve"> №46/1-4, სოფელი</w:t>
      </w:r>
      <w:r w:rsidR="00763C61" w:rsidRPr="00330B09">
        <w:rPr>
          <w:lang w:val="ka-GE"/>
        </w:rPr>
        <w:t xml:space="preserve"> კადაია</w:t>
      </w:r>
      <w:r w:rsidR="00707DF1" w:rsidRPr="00330B09">
        <w:rPr>
          <w:lang w:val="ka-GE"/>
        </w:rPr>
        <w:t>, ნანი დამანი - 396210, ინდოეთი</w:t>
      </w:r>
    </w:p>
    <w:p w14:paraId="1678D37B" w14:textId="77777777" w:rsidR="00BA1AC8" w:rsidRPr="00330B09" w:rsidRDefault="00BA1AC8" w:rsidP="00707DF1">
      <w:pPr>
        <w:spacing w:after="0" w:line="240" w:lineRule="auto"/>
        <w:jc w:val="both"/>
        <w:rPr>
          <w:lang w:val="ka-GE"/>
        </w:rPr>
      </w:pPr>
    </w:p>
    <w:p w14:paraId="3455E5DC" w14:textId="77777777" w:rsidR="00BA1AC8" w:rsidRPr="00330B09" w:rsidRDefault="00E647C4" w:rsidP="00BA1AC8">
      <w:pPr>
        <w:spacing w:after="0" w:line="240" w:lineRule="auto"/>
        <w:jc w:val="both"/>
        <w:rPr>
          <w:lang w:val="ka-GE"/>
        </w:rPr>
      </w:pPr>
      <w:r w:rsidRPr="00330B09">
        <w:rPr>
          <w:b/>
          <w:bCs/>
          <w:lang w:val="ka-GE"/>
        </w:rPr>
        <w:t>სავაჭრო ნებართვის</w:t>
      </w:r>
      <w:r w:rsidR="00BA1AC8" w:rsidRPr="00330B09">
        <w:rPr>
          <w:b/>
          <w:bCs/>
          <w:lang w:val="ka-GE"/>
        </w:rPr>
        <w:t xml:space="preserve"> მფლობელი:</w:t>
      </w:r>
      <w:r w:rsidR="00BA1AC8" w:rsidRPr="00330B09">
        <w:rPr>
          <w:lang w:val="ka-GE"/>
        </w:rPr>
        <w:t xml:space="preserve"> Humanique Biopharmaceuticals Pvt. Ltd.</w:t>
      </w:r>
    </w:p>
    <w:p w14:paraId="5E5FEA08" w14:textId="77777777" w:rsidR="00BA1AC8" w:rsidRPr="00330B09" w:rsidRDefault="00BA1AC8" w:rsidP="00BA1AC8">
      <w:pPr>
        <w:spacing w:after="0" w:line="240" w:lineRule="auto"/>
        <w:jc w:val="both"/>
        <w:rPr>
          <w:lang w:val="ka-GE"/>
        </w:rPr>
      </w:pPr>
      <w:r w:rsidRPr="00330B09">
        <w:rPr>
          <w:lang w:val="ka-GE"/>
        </w:rPr>
        <w:t>ინდოეთი</w:t>
      </w:r>
    </w:p>
    <w:p w14:paraId="20A22F31" w14:textId="77777777" w:rsidR="000B4D81" w:rsidRPr="00330B09" w:rsidRDefault="000B4D81" w:rsidP="00BA1AC8">
      <w:pPr>
        <w:spacing w:after="0" w:line="240" w:lineRule="auto"/>
        <w:jc w:val="both"/>
        <w:rPr>
          <w:lang w:val="ka-GE"/>
        </w:rPr>
      </w:pPr>
    </w:p>
    <w:p w14:paraId="08F92F10" w14:textId="77777777" w:rsidR="000B4D81" w:rsidRPr="00330B09" w:rsidRDefault="000B4D81" w:rsidP="00BA1AC8">
      <w:pPr>
        <w:spacing w:after="0" w:line="240" w:lineRule="auto"/>
        <w:jc w:val="both"/>
        <w:rPr>
          <w:lang w:val="ka-GE"/>
        </w:rPr>
      </w:pPr>
    </w:p>
    <w:p w14:paraId="5A8F3E7F" w14:textId="77777777" w:rsidR="000B4D81" w:rsidRPr="00330B09" w:rsidRDefault="000B4D81" w:rsidP="00BA1AC8">
      <w:pPr>
        <w:spacing w:after="0" w:line="240" w:lineRule="auto"/>
        <w:jc w:val="both"/>
        <w:rPr>
          <w:lang w:val="ka-GE"/>
        </w:rPr>
      </w:pPr>
    </w:p>
    <w:p w14:paraId="4DFD7868" w14:textId="36FCEDF7" w:rsidR="000B4D81" w:rsidRPr="00330B09" w:rsidRDefault="000B4D81" w:rsidP="00BA1AC8">
      <w:pPr>
        <w:spacing w:after="0" w:line="240" w:lineRule="auto"/>
        <w:jc w:val="both"/>
        <w:rPr>
          <w:i/>
          <w:iCs/>
          <w:lang w:val="ka-GE"/>
        </w:rPr>
      </w:pPr>
      <w:r w:rsidRPr="00330B09">
        <w:rPr>
          <w:i/>
          <w:iCs/>
          <w:lang w:val="ka-GE"/>
        </w:rPr>
        <w:t xml:space="preserve"> </w:t>
      </w:r>
    </w:p>
    <w:sectPr w:rsidR="000B4D81" w:rsidRPr="00330B09" w:rsidSect="00294A77">
      <w:pgSz w:w="11906" w:h="16838"/>
      <w:pgMar w:top="993" w:right="850" w:bottom="851"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A89"/>
    <w:multiLevelType w:val="hybridMultilevel"/>
    <w:tmpl w:val="106E8D88"/>
    <w:lvl w:ilvl="0" w:tplc="87DEC4E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993D26"/>
    <w:multiLevelType w:val="hybridMultilevel"/>
    <w:tmpl w:val="1FAED6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215767"/>
    <w:multiLevelType w:val="hybridMultilevel"/>
    <w:tmpl w:val="9BCA22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D843B7"/>
    <w:multiLevelType w:val="hybridMultilevel"/>
    <w:tmpl w:val="788C2B9A"/>
    <w:lvl w:ilvl="0" w:tplc="383E04E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6C0FA1"/>
    <w:multiLevelType w:val="hybridMultilevel"/>
    <w:tmpl w:val="69D82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78617E"/>
    <w:multiLevelType w:val="hybridMultilevel"/>
    <w:tmpl w:val="D4347B04"/>
    <w:lvl w:ilvl="0" w:tplc="383E04E6">
      <w:numFmt w:val="bullet"/>
      <w:lvlText w:val="•"/>
      <w:lvlJc w:val="left"/>
      <w:pPr>
        <w:ind w:left="1080" w:hanging="360"/>
      </w:pPr>
      <w:rPr>
        <w:rFonts w:ascii="Sylfaen" w:eastAsiaTheme="minorHAnsi" w:hAnsi="Sylfaen" w:cs="Times New Roman (Textkörper CS)"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38484ECD"/>
    <w:multiLevelType w:val="hybridMultilevel"/>
    <w:tmpl w:val="3116A940"/>
    <w:lvl w:ilvl="0" w:tplc="383E04E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3F5582"/>
    <w:multiLevelType w:val="hybridMultilevel"/>
    <w:tmpl w:val="57BAE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A0840F9"/>
    <w:multiLevelType w:val="hybridMultilevel"/>
    <w:tmpl w:val="B5BEBE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6080A5C"/>
    <w:multiLevelType w:val="hybridMultilevel"/>
    <w:tmpl w:val="56B0327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6B166BDD"/>
    <w:multiLevelType w:val="hybridMultilevel"/>
    <w:tmpl w:val="95684D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63338819">
    <w:abstractNumId w:val="0"/>
  </w:num>
  <w:num w:numId="2" w16cid:durableId="1377975088">
    <w:abstractNumId w:val="7"/>
  </w:num>
  <w:num w:numId="3" w16cid:durableId="721563503">
    <w:abstractNumId w:val="4"/>
  </w:num>
  <w:num w:numId="4" w16cid:durableId="60712245">
    <w:abstractNumId w:val="6"/>
  </w:num>
  <w:num w:numId="5" w16cid:durableId="1966228261">
    <w:abstractNumId w:val="5"/>
  </w:num>
  <w:num w:numId="6" w16cid:durableId="1829592944">
    <w:abstractNumId w:val="1"/>
  </w:num>
  <w:num w:numId="7" w16cid:durableId="37819278">
    <w:abstractNumId w:val="10"/>
  </w:num>
  <w:num w:numId="8" w16cid:durableId="1352419379">
    <w:abstractNumId w:val="8"/>
  </w:num>
  <w:num w:numId="9" w16cid:durableId="1958102283">
    <w:abstractNumId w:val="2"/>
  </w:num>
  <w:num w:numId="10" w16cid:durableId="1473446199">
    <w:abstractNumId w:val="3"/>
  </w:num>
  <w:num w:numId="11" w16cid:durableId="169411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B28"/>
    <w:rsid w:val="00007136"/>
    <w:rsid w:val="00013661"/>
    <w:rsid w:val="00013B99"/>
    <w:rsid w:val="000149D3"/>
    <w:rsid w:val="00021601"/>
    <w:rsid w:val="00023003"/>
    <w:rsid w:val="000335B9"/>
    <w:rsid w:val="00037EF5"/>
    <w:rsid w:val="00047F8A"/>
    <w:rsid w:val="00050AF4"/>
    <w:rsid w:val="0005439B"/>
    <w:rsid w:val="0007288A"/>
    <w:rsid w:val="00092108"/>
    <w:rsid w:val="00094C16"/>
    <w:rsid w:val="000A659D"/>
    <w:rsid w:val="000A6DFD"/>
    <w:rsid w:val="000B21C0"/>
    <w:rsid w:val="000B251F"/>
    <w:rsid w:val="000B4D81"/>
    <w:rsid w:val="000B79A3"/>
    <w:rsid w:val="000D0322"/>
    <w:rsid w:val="000D0CA1"/>
    <w:rsid w:val="000D262E"/>
    <w:rsid w:val="000D2C97"/>
    <w:rsid w:val="000D4248"/>
    <w:rsid w:val="000E1422"/>
    <w:rsid w:val="000F0016"/>
    <w:rsid w:val="000F028F"/>
    <w:rsid w:val="000F3034"/>
    <w:rsid w:val="00102A38"/>
    <w:rsid w:val="001166A7"/>
    <w:rsid w:val="00131F53"/>
    <w:rsid w:val="00134168"/>
    <w:rsid w:val="00135857"/>
    <w:rsid w:val="00141348"/>
    <w:rsid w:val="00152E3B"/>
    <w:rsid w:val="00182201"/>
    <w:rsid w:val="00190749"/>
    <w:rsid w:val="00192D0E"/>
    <w:rsid w:val="001A009D"/>
    <w:rsid w:val="001A2E28"/>
    <w:rsid w:val="001C023D"/>
    <w:rsid w:val="001F4C29"/>
    <w:rsid w:val="00202BA2"/>
    <w:rsid w:val="00203C5B"/>
    <w:rsid w:val="00203EFA"/>
    <w:rsid w:val="00221653"/>
    <w:rsid w:val="00222915"/>
    <w:rsid w:val="00224B9B"/>
    <w:rsid w:val="00233F30"/>
    <w:rsid w:val="00241C6F"/>
    <w:rsid w:val="002509ED"/>
    <w:rsid w:val="0025138A"/>
    <w:rsid w:val="002549EB"/>
    <w:rsid w:val="00255876"/>
    <w:rsid w:val="0026373C"/>
    <w:rsid w:val="00272DBB"/>
    <w:rsid w:val="00273B47"/>
    <w:rsid w:val="0028279D"/>
    <w:rsid w:val="00287B8A"/>
    <w:rsid w:val="002912DB"/>
    <w:rsid w:val="00293F08"/>
    <w:rsid w:val="00294A77"/>
    <w:rsid w:val="002A2D77"/>
    <w:rsid w:val="002A5280"/>
    <w:rsid w:val="002A54A2"/>
    <w:rsid w:val="002A5939"/>
    <w:rsid w:val="002A6AE4"/>
    <w:rsid w:val="002C2035"/>
    <w:rsid w:val="002C2E31"/>
    <w:rsid w:val="002C6C14"/>
    <w:rsid w:val="002D1D1F"/>
    <w:rsid w:val="002E494B"/>
    <w:rsid w:val="002E6232"/>
    <w:rsid w:val="002F7073"/>
    <w:rsid w:val="00305AB6"/>
    <w:rsid w:val="00311DF5"/>
    <w:rsid w:val="00315141"/>
    <w:rsid w:val="0031771C"/>
    <w:rsid w:val="00321FE4"/>
    <w:rsid w:val="0032403F"/>
    <w:rsid w:val="00330B09"/>
    <w:rsid w:val="00337684"/>
    <w:rsid w:val="003407BE"/>
    <w:rsid w:val="00350D39"/>
    <w:rsid w:val="00385063"/>
    <w:rsid w:val="00392F48"/>
    <w:rsid w:val="00397205"/>
    <w:rsid w:val="003D04D2"/>
    <w:rsid w:val="003E220E"/>
    <w:rsid w:val="003E2312"/>
    <w:rsid w:val="003E54F2"/>
    <w:rsid w:val="003F28F6"/>
    <w:rsid w:val="003F44AD"/>
    <w:rsid w:val="00401E7D"/>
    <w:rsid w:val="004165EA"/>
    <w:rsid w:val="0041673B"/>
    <w:rsid w:val="00423D44"/>
    <w:rsid w:val="00424E7F"/>
    <w:rsid w:val="00426A5A"/>
    <w:rsid w:val="00431A0D"/>
    <w:rsid w:val="0044263E"/>
    <w:rsid w:val="00447190"/>
    <w:rsid w:val="00453545"/>
    <w:rsid w:val="004614A0"/>
    <w:rsid w:val="004624E8"/>
    <w:rsid w:val="0046321A"/>
    <w:rsid w:val="004746E5"/>
    <w:rsid w:val="004856D7"/>
    <w:rsid w:val="00492860"/>
    <w:rsid w:val="00493815"/>
    <w:rsid w:val="004A22B3"/>
    <w:rsid w:val="004B6752"/>
    <w:rsid w:val="004C02D4"/>
    <w:rsid w:val="004C1971"/>
    <w:rsid w:val="004D44E8"/>
    <w:rsid w:val="004E07A7"/>
    <w:rsid w:val="004E2E7B"/>
    <w:rsid w:val="004E73B6"/>
    <w:rsid w:val="004F22B4"/>
    <w:rsid w:val="004F2930"/>
    <w:rsid w:val="005011DA"/>
    <w:rsid w:val="005077CE"/>
    <w:rsid w:val="005175AA"/>
    <w:rsid w:val="005214DC"/>
    <w:rsid w:val="005302E5"/>
    <w:rsid w:val="00547D05"/>
    <w:rsid w:val="00553DC8"/>
    <w:rsid w:val="005646C2"/>
    <w:rsid w:val="00566CA1"/>
    <w:rsid w:val="00567996"/>
    <w:rsid w:val="00580A99"/>
    <w:rsid w:val="00596022"/>
    <w:rsid w:val="005A3663"/>
    <w:rsid w:val="005B3EA4"/>
    <w:rsid w:val="005C028A"/>
    <w:rsid w:val="005C0ACC"/>
    <w:rsid w:val="005D329D"/>
    <w:rsid w:val="005F3706"/>
    <w:rsid w:val="00636D3D"/>
    <w:rsid w:val="00642E0D"/>
    <w:rsid w:val="00657838"/>
    <w:rsid w:val="006602AD"/>
    <w:rsid w:val="00666E7C"/>
    <w:rsid w:val="00672411"/>
    <w:rsid w:val="00684626"/>
    <w:rsid w:val="00687D66"/>
    <w:rsid w:val="006A6FB9"/>
    <w:rsid w:val="006D5EDB"/>
    <w:rsid w:val="006E0469"/>
    <w:rsid w:val="006F73DD"/>
    <w:rsid w:val="006F7509"/>
    <w:rsid w:val="006F7DC1"/>
    <w:rsid w:val="00707D04"/>
    <w:rsid w:val="00707DF1"/>
    <w:rsid w:val="00711D27"/>
    <w:rsid w:val="00714A01"/>
    <w:rsid w:val="0072658F"/>
    <w:rsid w:val="007269F6"/>
    <w:rsid w:val="00733707"/>
    <w:rsid w:val="00743DCA"/>
    <w:rsid w:val="0075031F"/>
    <w:rsid w:val="00750394"/>
    <w:rsid w:val="00763C61"/>
    <w:rsid w:val="00766CE6"/>
    <w:rsid w:val="0077321D"/>
    <w:rsid w:val="00781396"/>
    <w:rsid w:val="0078583C"/>
    <w:rsid w:val="00785CA2"/>
    <w:rsid w:val="0078761C"/>
    <w:rsid w:val="0079170B"/>
    <w:rsid w:val="00792C0E"/>
    <w:rsid w:val="00797019"/>
    <w:rsid w:val="007978BD"/>
    <w:rsid w:val="007A5A84"/>
    <w:rsid w:val="007B02F1"/>
    <w:rsid w:val="007B3D6F"/>
    <w:rsid w:val="007D643E"/>
    <w:rsid w:val="007E52AB"/>
    <w:rsid w:val="007E58B2"/>
    <w:rsid w:val="007F1A97"/>
    <w:rsid w:val="007F5DCC"/>
    <w:rsid w:val="008342B5"/>
    <w:rsid w:val="0083614B"/>
    <w:rsid w:val="00836F6E"/>
    <w:rsid w:val="0084436F"/>
    <w:rsid w:val="00844E6A"/>
    <w:rsid w:val="008546C1"/>
    <w:rsid w:val="00870818"/>
    <w:rsid w:val="00881C78"/>
    <w:rsid w:val="00893658"/>
    <w:rsid w:val="008A10CA"/>
    <w:rsid w:val="008A23EC"/>
    <w:rsid w:val="008A3F21"/>
    <w:rsid w:val="008D6019"/>
    <w:rsid w:val="008E3E4C"/>
    <w:rsid w:val="008F58F4"/>
    <w:rsid w:val="00933A0C"/>
    <w:rsid w:val="0093511B"/>
    <w:rsid w:val="009835FA"/>
    <w:rsid w:val="00990ADD"/>
    <w:rsid w:val="00991C22"/>
    <w:rsid w:val="00996C5C"/>
    <w:rsid w:val="009B6F63"/>
    <w:rsid w:val="009C4C1B"/>
    <w:rsid w:val="009C5963"/>
    <w:rsid w:val="009C7CC2"/>
    <w:rsid w:val="009D7475"/>
    <w:rsid w:val="009E6D79"/>
    <w:rsid w:val="00A12476"/>
    <w:rsid w:val="00A27DAD"/>
    <w:rsid w:val="00A35936"/>
    <w:rsid w:val="00A45E5E"/>
    <w:rsid w:val="00A5322E"/>
    <w:rsid w:val="00A54FD1"/>
    <w:rsid w:val="00A554F9"/>
    <w:rsid w:val="00A7073E"/>
    <w:rsid w:val="00A9034B"/>
    <w:rsid w:val="00AA77FE"/>
    <w:rsid w:val="00AB49C8"/>
    <w:rsid w:val="00AB6015"/>
    <w:rsid w:val="00AB6CE8"/>
    <w:rsid w:val="00AC5DE5"/>
    <w:rsid w:val="00AD3242"/>
    <w:rsid w:val="00AD45BA"/>
    <w:rsid w:val="00AD47E7"/>
    <w:rsid w:val="00AE6628"/>
    <w:rsid w:val="00AF2492"/>
    <w:rsid w:val="00AF3C2A"/>
    <w:rsid w:val="00B04DA0"/>
    <w:rsid w:val="00B10170"/>
    <w:rsid w:val="00B12304"/>
    <w:rsid w:val="00B136A9"/>
    <w:rsid w:val="00B14BEF"/>
    <w:rsid w:val="00B15151"/>
    <w:rsid w:val="00B20678"/>
    <w:rsid w:val="00B24B90"/>
    <w:rsid w:val="00B26D05"/>
    <w:rsid w:val="00B4564D"/>
    <w:rsid w:val="00B61682"/>
    <w:rsid w:val="00B648FF"/>
    <w:rsid w:val="00B66F9D"/>
    <w:rsid w:val="00B84360"/>
    <w:rsid w:val="00B860D4"/>
    <w:rsid w:val="00B8658F"/>
    <w:rsid w:val="00B9281C"/>
    <w:rsid w:val="00BA1AC8"/>
    <w:rsid w:val="00BA1D04"/>
    <w:rsid w:val="00BA7C69"/>
    <w:rsid w:val="00BB76A5"/>
    <w:rsid w:val="00BC39A7"/>
    <w:rsid w:val="00BE17DF"/>
    <w:rsid w:val="00BE2331"/>
    <w:rsid w:val="00BE587E"/>
    <w:rsid w:val="00BE71A4"/>
    <w:rsid w:val="00BE7CF0"/>
    <w:rsid w:val="00BF78B8"/>
    <w:rsid w:val="00C02CFB"/>
    <w:rsid w:val="00C03ADA"/>
    <w:rsid w:val="00C110C1"/>
    <w:rsid w:val="00C16734"/>
    <w:rsid w:val="00C2727B"/>
    <w:rsid w:val="00C30774"/>
    <w:rsid w:val="00C41AFA"/>
    <w:rsid w:val="00C4378E"/>
    <w:rsid w:val="00C51AC5"/>
    <w:rsid w:val="00C51F52"/>
    <w:rsid w:val="00C55F33"/>
    <w:rsid w:val="00C63250"/>
    <w:rsid w:val="00C63B3B"/>
    <w:rsid w:val="00C675F4"/>
    <w:rsid w:val="00C71058"/>
    <w:rsid w:val="00C8170F"/>
    <w:rsid w:val="00C833D9"/>
    <w:rsid w:val="00C94683"/>
    <w:rsid w:val="00C9559D"/>
    <w:rsid w:val="00CA2F3B"/>
    <w:rsid w:val="00CD3EF5"/>
    <w:rsid w:val="00CD5A7C"/>
    <w:rsid w:val="00CD7D02"/>
    <w:rsid w:val="00CE0F36"/>
    <w:rsid w:val="00CE3FF5"/>
    <w:rsid w:val="00D05278"/>
    <w:rsid w:val="00D1329D"/>
    <w:rsid w:val="00D35BA8"/>
    <w:rsid w:val="00D35FE9"/>
    <w:rsid w:val="00D43625"/>
    <w:rsid w:val="00D60255"/>
    <w:rsid w:val="00D85484"/>
    <w:rsid w:val="00DA1880"/>
    <w:rsid w:val="00DA1E38"/>
    <w:rsid w:val="00DA2E40"/>
    <w:rsid w:val="00DA5967"/>
    <w:rsid w:val="00DB077B"/>
    <w:rsid w:val="00DB112D"/>
    <w:rsid w:val="00DB5041"/>
    <w:rsid w:val="00DC64A3"/>
    <w:rsid w:val="00DC6606"/>
    <w:rsid w:val="00DD0F4A"/>
    <w:rsid w:val="00DD7560"/>
    <w:rsid w:val="00E00D19"/>
    <w:rsid w:val="00E0311C"/>
    <w:rsid w:val="00E45592"/>
    <w:rsid w:val="00E5135C"/>
    <w:rsid w:val="00E528C5"/>
    <w:rsid w:val="00E60ADF"/>
    <w:rsid w:val="00E6234E"/>
    <w:rsid w:val="00E647C4"/>
    <w:rsid w:val="00E76110"/>
    <w:rsid w:val="00E97563"/>
    <w:rsid w:val="00EA1881"/>
    <w:rsid w:val="00EA3734"/>
    <w:rsid w:val="00EA5B61"/>
    <w:rsid w:val="00EA6943"/>
    <w:rsid w:val="00EB5C3E"/>
    <w:rsid w:val="00EC02BF"/>
    <w:rsid w:val="00EC0835"/>
    <w:rsid w:val="00EC2731"/>
    <w:rsid w:val="00ED0155"/>
    <w:rsid w:val="00ED7238"/>
    <w:rsid w:val="00EF1A24"/>
    <w:rsid w:val="00F00A5F"/>
    <w:rsid w:val="00F11C3E"/>
    <w:rsid w:val="00F11F53"/>
    <w:rsid w:val="00F121DC"/>
    <w:rsid w:val="00F36707"/>
    <w:rsid w:val="00F36A92"/>
    <w:rsid w:val="00F44663"/>
    <w:rsid w:val="00F54CDB"/>
    <w:rsid w:val="00F55D12"/>
    <w:rsid w:val="00F64A05"/>
    <w:rsid w:val="00F73C41"/>
    <w:rsid w:val="00F74399"/>
    <w:rsid w:val="00F76FD9"/>
    <w:rsid w:val="00F8193B"/>
    <w:rsid w:val="00F95B2A"/>
    <w:rsid w:val="00FA0B28"/>
    <w:rsid w:val="00FA1B92"/>
    <w:rsid w:val="00FA2907"/>
    <w:rsid w:val="00FA3D38"/>
    <w:rsid w:val="00FA43C8"/>
    <w:rsid w:val="00FD3EE2"/>
    <w:rsid w:val="00FF0056"/>
    <w:rsid w:val="00FF52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ABC8"/>
  <w15:chartTrackingRefBased/>
  <w15:docId w15:val="{9A1025D8-B87B-4E4F-8396-B14FC3BC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B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B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A0B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A0B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0B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0B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0B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B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B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A0B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A0B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A0B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0B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A0B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0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B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B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0B28"/>
    <w:pPr>
      <w:spacing w:before="160"/>
      <w:jc w:val="center"/>
    </w:pPr>
    <w:rPr>
      <w:i/>
      <w:iCs/>
      <w:color w:val="404040" w:themeColor="text1" w:themeTint="BF"/>
    </w:rPr>
  </w:style>
  <w:style w:type="character" w:customStyle="1" w:styleId="QuoteChar">
    <w:name w:val="Quote Char"/>
    <w:basedOn w:val="DefaultParagraphFont"/>
    <w:link w:val="Quote"/>
    <w:uiPriority w:val="29"/>
    <w:rsid w:val="00FA0B28"/>
    <w:rPr>
      <w:i/>
      <w:iCs/>
      <w:color w:val="404040" w:themeColor="text1" w:themeTint="BF"/>
    </w:rPr>
  </w:style>
  <w:style w:type="paragraph" w:styleId="ListParagraph">
    <w:name w:val="List Paragraph"/>
    <w:basedOn w:val="Normal"/>
    <w:uiPriority w:val="34"/>
    <w:qFormat/>
    <w:rsid w:val="00FA0B28"/>
    <w:pPr>
      <w:ind w:left="720"/>
      <w:contextualSpacing/>
    </w:pPr>
  </w:style>
  <w:style w:type="character" w:styleId="IntenseEmphasis">
    <w:name w:val="Intense Emphasis"/>
    <w:basedOn w:val="DefaultParagraphFont"/>
    <w:uiPriority w:val="21"/>
    <w:qFormat/>
    <w:rsid w:val="00FA0B28"/>
    <w:rPr>
      <w:i/>
      <w:iCs/>
      <w:color w:val="0F4761" w:themeColor="accent1" w:themeShade="BF"/>
    </w:rPr>
  </w:style>
  <w:style w:type="paragraph" w:styleId="IntenseQuote">
    <w:name w:val="Intense Quote"/>
    <w:basedOn w:val="Normal"/>
    <w:next w:val="Normal"/>
    <w:link w:val="IntenseQuoteChar"/>
    <w:uiPriority w:val="30"/>
    <w:qFormat/>
    <w:rsid w:val="00FA0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B28"/>
    <w:rPr>
      <w:i/>
      <w:iCs/>
      <w:color w:val="0F4761" w:themeColor="accent1" w:themeShade="BF"/>
    </w:rPr>
  </w:style>
  <w:style w:type="character" w:styleId="IntenseReference">
    <w:name w:val="Intense Reference"/>
    <w:basedOn w:val="DefaultParagraphFont"/>
    <w:uiPriority w:val="32"/>
    <w:qFormat/>
    <w:rsid w:val="00FA0B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FCA14-6783-4CBA-85F3-836064EB9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11</Pages>
  <Words>4153</Words>
  <Characters>23673</Characters>
  <Application>Microsoft Office Word</Application>
  <DocSecurity>0</DocSecurity>
  <Lines>197</Lines>
  <Paragraphs>55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Zaza Chapichadze</cp:lastModifiedBy>
  <cp:revision>321</cp:revision>
  <dcterms:created xsi:type="dcterms:W3CDTF">2026-03-23T18:27:00Z</dcterms:created>
  <dcterms:modified xsi:type="dcterms:W3CDTF">2026-07-13T10:55:00Z</dcterms:modified>
</cp:coreProperties>
</file>