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CDD75" w14:textId="77777777" w:rsidR="00834052" w:rsidRDefault="00834052" w:rsidP="00FC4104">
      <w:pPr>
        <w:pStyle w:val="ListParagraph"/>
        <w:spacing w:after="0" w:line="240" w:lineRule="auto"/>
        <w:ind w:leftChars="0" w:left="0"/>
        <w:rPr>
          <w:rFonts w:ascii="Sylfaen" w:eastAsiaTheme="minorHAnsi" w:hAnsi="Sylfaen"/>
          <w:szCs w:val="20"/>
        </w:rPr>
      </w:pPr>
    </w:p>
    <w:p w14:paraId="52E979F2" w14:textId="7C21725A" w:rsidR="00791E79" w:rsidRDefault="00FC4104" w:rsidP="00FC4104">
      <w:pPr>
        <w:pStyle w:val="ListParagraph"/>
        <w:spacing w:after="0" w:line="240" w:lineRule="auto"/>
        <w:ind w:leftChars="0" w:left="0"/>
        <w:rPr>
          <w:rFonts w:ascii="Sylfaen" w:eastAsiaTheme="minorHAnsi" w:hAnsi="Sylfaen"/>
          <w:szCs w:val="20"/>
        </w:rPr>
      </w:pPr>
      <w:r>
        <w:rPr>
          <w:rFonts w:ascii="Sylfaen" w:eastAsiaTheme="minorHAnsi" w:hAnsi="Sylfaen"/>
          <w:szCs w:val="20"/>
        </w:rPr>
        <w:t xml:space="preserve">მხოლოდ რეცეფტით       </w:t>
      </w:r>
    </w:p>
    <w:p w14:paraId="66008F24" w14:textId="77777777" w:rsidR="00FC4104" w:rsidRPr="00FC4104" w:rsidRDefault="00FC4104" w:rsidP="00FC4104">
      <w:pPr>
        <w:pStyle w:val="ListParagraph"/>
        <w:spacing w:after="0" w:line="240" w:lineRule="auto"/>
        <w:ind w:leftChars="0" w:left="0"/>
        <w:rPr>
          <w:rFonts w:ascii="Sylfaen" w:eastAsiaTheme="minorHAnsi" w:hAnsi="Sylfaen" w:cstheme="majorBidi"/>
          <w:szCs w:val="20"/>
        </w:rPr>
      </w:pPr>
    </w:p>
    <w:p w14:paraId="428E6FF0" w14:textId="456F4286" w:rsidR="002C31D6" w:rsidRPr="002C31D6" w:rsidRDefault="009758BC" w:rsidP="002C31D6">
      <w:pPr>
        <w:pStyle w:val="Heading1"/>
        <w:spacing w:after="0"/>
        <w:rPr>
          <w:rFonts w:asciiTheme="minorHAnsi" w:eastAsiaTheme="minorHAnsi" w:hAnsiTheme="minorHAnsi"/>
          <w:b/>
          <w:sz w:val="20"/>
          <w:szCs w:val="20"/>
        </w:rPr>
      </w:pPr>
      <w:r>
        <w:rPr>
          <w:rFonts w:ascii="Sylfaen" w:eastAsiaTheme="minorHAnsi" w:hAnsi="Sylfaen" w:cs="Sylfaen"/>
          <w:b/>
          <w:sz w:val="20"/>
          <w:szCs w:val="20"/>
          <w:lang w:val="ka-GE"/>
        </w:rPr>
        <w:t xml:space="preserve">ჰანა </w:t>
      </w:r>
      <w:r w:rsidR="00423A95" w:rsidRPr="0002270B">
        <w:rPr>
          <w:rFonts w:ascii="Sylfaen" w:eastAsiaTheme="minorHAnsi" w:hAnsi="Sylfaen" w:cs="Sylfaen"/>
          <w:b/>
          <w:sz w:val="20"/>
          <w:szCs w:val="20"/>
        </w:rPr>
        <w:t>ბ</w:t>
      </w:r>
      <w:r w:rsidR="00423A95" w:rsidRPr="0002270B">
        <w:rPr>
          <w:rFonts w:asciiTheme="minorHAnsi" w:eastAsiaTheme="minorHAnsi" w:hAnsiTheme="minorHAnsi"/>
          <w:b/>
          <w:sz w:val="20"/>
          <w:szCs w:val="20"/>
        </w:rPr>
        <w:t xml:space="preserve">უპივაკაინი </w:t>
      </w:r>
      <w:r w:rsidR="004E0665">
        <w:rPr>
          <w:rFonts w:asciiTheme="minorHAnsi" w:eastAsiaTheme="minorHAnsi" w:hAnsiTheme="minorHAnsi"/>
          <w:b/>
          <w:sz w:val="20"/>
          <w:szCs w:val="20"/>
        </w:rPr>
        <w:t>HCI Heavy</w:t>
      </w:r>
      <w:r w:rsidR="00423A95" w:rsidRPr="0002270B">
        <w:rPr>
          <w:rFonts w:asciiTheme="minorHAnsi" w:eastAsiaTheme="minorHAnsi" w:hAnsiTheme="minorHAnsi"/>
          <w:b/>
          <w:sz w:val="20"/>
          <w:szCs w:val="20"/>
        </w:rPr>
        <w:t xml:space="preserve"> </w:t>
      </w:r>
      <w:r w:rsidR="0097054A">
        <w:rPr>
          <w:rFonts w:ascii="Sylfaen" w:eastAsiaTheme="minorHAnsi" w:hAnsi="Sylfaen"/>
          <w:b/>
          <w:sz w:val="20"/>
          <w:szCs w:val="20"/>
        </w:rPr>
        <w:t>ინექცია</w:t>
      </w:r>
      <w:r w:rsidR="004E0665">
        <w:rPr>
          <w:rFonts w:ascii="Sylfaen" w:eastAsiaTheme="minorHAnsi" w:hAnsi="Sylfaen"/>
          <w:b/>
          <w:sz w:val="20"/>
          <w:szCs w:val="20"/>
        </w:rPr>
        <w:t xml:space="preserve"> </w:t>
      </w:r>
      <w:r w:rsidR="00423A95" w:rsidRPr="0002270B">
        <w:rPr>
          <w:rFonts w:asciiTheme="minorHAnsi" w:eastAsiaTheme="minorHAnsi" w:hAnsiTheme="minorHAnsi"/>
          <w:b/>
          <w:sz w:val="20"/>
          <w:szCs w:val="20"/>
        </w:rPr>
        <w:t>0.5%</w:t>
      </w:r>
    </w:p>
    <w:p w14:paraId="674604F5" w14:textId="77777777" w:rsidR="002C31D6" w:rsidRDefault="00BE7481" w:rsidP="00D67DCC">
      <w:pPr>
        <w:spacing w:after="0"/>
        <w:rPr>
          <w:rFonts w:eastAsiaTheme="minorHAnsi"/>
          <w:szCs w:val="20"/>
        </w:rPr>
      </w:pPr>
      <w:r w:rsidRPr="00C954D3">
        <w:rPr>
          <w:rFonts w:eastAsiaTheme="minorHAnsi"/>
          <w:b/>
          <w:szCs w:val="20"/>
        </w:rPr>
        <w:t xml:space="preserve">[შემადგენლობა] </w:t>
      </w:r>
      <w:r w:rsidRPr="001121E1">
        <w:rPr>
          <w:rFonts w:eastAsiaTheme="minorHAnsi"/>
          <w:szCs w:val="20"/>
        </w:rPr>
        <w:t xml:space="preserve">ყოველი 1 მლ შეიცავს: </w:t>
      </w:r>
      <w:r w:rsidRPr="001121E1">
        <w:rPr>
          <w:rFonts w:eastAsiaTheme="minorHAnsi"/>
          <w:szCs w:val="20"/>
        </w:rPr>
        <w:br/>
        <w:t>■ ბუპივაკაინის ჰიდროქლორიდის მონოჰიდრატი ................. 5.28 მგ</w:t>
      </w:r>
    </w:p>
    <w:p w14:paraId="631B3889" w14:textId="5F20FC2B" w:rsidR="00BE7481" w:rsidRPr="001121E1" w:rsidRDefault="002C31D6" w:rsidP="00D67DCC">
      <w:pPr>
        <w:spacing w:after="0"/>
        <w:rPr>
          <w:rFonts w:eastAsiaTheme="minorHAnsi"/>
          <w:szCs w:val="20"/>
        </w:rPr>
      </w:pPr>
      <w:r>
        <w:rPr>
          <w:rFonts w:eastAsiaTheme="minorHAnsi"/>
          <w:szCs w:val="20"/>
        </w:rPr>
        <w:t xml:space="preserve">(ბუპივაკაინის ჰიდროქლორიდის 5 მგ ექვივალენტური) </w:t>
      </w:r>
      <w:r w:rsidR="00BE7481" w:rsidRPr="001121E1">
        <w:rPr>
          <w:rFonts w:eastAsiaTheme="minorHAnsi"/>
          <w:szCs w:val="20"/>
        </w:rPr>
        <w:br/>
        <w:t xml:space="preserve">■ დამხმარე ნივთიერებები: ნატრიუმის ჰიდროქსიდი, საინექციო წყალი, </w:t>
      </w:r>
      <w:r w:rsidR="00C94CF1">
        <w:rPr>
          <w:rFonts w:eastAsiaTheme="minorHAnsi"/>
          <w:szCs w:val="20"/>
        </w:rPr>
        <w:t xml:space="preserve">დექსტროზა </w:t>
      </w:r>
      <w:r w:rsidR="00BE7481" w:rsidRPr="001121E1">
        <w:rPr>
          <w:rFonts w:eastAsiaTheme="minorHAnsi"/>
          <w:szCs w:val="20"/>
        </w:rPr>
        <w:br/>
      </w:r>
      <w:r w:rsidR="00BE7481" w:rsidRPr="001121E1">
        <w:rPr>
          <w:rFonts w:eastAsiaTheme="minorHAnsi"/>
          <w:szCs w:val="20"/>
        </w:rPr>
        <w:br/>
      </w:r>
      <w:r w:rsidR="00BE7481" w:rsidRPr="00C954D3">
        <w:rPr>
          <w:rFonts w:eastAsiaTheme="minorHAnsi"/>
          <w:b/>
          <w:szCs w:val="20"/>
        </w:rPr>
        <w:t>[</w:t>
      </w:r>
      <w:r w:rsidR="0044335A">
        <w:rPr>
          <w:rFonts w:ascii="Sylfaen" w:eastAsiaTheme="minorHAnsi" w:hAnsi="Sylfaen"/>
          <w:b/>
          <w:szCs w:val="20"/>
        </w:rPr>
        <w:t>აღწერა</w:t>
      </w:r>
      <w:r w:rsidR="00BE7481" w:rsidRPr="00C954D3">
        <w:rPr>
          <w:rFonts w:eastAsiaTheme="minorHAnsi"/>
          <w:b/>
          <w:szCs w:val="20"/>
        </w:rPr>
        <w:t xml:space="preserve">] </w:t>
      </w:r>
      <w:r w:rsidR="00BE7481" w:rsidRPr="001121E1">
        <w:rPr>
          <w:rFonts w:eastAsiaTheme="minorHAnsi"/>
          <w:szCs w:val="20"/>
        </w:rPr>
        <w:t>ყავისფერი ამპულები, რომლებიც შეიცავს უფერო და გამჭვირვალე ხსნარს.</w:t>
      </w:r>
    </w:p>
    <w:p w14:paraId="4F726284" w14:textId="2654D1E3" w:rsidR="00F22949" w:rsidRPr="001121E1" w:rsidRDefault="00F22949" w:rsidP="00D67DCC">
      <w:pPr>
        <w:wordWrap/>
        <w:adjustRightInd w:val="0"/>
        <w:spacing w:after="0" w:line="240" w:lineRule="auto"/>
        <w:rPr>
          <w:rFonts w:eastAsiaTheme="minorHAnsi" w:cs="THELuxGo"/>
          <w:kern w:val="0"/>
          <w:szCs w:val="20"/>
        </w:rPr>
      </w:pPr>
    </w:p>
    <w:p w14:paraId="7C6326B0" w14:textId="77777777" w:rsidR="00BE7481" w:rsidRPr="00C954D3" w:rsidRDefault="00BE7481" w:rsidP="00BE7481">
      <w:pPr>
        <w:wordWrap/>
        <w:adjustRightInd w:val="0"/>
        <w:spacing w:after="0" w:line="240" w:lineRule="auto"/>
        <w:rPr>
          <w:rFonts w:eastAsiaTheme="minorHAnsi" w:cs="THELuxGo"/>
          <w:b/>
          <w:kern w:val="0"/>
          <w:szCs w:val="20"/>
        </w:rPr>
      </w:pPr>
      <w:r w:rsidRPr="00C954D3">
        <w:rPr>
          <w:rFonts w:eastAsiaTheme="minorHAnsi" w:cs="THELuxGo"/>
          <w:b/>
          <w:kern w:val="0"/>
          <w:szCs w:val="20"/>
        </w:rPr>
        <w:t>[ჩვენებები]</w:t>
      </w:r>
    </w:p>
    <w:p w14:paraId="06B51658" w14:textId="77777777" w:rsidR="00BE7481" w:rsidRPr="001121E1" w:rsidRDefault="00BE7481" w:rsidP="00BE7481">
      <w:pPr>
        <w:wordWrap/>
        <w:adjustRightInd w:val="0"/>
        <w:spacing w:after="0" w:line="240" w:lineRule="auto"/>
        <w:rPr>
          <w:rFonts w:eastAsiaTheme="minorHAnsi" w:cs="THELuxGo"/>
          <w:kern w:val="0"/>
          <w:szCs w:val="20"/>
        </w:rPr>
      </w:pPr>
      <w:r w:rsidRPr="001121E1">
        <w:rPr>
          <w:rFonts w:eastAsiaTheme="minorHAnsi" w:cs="THELuxGo"/>
          <w:kern w:val="0"/>
          <w:szCs w:val="20"/>
        </w:rPr>
        <w:t>ზურგის ტვინის ანესთეზია ქირურგიული ჩარევის დროს (მაგ., უროლოგიური და ქვედა კიდურების ქირურგიული ჩარევა 2-3 საათის განმავლობაში, ან მუცლის ღრუს ოპერაცია 45-60 წუთის განმავლობაში).</w:t>
      </w:r>
    </w:p>
    <w:p w14:paraId="6C26E8DD" w14:textId="77777777" w:rsidR="00BE7481" w:rsidRPr="001121E1" w:rsidRDefault="00BE7481" w:rsidP="00BE7481">
      <w:pPr>
        <w:wordWrap/>
        <w:adjustRightInd w:val="0"/>
        <w:spacing w:after="0" w:line="240" w:lineRule="auto"/>
        <w:rPr>
          <w:rFonts w:eastAsiaTheme="minorHAnsi" w:cs="THELuxGo"/>
          <w:kern w:val="0"/>
          <w:szCs w:val="20"/>
        </w:rPr>
      </w:pPr>
    </w:p>
    <w:p w14:paraId="2BC04E47" w14:textId="77777777" w:rsidR="00BE7481" w:rsidRPr="00C954D3" w:rsidRDefault="00BE7481" w:rsidP="00BE7481">
      <w:pPr>
        <w:wordWrap/>
        <w:adjustRightInd w:val="0"/>
        <w:spacing w:after="0" w:line="240" w:lineRule="auto"/>
        <w:rPr>
          <w:rFonts w:eastAsiaTheme="minorHAnsi" w:cs="THELuxGo"/>
          <w:b/>
          <w:kern w:val="0"/>
          <w:szCs w:val="20"/>
        </w:rPr>
      </w:pPr>
      <w:r w:rsidRPr="00C954D3">
        <w:rPr>
          <w:rFonts w:eastAsiaTheme="minorHAnsi" w:cs="THELuxGo"/>
          <w:b/>
          <w:kern w:val="0"/>
          <w:szCs w:val="20"/>
        </w:rPr>
        <w:t>[დოზირება და მიღების წესი]</w:t>
      </w:r>
    </w:p>
    <w:p w14:paraId="733691E3" w14:textId="73047FA0" w:rsidR="00BE7481" w:rsidRPr="001121E1" w:rsidRDefault="00BE7481" w:rsidP="00BE7481">
      <w:pPr>
        <w:wordWrap/>
        <w:adjustRightInd w:val="0"/>
        <w:spacing w:after="0" w:line="240" w:lineRule="auto"/>
        <w:rPr>
          <w:rFonts w:eastAsiaTheme="minorHAnsi" w:cs="THELuxGo"/>
          <w:kern w:val="0"/>
          <w:szCs w:val="20"/>
        </w:rPr>
      </w:pPr>
      <w:r w:rsidRPr="001121E1">
        <w:rPr>
          <w:rFonts w:eastAsiaTheme="minorHAnsi" w:cs="THELuxGo"/>
          <w:kern w:val="0"/>
          <w:szCs w:val="20"/>
        </w:rPr>
        <w:t>- მოზრდილები</w:t>
      </w:r>
    </w:p>
    <w:p w14:paraId="5F5C710B" w14:textId="498CCB65" w:rsidR="00BE7481" w:rsidRPr="001121E1" w:rsidRDefault="00BE7481" w:rsidP="00BE7481">
      <w:pPr>
        <w:wordWrap/>
        <w:adjustRightInd w:val="0"/>
        <w:spacing w:after="0" w:line="240" w:lineRule="auto"/>
        <w:rPr>
          <w:rFonts w:eastAsiaTheme="minorHAnsi" w:cs="THELuxGo"/>
          <w:kern w:val="0"/>
          <w:szCs w:val="20"/>
        </w:rPr>
      </w:pPr>
      <w:r w:rsidRPr="001121E1">
        <w:rPr>
          <w:rFonts w:eastAsiaTheme="minorHAnsi" w:cs="THELuxGo"/>
          <w:kern w:val="0"/>
          <w:szCs w:val="20"/>
        </w:rPr>
        <w:t xml:space="preserve">სუბარაქნოიდურ </w:t>
      </w:r>
      <w:r w:rsidR="0044335A">
        <w:rPr>
          <w:rFonts w:ascii="Sylfaen" w:eastAsiaTheme="minorHAnsi" w:hAnsi="Sylfaen" w:cs="THELuxGo"/>
          <w:kern w:val="0"/>
          <w:szCs w:val="20"/>
        </w:rPr>
        <w:t>ადგილას</w:t>
      </w:r>
      <w:r w:rsidRPr="001121E1">
        <w:rPr>
          <w:rFonts w:eastAsiaTheme="minorHAnsi" w:cs="THELuxGo"/>
          <w:kern w:val="0"/>
          <w:szCs w:val="20"/>
        </w:rPr>
        <w:t xml:space="preserve"> ინტრათეკალური ინექციით შეიყვანეთ ამ პროდუქტის 2-4 მლ (რაც 10-20 მგ ბუპივაკაინის ჰიდროქლორიდის ექვივალენტურია).</w:t>
      </w:r>
    </w:p>
    <w:p w14:paraId="092F2729" w14:textId="77777777" w:rsidR="00BE7481" w:rsidRPr="001121E1" w:rsidRDefault="00BE7481" w:rsidP="00BE7481">
      <w:pPr>
        <w:wordWrap/>
        <w:adjustRightInd w:val="0"/>
        <w:spacing w:after="0" w:line="240" w:lineRule="auto"/>
        <w:rPr>
          <w:rFonts w:eastAsiaTheme="minorHAnsi" w:cs="THELuxGo"/>
          <w:kern w:val="0"/>
          <w:szCs w:val="20"/>
        </w:rPr>
      </w:pPr>
      <w:r w:rsidRPr="001121E1">
        <w:rPr>
          <w:rFonts w:eastAsiaTheme="minorHAnsi" w:cs="THELuxGo"/>
          <w:kern w:val="0"/>
          <w:szCs w:val="20"/>
        </w:rPr>
        <w:t>ანესთეტიკის გავრცელება დამოკიდებულია რამდენიმე ფაქტორზე, მათ შორის შეყვანილ მოცულობაზე და პაციენტის პოზიციაზე შეყვანის დროს და მის შემდეგ. მაგალითად, როდესაც ამ პროდუქტის 3 მლ შეჰყავთ წელის მესამე და მეოთხე მალებს შორის (L3–L4), გავრცელების დონე აღწევს მეშვიდე და მეათე გულმკერდის მალებს (T7–T10) შორის, პაციენტის მჯდომარე მდგომარეობაში შეყვანისას. პაციენტის ჰორიზონტალურ მდგომარეობაში შეყვანისას, რასაც მოჰყვება ზურგზე წოლა, გავრცელება აღწევს მეოთხე და მეშვიდე გულმკერდის მალებს შორის (T4–T7).</w:t>
      </w:r>
    </w:p>
    <w:p w14:paraId="1F04BD72" w14:textId="0EA103B5" w:rsidR="00BE7481" w:rsidRPr="001121E1" w:rsidRDefault="00BE7481" w:rsidP="00BE7481">
      <w:pPr>
        <w:wordWrap/>
        <w:adjustRightInd w:val="0"/>
        <w:spacing w:after="0" w:line="240" w:lineRule="auto"/>
        <w:rPr>
          <w:rFonts w:eastAsiaTheme="minorHAnsi" w:cs="THELuxGo"/>
          <w:kern w:val="0"/>
          <w:szCs w:val="20"/>
        </w:rPr>
      </w:pPr>
      <w:r w:rsidRPr="001121E1">
        <w:rPr>
          <w:rFonts w:eastAsiaTheme="minorHAnsi" w:cs="THELuxGo"/>
          <w:kern w:val="0"/>
          <w:szCs w:val="20"/>
        </w:rPr>
        <w:t>დოზა უნდა შეირჩეს პაციენტის ასაკის, ანესთეზირებული უბნის, შეყვანის ადგილისა და ქსოვილების მახასიათებლების, სიმპტომების, ფიზიკური კონსტიტუციისა და ზოგადი მდგომარეობის შესაბამისად.</w:t>
      </w:r>
    </w:p>
    <w:p w14:paraId="5217DD7E" w14:textId="78990116" w:rsidR="00BE7481" w:rsidRPr="001121E1" w:rsidRDefault="00BE7481" w:rsidP="00BE7481">
      <w:pPr>
        <w:wordWrap/>
        <w:adjustRightInd w:val="0"/>
        <w:spacing w:after="0" w:line="240" w:lineRule="auto"/>
        <w:rPr>
          <w:rFonts w:eastAsiaTheme="minorHAnsi" w:cs="THELuxGo"/>
          <w:kern w:val="0"/>
          <w:szCs w:val="20"/>
        </w:rPr>
      </w:pPr>
    </w:p>
    <w:p w14:paraId="7F6904FB" w14:textId="77777777" w:rsidR="00BE7481" w:rsidRPr="00C954D3" w:rsidRDefault="00BE7481" w:rsidP="00BE7481">
      <w:pPr>
        <w:wordWrap/>
        <w:adjustRightInd w:val="0"/>
        <w:spacing w:after="0" w:line="240" w:lineRule="auto"/>
        <w:rPr>
          <w:rFonts w:eastAsiaTheme="minorHAnsi" w:cs="THELuxGo"/>
          <w:b/>
          <w:kern w:val="0"/>
          <w:szCs w:val="20"/>
        </w:rPr>
      </w:pPr>
      <w:r w:rsidRPr="00C954D3">
        <w:rPr>
          <w:rFonts w:eastAsiaTheme="minorHAnsi" w:cs="THELuxGo"/>
          <w:b/>
          <w:kern w:val="0"/>
          <w:szCs w:val="20"/>
        </w:rPr>
        <w:t>[გაფრთხილებები]</w:t>
      </w:r>
    </w:p>
    <w:p w14:paraId="0B9F8706" w14:textId="28641B5B" w:rsidR="00BE7481" w:rsidRPr="00C954D3" w:rsidRDefault="00BE7481" w:rsidP="00BE7481">
      <w:pPr>
        <w:wordWrap/>
        <w:adjustRightInd w:val="0"/>
        <w:spacing w:after="0" w:line="240" w:lineRule="auto"/>
        <w:rPr>
          <w:rFonts w:eastAsiaTheme="minorHAnsi" w:cs="THELuxGo"/>
          <w:b/>
          <w:kern w:val="0"/>
          <w:szCs w:val="20"/>
        </w:rPr>
      </w:pPr>
      <w:r w:rsidRPr="00C954D3">
        <w:rPr>
          <w:rFonts w:eastAsiaTheme="minorHAnsi" w:cs="THELuxGo" w:hint="eastAsia"/>
          <w:b/>
          <w:kern w:val="0"/>
          <w:szCs w:val="20"/>
        </w:rPr>
        <w:t xml:space="preserve">1. </w:t>
      </w:r>
      <w:r w:rsidRPr="00C954D3">
        <w:rPr>
          <w:rFonts w:eastAsiaTheme="minorHAnsi" w:cs="THELuxGo"/>
          <w:b/>
          <w:kern w:val="0"/>
          <w:szCs w:val="20"/>
        </w:rPr>
        <w:t>ამპულის ინექციები შეიძლება დაბინძურდეს მინის ნაწილაკებით ამპულის გახსნისას, რამაც შეიძლება გამოიწვიოს გვერდითი რეაქციები. ამიტომ, ამპულა ფრთხილად უნდა გაიხსნას მინის ნაწილაკებით დაბინძურების რისკის შესამცირებლად. განსაკუთრებული სიფრთხილეა საჭირო პროდუქტის ბავშვებსა და ხანდაზმულ პაციენტებში გამოყენებისას.</w:t>
      </w:r>
    </w:p>
    <w:p w14:paraId="020BB7D7" w14:textId="77777777" w:rsidR="00BE7481" w:rsidRPr="001121E1" w:rsidRDefault="00BE7481" w:rsidP="00BE7481">
      <w:pPr>
        <w:wordWrap/>
        <w:adjustRightInd w:val="0"/>
        <w:spacing w:after="0" w:line="240" w:lineRule="auto"/>
        <w:rPr>
          <w:rFonts w:eastAsiaTheme="minorHAnsi" w:cs="THELuxGo"/>
          <w:kern w:val="0"/>
          <w:szCs w:val="20"/>
        </w:rPr>
      </w:pPr>
    </w:p>
    <w:p w14:paraId="5BD2FDCB" w14:textId="781DE1DF" w:rsidR="00BE7481" w:rsidRPr="00C954D3" w:rsidRDefault="00BE7481" w:rsidP="00BE7481">
      <w:pPr>
        <w:wordWrap/>
        <w:adjustRightInd w:val="0"/>
        <w:spacing w:after="0" w:line="240" w:lineRule="auto"/>
        <w:rPr>
          <w:rFonts w:eastAsiaTheme="minorHAnsi" w:cs="THELuxGo"/>
          <w:b/>
          <w:kern w:val="0"/>
          <w:szCs w:val="20"/>
        </w:rPr>
      </w:pPr>
      <w:r w:rsidRPr="00C954D3">
        <w:rPr>
          <w:rFonts w:eastAsiaTheme="minorHAnsi" w:cs="THELuxGo"/>
          <w:b/>
          <w:kern w:val="0"/>
          <w:szCs w:val="20"/>
        </w:rPr>
        <w:t>2. არ მისცეთ ეს პროდუქტი შემდეგ პაციენტებს:</w:t>
      </w:r>
    </w:p>
    <w:p w14:paraId="05F588E5" w14:textId="77BEE399" w:rsidR="00BE7481" w:rsidRPr="001121E1" w:rsidRDefault="00BE7481" w:rsidP="00BE7481">
      <w:pPr>
        <w:wordWrap/>
        <w:adjustRightInd w:val="0"/>
        <w:spacing w:after="0" w:line="240" w:lineRule="auto"/>
        <w:rPr>
          <w:rFonts w:eastAsiaTheme="minorHAnsi" w:cs="THELuxGo"/>
          <w:kern w:val="0"/>
          <w:szCs w:val="20"/>
        </w:rPr>
      </w:pPr>
      <w:r w:rsidRPr="001121E1">
        <w:rPr>
          <w:rFonts w:eastAsiaTheme="minorHAnsi" w:cs="THELuxGo"/>
          <w:kern w:val="0"/>
          <w:szCs w:val="20"/>
        </w:rPr>
        <w:t>1) პაციენტები, რომლებსაც აღენიშნებათ მომატებული მგრძნობელობა ამ პროდუქტის ან სხვა ამიდური ტიპის ადგილობრივი ანესთეტიკების მიმართ.</w:t>
      </w:r>
    </w:p>
    <w:p w14:paraId="37915C55" w14:textId="606A97F0" w:rsidR="00BE7481" w:rsidRPr="001121E1" w:rsidRDefault="00BE7481" w:rsidP="00BE7481">
      <w:pPr>
        <w:wordWrap/>
        <w:adjustRightInd w:val="0"/>
        <w:spacing w:after="0" w:line="240" w:lineRule="auto"/>
        <w:rPr>
          <w:rFonts w:eastAsiaTheme="minorHAnsi" w:cs="THELuxGo"/>
          <w:kern w:val="0"/>
          <w:szCs w:val="20"/>
        </w:rPr>
      </w:pPr>
      <w:r w:rsidRPr="001121E1">
        <w:rPr>
          <w:rFonts w:eastAsiaTheme="minorHAnsi" w:cs="THELuxGo"/>
          <w:kern w:val="0"/>
          <w:szCs w:val="20"/>
        </w:rPr>
        <w:t>2) პაციენტები შოკის მდგომარეობაში.</w:t>
      </w:r>
    </w:p>
    <w:p w14:paraId="5E9009FC" w14:textId="5DAFDD2F" w:rsidR="00BE7481" w:rsidRPr="001121E1" w:rsidRDefault="00BE7481" w:rsidP="00BE7481">
      <w:pPr>
        <w:wordWrap/>
        <w:adjustRightInd w:val="0"/>
        <w:spacing w:after="0" w:line="240" w:lineRule="auto"/>
        <w:rPr>
          <w:rFonts w:eastAsiaTheme="minorHAnsi" w:cs="THELuxGo"/>
          <w:kern w:val="0"/>
          <w:szCs w:val="20"/>
        </w:rPr>
      </w:pPr>
      <w:r w:rsidRPr="001121E1">
        <w:rPr>
          <w:rFonts w:eastAsiaTheme="minorHAnsi" w:cs="THELuxGo"/>
          <w:kern w:val="0"/>
          <w:szCs w:val="20"/>
        </w:rPr>
        <w:t>3) პაციენტები ცენტრალური ნერვული სისტემის დარღვევებით (მაგ., მენინგიტი, პოლიომიელიტი, სიმსივნეები, ქალასშიდა სისხლდენა).</w:t>
      </w:r>
    </w:p>
    <w:p w14:paraId="56DBF1F8" w14:textId="72EB5110" w:rsidR="00BE7481" w:rsidRPr="001121E1" w:rsidRDefault="00BE7481" w:rsidP="00BE7481">
      <w:pPr>
        <w:wordWrap/>
        <w:adjustRightInd w:val="0"/>
        <w:spacing w:after="0" w:line="240" w:lineRule="auto"/>
        <w:rPr>
          <w:rFonts w:eastAsiaTheme="minorHAnsi" w:cs="THELuxGo"/>
          <w:kern w:val="0"/>
          <w:szCs w:val="20"/>
        </w:rPr>
      </w:pPr>
      <w:r w:rsidRPr="001121E1">
        <w:rPr>
          <w:rFonts w:eastAsiaTheme="minorHAnsi" w:cs="THELuxGo"/>
          <w:kern w:val="0"/>
          <w:szCs w:val="20"/>
        </w:rPr>
        <w:t>4) პაციენტები, რომლებსაც აქვთ ანთება ინექციის ადგილას ან მის გარშემო.</w:t>
      </w:r>
    </w:p>
    <w:p w14:paraId="4EDEA6BC" w14:textId="36F06517" w:rsidR="00BE7481" w:rsidRPr="001121E1" w:rsidRDefault="00BE7481" w:rsidP="00BE7481">
      <w:pPr>
        <w:wordWrap/>
        <w:adjustRightInd w:val="0"/>
        <w:spacing w:after="0" w:line="240" w:lineRule="auto"/>
        <w:rPr>
          <w:rFonts w:eastAsiaTheme="minorHAnsi" w:cs="THELuxGo"/>
          <w:kern w:val="0"/>
          <w:szCs w:val="20"/>
        </w:rPr>
      </w:pPr>
      <w:r w:rsidRPr="001121E1">
        <w:rPr>
          <w:rFonts w:eastAsiaTheme="minorHAnsi" w:cs="THELuxGo"/>
          <w:kern w:val="0"/>
          <w:szCs w:val="20"/>
        </w:rPr>
        <w:lastRenderedPageBreak/>
        <w:t>5) პაციენტები კოაგულაციის დარღვევებით ან ანტიკოაგულანტულ თერაპიაზე მყოფები.</w:t>
      </w:r>
    </w:p>
    <w:p w14:paraId="4EAF6CDD" w14:textId="707B3530" w:rsidR="00BE7481" w:rsidRPr="001121E1" w:rsidRDefault="00BE7481" w:rsidP="00BE7481">
      <w:pPr>
        <w:wordWrap/>
        <w:adjustRightInd w:val="0"/>
        <w:spacing w:after="0" w:line="240" w:lineRule="auto"/>
        <w:rPr>
          <w:rFonts w:eastAsiaTheme="minorHAnsi" w:cs="THELuxGo"/>
          <w:kern w:val="0"/>
          <w:szCs w:val="20"/>
        </w:rPr>
      </w:pPr>
      <w:r w:rsidRPr="001121E1">
        <w:rPr>
          <w:rFonts w:eastAsiaTheme="minorHAnsi" w:cs="THELuxGo"/>
          <w:kern w:val="0"/>
          <w:szCs w:val="20"/>
        </w:rPr>
        <w:t>6) პაციენტები ზურგის ტვინის სტენოზით, აქტიური ხერხემლის დაავადებებით (მაგ., სპონდილიტი, სიმსივნეები, ტუბერკულოზი) ან ზურგის ტვინის ტრავმით (მაგ., ხერხემლის მოტეხილობა).</w:t>
      </w:r>
    </w:p>
    <w:p w14:paraId="3AF029B6" w14:textId="4C8FA175" w:rsidR="00BE7481" w:rsidRPr="001121E1" w:rsidRDefault="00BE7481" w:rsidP="00BE7481">
      <w:pPr>
        <w:wordWrap/>
        <w:adjustRightInd w:val="0"/>
        <w:spacing w:after="0" w:line="240" w:lineRule="auto"/>
        <w:rPr>
          <w:rFonts w:eastAsiaTheme="minorHAnsi" w:cs="THELuxGo"/>
          <w:kern w:val="0"/>
          <w:szCs w:val="20"/>
        </w:rPr>
      </w:pPr>
      <w:r w:rsidRPr="001121E1">
        <w:rPr>
          <w:rFonts w:eastAsiaTheme="minorHAnsi" w:cs="THELuxGo"/>
          <w:kern w:val="0"/>
          <w:szCs w:val="20"/>
        </w:rPr>
        <w:t>7) სეფსისის მქონე პაციენტები.</w:t>
      </w:r>
    </w:p>
    <w:p w14:paraId="2A7CF346" w14:textId="23EDB28D" w:rsidR="00BE7481" w:rsidRPr="001121E1" w:rsidRDefault="00BE7481" w:rsidP="00BE7481">
      <w:pPr>
        <w:wordWrap/>
        <w:adjustRightInd w:val="0"/>
        <w:spacing w:after="0" w:line="240" w:lineRule="auto"/>
        <w:rPr>
          <w:rFonts w:eastAsiaTheme="minorHAnsi" w:cs="THELuxGo"/>
          <w:kern w:val="0"/>
          <w:szCs w:val="20"/>
        </w:rPr>
      </w:pPr>
      <w:r w:rsidRPr="001121E1">
        <w:rPr>
          <w:rFonts w:eastAsiaTheme="minorHAnsi" w:cs="THELuxGo"/>
          <w:kern w:val="0"/>
          <w:szCs w:val="20"/>
        </w:rPr>
        <w:t>8) პაციენტები, რომლებსაც აღენიშნებათ პერნიციოზული ანემია, რომელსაც თან ახლავს ზურგის ტვინის ქვემწვავე დეგენერაცია.</w:t>
      </w:r>
    </w:p>
    <w:p w14:paraId="168D9B33" w14:textId="77777777" w:rsidR="00BE7481" w:rsidRPr="001121E1" w:rsidRDefault="00BE7481" w:rsidP="00BE7481">
      <w:pPr>
        <w:wordWrap/>
        <w:adjustRightInd w:val="0"/>
        <w:spacing w:after="0" w:line="240" w:lineRule="auto"/>
        <w:rPr>
          <w:rFonts w:eastAsiaTheme="minorHAnsi" w:cs="THELuxGo"/>
          <w:kern w:val="0"/>
          <w:szCs w:val="20"/>
        </w:rPr>
      </w:pPr>
    </w:p>
    <w:p w14:paraId="5187B40A" w14:textId="4AC9794A" w:rsidR="00BE7481" w:rsidRPr="00C954D3" w:rsidRDefault="00B45F6D" w:rsidP="00BE7481">
      <w:pPr>
        <w:wordWrap/>
        <w:adjustRightInd w:val="0"/>
        <w:spacing w:after="0" w:line="240" w:lineRule="auto"/>
        <w:rPr>
          <w:rFonts w:eastAsiaTheme="minorHAnsi" w:cs="THELuxGo"/>
          <w:b/>
          <w:kern w:val="0"/>
          <w:szCs w:val="20"/>
        </w:rPr>
      </w:pPr>
      <w:r w:rsidRPr="00C954D3">
        <w:rPr>
          <w:rFonts w:eastAsiaTheme="minorHAnsi" w:cs="THELuxGo"/>
          <w:b/>
          <w:kern w:val="0"/>
          <w:szCs w:val="20"/>
        </w:rPr>
        <w:t>3. გვერდითი რეაქციები</w:t>
      </w:r>
    </w:p>
    <w:p w14:paraId="57FDC9E6" w14:textId="56251133" w:rsidR="00BE7481" w:rsidRPr="001121E1" w:rsidRDefault="00B45F6D" w:rsidP="00BE7481">
      <w:pPr>
        <w:wordWrap/>
        <w:adjustRightInd w:val="0"/>
        <w:spacing w:after="0" w:line="240" w:lineRule="auto"/>
        <w:rPr>
          <w:rFonts w:eastAsiaTheme="minorHAnsi" w:cs="THELuxGo"/>
          <w:kern w:val="0"/>
          <w:szCs w:val="20"/>
        </w:rPr>
      </w:pPr>
      <w:r w:rsidRPr="001121E1">
        <w:rPr>
          <w:rFonts w:eastAsiaTheme="minorHAnsi" w:cs="THELuxGo"/>
          <w:kern w:val="0"/>
          <w:szCs w:val="20"/>
        </w:rPr>
        <w:t xml:space="preserve">1) შოკი </w:t>
      </w:r>
      <w:r w:rsidR="00BE7481" w:rsidRPr="001121E1">
        <w:rPr>
          <w:rFonts w:eastAsiaTheme="minorHAnsi" w:cs="THELuxGo" w:hint="eastAsia"/>
          <w:kern w:val="0"/>
          <w:szCs w:val="20"/>
        </w:rPr>
        <w:t xml:space="preserve">: </w:t>
      </w:r>
      <w:r w:rsidR="00BE7481" w:rsidRPr="001121E1">
        <w:rPr>
          <w:rFonts w:eastAsiaTheme="minorHAnsi" w:cs="THELuxGo"/>
          <w:kern w:val="0"/>
          <w:szCs w:val="20"/>
        </w:rPr>
        <w:t>შესაძლოა განვითარდეს შოკი. პაციენტები უნდა იმყოფებოდნენ ყურადღებით დაკვირვების ქვეშ და თუ გამოვლინდა ისეთი სიმპტომები, როგორიცაა ჰიპოტენზია, სიფერმკრთალე, პულსის დარღვევები ან სუნთქვის დათრგუნვა, დაუყოვნებლივ უნდა შეწყდეს პრეპარატის მიღება და მიღებულ იქნას შესაბამისი ზომები, მათ შორის ხელოვნური სუნთქვა, ჟანგბადის მიღება, სითხის შევსება, ნატრიუმის ბიკარბონატი, ვაზოპრესორები და სხეულის შესაბამისი პოზიციის შენარჩუნება.</w:t>
      </w:r>
    </w:p>
    <w:p w14:paraId="6FC5C6A6" w14:textId="23ECBCAD" w:rsidR="00BE7481" w:rsidRPr="001121E1" w:rsidRDefault="00B45F6D" w:rsidP="00BE7481">
      <w:pPr>
        <w:wordWrap/>
        <w:adjustRightInd w:val="0"/>
        <w:spacing w:after="0" w:line="240" w:lineRule="auto"/>
        <w:rPr>
          <w:rFonts w:eastAsiaTheme="minorHAnsi" w:cs="THELuxGo"/>
          <w:kern w:val="0"/>
          <w:szCs w:val="20"/>
        </w:rPr>
      </w:pPr>
      <w:r w:rsidRPr="001121E1">
        <w:rPr>
          <w:rFonts w:eastAsiaTheme="minorHAnsi" w:cs="THELuxGo" w:hint="eastAsia"/>
          <w:kern w:val="0"/>
          <w:szCs w:val="20"/>
        </w:rPr>
        <w:t xml:space="preserve">2 </w:t>
      </w:r>
      <w:r w:rsidRPr="001121E1">
        <w:rPr>
          <w:rFonts w:eastAsiaTheme="minorHAnsi" w:cs="THELuxGo"/>
          <w:kern w:val="0"/>
          <w:szCs w:val="20"/>
        </w:rPr>
        <w:t>) ცენტრალური ნერვული სისტემის დარღვევები</w:t>
      </w:r>
    </w:p>
    <w:p w14:paraId="14C1B830" w14:textId="0A6ED432" w:rsidR="00BE7481" w:rsidRPr="001121E1" w:rsidRDefault="00B45F6D" w:rsidP="00BE7481">
      <w:pPr>
        <w:wordWrap/>
        <w:adjustRightInd w:val="0"/>
        <w:spacing w:after="0" w:line="240" w:lineRule="auto"/>
        <w:rPr>
          <w:rFonts w:eastAsiaTheme="minorHAnsi" w:cs="THELuxGo"/>
          <w:kern w:val="0"/>
          <w:szCs w:val="20"/>
        </w:rPr>
      </w:pPr>
      <w:r w:rsidRPr="001121E1">
        <w:rPr>
          <w:rFonts w:eastAsiaTheme="minorHAnsi" w:cs="THELuxGo" w:hint="eastAsia"/>
          <w:kern w:val="0"/>
          <w:szCs w:val="20"/>
        </w:rPr>
        <w:t xml:space="preserve">① </w:t>
      </w:r>
      <w:r w:rsidR="00BE7481" w:rsidRPr="001121E1">
        <w:rPr>
          <w:rFonts w:eastAsiaTheme="minorHAnsi" w:cs="THELuxGo"/>
          <w:kern w:val="0"/>
          <w:szCs w:val="20"/>
        </w:rPr>
        <w:t>შესაძლოა განვითარდეს ისეთი მძიმე სიმპტომები, როგორიცაა ტრემორი და კრუნჩხვები. პაციენტები უნდა იმყოფებოდნენ ყურადღებით დაკვირვების ქვეშ და თუ ასეთი სიმპტომები განვითარდა, დაუყოვნებლივ უნდა შეწყდეს პრეპარატის მიღება და დაიწყოს შესაბამისი მკურნალობა, მათ შორის დიაზეპამის ან ულტრამოკლე მოქმედების ბარბიტურატის (მაგ., თიოპენტალის ნატრიუმი) მიღება.</w:t>
      </w:r>
    </w:p>
    <w:p w14:paraId="7CF9DCC6" w14:textId="26F40D0A" w:rsidR="00BE7481" w:rsidRPr="001121E1" w:rsidRDefault="00B45F6D" w:rsidP="00BE7481">
      <w:pPr>
        <w:wordWrap/>
        <w:adjustRightInd w:val="0"/>
        <w:spacing w:after="0" w:line="240" w:lineRule="auto"/>
        <w:rPr>
          <w:rFonts w:eastAsiaTheme="minorHAnsi" w:cs="THELuxGo"/>
          <w:kern w:val="0"/>
          <w:szCs w:val="20"/>
        </w:rPr>
      </w:pPr>
      <w:r w:rsidRPr="001121E1">
        <w:rPr>
          <w:rFonts w:eastAsiaTheme="minorHAnsi" w:cs="THELuxGo" w:hint="eastAsia"/>
          <w:kern w:val="0"/>
          <w:szCs w:val="20"/>
        </w:rPr>
        <w:t xml:space="preserve">② </w:t>
      </w:r>
      <w:r w:rsidR="00BE7481" w:rsidRPr="001121E1">
        <w:rPr>
          <w:rFonts w:eastAsiaTheme="minorHAnsi" w:cs="THELuxGo"/>
          <w:kern w:val="0"/>
          <w:szCs w:val="20"/>
        </w:rPr>
        <w:t>შესაძლოა განვითარდეს ძილიანობა, შფოთვა, აგზნებადობა, მოუსვენრობა, თავბრუსხვევა, გულისრევა და ღებინება. პაციენტები ყურადღებით უნდა იყვნენ დაკვირვებულნი შოკში ან სხვა მძიმე რეაქციებში პროგრესირებაზე და საჭიროების შემთხვევაში უნდა იქნას მიღებული შესაბამისი ზომები.</w:t>
      </w:r>
    </w:p>
    <w:p w14:paraId="08F69613" w14:textId="20CD1E8D" w:rsidR="00BE7481" w:rsidRPr="001121E1" w:rsidRDefault="0024766C" w:rsidP="00BE7481">
      <w:pPr>
        <w:wordWrap/>
        <w:adjustRightInd w:val="0"/>
        <w:spacing w:after="0" w:line="240" w:lineRule="auto"/>
        <w:rPr>
          <w:rFonts w:eastAsiaTheme="minorHAnsi" w:cs="THELuxGo"/>
          <w:kern w:val="0"/>
          <w:szCs w:val="20"/>
        </w:rPr>
      </w:pPr>
      <w:r w:rsidRPr="001121E1">
        <w:rPr>
          <w:rFonts w:eastAsiaTheme="minorHAnsi" w:cs="THELuxGo" w:hint="eastAsia"/>
          <w:kern w:val="0"/>
          <w:szCs w:val="20"/>
        </w:rPr>
        <w:t xml:space="preserve">3 </w:t>
      </w:r>
      <w:r w:rsidRPr="001121E1">
        <w:rPr>
          <w:rFonts w:eastAsiaTheme="minorHAnsi" w:cs="THELuxGo"/>
          <w:kern w:val="0"/>
          <w:szCs w:val="20"/>
        </w:rPr>
        <w:t>) თავის ტკივილი შეიძლება ზოგჯერ განვითარდეს, ალერგიული რეაქციები კი იშვიათად არის აღწერილი.</w:t>
      </w:r>
    </w:p>
    <w:p w14:paraId="3CCF34D6" w14:textId="5D3DFED5" w:rsidR="00BE7481" w:rsidRPr="001121E1" w:rsidRDefault="0024766C" w:rsidP="00BE7481">
      <w:pPr>
        <w:wordWrap/>
        <w:adjustRightInd w:val="0"/>
        <w:spacing w:after="0" w:line="240" w:lineRule="auto"/>
        <w:rPr>
          <w:rFonts w:eastAsiaTheme="minorHAnsi" w:cs="THELuxGo"/>
          <w:kern w:val="0"/>
          <w:szCs w:val="20"/>
        </w:rPr>
      </w:pPr>
      <w:r w:rsidRPr="001121E1">
        <w:rPr>
          <w:rFonts w:eastAsiaTheme="minorHAnsi" w:cs="THELuxGo"/>
          <w:kern w:val="0"/>
          <w:szCs w:val="20"/>
        </w:rPr>
        <w:t>4) იშვიათად აღინიშნა მუდმივი დამბლა, კუნთების სისუსტე და შარდის ბუშტის ფუნქციის დარღვევა. უცნობია, ეს ეფექტები ტექნიკურ ფაქტორებს (მაგ., ინტრანევრალური ინექცია) მიეწერება თუ თავად ანესთეტიკურ საშუალებას.</w:t>
      </w:r>
    </w:p>
    <w:p w14:paraId="28A121DB" w14:textId="5D9B0861" w:rsidR="00BE7481" w:rsidRPr="001121E1" w:rsidRDefault="0024766C" w:rsidP="00BE7481">
      <w:pPr>
        <w:wordWrap/>
        <w:adjustRightInd w:val="0"/>
        <w:spacing w:after="0" w:line="240" w:lineRule="auto"/>
        <w:rPr>
          <w:rFonts w:eastAsiaTheme="minorHAnsi" w:cs="THELuxGo"/>
          <w:kern w:val="0"/>
          <w:szCs w:val="20"/>
        </w:rPr>
      </w:pPr>
      <w:r w:rsidRPr="001121E1">
        <w:rPr>
          <w:rFonts w:eastAsiaTheme="minorHAnsi" w:cs="THELuxGo" w:hint="eastAsia"/>
          <w:kern w:val="0"/>
          <w:szCs w:val="20"/>
        </w:rPr>
        <w:t xml:space="preserve">5 </w:t>
      </w:r>
      <w:r w:rsidRPr="001121E1">
        <w:rPr>
          <w:rFonts w:eastAsiaTheme="minorHAnsi" w:cs="THELuxGo"/>
          <w:kern w:val="0"/>
          <w:szCs w:val="20"/>
        </w:rPr>
        <w:t>) ანესთეტიკის სწრაფი გავრცელების შემთხვევაში შეიძლება სუნთქვის დათრგუნვა განვითარდეს.</w:t>
      </w:r>
    </w:p>
    <w:p w14:paraId="3A20C351" w14:textId="19629EA4" w:rsidR="00BE7481" w:rsidRPr="001121E1" w:rsidRDefault="0024766C" w:rsidP="00BE7481">
      <w:pPr>
        <w:wordWrap/>
        <w:adjustRightInd w:val="0"/>
        <w:spacing w:after="0" w:line="240" w:lineRule="auto"/>
        <w:rPr>
          <w:rFonts w:eastAsiaTheme="minorHAnsi" w:cs="THELuxGo"/>
          <w:kern w:val="0"/>
          <w:szCs w:val="20"/>
        </w:rPr>
      </w:pPr>
      <w:r w:rsidRPr="001121E1">
        <w:rPr>
          <w:rFonts w:eastAsiaTheme="minorHAnsi" w:cs="THELuxGo" w:hint="eastAsia"/>
          <w:kern w:val="0"/>
          <w:szCs w:val="20"/>
        </w:rPr>
        <w:t xml:space="preserve">6 </w:t>
      </w:r>
      <w:r w:rsidRPr="001121E1">
        <w:rPr>
          <w:rFonts w:eastAsiaTheme="minorHAnsi" w:cs="THELuxGo"/>
          <w:kern w:val="0"/>
          <w:szCs w:val="20"/>
        </w:rPr>
        <w:t>) ამ პროდუქტთან დაკავშირებული გვერდითი რეაქციების გარჩევა შეიძლება რთული იყოს შემდეგისგან:</w:t>
      </w:r>
    </w:p>
    <w:p w14:paraId="79BF427E" w14:textId="3F6FC674" w:rsidR="00BE7481" w:rsidRPr="001121E1" w:rsidRDefault="0024766C" w:rsidP="00BE7481">
      <w:pPr>
        <w:wordWrap/>
        <w:adjustRightInd w:val="0"/>
        <w:spacing w:after="0" w:line="240" w:lineRule="auto"/>
        <w:rPr>
          <w:rFonts w:eastAsiaTheme="minorHAnsi" w:cs="THELuxGo"/>
          <w:kern w:val="0"/>
          <w:szCs w:val="20"/>
        </w:rPr>
      </w:pPr>
      <w:r w:rsidRPr="001121E1">
        <w:rPr>
          <w:rFonts w:eastAsiaTheme="minorHAnsi" w:cs="THELuxGo"/>
          <w:kern w:val="0"/>
          <w:szCs w:val="20"/>
        </w:rPr>
        <w:t>- ნერვული ბლოკადის შედეგად გამოწვეული ფიზიოლოგიური ეფექტები (მაგ., ჰიპოტენზია, ბრადიკარდია, შარდის დროებითი შეკავება);</w:t>
      </w:r>
    </w:p>
    <w:p w14:paraId="3966D2FC" w14:textId="51D64964" w:rsidR="00BE7481" w:rsidRPr="001121E1" w:rsidRDefault="0024766C" w:rsidP="00BE7481">
      <w:pPr>
        <w:wordWrap/>
        <w:adjustRightInd w:val="0"/>
        <w:spacing w:after="0" w:line="240" w:lineRule="auto"/>
        <w:rPr>
          <w:rFonts w:eastAsiaTheme="minorHAnsi" w:cs="THELuxGo"/>
          <w:kern w:val="0"/>
          <w:szCs w:val="20"/>
        </w:rPr>
      </w:pPr>
      <w:r w:rsidRPr="001121E1">
        <w:rPr>
          <w:rFonts w:eastAsiaTheme="minorHAnsi" w:cs="THELuxGo"/>
          <w:kern w:val="0"/>
          <w:szCs w:val="20"/>
        </w:rPr>
        <w:t>- ნემსით პუნქციით გამოწვეული პირდაპირი ეფექტები (მაგ., ზურგის ტვინის ჰემატომა);</w:t>
      </w:r>
    </w:p>
    <w:p w14:paraId="38B8E716" w14:textId="03E71D7A" w:rsidR="00BE7481" w:rsidRPr="001121E1" w:rsidRDefault="0024766C" w:rsidP="00BE7481">
      <w:pPr>
        <w:wordWrap/>
        <w:adjustRightInd w:val="0"/>
        <w:spacing w:after="0" w:line="240" w:lineRule="auto"/>
        <w:rPr>
          <w:rFonts w:eastAsiaTheme="minorHAnsi" w:cs="THELuxGo"/>
          <w:kern w:val="0"/>
          <w:szCs w:val="20"/>
        </w:rPr>
      </w:pPr>
      <w:r w:rsidRPr="001121E1">
        <w:rPr>
          <w:rFonts w:eastAsiaTheme="minorHAnsi" w:cs="THELuxGo"/>
          <w:kern w:val="0"/>
          <w:szCs w:val="20"/>
        </w:rPr>
        <w:t>- ნემსით პუნქციით გამოწვეული არაპირდაპირი ეფექტები (მაგ., მენინგიტი, ეპიდურული აბსცესი); და</w:t>
      </w:r>
    </w:p>
    <w:p w14:paraId="20CBB2CA" w14:textId="12E66857" w:rsidR="00BE7481" w:rsidRDefault="0024766C" w:rsidP="00BE7481">
      <w:pPr>
        <w:wordWrap/>
        <w:adjustRightInd w:val="0"/>
        <w:spacing w:after="0" w:line="240" w:lineRule="auto"/>
        <w:rPr>
          <w:rFonts w:eastAsiaTheme="minorHAnsi" w:cs="THELuxGo"/>
          <w:kern w:val="0"/>
          <w:szCs w:val="20"/>
        </w:rPr>
      </w:pPr>
      <w:r w:rsidRPr="001121E1">
        <w:rPr>
          <w:rFonts w:eastAsiaTheme="minorHAnsi" w:cs="THELuxGo"/>
          <w:kern w:val="0"/>
          <w:szCs w:val="20"/>
        </w:rPr>
        <w:t>- ცერებროსპინალური სითხის გაჟონვით გამოწვეული ეფექტები (მაგ., წელის პუნქციის შემდგომი თავის ტკივილი).</w:t>
      </w:r>
    </w:p>
    <w:p w14:paraId="1682671C" w14:textId="77777777" w:rsidR="00834052" w:rsidRPr="001121E1" w:rsidRDefault="00834052" w:rsidP="00BE7481">
      <w:pPr>
        <w:wordWrap/>
        <w:adjustRightInd w:val="0"/>
        <w:spacing w:after="0" w:line="240" w:lineRule="auto"/>
        <w:rPr>
          <w:rFonts w:eastAsiaTheme="minorHAnsi" w:cs="THELuxGo"/>
          <w:kern w:val="0"/>
          <w:szCs w:val="20"/>
        </w:rPr>
      </w:pPr>
    </w:p>
    <w:tbl>
      <w:tblPr>
        <w:tblStyle w:val="TableGrid"/>
        <w:tblW w:w="0" w:type="auto"/>
        <w:tblInd w:w="45" w:type="dxa"/>
        <w:tblLook w:val="04A0" w:firstRow="1" w:lastRow="0" w:firstColumn="1" w:lastColumn="0" w:noHBand="0" w:noVBand="1"/>
      </w:tblPr>
      <w:tblGrid>
        <w:gridCol w:w="2533"/>
        <w:gridCol w:w="6423"/>
      </w:tblGrid>
      <w:tr w:rsidR="006809A3" w:rsidRPr="001121E1" w14:paraId="2F215315" w14:textId="645D18F2" w:rsidTr="006809A3">
        <w:trPr>
          <w:trHeight w:val="332"/>
        </w:trPr>
        <w:tc>
          <w:tcPr>
            <w:tcW w:w="2533" w:type="dxa"/>
            <w:vMerge w:val="restart"/>
            <w:vAlign w:val="center"/>
          </w:tcPr>
          <w:p w14:paraId="5D747442" w14:textId="77777777" w:rsidR="006809A3" w:rsidRPr="001121E1" w:rsidRDefault="006809A3" w:rsidP="006809A3">
            <w:pPr>
              <w:wordWrap/>
              <w:adjustRightInd w:val="0"/>
              <w:rPr>
                <w:rFonts w:eastAsiaTheme="minorHAnsi" w:cs="THELuxGo"/>
                <w:kern w:val="0"/>
                <w:szCs w:val="20"/>
              </w:rPr>
            </w:pPr>
            <w:r w:rsidRPr="001121E1">
              <w:rPr>
                <w:rFonts w:eastAsiaTheme="minorHAnsi" w:cs="THELuxGo"/>
                <w:kern w:val="0"/>
                <w:szCs w:val="20"/>
              </w:rPr>
              <w:t>ძალიან ხშირი (&gt;1/10)</w:t>
            </w:r>
          </w:p>
        </w:tc>
        <w:tc>
          <w:tcPr>
            <w:tcW w:w="6423" w:type="dxa"/>
          </w:tcPr>
          <w:p w14:paraId="579D02A2" w14:textId="4FBE0001" w:rsidR="006809A3" w:rsidRPr="001121E1" w:rsidRDefault="006809A3" w:rsidP="006809A3">
            <w:pPr>
              <w:wordWrap/>
              <w:adjustRightInd w:val="0"/>
              <w:rPr>
                <w:rFonts w:eastAsiaTheme="minorHAnsi" w:cs="THELuxGo"/>
                <w:kern w:val="0"/>
                <w:szCs w:val="20"/>
              </w:rPr>
            </w:pPr>
            <w:r w:rsidRPr="003D722F">
              <w:rPr>
                <w:rFonts w:eastAsiaTheme="minorHAnsi" w:cs="THELuxGo"/>
                <w:kern w:val="0"/>
                <w:szCs w:val="20"/>
              </w:rPr>
              <w:t>გულისრევა</w:t>
            </w:r>
          </w:p>
        </w:tc>
      </w:tr>
      <w:tr w:rsidR="006809A3" w:rsidRPr="001121E1" w14:paraId="24B4A94F" w14:textId="381EC7C4" w:rsidTr="006809A3">
        <w:trPr>
          <w:trHeight w:val="138"/>
        </w:trPr>
        <w:tc>
          <w:tcPr>
            <w:tcW w:w="2533" w:type="dxa"/>
            <w:vMerge/>
            <w:vAlign w:val="center"/>
          </w:tcPr>
          <w:p w14:paraId="2C7D257F" w14:textId="77777777" w:rsidR="006809A3" w:rsidRPr="001121E1" w:rsidRDefault="006809A3" w:rsidP="006809A3">
            <w:pPr>
              <w:wordWrap/>
              <w:adjustRightInd w:val="0"/>
              <w:rPr>
                <w:rFonts w:eastAsiaTheme="minorHAnsi" w:cs="THELuxGo"/>
                <w:kern w:val="0"/>
                <w:szCs w:val="20"/>
              </w:rPr>
            </w:pPr>
          </w:p>
        </w:tc>
        <w:tc>
          <w:tcPr>
            <w:tcW w:w="6423" w:type="dxa"/>
            <w:vAlign w:val="center"/>
          </w:tcPr>
          <w:p w14:paraId="58143CF2" w14:textId="23AE3703" w:rsidR="006809A3" w:rsidRPr="001121E1" w:rsidRDefault="006809A3" w:rsidP="006809A3">
            <w:pPr>
              <w:wordWrap/>
              <w:adjustRightInd w:val="0"/>
              <w:rPr>
                <w:rFonts w:eastAsiaTheme="minorHAnsi" w:cs="THELuxGo"/>
                <w:kern w:val="0"/>
                <w:szCs w:val="20"/>
              </w:rPr>
            </w:pPr>
            <w:r w:rsidRPr="003D722F">
              <w:rPr>
                <w:rFonts w:eastAsiaTheme="minorHAnsi" w:cs="THELuxGo"/>
                <w:kern w:val="0"/>
                <w:szCs w:val="20"/>
              </w:rPr>
              <w:t>გულ-სისხლძარღვთა სისტემა: ჰიპოტენზია, ბრადიკარდია</w:t>
            </w:r>
          </w:p>
        </w:tc>
      </w:tr>
      <w:tr w:rsidR="006809A3" w:rsidRPr="001121E1" w14:paraId="43479540" w14:textId="7F2CF475" w:rsidTr="006809A3">
        <w:trPr>
          <w:trHeight w:val="332"/>
        </w:trPr>
        <w:tc>
          <w:tcPr>
            <w:tcW w:w="2533" w:type="dxa"/>
            <w:vMerge w:val="restart"/>
            <w:vAlign w:val="center"/>
          </w:tcPr>
          <w:p w14:paraId="41D00EDF" w14:textId="77777777" w:rsidR="006809A3" w:rsidRPr="001121E1" w:rsidRDefault="006809A3" w:rsidP="006809A3">
            <w:pPr>
              <w:wordWrap/>
              <w:adjustRightInd w:val="0"/>
              <w:rPr>
                <w:rFonts w:eastAsiaTheme="minorHAnsi" w:cs="THELuxGo"/>
                <w:kern w:val="0"/>
                <w:szCs w:val="20"/>
              </w:rPr>
            </w:pPr>
            <w:r w:rsidRPr="001121E1">
              <w:rPr>
                <w:rFonts w:eastAsiaTheme="minorHAnsi" w:cs="THELuxGo"/>
                <w:kern w:val="0"/>
                <w:szCs w:val="20"/>
              </w:rPr>
              <w:t>ხშირი (&gt;1/100)</w:t>
            </w:r>
          </w:p>
        </w:tc>
        <w:tc>
          <w:tcPr>
            <w:tcW w:w="6423" w:type="dxa"/>
            <w:vAlign w:val="center"/>
          </w:tcPr>
          <w:p w14:paraId="65D74C50" w14:textId="7C779833" w:rsidR="006809A3" w:rsidRPr="001121E1" w:rsidRDefault="006809A3" w:rsidP="006809A3">
            <w:pPr>
              <w:wordWrap/>
              <w:adjustRightInd w:val="0"/>
              <w:rPr>
                <w:rFonts w:eastAsiaTheme="minorHAnsi" w:cs="THELuxGo"/>
                <w:kern w:val="0"/>
                <w:szCs w:val="20"/>
              </w:rPr>
            </w:pPr>
            <w:r w:rsidRPr="003D722F">
              <w:rPr>
                <w:rFonts w:eastAsiaTheme="minorHAnsi" w:cs="THELuxGo"/>
                <w:kern w:val="0"/>
                <w:szCs w:val="20"/>
              </w:rPr>
              <w:t>ნერვული სისტემა: დურალური პუნქციის შემდგომი თავის ტკივილი</w:t>
            </w:r>
          </w:p>
        </w:tc>
      </w:tr>
      <w:tr w:rsidR="006809A3" w:rsidRPr="001121E1" w14:paraId="3D346992" w14:textId="158E1A1B" w:rsidTr="006809A3">
        <w:trPr>
          <w:trHeight w:val="138"/>
        </w:trPr>
        <w:tc>
          <w:tcPr>
            <w:tcW w:w="2533" w:type="dxa"/>
            <w:vMerge/>
            <w:vAlign w:val="center"/>
          </w:tcPr>
          <w:p w14:paraId="2C358A86" w14:textId="77777777" w:rsidR="006809A3" w:rsidRPr="001121E1" w:rsidRDefault="006809A3" w:rsidP="006809A3">
            <w:pPr>
              <w:wordWrap/>
              <w:adjustRightInd w:val="0"/>
              <w:rPr>
                <w:rFonts w:eastAsiaTheme="minorHAnsi" w:cs="THELuxGo"/>
                <w:kern w:val="0"/>
                <w:szCs w:val="20"/>
              </w:rPr>
            </w:pPr>
          </w:p>
        </w:tc>
        <w:tc>
          <w:tcPr>
            <w:tcW w:w="6423" w:type="dxa"/>
            <w:vAlign w:val="center"/>
          </w:tcPr>
          <w:p w14:paraId="1D0FFB17" w14:textId="1ED07EB7" w:rsidR="006809A3" w:rsidRPr="001121E1" w:rsidRDefault="006809A3" w:rsidP="006809A3">
            <w:pPr>
              <w:wordWrap/>
              <w:adjustRightInd w:val="0"/>
              <w:rPr>
                <w:rFonts w:eastAsiaTheme="minorHAnsi" w:cs="THELuxGo"/>
                <w:kern w:val="0"/>
                <w:szCs w:val="20"/>
              </w:rPr>
            </w:pPr>
            <w:r w:rsidRPr="003D722F">
              <w:rPr>
                <w:rFonts w:eastAsiaTheme="minorHAnsi" w:cs="THELuxGo"/>
                <w:kern w:val="0"/>
                <w:szCs w:val="20"/>
              </w:rPr>
              <w:t>კუჭ-ნაწლავის სისტემა: ღებინება</w:t>
            </w:r>
          </w:p>
        </w:tc>
      </w:tr>
      <w:tr w:rsidR="006809A3" w:rsidRPr="001121E1" w14:paraId="1FBB0910" w14:textId="28A1CB50" w:rsidTr="006809A3">
        <w:trPr>
          <w:trHeight w:val="138"/>
        </w:trPr>
        <w:tc>
          <w:tcPr>
            <w:tcW w:w="2533" w:type="dxa"/>
            <w:vMerge/>
            <w:vAlign w:val="center"/>
          </w:tcPr>
          <w:p w14:paraId="1EC2DC35" w14:textId="77777777" w:rsidR="006809A3" w:rsidRPr="001121E1" w:rsidRDefault="006809A3" w:rsidP="006809A3">
            <w:pPr>
              <w:wordWrap/>
              <w:adjustRightInd w:val="0"/>
              <w:rPr>
                <w:rFonts w:eastAsiaTheme="minorHAnsi" w:cs="THELuxGo"/>
                <w:kern w:val="0"/>
                <w:szCs w:val="20"/>
              </w:rPr>
            </w:pPr>
          </w:p>
        </w:tc>
        <w:tc>
          <w:tcPr>
            <w:tcW w:w="6423" w:type="dxa"/>
            <w:vAlign w:val="center"/>
          </w:tcPr>
          <w:p w14:paraId="3486B2C0" w14:textId="48F4EC73" w:rsidR="006809A3" w:rsidRPr="001121E1" w:rsidRDefault="006809A3" w:rsidP="006809A3">
            <w:pPr>
              <w:wordWrap/>
              <w:adjustRightInd w:val="0"/>
              <w:jc w:val="left"/>
              <w:rPr>
                <w:rFonts w:eastAsiaTheme="minorHAnsi" w:cs="THELuxGo"/>
                <w:kern w:val="0"/>
                <w:szCs w:val="20"/>
              </w:rPr>
            </w:pPr>
            <w:r w:rsidRPr="003D722F">
              <w:rPr>
                <w:rFonts w:eastAsiaTheme="minorHAnsi" w:cs="THELuxGo"/>
                <w:kern w:val="0"/>
                <w:szCs w:val="20"/>
              </w:rPr>
              <w:t>საშარდე სისტემა: შარდის შეკავება, შარდის შეუკავებლობა</w:t>
            </w:r>
          </w:p>
        </w:tc>
      </w:tr>
      <w:tr w:rsidR="006809A3" w:rsidRPr="001121E1" w14:paraId="1E82E0A2" w14:textId="7087A01B" w:rsidTr="006809A3">
        <w:trPr>
          <w:trHeight w:val="666"/>
        </w:trPr>
        <w:tc>
          <w:tcPr>
            <w:tcW w:w="2533" w:type="dxa"/>
            <w:vMerge w:val="restart"/>
            <w:vAlign w:val="center"/>
          </w:tcPr>
          <w:p w14:paraId="6557634E" w14:textId="77777777" w:rsidR="006809A3" w:rsidRPr="001121E1" w:rsidRDefault="006809A3" w:rsidP="006809A3">
            <w:pPr>
              <w:wordWrap/>
              <w:adjustRightInd w:val="0"/>
              <w:rPr>
                <w:rFonts w:eastAsiaTheme="minorHAnsi" w:cs="THELuxGo"/>
                <w:kern w:val="0"/>
                <w:szCs w:val="20"/>
              </w:rPr>
            </w:pPr>
            <w:r w:rsidRPr="001121E1">
              <w:rPr>
                <w:rFonts w:eastAsiaTheme="minorHAnsi" w:cs="THELuxGo"/>
                <w:kern w:val="0"/>
                <w:szCs w:val="20"/>
              </w:rPr>
              <w:lastRenderedPageBreak/>
              <w:t>არახშირი (1/100–1/1,000)</w:t>
            </w:r>
          </w:p>
        </w:tc>
        <w:tc>
          <w:tcPr>
            <w:tcW w:w="6423" w:type="dxa"/>
            <w:vAlign w:val="center"/>
          </w:tcPr>
          <w:p w14:paraId="6489A5E3" w14:textId="0FD1305F" w:rsidR="006809A3" w:rsidRPr="001121E1" w:rsidRDefault="006809A3" w:rsidP="006809A3">
            <w:pPr>
              <w:wordWrap/>
              <w:adjustRightInd w:val="0"/>
              <w:jc w:val="left"/>
              <w:rPr>
                <w:rFonts w:eastAsiaTheme="minorHAnsi" w:cs="THELuxGo"/>
                <w:kern w:val="0"/>
                <w:szCs w:val="20"/>
              </w:rPr>
            </w:pPr>
            <w:r w:rsidRPr="003D722F">
              <w:rPr>
                <w:rFonts w:eastAsiaTheme="minorHAnsi" w:cs="THELuxGo"/>
                <w:kern w:val="0"/>
                <w:szCs w:val="20"/>
              </w:rPr>
              <w:t>ნერვული სისტემა: პარესთეზია, პარეზი, სენსორული დარღვევები</w:t>
            </w:r>
          </w:p>
        </w:tc>
      </w:tr>
      <w:tr w:rsidR="006809A3" w:rsidRPr="001121E1" w14:paraId="444E0153" w14:textId="52F108DB" w:rsidTr="006809A3">
        <w:trPr>
          <w:trHeight w:val="138"/>
        </w:trPr>
        <w:tc>
          <w:tcPr>
            <w:tcW w:w="2533" w:type="dxa"/>
            <w:vMerge/>
            <w:vAlign w:val="center"/>
          </w:tcPr>
          <w:p w14:paraId="1DF06CD6" w14:textId="77777777" w:rsidR="006809A3" w:rsidRPr="001121E1" w:rsidRDefault="006809A3" w:rsidP="006809A3">
            <w:pPr>
              <w:wordWrap/>
              <w:adjustRightInd w:val="0"/>
              <w:rPr>
                <w:rFonts w:eastAsiaTheme="minorHAnsi" w:cs="THELuxGo"/>
                <w:kern w:val="0"/>
                <w:szCs w:val="20"/>
              </w:rPr>
            </w:pPr>
          </w:p>
        </w:tc>
        <w:tc>
          <w:tcPr>
            <w:tcW w:w="6423" w:type="dxa"/>
            <w:vAlign w:val="center"/>
          </w:tcPr>
          <w:p w14:paraId="2B8C1A3F" w14:textId="31896391" w:rsidR="006809A3" w:rsidRPr="001121E1" w:rsidRDefault="006809A3" w:rsidP="006809A3">
            <w:pPr>
              <w:wordWrap/>
              <w:adjustRightInd w:val="0"/>
              <w:jc w:val="left"/>
              <w:rPr>
                <w:rFonts w:eastAsiaTheme="minorHAnsi" w:cs="THELuxGo"/>
                <w:kern w:val="0"/>
                <w:szCs w:val="20"/>
              </w:rPr>
            </w:pPr>
            <w:r w:rsidRPr="003D722F">
              <w:rPr>
                <w:rFonts w:eastAsiaTheme="minorHAnsi" w:cs="THELuxGo"/>
                <w:kern w:val="0"/>
                <w:szCs w:val="20"/>
              </w:rPr>
              <w:t>კუნთოვანი სისტემა: კუნთების სისუსტე, ზურგის ტკივილი</w:t>
            </w:r>
          </w:p>
        </w:tc>
      </w:tr>
      <w:tr w:rsidR="006809A3" w:rsidRPr="001121E1" w14:paraId="04AA3A2D" w14:textId="4B426CFA" w:rsidTr="006809A3">
        <w:trPr>
          <w:trHeight w:val="332"/>
        </w:trPr>
        <w:tc>
          <w:tcPr>
            <w:tcW w:w="2533" w:type="dxa"/>
            <w:vMerge w:val="restart"/>
            <w:vAlign w:val="center"/>
          </w:tcPr>
          <w:p w14:paraId="7F95A56A" w14:textId="77777777" w:rsidR="006809A3" w:rsidRPr="001121E1" w:rsidRDefault="006809A3" w:rsidP="006809A3">
            <w:pPr>
              <w:wordWrap/>
              <w:adjustRightInd w:val="0"/>
              <w:rPr>
                <w:rFonts w:eastAsiaTheme="minorHAnsi" w:cs="THELuxGo"/>
                <w:kern w:val="0"/>
                <w:szCs w:val="20"/>
              </w:rPr>
            </w:pPr>
            <w:r w:rsidRPr="001121E1">
              <w:rPr>
                <w:rFonts w:eastAsiaTheme="minorHAnsi" w:cs="THELuxGo"/>
                <w:kern w:val="0"/>
                <w:szCs w:val="20"/>
              </w:rPr>
              <w:t>იშვიათი (&lt;1/1,000)</w:t>
            </w:r>
          </w:p>
        </w:tc>
        <w:tc>
          <w:tcPr>
            <w:tcW w:w="6423" w:type="dxa"/>
            <w:vAlign w:val="center"/>
          </w:tcPr>
          <w:p w14:paraId="2AF7D2AA" w14:textId="759BBC47" w:rsidR="006809A3" w:rsidRPr="001121E1" w:rsidRDefault="006809A3" w:rsidP="006809A3">
            <w:pPr>
              <w:wordWrap/>
              <w:adjustRightInd w:val="0"/>
              <w:jc w:val="left"/>
              <w:rPr>
                <w:rFonts w:eastAsiaTheme="minorHAnsi" w:cs="THELuxGo"/>
                <w:kern w:val="0"/>
                <w:szCs w:val="20"/>
              </w:rPr>
            </w:pPr>
            <w:r w:rsidRPr="003D722F">
              <w:rPr>
                <w:rFonts w:eastAsiaTheme="minorHAnsi" w:cs="THELuxGo"/>
                <w:kern w:val="0"/>
                <w:szCs w:val="20"/>
              </w:rPr>
              <w:t>გულ-სისხლძარღვთა სისტემა: გულის გაჩერება</w:t>
            </w:r>
          </w:p>
        </w:tc>
      </w:tr>
      <w:tr w:rsidR="006809A3" w:rsidRPr="001121E1" w14:paraId="6CFE5EF6" w14:textId="2B1B8AF4" w:rsidTr="006809A3">
        <w:trPr>
          <w:trHeight w:val="138"/>
        </w:trPr>
        <w:tc>
          <w:tcPr>
            <w:tcW w:w="2533" w:type="dxa"/>
            <w:vMerge/>
            <w:vAlign w:val="center"/>
          </w:tcPr>
          <w:p w14:paraId="11869536" w14:textId="77777777" w:rsidR="006809A3" w:rsidRPr="001121E1" w:rsidRDefault="006809A3" w:rsidP="006809A3">
            <w:pPr>
              <w:wordWrap/>
              <w:adjustRightInd w:val="0"/>
              <w:rPr>
                <w:rFonts w:eastAsiaTheme="minorHAnsi" w:cs="THELuxGo"/>
                <w:kern w:val="0"/>
                <w:szCs w:val="20"/>
              </w:rPr>
            </w:pPr>
          </w:p>
        </w:tc>
        <w:tc>
          <w:tcPr>
            <w:tcW w:w="6423" w:type="dxa"/>
            <w:vAlign w:val="center"/>
          </w:tcPr>
          <w:p w14:paraId="7316F7B1" w14:textId="1F76AF40" w:rsidR="006809A3" w:rsidRPr="001121E1" w:rsidRDefault="006809A3" w:rsidP="006809A3">
            <w:pPr>
              <w:wordWrap/>
              <w:adjustRightInd w:val="0"/>
              <w:jc w:val="left"/>
              <w:rPr>
                <w:rFonts w:eastAsiaTheme="minorHAnsi" w:cs="THELuxGo"/>
                <w:kern w:val="0"/>
                <w:szCs w:val="20"/>
              </w:rPr>
            </w:pPr>
            <w:r w:rsidRPr="003D722F">
              <w:rPr>
                <w:rFonts w:eastAsiaTheme="minorHAnsi" w:cs="THELuxGo"/>
                <w:kern w:val="0"/>
                <w:szCs w:val="20"/>
              </w:rPr>
              <w:t>ზოგადი დარღვევები: ალერგიული რეაქციები, ანაფილაქსიური შოკი</w:t>
            </w:r>
          </w:p>
        </w:tc>
      </w:tr>
      <w:tr w:rsidR="006809A3" w:rsidRPr="001121E1" w14:paraId="0EA4F1E1" w14:textId="731F9592" w:rsidTr="006809A3">
        <w:trPr>
          <w:trHeight w:val="138"/>
        </w:trPr>
        <w:tc>
          <w:tcPr>
            <w:tcW w:w="2533" w:type="dxa"/>
            <w:vMerge/>
            <w:vAlign w:val="center"/>
          </w:tcPr>
          <w:p w14:paraId="758DE1C6" w14:textId="77777777" w:rsidR="006809A3" w:rsidRPr="001121E1" w:rsidRDefault="006809A3" w:rsidP="006809A3">
            <w:pPr>
              <w:wordWrap/>
              <w:adjustRightInd w:val="0"/>
              <w:rPr>
                <w:rFonts w:eastAsiaTheme="minorHAnsi" w:cs="THELuxGo"/>
                <w:kern w:val="0"/>
                <w:szCs w:val="20"/>
              </w:rPr>
            </w:pPr>
          </w:p>
        </w:tc>
        <w:tc>
          <w:tcPr>
            <w:tcW w:w="6423" w:type="dxa"/>
            <w:vAlign w:val="center"/>
          </w:tcPr>
          <w:p w14:paraId="5F1B6409" w14:textId="73D91486" w:rsidR="006809A3" w:rsidRPr="001121E1" w:rsidRDefault="006809A3" w:rsidP="006809A3">
            <w:pPr>
              <w:wordWrap/>
              <w:adjustRightInd w:val="0"/>
              <w:jc w:val="left"/>
              <w:rPr>
                <w:rFonts w:eastAsiaTheme="minorHAnsi" w:cs="THELuxGo"/>
                <w:kern w:val="0"/>
                <w:szCs w:val="20"/>
              </w:rPr>
            </w:pPr>
            <w:r w:rsidRPr="003D722F">
              <w:rPr>
                <w:rFonts w:eastAsiaTheme="minorHAnsi" w:cs="THELuxGo"/>
                <w:kern w:val="0"/>
                <w:szCs w:val="20"/>
              </w:rPr>
              <w:t>ცენტრალური ნერვული სისტემა (ცნს):</w:t>
            </w:r>
            <w:r>
              <w:t xml:space="preserve">შემთხვევითი სრული ხერხემლის ბლოკადა </w:t>
            </w:r>
            <w:r w:rsidRPr="003D722F">
              <w:rPr>
                <w:rFonts w:eastAsiaTheme="minorHAnsi" w:cs="THELuxGo"/>
                <w:kern w:val="0"/>
                <w:szCs w:val="20"/>
              </w:rPr>
              <w:t>, ცხენის კუდის სინდრომი, დამბლა, ნევროლოგიური დარღვევები, არაქნოიდიტი</w:t>
            </w:r>
          </w:p>
        </w:tc>
      </w:tr>
      <w:tr w:rsidR="006809A3" w:rsidRPr="001121E1" w14:paraId="0879250C" w14:textId="0395FA9E" w:rsidTr="006809A3">
        <w:trPr>
          <w:trHeight w:val="138"/>
        </w:trPr>
        <w:tc>
          <w:tcPr>
            <w:tcW w:w="2533" w:type="dxa"/>
            <w:vMerge/>
            <w:vAlign w:val="center"/>
          </w:tcPr>
          <w:p w14:paraId="68DFF55D" w14:textId="77777777" w:rsidR="006809A3" w:rsidRPr="001121E1" w:rsidRDefault="006809A3" w:rsidP="006809A3">
            <w:pPr>
              <w:wordWrap/>
              <w:adjustRightInd w:val="0"/>
              <w:rPr>
                <w:rFonts w:eastAsiaTheme="minorHAnsi" w:cs="THELuxGo"/>
                <w:kern w:val="0"/>
                <w:szCs w:val="20"/>
              </w:rPr>
            </w:pPr>
          </w:p>
        </w:tc>
        <w:tc>
          <w:tcPr>
            <w:tcW w:w="6423" w:type="dxa"/>
            <w:vAlign w:val="center"/>
          </w:tcPr>
          <w:p w14:paraId="72D4EC90" w14:textId="2FF761D3" w:rsidR="006809A3" w:rsidRPr="001121E1" w:rsidRDefault="006809A3" w:rsidP="006809A3">
            <w:pPr>
              <w:wordWrap/>
              <w:adjustRightInd w:val="0"/>
              <w:rPr>
                <w:rFonts w:eastAsiaTheme="minorHAnsi" w:cs="THELuxGo"/>
                <w:kern w:val="0"/>
                <w:szCs w:val="20"/>
              </w:rPr>
            </w:pPr>
            <w:r w:rsidRPr="003D722F">
              <w:rPr>
                <w:rFonts w:eastAsiaTheme="minorHAnsi" w:cs="THELuxGo"/>
                <w:kern w:val="0"/>
                <w:szCs w:val="20"/>
              </w:rPr>
              <w:t>სასუნთქი სისტემა: სუნთქვის დათრგუნვა</w:t>
            </w:r>
          </w:p>
        </w:tc>
      </w:tr>
    </w:tbl>
    <w:p w14:paraId="4B2C2102" w14:textId="76FB1D6B" w:rsidR="00BE7481" w:rsidRPr="001121E1" w:rsidRDefault="00BE7481" w:rsidP="00BE7481">
      <w:pPr>
        <w:wordWrap/>
        <w:adjustRightInd w:val="0"/>
        <w:spacing w:after="0" w:line="240" w:lineRule="auto"/>
        <w:rPr>
          <w:rFonts w:eastAsiaTheme="minorHAnsi" w:cs="THELuxGo"/>
          <w:kern w:val="0"/>
          <w:szCs w:val="20"/>
        </w:rPr>
      </w:pPr>
    </w:p>
    <w:p w14:paraId="54F23ED1" w14:textId="2F79CC67" w:rsidR="001121E1" w:rsidRPr="00C954D3" w:rsidRDefault="001121E1" w:rsidP="001121E1">
      <w:pPr>
        <w:wordWrap/>
        <w:adjustRightInd w:val="0"/>
        <w:spacing w:after="0" w:line="240" w:lineRule="auto"/>
        <w:rPr>
          <w:rFonts w:eastAsiaTheme="minorHAnsi" w:cs="THELuxGo"/>
          <w:b/>
          <w:kern w:val="0"/>
          <w:szCs w:val="20"/>
        </w:rPr>
      </w:pPr>
      <w:r w:rsidRPr="00C954D3">
        <w:rPr>
          <w:rFonts w:eastAsiaTheme="minorHAnsi" w:cs="THELuxGo"/>
          <w:b/>
          <w:kern w:val="0"/>
          <w:szCs w:val="20"/>
        </w:rPr>
        <w:t>4. ზოგადი სიფრთხილის ზომები</w:t>
      </w:r>
    </w:p>
    <w:p w14:paraId="53E9C560" w14:textId="62BDC052" w:rsidR="001121E1" w:rsidRPr="001121E1" w:rsidRDefault="001121E1" w:rsidP="001121E1">
      <w:pPr>
        <w:wordWrap/>
        <w:adjustRightInd w:val="0"/>
        <w:spacing w:after="0" w:line="240" w:lineRule="auto"/>
        <w:rPr>
          <w:rFonts w:eastAsiaTheme="minorHAnsi" w:cs="THELuxGo"/>
          <w:kern w:val="0"/>
          <w:szCs w:val="20"/>
        </w:rPr>
      </w:pPr>
      <w:r>
        <w:rPr>
          <w:rFonts w:eastAsiaTheme="minorHAnsi" w:cs="THELuxGo" w:hint="eastAsia"/>
          <w:kern w:val="0"/>
          <w:szCs w:val="20"/>
        </w:rPr>
        <w:t xml:space="preserve">1 </w:t>
      </w:r>
      <w:r>
        <w:rPr>
          <w:rFonts w:eastAsiaTheme="minorHAnsi" w:cs="THELuxGo"/>
          <w:kern w:val="0"/>
          <w:szCs w:val="20"/>
        </w:rPr>
        <w:t>) რადგან შოკი ან სხვა მძიმე გვერდითი რეაქციები შეიძლება იშვიათად განვითარდეს, მიზანშეწონილია უზრუნველყოთ, რომ ადგილობრივი ანესთეტიკის შეყვანისთანავე დაუყოვნებლივ იქნას მიღებული გადაუდებელი მკურნალობის ზომები.</w:t>
      </w:r>
    </w:p>
    <w:p w14:paraId="7433A8AA" w14:textId="58690214" w:rsidR="001121E1" w:rsidRPr="001121E1" w:rsidRDefault="001121E1" w:rsidP="001121E1">
      <w:pPr>
        <w:wordWrap/>
        <w:adjustRightInd w:val="0"/>
        <w:spacing w:after="0" w:line="240" w:lineRule="auto"/>
        <w:rPr>
          <w:rFonts w:eastAsiaTheme="minorHAnsi" w:cs="THELuxGo"/>
          <w:kern w:val="0"/>
          <w:szCs w:val="20"/>
        </w:rPr>
      </w:pPr>
      <w:r>
        <w:rPr>
          <w:rFonts w:eastAsiaTheme="minorHAnsi" w:cs="THELuxGo" w:hint="eastAsia"/>
          <w:kern w:val="0"/>
          <w:szCs w:val="20"/>
        </w:rPr>
        <w:t xml:space="preserve">2 </w:t>
      </w:r>
      <w:r>
        <w:rPr>
          <w:rFonts w:eastAsiaTheme="minorHAnsi" w:cs="THELuxGo"/>
          <w:kern w:val="0"/>
          <w:szCs w:val="20"/>
        </w:rPr>
        <w:t>) ზურგის ტვინის ანესთეზიამ ზოგჯერ შეიძლება გამოიწვიოს ინტენსიური ანესთეზია, რასაც თან ახლავს ნეკნთაშუა კუნთებისა და დიაფრაგმის დამბლა, განსაკუთრებით ორსულ ქალებში.</w:t>
      </w:r>
    </w:p>
    <w:p w14:paraId="65794EF5" w14:textId="4629AF4A" w:rsidR="001121E1" w:rsidRPr="001121E1" w:rsidRDefault="001121E1" w:rsidP="001121E1">
      <w:pPr>
        <w:wordWrap/>
        <w:adjustRightInd w:val="0"/>
        <w:spacing w:after="0" w:line="240" w:lineRule="auto"/>
        <w:rPr>
          <w:rFonts w:eastAsiaTheme="minorHAnsi" w:cs="THELuxGo"/>
          <w:kern w:val="0"/>
          <w:szCs w:val="20"/>
        </w:rPr>
      </w:pPr>
      <w:r>
        <w:rPr>
          <w:rFonts w:eastAsiaTheme="minorHAnsi" w:cs="THELuxGo"/>
          <w:kern w:val="0"/>
          <w:szCs w:val="20"/>
        </w:rPr>
        <w:t>3) მეორე ან მესამე ხარისხის ატრიოვენტრიკულური (AV) ბლოკადის მქონე პაციენტების მკურნალობა სიფრთხილით უნდა მოხდეს, რადგან ადგილობრივმა ანესთეტიკებმა შეიძლება კიდევ უფრო დააქვეითოს მიოკარდიუმის გამტარობა. განსაკუთრებული სიფრთხილეა საჭირო ამ პროდუქტის ხანდაზმულ პაციენტებში, ღვიძლის მძიმე უკმარისობის, თირკმლის მძიმე უკმარისობის მქონე ან ზოგადად დასუსტებულ პაციენტებში გამოყენებისას.</w:t>
      </w:r>
    </w:p>
    <w:p w14:paraId="47765AB5" w14:textId="6EB5BE62" w:rsidR="001121E1" w:rsidRPr="001121E1" w:rsidRDefault="001121E1" w:rsidP="001121E1">
      <w:pPr>
        <w:wordWrap/>
        <w:adjustRightInd w:val="0"/>
        <w:spacing w:after="0" w:line="240" w:lineRule="auto"/>
        <w:rPr>
          <w:rFonts w:eastAsiaTheme="minorHAnsi" w:cs="THELuxGo"/>
          <w:kern w:val="0"/>
          <w:szCs w:val="20"/>
        </w:rPr>
      </w:pPr>
      <w:r w:rsidRPr="001121E1">
        <w:rPr>
          <w:rFonts w:eastAsiaTheme="minorHAnsi" w:cs="THELuxGo"/>
          <w:kern w:val="0"/>
          <w:szCs w:val="20"/>
        </w:rPr>
        <w:t>4) რადგან ბუპივაკაინის და III კლასის ანტიარითმული პრეპარატების გულზე ეფექტები შეიძლება იყოს ადიტიური, პაციენტები, რომლებიც იღებენ III კლასის ანტიარითმულ პრეპარატებს (მაგ., ამიოდარონს), უნდა იმყოფებოდნენ მჭიდრო მეთვალყურეობის ქვეშ და უნდა განიხილონ ეკგ-მონიტორინგი.</w:t>
      </w:r>
    </w:p>
    <w:p w14:paraId="3719E757" w14:textId="511820A8" w:rsidR="001121E1" w:rsidRPr="001121E1" w:rsidRDefault="001121E1" w:rsidP="001121E1">
      <w:pPr>
        <w:wordWrap/>
        <w:adjustRightInd w:val="0"/>
        <w:spacing w:after="0" w:line="240" w:lineRule="auto"/>
        <w:rPr>
          <w:rFonts w:eastAsiaTheme="minorHAnsi" w:cs="THELuxGo"/>
          <w:kern w:val="0"/>
          <w:szCs w:val="20"/>
        </w:rPr>
      </w:pPr>
      <w:r>
        <w:rPr>
          <w:rFonts w:eastAsiaTheme="minorHAnsi" w:cs="THELuxGo"/>
          <w:kern w:val="0"/>
          <w:szCs w:val="20"/>
        </w:rPr>
        <w:t>5) სხვა ადგილობრივი ანესთეტიკების მსგავსად, ბუპივაკაინის მაღალმა სისტემურმა კონცენტრაციამ სისხლში შეიძლება გამოიწვიოს ცენტრალური ნერვული სისტემის და გულ-სისხლძარღვთა სისტემის მწვავე გვერდითი რეაქციები. ეს განსაკუთრებით სავარაუდოა შემთხვევითი ინტრავასკულარული შეყვანის ან მაღალი ვასკულარიზაციის ადგილებში ინექციის შემდეგ. ბუპივაკაინის მაღალ სისტემურ კონცენტრაციებთან დაკავშირებით აღწერილია პარკუჭოვანი არითმიები, პარკუჭოვანი ფიბრილაცია, უეცარი გულ-სისხლძარღვთა კოლაფსი და სიკვდილი. თუმცა, სპინალური ანესთეზიისთვის ჩვეულებრივ გამოყენებული დოზების გამოყენებისას, პლაზმური სისტემური კონცენტრაციების მაღალი მაჩვენებელი იშვიათად აღინიშნება. სპინალური ანესთეზიის იშვიათი, მაგრამ სერიოზული გართულებაა ვრცელი ან სრული სპინალური ბლოკადა, რამაც შეიძლება გამოიწვიოს გულ-სისხლძარღვთა და სუნთქვის დათრგუნვა. გულ-სისხლძარღვთა დათრგუნვა გამოწვეულია ვრცელი სიმპათიკური ბლოკადით და შეიძლება გამოიწვიოს ჰიპოტენზია, ბრადიკარდია ან გულის გაჩერება. სუნთქვის დათრგუნვა შეიძლება გამოწვეული იყოს სასუნთქი კუნთების, მათ შორის დიაფრაგმის, დამბლით. ხანდაზმულ პაციენტებს და ორსულობის გვიან პერიოდში მყოფ ქალებს ვრცელი ან სრული სპინალური ბლოკადის მომატებული რისკი აქვთ; ამიტომ, ამ პაციენტებში დოზის შემცირება უნდა განიხილონ.</w:t>
      </w:r>
    </w:p>
    <w:p w14:paraId="0494DA0F" w14:textId="5DC32349" w:rsidR="001121E1" w:rsidRPr="001121E1" w:rsidRDefault="001121E1" w:rsidP="001121E1">
      <w:pPr>
        <w:wordWrap/>
        <w:adjustRightInd w:val="0"/>
        <w:spacing w:after="0" w:line="240" w:lineRule="auto"/>
        <w:rPr>
          <w:rFonts w:eastAsiaTheme="minorHAnsi" w:cs="THELuxGo"/>
          <w:kern w:val="0"/>
          <w:szCs w:val="20"/>
        </w:rPr>
      </w:pPr>
      <w:r>
        <w:rPr>
          <w:rFonts w:eastAsiaTheme="minorHAnsi" w:cs="THELuxGo"/>
          <w:kern w:val="0"/>
          <w:szCs w:val="20"/>
        </w:rPr>
        <w:t xml:space="preserve">6) სპინალურმა ანესთეზიამ შეიძლება გამოიწვიოს ჰიპოტენზია და ბრადიკარდია. რისკის შემცირება შესაძლებელია კრისტალოიდური ან კოლოიდური ხსნარების ინტრავენური შეყვანით. ჰიპოტენზიის </w:t>
      </w:r>
      <w:r>
        <w:rPr>
          <w:rFonts w:eastAsiaTheme="minorHAnsi" w:cs="THELuxGo"/>
          <w:kern w:val="0"/>
          <w:szCs w:val="20"/>
        </w:rPr>
        <w:lastRenderedPageBreak/>
        <w:t>მკურნალობა დაუყოვნებლივ უნდა მოხდეს, მაგალითად, ეფედრინის 5-10 მგ ინტრავენური შეყვანით, საჭიროებისამებრ განმეორებით.</w:t>
      </w:r>
    </w:p>
    <w:p w14:paraId="4BABE626" w14:textId="4915BD95" w:rsidR="001121E1" w:rsidRPr="001121E1" w:rsidRDefault="001121E1" w:rsidP="001121E1">
      <w:pPr>
        <w:wordWrap/>
        <w:adjustRightInd w:val="0"/>
        <w:spacing w:after="0" w:line="240" w:lineRule="auto"/>
        <w:rPr>
          <w:rFonts w:eastAsiaTheme="minorHAnsi" w:cs="THELuxGo"/>
          <w:kern w:val="0"/>
          <w:szCs w:val="20"/>
        </w:rPr>
      </w:pPr>
      <w:r w:rsidRPr="001121E1">
        <w:rPr>
          <w:rFonts w:eastAsiaTheme="minorHAnsi" w:cs="THELuxGo"/>
          <w:kern w:val="0"/>
          <w:szCs w:val="20"/>
        </w:rPr>
        <w:t>7) იშვიათ შემთხვევებში, სპინალურმა ანესთეზიამ შეიძლება გამოიწვიოს ნევროლოგიური დაზიანება, რაც იწვევს პარესთეზიას, მგრძნობელობის დაკარგვას, მოტორულ სისუსტეს ან დამბლას. ნევროლოგიური დარღვევები, როგორიცაა გაფანტული სკლეროზი, ჰემიპლეგია, პარაპლეგია და ნერვ-კუნთოვანი დარღვევები, არ ითვლება სპინალური ანესთეზიის გვერდით ეფექტებად, მაგრამ განსაკუთრებულ სიფრთხილეს მოითხოვს.</w:t>
      </w:r>
    </w:p>
    <w:p w14:paraId="1E2CE1E9" w14:textId="1ED36574" w:rsidR="001121E1" w:rsidRPr="001121E1" w:rsidRDefault="001121E1" w:rsidP="001121E1">
      <w:pPr>
        <w:wordWrap/>
        <w:adjustRightInd w:val="0"/>
        <w:spacing w:after="0" w:line="240" w:lineRule="auto"/>
        <w:rPr>
          <w:rFonts w:eastAsiaTheme="minorHAnsi" w:cs="THELuxGo"/>
          <w:kern w:val="0"/>
          <w:szCs w:val="20"/>
        </w:rPr>
      </w:pPr>
      <w:r>
        <w:rPr>
          <w:rFonts w:eastAsiaTheme="minorHAnsi" w:cs="THELuxGo"/>
          <w:kern w:val="0"/>
          <w:szCs w:val="20"/>
        </w:rPr>
        <w:t>8) დოზიდან და მიღების მეთოდიდან გამომდინარე, ბუპივაკაინმა შეიძლება დროებით დააქვეითოს მოტორული ფუნქცია და კოორდინაცია.</w:t>
      </w:r>
    </w:p>
    <w:p w14:paraId="3AE35D85" w14:textId="77777777" w:rsidR="001121E1" w:rsidRPr="001121E1" w:rsidRDefault="001121E1" w:rsidP="001121E1">
      <w:pPr>
        <w:wordWrap/>
        <w:adjustRightInd w:val="0"/>
        <w:spacing w:after="0" w:line="240" w:lineRule="auto"/>
        <w:rPr>
          <w:rFonts w:eastAsiaTheme="minorHAnsi" w:cs="THELuxGo"/>
          <w:kern w:val="0"/>
          <w:szCs w:val="20"/>
        </w:rPr>
      </w:pPr>
    </w:p>
    <w:p w14:paraId="4C8B37B7" w14:textId="12527715" w:rsidR="001121E1" w:rsidRPr="00C954D3" w:rsidRDefault="001121E1" w:rsidP="001121E1">
      <w:pPr>
        <w:wordWrap/>
        <w:adjustRightInd w:val="0"/>
        <w:spacing w:after="0" w:line="240" w:lineRule="auto"/>
        <w:rPr>
          <w:rFonts w:eastAsiaTheme="minorHAnsi" w:cs="THELuxGo"/>
          <w:b/>
          <w:kern w:val="0"/>
          <w:szCs w:val="20"/>
        </w:rPr>
      </w:pPr>
      <w:r w:rsidRPr="00C954D3">
        <w:rPr>
          <w:rFonts w:eastAsiaTheme="minorHAnsi" w:cs="THELuxGo"/>
          <w:b/>
          <w:kern w:val="0"/>
          <w:szCs w:val="20"/>
        </w:rPr>
        <w:t>5. წამლის ურთიერთქმედება</w:t>
      </w:r>
    </w:p>
    <w:p w14:paraId="13E541B2" w14:textId="77777777" w:rsidR="001121E1" w:rsidRPr="001121E1" w:rsidRDefault="001121E1" w:rsidP="001121E1">
      <w:pPr>
        <w:wordWrap/>
        <w:adjustRightInd w:val="0"/>
        <w:spacing w:after="0" w:line="240" w:lineRule="auto"/>
        <w:rPr>
          <w:rFonts w:eastAsiaTheme="minorHAnsi" w:cs="THELuxGo"/>
          <w:kern w:val="0"/>
          <w:szCs w:val="20"/>
        </w:rPr>
      </w:pPr>
      <w:r w:rsidRPr="001121E1">
        <w:rPr>
          <w:rFonts w:eastAsiaTheme="minorHAnsi" w:cs="THELuxGo"/>
          <w:kern w:val="0"/>
          <w:szCs w:val="20"/>
        </w:rPr>
        <w:t>ამ პროდუქტის სხვა ადგილობრივ ანესთეტიკებთან ან ადგილობრივ ანესთეტიკებთან სტრუქტურულად დაკავშირებულ პრეპარატებთან (მაგ., IB კლასის ანტიარითმული საშუალებები) ერთდროულმა გამოყენებამ შეიძლება გაზარდოს გვერდითი რეაქციების რისკი და უნდა იქნას გამოყენებული სიფრთხილით.</w:t>
      </w:r>
    </w:p>
    <w:p w14:paraId="62B7A792" w14:textId="2CAAE188" w:rsidR="006846C5" w:rsidRDefault="001121E1" w:rsidP="001121E1">
      <w:pPr>
        <w:wordWrap/>
        <w:adjustRightInd w:val="0"/>
        <w:spacing w:after="0" w:line="240" w:lineRule="auto"/>
        <w:rPr>
          <w:rFonts w:eastAsiaTheme="minorHAnsi" w:cs="THELuxGo"/>
          <w:kern w:val="0"/>
          <w:szCs w:val="20"/>
        </w:rPr>
      </w:pPr>
      <w:r w:rsidRPr="001121E1">
        <w:rPr>
          <w:rFonts w:eastAsiaTheme="minorHAnsi" w:cs="THELuxGo"/>
          <w:kern w:val="0"/>
          <w:szCs w:val="20"/>
        </w:rPr>
        <w:t>მიუხედავად იმისა, რომ ადგილობრივ ანესთეტიკებთან და III კლასის ანტიარითმულ საშუალებებთან (მაგ., ამიოდარონი) ურთიერთქმედების სპეციფიკური კვლევები არ ჩატარებულა, რეკომენდებულია სიფრთხილის გამოჩენა. ბუპივაკაინმა ასევე შეიძლება ურთიერთქმედება მოახდინოს ციმეტიდინთან.</w:t>
      </w:r>
    </w:p>
    <w:p w14:paraId="3FC5AA2E" w14:textId="77777777" w:rsidR="00834052" w:rsidRPr="00834052" w:rsidRDefault="00834052" w:rsidP="001121E1">
      <w:pPr>
        <w:wordWrap/>
        <w:adjustRightInd w:val="0"/>
        <w:spacing w:after="0" w:line="240" w:lineRule="auto"/>
        <w:rPr>
          <w:rFonts w:eastAsiaTheme="minorHAnsi" w:cs="THELuxGo"/>
          <w:kern w:val="0"/>
          <w:szCs w:val="20"/>
        </w:rPr>
      </w:pPr>
    </w:p>
    <w:p w14:paraId="402AD57D" w14:textId="482C3345" w:rsidR="001121E1" w:rsidRPr="00C954D3" w:rsidRDefault="001121E1" w:rsidP="001121E1">
      <w:pPr>
        <w:wordWrap/>
        <w:adjustRightInd w:val="0"/>
        <w:spacing w:after="0" w:line="240" w:lineRule="auto"/>
        <w:rPr>
          <w:rFonts w:eastAsiaTheme="minorHAnsi" w:cs="THELuxGo"/>
          <w:b/>
          <w:kern w:val="0"/>
          <w:szCs w:val="20"/>
        </w:rPr>
      </w:pPr>
      <w:r w:rsidRPr="00C954D3">
        <w:rPr>
          <w:rFonts w:eastAsiaTheme="minorHAnsi" w:cs="THELuxGo"/>
          <w:b/>
          <w:kern w:val="0"/>
          <w:szCs w:val="20"/>
        </w:rPr>
        <w:t>6. გამოყენება ორსულობისა და ლაქტაციის დროს</w:t>
      </w:r>
    </w:p>
    <w:p w14:paraId="114ACA07" w14:textId="60028105" w:rsidR="001121E1" w:rsidRPr="001121E1" w:rsidRDefault="001121E1" w:rsidP="001121E1">
      <w:pPr>
        <w:wordWrap/>
        <w:adjustRightInd w:val="0"/>
        <w:spacing w:after="0" w:line="240" w:lineRule="auto"/>
        <w:rPr>
          <w:rFonts w:eastAsiaTheme="minorHAnsi" w:cs="THELuxGo"/>
          <w:kern w:val="0"/>
          <w:szCs w:val="20"/>
        </w:rPr>
      </w:pPr>
      <w:r>
        <w:rPr>
          <w:rFonts w:eastAsiaTheme="minorHAnsi" w:cs="THELuxGo"/>
          <w:kern w:val="0"/>
          <w:szCs w:val="20"/>
        </w:rPr>
        <w:t>- ორსულობა</w:t>
      </w:r>
    </w:p>
    <w:p w14:paraId="7DA885FB" w14:textId="77777777" w:rsidR="001121E1" w:rsidRPr="001121E1" w:rsidRDefault="001121E1" w:rsidP="001121E1">
      <w:pPr>
        <w:wordWrap/>
        <w:adjustRightInd w:val="0"/>
        <w:spacing w:after="0" w:line="240" w:lineRule="auto"/>
        <w:rPr>
          <w:rFonts w:eastAsiaTheme="minorHAnsi" w:cs="THELuxGo"/>
          <w:kern w:val="0"/>
          <w:szCs w:val="20"/>
        </w:rPr>
      </w:pPr>
      <w:r w:rsidRPr="001121E1">
        <w:rPr>
          <w:rFonts w:eastAsiaTheme="minorHAnsi" w:cs="THELuxGo"/>
          <w:kern w:val="0"/>
          <w:szCs w:val="20"/>
        </w:rPr>
        <w:t>ორსულობის დროს ამ პროდუქტის ნაყოფზე ზემოქმედება სრულად დადგენილი არ არის. ორსულობის გვიან პერიოდში ქალებში დოზის შემცირება უნდა განიხილებოდეს.</w:t>
      </w:r>
    </w:p>
    <w:p w14:paraId="4D5CA893" w14:textId="1755DD7C" w:rsidR="001121E1" w:rsidRPr="001121E1" w:rsidRDefault="001121E1" w:rsidP="001121E1">
      <w:pPr>
        <w:wordWrap/>
        <w:adjustRightInd w:val="0"/>
        <w:spacing w:after="0" w:line="240" w:lineRule="auto"/>
        <w:rPr>
          <w:rFonts w:eastAsiaTheme="minorHAnsi" w:cs="THELuxGo"/>
          <w:kern w:val="0"/>
          <w:szCs w:val="20"/>
        </w:rPr>
      </w:pPr>
      <w:r>
        <w:rPr>
          <w:rFonts w:eastAsiaTheme="minorHAnsi" w:cs="THELuxGo"/>
          <w:kern w:val="0"/>
          <w:szCs w:val="20"/>
        </w:rPr>
        <w:t>- ლაქტაცია</w:t>
      </w:r>
    </w:p>
    <w:p w14:paraId="2B0E67CE" w14:textId="3BF4E544" w:rsidR="001121E1" w:rsidRDefault="001121E1" w:rsidP="001121E1">
      <w:pPr>
        <w:wordWrap/>
        <w:adjustRightInd w:val="0"/>
        <w:spacing w:after="0" w:line="240" w:lineRule="auto"/>
        <w:rPr>
          <w:rFonts w:eastAsiaTheme="minorHAnsi" w:cs="THELuxGo"/>
          <w:kern w:val="0"/>
          <w:szCs w:val="20"/>
        </w:rPr>
      </w:pPr>
      <w:r w:rsidRPr="001121E1">
        <w:rPr>
          <w:rFonts w:eastAsiaTheme="minorHAnsi" w:cs="THELuxGo"/>
          <w:kern w:val="0"/>
          <w:szCs w:val="20"/>
        </w:rPr>
        <w:t>ბუპივაკაინი გამოიყოფა დედის რძეში; თუმცა, თერაპიული დოზებით მიღებისას, ძუძუთი კვებაზე მყოფ ბავშვებში გვერდითი მოვლენების რისკი უმნიშვნელოდ ითვლება.</w:t>
      </w:r>
    </w:p>
    <w:p w14:paraId="377E2427" w14:textId="77777777" w:rsidR="00834052" w:rsidRPr="001121E1" w:rsidRDefault="00834052" w:rsidP="001121E1">
      <w:pPr>
        <w:wordWrap/>
        <w:adjustRightInd w:val="0"/>
        <w:spacing w:after="0" w:line="240" w:lineRule="auto"/>
        <w:rPr>
          <w:rFonts w:eastAsiaTheme="minorHAnsi" w:cs="THELuxGo"/>
          <w:kern w:val="0"/>
          <w:szCs w:val="20"/>
        </w:rPr>
      </w:pPr>
    </w:p>
    <w:p w14:paraId="62B11DC1" w14:textId="7E50AC54" w:rsidR="001121E1" w:rsidRPr="00C954D3" w:rsidRDefault="001121E1" w:rsidP="001121E1">
      <w:pPr>
        <w:wordWrap/>
        <w:adjustRightInd w:val="0"/>
        <w:spacing w:after="0" w:line="240" w:lineRule="auto"/>
        <w:rPr>
          <w:rFonts w:eastAsiaTheme="minorHAnsi" w:cs="THELuxGo"/>
          <w:b/>
          <w:kern w:val="0"/>
          <w:szCs w:val="20"/>
        </w:rPr>
      </w:pPr>
      <w:r w:rsidRPr="00C954D3">
        <w:rPr>
          <w:rFonts w:eastAsiaTheme="minorHAnsi" w:cs="THELuxGo"/>
          <w:b/>
          <w:kern w:val="0"/>
          <w:szCs w:val="20"/>
        </w:rPr>
        <w:t>7. გამოყენების განსაკუთრებული სიფრთხილის ზომები</w:t>
      </w:r>
    </w:p>
    <w:p w14:paraId="1AA48DF4" w14:textId="17835820" w:rsidR="00BE7481" w:rsidRPr="001121E1" w:rsidRDefault="00DB6ACC" w:rsidP="001121E1">
      <w:pPr>
        <w:wordWrap/>
        <w:adjustRightInd w:val="0"/>
        <w:spacing w:after="0" w:line="240" w:lineRule="auto"/>
        <w:rPr>
          <w:rFonts w:eastAsiaTheme="minorHAnsi" w:cs="THELuxGo"/>
          <w:kern w:val="0"/>
          <w:szCs w:val="20"/>
        </w:rPr>
      </w:pPr>
      <w:r>
        <w:rPr>
          <w:rFonts w:eastAsiaTheme="minorHAnsi" w:cs="THELuxGo"/>
          <w:kern w:val="0"/>
          <w:szCs w:val="20"/>
        </w:rPr>
        <w:t xml:space="preserve">1) </w:t>
      </w:r>
      <w:r w:rsidR="001121E1" w:rsidRPr="001121E1">
        <w:rPr>
          <w:rFonts w:eastAsiaTheme="minorHAnsi" w:cs="THELuxGo"/>
          <w:kern w:val="0"/>
          <w:szCs w:val="20"/>
        </w:rPr>
        <w:t>ეს პროდუქტი არ უნდა იქნას გამოყენებული ინტრავენური რეგიონალური ანესთეზიისთვის (ბირის ბლოკადა).</w:t>
      </w:r>
    </w:p>
    <w:p w14:paraId="70CA93C8" w14:textId="77777777" w:rsidR="001121E1" w:rsidRPr="001121E1" w:rsidRDefault="001121E1" w:rsidP="001121E1">
      <w:pPr>
        <w:wordWrap/>
        <w:adjustRightInd w:val="0"/>
        <w:spacing w:after="0" w:line="240" w:lineRule="auto"/>
        <w:rPr>
          <w:rFonts w:eastAsiaTheme="minorHAnsi" w:cs="THELuxGo"/>
          <w:kern w:val="0"/>
          <w:szCs w:val="20"/>
        </w:rPr>
      </w:pPr>
    </w:p>
    <w:p w14:paraId="74A08B6A" w14:textId="77777777" w:rsidR="00DF34AF" w:rsidRPr="001121E1" w:rsidRDefault="00DF34AF" w:rsidP="00DF34AF">
      <w:pPr>
        <w:wordWrap/>
        <w:adjustRightInd w:val="0"/>
        <w:spacing w:after="0" w:line="240" w:lineRule="auto"/>
        <w:rPr>
          <w:rFonts w:eastAsiaTheme="minorHAnsi" w:cs="THELuxGo"/>
          <w:b/>
          <w:kern w:val="0"/>
          <w:szCs w:val="20"/>
        </w:rPr>
      </w:pPr>
      <w:r w:rsidRPr="001121E1">
        <w:rPr>
          <w:rFonts w:eastAsiaTheme="minorHAnsi" w:cs="THELuxGo"/>
          <w:b/>
          <w:kern w:val="0"/>
          <w:szCs w:val="20"/>
        </w:rPr>
        <w:t>[შენახვის პირობები]</w:t>
      </w:r>
    </w:p>
    <w:p w14:paraId="21E6810A" w14:textId="329AEA76" w:rsidR="00D16889" w:rsidRDefault="00D16889" w:rsidP="00F22949">
      <w:pPr>
        <w:wordWrap/>
        <w:adjustRightInd w:val="0"/>
        <w:spacing w:after="0" w:line="240" w:lineRule="auto"/>
        <w:rPr>
          <w:rFonts w:eastAsiaTheme="minorHAnsi" w:cs="THELuxGo"/>
          <w:kern w:val="0"/>
          <w:szCs w:val="20"/>
        </w:rPr>
      </w:pPr>
      <w:r w:rsidRPr="001121E1">
        <w:rPr>
          <w:rFonts w:eastAsiaTheme="minorHAnsi" w:cs="THELuxGo"/>
          <w:kern w:val="0"/>
          <w:szCs w:val="20"/>
        </w:rPr>
        <w:t>შეინახეთ 1-30°C ტემპერატურაზე ჰერმეტულად დახურულ კონტეინერში, სინათლისგან დაცულ ადგილას.</w:t>
      </w:r>
    </w:p>
    <w:p w14:paraId="44669D78" w14:textId="77777777" w:rsidR="00834052" w:rsidRPr="00834052" w:rsidRDefault="00834052" w:rsidP="00F22949">
      <w:pPr>
        <w:wordWrap/>
        <w:adjustRightInd w:val="0"/>
        <w:spacing w:after="0" w:line="240" w:lineRule="auto"/>
        <w:rPr>
          <w:rFonts w:eastAsiaTheme="minorHAnsi" w:cs="THELuxGo"/>
          <w:kern w:val="0"/>
          <w:szCs w:val="20"/>
        </w:rPr>
      </w:pPr>
    </w:p>
    <w:p w14:paraId="49B259F5" w14:textId="1B6B00D7" w:rsidR="00F22949" w:rsidRPr="001121E1" w:rsidRDefault="00F22949" w:rsidP="00F22949">
      <w:pPr>
        <w:wordWrap/>
        <w:adjustRightInd w:val="0"/>
        <w:spacing w:after="0" w:line="240" w:lineRule="auto"/>
        <w:rPr>
          <w:rFonts w:eastAsiaTheme="minorHAnsi" w:cs="THELuxGo"/>
          <w:b/>
          <w:kern w:val="0"/>
          <w:szCs w:val="20"/>
        </w:rPr>
      </w:pPr>
      <w:r w:rsidRPr="001121E1">
        <w:rPr>
          <w:rFonts w:eastAsiaTheme="minorHAnsi" w:cs="THELuxGo"/>
          <w:b/>
          <w:kern w:val="0"/>
          <w:szCs w:val="20"/>
        </w:rPr>
        <w:t>[შეფუთვის ერთეული]</w:t>
      </w:r>
      <w:r w:rsidR="00266EE3" w:rsidRPr="00266EE3">
        <w:t xml:space="preserve"> </w:t>
      </w:r>
    </w:p>
    <w:p w14:paraId="6A4A5B09" w14:textId="07324A13" w:rsidR="00F22949" w:rsidRDefault="001121E1" w:rsidP="00F22949">
      <w:pPr>
        <w:wordWrap/>
        <w:adjustRightInd w:val="0"/>
        <w:spacing w:after="0" w:line="240" w:lineRule="auto"/>
        <w:rPr>
          <w:rFonts w:eastAsiaTheme="minorHAnsi" w:cs="THELuxGo"/>
          <w:kern w:val="0"/>
          <w:szCs w:val="20"/>
        </w:rPr>
      </w:pPr>
      <w:r>
        <w:rPr>
          <w:rFonts w:eastAsiaTheme="minorHAnsi" w:cs="THELuxGo"/>
          <w:kern w:val="0"/>
          <w:szCs w:val="20"/>
        </w:rPr>
        <w:t>50 ამპულა/ყუთი (4 მლ/ამპულა)</w:t>
      </w:r>
    </w:p>
    <w:p w14:paraId="23660E9E" w14:textId="77777777" w:rsidR="00834052" w:rsidRDefault="00834052" w:rsidP="00F22949">
      <w:pPr>
        <w:wordWrap/>
        <w:adjustRightInd w:val="0"/>
        <w:spacing w:after="0" w:line="240" w:lineRule="auto"/>
        <w:rPr>
          <w:rFonts w:eastAsiaTheme="minorHAnsi" w:cs="THELuxGo"/>
          <w:kern w:val="0"/>
          <w:szCs w:val="20"/>
        </w:rPr>
      </w:pPr>
    </w:p>
    <w:p w14:paraId="762FDD9C" w14:textId="77777777" w:rsidR="00834052" w:rsidRDefault="00834052" w:rsidP="00F22949">
      <w:pPr>
        <w:wordWrap/>
        <w:adjustRightInd w:val="0"/>
        <w:spacing w:after="0" w:line="240" w:lineRule="auto"/>
        <w:rPr>
          <w:rFonts w:eastAsiaTheme="minorHAnsi" w:cs="THELuxGo"/>
          <w:kern w:val="0"/>
          <w:szCs w:val="20"/>
        </w:rPr>
      </w:pPr>
    </w:p>
    <w:p w14:paraId="5FD3659B" w14:textId="77777777" w:rsidR="00834052" w:rsidRDefault="00834052" w:rsidP="00F22949">
      <w:pPr>
        <w:wordWrap/>
        <w:adjustRightInd w:val="0"/>
        <w:spacing w:after="0" w:line="240" w:lineRule="auto"/>
        <w:rPr>
          <w:rFonts w:eastAsiaTheme="minorHAnsi" w:cs="THELuxGo"/>
          <w:kern w:val="0"/>
          <w:szCs w:val="20"/>
        </w:rPr>
      </w:pPr>
    </w:p>
    <w:p w14:paraId="7F7F88A2" w14:textId="77777777" w:rsidR="00834052" w:rsidRDefault="00834052" w:rsidP="00F22949">
      <w:pPr>
        <w:wordWrap/>
        <w:adjustRightInd w:val="0"/>
        <w:spacing w:after="0" w:line="240" w:lineRule="auto"/>
        <w:rPr>
          <w:rFonts w:eastAsiaTheme="minorHAnsi" w:cs="THELuxGo"/>
          <w:kern w:val="0"/>
          <w:szCs w:val="20"/>
        </w:rPr>
      </w:pPr>
    </w:p>
    <w:p w14:paraId="3837FA15" w14:textId="77777777" w:rsidR="00834052" w:rsidRDefault="00834052" w:rsidP="00F22949">
      <w:pPr>
        <w:wordWrap/>
        <w:adjustRightInd w:val="0"/>
        <w:spacing w:after="0" w:line="240" w:lineRule="auto"/>
        <w:rPr>
          <w:rFonts w:eastAsiaTheme="minorHAnsi" w:cs="THELuxGo"/>
          <w:kern w:val="0"/>
          <w:szCs w:val="20"/>
        </w:rPr>
      </w:pPr>
    </w:p>
    <w:p w14:paraId="4A81FA78" w14:textId="77777777" w:rsidR="00834052" w:rsidRDefault="00834052" w:rsidP="00F22949">
      <w:pPr>
        <w:wordWrap/>
        <w:adjustRightInd w:val="0"/>
        <w:spacing w:after="0" w:line="240" w:lineRule="auto"/>
        <w:rPr>
          <w:rFonts w:eastAsiaTheme="minorHAnsi" w:cs="THELuxGo"/>
          <w:kern w:val="0"/>
          <w:szCs w:val="20"/>
        </w:rPr>
      </w:pPr>
    </w:p>
    <w:p w14:paraId="6B9A15F1" w14:textId="60E64C25" w:rsidR="00725E51" w:rsidRDefault="00725E51" w:rsidP="00725E51">
      <w:pPr>
        <w:spacing w:after="0" w:line="240" w:lineRule="auto"/>
        <w:rPr>
          <w:rFonts w:eastAsiaTheme="minorHAnsi"/>
          <w:szCs w:val="20"/>
        </w:rPr>
      </w:pPr>
    </w:p>
    <w:p w14:paraId="1674EBEF" w14:textId="793F7FC2" w:rsidR="00725E51" w:rsidRDefault="00725E51" w:rsidP="00725E51">
      <w:pPr>
        <w:spacing w:after="0" w:line="240" w:lineRule="auto"/>
        <w:rPr>
          <w:rFonts w:eastAsiaTheme="minorHAnsi"/>
          <w:szCs w:val="20"/>
        </w:rPr>
      </w:pPr>
      <w:r w:rsidRPr="00725E51">
        <w:rPr>
          <w:rFonts w:eastAsiaTheme="minorHAnsi"/>
          <w:szCs w:val="20"/>
        </w:rPr>
        <w:t>※ ფარმაცევტული ტერმინების განმარტებებისა და სხვა დეტალური ინფორმაციისთვის, გთხოვთ, ეწვიოთ Hana Pharm Co., Ltd.-ის ვებგვერდს (www.hanaph.co.kr)</w:t>
      </w:r>
    </w:p>
    <w:p w14:paraId="3CB0F30E" w14:textId="1415415F" w:rsidR="00725E51" w:rsidRPr="00725E51" w:rsidRDefault="00725E51" w:rsidP="00725E51">
      <w:pPr>
        <w:spacing w:after="0" w:line="240" w:lineRule="auto"/>
        <w:rPr>
          <w:rFonts w:eastAsiaTheme="minorHAnsi"/>
          <w:szCs w:val="20"/>
        </w:rPr>
      </w:pPr>
      <w:r w:rsidRPr="00725E51">
        <w:rPr>
          <w:rFonts w:eastAsiaTheme="minorHAnsi"/>
          <w:szCs w:val="20"/>
        </w:rPr>
        <w:t>※ თუ თქვენ შეიძინეთ ვადაგასული, გაფუჭებული, გაფუჭებული ან დაზიანებული პროდუქტი</w:t>
      </w:r>
    </w:p>
    <w:p w14:paraId="030A1076" w14:textId="77777777" w:rsidR="00834052" w:rsidRDefault="00725E51" w:rsidP="00725E51">
      <w:pPr>
        <w:spacing w:after="0" w:line="240" w:lineRule="auto"/>
        <w:rPr>
          <w:rFonts w:eastAsiaTheme="minorHAnsi"/>
          <w:szCs w:val="20"/>
        </w:rPr>
      </w:pPr>
      <w:r w:rsidRPr="00725E51">
        <w:rPr>
          <w:rFonts w:eastAsiaTheme="minorHAnsi"/>
          <w:szCs w:val="20"/>
        </w:rPr>
        <w:t>გაცვლა განხორციელდება შეძენის ადგილზე.</w:t>
      </w:r>
    </w:p>
    <w:p w14:paraId="3EFCC97A" w14:textId="34261EDD" w:rsidR="00725E51" w:rsidRPr="00725E51" w:rsidRDefault="00725E51" w:rsidP="00725E51">
      <w:pPr>
        <w:spacing w:after="0" w:line="240" w:lineRule="auto"/>
        <w:rPr>
          <w:rFonts w:eastAsiaTheme="minorHAnsi"/>
          <w:szCs w:val="20"/>
        </w:rPr>
      </w:pPr>
      <w:r w:rsidRPr="00725E51">
        <w:rPr>
          <w:rFonts w:eastAsiaTheme="minorHAnsi"/>
          <w:szCs w:val="20"/>
        </w:rPr>
        <w:t>※ მომხმარებელთა მომსახურება: 080-577-8004 (უფასო ზარი)</w:t>
      </w:r>
    </w:p>
    <w:p w14:paraId="02CA23DE" w14:textId="77777777" w:rsidR="00725E51" w:rsidRDefault="00725E51" w:rsidP="00725E51">
      <w:pPr>
        <w:spacing w:after="0" w:line="240" w:lineRule="auto"/>
        <w:rPr>
          <w:rFonts w:eastAsiaTheme="minorHAnsi"/>
          <w:szCs w:val="20"/>
        </w:rPr>
      </w:pPr>
      <w:r w:rsidRPr="00725E51">
        <w:rPr>
          <w:rFonts w:eastAsiaTheme="minorHAnsi"/>
          <w:szCs w:val="20"/>
        </w:rPr>
        <w:t>※ გვერდითი მოვლენებით გამოწვეული ზიანის კომპენსაციის მისაღებად, გთხოვთ, დაუკავშირდეთ კორეის სურსათისა და წამლის ადმინისტრაციას (1644-6223, 14-3330).</w:t>
      </w:r>
    </w:p>
    <w:p w14:paraId="5490CDC2" w14:textId="77777777" w:rsidR="00F20063" w:rsidRDefault="00F20063" w:rsidP="00725E51">
      <w:pPr>
        <w:spacing w:after="0" w:line="240" w:lineRule="auto"/>
        <w:rPr>
          <w:rFonts w:eastAsiaTheme="minorHAnsi"/>
          <w:szCs w:val="20"/>
        </w:rPr>
      </w:pPr>
    </w:p>
    <w:p w14:paraId="068ECA8B" w14:textId="070FCBF8" w:rsidR="00F20063" w:rsidRPr="00F20063" w:rsidRDefault="00F20063" w:rsidP="00F20063">
      <w:pPr>
        <w:spacing w:after="0" w:line="240" w:lineRule="auto"/>
        <w:rPr>
          <w:rFonts w:eastAsiaTheme="minorHAnsi"/>
          <w:szCs w:val="20"/>
        </w:rPr>
      </w:pPr>
      <w:r w:rsidRPr="00F20063">
        <w:rPr>
          <w:rFonts w:ascii="Sylfaen" w:eastAsiaTheme="minorHAnsi" w:hAnsi="Sylfaen" w:cs="Sylfaen"/>
          <w:szCs w:val="20"/>
        </w:rPr>
        <w:t>გამოქვეყნების</w:t>
      </w:r>
      <w:r w:rsidRPr="00F20063">
        <w:rPr>
          <w:rFonts w:eastAsiaTheme="minorHAnsi"/>
          <w:szCs w:val="20"/>
        </w:rPr>
        <w:t xml:space="preserve"> </w:t>
      </w:r>
      <w:r w:rsidRPr="00F20063">
        <w:rPr>
          <w:rFonts w:ascii="Sylfaen" w:eastAsiaTheme="minorHAnsi" w:hAnsi="Sylfaen" w:cs="Sylfaen"/>
          <w:szCs w:val="20"/>
        </w:rPr>
        <w:t>თარიღი</w:t>
      </w:r>
      <w:r w:rsidRPr="00F20063">
        <w:rPr>
          <w:rFonts w:eastAsiaTheme="minorHAnsi"/>
          <w:szCs w:val="20"/>
        </w:rPr>
        <w:t>: 1997</w:t>
      </w:r>
      <w:r>
        <w:rPr>
          <w:rFonts w:eastAsiaTheme="minorHAnsi"/>
          <w:szCs w:val="20"/>
        </w:rPr>
        <w:t>.10</w:t>
      </w:r>
      <w:r w:rsidR="006861D9">
        <w:rPr>
          <w:rFonts w:eastAsiaTheme="minorHAnsi"/>
          <w:szCs w:val="20"/>
        </w:rPr>
        <w:t>.</w:t>
      </w:r>
    </w:p>
    <w:p w14:paraId="76033C74" w14:textId="10599981" w:rsidR="00F20063" w:rsidRPr="00725E51" w:rsidRDefault="00F20063" w:rsidP="00F20063">
      <w:pPr>
        <w:spacing w:after="0" w:line="240" w:lineRule="auto"/>
        <w:rPr>
          <w:rFonts w:eastAsiaTheme="minorHAnsi"/>
          <w:szCs w:val="20"/>
        </w:rPr>
      </w:pPr>
      <w:r w:rsidRPr="00F20063">
        <w:rPr>
          <w:rFonts w:ascii="Sylfaen" w:eastAsiaTheme="minorHAnsi" w:hAnsi="Sylfaen" w:cs="Sylfaen"/>
          <w:szCs w:val="20"/>
        </w:rPr>
        <w:t>გადახედვის</w:t>
      </w:r>
      <w:r w:rsidRPr="00F20063">
        <w:rPr>
          <w:rFonts w:eastAsiaTheme="minorHAnsi"/>
          <w:szCs w:val="20"/>
        </w:rPr>
        <w:t xml:space="preserve"> </w:t>
      </w:r>
      <w:r w:rsidRPr="00F20063">
        <w:rPr>
          <w:rFonts w:ascii="Sylfaen" w:eastAsiaTheme="minorHAnsi" w:hAnsi="Sylfaen" w:cs="Sylfaen"/>
          <w:szCs w:val="20"/>
        </w:rPr>
        <w:t>თარიღი</w:t>
      </w:r>
      <w:r w:rsidRPr="00F20063">
        <w:rPr>
          <w:rFonts w:eastAsiaTheme="minorHAnsi"/>
          <w:szCs w:val="20"/>
        </w:rPr>
        <w:t>: 2023</w:t>
      </w:r>
      <w:r>
        <w:rPr>
          <w:rFonts w:eastAsiaTheme="minorHAnsi"/>
          <w:szCs w:val="20"/>
        </w:rPr>
        <w:t>.05.24.</w:t>
      </w:r>
      <w:r w:rsidRPr="00F20063">
        <w:rPr>
          <w:rFonts w:eastAsiaTheme="minorHAnsi"/>
          <w:szCs w:val="20"/>
        </w:rPr>
        <w:t xml:space="preserve"> &lt;A06&gt;</w:t>
      </w:r>
    </w:p>
    <w:p w14:paraId="526BBE28" w14:textId="42327797" w:rsidR="00561762" w:rsidRDefault="00561762" w:rsidP="00725E51">
      <w:pPr>
        <w:spacing w:after="0" w:line="240" w:lineRule="auto"/>
        <w:rPr>
          <w:rFonts w:eastAsiaTheme="minorHAnsi"/>
          <w:szCs w:val="20"/>
        </w:rPr>
      </w:pPr>
    </w:p>
    <w:p w14:paraId="7B7F4BFA" w14:textId="2475462A" w:rsidR="00BD300C" w:rsidRDefault="00BD300C" w:rsidP="003973E4">
      <w:pPr>
        <w:spacing w:after="0" w:line="240" w:lineRule="auto"/>
        <w:rPr>
          <w:rFonts w:ascii="Sylfaen" w:eastAsiaTheme="minorHAnsi" w:hAnsi="Sylfaen"/>
          <w:szCs w:val="20"/>
          <w:lang w:val="ka-GE"/>
        </w:rPr>
      </w:pPr>
      <w:r>
        <w:rPr>
          <w:rFonts w:ascii="Sylfaen" w:eastAsiaTheme="minorHAnsi" w:hAnsi="Sylfaen"/>
          <w:szCs w:val="20"/>
          <w:lang w:val="ka-GE"/>
        </w:rPr>
        <w:t>მწარმოებელი * დისტრიბუტორი</w:t>
      </w:r>
    </w:p>
    <w:p w14:paraId="36424365" w14:textId="77777777" w:rsidR="00BD300C" w:rsidRDefault="00BD300C" w:rsidP="00BD300C">
      <w:pPr>
        <w:spacing w:after="0" w:line="240" w:lineRule="auto"/>
        <w:rPr>
          <w:rFonts w:eastAsiaTheme="minorHAnsi"/>
          <w:szCs w:val="20"/>
        </w:rPr>
      </w:pPr>
      <w:r w:rsidRPr="001121E1">
        <w:rPr>
          <w:rFonts w:eastAsiaTheme="minorHAnsi"/>
          <w:szCs w:val="20"/>
        </w:rPr>
        <w:t>Hana Pharm Co., Ltd.</w:t>
      </w:r>
    </w:p>
    <w:p w14:paraId="539537EA" w14:textId="77777777" w:rsidR="00BD300C" w:rsidRPr="003973E4" w:rsidRDefault="00BD300C" w:rsidP="00BD300C">
      <w:pPr>
        <w:spacing w:after="0" w:line="240" w:lineRule="auto"/>
        <w:rPr>
          <w:rFonts w:eastAsiaTheme="minorHAnsi"/>
          <w:szCs w:val="20"/>
        </w:rPr>
      </w:pPr>
      <w:r>
        <w:rPr>
          <w:rFonts w:eastAsiaTheme="minorHAnsi"/>
          <w:szCs w:val="20"/>
        </w:rPr>
        <w:t>13-39</w:t>
      </w:r>
      <w:r w:rsidRPr="003973E4">
        <w:rPr>
          <w:rFonts w:eastAsiaTheme="minorHAnsi"/>
          <w:szCs w:val="20"/>
        </w:rPr>
        <w:t xml:space="preserve"> </w:t>
      </w:r>
      <w:r>
        <w:rPr>
          <w:rFonts w:eastAsiaTheme="minorHAnsi"/>
          <w:szCs w:val="20"/>
        </w:rPr>
        <w:t xml:space="preserve">, Jeyakdanji-ro, </w:t>
      </w:r>
      <w:r w:rsidRPr="003973E4">
        <w:rPr>
          <w:rFonts w:eastAsiaTheme="minorHAnsi"/>
          <w:szCs w:val="20"/>
        </w:rPr>
        <w:t>Hyangnam -eup,</w:t>
      </w:r>
      <w:r>
        <w:rPr>
          <w:rFonts w:eastAsiaTheme="minorHAnsi"/>
          <w:szCs w:val="20"/>
        </w:rPr>
        <w:t xml:space="preserve"> </w:t>
      </w:r>
      <w:r w:rsidRPr="003973E4">
        <w:rPr>
          <w:rFonts w:eastAsiaTheme="minorHAnsi"/>
          <w:szCs w:val="20"/>
        </w:rPr>
        <w:t>Hwase</w:t>
      </w:r>
      <w:r>
        <w:rPr>
          <w:rFonts w:eastAsiaTheme="minorHAnsi"/>
          <w:szCs w:val="20"/>
        </w:rPr>
        <w:t>o</w:t>
      </w:r>
      <w:r w:rsidRPr="003973E4">
        <w:rPr>
          <w:rFonts w:eastAsiaTheme="minorHAnsi"/>
          <w:szCs w:val="20"/>
        </w:rPr>
        <w:t>ng-si, Gyeonggi-do</w:t>
      </w:r>
    </w:p>
    <w:p w14:paraId="5AD1BCDF" w14:textId="27204658" w:rsidR="00BD300C" w:rsidRDefault="003973E4" w:rsidP="00561762">
      <w:pPr>
        <w:spacing w:after="0" w:line="240" w:lineRule="auto"/>
        <w:rPr>
          <w:rFonts w:eastAsiaTheme="minorHAnsi"/>
          <w:szCs w:val="20"/>
        </w:rPr>
      </w:pPr>
      <w:r>
        <w:rPr>
          <w:rFonts w:eastAsiaTheme="minorHAnsi"/>
          <w:szCs w:val="20"/>
        </w:rPr>
        <w:t>წარმომადგენელი დირექტორი ჩოი ჰონგი</w:t>
      </w:r>
    </w:p>
    <w:p w14:paraId="06FA92E2" w14:textId="77777777" w:rsidR="00FF55CC" w:rsidRDefault="00FF55CC" w:rsidP="00FF55CC">
      <w:pPr>
        <w:spacing w:after="0" w:line="240" w:lineRule="auto"/>
        <w:rPr>
          <w:rFonts w:eastAsiaTheme="minorHAnsi"/>
          <w:szCs w:val="20"/>
        </w:rPr>
      </w:pPr>
    </w:p>
    <w:p w14:paraId="55E190C9" w14:textId="77777777" w:rsidR="00FF55CC" w:rsidRDefault="00FF55CC" w:rsidP="00FF55CC">
      <w:pPr>
        <w:spacing w:after="0" w:line="240" w:lineRule="auto"/>
        <w:rPr>
          <w:rFonts w:ascii="Times New Roman" w:eastAsiaTheme="minorHAnsi" w:hAnsi="Times New Roman"/>
          <w:szCs w:val="20"/>
          <w:lang w:val="en-GB"/>
        </w:rPr>
      </w:pPr>
      <w:r>
        <w:rPr>
          <w:rFonts w:ascii="Times New Roman" w:eastAsiaTheme="minorHAnsi" w:hAnsi="Times New Roman"/>
          <w:szCs w:val="20"/>
          <w:lang w:val="en-GB"/>
        </w:rPr>
        <w:t>HANA PHARM.CO.,LTD.</w:t>
      </w:r>
    </w:p>
    <w:p w14:paraId="497C610F" w14:textId="411C0F7A" w:rsidR="00FF55CC" w:rsidRPr="00CB692C" w:rsidRDefault="00FF55CC" w:rsidP="00FF55CC">
      <w:pPr>
        <w:spacing w:after="0" w:line="240" w:lineRule="auto"/>
        <w:rPr>
          <w:rFonts w:ascii="Sylfaen" w:eastAsiaTheme="minorHAnsi" w:hAnsi="Sylfaen"/>
          <w:szCs w:val="20"/>
          <w:lang w:val="en-GB"/>
        </w:rPr>
      </w:pPr>
      <w:r>
        <w:rPr>
          <w:rFonts w:ascii="Sylfaen" w:eastAsiaTheme="minorHAnsi" w:hAnsi="Sylfaen"/>
          <w:szCs w:val="20"/>
          <w:lang w:val="ka-GE"/>
        </w:rPr>
        <w:t>პრეზიდენტი /</w:t>
      </w:r>
      <w:r>
        <w:rPr>
          <w:rFonts w:ascii="Sylfaen" w:eastAsiaTheme="minorHAnsi" w:hAnsi="Sylfaen"/>
          <w:szCs w:val="20"/>
          <w:lang w:val="en-GB"/>
        </w:rPr>
        <w:t xml:space="preserve"> თ.</w:t>
      </w:r>
      <w:r w:rsidR="007934B9">
        <w:rPr>
          <w:rFonts w:ascii="Sylfaen" w:eastAsiaTheme="minorHAnsi" w:hAnsi="Sylfaen"/>
          <w:szCs w:val="20"/>
          <w:lang w:val="en-GB"/>
        </w:rPr>
        <w:t xml:space="preserve"> </w:t>
      </w:r>
      <w:r>
        <w:rPr>
          <w:rFonts w:ascii="Sylfaen" w:eastAsiaTheme="minorHAnsi" w:hAnsi="Sylfaen"/>
          <w:szCs w:val="20"/>
          <w:lang w:val="en-GB"/>
        </w:rPr>
        <w:t>ჰ.</w:t>
      </w:r>
      <w:r w:rsidR="007934B9">
        <w:rPr>
          <w:rFonts w:ascii="Sylfaen" w:eastAsiaTheme="minorHAnsi" w:hAnsi="Sylfaen"/>
          <w:szCs w:val="20"/>
          <w:lang w:val="en-GB"/>
        </w:rPr>
        <w:t xml:space="preserve"> </w:t>
      </w:r>
      <w:r>
        <w:rPr>
          <w:rFonts w:ascii="Sylfaen" w:eastAsiaTheme="minorHAnsi" w:hAnsi="Sylfaen"/>
          <w:szCs w:val="20"/>
          <w:lang w:val="en-GB"/>
        </w:rPr>
        <w:t>ჩოი</w:t>
      </w:r>
    </w:p>
    <w:p w14:paraId="144DC7E7" w14:textId="77777777" w:rsidR="00FF55CC" w:rsidRPr="00725E51" w:rsidRDefault="00FF55CC" w:rsidP="00725E51">
      <w:pPr>
        <w:spacing w:after="0" w:line="240" w:lineRule="auto"/>
        <w:rPr>
          <w:rFonts w:eastAsiaTheme="minorHAnsi"/>
          <w:szCs w:val="20"/>
        </w:rPr>
      </w:pPr>
    </w:p>
    <w:p w14:paraId="32033441" w14:textId="1C3770D8" w:rsidR="00561762" w:rsidRPr="00725E51" w:rsidRDefault="00561762" w:rsidP="002C31D6">
      <w:pPr>
        <w:spacing w:after="0" w:line="240" w:lineRule="auto"/>
        <w:jc w:val="right"/>
        <w:rPr>
          <w:rFonts w:eastAsiaTheme="minorHAnsi"/>
          <w:szCs w:val="20"/>
        </w:rPr>
      </w:pPr>
    </w:p>
    <w:sectPr w:rsidR="00561762" w:rsidRPr="00725E51" w:rsidSect="006846C5">
      <w:pgSz w:w="11906" w:h="16838"/>
      <w:pgMar w:top="993" w:right="1080" w:bottom="1440" w:left="108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THELuxGo">
    <w:altName w:val="맑은 고딕"/>
    <w:panose1 w:val="00000000000000000000"/>
    <w:charset w:val="81"/>
    <w:family w:val="auto"/>
    <w:notTrueType/>
    <w:pitch w:val="default"/>
    <w:sig w:usb0="00000003" w:usb1="09060000" w:usb2="00000010" w:usb3="00000000" w:csb0="0008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ulim">
    <w:panose1 w:val="020B0600000101010101"/>
    <w:charset w:val="81"/>
    <w:family w:val="swiss"/>
    <w:pitch w:val="variable"/>
    <w:sig w:usb0="B00002AF" w:usb1="69D77CFB" w:usb2="00000030" w:usb3="00000000" w:csb0="0008009F" w:csb1="00000000"/>
  </w:font>
  <w:font w:name="Sylfaen">
    <w:panose1 w:val="010A0502050306030303"/>
    <w:charset w:val="00"/>
    <w:family w:val="roman"/>
    <w:pitch w:val="variable"/>
    <w:sig w:usb0="04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5322"/>
    <w:multiLevelType w:val="hybridMultilevel"/>
    <w:tmpl w:val="194272B8"/>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04206E48"/>
    <w:multiLevelType w:val="hybridMultilevel"/>
    <w:tmpl w:val="FAFAE2A4"/>
    <w:lvl w:ilvl="0" w:tplc="B030AF1C">
      <w:start w:val="1"/>
      <w:numFmt w:val="decimal"/>
      <w:lvlText w:val="%1)"/>
      <w:lvlJc w:val="left"/>
      <w:pPr>
        <w:ind w:left="3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0FE15C07"/>
    <w:multiLevelType w:val="hybridMultilevel"/>
    <w:tmpl w:val="FE769816"/>
    <w:lvl w:ilvl="0" w:tplc="3B9C5482">
      <w:start w:val="1"/>
      <w:numFmt w:val="decimal"/>
      <w:lvlText w:val="%1)"/>
      <w:lvlJc w:val="left"/>
      <w:pPr>
        <w:ind w:left="542" w:hanging="400"/>
      </w:pPr>
      <w:rPr>
        <w:rFonts w:hint="eastAsia"/>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3" w15:restartNumberingAfterBreak="0">
    <w:nsid w:val="1B430211"/>
    <w:multiLevelType w:val="hybridMultilevel"/>
    <w:tmpl w:val="DEDE9E7C"/>
    <w:lvl w:ilvl="0" w:tplc="946EAC82">
      <w:start w:val="1"/>
      <w:numFmt w:val="decimal"/>
      <w:lvlText w:val="%1."/>
      <w:lvlJc w:val="left"/>
      <w:pPr>
        <w:ind w:left="502"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15:restartNumberingAfterBreak="0">
    <w:nsid w:val="211C675B"/>
    <w:multiLevelType w:val="hybridMultilevel"/>
    <w:tmpl w:val="BD0C200A"/>
    <w:lvl w:ilvl="0" w:tplc="E8C44DA8">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5" w15:restartNumberingAfterBreak="0">
    <w:nsid w:val="274D7792"/>
    <w:multiLevelType w:val="hybridMultilevel"/>
    <w:tmpl w:val="20640B4C"/>
    <w:lvl w:ilvl="0" w:tplc="75A6FC12">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6" w15:restartNumberingAfterBreak="0">
    <w:nsid w:val="29B53B2F"/>
    <w:multiLevelType w:val="hybridMultilevel"/>
    <w:tmpl w:val="69568CF2"/>
    <w:lvl w:ilvl="0" w:tplc="7F881C20">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7" w15:restartNumberingAfterBreak="0">
    <w:nsid w:val="2D247D94"/>
    <w:multiLevelType w:val="hybridMultilevel"/>
    <w:tmpl w:val="03309D6A"/>
    <w:lvl w:ilvl="0" w:tplc="B106C012">
      <w:numFmt w:val="bullet"/>
      <w:lvlText w:val="-"/>
      <w:lvlJc w:val="left"/>
      <w:pPr>
        <w:ind w:left="1069" w:hanging="360"/>
      </w:pPr>
      <w:rPr>
        <w:rFonts w:ascii="Malgun Gothic" w:eastAsia="Malgun Gothic" w:hAnsi="Malgun Gothic" w:cstheme="minorBidi" w:hint="eastAsia"/>
      </w:rPr>
    </w:lvl>
    <w:lvl w:ilvl="1" w:tplc="04090003" w:tentative="1">
      <w:start w:val="1"/>
      <w:numFmt w:val="bullet"/>
      <w:lvlText w:val=""/>
      <w:lvlJc w:val="left"/>
      <w:pPr>
        <w:ind w:left="1509" w:hanging="400"/>
      </w:pPr>
      <w:rPr>
        <w:rFonts w:ascii="Wingdings" w:hAnsi="Wingdings" w:hint="default"/>
      </w:rPr>
    </w:lvl>
    <w:lvl w:ilvl="2" w:tplc="04090005" w:tentative="1">
      <w:start w:val="1"/>
      <w:numFmt w:val="bullet"/>
      <w:lvlText w:val=""/>
      <w:lvlJc w:val="left"/>
      <w:pPr>
        <w:ind w:left="1909" w:hanging="400"/>
      </w:pPr>
      <w:rPr>
        <w:rFonts w:ascii="Wingdings" w:hAnsi="Wingdings" w:hint="default"/>
      </w:rPr>
    </w:lvl>
    <w:lvl w:ilvl="3" w:tplc="04090001" w:tentative="1">
      <w:start w:val="1"/>
      <w:numFmt w:val="bullet"/>
      <w:lvlText w:val=""/>
      <w:lvlJc w:val="left"/>
      <w:pPr>
        <w:ind w:left="2309" w:hanging="400"/>
      </w:pPr>
      <w:rPr>
        <w:rFonts w:ascii="Wingdings" w:hAnsi="Wingdings" w:hint="default"/>
      </w:rPr>
    </w:lvl>
    <w:lvl w:ilvl="4" w:tplc="04090003" w:tentative="1">
      <w:start w:val="1"/>
      <w:numFmt w:val="bullet"/>
      <w:lvlText w:val=""/>
      <w:lvlJc w:val="left"/>
      <w:pPr>
        <w:ind w:left="2709" w:hanging="400"/>
      </w:pPr>
      <w:rPr>
        <w:rFonts w:ascii="Wingdings" w:hAnsi="Wingdings" w:hint="default"/>
      </w:rPr>
    </w:lvl>
    <w:lvl w:ilvl="5" w:tplc="04090005" w:tentative="1">
      <w:start w:val="1"/>
      <w:numFmt w:val="bullet"/>
      <w:lvlText w:val=""/>
      <w:lvlJc w:val="left"/>
      <w:pPr>
        <w:ind w:left="3109" w:hanging="400"/>
      </w:pPr>
      <w:rPr>
        <w:rFonts w:ascii="Wingdings" w:hAnsi="Wingdings" w:hint="default"/>
      </w:rPr>
    </w:lvl>
    <w:lvl w:ilvl="6" w:tplc="04090001" w:tentative="1">
      <w:start w:val="1"/>
      <w:numFmt w:val="bullet"/>
      <w:lvlText w:val=""/>
      <w:lvlJc w:val="left"/>
      <w:pPr>
        <w:ind w:left="3509" w:hanging="400"/>
      </w:pPr>
      <w:rPr>
        <w:rFonts w:ascii="Wingdings" w:hAnsi="Wingdings" w:hint="default"/>
      </w:rPr>
    </w:lvl>
    <w:lvl w:ilvl="7" w:tplc="04090003" w:tentative="1">
      <w:start w:val="1"/>
      <w:numFmt w:val="bullet"/>
      <w:lvlText w:val=""/>
      <w:lvlJc w:val="left"/>
      <w:pPr>
        <w:ind w:left="3909" w:hanging="400"/>
      </w:pPr>
      <w:rPr>
        <w:rFonts w:ascii="Wingdings" w:hAnsi="Wingdings" w:hint="default"/>
      </w:rPr>
    </w:lvl>
    <w:lvl w:ilvl="8" w:tplc="04090005" w:tentative="1">
      <w:start w:val="1"/>
      <w:numFmt w:val="bullet"/>
      <w:lvlText w:val=""/>
      <w:lvlJc w:val="left"/>
      <w:pPr>
        <w:ind w:left="4309" w:hanging="400"/>
      </w:pPr>
      <w:rPr>
        <w:rFonts w:ascii="Wingdings" w:hAnsi="Wingdings" w:hint="default"/>
      </w:rPr>
    </w:lvl>
  </w:abstractNum>
  <w:abstractNum w:abstractNumId="8" w15:restartNumberingAfterBreak="0">
    <w:nsid w:val="37B85A40"/>
    <w:multiLevelType w:val="hybridMultilevel"/>
    <w:tmpl w:val="F2BA7E50"/>
    <w:lvl w:ilvl="0" w:tplc="A3D235B6">
      <w:start w:val="1"/>
      <w:numFmt w:val="decimal"/>
      <w:lvlText w:val="(%1)"/>
      <w:lvlJc w:val="left"/>
      <w:pPr>
        <w:ind w:left="644" w:hanging="360"/>
      </w:pPr>
      <w:rPr>
        <w:rFonts w:hint="default"/>
      </w:rPr>
    </w:lvl>
    <w:lvl w:ilvl="1" w:tplc="04090019" w:tentative="1">
      <w:start w:val="1"/>
      <w:numFmt w:val="upperLetter"/>
      <w:lvlText w:val="%2."/>
      <w:lvlJc w:val="left"/>
      <w:pPr>
        <w:ind w:left="1084" w:hanging="400"/>
      </w:pPr>
    </w:lvl>
    <w:lvl w:ilvl="2" w:tplc="0409001B" w:tentative="1">
      <w:start w:val="1"/>
      <w:numFmt w:val="lowerRoman"/>
      <w:lvlText w:val="%3."/>
      <w:lvlJc w:val="right"/>
      <w:pPr>
        <w:ind w:left="1484" w:hanging="400"/>
      </w:pPr>
    </w:lvl>
    <w:lvl w:ilvl="3" w:tplc="0409000F" w:tentative="1">
      <w:start w:val="1"/>
      <w:numFmt w:val="decimal"/>
      <w:lvlText w:val="%4."/>
      <w:lvlJc w:val="left"/>
      <w:pPr>
        <w:ind w:left="1884" w:hanging="400"/>
      </w:pPr>
    </w:lvl>
    <w:lvl w:ilvl="4" w:tplc="04090019" w:tentative="1">
      <w:start w:val="1"/>
      <w:numFmt w:val="upperLetter"/>
      <w:lvlText w:val="%5."/>
      <w:lvlJc w:val="left"/>
      <w:pPr>
        <w:ind w:left="2284" w:hanging="400"/>
      </w:pPr>
    </w:lvl>
    <w:lvl w:ilvl="5" w:tplc="0409001B" w:tentative="1">
      <w:start w:val="1"/>
      <w:numFmt w:val="lowerRoman"/>
      <w:lvlText w:val="%6."/>
      <w:lvlJc w:val="right"/>
      <w:pPr>
        <w:ind w:left="2684" w:hanging="400"/>
      </w:pPr>
    </w:lvl>
    <w:lvl w:ilvl="6" w:tplc="0409000F" w:tentative="1">
      <w:start w:val="1"/>
      <w:numFmt w:val="decimal"/>
      <w:lvlText w:val="%7."/>
      <w:lvlJc w:val="left"/>
      <w:pPr>
        <w:ind w:left="3084" w:hanging="400"/>
      </w:pPr>
    </w:lvl>
    <w:lvl w:ilvl="7" w:tplc="04090019" w:tentative="1">
      <w:start w:val="1"/>
      <w:numFmt w:val="upperLetter"/>
      <w:lvlText w:val="%8."/>
      <w:lvlJc w:val="left"/>
      <w:pPr>
        <w:ind w:left="3484" w:hanging="400"/>
      </w:pPr>
    </w:lvl>
    <w:lvl w:ilvl="8" w:tplc="0409001B" w:tentative="1">
      <w:start w:val="1"/>
      <w:numFmt w:val="lowerRoman"/>
      <w:lvlText w:val="%9."/>
      <w:lvlJc w:val="right"/>
      <w:pPr>
        <w:ind w:left="3884" w:hanging="400"/>
      </w:pPr>
    </w:lvl>
  </w:abstractNum>
  <w:abstractNum w:abstractNumId="9" w15:restartNumberingAfterBreak="0">
    <w:nsid w:val="38177946"/>
    <w:multiLevelType w:val="hybridMultilevel"/>
    <w:tmpl w:val="D3F0242A"/>
    <w:lvl w:ilvl="0" w:tplc="1D1C4288">
      <w:start w:val="1"/>
      <w:numFmt w:val="decimal"/>
      <w:lvlText w:val="%1."/>
      <w:lvlJc w:val="left"/>
      <w:pPr>
        <w:ind w:left="3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 w15:restartNumberingAfterBreak="0">
    <w:nsid w:val="390F42C8"/>
    <w:multiLevelType w:val="hybridMultilevel"/>
    <w:tmpl w:val="A084992C"/>
    <w:lvl w:ilvl="0" w:tplc="1216543A">
      <w:start w:val="1"/>
      <w:numFmt w:val="decimalEnclosedCircle"/>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1" w15:restartNumberingAfterBreak="0">
    <w:nsid w:val="43264B08"/>
    <w:multiLevelType w:val="hybridMultilevel"/>
    <w:tmpl w:val="494C381E"/>
    <w:lvl w:ilvl="0" w:tplc="0204B34C">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12" w15:restartNumberingAfterBreak="0">
    <w:nsid w:val="43461F52"/>
    <w:multiLevelType w:val="hybridMultilevel"/>
    <w:tmpl w:val="4196A118"/>
    <w:lvl w:ilvl="0" w:tplc="1A3E03E2">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13" w15:restartNumberingAfterBreak="0">
    <w:nsid w:val="43E27E3C"/>
    <w:multiLevelType w:val="hybridMultilevel"/>
    <w:tmpl w:val="1D6AAC90"/>
    <w:lvl w:ilvl="0" w:tplc="81BC8010">
      <w:start w:val="1"/>
      <w:numFmt w:val="decimal"/>
      <w:lvlText w:val="%1)"/>
      <w:lvlJc w:val="left"/>
      <w:pPr>
        <w:ind w:left="800" w:hanging="40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4" w15:restartNumberingAfterBreak="0">
    <w:nsid w:val="455B7029"/>
    <w:multiLevelType w:val="hybridMultilevel"/>
    <w:tmpl w:val="1B6EA0C0"/>
    <w:lvl w:ilvl="0" w:tplc="E9143884">
      <w:start w:val="6"/>
      <w:numFmt w:val="decimal"/>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5" w15:restartNumberingAfterBreak="0">
    <w:nsid w:val="46723DD2"/>
    <w:multiLevelType w:val="hybridMultilevel"/>
    <w:tmpl w:val="E58266AE"/>
    <w:lvl w:ilvl="0" w:tplc="81BC8010">
      <w:start w:val="1"/>
      <w:numFmt w:val="decimal"/>
      <w:lvlText w:val="%1)"/>
      <w:lvlJc w:val="left"/>
      <w:pPr>
        <w:ind w:left="800" w:hanging="40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6" w15:restartNumberingAfterBreak="0">
    <w:nsid w:val="46876751"/>
    <w:multiLevelType w:val="hybridMultilevel"/>
    <w:tmpl w:val="241CBEA0"/>
    <w:lvl w:ilvl="0" w:tplc="EE469DE4">
      <w:start w:val="1"/>
      <w:numFmt w:val="decimal"/>
      <w:lvlText w:val="%1."/>
      <w:lvlJc w:val="left"/>
      <w:pPr>
        <w:ind w:left="360" w:hanging="360"/>
      </w:pPr>
      <w:rPr>
        <w:rFonts w:hint="default"/>
      </w:rPr>
    </w:lvl>
    <w:lvl w:ilvl="1" w:tplc="04090019">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7" w15:restartNumberingAfterBreak="0">
    <w:nsid w:val="47012548"/>
    <w:multiLevelType w:val="hybridMultilevel"/>
    <w:tmpl w:val="0C58E044"/>
    <w:lvl w:ilvl="0" w:tplc="4102579E">
      <w:start w:val="1"/>
      <w:numFmt w:val="bullet"/>
      <w:lvlText w:val="-"/>
      <w:lvlJc w:val="left"/>
      <w:pPr>
        <w:ind w:left="800" w:hanging="400"/>
      </w:pPr>
      <w:rPr>
        <w:rFonts w:ascii="Malgun Gothic" w:eastAsia="Malgun Gothic" w:hAnsi="Malgun Gothic" w:cs="THELuxGo"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8" w15:restartNumberingAfterBreak="0">
    <w:nsid w:val="4ABF4BEF"/>
    <w:multiLevelType w:val="multilevel"/>
    <w:tmpl w:val="B0A65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FD3034"/>
    <w:multiLevelType w:val="hybridMultilevel"/>
    <w:tmpl w:val="010EF4AE"/>
    <w:lvl w:ilvl="0" w:tplc="EA6CE83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0" w15:restartNumberingAfterBreak="0">
    <w:nsid w:val="4EBF3911"/>
    <w:multiLevelType w:val="hybridMultilevel"/>
    <w:tmpl w:val="024C8422"/>
    <w:lvl w:ilvl="0" w:tplc="73867D7A">
      <w:start w:val="1"/>
      <w:numFmt w:val="decimal"/>
      <w:lvlText w:val="(%1)"/>
      <w:lvlJc w:val="left"/>
      <w:pPr>
        <w:ind w:left="643" w:hanging="360"/>
      </w:pPr>
      <w:rPr>
        <w:rFonts w:hint="default"/>
      </w:rPr>
    </w:lvl>
    <w:lvl w:ilvl="1" w:tplc="04090019" w:tentative="1">
      <w:start w:val="1"/>
      <w:numFmt w:val="upperLetter"/>
      <w:lvlText w:val="%2."/>
      <w:lvlJc w:val="left"/>
      <w:pPr>
        <w:ind w:left="1083" w:hanging="400"/>
      </w:pPr>
    </w:lvl>
    <w:lvl w:ilvl="2" w:tplc="0409001B" w:tentative="1">
      <w:start w:val="1"/>
      <w:numFmt w:val="lowerRoman"/>
      <w:lvlText w:val="%3."/>
      <w:lvlJc w:val="right"/>
      <w:pPr>
        <w:ind w:left="1483" w:hanging="400"/>
      </w:pPr>
    </w:lvl>
    <w:lvl w:ilvl="3" w:tplc="0409000F" w:tentative="1">
      <w:start w:val="1"/>
      <w:numFmt w:val="decimal"/>
      <w:lvlText w:val="%4."/>
      <w:lvlJc w:val="left"/>
      <w:pPr>
        <w:ind w:left="1883" w:hanging="400"/>
      </w:pPr>
    </w:lvl>
    <w:lvl w:ilvl="4" w:tplc="04090019" w:tentative="1">
      <w:start w:val="1"/>
      <w:numFmt w:val="upperLetter"/>
      <w:lvlText w:val="%5."/>
      <w:lvlJc w:val="left"/>
      <w:pPr>
        <w:ind w:left="2283" w:hanging="400"/>
      </w:pPr>
    </w:lvl>
    <w:lvl w:ilvl="5" w:tplc="0409001B" w:tentative="1">
      <w:start w:val="1"/>
      <w:numFmt w:val="lowerRoman"/>
      <w:lvlText w:val="%6."/>
      <w:lvlJc w:val="right"/>
      <w:pPr>
        <w:ind w:left="2683" w:hanging="400"/>
      </w:pPr>
    </w:lvl>
    <w:lvl w:ilvl="6" w:tplc="0409000F" w:tentative="1">
      <w:start w:val="1"/>
      <w:numFmt w:val="decimal"/>
      <w:lvlText w:val="%7."/>
      <w:lvlJc w:val="left"/>
      <w:pPr>
        <w:ind w:left="3083" w:hanging="400"/>
      </w:pPr>
    </w:lvl>
    <w:lvl w:ilvl="7" w:tplc="04090019" w:tentative="1">
      <w:start w:val="1"/>
      <w:numFmt w:val="upperLetter"/>
      <w:lvlText w:val="%8."/>
      <w:lvlJc w:val="left"/>
      <w:pPr>
        <w:ind w:left="3483" w:hanging="400"/>
      </w:pPr>
    </w:lvl>
    <w:lvl w:ilvl="8" w:tplc="0409001B" w:tentative="1">
      <w:start w:val="1"/>
      <w:numFmt w:val="lowerRoman"/>
      <w:lvlText w:val="%9."/>
      <w:lvlJc w:val="right"/>
      <w:pPr>
        <w:ind w:left="3883" w:hanging="400"/>
      </w:pPr>
    </w:lvl>
  </w:abstractNum>
  <w:abstractNum w:abstractNumId="21" w15:restartNumberingAfterBreak="0">
    <w:nsid w:val="51FB4493"/>
    <w:multiLevelType w:val="hybridMultilevel"/>
    <w:tmpl w:val="F0825776"/>
    <w:lvl w:ilvl="0" w:tplc="BEC8930A">
      <w:start w:val="1"/>
      <w:numFmt w:val="decimal"/>
      <w:lvlText w:val="(%1)"/>
      <w:lvlJc w:val="left"/>
      <w:pPr>
        <w:ind w:left="643" w:hanging="360"/>
      </w:pPr>
      <w:rPr>
        <w:rFonts w:hint="default"/>
      </w:rPr>
    </w:lvl>
    <w:lvl w:ilvl="1" w:tplc="04090019" w:tentative="1">
      <w:start w:val="1"/>
      <w:numFmt w:val="upperLetter"/>
      <w:lvlText w:val="%2."/>
      <w:lvlJc w:val="left"/>
      <w:pPr>
        <w:ind w:left="1083" w:hanging="400"/>
      </w:pPr>
    </w:lvl>
    <w:lvl w:ilvl="2" w:tplc="0409001B" w:tentative="1">
      <w:start w:val="1"/>
      <w:numFmt w:val="lowerRoman"/>
      <w:lvlText w:val="%3."/>
      <w:lvlJc w:val="right"/>
      <w:pPr>
        <w:ind w:left="1483" w:hanging="400"/>
      </w:pPr>
    </w:lvl>
    <w:lvl w:ilvl="3" w:tplc="0409000F" w:tentative="1">
      <w:start w:val="1"/>
      <w:numFmt w:val="decimal"/>
      <w:lvlText w:val="%4."/>
      <w:lvlJc w:val="left"/>
      <w:pPr>
        <w:ind w:left="1883" w:hanging="400"/>
      </w:pPr>
    </w:lvl>
    <w:lvl w:ilvl="4" w:tplc="04090019" w:tentative="1">
      <w:start w:val="1"/>
      <w:numFmt w:val="upperLetter"/>
      <w:lvlText w:val="%5."/>
      <w:lvlJc w:val="left"/>
      <w:pPr>
        <w:ind w:left="2283" w:hanging="400"/>
      </w:pPr>
    </w:lvl>
    <w:lvl w:ilvl="5" w:tplc="0409001B" w:tentative="1">
      <w:start w:val="1"/>
      <w:numFmt w:val="lowerRoman"/>
      <w:lvlText w:val="%6."/>
      <w:lvlJc w:val="right"/>
      <w:pPr>
        <w:ind w:left="2683" w:hanging="400"/>
      </w:pPr>
    </w:lvl>
    <w:lvl w:ilvl="6" w:tplc="0409000F" w:tentative="1">
      <w:start w:val="1"/>
      <w:numFmt w:val="decimal"/>
      <w:lvlText w:val="%7."/>
      <w:lvlJc w:val="left"/>
      <w:pPr>
        <w:ind w:left="3083" w:hanging="400"/>
      </w:pPr>
    </w:lvl>
    <w:lvl w:ilvl="7" w:tplc="04090019" w:tentative="1">
      <w:start w:val="1"/>
      <w:numFmt w:val="upperLetter"/>
      <w:lvlText w:val="%8."/>
      <w:lvlJc w:val="left"/>
      <w:pPr>
        <w:ind w:left="3483" w:hanging="400"/>
      </w:pPr>
    </w:lvl>
    <w:lvl w:ilvl="8" w:tplc="0409001B" w:tentative="1">
      <w:start w:val="1"/>
      <w:numFmt w:val="lowerRoman"/>
      <w:lvlText w:val="%9."/>
      <w:lvlJc w:val="right"/>
      <w:pPr>
        <w:ind w:left="3883" w:hanging="400"/>
      </w:pPr>
    </w:lvl>
  </w:abstractNum>
  <w:abstractNum w:abstractNumId="22" w15:restartNumberingAfterBreak="0">
    <w:nsid w:val="530B13EA"/>
    <w:multiLevelType w:val="hybridMultilevel"/>
    <w:tmpl w:val="60481CDE"/>
    <w:lvl w:ilvl="0" w:tplc="B81A6A60">
      <w:start w:val="1"/>
      <w:numFmt w:val="decimal"/>
      <w:lvlText w:val="%1."/>
      <w:lvlJc w:val="left"/>
      <w:pPr>
        <w:ind w:left="7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3" w15:restartNumberingAfterBreak="0">
    <w:nsid w:val="537D1A84"/>
    <w:multiLevelType w:val="hybridMultilevel"/>
    <w:tmpl w:val="30B276D0"/>
    <w:lvl w:ilvl="0" w:tplc="53AA22D8">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24" w15:restartNumberingAfterBreak="0">
    <w:nsid w:val="54DC3C22"/>
    <w:multiLevelType w:val="hybridMultilevel"/>
    <w:tmpl w:val="E58266AE"/>
    <w:lvl w:ilvl="0" w:tplc="81BC8010">
      <w:start w:val="1"/>
      <w:numFmt w:val="decimal"/>
      <w:lvlText w:val="%1)"/>
      <w:lvlJc w:val="left"/>
      <w:pPr>
        <w:ind w:left="800" w:hanging="40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5" w15:restartNumberingAfterBreak="0">
    <w:nsid w:val="56055149"/>
    <w:multiLevelType w:val="hybridMultilevel"/>
    <w:tmpl w:val="91726B26"/>
    <w:lvl w:ilvl="0" w:tplc="F40860A8">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26" w15:restartNumberingAfterBreak="0">
    <w:nsid w:val="573858EB"/>
    <w:multiLevelType w:val="hybridMultilevel"/>
    <w:tmpl w:val="CCFC9796"/>
    <w:lvl w:ilvl="0" w:tplc="B106C012">
      <w:numFmt w:val="bullet"/>
      <w:lvlText w:val="-"/>
      <w:lvlJc w:val="left"/>
      <w:pPr>
        <w:ind w:left="1069" w:hanging="360"/>
      </w:pPr>
      <w:rPr>
        <w:rFonts w:ascii="Malgun Gothic" w:eastAsia="Malgun Gothic" w:hAnsi="Malgun Gothic" w:cstheme="minorBid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7" w15:restartNumberingAfterBreak="0">
    <w:nsid w:val="583C46DF"/>
    <w:multiLevelType w:val="hybridMultilevel"/>
    <w:tmpl w:val="9ED6E35C"/>
    <w:lvl w:ilvl="0" w:tplc="5E6003FE">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28" w15:restartNumberingAfterBreak="0">
    <w:nsid w:val="589047C5"/>
    <w:multiLevelType w:val="hybridMultilevel"/>
    <w:tmpl w:val="48D6C922"/>
    <w:lvl w:ilvl="0" w:tplc="6F6ABC6E">
      <w:start w:val="1"/>
      <w:numFmt w:val="decimal"/>
      <w:lvlText w:val="%1)"/>
      <w:lvlJc w:val="left"/>
      <w:pPr>
        <w:ind w:left="502" w:hanging="360"/>
      </w:pPr>
      <w:rPr>
        <w:rFonts w:hint="default"/>
      </w:rPr>
    </w:lvl>
    <w:lvl w:ilvl="1" w:tplc="F0AC8A2A">
      <w:start w:val="1"/>
      <w:numFmt w:val="decimal"/>
      <w:lvlText w:val="(%2)"/>
      <w:lvlJc w:val="left"/>
      <w:pPr>
        <w:ind w:left="902" w:hanging="360"/>
      </w:pPr>
      <w:rPr>
        <w:rFonts w:hint="default"/>
      </w:r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29" w15:restartNumberingAfterBreak="0">
    <w:nsid w:val="590F60C4"/>
    <w:multiLevelType w:val="hybridMultilevel"/>
    <w:tmpl w:val="0CC8CDD0"/>
    <w:lvl w:ilvl="0" w:tplc="A3D235B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0" w15:restartNumberingAfterBreak="0">
    <w:nsid w:val="59DE70AC"/>
    <w:multiLevelType w:val="hybridMultilevel"/>
    <w:tmpl w:val="B5BC8586"/>
    <w:lvl w:ilvl="0" w:tplc="CBB0DDF4">
      <w:start w:val="1"/>
      <w:numFmt w:val="decimal"/>
      <w:lvlText w:val="(%1)"/>
      <w:lvlJc w:val="left"/>
      <w:pPr>
        <w:ind w:left="644" w:hanging="360"/>
      </w:pPr>
      <w:rPr>
        <w:rFonts w:hint="default"/>
      </w:rPr>
    </w:lvl>
    <w:lvl w:ilvl="1" w:tplc="04090019" w:tentative="1">
      <w:start w:val="1"/>
      <w:numFmt w:val="upperLetter"/>
      <w:lvlText w:val="%2."/>
      <w:lvlJc w:val="left"/>
      <w:pPr>
        <w:ind w:left="1084" w:hanging="400"/>
      </w:pPr>
    </w:lvl>
    <w:lvl w:ilvl="2" w:tplc="0409001B" w:tentative="1">
      <w:start w:val="1"/>
      <w:numFmt w:val="lowerRoman"/>
      <w:lvlText w:val="%3."/>
      <w:lvlJc w:val="right"/>
      <w:pPr>
        <w:ind w:left="1484" w:hanging="400"/>
      </w:pPr>
    </w:lvl>
    <w:lvl w:ilvl="3" w:tplc="0409000F" w:tentative="1">
      <w:start w:val="1"/>
      <w:numFmt w:val="decimal"/>
      <w:lvlText w:val="%4."/>
      <w:lvlJc w:val="left"/>
      <w:pPr>
        <w:ind w:left="1884" w:hanging="400"/>
      </w:pPr>
    </w:lvl>
    <w:lvl w:ilvl="4" w:tplc="04090019" w:tentative="1">
      <w:start w:val="1"/>
      <w:numFmt w:val="upperLetter"/>
      <w:lvlText w:val="%5."/>
      <w:lvlJc w:val="left"/>
      <w:pPr>
        <w:ind w:left="2284" w:hanging="400"/>
      </w:pPr>
    </w:lvl>
    <w:lvl w:ilvl="5" w:tplc="0409001B" w:tentative="1">
      <w:start w:val="1"/>
      <w:numFmt w:val="lowerRoman"/>
      <w:lvlText w:val="%6."/>
      <w:lvlJc w:val="right"/>
      <w:pPr>
        <w:ind w:left="2684" w:hanging="400"/>
      </w:pPr>
    </w:lvl>
    <w:lvl w:ilvl="6" w:tplc="0409000F" w:tentative="1">
      <w:start w:val="1"/>
      <w:numFmt w:val="decimal"/>
      <w:lvlText w:val="%7."/>
      <w:lvlJc w:val="left"/>
      <w:pPr>
        <w:ind w:left="3084" w:hanging="400"/>
      </w:pPr>
    </w:lvl>
    <w:lvl w:ilvl="7" w:tplc="04090019" w:tentative="1">
      <w:start w:val="1"/>
      <w:numFmt w:val="upperLetter"/>
      <w:lvlText w:val="%8."/>
      <w:lvlJc w:val="left"/>
      <w:pPr>
        <w:ind w:left="3484" w:hanging="400"/>
      </w:pPr>
    </w:lvl>
    <w:lvl w:ilvl="8" w:tplc="0409001B" w:tentative="1">
      <w:start w:val="1"/>
      <w:numFmt w:val="lowerRoman"/>
      <w:lvlText w:val="%9."/>
      <w:lvlJc w:val="right"/>
      <w:pPr>
        <w:ind w:left="3884" w:hanging="400"/>
      </w:pPr>
    </w:lvl>
  </w:abstractNum>
  <w:abstractNum w:abstractNumId="31" w15:restartNumberingAfterBreak="0">
    <w:nsid w:val="5AB63CF2"/>
    <w:multiLevelType w:val="hybridMultilevel"/>
    <w:tmpl w:val="7C80CE98"/>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2" w15:restartNumberingAfterBreak="0">
    <w:nsid w:val="5E0650DE"/>
    <w:multiLevelType w:val="hybridMultilevel"/>
    <w:tmpl w:val="3522C8BA"/>
    <w:lvl w:ilvl="0" w:tplc="E95635E6">
      <w:start w:val="1"/>
      <w:numFmt w:val="decimal"/>
      <w:lvlText w:val="%1)"/>
      <w:lvlJc w:val="left"/>
      <w:pPr>
        <w:ind w:left="502" w:hanging="360"/>
      </w:pPr>
      <w:rPr>
        <w:rFonts w:hint="eastAsia"/>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33" w15:restartNumberingAfterBreak="0">
    <w:nsid w:val="5F7565A3"/>
    <w:multiLevelType w:val="hybridMultilevel"/>
    <w:tmpl w:val="C4708CB0"/>
    <w:lvl w:ilvl="0" w:tplc="B030AF1C">
      <w:start w:val="1"/>
      <w:numFmt w:val="decimal"/>
      <w:lvlText w:val="%1)"/>
      <w:lvlJc w:val="left"/>
      <w:pPr>
        <w:ind w:left="3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4" w15:restartNumberingAfterBreak="0">
    <w:nsid w:val="62040DD3"/>
    <w:multiLevelType w:val="hybridMultilevel"/>
    <w:tmpl w:val="B036835C"/>
    <w:lvl w:ilvl="0" w:tplc="9470F098">
      <w:start w:val="1"/>
      <w:numFmt w:val="upperRoman"/>
      <w:lvlText w:val="%1."/>
      <w:lvlJc w:val="left"/>
      <w:pPr>
        <w:ind w:left="1120" w:hanging="72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5" w15:restartNumberingAfterBreak="0">
    <w:nsid w:val="62CB5F8E"/>
    <w:multiLevelType w:val="hybridMultilevel"/>
    <w:tmpl w:val="1A7A390A"/>
    <w:lvl w:ilvl="0" w:tplc="EA6CE83E">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36" w15:restartNumberingAfterBreak="0">
    <w:nsid w:val="64445916"/>
    <w:multiLevelType w:val="hybridMultilevel"/>
    <w:tmpl w:val="515819BA"/>
    <w:lvl w:ilvl="0" w:tplc="81BC8010">
      <w:start w:val="1"/>
      <w:numFmt w:val="decimal"/>
      <w:lvlText w:val="%1)"/>
      <w:lvlJc w:val="left"/>
      <w:pPr>
        <w:ind w:left="800" w:hanging="400"/>
      </w:pPr>
      <w:rPr>
        <w:rFonts w:hint="default"/>
      </w:rPr>
    </w:lvl>
    <w:lvl w:ilvl="1" w:tplc="6FE66C5A">
      <w:numFmt w:val="bullet"/>
      <w:lvlText w:val="■"/>
      <w:lvlJc w:val="left"/>
      <w:pPr>
        <w:ind w:left="1160" w:hanging="360"/>
      </w:pPr>
      <w:rPr>
        <w:rFonts w:ascii="THELuxGo" w:eastAsia="THELuxGo" w:hAnsi="THELuxGo" w:cs="THELuxGo" w:hint="eastAsia"/>
        <w:sz w:val="14"/>
      </w:r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7" w15:restartNumberingAfterBreak="0">
    <w:nsid w:val="652A5B28"/>
    <w:multiLevelType w:val="hybridMultilevel"/>
    <w:tmpl w:val="A0FAFD3A"/>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8" w15:restartNumberingAfterBreak="0">
    <w:nsid w:val="680602B7"/>
    <w:multiLevelType w:val="hybridMultilevel"/>
    <w:tmpl w:val="93F0064C"/>
    <w:lvl w:ilvl="0" w:tplc="1216543A">
      <w:start w:val="1"/>
      <w:numFmt w:val="decimalEnclosedCircle"/>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9" w15:restartNumberingAfterBreak="0">
    <w:nsid w:val="69053195"/>
    <w:multiLevelType w:val="hybridMultilevel"/>
    <w:tmpl w:val="FE769816"/>
    <w:lvl w:ilvl="0" w:tplc="3B9C5482">
      <w:start w:val="1"/>
      <w:numFmt w:val="decimal"/>
      <w:lvlText w:val="%1)"/>
      <w:lvlJc w:val="left"/>
      <w:pPr>
        <w:ind w:left="684" w:hanging="400"/>
      </w:pPr>
      <w:rPr>
        <w:rFonts w:hint="eastAsia"/>
      </w:rPr>
    </w:lvl>
    <w:lvl w:ilvl="1" w:tplc="04090019" w:tentative="1">
      <w:start w:val="1"/>
      <w:numFmt w:val="upperLetter"/>
      <w:lvlText w:val="%2."/>
      <w:lvlJc w:val="left"/>
      <w:pPr>
        <w:ind w:left="1084" w:hanging="400"/>
      </w:pPr>
    </w:lvl>
    <w:lvl w:ilvl="2" w:tplc="0409001B" w:tentative="1">
      <w:start w:val="1"/>
      <w:numFmt w:val="lowerRoman"/>
      <w:lvlText w:val="%3."/>
      <w:lvlJc w:val="right"/>
      <w:pPr>
        <w:ind w:left="1484" w:hanging="400"/>
      </w:pPr>
    </w:lvl>
    <w:lvl w:ilvl="3" w:tplc="0409000F" w:tentative="1">
      <w:start w:val="1"/>
      <w:numFmt w:val="decimal"/>
      <w:lvlText w:val="%4."/>
      <w:lvlJc w:val="left"/>
      <w:pPr>
        <w:ind w:left="1884" w:hanging="400"/>
      </w:pPr>
    </w:lvl>
    <w:lvl w:ilvl="4" w:tplc="04090019" w:tentative="1">
      <w:start w:val="1"/>
      <w:numFmt w:val="upperLetter"/>
      <w:lvlText w:val="%5."/>
      <w:lvlJc w:val="left"/>
      <w:pPr>
        <w:ind w:left="2284" w:hanging="400"/>
      </w:pPr>
    </w:lvl>
    <w:lvl w:ilvl="5" w:tplc="0409001B" w:tentative="1">
      <w:start w:val="1"/>
      <w:numFmt w:val="lowerRoman"/>
      <w:lvlText w:val="%6."/>
      <w:lvlJc w:val="right"/>
      <w:pPr>
        <w:ind w:left="2684" w:hanging="400"/>
      </w:pPr>
    </w:lvl>
    <w:lvl w:ilvl="6" w:tplc="0409000F" w:tentative="1">
      <w:start w:val="1"/>
      <w:numFmt w:val="decimal"/>
      <w:lvlText w:val="%7."/>
      <w:lvlJc w:val="left"/>
      <w:pPr>
        <w:ind w:left="3084" w:hanging="400"/>
      </w:pPr>
    </w:lvl>
    <w:lvl w:ilvl="7" w:tplc="04090019" w:tentative="1">
      <w:start w:val="1"/>
      <w:numFmt w:val="upperLetter"/>
      <w:lvlText w:val="%8."/>
      <w:lvlJc w:val="left"/>
      <w:pPr>
        <w:ind w:left="3484" w:hanging="400"/>
      </w:pPr>
    </w:lvl>
    <w:lvl w:ilvl="8" w:tplc="0409001B" w:tentative="1">
      <w:start w:val="1"/>
      <w:numFmt w:val="lowerRoman"/>
      <w:lvlText w:val="%9."/>
      <w:lvlJc w:val="right"/>
      <w:pPr>
        <w:ind w:left="3884" w:hanging="400"/>
      </w:pPr>
    </w:lvl>
  </w:abstractNum>
  <w:abstractNum w:abstractNumId="40" w15:restartNumberingAfterBreak="0">
    <w:nsid w:val="6A103263"/>
    <w:multiLevelType w:val="hybridMultilevel"/>
    <w:tmpl w:val="4A5C0544"/>
    <w:lvl w:ilvl="0" w:tplc="F8B2683C">
      <w:start w:val="1"/>
      <w:numFmt w:val="decimal"/>
      <w:lvlText w:val="%1."/>
      <w:lvlJc w:val="left"/>
      <w:pPr>
        <w:ind w:left="360" w:hanging="360"/>
      </w:pPr>
      <w:rPr>
        <w:rFonts w:hint="default"/>
        <w:b/>
      </w:rPr>
    </w:lvl>
    <w:lvl w:ilvl="1" w:tplc="3B9C5482">
      <w:start w:val="1"/>
      <w:numFmt w:val="decimal"/>
      <w:lvlText w:val="%2)"/>
      <w:lvlJc w:val="left"/>
      <w:pPr>
        <w:ind w:left="542" w:hanging="400"/>
      </w:pPr>
      <w:rPr>
        <w:rFonts w:hint="eastAsia"/>
      </w:rPr>
    </w:lvl>
    <w:lvl w:ilvl="2" w:tplc="4102579E">
      <w:start w:val="1"/>
      <w:numFmt w:val="bullet"/>
      <w:lvlText w:val="-"/>
      <w:lvlJc w:val="left"/>
      <w:pPr>
        <w:ind w:left="1160" w:hanging="360"/>
      </w:pPr>
      <w:rPr>
        <w:rFonts w:ascii="Malgun Gothic" w:eastAsia="Malgun Gothic" w:hAnsi="Malgun Gothic" w:cs="THELuxGo" w:hint="eastAsia"/>
      </w:r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41" w15:restartNumberingAfterBreak="0">
    <w:nsid w:val="6A807492"/>
    <w:multiLevelType w:val="hybridMultilevel"/>
    <w:tmpl w:val="B92E99C4"/>
    <w:lvl w:ilvl="0" w:tplc="1D1C4288">
      <w:start w:val="1"/>
      <w:numFmt w:val="decimal"/>
      <w:lvlText w:val="%1."/>
      <w:lvlJc w:val="left"/>
      <w:pPr>
        <w:ind w:left="3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2" w15:restartNumberingAfterBreak="0">
    <w:nsid w:val="6B586E46"/>
    <w:multiLevelType w:val="hybridMultilevel"/>
    <w:tmpl w:val="BE5422E6"/>
    <w:lvl w:ilvl="0" w:tplc="B030AF1C">
      <w:start w:val="1"/>
      <w:numFmt w:val="decimal"/>
      <w:lvlText w:val="%1)"/>
      <w:lvlJc w:val="left"/>
      <w:pPr>
        <w:ind w:left="644" w:hanging="360"/>
      </w:pPr>
      <w:rPr>
        <w:rFonts w:hint="default"/>
      </w:rPr>
    </w:lvl>
    <w:lvl w:ilvl="1" w:tplc="04090019" w:tentative="1">
      <w:start w:val="1"/>
      <w:numFmt w:val="upperLetter"/>
      <w:lvlText w:val="%2."/>
      <w:lvlJc w:val="left"/>
      <w:pPr>
        <w:ind w:left="1484" w:hanging="400"/>
      </w:pPr>
    </w:lvl>
    <w:lvl w:ilvl="2" w:tplc="0409001B" w:tentative="1">
      <w:start w:val="1"/>
      <w:numFmt w:val="lowerRoman"/>
      <w:lvlText w:val="%3."/>
      <w:lvlJc w:val="right"/>
      <w:pPr>
        <w:ind w:left="1884" w:hanging="400"/>
      </w:pPr>
    </w:lvl>
    <w:lvl w:ilvl="3" w:tplc="0409000F" w:tentative="1">
      <w:start w:val="1"/>
      <w:numFmt w:val="decimal"/>
      <w:lvlText w:val="%4."/>
      <w:lvlJc w:val="left"/>
      <w:pPr>
        <w:ind w:left="2284" w:hanging="400"/>
      </w:pPr>
    </w:lvl>
    <w:lvl w:ilvl="4" w:tplc="04090019" w:tentative="1">
      <w:start w:val="1"/>
      <w:numFmt w:val="upperLetter"/>
      <w:lvlText w:val="%5."/>
      <w:lvlJc w:val="left"/>
      <w:pPr>
        <w:ind w:left="2684" w:hanging="400"/>
      </w:pPr>
    </w:lvl>
    <w:lvl w:ilvl="5" w:tplc="0409001B" w:tentative="1">
      <w:start w:val="1"/>
      <w:numFmt w:val="lowerRoman"/>
      <w:lvlText w:val="%6."/>
      <w:lvlJc w:val="right"/>
      <w:pPr>
        <w:ind w:left="3084" w:hanging="400"/>
      </w:pPr>
    </w:lvl>
    <w:lvl w:ilvl="6" w:tplc="0409000F" w:tentative="1">
      <w:start w:val="1"/>
      <w:numFmt w:val="decimal"/>
      <w:lvlText w:val="%7."/>
      <w:lvlJc w:val="left"/>
      <w:pPr>
        <w:ind w:left="3484" w:hanging="400"/>
      </w:pPr>
    </w:lvl>
    <w:lvl w:ilvl="7" w:tplc="04090019" w:tentative="1">
      <w:start w:val="1"/>
      <w:numFmt w:val="upperLetter"/>
      <w:lvlText w:val="%8."/>
      <w:lvlJc w:val="left"/>
      <w:pPr>
        <w:ind w:left="3884" w:hanging="400"/>
      </w:pPr>
    </w:lvl>
    <w:lvl w:ilvl="8" w:tplc="0409001B" w:tentative="1">
      <w:start w:val="1"/>
      <w:numFmt w:val="lowerRoman"/>
      <w:lvlText w:val="%9."/>
      <w:lvlJc w:val="right"/>
      <w:pPr>
        <w:ind w:left="4284" w:hanging="400"/>
      </w:pPr>
    </w:lvl>
  </w:abstractNum>
  <w:abstractNum w:abstractNumId="43" w15:restartNumberingAfterBreak="0">
    <w:nsid w:val="72D53094"/>
    <w:multiLevelType w:val="hybridMultilevel"/>
    <w:tmpl w:val="764CDF78"/>
    <w:lvl w:ilvl="0" w:tplc="B030AF1C">
      <w:start w:val="1"/>
      <w:numFmt w:val="decimal"/>
      <w:lvlText w:val="%1)"/>
      <w:lvlJc w:val="left"/>
      <w:pPr>
        <w:ind w:left="360" w:hanging="360"/>
      </w:pPr>
      <w:rPr>
        <w:rFonts w:hint="default"/>
        <w:b/>
      </w:rPr>
    </w:lvl>
    <w:lvl w:ilvl="1" w:tplc="B030AF1C">
      <w:start w:val="1"/>
      <w:numFmt w:val="decimal"/>
      <w:lvlText w:val="%2)"/>
      <w:lvlJc w:val="left"/>
      <w:pPr>
        <w:ind w:left="360" w:hanging="360"/>
      </w:pPr>
      <w:rPr>
        <w:rFonts w:hint="default"/>
      </w:r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4" w15:restartNumberingAfterBreak="0">
    <w:nsid w:val="760F6148"/>
    <w:multiLevelType w:val="hybridMultilevel"/>
    <w:tmpl w:val="80583C4A"/>
    <w:lvl w:ilvl="0" w:tplc="3B9C5482">
      <w:start w:val="1"/>
      <w:numFmt w:val="decimal"/>
      <w:lvlText w:val="%1)"/>
      <w:lvlJc w:val="left"/>
      <w:pPr>
        <w:ind w:left="800" w:hanging="40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5" w15:restartNumberingAfterBreak="0">
    <w:nsid w:val="766B42A8"/>
    <w:multiLevelType w:val="hybridMultilevel"/>
    <w:tmpl w:val="90D6EA80"/>
    <w:lvl w:ilvl="0" w:tplc="36D01CE0">
      <w:start w:val="1"/>
      <w:numFmt w:val="decimal"/>
      <w:lvlText w:val="%1."/>
      <w:lvlJc w:val="left"/>
      <w:pPr>
        <w:ind w:left="360" w:hanging="360"/>
      </w:pPr>
      <w:rPr>
        <w:rFonts w:hint="eastAsia"/>
      </w:rPr>
    </w:lvl>
    <w:lvl w:ilvl="1" w:tplc="04090019" w:tentative="1">
      <w:start w:val="1"/>
      <w:numFmt w:val="upperLetter"/>
      <w:lvlText w:val="%2."/>
      <w:lvlJc w:val="left"/>
      <w:pPr>
        <w:ind w:left="658" w:hanging="400"/>
      </w:pPr>
    </w:lvl>
    <w:lvl w:ilvl="2" w:tplc="0409001B" w:tentative="1">
      <w:start w:val="1"/>
      <w:numFmt w:val="lowerRoman"/>
      <w:lvlText w:val="%3."/>
      <w:lvlJc w:val="right"/>
      <w:pPr>
        <w:ind w:left="1058" w:hanging="400"/>
      </w:pPr>
    </w:lvl>
    <w:lvl w:ilvl="3" w:tplc="0409000F" w:tentative="1">
      <w:start w:val="1"/>
      <w:numFmt w:val="decimal"/>
      <w:lvlText w:val="%4."/>
      <w:lvlJc w:val="left"/>
      <w:pPr>
        <w:ind w:left="1458" w:hanging="400"/>
      </w:pPr>
    </w:lvl>
    <w:lvl w:ilvl="4" w:tplc="04090019" w:tentative="1">
      <w:start w:val="1"/>
      <w:numFmt w:val="upperLetter"/>
      <w:lvlText w:val="%5."/>
      <w:lvlJc w:val="left"/>
      <w:pPr>
        <w:ind w:left="1858" w:hanging="400"/>
      </w:pPr>
    </w:lvl>
    <w:lvl w:ilvl="5" w:tplc="0409001B" w:tentative="1">
      <w:start w:val="1"/>
      <w:numFmt w:val="lowerRoman"/>
      <w:lvlText w:val="%6."/>
      <w:lvlJc w:val="right"/>
      <w:pPr>
        <w:ind w:left="2258" w:hanging="400"/>
      </w:pPr>
    </w:lvl>
    <w:lvl w:ilvl="6" w:tplc="0409000F" w:tentative="1">
      <w:start w:val="1"/>
      <w:numFmt w:val="decimal"/>
      <w:lvlText w:val="%7."/>
      <w:lvlJc w:val="left"/>
      <w:pPr>
        <w:ind w:left="2658" w:hanging="400"/>
      </w:pPr>
    </w:lvl>
    <w:lvl w:ilvl="7" w:tplc="04090019" w:tentative="1">
      <w:start w:val="1"/>
      <w:numFmt w:val="upperLetter"/>
      <w:lvlText w:val="%8."/>
      <w:lvlJc w:val="left"/>
      <w:pPr>
        <w:ind w:left="3058" w:hanging="400"/>
      </w:pPr>
    </w:lvl>
    <w:lvl w:ilvl="8" w:tplc="0409001B" w:tentative="1">
      <w:start w:val="1"/>
      <w:numFmt w:val="lowerRoman"/>
      <w:lvlText w:val="%9."/>
      <w:lvlJc w:val="right"/>
      <w:pPr>
        <w:ind w:left="3458" w:hanging="400"/>
      </w:pPr>
    </w:lvl>
  </w:abstractNum>
  <w:abstractNum w:abstractNumId="46" w15:restartNumberingAfterBreak="0">
    <w:nsid w:val="7978360F"/>
    <w:multiLevelType w:val="hybridMultilevel"/>
    <w:tmpl w:val="63FAF43E"/>
    <w:lvl w:ilvl="0" w:tplc="946EAC82">
      <w:start w:val="1"/>
      <w:numFmt w:val="decimal"/>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47" w15:restartNumberingAfterBreak="0">
    <w:nsid w:val="79FB6AB8"/>
    <w:multiLevelType w:val="hybridMultilevel"/>
    <w:tmpl w:val="10142598"/>
    <w:lvl w:ilvl="0" w:tplc="36D01CE0">
      <w:start w:val="1"/>
      <w:numFmt w:val="decimal"/>
      <w:lvlText w:val="%1."/>
      <w:lvlJc w:val="left"/>
      <w:pPr>
        <w:ind w:left="360" w:hanging="360"/>
      </w:pPr>
      <w:rPr>
        <w:rFonts w:hint="eastAsia"/>
      </w:rPr>
    </w:lvl>
    <w:lvl w:ilvl="1" w:tplc="04090019" w:tentative="1">
      <w:start w:val="1"/>
      <w:numFmt w:val="upperLetter"/>
      <w:lvlText w:val="%2."/>
      <w:lvlJc w:val="left"/>
      <w:pPr>
        <w:ind w:left="658" w:hanging="400"/>
      </w:pPr>
    </w:lvl>
    <w:lvl w:ilvl="2" w:tplc="0409001B" w:tentative="1">
      <w:start w:val="1"/>
      <w:numFmt w:val="lowerRoman"/>
      <w:lvlText w:val="%3."/>
      <w:lvlJc w:val="right"/>
      <w:pPr>
        <w:ind w:left="1058" w:hanging="400"/>
      </w:pPr>
    </w:lvl>
    <w:lvl w:ilvl="3" w:tplc="0409000F" w:tentative="1">
      <w:start w:val="1"/>
      <w:numFmt w:val="decimal"/>
      <w:lvlText w:val="%4."/>
      <w:lvlJc w:val="left"/>
      <w:pPr>
        <w:ind w:left="1458" w:hanging="400"/>
      </w:pPr>
    </w:lvl>
    <w:lvl w:ilvl="4" w:tplc="04090019" w:tentative="1">
      <w:start w:val="1"/>
      <w:numFmt w:val="upperLetter"/>
      <w:lvlText w:val="%5."/>
      <w:lvlJc w:val="left"/>
      <w:pPr>
        <w:ind w:left="1858" w:hanging="400"/>
      </w:pPr>
    </w:lvl>
    <w:lvl w:ilvl="5" w:tplc="0409001B" w:tentative="1">
      <w:start w:val="1"/>
      <w:numFmt w:val="lowerRoman"/>
      <w:lvlText w:val="%6."/>
      <w:lvlJc w:val="right"/>
      <w:pPr>
        <w:ind w:left="2258" w:hanging="400"/>
      </w:pPr>
    </w:lvl>
    <w:lvl w:ilvl="6" w:tplc="0409000F" w:tentative="1">
      <w:start w:val="1"/>
      <w:numFmt w:val="decimal"/>
      <w:lvlText w:val="%7."/>
      <w:lvlJc w:val="left"/>
      <w:pPr>
        <w:ind w:left="2658" w:hanging="400"/>
      </w:pPr>
    </w:lvl>
    <w:lvl w:ilvl="7" w:tplc="04090019" w:tentative="1">
      <w:start w:val="1"/>
      <w:numFmt w:val="upperLetter"/>
      <w:lvlText w:val="%8."/>
      <w:lvlJc w:val="left"/>
      <w:pPr>
        <w:ind w:left="3058" w:hanging="400"/>
      </w:pPr>
    </w:lvl>
    <w:lvl w:ilvl="8" w:tplc="0409001B" w:tentative="1">
      <w:start w:val="1"/>
      <w:numFmt w:val="lowerRoman"/>
      <w:lvlText w:val="%9."/>
      <w:lvlJc w:val="right"/>
      <w:pPr>
        <w:ind w:left="3458" w:hanging="400"/>
      </w:pPr>
    </w:lvl>
  </w:abstractNum>
  <w:abstractNum w:abstractNumId="48" w15:restartNumberingAfterBreak="0">
    <w:nsid w:val="7F4A1D87"/>
    <w:multiLevelType w:val="hybridMultilevel"/>
    <w:tmpl w:val="05E6BAA4"/>
    <w:lvl w:ilvl="0" w:tplc="A72E12AE">
      <w:start w:val="1"/>
      <w:numFmt w:val="upperRoman"/>
      <w:lvlText w:val="%1."/>
      <w:lvlJc w:val="left"/>
      <w:pPr>
        <w:ind w:left="1120" w:hanging="72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1493524890">
    <w:abstractNumId w:val="34"/>
  </w:num>
  <w:num w:numId="2" w16cid:durableId="1839149719">
    <w:abstractNumId w:val="48"/>
  </w:num>
  <w:num w:numId="3" w16cid:durableId="1338508097">
    <w:abstractNumId w:val="22"/>
  </w:num>
  <w:num w:numId="4" w16cid:durableId="1508015636">
    <w:abstractNumId w:val="9"/>
  </w:num>
  <w:num w:numId="5" w16cid:durableId="1894921599">
    <w:abstractNumId w:val="47"/>
  </w:num>
  <w:num w:numId="6" w16cid:durableId="1076979748">
    <w:abstractNumId w:val="7"/>
  </w:num>
  <w:num w:numId="7" w16cid:durableId="1958442865">
    <w:abstractNumId w:val="32"/>
  </w:num>
  <w:num w:numId="8" w16cid:durableId="1357736242">
    <w:abstractNumId w:val="27"/>
  </w:num>
  <w:num w:numId="9" w16cid:durableId="537549760">
    <w:abstractNumId w:val="41"/>
  </w:num>
  <w:num w:numId="10" w16cid:durableId="177426997">
    <w:abstractNumId w:val="43"/>
  </w:num>
  <w:num w:numId="11" w16cid:durableId="1476220551">
    <w:abstractNumId w:val="45"/>
  </w:num>
  <w:num w:numId="12" w16cid:durableId="1494101806">
    <w:abstractNumId w:val="0"/>
  </w:num>
  <w:num w:numId="13" w16cid:durableId="560288806">
    <w:abstractNumId w:val="16"/>
  </w:num>
  <w:num w:numId="14" w16cid:durableId="1880779541">
    <w:abstractNumId w:val="42"/>
  </w:num>
  <w:num w:numId="15" w16cid:durableId="202257882">
    <w:abstractNumId w:val="1"/>
  </w:num>
  <w:num w:numId="16" w16cid:durableId="875852697">
    <w:abstractNumId w:val="33"/>
  </w:num>
  <w:num w:numId="17" w16cid:durableId="761490095">
    <w:abstractNumId w:val="14"/>
  </w:num>
  <w:num w:numId="18" w16cid:durableId="751009030">
    <w:abstractNumId w:val="35"/>
  </w:num>
  <w:num w:numId="19" w16cid:durableId="863977932">
    <w:abstractNumId w:val="19"/>
  </w:num>
  <w:num w:numId="20" w16cid:durableId="710417362">
    <w:abstractNumId w:val="23"/>
  </w:num>
  <w:num w:numId="21" w16cid:durableId="600337923">
    <w:abstractNumId w:val="40"/>
  </w:num>
  <w:num w:numId="22" w16cid:durableId="472991170">
    <w:abstractNumId w:val="4"/>
  </w:num>
  <w:num w:numId="23" w16cid:durableId="2047178677">
    <w:abstractNumId w:val="5"/>
  </w:num>
  <w:num w:numId="24" w16cid:durableId="1193768864">
    <w:abstractNumId w:val="12"/>
  </w:num>
  <w:num w:numId="25" w16cid:durableId="240531293">
    <w:abstractNumId w:val="30"/>
  </w:num>
  <w:num w:numId="26" w16cid:durableId="1522889740">
    <w:abstractNumId w:val="10"/>
  </w:num>
  <w:num w:numId="27" w16cid:durableId="1710495375">
    <w:abstractNumId w:val="38"/>
  </w:num>
  <w:num w:numId="28" w16cid:durableId="1260021470">
    <w:abstractNumId w:val="20"/>
  </w:num>
  <w:num w:numId="29" w16cid:durableId="1345470871">
    <w:abstractNumId w:val="37"/>
  </w:num>
  <w:num w:numId="30" w16cid:durableId="2111124072">
    <w:abstractNumId w:val="8"/>
  </w:num>
  <w:num w:numId="31" w16cid:durableId="1211114550">
    <w:abstractNumId w:val="26"/>
  </w:num>
  <w:num w:numId="32" w16cid:durableId="1019702791">
    <w:abstractNumId w:val="29"/>
  </w:num>
  <w:num w:numId="33" w16cid:durableId="136579750">
    <w:abstractNumId w:val="11"/>
  </w:num>
  <w:num w:numId="34" w16cid:durableId="1605966002">
    <w:abstractNumId w:val="21"/>
  </w:num>
  <w:num w:numId="35" w16cid:durableId="382564418">
    <w:abstractNumId w:val="2"/>
  </w:num>
  <w:num w:numId="36" w16cid:durableId="1856964195">
    <w:abstractNumId w:val="44"/>
  </w:num>
  <w:num w:numId="37" w16cid:durableId="2019233699">
    <w:abstractNumId w:val="39"/>
  </w:num>
  <w:num w:numId="38" w16cid:durableId="1283612061">
    <w:abstractNumId w:val="46"/>
  </w:num>
  <w:num w:numId="39" w16cid:durableId="2084331560">
    <w:abstractNumId w:val="3"/>
  </w:num>
  <w:num w:numId="40" w16cid:durableId="1549603795">
    <w:abstractNumId w:val="25"/>
  </w:num>
  <w:num w:numId="41" w16cid:durableId="1220048681">
    <w:abstractNumId w:val="31"/>
  </w:num>
  <w:num w:numId="42" w16cid:durableId="1685133864">
    <w:abstractNumId w:val="6"/>
  </w:num>
  <w:num w:numId="43" w16cid:durableId="1245526998">
    <w:abstractNumId w:val="28"/>
  </w:num>
  <w:num w:numId="44" w16cid:durableId="1564218011">
    <w:abstractNumId w:val="17"/>
  </w:num>
  <w:num w:numId="45" w16cid:durableId="2058314356">
    <w:abstractNumId w:val="15"/>
  </w:num>
  <w:num w:numId="46" w16cid:durableId="438725161">
    <w:abstractNumId w:val="24"/>
  </w:num>
  <w:num w:numId="47" w16cid:durableId="1544095450">
    <w:abstractNumId w:val="13"/>
  </w:num>
  <w:num w:numId="48" w16cid:durableId="1455637868">
    <w:abstractNumId w:val="36"/>
  </w:num>
  <w:num w:numId="49" w16cid:durableId="33753968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480"/>
    <w:rsid w:val="00005C81"/>
    <w:rsid w:val="000211C5"/>
    <w:rsid w:val="0002270B"/>
    <w:rsid w:val="0002454D"/>
    <w:rsid w:val="0004168A"/>
    <w:rsid w:val="000543EE"/>
    <w:rsid w:val="00060C3C"/>
    <w:rsid w:val="000667E8"/>
    <w:rsid w:val="000674DE"/>
    <w:rsid w:val="000725BD"/>
    <w:rsid w:val="00096707"/>
    <w:rsid w:val="000F2D67"/>
    <w:rsid w:val="00106410"/>
    <w:rsid w:val="001121E1"/>
    <w:rsid w:val="00154B50"/>
    <w:rsid w:val="001723DF"/>
    <w:rsid w:val="00180B1F"/>
    <w:rsid w:val="001B1BE1"/>
    <w:rsid w:val="001C67F4"/>
    <w:rsid w:val="001D5866"/>
    <w:rsid w:val="00206B2C"/>
    <w:rsid w:val="00235565"/>
    <w:rsid w:val="00245928"/>
    <w:rsid w:val="0024766C"/>
    <w:rsid w:val="0025624A"/>
    <w:rsid w:val="00266EE3"/>
    <w:rsid w:val="00297A27"/>
    <w:rsid w:val="002C31D6"/>
    <w:rsid w:val="002C48EA"/>
    <w:rsid w:val="002D503B"/>
    <w:rsid w:val="002E276F"/>
    <w:rsid w:val="002E306A"/>
    <w:rsid w:val="002F0115"/>
    <w:rsid w:val="002F3AEF"/>
    <w:rsid w:val="00305FAB"/>
    <w:rsid w:val="0032525E"/>
    <w:rsid w:val="00341916"/>
    <w:rsid w:val="00377F73"/>
    <w:rsid w:val="0039319F"/>
    <w:rsid w:val="003973E4"/>
    <w:rsid w:val="003B107E"/>
    <w:rsid w:val="003D722F"/>
    <w:rsid w:val="003E149B"/>
    <w:rsid w:val="003E60D9"/>
    <w:rsid w:val="003F1F3A"/>
    <w:rsid w:val="004001F3"/>
    <w:rsid w:val="00422DE2"/>
    <w:rsid w:val="0042302A"/>
    <w:rsid w:val="00423A95"/>
    <w:rsid w:val="00427F68"/>
    <w:rsid w:val="0043348F"/>
    <w:rsid w:val="0044335A"/>
    <w:rsid w:val="004568E0"/>
    <w:rsid w:val="004643C3"/>
    <w:rsid w:val="004950D7"/>
    <w:rsid w:val="00495C7B"/>
    <w:rsid w:val="004B177E"/>
    <w:rsid w:val="004E0665"/>
    <w:rsid w:val="0054067B"/>
    <w:rsid w:val="00561762"/>
    <w:rsid w:val="0057742D"/>
    <w:rsid w:val="005A06CE"/>
    <w:rsid w:val="005D6FFC"/>
    <w:rsid w:val="005F0C26"/>
    <w:rsid w:val="005F2436"/>
    <w:rsid w:val="00611BEF"/>
    <w:rsid w:val="00622026"/>
    <w:rsid w:val="00624E2E"/>
    <w:rsid w:val="00632C94"/>
    <w:rsid w:val="00636E1C"/>
    <w:rsid w:val="006464E0"/>
    <w:rsid w:val="0067382F"/>
    <w:rsid w:val="00680808"/>
    <w:rsid w:val="006809A3"/>
    <w:rsid w:val="00682987"/>
    <w:rsid w:val="006832C1"/>
    <w:rsid w:val="0068427D"/>
    <w:rsid w:val="006846C5"/>
    <w:rsid w:val="006861D9"/>
    <w:rsid w:val="006C3C01"/>
    <w:rsid w:val="006E43F2"/>
    <w:rsid w:val="006E75E6"/>
    <w:rsid w:val="00703716"/>
    <w:rsid w:val="007106FA"/>
    <w:rsid w:val="00710740"/>
    <w:rsid w:val="00712E07"/>
    <w:rsid w:val="00715C16"/>
    <w:rsid w:val="00725E51"/>
    <w:rsid w:val="007304E0"/>
    <w:rsid w:val="007369D3"/>
    <w:rsid w:val="00747FCD"/>
    <w:rsid w:val="00750B4B"/>
    <w:rsid w:val="007701DF"/>
    <w:rsid w:val="00780D6F"/>
    <w:rsid w:val="007841CE"/>
    <w:rsid w:val="00791E79"/>
    <w:rsid w:val="007925B4"/>
    <w:rsid w:val="007934B9"/>
    <w:rsid w:val="00793838"/>
    <w:rsid w:val="00794337"/>
    <w:rsid w:val="007C2145"/>
    <w:rsid w:val="007E0BF0"/>
    <w:rsid w:val="007F07CE"/>
    <w:rsid w:val="0082225A"/>
    <w:rsid w:val="00834052"/>
    <w:rsid w:val="00843A5D"/>
    <w:rsid w:val="00846636"/>
    <w:rsid w:val="00847860"/>
    <w:rsid w:val="00852CE6"/>
    <w:rsid w:val="00855D59"/>
    <w:rsid w:val="008766B9"/>
    <w:rsid w:val="00876E51"/>
    <w:rsid w:val="00880B56"/>
    <w:rsid w:val="008879F0"/>
    <w:rsid w:val="00887E45"/>
    <w:rsid w:val="00895C7A"/>
    <w:rsid w:val="008A3800"/>
    <w:rsid w:val="008A678A"/>
    <w:rsid w:val="008A71FF"/>
    <w:rsid w:val="008D5545"/>
    <w:rsid w:val="008F4136"/>
    <w:rsid w:val="00912480"/>
    <w:rsid w:val="00941114"/>
    <w:rsid w:val="00954369"/>
    <w:rsid w:val="009663D6"/>
    <w:rsid w:val="0097054A"/>
    <w:rsid w:val="00974BC9"/>
    <w:rsid w:val="009758BC"/>
    <w:rsid w:val="00980061"/>
    <w:rsid w:val="009826C9"/>
    <w:rsid w:val="009B4C7A"/>
    <w:rsid w:val="009D59AD"/>
    <w:rsid w:val="009D6164"/>
    <w:rsid w:val="009F3511"/>
    <w:rsid w:val="009F5626"/>
    <w:rsid w:val="00A15159"/>
    <w:rsid w:val="00A20312"/>
    <w:rsid w:val="00A215A4"/>
    <w:rsid w:val="00A23C6F"/>
    <w:rsid w:val="00A437A1"/>
    <w:rsid w:val="00A4528E"/>
    <w:rsid w:val="00A515BC"/>
    <w:rsid w:val="00A5458F"/>
    <w:rsid w:val="00A56871"/>
    <w:rsid w:val="00A65614"/>
    <w:rsid w:val="00A66962"/>
    <w:rsid w:val="00A72A50"/>
    <w:rsid w:val="00A76FA5"/>
    <w:rsid w:val="00A910A7"/>
    <w:rsid w:val="00AB757D"/>
    <w:rsid w:val="00AC0347"/>
    <w:rsid w:val="00AC110A"/>
    <w:rsid w:val="00AC4BAE"/>
    <w:rsid w:val="00AD530D"/>
    <w:rsid w:val="00AF50C8"/>
    <w:rsid w:val="00B02BB9"/>
    <w:rsid w:val="00B06932"/>
    <w:rsid w:val="00B1051B"/>
    <w:rsid w:val="00B239BD"/>
    <w:rsid w:val="00B3220D"/>
    <w:rsid w:val="00B45F6D"/>
    <w:rsid w:val="00B50F1E"/>
    <w:rsid w:val="00B526F9"/>
    <w:rsid w:val="00B6047E"/>
    <w:rsid w:val="00B64688"/>
    <w:rsid w:val="00B7602F"/>
    <w:rsid w:val="00B81D9F"/>
    <w:rsid w:val="00B949DA"/>
    <w:rsid w:val="00BD300C"/>
    <w:rsid w:val="00BE7481"/>
    <w:rsid w:val="00BF4823"/>
    <w:rsid w:val="00C07356"/>
    <w:rsid w:val="00C20C42"/>
    <w:rsid w:val="00C2532C"/>
    <w:rsid w:val="00C25CE0"/>
    <w:rsid w:val="00C328E2"/>
    <w:rsid w:val="00C346DB"/>
    <w:rsid w:val="00C473B1"/>
    <w:rsid w:val="00C64CAF"/>
    <w:rsid w:val="00C826EB"/>
    <w:rsid w:val="00C94CF1"/>
    <w:rsid w:val="00C954D3"/>
    <w:rsid w:val="00CA0E1A"/>
    <w:rsid w:val="00CA3423"/>
    <w:rsid w:val="00CA5210"/>
    <w:rsid w:val="00CC543E"/>
    <w:rsid w:val="00D01088"/>
    <w:rsid w:val="00D01252"/>
    <w:rsid w:val="00D04EE8"/>
    <w:rsid w:val="00D16889"/>
    <w:rsid w:val="00D16C7C"/>
    <w:rsid w:val="00D27DE5"/>
    <w:rsid w:val="00D562DE"/>
    <w:rsid w:val="00D57CEA"/>
    <w:rsid w:val="00D67DCC"/>
    <w:rsid w:val="00D734F2"/>
    <w:rsid w:val="00D87BCE"/>
    <w:rsid w:val="00D90EBF"/>
    <w:rsid w:val="00DA77F7"/>
    <w:rsid w:val="00DB4B8E"/>
    <w:rsid w:val="00DB6ACC"/>
    <w:rsid w:val="00DC349B"/>
    <w:rsid w:val="00DD4462"/>
    <w:rsid w:val="00DD50DE"/>
    <w:rsid w:val="00DE10C3"/>
    <w:rsid w:val="00DF34AF"/>
    <w:rsid w:val="00E01CE9"/>
    <w:rsid w:val="00E02110"/>
    <w:rsid w:val="00E27FB9"/>
    <w:rsid w:val="00E54877"/>
    <w:rsid w:val="00E73697"/>
    <w:rsid w:val="00E96F4D"/>
    <w:rsid w:val="00EB2881"/>
    <w:rsid w:val="00EC0D1C"/>
    <w:rsid w:val="00EC534F"/>
    <w:rsid w:val="00EE4FC4"/>
    <w:rsid w:val="00EE7D1A"/>
    <w:rsid w:val="00EF0949"/>
    <w:rsid w:val="00F20063"/>
    <w:rsid w:val="00F22949"/>
    <w:rsid w:val="00F35109"/>
    <w:rsid w:val="00F45C35"/>
    <w:rsid w:val="00F60FC4"/>
    <w:rsid w:val="00F70739"/>
    <w:rsid w:val="00F71B1B"/>
    <w:rsid w:val="00F836FE"/>
    <w:rsid w:val="00FA1B9C"/>
    <w:rsid w:val="00FC2C9E"/>
    <w:rsid w:val="00FC4104"/>
    <w:rsid w:val="00FD043E"/>
    <w:rsid w:val="00FE3565"/>
    <w:rsid w:val="00FF55CC"/>
    <w:rsid w:val="00FF5DD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313B4"/>
  <w15:chartTrackingRefBased/>
  <w15:docId w15:val="{5A6EFD12-BAF7-4085-88A6-7FCE11CA1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ka"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4FC4"/>
    <w:pPr>
      <w:widowControl w:val="0"/>
      <w:wordWrap w:val="0"/>
      <w:autoSpaceDE w:val="0"/>
      <w:autoSpaceDN w:val="0"/>
    </w:pPr>
  </w:style>
  <w:style w:type="paragraph" w:styleId="Heading1">
    <w:name w:val="heading 1"/>
    <w:basedOn w:val="Normal"/>
    <w:next w:val="Normal"/>
    <w:link w:val="Heading1Char"/>
    <w:uiPriority w:val="9"/>
    <w:qFormat/>
    <w:rsid w:val="00847860"/>
    <w:pPr>
      <w:keepNext/>
      <w:outlineLvl w:val="0"/>
    </w:pPr>
    <w:rPr>
      <w:rFonts w:asciiTheme="majorHAnsi" w:eastAsiaTheme="majorEastAsia" w:hAnsiTheme="majorHAnsi" w:cstheme="majorBid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60D9"/>
    <w:pPr>
      <w:ind w:leftChars="400" w:left="800"/>
    </w:pPr>
  </w:style>
  <w:style w:type="table" w:styleId="TableGrid">
    <w:name w:val="Table Grid"/>
    <w:basedOn w:val="TableNormal"/>
    <w:uiPriority w:val="39"/>
    <w:rsid w:val="00EE7D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543EE"/>
    <w:rPr>
      <w:sz w:val="18"/>
      <w:szCs w:val="18"/>
    </w:rPr>
  </w:style>
  <w:style w:type="paragraph" w:styleId="CommentText">
    <w:name w:val="annotation text"/>
    <w:basedOn w:val="Normal"/>
    <w:link w:val="CommentTextChar"/>
    <w:uiPriority w:val="99"/>
    <w:semiHidden/>
    <w:unhideWhenUsed/>
    <w:rsid w:val="000543EE"/>
    <w:pPr>
      <w:jc w:val="left"/>
    </w:pPr>
  </w:style>
  <w:style w:type="character" w:customStyle="1" w:styleId="CommentTextChar">
    <w:name w:val="Comment Text Char"/>
    <w:basedOn w:val="DefaultParagraphFont"/>
    <w:link w:val="CommentText"/>
    <w:uiPriority w:val="99"/>
    <w:semiHidden/>
    <w:rsid w:val="000543EE"/>
  </w:style>
  <w:style w:type="paragraph" w:styleId="CommentSubject">
    <w:name w:val="annotation subject"/>
    <w:basedOn w:val="CommentText"/>
    <w:next w:val="CommentText"/>
    <w:link w:val="CommentSubjectChar"/>
    <w:uiPriority w:val="99"/>
    <w:semiHidden/>
    <w:unhideWhenUsed/>
    <w:rsid w:val="000543EE"/>
    <w:rPr>
      <w:b/>
      <w:bCs/>
    </w:rPr>
  </w:style>
  <w:style w:type="character" w:customStyle="1" w:styleId="CommentSubjectChar">
    <w:name w:val="Comment Subject Char"/>
    <w:basedOn w:val="CommentTextChar"/>
    <w:link w:val="CommentSubject"/>
    <w:uiPriority w:val="99"/>
    <w:semiHidden/>
    <w:rsid w:val="000543EE"/>
    <w:rPr>
      <w:b/>
      <w:bCs/>
    </w:rPr>
  </w:style>
  <w:style w:type="paragraph" w:styleId="BalloonText">
    <w:name w:val="Balloon Text"/>
    <w:basedOn w:val="Normal"/>
    <w:link w:val="BalloonTextChar"/>
    <w:uiPriority w:val="99"/>
    <w:semiHidden/>
    <w:unhideWhenUsed/>
    <w:rsid w:val="000543EE"/>
    <w:pPr>
      <w:spacing w:after="0"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0543EE"/>
    <w:rPr>
      <w:rFonts w:asciiTheme="majorHAnsi" w:eastAsiaTheme="majorEastAsia" w:hAnsiTheme="majorHAnsi" w:cstheme="majorBidi"/>
      <w:sz w:val="18"/>
      <w:szCs w:val="18"/>
    </w:rPr>
  </w:style>
  <w:style w:type="paragraph" w:styleId="NormalWeb">
    <w:name w:val="Normal (Web)"/>
    <w:basedOn w:val="Normal"/>
    <w:uiPriority w:val="99"/>
    <w:semiHidden/>
    <w:unhideWhenUsed/>
    <w:rsid w:val="004568E0"/>
    <w:pPr>
      <w:widowControl/>
      <w:wordWrap/>
      <w:autoSpaceDE/>
      <w:autoSpaceDN/>
      <w:spacing w:before="100" w:beforeAutospacing="1" w:after="100" w:afterAutospacing="1" w:line="240" w:lineRule="auto"/>
      <w:jc w:val="left"/>
    </w:pPr>
    <w:rPr>
      <w:rFonts w:ascii="Gulim" w:eastAsia="Gulim" w:hAnsi="Gulim" w:cs="Gulim"/>
      <w:kern w:val="0"/>
      <w:sz w:val="24"/>
      <w:szCs w:val="24"/>
    </w:rPr>
  </w:style>
  <w:style w:type="character" w:styleId="Strong">
    <w:name w:val="Strong"/>
    <w:basedOn w:val="DefaultParagraphFont"/>
    <w:uiPriority w:val="22"/>
    <w:qFormat/>
    <w:rsid w:val="004568E0"/>
    <w:rPr>
      <w:b/>
      <w:bCs/>
    </w:rPr>
  </w:style>
  <w:style w:type="character" w:customStyle="1" w:styleId="Heading1Char">
    <w:name w:val="Heading 1 Char"/>
    <w:basedOn w:val="DefaultParagraphFont"/>
    <w:link w:val="Heading1"/>
    <w:uiPriority w:val="9"/>
    <w:rsid w:val="00847860"/>
    <w:rPr>
      <w:rFonts w:asciiTheme="majorHAnsi" w:eastAsiaTheme="majorEastAsia" w:hAnsiTheme="majorHAnsi" w:cstheme="majorBidi"/>
      <w:sz w:val="28"/>
      <w:szCs w:val="28"/>
    </w:rPr>
  </w:style>
  <w:style w:type="character" w:styleId="Hyperlink">
    <w:name w:val="Hyperlink"/>
    <w:basedOn w:val="DefaultParagraphFont"/>
    <w:uiPriority w:val="99"/>
    <w:semiHidden/>
    <w:unhideWhenUsed/>
    <w:rsid w:val="007C21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58814">
      <w:bodyDiv w:val="1"/>
      <w:marLeft w:val="0"/>
      <w:marRight w:val="0"/>
      <w:marTop w:val="0"/>
      <w:marBottom w:val="0"/>
      <w:divBdr>
        <w:top w:val="none" w:sz="0" w:space="0" w:color="auto"/>
        <w:left w:val="none" w:sz="0" w:space="0" w:color="auto"/>
        <w:bottom w:val="none" w:sz="0" w:space="0" w:color="auto"/>
        <w:right w:val="none" w:sz="0" w:space="0" w:color="auto"/>
      </w:divBdr>
    </w:div>
    <w:div w:id="102920339">
      <w:bodyDiv w:val="1"/>
      <w:marLeft w:val="0"/>
      <w:marRight w:val="0"/>
      <w:marTop w:val="0"/>
      <w:marBottom w:val="0"/>
      <w:divBdr>
        <w:top w:val="none" w:sz="0" w:space="0" w:color="auto"/>
        <w:left w:val="none" w:sz="0" w:space="0" w:color="auto"/>
        <w:bottom w:val="none" w:sz="0" w:space="0" w:color="auto"/>
        <w:right w:val="none" w:sz="0" w:space="0" w:color="auto"/>
      </w:divBdr>
    </w:div>
    <w:div w:id="135684481">
      <w:bodyDiv w:val="1"/>
      <w:marLeft w:val="0"/>
      <w:marRight w:val="0"/>
      <w:marTop w:val="0"/>
      <w:marBottom w:val="0"/>
      <w:divBdr>
        <w:top w:val="none" w:sz="0" w:space="0" w:color="auto"/>
        <w:left w:val="none" w:sz="0" w:space="0" w:color="auto"/>
        <w:bottom w:val="none" w:sz="0" w:space="0" w:color="auto"/>
        <w:right w:val="none" w:sz="0" w:space="0" w:color="auto"/>
      </w:divBdr>
    </w:div>
    <w:div w:id="161361126">
      <w:bodyDiv w:val="1"/>
      <w:marLeft w:val="0"/>
      <w:marRight w:val="0"/>
      <w:marTop w:val="0"/>
      <w:marBottom w:val="0"/>
      <w:divBdr>
        <w:top w:val="none" w:sz="0" w:space="0" w:color="auto"/>
        <w:left w:val="none" w:sz="0" w:space="0" w:color="auto"/>
        <w:bottom w:val="none" w:sz="0" w:space="0" w:color="auto"/>
        <w:right w:val="none" w:sz="0" w:space="0" w:color="auto"/>
      </w:divBdr>
    </w:div>
    <w:div w:id="226186277">
      <w:bodyDiv w:val="1"/>
      <w:marLeft w:val="0"/>
      <w:marRight w:val="0"/>
      <w:marTop w:val="0"/>
      <w:marBottom w:val="0"/>
      <w:divBdr>
        <w:top w:val="none" w:sz="0" w:space="0" w:color="auto"/>
        <w:left w:val="none" w:sz="0" w:space="0" w:color="auto"/>
        <w:bottom w:val="none" w:sz="0" w:space="0" w:color="auto"/>
        <w:right w:val="none" w:sz="0" w:space="0" w:color="auto"/>
      </w:divBdr>
    </w:div>
    <w:div w:id="227765435">
      <w:bodyDiv w:val="1"/>
      <w:marLeft w:val="0"/>
      <w:marRight w:val="0"/>
      <w:marTop w:val="0"/>
      <w:marBottom w:val="0"/>
      <w:divBdr>
        <w:top w:val="none" w:sz="0" w:space="0" w:color="auto"/>
        <w:left w:val="none" w:sz="0" w:space="0" w:color="auto"/>
        <w:bottom w:val="none" w:sz="0" w:space="0" w:color="auto"/>
        <w:right w:val="none" w:sz="0" w:space="0" w:color="auto"/>
      </w:divBdr>
    </w:div>
    <w:div w:id="339432415">
      <w:bodyDiv w:val="1"/>
      <w:marLeft w:val="0"/>
      <w:marRight w:val="0"/>
      <w:marTop w:val="0"/>
      <w:marBottom w:val="0"/>
      <w:divBdr>
        <w:top w:val="none" w:sz="0" w:space="0" w:color="auto"/>
        <w:left w:val="none" w:sz="0" w:space="0" w:color="auto"/>
        <w:bottom w:val="none" w:sz="0" w:space="0" w:color="auto"/>
        <w:right w:val="none" w:sz="0" w:space="0" w:color="auto"/>
      </w:divBdr>
      <w:divsChild>
        <w:div w:id="70545356">
          <w:marLeft w:val="0"/>
          <w:marRight w:val="0"/>
          <w:marTop w:val="0"/>
          <w:marBottom w:val="0"/>
          <w:divBdr>
            <w:top w:val="none" w:sz="0" w:space="0" w:color="auto"/>
            <w:left w:val="none" w:sz="0" w:space="0" w:color="auto"/>
            <w:bottom w:val="none" w:sz="0" w:space="0" w:color="auto"/>
            <w:right w:val="none" w:sz="0" w:space="0" w:color="auto"/>
          </w:divBdr>
          <w:divsChild>
            <w:div w:id="1059942618">
              <w:marLeft w:val="0"/>
              <w:marRight w:val="0"/>
              <w:marTop w:val="0"/>
              <w:marBottom w:val="0"/>
              <w:divBdr>
                <w:top w:val="none" w:sz="0" w:space="0" w:color="auto"/>
                <w:left w:val="none" w:sz="0" w:space="0" w:color="auto"/>
                <w:bottom w:val="none" w:sz="0" w:space="0" w:color="auto"/>
                <w:right w:val="none" w:sz="0" w:space="0" w:color="auto"/>
              </w:divBdr>
              <w:divsChild>
                <w:div w:id="515198169">
                  <w:marLeft w:val="0"/>
                  <w:marRight w:val="0"/>
                  <w:marTop w:val="0"/>
                  <w:marBottom w:val="0"/>
                  <w:divBdr>
                    <w:top w:val="none" w:sz="0" w:space="0" w:color="auto"/>
                    <w:left w:val="none" w:sz="0" w:space="0" w:color="auto"/>
                    <w:bottom w:val="none" w:sz="0" w:space="0" w:color="auto"/>
                    <w:right w:val="none" w:sz="0" w:space="0" w:color="auto"/>
                  </w:divBdr>
                  <w:divsChild>
                    <w:div w:id="2063826533">
                      <w:marLeft w:val="0"/>
                      <w:marRight w:val="0"/>
                      <w:marTop w:val="0"/>
                      <w:marBottom w:val="0"/>
                      <w:divBdr>
                        <w:top w:val="none" w:sz="0" w:space="0" w:color="auto"/>
                        <w:left w:val="none" w:sz="0" w:space="0" w:color="auto"/>
                        <w:bottom w:val="none" w:sz="0" w:space="0" w:color="auto"/>
                        <w:right w:val="none" w:sz="0" w:space="0" w:color="auto"/>
                      </w:divBdr>
                      <w:divsChild>
                        <w:div w:id="1152020941">
                          <w:marLeft w:val="0"/>
                          <w:marRight w:val="0"/>
                          <w:marTop w:val="0"/>
                          <w:marBottom w:val="0"/>
                          <w:divBdr>
                            <w:top w:val="none" w:sz="0" w:space="0" w:color="auto"/>
                            <w:left w:val="none" w:sz="0" w:space="0" w:color="auto"/>
                            <w:bottom w:val="none" w:sz="0" w:space="0" w:color="auto"/>
                            <w:right w:val="none" w:sz="0" w:space="0" w:color="auto"/>
                          </w:divBdr>
                          <w:divsChild>
                            <w:div w:id="10107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4302076">
      <w:bodyDiv w:val="1"/>
      <w:marLeft w:val="0"/>
      <w:marRight w:val="0"/>
      <w:marTop w:val="0"/>
      <w:marBottom w:val="0"/>
      <w:divBdr>
        <w:top w:val="none" w:sz="0" w:space="0" w:color="auto"/>
        <w:left w:val="none" w:sz="0" w:space="0" w:color="auto"/>
        <w:bottom w:val="none" w:sz="0" w:space="0" w:color="auto"/>
        <w:right w:val="none" w:sz="0" w:space="0" w:color="auto"/>
      </w:divBdr>
    </w:div>
    <w:div w:id="491604881">
      <w:bodyDiv w:val="1"/>
      <w:marLeft w:val="0"/>
      <w:marRight w:val="0"/>
      <w:marTop w:val="0"/>
      <w:marBottom w:val="0"/>
      <w:divBdr>
        <w:top w:val="none" w:sz="0" w:space="0" w:color="auto"/>
        <w:left w:val="none" w:sz="0" w:space="0" w:color="auto"/>
        <w:bottom w:val="none" w:sz="0" w:space="0" w:color="auto"/>
        <w:right w:val="none" w:sz="0" w:space="0" w:color="auto"/>
      </w:divBdr>
    </w:div>
    <w:div w:id="553394418">
      <w:bodyDiv w:val="1"/>
      <w:marLeft w:val="0"/>
      <w:marRight w:val="0"/>
      <w:marTop w:val="0"/>
      <w:marBottom w:val="0"/>
      <w:divBdr>
        <w:top w:val="none" w:sz="0" w:space="0" w:color="auto"/>
        <w:left w:val="none" w:sz="0" w:space="0" w:color="auto"/>
        <w:bottom w:val="none" w:sz="0" w:space="0" w:color="auto"/>
        <w:right w:val="none" w:sz="0" w:space="0" w:color="auto"/>
      </w:divBdr>
    </w:div>
    <w:div w:id="624581144">
      <w:bodyDiv w:val="1"/>
      <w:marLeft w:val="0"/>
      <w:marRight w:val="0"/>
      <w:marTop w:val="0"/>
      <w:marBottom w:val="0"/>
      <w:divBdr>
        <w:top w:val="none" w:sz="0" w:space="0" w:color="auto"/>
        <w:left w:val="none" w:sz="0" w:space="0" w:color="auto"/>
        <w:bottom w:val="none" w:sz="0" w:space="0" w:color="auto"/>
        <w:right w:val="none" w:sz="0" w:space="0" w:color="auto"/>
      </w:divBdr>
    </w:div>
    <w:div w:id="649602097">
      <w:bodyDiv w:val="1"/>
      <w:marLeft w:val="0"/>
      <w:marRight w:val="0"/>
      <w:marTop w:val="0"/>
      <w:marBottom w:val="0"/>
      <w:divBdr>
        <w:top w:val="none" w:sz="0" w:space="0" w:color="auto"/>
        <w:left w:val="none" w:sz="0" w:space="0" w:color="auto"/>
        <w:bottom w:val="none" w:sz="0" w:space="0" w:color="auto"/>
        <w:right w:val="none" w:sz="0" w:space="0" w:color="auto"/>
      </w:divBdr>
    </w:div>
    <w:div w:id="653144333">
      <w:bodyDiv w:val="1"/>
      <w:marLeft w:val="0"/>
      <w:marRight w:val="0"/>
      <w:marTop w:val="0"/>
      <w:marBottom w:val="0"/>
      <w:divBdr>
        <w:top w:val="none" w:sz="0" w:space="0" w:color="auto"/>
        <w:left w:val="none" w:sz="0" w:space="0" w:color="auto"/>
        <w:bottom w:val="none" w:sz="0" w:space="0" w:color="auto"/>
        <w:right w:val="none" w:sz="0" w:space="0" w:color="auto"/>
      </w:divBdr>
    </w:div>
    <w:div w:id="672948651">
      <w:bodyDiv w:val="1"/>
      <w:marLeft w:val="0"/>
      <w:marRight w:val="0"/>
      <w:marTop w:val="0"/>
      <w:marBottom w:val="0"/>
      <w:divBdr>
        <w:top w:val="none" w:sz="0" w:space="0" w:color="auto"/>
        <w:left w:val="none" w:sz="0" w:space="0" w:color="auto"/>
        <w:bottom w:val="none" w:sz="0" w:space="0" w:color="auto"/>
        <w:right w:val="none" w:sz="0" w:space="0" w:color="auto"/>
      </w:divBdr>
    </w:div>
    <w:div w:id="684093173">
      <w:bodyDiv w:val="1"/>
      <w:marLeft w:val="0"/>
      <w:marRight w:val="0"/>
      <w:marTop w:val="0"/>
      <w:marBottom w:val="0"/>
      <w:divBdr>
        <w:top w:val="none" w:sz="0" w:space="0" w:color="auto"/>
        <w:left w:val="none" w:sz="0" w:space="0" w:color="auto"/>
        <w:bottom w:val="none" w:sz="0" w:space="0" w:color="auto"/>
        <w:right w:val="none" w:sz="0" w:space="0" w:color="auto"/>
      </w:divBdr>
    </w:div>
    <w:div w:id="702706798">
      <w:bodyDiv w:val="1"/>
      <w:marLeft w:val="0"/>
      <w:marRight w:val="0"/>
      <w:marTop w:val="0"/>
      <w:marBottom w:val="0"/>
      <w:divBdr>
        <w:top w:val="none" w:sz="0" w:space="0" w:color="auto"/>
        <w:left w:val="none" w:sz="0" w:space="0" w:color="auto"/>
        <w:bottom w:val="none" w:sz="0" w:space="0" w:color="auto"/>
        <w:right w:val="none" w:sz="0" w:space="0" w:color="auto"/>
      </w:divBdr>
    </w:div>
    <w:div w:id="769279234">
      <w:bodyDiv w:val="1"/>
      <w:marLeft w:val="0"/>
      <w:marRight w:val="0"/>
      <w:marTop w:val="0"/>
      <w:marBottom w:val="0"/>
      <w:divBdr>
        <w:top w:val="none" w:sz="0" w:space="0" w:color="auto"/>
        <w:left w:val="none" w:sz="0" w:space="0" w:color="auto"/>
        <w:bottom w:val="none" w:sz="0" w:space="0" w:color="auto"/>
        <w:right w:val="none" w:sz="0" w:space="0" w:color="auto"/>
      </w:divBdr>
    </w:div>
    <w:div w:id="877623469">
      <w:bodyDiv w:val="1"/>
      <w:marLeft w:val="0"/>
      <w:marRight w:val="0"/>
      <w:marTop w:val="0"/>
      <w:marBottom w:val="0"/>
      <w:divBdr>
        <w:top w:val="none" w:sz="0" w:space="0" w:color="auto"/>
        <w:left w:val="none" w:sz="0" w:space="0" w:color="auto"/>
        <w:bottom w:val="none" w:sz="0" w:space="0" w:color="auto"/>
        <w:right w:val="none" w:sz="0" w:space="0" w:color="auto"/>
      </w:divBdr>
    </w:div>
    <w:div w:id="902762425">
      <w:bodyDiv w:val="1"/>
      <w:marLeft w:val="0"/>
      <w:marRight w:val="0"/>
      <w:marTop w:val="0"/>
      <w:marBottom w:val="0"/>
      <w:divBdr>
        <w:top w:val="none" w:sz="0" w:space="0" w:color="auto"/>
        <w:left w:val="none" w:sz="0" w:space="0" w:color="auto"/>
        <w:bottom w:val="none" w:sz="0" w:space="0" w:color="auto"/>
        <w:right w:val="none" w:sz="0" w:space="0" w:color="auto"/>
      </w:divBdr>
    </w:div>
    <w:div w:id="999162532">
      <w:bodyDiv w:val="1"/>
      <w:marLeft w:val="0"/>
      <w:marRight w:val="0"/>
      <w:marTop w:val="0"/>
      <w:marBottom w:val="0"/>
      <w:divBdr>
        <w:top w:val="none" w:sz="0" w:space="0" w:color="auto"/>
        <w:left w:val="none" w:sz="0" w:space="0" w:color="auto"/>
        <w:bottom w:val="none" w:sz="0" w:space="0" w:color="auto"/>
        <w:right w:val="none" w:sz="0" w:space="0" w:color="auto"/>
      </w:divBdr>
    </w:div>
    <w:div w:id="1066075525">
      <w:bodyDiv w:val="1"/>
      <w:marLeft w:val="0"/>
      <w:marRight w:val="0"/>
      <w:marTop w:val="0"/>
      <w:marBottom w:val="0"/>
      <w:divBdr>
        <w:top w:val="none" w:sz="0" w:space="0" w:color="auto"/>
        <w:left w:val="none" w:sz="0" w:space="0" w:color="auto"/>
        <w:bottom w:val="none" w:sz="0" w:space="0" w:color="auto"/>
        <w:right w:val="none" w:sz="0" w:space="0" w:color="auto"/>
      </w:divBdr>
    </w:div>
    <w:div w:id="1088892637">
      <w:bodyDiv w:val="1"/>
      <w:marLeft w:val="0"/>
      <w:marRight w:val="0"/>
      <w:marTop w:val="0"/>
      <w:marBottom w:val="0"/>
      <w:divBdr>
        <w:top w:val="none" w:sz="0" w:space="0" w:color="auto"/>
        <w:left w:val="none" w:sz="0" w:space="0" w:color="auto"/>
        <w:bottom w:val="none" w:sz="0" w:space="0" w:color="auto"/>
        <w:right w:val="none" w:sz="0" w:space="0" w:color="auto"/>
      </w:divBdr>
    </w:div>
    <w:div w:id="1187016410">
      <w:bodyDiv w:val="1"/>
      <w:marLeft w:val="0"/>
      <w:marRight w:val="0"/>
      <w:marTop w:val="0"/>
      <w:marBottom w:val="0"/>
      <w:divBdr>
        <w:top w:val="none" w:sz="0" w:space="0" w:color="auto"/>
        <w:left w:val="none" w:sz="0" w:space="0" w:color="auto"/>
        <w:bottom w:val="none" w:sz="0" w:space="0" w:color="auto"/>
        <w:right w:val="none" w:sz="0" w:space="0" w:color="auto"/>
      </w:divBdr>
    </w:div>
    <w:div w:id="1209024754">
      <w:bodyDiv w:val="1"/>
      <w:marLeft w:val="0"/>
      <w:marRight w:val="0"/>
      <w:marTop w:val="0"/>
      <w:marBottom w:val="0"/>
      <w:divBdr>
        <w:top w:val="none" w:sz="0" w:space="0" w:color="auto"/>
        <w:left w:val="none" w:sz="0" w:space="0" w:color="auto"/>
        <w:bottom w:val="none" w:sz="0" w:space="0" w:color="auto"/>
        <w:right w:val="none" w:sz="0" w:space="0" w:color="auto"/>
      </w:divBdr>
    </w:div>
    <w:div w:id="1240942142">
      <w:bodyDiv w:val="1"/>
      <w:marLeft w:val="0"/>
      <w:marRight w:val="0"/>
      <w:marTop w:val="0"/>
      <w:marBottom w:val="0"/>
      <w:divBdr>
        <w:top w:val="none" w:sz="0" w:space="0" w:color="auto"/>
        <w:left w:val="none" w:sz="0" w:space="0" w:color="auto"/>
        <w:bottom w:val="none" w:sz="0" w:space="0" w:color="auto"/>
        <w:right w:val="none" w:sz="0" w:space="0" w:color="auto"/>
      </w:divBdr>
    </w:div>
    <w:div w:id="1354725438">
      <w:bodyDiv w:val="1"/>
      <w:marLeft w:val="0"/>
      <w:marRight w:val="0"/>
      <w:marTop w:val="0"/>
      <w:marBottom w:val="0"/>
      <w:divBdr>
        <w:top w:val="none" w:sz="0" w:space="0" w:color="auto"/>
        <w:left w:val="none" w:sz="0" w:space="0" w:color="auto"/>
        <w:bottom w:val="none" w:sz="0" w:space="0" w:color="auto"/>
        <w:right w:val="none" w:sz="0" w:space="0" w:color="auto"/>
      </w:divBdr>
    </w:div>
    <w:div w:id="1383406358">
      <w:bodyDiv w:val="1"/>
      <w:marLeft w:val="0"/>
      <w:marRight w:val="0"/>
      <w:marTop w:val="0"/>
      <w:marBottom w:val="0"/>
      <w:divBdr>
        <w:top w:val="none" w:sz="0" w:space="0" w:color="auto"/>
        <w:left w:val="none" w:sz="0" w:space="0" w:color="auto"/>
        <w:bottom w:val="none" w:sz="0" w:space="0" w:color="auto"/>
        <w:right w:val="none" w:sz="0" w:space="0" w:color="auto"/>
      </w:divBdr>
    </w:div>
    <w:div w:id="1445030214">
      <w:bodyDiv w:val="1"/>
      <w:marLeft w:val="0"/>
      <w:marRight w:val="0"/>
      <w:marTop w:val="0"/>
      <w:marBottom w:val="0"/>
      <w:divBdr>
        <w:top w:val="none" w:sz="0" w:space="0" w:color="auto"/>
        <w:left w:val="none" w:sz="0" w:space="0" w:color="auto"/>
        <w:bottom w:val="none" w:sz="0" w:space="0" w:color="auto"/>
        <w:right w:val="none" w:sz="0" w:space="0" w:color="auto"/>
      </w:divBdr>
    </w:div>
    <w:div w:id="1580283348">
      <w:bodyDiv w:val="1"/>
      <w:marLeft w:val="0"/>
      <w:marRight w:val="0"/>
      <w:marTop w:val="0"/>
      <w:marBottom w:val="0"/>
      <w:divBdr>
        <w:top w:val="none" w:sz="0" w:space="0" w:color="auto"/>
        <w:left w:val="none" w:sz="0" w:space="0" w:color="auto"/>
        <w:bottom w:val="none" w:sz="0" w:space="0" w:color="auto"/>
        <w:right w:val="none" w:sz="0" w:space="0" w:color="auto"/>
      </w:divBdr>
    </w:div>
    <w:div w:id="1585453760">
      <w:bodyDiv w:val="1"/>
      <w:marLeft w:val="0"/>
      <w:marRight w:val="0"/>
      <w:marTop w:val="0"/>
      <w:marBottom w:val="0"/>
      <w:divBdr>
        <w:top w:val="none" w:sz="0" w:space="0" w:color="auto"/>
        <w:left w:val="none" w:sz="0" w:space="0" w:color="auto"/>
        <w:bottom w:val="none" w:sz="0" w:space="0" w:color="auto"/>
        <w:right w:val="none" w:sz="0" w:space="0" w:color="auto"/>
      </w:divBdr>
    </w:div>
    <w:div w:id="1593971016">
      <w:bodyDiv w:val="1"/>
      <w:marLeft w:val="0"/>
      <w:marRight w:val="0"/>
      <w:marTop w:val="0"/>
      <w:marBottom w:val="0"/>
      <w:divBdr>
        <w:top w:val="none" w:sz="0" w:space="0" w:color="auto"/>
        <w:left w:val="none" w:sz="0" w:space="0" w:color="auto"/>
        <w:bottom w:val="none" w:sz="0" w:space="0" w:color="auto"/>
        <w:right w:val="none" w:sz="0" w:space="0" w:color="auto"/>
      </w:divBdr>
    </w:div>
    <w:div w:id="1687244351">
      <w:bodyDiv w:val="1"/>
      <w:marLeft w:val="0"/>
      <w:marRight w:val="0"/>
      <w:marTop w:val="0"/>
      <w:marBottom w:val="0"/>
      <w:divBdr>
        <w:top w:val="none" w:sz="0" w:space="0" w:color="auto"/>
        <w:left w:val="none" w:sz="0" w:space="0" w:color="auto"/>
        <w:bottom w:val="none" w:sz="0" w:space="0" w:color="auto"/>
        <w:right w:val="none" w:sz="0" w:space="0" w:color="auto"/>
      </w:divBdr>
    </w:div>
    <w:div w:id="1803382958">
      <w:bodyDiv w:val="1"/>
      <w:marLeft w:val="0"/>
      <w:marRight w:val="0"/>
      <w:marTop w:val="0"/>
      <w:marBottom w:val="0"/>
      <w:divBdr>
        <w:top w:val="none" w:sz="0" w:space="0" w:color="auto"/>
        <w:left w:val="none" w:sz="0" w:space="0" w:color="auto"/>
        <w:bottom w:val="none" w:sz="0" w:space="0" w:color="auto"/>
        <w:right w:val="none" w:sz="0" w:space="0" w:color="auto"/>
      </w:divBdr>
    </w:div>
    <w:div w:id="1806463629">
      <w:bodyDiv w:val="1"/>
      <w:marLeft w:val="0"/>
      <w:marRight w:val="0"/>
      <w:marTop w:val="0"/>
      <w:marBottom w:val="0"/>
      <w:divBdr>
        <w:top w:val="none" w:sz="0" w:space="0" w:color="auto"/>
        <w:left w:val="none" w:sz="0" w:space="0" w:color="auto"/>
        <w:bottom w:val="none" w:sz="0" w:space="0" w:color="auto"/>
        <w:right w:val="none" w:sz="0" w:space="0" w:color="auto"/>
      </w:divBdr>
    </w:div>
    <w:div w:id="1867718051">
      <w:bodyDiv w:val="1"/>
      <w:marLeft w:val="0"/>
      <w:marRight w:val="0"/>
      <w:marTop w:val="0"/>
      <w:marBottom w:val="0"/>
      <w:divBdr>
        <w:top w:val="none" w:sz="0" w:space="0" w:color="auto"/>
        <w:left w:val="none" w:sz="0" w:space="0" w:color="auto"/>
        <w:bottom w:val="none" w:sz="0" w:space="0" w:color="auto"/>
        <w:right w:val="none" w:sz="0" w:space="0" w:color="auto"/>
      </w:divBdr>
    </w:div>
    <w:div w:id="1930305766">
      <w:bodyDiv w:val="1"/>
      <w:marLeft w:val="0"/>
      <w:marRight w:val="0"/>
      <w:marTop w:val="0"/>
      <w:marBottom w:val="0"/>
      <w:divBdr>
        <w:top w:val="none" w:sz="0" w:space="0" w:color="auto"/>
        <w:left w:val="none" w:sz="0" w:space="0" w:color="auto"/>
        <w:bottom w:val="none" w:sz="0" w:space="0" w:color="auto"/>
        <w:right w:val="none" w:sz="0" w:space="0" w:color="auto"/>
      </w:divBdr>
    </w:div>
    <w:div w:id="1955670730">
      <w:bodyDiv w:val="1"/>
      <w:marLeft w:val="0"/>
      <w:marRight w:val="0"/>
      <w:marTop w:val="0"/>
      <w:marBottom w:val="0"/>
      <w:divBdr>
        <w:top w:val="none" w:sz="0" w:space="0" w:color="auto"/>
        <w:left w:val="none" w:sz="0" w:space="0" w:color="auto"/>
        <w:bottom w:val="none" w:sz="0" w:space="0" w:color="auto"/>
        <w:right w:val="none" w:sz="0" w:space="0" w:color="auto"/>
      </w:divBdr>
    </w:div>
    <w:div w:id="2017733341">
      <w:bodyDiv w:val="1"/>
      <w:marLeft w:val="0"/>
      <w:marRight w:val="0"/>
      <w:marTop w:val="0"/>
      <w:marBottom w:val="0"/>
      <w:divBdr>
        <w:top w:val="none" w:sz="0" w:space="0" w:color="auto"/>
        <w:left w:val="none" w:sz="0" w:space="0" w:color="auto"/>
        <w:bottom w:val="none" w:sz="0" w:space="0" w:color="auto"/>
        <w:right w:val="none" w:sz="0" w:space="0" w:color="auto"/>
      </w:divBdr>
    </w:div>
    <w:div w:id="2111074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4168C-B45E-4A7B-80B9-0A1C8B4E9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1517</Words>
  <Characters>8647</Characters>
  <Application>Microsoft Office Word</Application>
  <DocSecurity>0</DocSecurity>
  <Lines>72</Lines>
  <Paragraphs>20</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10144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hjpark</dc:creator>
  <cp:keywords/>
  <dc:description/>
  <cp:lastModifiedBy>Ana-Gigauri</cp:lastModifiedBy>
  <cp:revision>11</cp:revision>
  <dcterms:created xsi:type="dcterms:W3CDTF">2026-07-28T07:07:00Z</dcterms:created>
  <dcterms:modified xsi:type="dcterms:W3CDTF">2026-08-07T09:01:00Z</dcterms:modified>
</cp:coreProperties>
</file>