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AC0C3" w14:textId="77777777" w:rsidR="007065D2" w:rsidRPr="00CF713E" w:rsidRDefault="007065D2" w:rsidP="007065D2">
      <w:pPr>
        <w:spacing w:after="0" w:line="240" w:lineRule="auto"/>
        <w:jc w:val="both"/>
        <w:rPr>
          <w:rFonts w:ascii="Sylfaen" w:hAnsi="Sylfaen"/>
          <w:b/>
          <w:bCs/>
          <w:noProof/>
          <w:sz w:val="20"/>
          <w:szCs w:val="20"/>
          <w:lang w:val="ka-GE"/>
        </w:rPr>
      </w:pPr>
    </w:p>
    <w:p w14:paraId="19E98352" w14:textId="77777777" w:rsidR="007065D2" w:rsidRPr="00CF713E" w:rsidRDefault="007065D2" w:rsidP="007065D2">
      <w:pPr>
        <w:spacing w:after="0" w:line="240" w:lineRule="auto"/>
        <w:jc w:val="center"/>
        <w:rPr>
          <w:rFonts w:ascii="Sylfaen" w:hAnsi="Sylfaen"/>
          <w:b/>
          <w:bCs/>
          <w:noProof/>
          <w:sz w:val="20"/>
          <w:szCs w:val="20"/>
          <w:lang w:val="ka-GE"/>
        </w:rPr>
      </w:pPr>
      <w:r w:rsidRPr="00CF713E">
        <w:rPr>
          <w:rFonts w:ascii="Sylfaen" w:hAnsi="Sylfaen"/>
          <w:b/>
          <w:bCs/>
          <w:noProof/>
          <w:sz w:val="20"/>
          <w:szCs w:val="20"/>
          <w:lang w:val="ka-GE"/>
        </w:rPr>
        <w:t>გამოყენების ინსტრუქცია</w:t>
      </w:r>
    </w:p>
    <w:p w14:paraId="3316EA73" w14:textId="13D628D7" w:rsidR="004E6C38" w:rsidRPr="00CF713E" w:rsidRDefault="004E6C38" w:rsidP="007065D2">
      <w:pPr>
        <w:spacing w:after="0" w:line="240" w:lineRule="auto"/>
        <w:jc w:val="center"/>
        <w:rPr>
          <w:rFonts w:ascii="Sylfaen" w:hAnsi="Sylfaen"/>
          <w:b/>
          <w:bCs/>
          <w:noProof/>
          <w:sz w:val="20"/>
          <w:szCs w:val="20"/>
          <w:lang w:val="ka-GE"/>
        </w:rPr>
      </w:pPr>
      <w:r w:rsidRPr="00CF713E">
        <w:rPr>
          <w:rFonts w:ascii="Sylfaen" w:hAnsi="Sylfaen"/>
          <w:b/>
          <w:bCs/>
          <w:noProof/>
          <w:sz w:val="20"/>
          <w:szCs w:val="20"/>
          <w:lang w:val="ka-GE"/>
        </w:rPr>
        <w:t>პროდუქტის შემაჯამებელი დახასიათება</w:t>
      </w:r>
    </w:p>
    <w:p w14:paraId="36349DE2" w14:textId="77777777" w:rsidR="004E6C38" w:rsidRPr="00CF713E" w:rsidRDefault="004E6C38" w:rsidP="007065D2">
      <w:pPr>
        <w:spacing w:after="0" w:line="240" w:lineRule="auto"/>
        <w:jc w:val="both"/>
        <w:rPr>
          <w:rFonts w:ascii="Sylfaen" w:hAnsi="Sylfaen"/>
          <w:b/>
          <w:noProof/>
          <w:sz w:val="20"/>
          <w:szCs w:val="20"/>
          <w:lang w:val="ka-GE"/>
        </w:rPr>
      </w:pPr>
    </w:p>
    <w:p w14:paraId="1B99C0DE"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1 სამკურნალო პროდუქტის დასახელება</w:t>
      </w:r>
    </w:p>
    <w:p w14:paraId="7488CF59" w14:textId="18B5B3E2"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 75 მგ აპკი</w:t>
      </w:r>
      <w:r w:rsidR="007065D2" w:rsidRPr="00CF713E">
        <w:rPr>
          <w:rFonts w:ascii="Sylfaen" w:hAnsi="Sylfaen"/>
          <w:noProof/>
          <w:sz w:val="20"/>
          <w:szCs w:val="20"/>
          <w:lang w:val="ka-GE"/>
        </w:rPr>
        <w:t>ანი გარსით დაფარული</w:t>
      </w:r>
      <w:r w:rsidRPr="00CF713E">
        <w:rPr>
          <w:rFonts w:ascii="Sylfaen" w:hAnsi="Sylfaen"/>
          <w:noProof/>
          <w:sz w:val="20"/>
          <w:szCs w:val="20"/>
          <w:lang w:val="ka-GE"/>
        </w:rPr>
        <w:t xml:space="preserve">  ტაბლეტები</w:t>
      </w:r>
    </w:p>
    <w:p w14:paraId="3F878D35" w14:textId="77777777" w:rsidR="004E6C38" w:rsidRPr="00CF713E" w:rsidRDefault="004E6C38" w:rsidP="007065D2">
      <w:pPr>
        <w:spacing w:after="0" w:line="240" w:lineRule="auto"/>
        <w:jc w:val="both"/>
        <w:rPr>
          <w:rFonts w:ascii="Sylfaen" w:hAnsi="Sylfaen"/>
          <w:noProof/>
          <w:sz w:val="20"/>
          <w:szCs w:val="20"/>
          <w:lang w:val="ka-GE"/>
        </w:rPr>
      </w:pPr>
    </w:p>
    <w:p w14:paraId="4E40F81B"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2 თვისებრივი და რაოდენობრივი შემადგენლობა</w:t>
      </w:r>
    </w:p>
    <w:p w14:paraId="2D7AF316"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თითოეული აპკიანი გარსით დაფარული ტაბლეტი შეიცავს 75 მგ კლოპიდოგრელს</w:t>
      </w:r>
    </w:p>
    <w:p w14:paraId="60CC4D36"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ექსციპიენტების სრული ჩამონათვალისთვის იხილეთ 6.1 პუნქტი.</w:t>
      </w:r>
    </w:p>
    <w:p w14:paraId="18BAEFA1" w14:textId="77777777" w:rsidR="004E6C38" w:rsidRPr="00CF713E" w:rsidRDefault="004E6C38" w:rsidP="007065D2">
      <w:pPr>
        <w:spacing w:after="0" w:line="240" w:lineRule="auto"/>
        <w:jc w:val="both"/>
        <w:rPr>
          <w:rFonts w:ascii="Sylfaen" w:hAnsi="Sylfaen"/>
          <w:noProof/>
          <w:sz w:val="20"/>
          <w:szCs w:val="20"/>
          <w:lang w:val="ka-GE"/>
        </w:rPr>
      </w:pPr>
    </w:p>
    <w:p w14:paraId="5687B340"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3 ფარმაცევტული ფორმა</w:t>
      </w:r>
    </w:p>
    <w:p w14:paraId="2EF48E32"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აპკიანი გარსით დაფარული ტაბლეტი</w:t>
      </w:r>
    </w:p>
    <w:p w14:paraId="76FFD5E0"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თეთრი ფერის ბალიშის ფორმის აპკიანი გარსით დაფარული ტაბლეტი, ერთ მხარეს დაბეჭდილი DIL მონოგრამით და მეორე მხარეს გამყოფი ნიშნით და ლაქების გარეშე.</w:t>
      </w:r>
    </w:p>
    <w:p w14:paraId="4FBCD7AD" w14:textId="77777777" w:rsidR="004E6C38" w:rsidRPr="00CF713E" w:rsidRDefault="004E6C38" w:rsidP="007065D2">
      <w:pPr>
        <w:spacing w:after="0" w:line="240" w:lineRule="auto"/>
        <w:jc w:val="both"/>
        <w:rPr>
          <w:rFonts w:ascii="Sylfaen" w:hAnsi="Sylfaen"/>
          <w:noProof/>
          <w:sz w:val="20"/>
          <w:szCs w:val="20"/>
          <w:lang w:val="ka-GE"/>
        </w:rPr>
      </w:pPr>
    </w:p>
    <w:p w14:paraId="1AAAF7DE"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4 კლინიკური მახასიათებლები</w:t>
      </w:r>
    </w:p>
    <w:p w14:paraId="2BF3C855"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4.1 თერაპიული ჩვენებები</w:t>
      </w:r>
    </w:p>
    <w:p w14:paraId="42591FB3"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ათეროთრომბოზული მოვლენების მეორადი პრევენცია</w:t>
      </w:r>
    </w:p>
    <w:p w14:paraId="7021E00E"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 ნაჩვენებია:</w:t>
      </w:r>
    </w:p>
    <w:p w14:paraId="5E9D649B"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 </w:t>
      </w:r>
      <w:r w:rsidRPr="00CF713E">
        <w:rPr>
          <w:rFonts w:ascii="Sylfaen" w:hAnsi="Sylfaen" w:cs="Sylfaen"/>
          <w:noProof/>
          <w:sz w:val="20"/>
          <w:szCs w:val="20"/>
          <w:lang w:val="ka-GE"/>
        </w:rPr>
        <w:t>ზრდასრული პაციენტებისთვის, რომლებსაც აღენიშნებათ მიოკარდიუმის ინფარქტი (რამდენიმე დღიდან 35 დღემდე), იშემიური ინსულტი (7 დღიდა</w:t>
      </w:r>
      <w:r w:rsidRPr="00CF713E">
        <w:rPr>
          <w:rFonts w:ascii="Sylfaen" w:hAnsi="Sylfaen"/>
          <w:noProof/>
          <w:sz w:val="20"/>
          <w:szCs w:val="20"/>
          <w:lang w:val="ka-GE"/>
        </w:rPr>
        <w:t xml:space="preserve">ნ 6 თვემდე) ან დადგენილი პერიფერიული არტერიული დაავადება. </w:t>
      </w:r>
    </w:p>
    <w:p w14:paraId="57298153" w14:textId="3602EEFB" w:rsidR="004E6C38" w:rsidRPr="00CF713E" w:rsidRDefault="004E6C38" w:rsidP="007065D2">
      <w:pPr>
        <w:spacing w:after="0" w:line="240" w:lineRule="auto"/>
        <w:jc w:val="both"/>
        <w:rPr>
          <w:rFonts w:ascii="Sylfaen" w:hAnsi="Sylfaen" w:cs="Calibri"/>
          <w:noProof/>
          <w:sz w:val="20"/>
          <w:szCs w:val="20"/>
          <w:lang w:val="ka-GE"/>
        </w:rPr>
      </w:pPr>
      <w:r w:rsidRPr="00CF713E">
        <w:rPr>
          <w:rFonts w:ascii="Sylfaen" w:hAnsi="Sylfaen"/>
          <w:noProof/>
          <w:sz w:val="20"/>
          <w:szCs w:val="20"/>
          <w:lang w:val="ka-GE"/>
        </w:rPr>
        <w:t>•</w:t>
      </w:r>
      <w:r w:rsidR="00D66A4F" w:rsidRPr="00CF713E">
        <w:rPr>
          <w:rFonts w:ascii="Sylfaen" w:hAnsi="Sylfaen"/>
          <w:noProof/>
          <w:sz w:val="20"/>
          <w:szCs w:val="20"/>
          <w:lang w:val="ka-GE"/>
        </w:rPr>
        <w:t xml:space="preserve"> </w:t>
      </w:r>
      <w:r w:rsidRPr="00CF713E">
        <w:rPr>
          <w:rFonts w:ascii="Sylfaen" w:hAnsi="Sylfaen" w:cs="Sylfaen"/>
          <w:noProof/>
          <w:sz w:val="20"/>
          <w:szCs w:val="20"/>
          <w:lang w:val="ka-GE"/>
        </w:rPr>
        <w:t>მწვავე კორონარული სინდრომით დაავადებული ზრდასრული პაციენტები:</w:t>
      </w:r>
    </w:p>
    <w:p w14:paraId="6E532005"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 </w:t>
      </w:r>
      <w:r w:rsidRPr="00CF713E">
        <w:rPr>
          <w:rFonts w:ascii="Sylfaen" w:hAnsi="Sylfaen" w:cs="Sylfaen"/>
          <w:noProof/>
          <w:sz w:val="20"/>
          <w:szCs w:val="20"/>
          <w:lang w:val="ka-GE"/>
        </w:rPr>
        <w:t xml:space="preserve">მწვავე კორონარული სინდრომი ST სეგმენტის ელევაციის გარეშე (არასტაბილური სტენოკარდია ან მიოკარდიუმის ინფარქტი Q-ტალღის გარეშე), </w:t>
      </w:r>
      <w:r w:rsidRPr="00CF713E">
        <w:rPr>
          <w:rFonts w:ascii="Sylfaen" w:hAnsi="Sylfaen"/>
          <w:noProof/>
          <w:sz w:val="20"/>
          <w:szCs w:val="20"/>
          <w:lang w:val="ka-GE"/>
        </w:rPr>
        <w:t>მათ შორის პაციენტები, რომლებსაც უტარდებათ სტენტირება პერკუტანული კორონარული ჩარევის შემდეგ, აცეტილსალიცილის მჟავასთან (ასმ) კომბინაციაში.</w:t>
      </w:r>
    </w:p>
    <w:p w14:paraId="06005BFA" w14:textId="1C91820E"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w:t>
      </w:r>
      <w:r w:rsidR="00D66A4F" w:rsidRPr="00CF713E">
        <w:rPr>
          <w:rFonts w:ascii="Sylfaen" w:hAnsi="Sylfaen"/>
          <w:noProof/>
          <w:sz w:val="20"/>
          <w:szCs w:val="20"/>
          <w:lang w:val="ka-GE"/>
        </w:rPr>
        <w:t xml:space="preserve"> </w:t>
      </w:r>
      <w:r w:rsidRPr="00CF713E">
        <w:rPr>
          <w:rFonts w:ascii="Sylfaen" w:hAnsi="Sylfaen" w:cs="Sylfaen"/>
          <w:noProof/>
          <w:sz w:val="20"/>
          <w:szCs w:val="20"/>
          <w:lang w:val="ka-GE"/>
        </w:rPr>
        <w:t>ST სეგმენტის ელევაციის მქონე მწვავე მიოკარდიუმის ინფარქტი, ასმ-თან კომბინაციაში პაციენტებში, რომლებსაც უტარდებათ პერკუტანული კ</w:t>
      </w:r>
      <w:r w:rsidRPr="00CF713E">
        <w:rPr>
          <w:rFonts w:ascii="Sylfaen" w:hAnsi="Sylfaen"/>
          <w:noProof/>
          <w:sz w:val="20"/>
          <w:szCs w:val="20"/>
          <w:lang w:val="ka-GE"/>
        </w:rPr>
        <w:t>ორონარული ჩარევა (მათ შორის პაციენტები, რომლებსაც უტარდებათ სტენტირება) ან პაციენტები, რომლებიც იტარებენ მედი</w:t>
      </w:r>
      <w:r w:rsidR="00D66A4F" w:rsidRPr="00CF713E">
        <w:rPr>
          <w:rFonts w:ascii="Sylfaen" w:hAnsi="Sylfaen"/>
          <w:noProof/>
          <w:sz w:val="20"/>
          <w:szCs w:val="20"/>
          <w:lang w:val="ka-GE"/>
        </w:rPr>
        <w:t>კ</w:t>
      </w:r>
      <w:r w:rsidRPr="00CF713E">
        <w:rPr>
          <w:rFonts w:ascii="Sylfaen" w:hAnsi="Sylfaen"/>
          <w:noProof/>
          <w:sz w:val="20"/>
          <w:szCs w:val="20"/>
          <w:lang w:val="ka-GE"/>
        </w:rPr>
        <w:t>ამენტურ თერაპია და გააჩნიათ თრომბოლიზური/ფიბრინოლიზური თერაპიის ნებართვა.</w:t>
      </w:r>
    </w:p>
    <w:p w14:paraId="7C98E1BF" w14:textId="77777777" w:rsidR="00D66A4F" w:rsidRPr="00CF713E" w:rsidRDefault="00D66A4F" w:rsidP="007065D2">
      <w:pPr>
        <w:spacing w:after="0" w:line="240" w:lineRule="auto"/>
        <w:jc w:val="both"/>
        <w:rPr>
          <w:rFonts w:ascii="Sylfaen" w:hAnsi="Sylfaen"/>
          <w:noProof/>
          <w:sz w:val="20"/>
          <w:szCs w:val="20"/>
          <w:lang w:val="ka-GE"/>
        </w:rPr>
      </w:pPr>
    </w:p>
    <w:p w14:paraId="56D5388C"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პაციენტებში, რომლებსაც აღენიშნებათ საშუალო და მაღალი რისკის გარდამავალი იშემიური შეტევა (TIA) ან მცირე იშემიური ინსულტი (IS)</w:t>
      </w:r>
    </w:p>
    <w:p w14:paraId="4CE72B93"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 ასმ-თან კომბინაციაში ნაჩვენებია:</w:t>
      </w:r>
    </w:p>
    <w:p w14:paraId="00721A78" w14:textId="77777777" w:rsidR="0002685A" w:rsidRPr="00CF713E" w:rsidRDefault="004E6C38" w:rsidP="007065D2">
      <w:pPr>
        <w:spacing w:after="0" w:line="240" w:lineRule="auto"/>
        <w:jc w:val="both"/>
        <w:rPr>
          <w:rFonts w:ascii="Sylfaen" w:hAnsi="Sylfaen" w:cs="Sylfaen"/>
          <w:noProof/>
          <w:sz w:val="20"/>
          <w:szCs w:val="20"/>
          <w:lang w:val="ka-GE"/>
        </w:rPr>
      </w:pPr>
      <w:r w:rsidRPr="00CF713E">
        <w:rPr>
          <w:rFonts w:ascii="Sylfaen" w:hAnsi="Sylfaen"/>
          <w:noProof/>
          <w:sz w:val="20"/>
          <w:szCs w:val="20"/>
          <w:lang w:val="ka-GE"/>
        </w:rPr>
        <w:t>•</w:t>
      </w:r>
      <w:r w:rsidR="0002685A" w:rsidRPr="00CF713E">
        <w:rPr>
          <w:rFonts w:ascii="Sylfaen" w:hAnsi="Sylfaen"/>
          <w:noProof/>
          <w:sz w:val="20"/>
          <w:szCs w:val="20"/>
          <w:lang w:val="ka-GE"/>
        </w:rPr>
        <w:t xml:space="preserve"> </w:t>
      </w:r>
      <w:r w:rsidRPr="00CF713E">
        <w:rPr>
          <w:rFonts w:ascii="Sylfaen" w:hAnsi="Sylfaen" w:cs="Sylfaen"/>
          <w:noProof/>
          <w:sz w:val="20"/>
          <w:szCs w:val="20"/>
          <w:lang w:val="ka-GE"/>
        </w:rPr>
        <w:t xml:space="preserve">ზრდასრული პაციენტები, რომლებსაც აღენიშნებათ საშუალო და მაღალი რისკის TIA (ABCD21 ქულა ≥4) ან მცირე IS (NIHSS2 ≤3) TIA-ს ან IS მოვლენიდან 24 საათის განმავლობაში. </w:t>
      </w:r>
    </w:p>
    <w:p w14:paraId="7E1A56AD" w14:textId="77777777" w:rsidR="0002685A" w:rsidRPr="00CF713E" w:rsidRDefault="0002685A" w:rsidP="007065D2">
      <w:pPr>
        <w:spacing w:after="0" w:line="240" w:lineRule="auto"/>
        <w:jc w:val="both"/>
        <w:rPr>
          <w:rFonts w:ascii="Sylfaen" w:hAnsi="Sylfaen" w:cs="Sylfaen"/>
          <w:noProof/>
          <w:sz w:val="20"/>
          <w:szCs w:val="20"/>
          <w:lang w:val="ka-GE"/>
        </w:rPr>
      </w:pPr>
    </w:p>
    <w:p w14:paraId="5B7F82A3" w14:textId="4AFA53EA"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cs="Sylfaen"/>
          <w:i/>
          <w:iCs/>
          <w:noProof/>
          <w:sz w:val="20"/>
          <w:szCs w:val="20"/>
          <w:lang w:val="ka-GE"/>
        </w:rPr>
        <w:t>წ</w:t>
      </w:r>
      <w:r w:rsidRPr="00CF713E">
        <w:rPr>
          <w:rFonts w:ascii="Sylfaen" w:hAnsi="Sylfaen"/>
          <w:i/>
          <w:iCs/>
          <w:noProof/>
          <w:sz w:val="20"/>
          <w:szCs w:val="20"/>
          <w:lang w:val="ka-GE"/>
        </w:rPr>
        <w:t>ინაგულების ფიბრილაციის დროს ათეროთრომბოზული და თრომბოემბოლიური მოვლენების პრევენცია</w:t>
      </w:r>
    </w:p>
    <w:p w14:paraId="45C3980F"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წინაგულების ფიბრილაციის მქონე ზრდასრულ პაციენტებში, რომლებსაც აქვთ სისხლძარღვოვანი მოვლენების მინიმუმ ერთი რისკ-ფაქტორი, რომლებისთვისაც K ვიტამინის ანტაგონისტებით (VKA) მკურნალობა არ არის შესაფერისი და რომლებსაც აქვთ სისხლდენის დაბალი რისკი, კლოპიდოგრელი ნაჩვენებია ასმ-თან კომბინაციაში ათეროთრომბოზული და თრომბოემბოლიური მოვლენების, მათ შორის ინსულტის პრევენციისთვის. დამატებითი ინფორმაციისთვის იხილეთ 5.1 ნაწილი.</w:t>
      </w:r>
    </w:p>
    <w:p w14:paraId="7BAD400D" w14:textId="77777777" w:rsidR="004E6C38" w:rsidRPr="00CF713E" w:rsidRDefault="004E6C38" w:rsidP="007065D2">
      <w:pPr>
        <w:spacing w:after="0" w:line="240" w:lineRule="auto"/>
        <w:jc w:val="both"/>
        <w:rPr>
          <w:rFonts w:ascii="Sylfaen" w:hAnsi="Sylfaen"/>
          <w:b/>
          <w:noProof/>
          <w:sz w:val="20"/>
          <w:szCs w:val="20"/>
          <w:lang w:val="ka-GE"/>
        </w:rPr>
      </w:pPr>
    </w:p>
    <w:p w14:paraId="407F334D"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4.2 დოზირება და მიღების წესი</w:t>
      </w:r>
    </w:p>
    <w:p w14:paraId="6ADFDF1F" w14:textId="77777777" w:rsidR="004E6C38" w:rsidRPr="00CF713E" w:rsidRDefault="004E6C38" w:rsidP="007065D2">
      <w:pPr>
        <w:spacing w:after="0" w:line="240" w:lineRule="auto"/>
        <w:jc w:val="both"/>
        <w:rPr>
          <w:rFonts w:ascii="Sylfaen" w:hAnsi="Sylfaen"/>
          <w:b/>
          <w:i/>
          <w:iCs/>
          <w:noProof/>
          <w:sz w:val="20"/>
          <w:szCs w:val="20"/>
          <w:lang w:val="ka-GE"/>
        </w:rPr>
      </w:pPr>
      <w:r w:rsidRPr="00CF713E">
        <w:rPr>
          <w:rFonts w:ascii="Sylfaen" w:hAnsi="Sylfaen"/>
          <w:b/>
          <w:i/>
          <w:iCs/>
          <w:noProof/>
          <w:sz w:val="20"/>
          <w:szCs w:val="20"/>
          <w:lang w:val="ka-GE"/>
        </w:rPr>
        <w:t>დოზირება</w:t>
      </w:r>
    </w:p>
    <w:p w14:paraId="297F9369" w14:textId="77777777" w:rsidR="004E6C38" w:rsidRPr="00CF713E" w:rsidRDefault="004E6C38" w:rsidP="0002685A">
      <w:pPr>
        <w:numPr>
          <w:ilvl w:val="0"/>
          <w:numId w:val="23"/>
        </w:numPr>
        <w:spacing w:after="0" w:line="240" w:lineRule="auto"/>
        <w:jc w:val="both"/>
        <w:rPr>
          <w:rFonts w:ascii="Sylfaen" w:hAnsi="Sylfaen" w:cs="Calibri"/>
          <w:i/>
          <w:iCs/>
          <w:noProof/>
          <w:sz w:val="20"/>
          <w:szCs w:val="20"/>
          <w:lang w:val="ka-GE"/>
        </w:rPr>
      </w:pPr>
      <w:r w:rsidRPr="00CF713E">
        <w:rPr>
          <w:rFonts w:ascii="Sylfaen" w:hAnsi="Sylfaen" w:cs="Sylfaen"/>
          <w:i/>
          <w:iCs/>
          <w:noProof/>
          <w:sz w:val="20"/>
          <w:szCs w:val="20"/>
          <w:lang w:val="ka-GE"/>
        </w:rPr>
        <w:t>მოზრდილები და ხანდაზმულები</w:t>
      </w:r>
    </w:p>
    <w:p w14:paraId="1E46F365"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 უნდა იქნას მიღებული 75 მგ ერთჯერადი დღიური დოზით.</w:t>
      </w:r>
    </w:p>
    <w:p w14:paraId="68548D2C" w14:textId="77777777" w:rsidR="0002685A" w:rsidRPr="00CF713E" w:rsidRDefault="0002685A" w:rsidP="007065D2">
      <w:pPr>
        <w:spacing w:after="0" w:line="240" w:lineRule="auto"/>
        <w:jc w:val="both"/>
        <w:rPr>
          <w:rFonts w:ascii="Sylfaen" w:hAnsi="Sylfaen"/>
          <w:noProof/>
          <w:sz w:val="20"/>
          <w:szCs w:val="20"/>
          <w:lang w:val="ka-GE"/>
        </w:rPr>
      </w:pPr>
    </w:p>
    <w:p w14:paraId="22F431C6"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მწვავე კორონარული სინდრომის მქონე პაციენტებში:</w:t>
      </w:r>
    </w:p>
    <w:p w14:paraId="0D2648BB" w14:textId="162E9030"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 მწვავე კორონარული სინდრომი ST სეგმენტის </w:t>
      </w:r>
      <w:r w:rsidR="0002685A" w:rsidRPr="00CF713E">
        <w:rPr>
          <w:rFonts w:ascii="Sylfaen" w:hAnsi="Sylfaen"/>
          <w:noProof/>
          <w:sz w:val="20"/>
          <w:szCs w:val="20"/>
          <w:lang w:val="ka-GE"/>
        </w:rPr>
        <w:t>ელევაციის</w:t>
      </w:r>
      <w:r w:rsidRPr="00CF713E">
        <w:rPr>
          <w:rFonts w:ascii="Sylfaen" w:hAnsi="Sylfaen"/>
          <w:noProof/>
          <w:sz w:val="20"/>
          <w:szCs w:val="20"/>
          <w:lang w:val="ka-GE"/>
        </w:rPr>
        <w:t xml:space="preserve"> გარეშე  (არასტაბილური სტენოკარდია ან მიოკარდიუმის ინფარქტი Q-კბილის გარეშე): კლოპიდოგრელით მკურნალობა უნდა დაიწყოს ერთჯერადი 300 მგ ან 600 მგ დატვირთვის </w:t>
      </w:r>
      <w:r w:rsidRPr="00CF713E">
        <w:rPr>
          <w:rFonts w:ascii="Sylfaen" w:hAnsi="Sylfaen"/>
          <w:noProof/>
          <w:sz w:val="20"/>
          <w:szCs w:val="20"/>
          <w:lang w:val="ka-GE"/>
        </w:rPr>
        <w:lastRenderedPageBreak/>
        <w:t>დოზით. 600 მგ დატვირთვის დოზის განხილვა შესაძლებელია 75 წელზე ნაკლები ასაკის პაციენტებში, როდესაც იგეგმება პერკუტანული კორონარული ჩარევა (იხ. ნაწილი 4.4). კლოპიდოგრელით მკურნალობა უნდა გაგრძელდეს 75 მგ დღეში ერთხელ (აცეტილსალიცილის მჟავასთან (ასმ) ერთად 75 მგ-325 მგ დღეში). რადგან ასმ-ს უფრო მაღალი დოზები ასოცირდებოდა სისხლდენის მაღალ რისკთან, რეკომენდებულია, რომ ასმ-ს დოზა არ აღემატებოდეს 100 მგ-ს. მკურნალობის ოპტიმალური ხანგრძლივობა ოფიციალურად დადგენილი არ არის. კლინიკური კვლევების მონაცემები ადასტურებს გამოყენებას 12 თვემდე ვადით და მაქსიმალური სარგებელი დაფიქსირდა 3 თვის შემდეგ (იხ. ნაწილი 5.1).</w:t>
      </w:r>
    </w:p>
    <w:p w14:paraId="10C0F292" w14:textId="57866B82"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 მიოკარდიუმის მწვავე ინფარქტი ST სეგმენტის </w:t>
      </w:r>
      <w:r w:rsidR="0002685A" w:rsidRPr="00CF713E">
        <w:rPr>
          <w:rFonts w:ascii="Sylfaen" w:hAnsi="Sylfaen"/>
          <w:noProof/>
          <w:sz w:val="20"/>
          <w:szCs w:val="20"/>
          <w:lang w:val="ka-GE"/>
        </w:rPr>
        <w:t>ელევაციით</w:t>
      </w:r>
      <w:r w:rsidRPr="00CF713E">
        <w:rPr>
          <w:rFonts w:ascii="Sylfaen" w:hAnsi="Sylfaen"/>
          <w:noProof/>
          <w:sz w:val="20"/>
          <w:szCs w:val="20"/>
          <w:lang w:val="ka-GE"/>
        </w:rPr>
        <w:t xml:space="preserve">: თრომბოლიზური/ფიბრინოლიზური თერაპიისთვის შესაფერისი მედიკამენტური მკურნალობის ქვეშ მყოფი პაციენტებისთვის, კლოპიდოგრელი უნდა დაინიშნოს 75 მგ ერთჯერადი დღიური დოზით, დაწყებული 300 მგ დატვირთვის დოზით, აცეტილმჟავასთან და თრომბოლიზურ საშუალებებთან ერთად ან მის გარეშე. 75 წელზე უფროსი ასაკის მედიკამენტური მკურნალობის ქვეშ მყოფი პაციენტებისთვის კლოპიდოგრელის მიღება უნდა დაიწყოს დატვირთვის დოზის გარეშე. კომბინირებული თერაპია უნდა დაიწყოს სიმპტომების დაწყებიდან რაც შეიძლება </w:t>
      </w:r>
      <w:r w:rsidR="00B307E8" w:rsidRPr="00CF713E">
        <w:rPr>
          <w:rFonts w:ascii="Sylfaen" w:hAnsi="Sylfaen"/>
          <w:noProof/>
          <w:sz w:val="20"/>
          <w:szCs w:val="20"/>
          <w:lang w:val="ka-GE"/>
        </w:rPr>
        <w:t>მალე</w:t>
      </w:r>
      <w:r w:rsidRPr="00CF713E">
        <w:rPr>
          <w:rFonts w:ascii="Sylfaen" w:hAnsi="Sylfaen"/>
          <w:noProof/>
          <w:sz w:val="20"/>
          <w:szCs w:val="20"/>
          <w:lang w:val="ka-GE"/>
        </w:rPr>
        <w:t xml:space="preserve"> და გაგრძელდეს მინიმუმ ოთხი კვირის განმავლობაში. კლოპიდოგრელის აცეტილმჟავასთან კომბინაციის სარგებელი ოთხ კვირაზე მეტხანს ამ კონტექსტში არ არის შესწავლილი (იხ. ნაწილი 5.1).</w:t>
      </w:r>
    </w:p>
    <w:p w14:paraId="55268D33" w14:textId="77777777" w:rsidR="004E6C38" w:rsidRPr="00CF713E" w:rsidRDefault="004E6C38" w:rsidP="007065D2">
      <w:pPr>
        <w:spacing w:after="0" w:line="240" w:lineRule="auto"/>
        <w:jc w:val="both"/>
        <w:rPr>
          <w:rFonts w:ascii="Sylfaen" w:hAnsi="Sylfaen" w:cs="Calibri"/>
          <w:noProof/>
          <w:sz w:val="20"/>
          <w:szCs w:val="20"/>
          <w:lang w:val="ka-GE"/>
        </w:rPr>
      </w:pPr>
      <w:r w:rsidRPr="00CF713E">
        <w:rPr>
          <w:rFonts w:ascii="Sylfaen" w:hAnsi="Sylfaen"/>
          <w:noProof/>
          <w:sz w:val="20"/>
          <w:szCs w:val="20"/>
          <w:lang w:val="ka-GE"/>
        </w:rPr>
        <w:t>•</w:t>
      </w:r>
      <w:r w:rsidRPr="00CF713E">
        <w:rPr>
          <w:rFonts w:ascii="Sylfaen" w:hAnsi="Sylfaen" w:cs="Sylfaen"/>
          <w:noProof/>
          <w:sz w:val="20"/>
          <w:szCs w:val="20"/>
          <w:lang w:val="ka-GE"/>
        </w:rPr>
        <w:t xml:space="preserve"> როდესაც იგეგმება კანქვეშა კორონარული ინტერვენცია (PCI):</w:t>
      </w:r>
    </w:p>
    <w:p w14:paraId="4303C647" w14:textId="54EFCC9B"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w:t>
      </w:r>
      <w:r w:rsidRPr="00CF713E">
        <w:rPr>
          <w:rFonts w:ascii="Sylfaen" w:hAnsi="Sylfaen" w:cs="Sylfaen"/>
          <w:noProof/>
          <w:sz w:val="20"/>
          <w:szCs w:val="20"/>
          <w:lang w:val="ka-GE"/>
        </w:rPr>
        <w:t xml:space="preserve"> კლოპიდოგრელის მიღება უნდა დაიწყოს 600 მგ დატვირთვის დოზით პირველადი PCI-ს გაკეთების მქონე პაციენტებში და პაციენტებში, </w:t>
      </w:r>
      <w:r w:rsidRPr="00CF713E">
        <w:rPr>
          <w:rFonts w:ascii="Sylfaen" w:hAnsi="Sylfaen"/>
          <w:noProof/>
          <w:sz w:val="20"/>
          <w:szCs w:val="20"/>
          <w:lang w:val="ka-GE"/>
        </w:rPr>
        <w:t>რომლებიც PCI-ს იღებენ 24 საათზე მეტხანს ფიბრინოლიზური თერაპიი</w:t>
      </w:r>
      <w:r w:rsidR="00B307E8" w:rsidRPr="00CF713E">
        <w:rPr>
          <w:rFonts w:ascii="Sylfaen" w:hAnsi="Sylfaen"/>
          <w:noProof/>
          <w:sz w:val="20"/>
          <w:szCs w:val="20"/>
          <w:lang w:val="ka-GE"/>
        </w:rPr>
        <w:t>დ</w:t>
      </w:r>
      <w:r w:rsidRPr="00CF713E">
        <w:rPr>
          <w:rFonts w:ascii="Sylfaen" w:hAnsi="Sylfaen"/>
          <w:noProof/>
          <w:sz w:val="20"/>
          <w:szCs w:val="20"/>
          <w:lang w:val="ka-GE"/>
        </w:rPr>
        <w:t>ან. 75 წლის და უფროსი ასაკის პაციენტებში 600 მგ დღიური ნორმა სიფრთხილით უნდა იქნას გამოყენებული (იხ. ნაწილი 4.4).</w:t>
      </w:r>
    </w:p>
    <w:p w14:paraId="02DA6917"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კლოპიდოგრელის 300 მგ დარტყმითი დოზა პაციენტებს უნდა მიეცეს ფიბრინოლიზური თერაპიის მიღებიდან 24 საათის განმავლობაში.</w:t>
      </w:r>
    </w:p>
    <w:p w14:paraId="0FFE3BEC"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კლოპიდოგრელით მკურნალობა უნდა გაგრძელდეს 75 მგ დოზით დღეში ერთხელ, ასპირინთან ერთად 75-100 მგ დღეში. კომბინირებული თერაპია უნდა დაიწყოს სიმპტომების გამოვლენისთანავე რაც შეიძლება სწრაფად და გაგრძელდეს 12 თვემდე (იხ. ნაწილი 5.1).</w:t>
      </w:r>
    </w:p>
    <w:p w14:paraId="274D98CA" w14:textId="77777777" w:rsidR="004E6C38" w:rsidRPr="00CF713E" w:rsidRDefault="004E6C38" w:rsidP="007065D2">
      <w:pPr>
        <w:spacing w:after="0" w:line="240" w:lineRule="auto"/>
        <w:jc w:val="both"/>
        <w:rPr>
          <w:rFonts w:ascii="Sylfaen" w:hAnsi="Sylfaen"/>
          <w:noProof/>
          <w:sz w:val="20"/>
          <w:szCs w:val="20"/>
          <w:lang w:val="ka-GE"/>
        </w:rPr>
      </w:pPr>
    </w:p>
    <w:p w14:paraId="66EB55DF"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ზრდასრული პაციენტები საშუალო და მაღალი რისკის TIA-თი ან მცირე IS-ით:</w:t>
      </w:r>
    </w:p>
    <w:p w14:paraId="6D4A39B4" w14:textId="6C86E76E"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ზრდასრულმა პაციენტებმა საშუალო და მაღალი რისკის TIA-თი (ABCD2 ქულა ≥4) ან მცირე IS-ით (NIHSS ≤3) უნდა მიიღონ დარტყმითი დოზა კლოპიდოგრელი 300 მგ, შემდეგ კლოპიდოგრელი 75 მგ დღეში ერთხელ და აცეტლსალიცილის მჟავა (75 მგ-100 მგ დღეში ერთხელ). კლოპიდოგრელით და აცეტილსალიცილის მჟავით მკურნალობა უნდა დაიწყოს შემთხვევიდან 24 საათის განმავლობაში და გაგრძელდეს 21 დღის განმავლობაში, რასაც მოჰყვება ერთჯერადი ან</w:t>
      </w:r>
      <w:r w:rsidR="00B307E8" w:rsidRPr="00CF713E">
        <w:rPr>
          <w:rFonts w:ascii="Sylfaen" w:hAnsi="Sylfaen"/>
          <w:noProof/>
          <w:sz w:val="20"/>
          <w:szCs w:val="20"/>
          <w:lang w:val="ka-GE"/>
        </w:rPr>
        <w:t xml:space="preserve">ტითრომბოციტული </w:t>
      </w:r>
      <w:r w:rsidRPr="00CF713E">
        <w:rPr>
          <w:rFonts w:ascii="Sylfaen" w:hAnsi="Sylfaen"/>
          <w:noProof/>
          <w:sz w:val="20"/>
          <w:szCs w:val="20"/>
          <w:lang w:val="ka-GE"/>
        </w:rPr>
        <w:t>თერაპია.</w:t>
      </w:r>
    </w:p>
    <w:p w14:paraId="5394AB98"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წინაგულების ფიბრილაციის მქონე პაციენტებში კლოპიდოგრელი უნდა დაინიშნოს 75 მგ ერთჯერადი დღიური დოზით. აცეტილსალიცილის მჟავის (75-100 მგ დღეში) მიღება უნდა დაიწყოს და გაგრძელდეს კლოპიდოგრელთან კომბინაციაში (იხ. ნაწილი 5.1).</w:t>
      </w:r>
    </w:p>
    <w:p w14:paraId="7CD2A623" w14:textId="77777777" w:rsidR="00B307E8" w:rsidRPr="00CF713E" w:rsidRDefault="00B307E8" w:rsidP="007065D2">
      <w:pPr>
        <w:spacing w:after="0" w:line="240" w:lineRule="auto"/>
        <w:jc w:val="both"/>
        <w:rPr>
          <w:rFonts w:ascii="Sylfaen" w:hAnsi="Sylfaen"/>
          <w:noProof/>
          <w:sz w:val="20"/>
          <w:szCs w:val="20"/>
          <w:lang w:val="ka-GE"/>
        </w:rPr>
      </w:pPr>
    </w:p>
    <w:p w14:paraId="0987D424"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დოზის გამოტოვების შემთხვევაში:</w:t>
      </w:r>
    </w:p>
    <w:p w14:paraId="121D465A" w14:textId="383C82F4"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რეგულარულ დაგეგმილ დროიდან 12 საათზე ნაკლებ დროში: პაციენტებმა დაუყოვნებლივ უნდა მიიღონ დოზა და შემდეგ მიიღონ შემდეგი დოზა ჩვეულებრივ დაგეგმილ დროს.</w:t>
      </w:r>
    </w:p>
    <w:p w14:paraId="0820AA3D" w14:textId="77777777" w:rsidR="004E6C38" w:rsidRPr="00CF713E" w:rsidRDefault="004E6C38" w:rsidP="007065D2">
      <w:pPr>
        <w:numPr>
          <w:ilvl w:val="0"/>
          <w:numId w:val="22"/>
        </w:num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12 საათზე მეტი ხნის განმავლობაში: პაციენტებმა შემდეგი დოზა უნდა მიიღონ ჩვეულებრივ დაგეგმილ დროს და არ უნდა გააორმაგონ დოზა. </w:t>
      </w:r>
    </w:p>
    <w:p w14:paraId="212E6CAC" w14:textId="77777777" w:rsidR="00B307E8" w:rsidRPr="00CF713E" w:rsidRDefault="00B307E8" w:rsidP="00B307E8">
      <w:pPr>
        <w:spacing w:after="0" w:line="240" w:lineRule="auto"/>
        <w:ind w:left="360"/>
        <w:jc w:val="both"/>
        <w:rPr>
          <w:rFonts w:ascii="Sylfaen" w:hAnsi="Sylfaen"/>
          <w:b/>
          <w:bCs/>
          <w:i/>
          <w:iCs/>
          <w:noProof/>
          <w:sz w:val="20"/>
          <w:szCs w:val="20"/>
          <w:lang w:val="ka-GE"/>
        </w:rPr>
      </w:pPr>
    </w:p>
    <w:p w14:paraId="682F9AD5" w14:textId="77777777" w:rsidR="004E6C38" w:rsidRPr="00CF713E" w:rsidRDefault="004E6C38" w:rsidP="007065D2">
      <w:pPr>
        <w:spacing w:after="0" w:line="240" w:lineRule="auto"/>
        <w:jc w:val="both"/>
        <w:rPr>
          <w:rFonts w:ascii="Sylfaen" w:hAnsi="Sylfaen"/>
          <w:b/>
          <w:bCs/>
          <w:i/>
          <w:iCs/>
          <w:noProof/>
          <w:sz w:val="20"/>
          <w:szCs w:val="20"/>
          <w:lang w:val="ka-GE"/>
        </w:rPr>
      </w:pPr>
      <w:r w:rsidRPr="00CF713E">
        <w:rPr>
          <w:rFonts w:ascii="Sylfaen" w:hAnsi="Sylfaen"/>
          <w:b/>
          <w:bCs/>
          <w:i/>
          <w:iCs/>
          <w:noProof/>
          <w:sz w:val="20"/>
          <w:szCs w:val="20"/>
          <w:lang w:val="ka-GE"/>
        </w:rPr>
        <w:t>სპეციალური პოპულაციები</w:t>
      </w:r>
    </w:p>
    <w:p w14:paraId="0553D1D2" w14:textId="77777777" w:rsidR="004E6C38" w:rsidRPr="00CF713E" w:rsidRDefault="004E6C38" w:rsidP="007065D2">
      <w:pPr>
        <w:spacing w:after="0" w:line="240" w:lineRule="auto"/>
        <w:jc w:val="both"/>
        <w:rPr>
          <w:rFonts w:ascii="Sylfaen" w:hAnsi="Sylfaen" w:cs="Calibri"/>
          <w:noProof/>
          <w:sz w:val="20"/>
          <w:szCs w:val="20"/>
          <w:lang w:val="ka-GE"/>
        </w:rPr>
      </w:pPr>
      <w:r w:rsidRPr="00CF713E">
        <w:rPr>
          <w:rFonts w:ascii="Sylfaen" w:hAnsi="Sylfaen"/>
          <w:noProof/>
          <w:sz w:val="20"/>
          <w:szCs w:val="20"/>
          <w:lang w:val="ka-GE"/>
        </w:rPr>
        <w:t>•</w:t>
      </w:r>
      <w:r w:rsidRPr="00CF713E">
        <w:rPr>
          <w:rFonts w:ascii="Sylfaen" w:hAnsi="Sylfaen" w:cs="Sylfaen"/>
          <w:noProof/>
          <w:sz w:val="20"/>
          <w:szCs w:val="20"/>
          <w:lang w:val="ka-GE"/>
        </w:rPr>
        <w:t xml:space="preserve"> </w:t>
      </w:r>
      <w:r w:rsidRPr="00CF713E">
        <w:rPr>
          <w:rFonts w:ascii="Sylfaen" w:hAnsi="Sylfaen" w:cs="Sylfaen"/>
          <w:i/>
          <w:iCs/>
          <w:noProof/>
          <w:sz w:val="20"/>
          <w:szCs w:val="20"/>
          <w:lang w:val="ka-GE"/>
        </w:rPr>
        <w:t>ხანდაზმული პაციენტები</w:t>
      </w:r>
    </w:p>
    <w:p w14:paraId="7BA5231A" w14:textId="1617C93E"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მწვავე კორონარული სინდრომი ST სეგმენტის </w:t>
      </w:r>
      <w:r w:rsidR="00B307E8" w:rsidRPr="00CF713E">
        <w:rPr>
          <w:rFonts w:ascii="Sylfaen" w:hAnsi="Sylfaen"/>
          <w:noProof/>
          <w:sz w:val="20"/>
          <w:szCs w:val="20"/>
          <w:lang w:val="ka-GE"/>
        </w:rPr>
        <w:t>ელევაციის</w:t>
      </w:r>
      <w:r w:rsidRPr="00CF713E">
        <w:rPr>
          <w:rFonts w:ascii="Sylfaen" w:hAnsi="Sylfaen"/>
          <w:noProof/>
          <w:sz w:val="20"/>
          <w:szCs w:val="20"/>
          <w:lang w:val="ka-GE"/>
        </w:rPr>
        <w:t xml:space="preserve"> გარეშე (არასტაბილური სტენოკარდია ან Q-</w:t>
      </w:r>
      <w:r w:rsidR="00B307E8" w:rsidRPr="00CF713E">
        <w:rPr>
          <w:rFonts w:ascii="Sylfaen" w:hAnsi="Sylfaen"/>
          <w:noProof/>
          <w:sz w:val="20"/>
          <w:szCs w:val="20"/>
          <w:lang w:val="ka-GE"/>
        </w:rPr>
        <w:t>კბილის</w:t>
      </w:r>
      <w:r w:rsidRPr="00CF713E">
        <w:rPr>
          <w:rFonts w:ascii="Sylfaen" w:hAnsi="Sylfaen"/>
          <w:noProof/>
          <w:sz w:val="20"/>
          <w:szCs w:val="20"/>
          <w:lang w:val="ka-GE"/>
        </w:rPr>
        <w:t xml:space="preserve"> გარეშე მიოკარდიუმის ინფარქტი):</w:t>
      </w:r>
    </w:p>
    <w:p w14:paraId="09409708"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w:t>
      </w:r>
      <w:r w:rsidRPr="00CF713E">
        <w:rPr>
          <w:rFonts w:ascii="Sylfaen" w:hAnsi="Sylfaen" w:cs="Sylfaen"/>
          <w:noProof/>
          <w:sz w:val="20"/>
          <w:szCs w:val="20"/>
          <w:lang w:val="ka-GE"/>
        </w:rPr>
        <w:t xml:space="preserve"> 75 წლამდე ასაკის პაციენტებში შეიძლება განხილულ იქნას 600 მგ დატვირთვის დოზა, როდესაც დაგეგმილია პერკუტანული კორონარული ჩარევა (იხ. </w:t>
      </w:r>
      <w:r w:rsidRPr="00CF713E">
        <w:rPr>
          <w:rFonts w:ascii="Sylfaen" w:hAnsi="Sylfaen"/>
          <w:noProof/>
          <w:sz w:val="20"/>
          <w:szCs w:val="20"/>
          <w:lang w:val="ka-GE"/>
        </w:rPr>
        <w:t>ნაწილი 4.4).</w:t>
      </w:r>
    </w:p>
    <w:p w14:paraId="7D435E02" w14:textId="77777777" w:rsidR="00B307E8" w:rsidRPr="00CF713E" w:rsidRDefault="00B307E8" w:rsidP="007065D2">
      <w:pPr>
        <w:spacing w:after="0" w:line="240" w:lineRule="auto"/>
        <w:jc w:val="both"/>
        <w:rPr>
          <w:rFonts w:ascii="Sylfaen" w:hAnsi="Sylfaen"/>
          <w:noProof/>
          <w:sz w:val="20"/>
          <w:szCs w:val="20"/>
          <w:lang w:val="ka-GE"/>
        </w:rPr>
      </w:pPr>
    </w:p>
    <w:p w14:paraId="0DEEC7AE" w14:textId="351DB4A6"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მიოკარდიუმის ინფარქტი ST სეგმენტის </w:t>
      </w:r>
      <w:r w:rsidR="00B307E8" w:rsidRPr="00CF713E">
        <w:rPr>
          <w:rFonts w:ascii="Sylfaen" w:hAnsi="Sylfaen"/>
          <w:noProof/>
          <w:sz w:val="20"/>
          <w:szCs w:val="20"/>
          <w:lang w:val="ka-GE"/>
        </w:rPr>
        <w:t>ელევაციით</w:t>
      </w:r>
      <w:r w:rsidRPr="00CF713E">
        <w:rPr>
          <w:rFonts w:ascii="Sylfaen" w:hAnsi="Sylfaen"/>
          <w:noProof/>
          <w:sz w:val="20"/>
          <w:szCs w:val="20"/>
          <w:lang w:val="ka-GE"/>
        </w:rPr>
        <w:t>:</w:t>
      </w:r>
    </w:p>
    <w:p w14:paraId="33BBE38C" w14:textId="3929B106" w:rsidR="004E6C38" w:rsidRPr="00CF713E" w:rsidRDefault="004E6C38" w:rsidP="007065D2">
      <w:pPr>
        <w:spacing w:after="0" w:line="240" w:lineRule="auto"/>
        <w:jc w:val="both"/>
        <w:rPr>
          <w:rFonts w:ascii="Sylfaen" w:hAnsi="Sylfaen" w:cs="Sylfaen"/>
          <w:noProof/>
          <w:sz w:val="20"/>
          <w:szCs w:val="20"/>
          <w:lang w:val="ka-GE"/>
        </w:rPr>
      </w:pPr>
      <w:r w:rsidRPr="00CF713E">
        <w:rPr>
          <w:rFonts w:ascii="Sylfaen" w:hAnsi="Sylfaen"/>
          <w:noProof/>
          <w:sz w:val="20"/>
          <w:szCs w:val="20"/>
          <w:lang w:val="ka-GE"/>
        </w:rPr>
        <w:t>•</w:t>
      </w:r>
      <w:r w:rsidRPr="00CF713E">
        <w:rPr>
          <w:rFonts w:ascii="Sylfaen" w:hAnsi="Sylfaen" w:cs="Sylfaen"/>
          <w:noProof/>
          <w:sz w:val="20"/>
          <w:szCs w:val="20"/>
          <w:lang w:val="ka-GE"/>
        </w:rPr>
        <w:t xml:space="preserve"> თრომბოლიზური/ფიბრინოლიზური თერაპიისთვის შესაფერისი მედიკამენტოზური მკურნალობის ქვეშ მყოფი პაციენტებისთვის: 75 წელზე უფროსი ასაკის პაციენტებში</w:t>
      </w:r>
      <w:r w:rsidR="00B307E8" w:rsidRPr="00CF713E">
        <w:rPr>
          <w:rFonts w:ascii="Sylfaen" w:hAnsi="Sylfaen" w:cs="Sylfaen"/>
          <w:noProof/>
          <w:sz w:val="20"/>
          <w:szCs w:val="20"/>
          <w:lang w:val="ka-GE"/>
        </w:rPr>
        <w:t xml:space="preserve"> </w:t>
      </w:r>
      <w:r w:rsidRPr="00CF713E">
        <w:rPr>
          <w:rFonts w:ascii="Sylfaen" w:hAnsi="Sylfaen"/>
          <w:noProof/>
          <w:sz w:val="20"/>
          <w:szCs w:val="20"/>
          <w:lang w:val="ka-GE"/>
        </w:rPr>
        <w:t>კლოპიდოგრელის მიღება უნდა დაიწყოს დატვირთვის დოზის გარეშე.</w:t>
      </w:r>
    </w:p>
    <w:p w14:paraId="4A1548B3"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lastRenderedPageBreak/>
        <w:t>პირველადი PCI-ს ჩატარების და ფიბრინოლიზური თერაპიის 24 საათზე მეტი ხნის განმავლობაში ჩატარებული PCI-ს ჩატარების შემთხვევაში:</w:t>
      </w:r>
    </w:p>
    <w:p w14:paraId="2D92E8E0"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≥75 წლის  პაციენტებში 600 მგ LD უნდა დაინიშნოს სიფრთხილით (იხ. ნაწილი 4.4).</w:t>
      </w:r>
    </w:p>
    <w:p w14:paraId="336539F0" w14:textId="77777777" w:rsidR="00B307E8" w:rsidRPr="00CF713E" w:rsidRDefault="00B307E8" w:rsidP="007065D2">
      <w:pPr>
        <w:spacing w:after="0" w:line="240" w:lineRule="auto"/>
        <w:jc w:val="both"/>
        <w:rPr>
          <w:rFonts w:ascii="Sylfaen" w:hAnsi="Sylfaen"/>
          <w:noProof/>
          <w:sz w:val="20"/>
          <w:szCs w:val="20"/>
          <w:lang w:val="ka-GE"/>
        </w:rPr>
      </w:pPr>
    </w:p>
    <w:p w14:paraId="77FC97CA" w14:textId="77777777" w:rsidR="004E6C38" w:rsidRPr="00CF713E" w:rsidRDefault="004E6C38" w:rsidP="007065D2">
      <w:pPr>
        <w:spacing w:after="0" w:line="240" w:lineRule="auto"/>
        <w:jc w:val="both"/>
        <w:rPr>
          <w:rFonts w:ascii="Sylfaen" w:hAnsi="Sylfaen" w:cs="Calibri"/>
          <w:noProof/>
          <w:sz w:val="20"/>
          <w:szCs w:val="20"/>
          <w:lang w:val="ka-GE"/>
        </w:rPr>
      </w:pPr>
      <w:r w:rsidRPr="00CF713E">
        <w:rPr>
          <w:rFonts w:ascii="Sylfaen" w:hAnsi="Sylfaen"/>
          <w:noProof/>
          <w:sz w:val="20"/>
          <w:szCs w:val="20"/>
          <w:lang w:val="ka-GE"/>
        </w:rPr>
        <w:t>•</w:t>
      </w:r>
      <w:r w:rsidRPr="00CF713E">
        <w:rPr>
          <w:rFonts w:ascii="Sylfaen" w:hAnsi="Sylfaen" w:cs="Sylfaen"/>
          <w:noProof/>
          <w:sz w:val="20"/>
          <w:szCs w:val="20"/>
          <w:lang w:val="ka-GE"/>
        </w:rPr>
        <w:t xml:space="preserve"> </w:t>
      </w:r>
      <w:r w:rsidRPr="00CF713E">
        <w:rPr>
          <w:rFonts w:ascii="Sylfaen" w:hAnsi="Sylfaen" w:cs="Sylfaen"/>
          <w:i/>
          <w:iCs/>
          <w:noProof/>
          <w:sz w:val="20"/>
          <w:szCs w:val="20"/>
          <w:lang w:val="ka-GE"/>
        </w:rPr>
        <w:t>პედიატრიული პოპულაცია</w:t>
      </w:r>
      <w:r w:rsidRPr="00CF713E">
        <w:rPr>
          <w:rFonts w:ascii="Sylfaen" w:hAnsi="Sylfaen" w:cs="Sylfaen"/>
          <w:noProof/>
          <w:sz w:val="20"/>
          <w:szCs w:val="20"/>
          <w:lang w:val="ka-GE"/>
        </w:rPr>
        <w:t xml:space="preserve"> </w:t>
      </w:r>
    </w:p>
    <w:p w14:paraId="305805FD" w14:textId="3CE97540"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 არ უნდა იქნას გამოყენებული ბავშვებში ეფექტურობ</w:t>
      </w:r>
      <w:r w:rsidR="00381C57" w:rsidRPr="00CF713E">
        <w:rPr>
          <w:rFonts w:ascii="Sylfaen" w:hAnsi="Sylfaen"/>
          <w:noProof/>
          <w:sz w:val="20"/>
          <w:szCs w:val="20"/>
          <w:lang w:val="ka-GE"/>
        </w:rPr>
        <w:t>ასთან დაკავშირებული</w:t>
      </w:r>
      <w:r w:rsidRPr="00CF713E">
        <w:rPr>
          <w:rFonts w:ascii="Sylfaen" w:hAnsi="Sylfaen"/>
          <w:noProof/>
          <w:sz w:val="20"/>
          <w:szCs w:val="20"/>
          <w:lang w:val="ka-GE"/>
        </w:rPr>
        <w:t xml:space="preserve"> საკითხების გამო (იხ. ნაწილი 5.1).</w:t>
      </w:r>
    </w:p>
    <w:p w14:paraId="4054F1E8" w14:textId="77777777" w:rsidR="00381C57" w:rsidRPr="00CF713E" w:rsidRDefault="00381C57" w:rsidP="007065D2">
      <w:pPr>
        <w:spacing w:after="0" w:line="240" w:lineRule="auto"/>
        <w:jc w:val="both"/>
        <w:rPr>
          <w:rFonts w:ascii="Sylfaen" w:hAnsi="Sylfaen"/>
          <w:i/>
          <w:iCs/>
          <w:noProof/>
          <w:sz w:val="20"/>
          <w:szCs w:val="20"/>
          <w:lang w:val="ka-GE"/>
        </w:rPr>
      </w:pPr>
    </w:p>
    <w:p w14:paraId="3BEA7A13" w14:textId="77777777" w:rsidR="004E6C38" w:rsidRPr="00CF713E" w:rsidRDefault="004E6C38" w:rsidP="007065D2">
      <w:pPr>
        <w:spacing w:after="0" w:line="240" w:lineRule="auto"/>
        <w:jc w:val="both"/>
        <w:rPr>
          <w:rFonts w:ascii="Sylfaen" w:hAnsi="Sylfaen" w:cs="Calibri"/>
          <w:i/>
          <w:iCs/>
          <w:noProof/>
          <w:sz w:val="20"/>
          <w:szCs w:val="20"/>
          <w:lang w:val="ka-GE"/>
        </w:rPr>
      </w:pPr>
      <w:r w:rsidRPr="00CF713E">
        <w:rPr>
          <w:rFonts w:ascii="Sylfaen" w:hAnsi="Sylfaen"/>
          <w:i/>
          <w:iCs/>
          <w:noProof/>
          <w:sz w:val="20"/>
          <w:szCs w:val="20"/>
          <w:lang w:val="ka-GE"/>
        </w:rPr>
        <w:t>•</w:t>
      </w:r>
      <w:r w:rsidRPr="00CF713E">
        <w:rPr>
          <w:rFonts w:ascii="Sylfaen" w:hAnsi="Sylfaen" w:cs="Sylfaen"/>
          <w:i/>
          <w:iCs/>
          <w:noProof/>
          <w:sz w:val="20"/>
          <w:szCs w:val="20"/>
          <w:lang w:val="ka-GE"/>
        </w:rPr>
        <w:t xml:space="preserve"> თირკმლის ფუნქციის დარღვევა</w:t>
      </w:r>
    </w:p>
    <w:p w14:paraId="2D5A0977"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თირკმლის ფუნქციის დარღვევის მქონე პაციენტებში თერაპიული გამოცდილება შეზღუდულია (იხ. ნაწილი 4.4).</w:t>
      </w:r>
    </w:p>
    <w:p w14:paraId="15A687F8" w14:textId="77777777" w:rsidR="00381C57" w:rsidRPr="00CF713E" w:rsidRDefault="00381C57" w:rsidP="007065D2">
      <w:pPr>
        <w:spacing w:after="0" w:line="240" w:lineRule="auto"/>
        <w:jc w:val="both"/>
        <w:rPr>
          <w:rFonts w:ascii="Sylfaen" w:hAnsi="Sylfaen"/>
          <w:noProof/>
          <w:sz w:val="20"/>
          <w:szCs w:val="20"/>
          <w:lang w:val="ka-GE"/>
        </w:rPr>
      </w:pPr>
    </w:p>
    <w:p w14:paraId="7229D68C" w14:textId="77777777" w:rsidR="004E6C38" w:rsidRPr="00CF713E" w:rsidRDefault="004E6C38" w:rsidP="007065D2">
      <w:pPr>
        <w:spacing w:after="0" w:line="240" w:lineRule="auto"/>
        <w:jc w:val="both"/>
        <w:rPr>
          <w:rFonts w:ascii="Sylfaen" w:hAnsi="Sylfaen" w:cs="Calibri"/>
          <w:i/>
          <w:iCs/>
          <w:noProof/>
          <w:sz w:val="20"/>
          <w:szCs w:val="20"/>
          <w:lang w:val="ka-GE"/>
        </w:rPr>
      </w:pPr>
      <w:r w:rsidRPr="00CF713E">
        <w:rPr>
          <w:rFonts w:ascii="Sylfaen" w:hAnsi="Sylfaen"/>
          <w:i/>
          <w:iCs/>
          <w:noProof/>
          <w:sz w:val="20"/>
          <w:szCs w:val="20"/>
          <w:lang w:val="ka-GE"/>
        </w:rPr>
        <w:t>•</w:t>
      </w:r>
      <w:r w:rsidRPr="00CF713E">
        <w:rPr>
          <w:rFonts w:ascii="Sylfaen" w:hAnsi="Sylfaen" w:cs="Sylfaen"/>
          <w:i/>
          <w:iCs/>
          <w:noProof/>
          <w:sz w:val="20"/>
          <w:szCs w:val="20"/>
          <w:lang w:val="ka-GE"/>
        </w:rPr>
        <w:t xml:space="preserve"> ღვიძლის ფუნქციის დარღვევა</w:t>
      </w:r>
    </w:p>
    <w:p w14:paraId="4A189B2A" w14:textId="4F09AA9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თერაპიული გამოცდილება შეზღუდულია ღვიძლის ზომიერი დაავადების მქონე პაციენტებში, რომლებსაც შეიძლება ჰქონდეთ </w:t>
      </w:r>
      <w:r w:rsidR="00381C57" w:rsidRPr="00CF713E">
        <w:rPr>
          <w:rFonts w:ascii="Sylfaen" w:hAnsi="Sylfaen"/>
          <w:noProof/>
          <w:sz w:val="20"/>
          <w:szCs w:val="20"/>
          <w:lang w:val="ka-GE"/>
        </w:rPr>
        <w:t>ჰემორაგიული</w:t>
      </w:r>
      <w:r w:rsidRPr="00CF713E">
        <w:rPr>
          <w:rFonts w:ascii="Sylfaen" w:hAnsi="Sylfaen"/>
          <w:noProof/>
          <w:sz w:val="20"/>
          <w:szCs w:val="20"/>
          <w:lang w:val="ka-GE"/>
        </w:rPr>
        <w:t xml:space="preserve"> დიათეზი (იხ. ნაწილი 4.4).</w:t>
      </w:r>
    </w:p>
    <w:p w14:paraId="429B4633" w14:textId="77777777" w:rsidR="00381C57" w:rsidRPr="00CF713E" w:rsidRDefault="00381C57" w:rsidP="007065D2">
      <w:pPr>
        <w:spacing w:after="0" w:line="240" w:lineRule="auto"/>
        <w:jc w:val="both"/>
        <w:rPr>
          <w:rFonts w:ascii="Sylfaen" w:hAnsi="Sylfaen"/>
          <w:noProof/>
          <w:sz w:val="20"/>
          <w:szCs w:val="20"/>
          <w:lang w:val="ka-GE"/>
        </w:rPr>
      </w:pPr>
    </w:p>
    <w:p w14:paraId="2D058016" w14:textId="77777777" w:rsidR="004E6C38" w:rsidRPr="00CF713E" w:rsidRDefault="004E6C38" w:rsidP="007065D2">
      <w:pPr>
        <w:spacing w:after="0" w:line="240" w:lineRule="auto"/>
        <w:jc w:val="both"/>
        <w:rPr>
          <w:rFonts w:ascii="Sylfaen" w:hAnsi="Sylfaen"/>
          <w:b/>
          <w:bCs/>
          <w:i/>
          <w:iCs/>
          <w:noProof/>
          <w:sz w:val="20"/>
          <w:szCs w:val="20"/>
          <w:lang w:val="ka-GE"/>
        </w:rPr>
      </w:pPr>
      <w:r w:rsidRPr="00CF713E">
        <w:rPr>
          <w:rFonts w:ascii="Sylfaen" w:hAnsi="Sylfaen"/>
          <w:b/>
          <w:bCs/>
          <w:i/>
          <w:iCs/>
          <w:noProof/>
          <w:sz w:val="20"/>
          <w:szCs w:val="20"/>
          <w:lang w:val="ka-GE"/>
        </w:rPr>
        <w:t>მიღების წესი</w:t>
      </w:r>
    </w:p>
    <w:p w14:paraId="470FA010"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პერორალური გამოყენებისთვის</w:t>
      </w:r>
    </w:p>
    <w:p w14:paraId="3D7C5802"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შეიძლება მიღებულ იქნას საკვებთან ერთად ან მის გარეშე.</w:t>
      </w:r>
    </w:p>
    <w:p w14:paraId="66492887" w14:textId="77777777" w:rsidR="004E6C38" w:rsidRPr="00CF713E" w:rsidRDefault="004E6C38" w:rsidP="007065D2">
      <w:pPr>
        <w:spacing w:after="0" w:line="240" w:lineRule="auto"/>
        <w:jc w:val="both"/>
        <w:rPr>
          <w:rFonts w:ascii="Sylfaen" w:hAnsi="Sylfaen"/>
          <w:b/>
          <w:noProof/>
          <w:sz w:val="20"/>
          <w:szCs w:val="20"/>
          <w:lang w:val="ka-GE"/>
        </w:rPr>
      </w:pPr>
    </w:p>
    <w:p w14:paraId="1FA4C126"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4.3 უკუჩვენებები</w:t>
      </w:r>
    </w:p>
    <w:p w14:paraId="0E929D2F" w14:textId="59E0DB22"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w:t>
      </w:r>
      <w:r w:rsidR="00381C57" w:rsidRPr="00CF713E">
        <w:rPr>
          <w:rFonts w:ascii="Sylfaen" w:hAnsi="Sylfaen"/>
          <w:noProof/>
          <w:sz w:val="20"/>
          <w:szCs w:val="20"/>
          <w:lang w:val="ka-GE"/>
        </w:rPr>
        <w:t xml:space="preserve"> </w:t>
      </w:r>
      <w:r w:rsidRPr="00CF713E">
        <w:rPr>
          <w:rFonts w:ascii="Sylfaen" w:hAnsi="Sylfaen"/>
          <w:noProof/>
          <w:sz w:val="20"/>
          <w:szCs w:val="20"/>
          <w:lang w:val="ka-GE"/>
        </w:rPr>
        <w:t>მომატებული მგრძნობელობა აქტიური ნივთიერების ან მე-2 ან 6.1 პუნქტებში ჩამოთვლილი რომელიმე დამხმარე ნივთიერების მიმართ.</w:t>
      </w:r>
    </w:p>
    <w:p w14:paraId="29A4C767" w14:textId="5307D9E6" w:rsidR="004E6C38" w:rsidRPr="00CF713E" w:rsidRDefault="004E6C38" w:rsidP="007065D2">
      <w:pPr>
        <w:spacing w:after="0" w:line="240" w:lineRule="auto"/>
        <w:jc w:val="both"/>
        <w:rPr>
          <w:rFonts w:ascii="Sylfaen" w:hAnsi="Sylfaen" w:cs="Calibri"/>
          <w:noProof/>
          <w:sz w:val="20"/>
          <w:szCs w:val="20"/>
          <w:lang w:val="ka-GE"/>
        </w:rPr>
      </w:pPr>
      <w:r w:rsidRPr="00CF713E">
        <w:rPr>
          <w:rFonts w:ascii="Sylfaen" w:hAnsi="Sylfaen"/>
          <w:noProof/>
          <w:sz w:val="20"/>
          <w:szCs w:val="20"/>
          <w:lang w:val="ka-GE"/>
        </w:rPr>
        <w:t>•</w:t>
      </w:r>
      <w:r w:rsidR="00381C57" w:rsidRPr="00CF713E">
        <w:rPr>
          <w:rFonts w:ascii="Sylfaen" w:hAnsi="Sylfaen"/>
          <w:noProof/>
          <w:sz w:val="20"/>
          <w:szCs w:val="20"/>
          <w:lang w:val="ka-GE"/>
        </w:rPr>
        <w:t xml:space="preserve"> </w:t>
      </w:r>
      <w:r w:rsidRPr="00CF713E">
        <w:rPr>
          <w:rFonts w:ascii="Sylfaen" w:hAnsi="Sylfaen" w:cs="Sylfaen"/>
          <w:noProof/>
          <w:sz w:val="20"/>
          <w:szCs w:val="20"/>
          <w:lang w:val="ka-GE"/>
        </w:rPr>
        <w:t>ღვიძლის მძიმე უკმარისობა.</w:t>
      </w:r>
    </w:p>
    <w:p w14:paraId="31827E28" w14:textId="6F3F36CD" w:rsidR="004E6C38" w:rsidRPr="00CF713E" w:rsidRDefault="004E6C38" w:rsidP="007065D2">
      <w:pPr>
        <w:spacing w:after="0" w:line="240" w:lineRule="auto"/>
        <w:jc w:val="both"/>
        <w:rPr>
          <w:rFonts w:ascii="Sylfaen" w:hAnsi="Sylfaen" w:cs="Sylfaen"/>
          <w:noProof/>
          <w:sz w:val="20"/>
          <w:szCs w:val="20"/>
          <w:lang w:val="ka-GE"/>
        </w:rPr>
      </w:pPr>
      <w:r w:rsidRPr="00CF713E">
        <w:rPr>
          <w:rFonts w:ascii="Sylfaen" w:hAnsi="Sylfaen"/>
          <w:noProof/>
          <w:sz w:val="20"/>
          <w:szCs w:val="20"/>
          <w:lang w:val="ka-GE"/>
        </w:rPr>
        <w:t>•</w:t>
      </w:r>
      <w:r w:rsidR="00381C57" w:rsidRPr="00CF713E">
        <w:rPr>
          <w:rFonts w:ascii="Sylfaen" w:hAnsi="Sylfaen"/>
          <w:noProof/>
          <w:sz w:val="20"/>
          <w:szCs w:val="20"/>
          <w:lang w:val="ka-GE"/>
        </w:rPr>
        <w:t xml:space="preserve"> </w:t>
      </w:r>
      <w:r w:rsidRPr="00CF713E">
        <w:rPr>
          <w:rFonts w:ascii="Sylfaen" w:hAnsi="Sylfaen" w:cs="Sylfaen"/>
          <w:noProof/>
          <w:sz w:val="20"/>
          <w:szCs w:val="20"/>
          <w:lang w:val="ka-GE"/>
        </w:rPr>
        <w:t>აქტიური პათოლოგიური სისხლდენა, როგორიცაა პეპტიური წყლული ან ქალასშიდა სისხლდენა.</w:t>
      </w:r>
    </w:p>
    <w:p w14:paraId="4259D94E" w14:textId="77777777" w:rsidR="00381C57" w:rsidRPr="00CF713E" w:rsidRDefault="00381C57" w:rsidP="007065D2">
      <w:pPr>
        <w:spacing w:after="0" w:line="240" w:lineRule="auto"/>
        <w:jc w:val="both"/>
        <w:rPr>
          <w:rFonts w:ascii="Sylfaen" w:hAnsi="Sylfaen" w:cs="Calibri"/>
          <w:b/>
          <w:noProof/>
          <w:sz w:val="20"/>
          <w:szCs w:val="20"/>
          <w:lang w:val="ka-GE"/>
        </w:rPr>
      </w:pPr>
    </w:p>
    <w:p w14:paraId="762E7FCC"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4.4 გამოყენებისას განსაკუთრებული გაფრთხილებები და უსაფრთხოების ზომები</w:t>
      </w:r>
    </w:p>
    <w:p w14:paraId="70E9A8F2"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სისხლდენა და ჰემატოლოგიური დარღვევები</w:t>
      </w:r>
    </w:p>
    <w:p w14:paraId="4F034539" w14:textId="052AB5E1"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სისხლდენის და ჰემატოლოგიური გვერდითი რეაქციების რისკის გამო, მკურნალობის დროს სისხლდენის შესახებ კლინიკური სიმპტომების გამოვლენისას დაუყოვნებლივ უნდა ჩატარდეს სისხლის უჯრედების რაოდენობის განსაზღვრა და/ან სხვა შესაბამისი ტესტირება (იხ. პუნქტი 4.8). როგორც სხვა ანტიაგრეგანტული საშუალებების შემთხვევაში, კლოპიდოგრელი სიფრთხილით უნდა იქნას გამოყენებული იმ პაციენტებში, რომლებსაც შეიძლება ჰქონდეთ ტრავმის, ქირურგიული ჩარევის ან სხვა პათოლოგიური მდგომარეობების შედეგად სისხლდენის მომატების რისკი, ასევე იმ პაციენტებში, რომლებიც იღებენ აცეტილსალიცილის მჟავას, ჰეპარინს, გლიკოპროტეინ IIb/IIIa ინჰიბიტორებს ან არასტეროიდულ ანთების საწინააღმდეგო პრეპარატებს (აასპ), მათ შორის Cox-2 ინჰიბიტორებს, ან სეროტონინის უკუმიტაცების ინჰიბიტორებს (SSRI), ან CYP2C19 ძლიერი ინდუქტორებს ან სხვა სამკურნალო პროდუქტებს, რომლებიც დაკავშირებულია სისხლდენის რისკთან, როგორიცაა პენტოქსიფილინი (იხ. ნაწილი 4.5). სისხლდენის მომატებული რისკის გამო, ინსულტის მეორადი პროფილაქტიკისთვის სამმაგი ანტიაგრეგანტული თერაპია (კლოპიდოგრელი + აცეტილსალიცილის მჟავა + დიპირიდამოლი) არ არის რეკომენდებული მწვავე არაკარდიოემბოლიური იშემიური ინსულტის ან TIA-ს მქონე პაციენტებში (იხ. ნაწილი 4.5 და ნაწილი 4.8). პაციენტები ყურადღებით უნდა იყვნენ დაკვირვებულნი სისხლდენის ნებისმიერი ნიშნის, მათ შორის ფარული სისხლდენის, გამოვლენის შემთხვევაში, განსაკუთრებით მკურნალობის პირველი კვირების განმავლობაში და/ან ინვაზიური კარდიოლოგიური პროცედურების ან ქირურგიული ჩარევის შემდეგ. კლოპიდოგრელისა და ორალური ანტიკოაგულანტების ერთდროული მიღება რეკომენდებული არ არის, რადგან შესაძლოა გაიზარდოს სისხლდენის ინტენსივობა (იხ. ნაწილი 4.5).</w:t>
      </w:r>
    </w:p>
    <w:p w14:paraId="4B83788B" w14:textId="73572F92"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თუ პაციენტს უტარდება დაგეგმილი ქირურგიული ჩარევა და ან</w:t>
      </w:r>
      <w:r w:rsidR="00405F28" w:rsidRPr="00CF713E">
        <w:rPr>
          <w:rFonts w:ascii="Sylfaen" w:hAnsi="Sylfaen"/>
          <w:noProof/>
          <w:sz w:val="20"/>
          <w:szCs w:val="20"/>
          <w:lang w:val="ka-GE"/>
        </w:rPr>
        <w:t>ტითრომბოციტული</w:t>
      </w:r>
      <w:r w:rsidRPr="00CF713E">
        <w:rPr>
          <w:rFonts w:ascii="Sylfaen" w:hAnsi="Sylfaen"/>
          <w:noProof/>
          <w:sz w:val="20"/>
          <w:szCs w:val="20"/>
          <w:lang w:val="ka-GE"/>
        </w:rPr>
        <w:t xml:space="preserve"> ეფექტი დროებით არასასურველია, კლოპიდოგრელის მიღება უნდა შეწყდეს ოპერაციამდე 7 დღით ადრე. პაციენტებმა ნებისმიერი ქირურგიული ჩარევის დაგეგმვამდე და ნებისმიერი ახალი სამკურნალო საშუალების მიღებამდე უნდა აცნობონ ექიმებს და სტომატოლოგებს, რომ ისინი იღებენ</w:t>
      </w:r>
      <w:r w:rsidR="00405F28" w:rsidRPr="00CF713E">
        <w:rPr>
          <w:rFonts w:ascii="Sylfaen" w:hAnsi="Sylfaen"/>
          <w:noProof/>
          <w:sz w:val="20"/>
          <w:szCs w:val="20"/>
          <w:lang w:val="ka-GE"/>
        </w:rPr>
        <w:t xml:space="preserve"> </w:t>
      </w:r>
      <w:r w:rsidRPr="00CF713E">
        <w:rPr>
          <w:rFonts w:ascii="Sylfaen" w:hAnsi="Sylfaen"/>
          <w:noProof/>
          <w:sz w:val="20"/>
          <w:szCs w:val="20"/>
          <w:lang w:val="ka-GE"/>
        </w:rPr>
        <w:t>კლოპიდოგრელს.</w:t>
      </w:r>
    </w:p>
    <w:p w14:paraId="0DB4485D" w14:textId="43534E73"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კლოპიდოგრელი ახანგრძლივებს სისხლდენის დროს და სიფრთხილით უნდა იქნას გამოყენებული პაციენტებში, რომლებსაც აქვთ სისხლდენისადმი მიდრეკილების მქონე დაზიანებები (განსაკუთრებით </w:t>
      </w:r>
      <w:r w:rsidR="00405F28" w:rsidRPr="00CF713E">
        <w:rPr>
          <w:rFonts w:ascii="Sylfaen" w:hAnsi="Sylfaen"/>
          <w:noProof/>
          <w:sz w:val="20"/>
          <w:szCs w:val="20"/>
          <w:lang w:val="ka-GE"/>
        </w:rPr>
        <w:t>გასტროინტესტინური</w:t>
      </w:r>
      <w:r w:rsidRPr="00CF713E">
        <w:rPr>
          <w:rFonts w:ascii="Sylfaen" w:hAnsi="Sylfaen"/>
          <w:noProof/>
          <w:sz w:val="20"/>
          <w:szCs w:val="20"/>
          <w:lang w:val="ka-GE"/>
        </w:rPr>
        <w:t xml:space="preserve"> და </w:t>
      </w:r>
      <w:r w:rsidR="00405F28" w:rsidRPr="00CF713E">
        <w:rPr>
          <w:rFonts w:ascii="Sylfaen" w:hAnsi="Sylfaen"/>
          <w:noProof/>
          <w:sz w:val="20"/>
          <w:szCs w:val="20"/>
          <w:lang w:val="ka-GE"/>
        </w:rPr>
        <w:t>ინტრაოკულარული</w:t>
      </w:r>
      <w:r w:rsidRPr="00CF713E">
        <w:rPr>
          <w:rFonts w:ascii="Sylfaen" w:hAnsi="Sylfaen"/>
          <w:noProof/>
          <w:sz w:val="20"/>
          <w:szCs w:val="20"/>
          <w:lang w:val="ka-GE"/>
        </w:rPr>
        <w:t>).</w:t>
      </w:r>
    </w:p>
    <w:p w14:paraId="5848BF6C"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lastRenderedPageBreak/>
        <w:t>პაციენტებს უნდა ეცნობოთ, რომ კლოპიდოგრელის (მონო ან ასპირინთან) კომბინაციაში მიღებისას სისხლდენის შეჩერებას შეიძლება ჩვეულებრივზე მეტი დრო დასჭირდეს და რომ ნებისმიერი უჩვეულო სისხლდენის (ადგილმდებარეობის ან ხანგრძლივობის) შესახებ უნდა აცნობონ ექიმს.</w:t>
      </w:r>
    </w:p>
    <w:p w14:paraId="79E46F71"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კლოპიდოგრელის 600 მგ დამტვირთველი დოზის გამოყენება არ არის რეკომენდებული ST სეგმენტის გაზრდის გარეშე მწვავე კორონარული სინდრომის მქონე პაციენტებში და ≥75 წლის ასაკის პაციენტებში, ამ პოპულაციაში სისხლდენის მომატებული რისკის გამო. STEMI PCI-ით დაავადებულ 75 წლის და უფროსი ასაკის პაციენტებში შეზღუდული კლინიკური მონაცემებისა და სისხლდენის მომატებული რისკის გამო, კლოპიდოგრელის 600 მგ დამტვირთველი დოზის გამოყენება უნდა განიხილებოდეს მხოლოდ ექიმის მიერ პაციენტის სისხლდენის რისკის ინდივიდუალური შეფასების შემდეგ.</w:t>
      </w:r>
    </w:p>
    <w:p w14:paraId="4B9440C1"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თრომბოზული თრომბოციტოპენიური პურპურა (TTP)</w:t>
      </w:r>
    </w:p>
    <w:p w14:paraId="11850BF3"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თრომბოზული თრომბოციტოპენიური პურპურა (TTP) კლოპიდოგრელის გამოყენების შემდეგ ძალიან იშვიათად აღინიშნა, ზოგჯერ ხანმოკლე ექსპოზიციის შემდეგ. იგი ხასიათდება თრომბოციტოპენიით და მიკროანგიოპათიური ჰემოლიზური ანემიით, რომელიც დაკავშირებულია ნევროლოგიურ მონაცემებთან, თირკმლის დისფუნქციასთან ან ცხელებასთან. TTP არის პოტენციურად ფატალური მდგომარეობა, რომელიც მოითხოვს სწრაფ მკურნალობას, მათ შორის პლაზმაფერეზს.</w:t>
      </w:r>
    </w:p>
    <w:p w14:paraId="382828F8"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შეძენილი ჰემოფილია</w:t>
      </w:r>
    </w:p>
    <w:p w14:paraId="77B874B4"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კლოპიდოგრელის გამოყენების შემდეგ აღინიშნა შეძენილი ჰემოფილია. დადასტურებული იზოლირებული გააქტიურებული ნაწილობრივი თრომბოპლასტინის დროის (aPTT) გახანგრძლივების შემთხვევებში სისხლდენით ან მის გარეშე, უნდა განიხილებოდეს შეძენილი ჰემოფილია. პაციენტები, რომლებსაც დადასტურებული აქვთ შეძენილი ჰემოფილიის დიაგნოზი, უნდა იმყოფებოდნენ სპეციალისტების მეთვალყურეობის ქვეშ და უნდა შეწყდეს კლოპიდოგრელის მიღება.</w:t>
      </w:r>
    </w:p>
    <w:p w14:paraId="7A620995"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ბოლო დროს გადატანილი იშემიური ინსულტი</w:t>
      </w:r>
    </w:p>
    <w:p w14:paraId="1E16A46C" w14:textId="4AFB25CD"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w:t>
      </w:r>
      <w:r w:rsidR="00EE2126" w:rsidRPr="00CF713E">
        <w:rPr>
          <w:rFonts w:ascii="Sylfaen" w:hAnsi="Sylfaen"/>
          <w:noProof/>
          <w:sz w:val="20"/>
          <w:szCs w:val="20"/>
          <w:lang w:val="ka-GE"/>
        </w:rPr>
        <w:t xml:space="preserve"> </w:t>
      </w:r>
      <w:r w:rsidRPr="00CF713E">
        <w:rPr>
          <w:rFonts w:ascii="Sylfaen" w:hAnsi="Sylfaen"/>
          <w:i/>
          <w:iCs/>
          <w:noProof/>
          <w:sz w:val="20"/>
          <w:szCs w:val="20"/>
          <w:lang w:val="ka-GE"/>
        </w:rPr>
        <w:t>თერაპიის დაწყება</w:t>
      </w:r>
    </w:p>
    <w:p w14:paraId="65AE907C" w14:textId="1FE6069C" w:rsidR="004E6C38" w:rsidRPr="00CF713E" w:rsidRDefault="004E6C38" w:rsidP="007065D2">
      <w:pPr>
        <w:spacing w:after="0" w:line="240" w:lineRule="auto"/>
        <w:jc w:val="both"/>
        <w:rPr>
          <w:rFonts w:ascii="Sylfaen" w:hAnsi="Sylfaen" w:cs="Calibri"/>
          <w:noProof/>
          <w:sz w:val="20"/>
          <w:szCs w:val="20"/>
          <w:lang w:val="ka-GE"/>
        </w:rPr>
      </w:pPr>
      <w:r w:rsidRPr="00CF713E">
        <w:rPr>
          <w:rFonts w:ascii="Sylfaen" w:hAnsi="Sylfaen"/>
          <w:noProof/>
          <w:sz w:val="20"/>
          <w:szCs w:val="20"/>
          <w:lang w:val="ka-GE"/>
        </w:rPr>
        <w:t>•</w:t>
      </w:r>
      <w:r w:rsidR="00EE2126" w:rsidRPr="00CF713E">
        <w:rPr>
          <w:rFonts w:ascii="Sylfaen" w:hAnsi="Sylfaen"/>
          <w:noProof/>
          <w:sz w:val="20"/>
          <w:szCs w:val="20"/>
          <w:lang w:val="ka-GE"/>
        </w:rPr>
        <w:t xml:space="preserve"> </w:t>
      </w:r>
      <w:r w:rsidRPr="00CF713E">
        <w:rPr>
          <w:rFonts w:ascii="Sylfaen" w:hAnsi="Sylfaen" w:cs="Sylfaen"/>
          <w:noProof/>
          <w:sz w:val="20"/>
          <w:szCs w:val="20"/>
          <w:lang w:val="ka-GE"/>
        </w:rPr>
        <w:t>მწვავე მცირე ინსულტის ან საშუალო და მაღალი რისკის მქონე TIA პაციენტებში, ორმაგი ანტიაგრეგანტული თერაპია (კლოპიდოგრელი და აცეტილსალიცილის მჟავა) უნდა დაიწყოს მოვლენის დაწყებიდან არაუგვიანეს 24 საათისა.</w:t>
      </w:r>
    </w:p>
    <w:p w14:paraId="74E9C94C" w14:textId="01C51D7A"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w:t>
      </w:r>
      <w:r w:rsidR="00EE2126" w:rsidRPr="00CF713E">
        <w:rPr>
          <w:rFonts w:ascii="Sylfaen" w:hAnsi="Sylfaen"/>
          <w:noProof/>
          <w:sz w:val="20"/>
          <w:szCs w:val="20"/>
          <w:lang w:val="ka-GE"/>
        </w:rPr>
        <w:t xml:space="preserve"> </w:t>
      </w:r>
      <w:r w:rsidRPr="00CF713E">
        <w:rPr>
          <w:rFonts w:ascii="Sylfaen" w:hAnsi="Sylfaen" w:cs="Sylfaen"/>
          <w:noProof/>
          <w:sz w:val="20"/>
          <w:szCs w:val="20"/>
          <w:lang w:val="ka-GE"/>
        </w:rPr>
        <w:t>არ არსებობს მონაცემები მოკლევადიან</w:t>
      </w:r>
      <w:r w:rsidRPr="00CF713E">
        <w:rPr>
          <w:rFonts w:ascii="Sylfaen" w:hAnsi="Sylfaen"/>
          <w:noProof/>
          <w:sz w:val="20"/>
          <w:szCs w:val="20"/>
          <w:lang w:val="ka-GE"/>
        </w:rPr>
        <w:t xml:space="preserve">ი ორმაგი ანტიაგრეგანტული თერაპიის სარგებლისა და რისკის თანაფარდობის შესახებ მწვავე მცირე ინსულტის ან საშუალო და მაღალი რისკის მქონე TIA პაციენტებში, რომლებსაც აღენიშნებათ (არატრავმული) ქალასშიდა </w:t>
      </w:r>
      <w:r w:rsidR="00EE2126" w:rsidRPr="00CF713E">
        <w:rPr>
          <w:rFonts w:ascii="Sylfaen" w:hAnsi="Sylfaen"/>
          <w:noProof/>
          <w:sz w:val="20"/>
          <w:szCs w:val="20"/>
          <w:lang w:val="ka-GE"/>
        </w:rPr>
        <w:t>ჰემორაგია</w:t>
      </w:r>
      <w:r w:rsidRPr="00CF713E">
        <w:rPr>
          <w:rFonts w:ascii="Sylfaen" w:hAnsi="Sylfaen"/>
          <w:noProof/>
          <w:sz w:val="20"/>
          <w:szCs w:val="20"/>
          <w:lang w:val="ka-GE"/>
        </w:rPr>
        <w:t>.</w:t>
      </w:r>
    </w:p>
    <w:p w14:paraId="47DC6A29" w14:textId="2EA969E0" w:rsidR="004E6C38" w:rsidRPr="00CF713E" w:rsidRDefault="004E6C38" w:rsidP="007065D2">
      <w:pPr>
        <w:spacing w:after="0" w:line="240" w:lineRule="auto"/>
        <w:jc w:val="both"/>
        <w:rPr>
          <w:rFonts w:ascii="Sylfaen" w:hAnsi="Sylfaen" w:cs="Calibri"/>
          <w:noProof/>
          <w:sz w:val="20"/>
          <w:szCs w:val="20"/>
          <w:lang w:val="ka-GE"/>
        </w:rPr>
      </w:pPr>
      <w:r w:rsidRPr="00CF713E">
        <w:rPr>
          <w:rFonts w:ascii="Sylfaen" w:hAnsi="Sylfaen"/>
          <w:noProof/>
          <w:sz w:val="20"/>
          <w:szCs w:val="20"/>
          <w:lang w:val="ka-GE"/>
        </w:rPr>
        <w:t>•</w:t>
      </w:r>
      <w:r w:rsidR="00EE2126" w:rsidRPr="00CF713E">
        <w:rPr>
          <w:rFonts w:ascii="Sylfaen" w:hAnsi="Sylfaen"/>
          <w:noProof/>
          <w:sz w:val="20"/>
          <w:szCs w:val="20"/>
          <w:lang w:val="ka-GE"/>
        </w:rPr>
        <w:t xml:space="preserve"> </w:t>
      </w:r>
      <w:r w:rsidRPr="00CF713E">
        <w:rPr>
          <w:rFonts w:ascii="Sylfaen" w:hAnsi="Sylfaen" w:cs="Sylfaen"/>
          <w:noProof/>
          <w:sz w:val="20"/>
          <w:szCs w:val="20"/>
          <w:lang w:val="ka-GE"/>
        </w:rPr>
        <w:t>პაციენტებში არა-მძიმე იშემიური ინსულტით, კლოპიდოგრელის მონოთერაპია უნდა დაიწყოს მხოლოდ მოვლენიდან პირველი 7 დღის შემდეგ.</w:t>
      </w:r>
    </w:p>
    <w:p w14:paraId="6DE182FB" w14:textId="02088852" w:rsidR="004E6C38" w:rsidRPr="00CF713E" w:rsidRDefault="004E6C38" w:rsidP="007065D2">
      <w:pPr>
        <w:spacing w:after="0" w:line="240" w:lineRule="auto"/>
        <w:jc w:val="both"/>
        <w:rPr>
          <w:rFonts w:ascii="Sylfaen" w:hAnsi="Sylfaen" w:cs="Calibri"/>
          <w:noProof/>
          <w:sz w:val="20"/>
          <w:szCs w:val="20"/>
          <w:lang w:val="ka-GE"/>
        </w:rPr>
      </w:pPr>
      <w:r w:rsidRPr="00CF713E">
        <w:rPr>
          <w:rFonts w:ascii="Sylfaen" w:hAnsi="Sylfaen"/>
          <w:noProof/>
          <w:sz w:val="20"/>
          <w:szCs w:val="20"/>
          <w:lang w:val="ka-GE"/>
        </w:rPr>
        <w:t>•</w:t>
      </w:r>
      <w:r w:rsidR="00EE2126" w:rsidRPr="00CF713E">
        <w:rPr>
          <w:rFonts w:ascii="Sylfaen" w:hAnsi="Sylfaen"/>
          <w:noProof/>
          <w:sz w:val="20"/>
          <w:szCs w:val="20"/>
          <w:lang w:val="ka-GE"/>
        </w:rPr>
        <w:t xml:space="preserve"> </w:t>
      </w:r>
      <w:r w:rsidRPr="00CF713E">
        <w:rPr>
          <w:rFonts w:ascii="Sylfaen" w:hAnsi="Sylfaen" w:cs="Sylfaen"/>
          <w:noProof/>
          <w:sz w:val="20"/>
          <w:szCs w:val="20"/>
          <w:lang w:val="ka-GE"/>
        </w:rPr>
        <w:t>პაციენტები არა-მძიმე იშემიური ინსულტით (NIHSS &gt;4)</w:t>
      </w:r>
    </w:p>
    <w:p w14:paraId="7F6ABA16"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მონაცემების ნაკლებობის გათვალისწინებით, ორმაგი ანტიაგრეგანტული თერაპიის გამოყენება არ არის რეკომენდებული (იხილეთ ნაწილი 4.1).</w:t>
      </w:r>
    </w:p>
    <w:p w14:paraId="3C71D534" w14:textId="1C6271B5" w:rsidR="004E6C38" w:rsidRPr="00CF713E" w:rsidRDefault="004E6C38" w:rsidP="007065D2">
      <w:pPr>
        <w:spacing w:after="0" w:line="240" w:lineRule="auto"/>
        <w:jc w:val="both"/>
        <w:rPr>
          <w:rFonts w:ascii="Sylfaen" w:hAnsi="Sylfaen" w:cs="Calibri"/>
          <w:noProof/>
          <w:sz w:val="20"/>
          <w:szCs w:val="20"/>
          <w:lang w:val="ka-GE"/>
        </w:rPr>
      </w:pPr>
      <w:r w:rsidRPr="00CF713E">
        <w:rPr>
          <w:rFonts w:ascii="Sylfaen" w:hAnsi="Sylfaen"/>
          <w:noProof/>
          <w:sz w:val="20"/>
          <w:szCs w:val="20"/>
          <w:lang w:val="ka-GE"/>
        </w:rPr>
        <w:t>•</w:t>
      </w:r>
      <w:r w:rsidR="00EE2126" w:rsidRPr="00CF713E">
        <w:rPr>
          <w:rFonts w:ascii="Sylfaen" w:hAnsi="Sylfaen"/>
          <w:noProof/>
          <w:sz w:val="20"/>
          <w:szCs w:val="20"/>
          <w:lang w:val="ka-GE"/>
        </w:rPr>
        <w:t xml:space="preserve"> </w:t>
      </w:r>
      <w:r w:rsidRPr="00CF713E">
        <w:rPr>
          <w:rFonts w:ascii="Sylfaen" w:hAnsi="Sylfaen" w:cs="Sylfaen"/>
          <w:i/>
          <w:iCs/>
          <w:noProof/>
          <w:sz w:val="20"/>
          <w:szCs w:val="20"/>
          <w:lang w:val="ka-GE"/>
        </w:rPr>
        <w:t>ბოლოდროინდელი მცირე ინსულტი ან საშუალო ან მაღალი რისკის TIA პაციენტებში,</w:t>
      </w:r>
      <w:r w:rsidRPr="00CF713E">
        <w:rPr>
          <w:rFonts w:ascii="Sylfaen" w:hAnsi="Sylfaen" w:cs="Sylfaen"/>
          <w:noProof/>
          <w:sz w:val="20"/>
          <w:szCs w:val="20"/>
          <w:lang w:val="ka-GE"/>
        </w:rPr>
        <w:t xml:space="preserve"> რომელთათვისაც ნაჩვენებია ან </w:t>
      </w:r>
      <w:r w:rsidRPr="00CF713E">
        <w:rPr>
          <w:rFonts w:ascii="Sylfaen" w:hAnsi="Sylfaen" w:cs="Sylfaen"/>
          <w:i/>
          <w:iCs/>
          <w:noProof/>
          <w:sz w:val="20"/>
          <w:szCs w:val="20"/>
          <w:lang w:val="ka-GE"/>
        </w:rPr>
        <w:t>დაგეგმილია ჩარევა</w:t>
      </w:r>
    </w:p>
    <w:p w14:paraId="760D056D"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არ არსებობს მონაცემები ორმაგი ანტიაგრეგანტული თერაპიის გამოყენების მხარდასაჭერად იმ პაციენტებში, რომელთათვისაც ნაჩვენებია საძილე არტერიის ენდარტერექტომია ან ინტრავასკულარული თრომბექტომია, ან იმ პაციენტებში, რომელთათვისაც დაგეგმილია თრომბოლიზის ან ანტიკოაგულაციური თერაპიის ჩატარება. ორმაგი ანტიაგრეგანტული თერაპია არ არის რეკომენდებული ამ სიტუაციებში.</w:t>
      </w:r>
    </w:p>
    <w:p w14:paraId="6C96291F"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ციტოქრომ P4502C19 (CYP2C19)</w:t>
      </w:r>
    </w:p>
    <w:p w14:paraId="57B47449"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ფარმაკოგენეტიკა: პაციენტებში, რომლებსაც აქვთ CYP2C19-ის ცუდი მეტაბოლიზმი, კლოპიდოგრელი რეკომენდებული დოზებით ნაკლებად წარმოქმნის კლოპიდოგრელის აქტიურ მეტაბოლიტს და აქვს ნაკლები გავლენა თრომბოციტების ფუნქციაზე. ხელმისაწვდომია ტესტები პაციენტის CYP2C19 გენოტიპის დასადგენად.</w:t>
      </w:r>
    </w:p>
    <w:p w14:paraId="40DDEF42"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ვინაიდან კლოპიდოგრელი მეტაბოლიზდება თავის აქტიურ მეტაბოლიტად ნაწილობრივ CYP2C19-ის მეშვეობით, ამ ფერმენტის აქტივობის დამთრგუნველი სამკურნალო საშუალებების გამოყენება, სავარაუდოდ, გამოიწვევს კლოპიდოგრელის აქტიური მეტაბოლიტის დონის შემცირებას. ამ ურთიერთქმედების კლინიკური მნიშვნელობა გაურკვეველია. სიფრთხილის მიზნით, ძლიერი ან ზომიერი CYP2C19 ინჰიბიტორების ერთდროული გამოყენება არ არის რეკომენდებული (CYP2C19 ინჰიბიტორების სიისთვის იხილეთ ნაწილი 4.5, ასევე იხილეთ ნაწილი 5.2).</w:t>
      </w:r>
    </w:p>
    <w:p w14:paraId="1D308F8B"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სამედიცინო პროდუქტების გამოყენება, რომლებიც იწვევენ CYP2C19-ის აქტივობას, სავარაუდოდ, გამოიწვევს კლოპიდოგრელის აქტიური მეტაბოლიტის დონის მატებას და შესაძლოა გააძლიეროს სისხლდენის რისკი. სიფრთხილის მიზნით, ძლიერი CYP2C19 ინდუქტორების ერთდროული გამოყენება არ არის რეკომენდებული (იხილეთ ნაწილი 4.5).</w:t>
      </w:r>
    </w:p>
    <w:p w14:paraId="6AFF95CB"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CYP2C8 სუბსტრატები</w:t>
      </w:r>
    </w:p>
    <w:p w14:paraId="4975043C" w14:textId="07B0F4E9"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lastRenderedPageBreak/>
        <w:t>სიფრთხილეა საჭირო პაციენტებში, რომლებიც ერთდროულად მკურნალობენ კლოპიდოგრელით და CYP2C8 სუბსტრატის სამკურნალო საშუალებებით (იხილეთ ნაწილი 4.5).</w:t>
      </w:r>
    </w:p>
    <w:p w14:paraId="2930530E"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ჯვარედინი რეაქციები თიენოპირიდინებს შორის</w:t>
      </w:r>
    </w:p>
    <w:p w14:paraId="211211DC" w14:textId="7E8B1E0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პაციენტები უნდა შემოწმდნენ თიენოპირიდინების (როგორიცაა კლოპიდოგრელი, ტიკლოპიდინი, პრასუგრელი) მიმართ მომატებული მგრძნობელობის ისტორიაზე, რადგან დაფიქსირებულია თიენოპირიდინებს შორის ჯვარედინი რეაქტიულობის შემთხვევები  (იხ. ნაწილი 4.8). თიენოპირიდინებმა შეიძლება გამოიწვიოს მსუბუქიდან მძიმემდე ალერგიული რეაქციები, როგორიცაა გამონაყარი, ანგიონევროზული შეშუპება ან ჰემატოლოგიური ჯვარედინი რეაქციები, როგორიცაა თრომბოციტოპენია და ნეიტროპენია. პაციენტებს,</w:t>
      </w:r>
      <w:r w:rsidR="00EE2126" w:rsidRPr="00CF713E">
        <w:rPr>
          <w:rFonts w:ascii="Sylfaen" w:hAnsi="Sylfaen"/>
          <w:noProof/>
          <w:sz w:val="20"/>
          <w:szCs w:val="20"/>
          <w:lang w:val="ka-GE"/>
        </w:rPr>
        <w:t xml:space="preserve"> </w:t>
      </w:r>
      <w:r w:rsidRPr="00CF713E">
        <w:rPr>
          <w:rFonts w:ascii="Sylfaen" w:hAnsi="Sylfaen"/>
          <w:noProof/>
          <w:sz w:val="20"/>
          <w:szCs w:val="20"/>
          <w:lang w:val="ka-GE"/>
        </w:rPr>
        <w:t>რომლებსაც ადრე განუვითარდათ ალერგიული რეაქცია და/ან ჰემატოლოგიური რეაქცია ერთ თიენოპირიდინზე, შეიძლება ჰქონდეთ გაზრდილი რისკი, განვითარდეს იგივე ან სხვა რეაქცია სხვა თიენოპირიდინზე. რეკომენდებულია მომატებული მგრძნობელობის ნიშნების მონიტორინგი პაციენტებში, რომლებსაც აქვთ ცნობილი ალერგია თიენოპირიდინებზე.</w:t>
      </w:r>
    </w:p>
    <w:p w14:paraId="4D43ED4D"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თირკმლის უკმარისობა</w:t>
      </w:r>
    </w:p>
    <w:p w14:paraId="41F38EA5"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თირკმლის უკმარისობის მქონე პაციენტებში კლოპიდოგრელის თერაპიული გამოცდილება შეზღუდულია. ამიტომ, კლოპიდოგრელი სიფრთხილით უნდა იქნას გამოყენებული ამ პაციენტებში (იხ. ნაწილი 4.2).</w:t>
      </w:r>
    </w:p>
    <w:p w14:paraId="37B42A75"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ღვიძლის ფუნქციის დარღვევა</w:t>
      </w:r>
    </w:p>
    <w:p w14:paraId="15CD8E2B"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გამოცდილება შეზღუდულია პაციენტებში ღვიძლის ზომიერი დაავადებით, რომლებსაც შეიძლება ჰქონდეთ სისხლის შედედების დარღვევა. ამიტომ, კლოპიდოგრელი სიფრთხილით უნდა იქნას გამოყენებული ამ პოპულაციაში (იხ. ნაწილი 4.2).</w:t>
      </w:r>
    </w:p>
    <w:p w14:paraId="09D3BBED"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დამხმარე ნივთიერებები</w:t>
      </w:r>
    </w:p>
    <w:p w14:paraId="1ADD1E55"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კლოპიდოგრელის ტაბლეტი შეიცავს ლაქტოზას. პაციენტებმა, რომლებსაც აქვთ გალაქტოზის აუტანლობის, ლაქტაზას სრული დეფიციტის ან გლუკოზა-გალაქტოზის მალაბსორბციის იშვიათი მემკვიდრეობითი პრობლემები, არ უნდა მიიღონ ეს სამკურნალო პროდუქტი.</w:t>
      </w:r>
    </w:p>
    <w:p w14:paraId="2FE1754D"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ეს სამკურნალო პროდუქტი შეიცავს ჰიდროგენიზებულ აბუსალათინის ზეთს, რომელმაც შეიძლება გამოიწვიოს კუჭის აშლილობა და დიარეა.</w:t>
      </w:r>
    </w:p>
    <w:p w14:paraId="77EAD571" w14:textId="77777777" w:rsidR="008D0ED7" w:rsidRPr="00CF713E" w:rsidRDefault="008D0ED7" w:rsidP="007065D2">
      <w:pPr>
        <w:spacing w:after="0" w:line="240" w:lineRule="auto"/>
        <w:jc w:val="both"/>
        <w:rPr>
          <w:rFonts w:ascii="Sylfaen" w:hAnsi="Sylfaen"/>
          <w:noProof/>
          <w:sz w:val="20"/>
          <w:szCs w:val="20"/>
          <w:lang w:val="ka-GE"/>
        </w:rPr>
      </w:pPr>
    </w:p>
    <w:p w14:paraId="775DDD51"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4.5 ურთიერთქმედება სხვა სამკურნალო საშუალებებთან და ურთიერთქმედების სხვა ფორმები</w:t>
      </w:r>
    </w:p>
    <w:p w14:paraId="67005E2A"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სისხლდენის რისკთან დაკავშირებული სამკურნალო საშუალებები: პოტენციური ადიტიური ეფექტის გამო არსებობს სისხლდენის მომატებული რისკი. სისხლდენის რისკთან დაკავშირებული სამკურნალო საშუალებების ერთდროული მიღება უნდა მოხდეს სიფრთხილით (იხ. ნაწილი 4.4).</w:t>
      </w:r>
    </w:p>
    <w:p w14:paraId="14296746"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i/>
          <w:iCs/>
          <w:noProof/>
          <w:sz w:val="20"/>
          <w:szCs w:val="20"/>
          <w:lang w:val="ka-GE"/>
        </w:rPr>
        <w:t>პერორალური ანტიკოაგულანტები:</w:t>
      </w:r>
      <w:r w:rsidRPr="00CF713E">
        <w:rPr>
          <w:rFonts w:ascii="Sylfaen" w:hAnsi="Sylfaen"/>
          <w:noProof/>
          <w:sz w:val="20"/>
          <w:szCs w:val="20"/>
          <w:lang w:val="ka-GE"/>
        </w:rPr>
        <w:t xml:space="preserve"> კლოპიდოგრელის ერთდროული მიღება ორალურ ანტიკოაგულანტებთან არ არის რეკომენდებული, რადგან ამან შეიძლება გაზარდოს სისხლდენის ინტენსივობა (იხ. ნაწილი 4.4). მიუხედავად იმისა, რომ კლოპიდოგრელის 75 მგ/დღეში მიღებამ არ შეცვალა S-ვარფარინის ფარმაკოკინეტიკა ან საერთაშორისო ნორმალიზებული თანაფარდობა (INR) პაციენტებში, რომლებიც ხანგრძლივად იღებდნენ ვარფარინს, კლოპიდოგრელის ვარფარინთან ერთად მიღება ზრდის სისხლდენის რისკს ჰემოსტაზზე დამოუკიდებელი ეფექტების გამო.</w:t>
      </w:r>
    </w:p>
    <w:p w14:paraId="136B9F21"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i/>
          <w:iCs/>
          <w:noProof/>
          <w:sz w:val="20"/>
          <w:szCs w:val="20"/>
          <w:lang w:val="ka-GE"/>
        </w:rPr>
        <w:t>გლიკოპროტეინ IIb/IIIa ინჰიბიტორები:</w:t>
      </w:r>
      <w:r w:rsidRPr="00CF713E">
        <w:rPr>
          <w:rFonts w:ascii="Sylfaen" w:hAnsi="Sylfaen"/>
          <w:noProof/>
          <w:sz w:val="20"/>
          <w:szCs w:val="20"/>
          <w:lang w:val="ka-GE"/>
        </w:rPr>
        <w:t xml:space="preserve"> კლოპიდოგრელი სიფრთხილით უნდა იქნას გამოყენებული პაციენტებში, რომლებიც ერთდროულად იღებენ გლიკოპროტეინ IIb/IIIa ინჰიბიტორებს (იხ. ნაწილი 4.4).</w:t>
      </w:r>
    </w:p>
    <w:p w14:paraId="22C47F65"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i/>
          <w:iCs/>
          <w:noProof/>
          <w:sz w:val="20"/>
          <w:szCs w:val="20"/>
          <w:lang w:val="ka-GE"/>
        </w:rPr>
        <w:t>აცეტილსალიცილის მჟავა (ASA):</w:t>
      </w:r>
      <w:r w:rsidRPr="00CF713E">
        <w:rPr>
          <w:rFonts w:ascii="Sylfaen" w:hAnsi="Sylfaen"/>
          <w:noProof/>
          <w:sz w:val="20"/>
          <w:szCs w:val="20"/>
          <w:lang w:val="ka-GE"/>
        </w:rPr>
        <w:t xml:space="preserve"> ASA-მ არ შეცვალა ADP-ინდუცირებული თრომბოციტების აგრეგაციის კლოპიდოგრელით განპირობებული ინჰიბირება, მაგრამ კლოპიდოგრელმა გააძლიერა ASA-ს ეფექტი კოლაგენ-ინდუცირებულ თრომბოციტების აგრეგაციაზე. თუმცა, 500 მგ ASA-ს ერთდროულმა მიღებამ დღეში ორჯერ ერთი დღის განმავლობაში მნიშვნელოვნად არ გაზარდა კლოპიდოგრელის მიღებით გამოწვეული სისხლდენის დროის გახანგრძლივება. შესაძლებელია კლოპიდოგრელსა და აცეტილსალიცილის მჟავას შორის ფარმაკოდინამიკური ურთიერთქმედება, რაც იწვევს სისხლდენის რისკის ზრდას. ამიტომ, ერთდროული გამოყენება სიფრთხილით უნდა მოხდეს (იხ. ნაწილი 4.4). თუმცა, კლოპიდოგრელი და აცეტილსალიცილის მჟავა ერთად ინიშნებოდა ერთ წლამდე (იხ. ნაწილი 5.1).</w:t>
      </w:r>
    </w:p>
    <w:p w14:paraId="67580754"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i/>
          <w:iCs/>
          <w:noProof/>
          <w:sz w:val="20"/>
          <w:szCs w:val="20"/>
          <w:lang w:val="ka-GE"/>
        </w:rPr>
        <w:t xml:space="preserve">ჰეპარინი: </w:t>
      </w:r>
      <w:r w:rsidRPr="00CF713E">
        <w:rPr>
          <w:rFonts w:ascii="Sylfaen" w:hAnsi="Sylfaen"/>
          <w:noProof/>
          <w:sz w:val="20"/>
          <w:szCs w:val="20"/>
          <w:lang w:val="ka-GE"/>
        </w:rPr>
        <w:t>ჯანმრთელ სუბიექტებზე ჩატარებულ კლინიკურ კვლევაში, კლოპიდოგრელმა არ გამოიწვია ჰეპარინის დოზის მოდიფიცირება და არ შეცვალა ჰეპარინის გავლენა კოაგულაციაზე. ჰეპარინის ერთდროულმა მიღებამ გავლენა არ მოახდინა კლოპიდოგრელით გამოწვეული თრომბოციტების აგრეგაციის ინჰიბირებაზე. შესაძლებელია კლოპიდოგრელსა და ჰეპარინს შორის ფარმაკოდინამიკური ურთიერთქმედება, რაც იწვევს სისხლდენის რისკის ზრდას. ამიტომ, ერთდროული გამოყენება უნდა მოხდეს სიფრთხილით (იხ. ნაწილი 4.4).</w:t>
      </w:r>
    </w:p>
    <w:p w14:paraId="371DFFDA"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i/>
          <w:iCs/>
          <w:noProof/>
          <w:sz w:val="20"/>
          <w:szCs w:val="20"/>
          <w:lang w:val="ka-GE"/>
        </w:rPr>
        <w:t>თრომბოლიზური საშუალებები:</w:t>
      </w:r>
      <w:r w:rsidRPr="00CF713E">
        <w:rPr>
          <w:rFonts w:ascii="Sylfaen" w:hAnsi="Sylfaen"/>
          <w:noProof/>
          <w:sz w:val="20"/>
          <w:szCs w:val="20"/>
          <w:lang w:val="ka-GE"/>
        </w:rPr>
        <w:t xml:space="preserve"> კლოპიდოგრელის, ფიბრინის ან არაფიბრინის სპეციფიკური თრომბოლიზური საშუალებების და ჰეპარინების ერთდროული მიღების უსაფრთხოება შეფასდა მიოკარდიუმის მწვავე ინფარქტის მქონე </w:t>
      </w:r>
      <w:r w:rsidRPr="00CF713E">
        <w:rPr>
          <w:rFonts w:ascii="Sylfaen" w:hAnsi="Sylfaen"/>
          <w:noProof/>
          <w:sz w:val="20"/>
          <w:szCs w:val="20"/>
          <w:lang w:val="ka-GE"/>
        </w:rPr>
        <w:lastRenderedPageBreak/>
        <w:t>პაციენტებში. კლინიკურად მნიშვნელოვანი სისხლდენის შემთხვევები მსგავსი იყო თრომბოლიზური საშუალებების და ჰეპარინის აცეტილსალიცილის მჟავასთან ერთად მიღებისას დაფიქსირებული შემთხვევებისა (იხ. ნაწილი 4.8).</w:t>
      </w:r>
    </w:p>
    <w:p w14:paraId="14ED1BF9"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i/>
          <w:iCs/>
          <w:noProof/>
          <w:sz w:val="20"/>
          <w:szCs w:val="20"/>
          <w:lang w:val="ka-GE"/>
        </w:rPr>
        <w:t>არასტეროიდული ანთების საწინააღმდეგო საშუალებები:</w:t>
      </w:r>
      <w:r w:rsidRPr="00CF713E">
        <w:rPr>
          <w:rFonts w:ascii="Sylfaen" w:hAnsi="Sylfaen"/>
          <w:noProof/>
          <w:sz w:val="20"/>
          <w:szCs w:val="20"/>
          <w:lang w:val="ka-GE"/>
        </w:rPr>
        <w:t xml:space="preserve"> ჯანმრთელ მოხალისეებზე ჩატარებულ კლინიკურ კვლევაში, კლოპიდოგრელისა და ნაპროქსენის ერთდროულმა მიღებამ გაზარდა კუჭ-ნაწლავის ტრაქტიდან ფარული სისხლდენის რისკი. თუმცა, სხვა არასტეროიდულ ანთების საწინააღმდეგო საშუალებებთან ურთიერთქმედების კვლევების არარსებობის გამო, ამჟამად გაურკვეველია, იზრდება თუ არა კუჭ-ნაწლავის სისხლდენის რისკი ყველა არასტეროიდული ანთების საწინააღმდეგო საშუალების გამოყენებისას. შესაბამისად, არასტეროიდული ანთების საწინააღმდეგო საშუალებები, მათ შორის კოქს-2 ინჰიბიტორები და კლოპიდოგრელი, სიფრთხილით უნდა იქნას მიღებული (იხ. ნაწილი 4.4).</w:t>
      </w:r>
    </w:p>
    <w:p w14:paraId="6756E7C3" w14:textId="26DE4495"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i/>
          <w:iCs/>
          <w:noProof/>
          <w:sz w:val="20"/>
          <w:szCs w:val="20"/>
          <w:lang w:val="ka-GE"/>
        </w:rPr>
        <w:t>სეროტონინის უკუმიტაცების</w:t>
      </w:r>
      <w:r w:rsidR="008D0ED7" w:rsidRPr="00CF713E">
        <w:rPr>
          <w:rFonts w:ascii="Sylfaen" w:hAnsi="Sylfaen"/>
          <w:i/>
          <w:iCs/>
          <w:noProof/>
          <w:sz w:val="20"/>
          <w:szCs w:val="20"/>
          <w:lang w:val="ka-GE"/>
        </w:rPr>
        <w:t xml:space="preserve"> სელექციური</w:t>
      </w:r>
      <w:r w:rsidRPr="00CF713E">
        <w:rPr>
          <w:rFonts w:ascii="Sylfaen" w:hAnsi="Sylfaen"/>
          <w:i/>
          <w:iCs/>
          <w:noProof/>
          <w:sz w:val="20"/>
          <w:szCs w:val="20"/>
          <w:lang w:val="ka-GE"/>
        </w:rPr>
        <w:t xml:space="preserve"> ინჰიბიტორები:</w:t>
      </w:r>
      <w:r w:rsidRPr="00CF713E">
        <w:rPr>
          <w:rFonts w:ascii="Sylfaen" w:hAnsi="Sylfaen"/>
          <w:noProof/>
          <w:sz w:val="20"/>
          <w:szCs w:val="20"/>
          <w:lang w:val="ka-GE"/>
        </w:rPr>
        <w:t xml:space="preserve"> რადგან სეროტონინის უკუმიტაცების</w:t>
      </w:r>
      <w:r w:rsidR="008D0ED7" w:rsidRPr="00CF713E">
        <w:rPr>
          <w:rFonts w:ascii="Sylfaen" w:hAnsi="Sylfaen"/>
          <w:noProof/>
          <w:sz w:val="20"/>
          <w:szCs w:val="20"/>
          <w:lang w:val="ka-GE"/>
        </w:rPr>
        <w:t xml:space="preserve"> სელექციური</w:t>
      </w:r>
      <w:r w:rsidRPr="00CF713E">
        <w:rPr>
          <w:rFonts w:ascii="Sylfaen" w:hAnsi="Sylfaen"/>
          <w:noProof/>
          <w:sz w:val="20"/>
          <w:szCs w:val="20"/>
          <w:lang w:val="ka-GE"/>
        </w:rPr>
        <w:t xml:space="preserve"> ინჰიბიტორები გავლენას ახდენენ თრომბოციტების აქტივაციაზე და ზრდიან სისხლდენის რისკს, სეროტონინის უკუმიტაცების ინჰიბიტორების კლოპიდოგრელთან ერთად მიღება უნდა მოხდეს სიფრთხილით.</w:t>
      </w:r>
    </w:p>
    <w:p w14:paraId="0C06088C"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სხვა თანმხლები თერაპია:</w:t>
      </w:r>
    </w:p>
    <w:p w14:paraId="5E829B21"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CYP2C19-ის ინდუქტორები</w:t>
      </w:r>
    </w:p>
    <w:p w14:paraId="53862AA3"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ვინაიდან კლოპიდოგრელი მის აქტიურ მეტაბოლიტამდე ნაწილობრივ მეტაბოლიზდება CYP2C19-ის მეშვეობით, მოსალოდნელია, რომ ამ ფერმენტის აქტივობის ინდუქტორული სამკურნალო საშუალებების გამოყენება გამოიწვევს კლოპიდოგრელის აქტიური მეტაბოლიტის დონის მატებას.</w:t>
      </w:r>
    </w:p>
    <w:p w14:paraId="5D1E8D66"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რიფამპიცინი ძლიერად აინდუცირებს CYP2C19-ს, რაც იწვევს როგორც კლოპიდოგრელის აქტიური მეტაბოლიტის დონის მატებას, ასევე თრომბოციტების ინჰიბირებას, რამაც შესაძლოა გააძლიეროს სისხლდენის რისკი. სიფრთხილის მიზნით, არ უნდა იქნას გათვალისწინებული ძლიერი CYP2C19 ინდუქტორების ერთდროული გამოყენება (იხ. ნაწილი 4.4).</w:t>
      </w:r>
    </w:p>
    <w:p w14:paraId="78236841"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CYP2C19 ინჰიბიტორები</w:t>
      </w:r>
    </w:p>
    <w:p w14:paraId="0481E542" w14:textId="77777777" w:rsidR="008D0ED7"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რადგან კლოპიდოგრელი ნაწილობრივ მეტაბოლიზდება მის აქტიურ მეტაბოლიტამდე CYP2C19-ის მეშვეობით, მოსალოდნელია, რომ ამ ფერმენტის აქტივობის დამთრგუნველი სამკურნალო საშუალებების გამოყენება გამოიწვევს კლოპიდოგრელის აქტიური მეტაბოლიტის დონის შემცირებას. ამ ურთიერთქმედების კლინიკური მნიშვნელობა გაურკვეველია. სიფრთხილის მიზნით, არ უნდა იქნას გათვალისწინებული ძლიერი ან ზომიერი CYP2C19 ინჰიბიტორების ერთდროული გამოყენება (იხ. ნაწილები 4.4 და 5.2). </w:t>
      </w:r>
    </w:p>
    <w:p w14:paraId="01637C87" w14:textId="37F9C832"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სამკურნალო პროდუქტები, რომლებიც წარმოადგენენ ძლიერ ან ზომიერ CYP2C19 ინჰიბიტორებს, მოიცავს, მაგალითად, ომეპრაზოლს და ეზომეპრაზოლს, ფლუვოქსამინს, ფლუოქსეტინს, მოკლობემიდს, ვორიკონაზოლს, ფლუკონაზოლს, ტიკლოპიდინს, კარბამაზეპინს და ეფავირენცს.</w:t>
      </w:r>
    </w:p>
    <w:p w14:paraId="60AD04B5"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პროტონული ტუმბოს ინჰიბიტორები (PPI):</w:t>
      </w:r>
    </w:p>
    <w:p w14:paraId="689A8066"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ომეპრაზოლი 80 მგ დღეში ერთხელ, კლოპიდოგრელთან ერთად ან ორი პრეპარატის მიღებებს შორის 12 საათიანი ინტერვალით, ამცირებს აქტიური მეტაბოლიტის ექსპოზიციას 45%-ით (დატვირთვის დოზა) და 40%-ით (შემანარჩუნებელი დოზა). შემცირება დაკავშირებული იყო თრომბოციტების აგრეგაციის ინჰიბირების 39%-ით (დამტვირთველი დოზა) და 21%-ით (შემანარჩუნებელი დოზა) შემცირებასთან. მოსალოდნელია, რომ ეზომეპრაზოლი კლოპიდოგრელთან მსგავს ურთიერთქმედებას გამოიწვევს.</w:t>
      </w:r>
    </w:p>
    <w:p w14:paraId="0A3CBCE6"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როგორც დაკვირვებითი, ასევე კლინიკური კვლევებიდან მომდინარეობს შეუსაბამო მონაცემები ამ ფარმაკოკინეტიკური (PK)/ფარმაკოდინამიკური (PD) ურთიერთქმედების კლინიკური შედეგების შესახებ ძირითადი გულ-სისხლძარღვთა მოვლენების თვალსაზრისით. სიფრთხილის მიზნით, ომეპრაზოლის ან ეზომეპრაზოლის ერთდროული გამოყენება არ უნდა იქნას მიღებული (იხ. ნაწილი 4.4).</w:t>
      </w:r>
    </w:p>
    <w:p w14:paraId="57276FFC"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პანტოპრაზოლის ან ლანსოპრაზოლის გამოყენებისას დაფიქსირდა მეტაბოლიტების ექსპოზიციის ნაკლებად გამოხატული შემცირება.</w:t>
      </w:r>
    </w:p>
    <w:p w14:paraId="1F000BBD"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აქტიური მეტაბოლიტის პლაზმური კონცენტრაცია შემცირდა 20%-ით (დამტვირთველი დოზა) და 14%-ით (შემანარჩუნებელი დოზა) პანტოპრაზოლით დღეში ერთხელ ერთჯერადად მკურნალობის დროს. ეს დაკავშირებული იყო თრომბოციტების აგრეგაციის საშუალო ინჰიბირების შემცირებასთან შესაბამისად 15%-ით და 11%-ით. ეს შედეგები მიუთითებს, რომ კლოპიდოგრელის მიღება შესაძლებელია პანტოპრაზოლთან ერთად.</w:t>
      </w:r>
    </w:p>
    <w:p w14:paraId="5FCF086E"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არ არსებობს მტკიცებულება, რომ კუჭის მჟავიანობის დამწევი სხვა სამკურნალო საშუალებები, როგორიცაა H2 ბლოკატორები ან ანტაციდები, ხელს უშლიან კლოპიდოგრელის ანტიაგრეგანტურ აქტივობას.</w:t>
      </w:r>
    </w:p>
    <w:p w14:paraId="24835BB3"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i/>
          <w:iCs/>
          <w:noProof/>
          <w:sz w:val="20"/>
          <w:szCs w:val="20"/>
          <w:lang w:val="ka-GE"/>
        </w:rPr>
        <w:t>გაძლიერებული ანტირეტროვირუსული თერაპია (ART):</w:t>
      </w:r>
      <w:r w:rsidRPr="00CF713E">
        <w:rPr>
          <w:rFonts w:ascii="Sylfaen" w:hAnsi="Sylfaen"/>
          <w:noProof/>
          <w:sz w:val="20"/>
          <w:szCs w:val="20"/>
          <w:lang w:val="ka-GE"/>
        </w:rPr>
        <w:t xml:space="preserve"> აივ ინფიცირებულ პაციენტებს, რომლებიც მკურნალობენ გაძლიერებული ანტირეტროვირუსული თერაპიით (ART), აქვთ სისხლძარღვოვანი მოვლენების მაღალი რისკი. რიტონავირით ან კობიცისტატით გაძლიერებული ანტირეტროვირუსული თერაპიის (ART) გამოყენებით მკურნალ აივ ინფიცირებულ პაციენტებში თრომბოციტების ინჰიბირება მნიშვნელოვნად შემცირდა.</w:t>
      </w:r>
    </w:p>
    <w:p w14:paraId="5E619F8B"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მიუხედავად იმისა, რომ ამ მონაცემების კლინიკური მნიშვნელობა გაურკვეველია, არსებობს სპონტანური ცნობები აივ ინფიცირებულ პაციენტებში, რომლებიც რიტონავირით გაძლიერებული ანტირეტროვირუსული თერაპიის (ART) გამოყენებით მკურნალობდნენ და რომლებსაც ობსტრუქციის შემდეგ განუვითარდათ რეოკლუზიური მოვლენები ან კლოპიდოგრელით დატვირთული თერაპიის სქემის დროს განუვითარდათ თრომბოზული მოვლენები. თრომბოციტების საშუალო ინჰიბირება შეიძლება შემცირდეს კლოპიდოგრელისა და რიტონავირის ერთდროული გამოყენებით. ამიტომ, კლოპიდოგრელის ანტირეტროვირუსული თერაპიის (ART) ერთდროული გამოყენება არ უნდა იყოს რეკომენდებული.</w:t>
      </w:r>
    </w:p>
    <w:p w14:paraId="508AF372" w14:textId="77777777" w:rsidR="00795A6D" w:rsidRPr="00CF713E" w:rsidRDefault="004E6C38" w:rsidP="007065D2">
      <w:pPr>
        <w:spacing w:after="0" w:line="240" w:lineRule="auto"/>
        <w:jc w:val="both"/>
        <w:rPr>
          <w:rFonts w:ascii="Sylfaen" w:hAnsi="Sylfaen"/>
          <w:noProof/>
          <w:sz w:val="20"/>
          <w:szCs w:val="20"/>
          <w:lang w:val="ka-GE"/>
        </w:rPr>
      </w:pPr>
      <w:r w:rsidRPr="00CF713E">
        <w:rPr>
          <w:rFonts w:ascii="Sylfaen" w:hAnsi="Sylfaen"/>
          <w:i/>
          <w:iCs/>
          <w:noProof/>
          <w:sz w:val="20"/>
          <w:szCs w:val="20"/>
          <w:lang w:val="ka-GE"/>
        </w:rPr>
        <w:t>სხვა სამკურნალო საშუალებები:</w:t>
      </w:r>
      <w:r w:rsidRPr="00CF713E">
        <w:rPr>
          <w:rFonts w:ascii="Sylfaen" w:hAnsi="Sylfaen"/>
          <w:noProof/>
          <w:sz w:val="20"/>
          <w:szCs w:val="20"/>
          <w:lang w:val="ka-GE"/>
        </w:rPr>
        <w:t xml:space="preserve"> კლოპიდოგრელისა და სხვა თანმხლები სამკურნალო საშუალებების ფარმაკოდინამიკური და ფარმაკოკინეტიკური ურთიერთქმედებების პოტენციალის შესასწავლად ჩატარდა სხვა კლინიკური კვლევები. კლინიკურად მნიშვნელოვანი ფარმაკოდინამიკური ურთიერთქმედებები არ დაფიქსირებულა კლოპიდოგრელის ატენოლოლთან, ნიფედიპინთან ან ატენოლოლთან და ნიფედიპინთან ერთად მიღებისას. გარდა ამისა, კლოპიდოგრელის ფარმაკოდინამიკურ აქტივობაზე მნიშვნელოვნად არ იმოქმედა ფენობარბიტალის ან ესტროგენის ერთდროულმა მიღებამ. </w:t>
      </w:r>
    </w:p>
    <w:p w14:paraId="17749FB2" w14:textId="7DAA3A98" w:rsidR="008D0ED7"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დიგოქსინის ან თეოფილინის ფარმაკოკინეტიკა არ შეცვლილა კლოპიდოგრელთან ერთად მიღებისას. ანტაციდებმა არ შეცვალეს კლოპიდოგრელის შეწოვის ხარისხი.</w:t>
      </w:r>
    </w:p>
    <w:p w14:paraId="44ED9982"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CAPRIE კვლევის მონაცემები მიუთითებს, რომ ფენიტოინი და ტოლბუტამიდი, რომლებიც მეტაბოლიზდება CYP2C9-ით, შეიძლება უსაფრთხოდ იქნას მიღებული კლოპიდოგრელთან ერთად.</w:t>
      </w:r>
    </w:p>
    <w:p w14:paraId="6A26EA4A"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i/>
          <w:iCs/>
          <w:noProof/>
          <w:sz w:val="20"/>
          <w:szCs w:val="20"/>
          <w:lang w:val="ka-GE"/>
        </w:rPr>
        <w:t>CYP2C8 სუბსტრატის სამკურნალო პროდუქტები:</w:t>
      </w:r>
      <w:r w:rsidRPr="00CF713E">
        <w:rPr>
          <w:rFonts w:ascii="Sylfaen" w:hAnsi="Sylfaen"/>
          <w:noProof/>
          <w:sz w:val="20"/>
          <w:szCs w:val="20"/>
          <w:lang w:val="ka-GE"/>
        </w:rPr>
        <w:t xml:space="preserve"> კლოპიდოგრელი ზრდის რეპაგლინიდის ექსპოზიციას ჯანმრთელ მოხალისეებში. ინ ვიტრო კვლევებმა აჩვენა, რომ რეპაგლინიდის ექსპოზიციის ზრდა გამოწვეულია CYP2C8-ის ინჰიბირებით კლოპიდოგრელის გლუკურონიდური მეტაბოლიტის მიერ. პლაზმური კონცენტრაციების მომატების რისკის გამო, კლოპიდოგრელის და CYP2C8 მეტაბოლიზმით გამოყოფილი პრეპარატების (მაგ., რეპაგლინიდი, პაკლიტაქსელი) ერთდროული მიღება უნდა მოხდეს სიფრთხილით (იხ. ნაწილი 4.4).</w:t>
      </w:r>
    </w:p>
    <w:p w14:paraId="5485AB72" w14:textId="77777777" w:rsidR="00795A6D"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ზემოთ აღწერილი სპეციფიკური სამკურნალო პროდუქტის ურთიერთქმედების ინფორმაციის გარდა, ურთიერთქმედების კვლევები კლოპიდოგრელსა და ზოგიერთ სამკურნალო პროდუქტს შორის, რომლებიც ხშირად გამოიყენება ათეროთრომბოზული დაავადების მქონე პაციენტებში, არ ჩატარებულა.</w:t>
      </w:r>
      <w:r w:rsidR="00795A6D" w:rsidRPr="00CF713E">
        <w:rPr>
          <w:rFonts w:ascii="Sylfaen" w:hAnsi="Sylfaen"/>
          <w:noProof/>
          <w:sz w:val="20"/>
          <w:szCs w:val="20"/>
          <w:lang w:val="ka-GE"/>
        </w:rPr>
        <w:t xml:space="preserve"> </w:t>
      </w:r>
      <w:r w:rsidRPr="00CF713E">
        <w:rPr>
          <w:rFonts w:ascii="Sylfaen" w:hAnsi="Sylfaen"/>
          <w:noProof/>
          <w:sz w:val="20"/>
          <w:szCs w:val="20"/>
          <w:lang w:val="ka-GE"/>
        </w:rPr>
        <w:t>თუმცა, პაციენტებმა, რომლებიც მონაწილეობდნენ კლინიკურ კვლევებში კლოპიდოგრელით, მიიღეს სხვადასხვა თანმხლები სამკურნალო საშუალებები, მათ შორის შარდმდენები, ბეტა-ბლოკატორები, აგფ ინჰიბიტორები, კალციუმის ანტაგონისტები, ქოლესტერინის დამწევი საშუალებები, კორონარული ვაზოდილატატორები, ანტიდიაბეტური საშუალებები (ინსულინის ჩათვლით), ანტიეპილეფსიური საშუალებები და GPIIb/IIIa ანტაგონისტები, კლინიკურად მნიშვნელოვანი გვერდითი ურთიერთქმედების ნიშნების გარეშე.</w:t>
      </w:r>
      <w:r w:rsidR="00795A6D" w:rsidRPr="00CF713E">
        <w:rPr>
          <w:rFonts w:ascii="Sylfaen" w:hAnsi="Sylfaen"/>
          <w:noProof/>
          <w:sz w:val="20"/>
          <w:szCs w:val="20"/>
          <w:lang w:val="ka-GE"/>
        </w:rPr>
        <w:t xml:space="preserve"> </w:t>
      </w:r>
      <w:r w:rsidRPr="00CF713E">
        <w:rPr>
          <w:rFonts w:ascii="Sylfaen" w:hAnsi="Sylfaen"/>
          <w:noProof/>
          <w:sz w:val="20"/>
          <w:szCs w:val="20"/>
          <w:lang w:val="ka-GE"/>
        </w:rPr>
        <w:t xml:space="preserve">როგორც სხვა პერორალური P2Y12 ინჰიბიტორების შემთხვევაში, ოპიოიდური აგონისტების ერთდროულმა მიღებამ შეიძლება შეანელოს და შეამციროს კლოპიდოგრელის შეწოვა, სავარაუდოდ, კუჭის დაცლის შენელების გამო. კლინიკური მნიშვნელობა უცნობია. განიხილეთ პარენტერალური ანტიაგრეგანტის გამოყენება მწვავე კორონარული სინდრომის მქონე პაციენტებში, რომლებიც საჭიროებენ მორფინის ან სხვა ოპიოიდური აგონისტების ერთდროულ მიღებას. </w:t>
      </w:r>
    </w:p>
    <w:p w14:paraId="11B5068B" w14:textId="3AB1DD5A"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როზუვასტატინი: კლოპიდოგრელი ზრდის როზუვასტატინის ექსპოზიციას პაციენტებში 2-ჯერ (AUC) და 1.3-ჯერ (Cmax) კლოპიდოგრელის 300 მგ დოზის მიღების შემდეგ და 1.4-ჯერ (AUC) კლოპიდოგრელის 75 მგ დოზის განმეორებითი მიღების შემდეგ Cmax-ზე ზემოქმედების გარეშე.</w:t>
      </w:r>
    </w:p>
    <w:p w14:paraId="68C8C3AE" w14:textId="77777777" w:rsidR="004E6C38" w:rsidRPr="00CF713E" w:rsidRDefault="004E6C38" w:rsidP="007065D2">
      <w:pPr>
        <w:spacing w:after="0" w:line="240" w:lineRule="auto"/>
        <w:jc w:val="both"/>
        <w:rPr>
          <w:rFonts w:ascii="Sylfaen" w:hAnsi="Sylfaen"/>
          <w:noProof/>
          <w:sz w:val="20"/>
          <w:szCs w:val="20"/>
          <w:lang w:val="ka-GE"/>
        </w:rPr>
      </w:pPr>
    </w:p>
    <w:p w14:paraId="7907EB76"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4.6 ფერტილობა, ორსულობა და ლაქტაცია</w:t>
      </w:r>
    </w:p>
    <w:p w14:paraId="3FE0F45F"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ორსულობა</w:t>
      </w:r>
    </w:p>
    <w:p w14:paraId="340BA692"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რადგან ორსულობის დროს კლოპიდოგრელის ზემოქმედების შესახებ კლინიკური მონაცემები არ არსებობს, სიფრთხილის ზომების სახით სასურველია კლოპიდოგრელი ორსულობის დროს არ გამოიყენონ.</w:t>
      </w:r>
    </w:p>
    <w:p w14:paraId="3E020282"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ცხოველებზე ჩატარებული კვლევები არ აჩვენებს პირდაპირ ან ირიბ მავნე ზემოქმედებას ორსულობაზე, ემბრიონის/ნაყოფის განვითარებაზე, მშობიარობაზე ან პოსტნატალურ განვითარებაზე (იხილეთ ნაწილი 5.3).</w:t>
      </w:r>
    </w:p>
    <w:p w14:paraId="6D7979D3" w14:textId="270F27E1"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ძუძუთი კვება</w:t>
      </w:r>
    </w:p>
    <w:p w14:paraId="68438EC2" w14:textId="579DE90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უცნობია, გამოიყოფა თუ არა კლოპიდოგრელი ადამიანის დედის რძეში. ცხოველებზე ჩატარებულმა კვლევებმა აჩვენა კლოპიდოგრელის გამოყოფა დედის რძეში. სიფრთხილის ზომების სახით, კლოპიდოგრელით (აპკი</w:t>
      </w:r>
      <w:r w:rsidR="00795A6D" w:rsidRPr="00CF713E">
        <w:rPr>
          <w:rFonts w:ascii="Sylfaen" w:hAnsi="Sylfaen"/>
          <w:noProof/>
          <w:sz w:val="20"/>
          <w:szCs w:val="20"/>
          <w:lang w:val="ka-GE"/>
        </w:rPr>
        <w:t>ანი გარსით დაფარული</w:t>
      </w:r>
      <w:r w:rsidRPr="00CF713E">
        <w:rPr>
          <w:rFonts w:ascii="Sylfaen" w:hAnsi="Sylfaen"/>
          <w:noProof/>
          <w:sz w:val="20"/>
          <w:szCs w:val="20"/>
          <w:lang w:val="ka-GE"/>
        </w:rPr>
        <w:t xml:space="preserve"> ტაბლეტით) მკურნალობის დროს ძუძუთი კვება არ უნდა გაგრძელდეს.</w:t>
      </w:r>
    </w:p>
    <w:p w14:paraId="02C8931B"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ფერტილობა</w:t>
      </w:r>
    </w:p>
    <w:p w14:paraId="63C01220"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ცხოველებზე ჩატარებულ კვლევებში კლოპიდოგრელს ფერტილობის ცვლილება არ აღენიშნებოდა.</w:t>
      </w:r>
    </w:p>
    <w:p w14:paraId="5A8452FB" w14:textId="77777777" w:rsidR="004E6C38" w:rsidRPr="00CF713E" w:rsidRDefault="004E6C38" w:rsidP="007065D2">
      <w:pPr>
        <w:spacing w:after="0" w:line="240" w:lineRule="auto"/>
        <w:jc w:val="both"/>
        <w:rPr>
          <w:rFonts w:ascii="Sylfaen" w:hAnsi="Sylfaen"/>
          <w:noProof/>
          <w:sz w:val="20"/>
          <w:szCs w:val="20"/>
          <w:lang w:val="ka-GE"/>
        </w:rPr>
      </w:pPr>
    </w:p>
    <w:p w14:paraId="2170539B"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4.7 გავლენა ავტომობილის მართვისა და მექანიზმების გამოყენების უნარზე</w:t>
      </w:r>
    </w:p>
    <w:p w14:paraId="6D4434C7"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კლოპიდოგრელს არ აქვს ან აქვს უმნიშვნელო გავლენა ავტომობილის მართვისა და მექანიზმების გამოყენების უნარზე.</w:t>
      </w:r>
    </w:p>
    <w:p w14:paraId="6CA99D78" w14:textId="77777777" w:rsidR="004E6C38" w:rsidRPr="00CF713E" w:rsidRDefault="004E6C38" w:rsidP="007065D2">
      <w:pPr>
        <w:spacing w:after="0" w:line="240" w:lineRule="auto"/>
        <w:jc w:val="both"/>
        <w:rPr>
          <w:rFonts w:ascii="Sylfaen" w:hAnsi="Sylfaen"/>
          <w:noProof/>
          <w:sz w:val="20"/>
          <w:szCs w:val="20"/>
          <w:lang w:val="ka-GE"/>
        </w:rPr>
      </w:pPr>
    </w:p>
    <w:p w14:paraId="420AE314"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4.8 არასასურველი ეფექტები</w:t>
      </w:r>
    </w:p>
    <w:p w14:paraId="36B6520E"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უსაფრთხოების პროფილის შეჯამება</w:t>
      </w:r>
    </w:p>
    <w:p w14:paraId="0B76AA1F"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კლოპიდოგრელის უსაფრთხოება შეფასდა კლინიკურ კვლევებში მონაწილე 44,000-ზე მეტ პაციენტში, მათ შორის 12,000-ზე მეტ პაციენტში, რომლებიც მკურნალობდნენ 1 წლის ან მეტი ხნის განმავლობაში. საერთო ჯამში, კლოპიდოგრელის 75 მგ/დღეში დოზა შედარებადი იყო 325 მგ/დღეში აცეტილსალიცილის მჟავასთან CAPRIE კვლევაში ასაკის, სქესის და რასის მიუხედავად. კლინიკურად მნიშვნელოვანი გვერდითი რეაქციები, რომლებიც დაფიქსირდა CAPRIE, CURE, CLARITY, COMMIT და ACTIVE-A კვლევებში, განხილულია ქვემოთ. კლინიკური კვლევების გამოცდილების გარდა, გვერდითი რეაქციები სპონტანურადაც დაფიქსირდა.</w:t>
      </w:r>
    </w:p>
    <w:p w14:paraId="6269223A"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სისხლდენა ყველაზე გავრცელებული რეაქციაა, რომელიც დაფიქსირდა როგორც კლინიკურ კვლევებში, ასევე პოსტმარკეტინგულ გამოცდილებაში, სადაც ის ძირითადად მკურნალობის პირველი თვის განმავლობაში დაფიქსირდა.</w:t>
      </w:r>
    </w:p>
    <w:p w14:paraId="35670A9F" w14:textId="77777777" w:rsidR="00795A6D"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CAPRIE კვლევაში, კლოპიდოგრელით ან აცეტილსალიცილის მჟავათი ნამკურნალებ პაციენტებში, ნებისმიერი სისხლდენის საერთო სიხშირე იყო 9.3%. მძიმე შემთხვევების სიხშირე მსგავსი იყო კლოპიდოგრელისა და აცეტილსალიცილის მჟავასთვის. </w:t>
      </w:r>
    </w:p>
    <w:p w14:paraId="76530965" w14:textId="60018563"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CURE კვლევაში, კორონარული შუნტირების ოპერაციიდან 7 დღის განმავლობაში, პაციენტებში, რომლებმაც შეწყვიტეს თერაპია ოპერაციამდე ხუთ დღეზე მეტი ხნის განმავლობაში, კლოპიდოგრელთან და აცეტილსალიცილის მჟავის კომბინაციის დროს, არ დაფიქსირებულა მსხვილი სისხლდენების სიჭარბე. პაციენტებში, რომლებიც თერაპიას განაგრძობდნენ შუნტირების ოპერაციიდან ხუთ დღეში, შემთხვევების სიხშირე კლოპიდოგრელთან და აცეტილსალიცილის მჟავის კომბინაციის შემთხვევაში იყო 9.6%, ხოლო პლაცებოსთან და აცეტილსალიცილის მჟავის კომბინაციის შემთხვევაში - 6.3%.</w:t>
      </w:r>
    </w:p>
    <w:p w14:paraId="6A9C7155"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CLARITY კვლევაში, კლოპიდოგრელთან და აცეტილსალიცილის მჟავის ჯგუფში პლაცებოსთან და აცეტილსალიცილის მჟავის ჯგუფთან შედარებით, სისხლდენის საერთო მაჩვენებელი მსგავსი იყო ჯგუფებს შორის. ეს თანმიმდევრული იყო პაციენტების ქვეჯგუფებში, რომლებიც განისაზღვრა საწყისი მახასიათებლებით და ფიბრინოლიზური ან ჰეპარინის თერაპიის ტიპით.</w:t>
      </w:r>
    </w:p>
    <w:p w14:paraId="0EB4BDA5"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COMMIT კვლევაში, არაცერებრალური მსხვილი სისხლდენის ან ცერებრალური სისხლდენის საერთო მაჩვენებელი დაბალი და მსგავსი იყო ორივე ჯგუფში.</w:t>
      </w:r>
    </w:p>
    <w:p w14:paraId="5D06744B" w14:textId="77777777" w:rsidR="00795A6D"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ACTIVE-A კვლევაში, მსხვილი სისხლდენის მაჩვენებელი უფრო მაღალი იყო კლოპიდოგრელთან და აცეტილსალიცილის მჟავის ჯგუფში, ვიდრე პლაცებოსთან და აცეტილსალიცილის მჟავის ჯგუფში (6.7% 4.3%-ის წინააღმდეგ). ორივე ჯგუფში ძირითადი სისხლდენა ძირითადად ექსტრაკრანიალური წარმოშობის იყო (კლოპიდოგრელი + აცეტილსალიცილის მჟავის ჯგუფში 5.3%; პლაცებო + აცეტილსალიცილის მჟავის ჯგუფში 3.5%), ძირითადად კუჭ-ნაწლავის ტრაქტიდან (3.5% 1.8%-ის წინააღმდეგ). კლოპიდოგრელი + აცეტილსალიცილის მჟავის მკურნალობის ჯგუფში პლაცებო + აცეტილსალიცილის მჟავის ჯგუფთან შედარებით (შესაბამისად, 1.4% 0.8%-ის წინააღმდეგ) ქალასშიდა სისხლდენის სიჭარბე აღინიშნა. ჯგუფებს შორის ფატალური სისხლდენის (1.1% კლოპიდოგრელი + აცეტილსალიცილის მჟავის ჯგუფში და 0.7% პლაცებო + აცეტილსალიცილის მჟავის ჯგუფში) და ჰემორაგიული ინსულტის (შესაბამისად, 0.8% და 0.6%) მაჩვენებლებს შორის სტატისტიკურად მნიშვნელოვანი განსხვავება არ დაფიქსირებულა. </w:t>
      </w:r>
    </w:p>
    <w:p w14:paraId="46DC2EC5" w14:textId="4D0F3F91"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TARDIS-ში, პაციენტებს, რომლებსაც ახლახან გადაიტანეს იშემიური ინსულტი, რომლებიც იღებდნენ ინტენსიურ ანტიაგრეგანტულ თერაპიას სამი სამკურნალო პროდუქტით (ასმ + კლოპიდოგრელი + დიპირიდამოლი), აღენიშნებოდათ მეტი სისხლდენა და უფრო მძიმე სისხლდენა, ვიდრე მხოლოდ კლოპიდოგრელის ან ასმ-სა და დიპირიდამოლის კომბინირებულ მიღებასთან შედარებით (კორექტირებული საერთო OR 2.54, 95% CI 2.05-3.16, p&lt;0.0001).</w:t>
      </w:r>
    </w:p>
    <w:p w14:paraId="5FCD0E37" w14:textId="77777777" w:rsidR="00795A6D" w:rsidRPr="00CF713E" w:rsidRDefault="00795A6D" w:rsidP="007065D2">
      <w:pPr>
        <w:spacing w:after="0" w:line="240" w:lineRule="auto"/>
        <w:jc w:val="both"/>
        <w:rPr>
          <w:rFonts w:ascii="Sylfaen" w:hAnsi="Sylfaen"/>
          <w:i/>
          <w:iCs/>
          <w:noProof/>
          <w:sz w:val="20"/>
          <w:szCs w:val="20"/>
          <w:lang w:val="ka-GE"/>
        </w:rPr>
      </w:pPr>
    </w:p>
    <w:p w14:paraId="07FB0E84"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გვერდითი რეაქციების ცხრილური სია</w:t>
      </w:r>
    </w:p>
    <w:p w14:paraId="4568945A"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კლინიკური კვლევების დროს განვითარებული ან სპონტანურად მოხსენებული გვერდითი რეაქციები წარმოდგენილია ქვემოთ მოცემულ ცხრილში. მათი სიხშირე განისაზღვრება შემდეგი კონვენციების გამოყენებით: ხშირი (≥1/100-დან &lt;1/10-მდე); არახშირი (≥1/1,000-დან &lt;1/100-მდე); იშვიათი (≥1/10,000-დან &lt;1/1,000-მდე); ძალიან იშვიათი (&lt;1/10,000), უცნობი (შეუძლებელია შეფასდეს არსებული მონაცემებით).</w:t>
      </w:r>
    </w:p>
    <w:p w14:paraId="58101597" w14:textId="7E257DE3"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თითოეული</w:t>
      </w:r>
      <w:r w:rsidR="00795A6D" w:rsidRPr="00CF713E">
        <w:rPr>
          <w:rFonts w:ascii="Sylfaen" w:hAnsi="Sylfaen"/>
          <w:noProof/>
          <w:sz w:val="20"/>
          <w:szCs w:val="20"/>
          <w:lang w:val="ka-GE"/>
        </w:rPr>
        <w:t xml:space="preserve"> </w:t>
      </w:r>
      <w:r w:rsidRPr="00CF713E">
        <w:rPr>
          <w:rFonts w:ascii="Sylfaen" w:hAnsi="Sylfaen"/>
          <w:noProof/>
          <w:sz w:val="20"/>
          <w:szCs w:val="20"/>
          <w:lang w:val="ka-GE"/>
        </w:rPr>
        <w:t xml:space="preserve">ორგანოთა </w:t>
      </w:r>
      <w:r w:rsidR="00795A6D" w:rsidRPr="00CF713E">
        <w:rPr>
          <w:rFonts w:ascii="Sylfaen" w:hAnsi="Sylfaen"/>
          <w:noProof/>
          <w:sz w:val="20"/>
          <w:szCs w:val="20"/>
          <w:lang w:val="ka-GE"/>
        </w:rPr>
        <w:t xml:space="preserve"> სისტემური </w:t>
      </w:r>
      <w:r w:rsidRPr="00CF713E">
        <w:rPr>
          <w:rFonts w:ascii="Sylfaen" w:hAnsi="Sylfaen"/>
          <w:noProof/>
          <w:sz w:val="20"/>
          <w:szCs w:val="20"/>
          <w:lang w:val="ka-GE"/>
        </w:rPr>
        <w:t>კლასის ფარგლებში, გვერდითი რეაქციები წარმოდგენილია სიმძიმის კლების მიხედვით.</w:t>
      </w:r>
    </w:p>
    <w:p w14:paraId="7C1913F9" w14:textId="77777777" w:rsidR="004E6C38" w:rsidRPr="00CF713E" w:rsidRDefault="004E6C38" w:rsidP="007065D2">
      <w:pPr>
        <w:spacing w:after="0" w:line="240" w:lineRule="auto"/>
        <w:jc w:val="both"/>
        <w:rPr>
          <w:rFonts w:ascii="Sylfaen" w:hAnsi="Sylfaen"/>
          <w:noProof/>
          <w:sz w:val="20"/>
          <w:szCs w:val="20"/>
          <w:lang w:val="ka-GE"/>
        </w:rPr>
      </w:pPr>
    </w:p>
    <w:tbl>
      <w:tblPr>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7"/>
        <w:gridCol w:w="1715"/>
        <w:gridCol w:w="2119"/>
        <w:gridCol w:w="2480"/>
        <w:gridCol w:w="2924"/>
      </w:tblGrid>
      <w:tr w:rsidR="00CF713E" w:rsidRPr="00CF713E" w14:paraId="249EB24A" w14:textId="77777777" w:rsidTr="00DB0B9E">
        <w:trPr>
          <w:trHeight w:val="602"/>
        </w:trPr>
        <w:tc>
          <w:tcPr>
            <w:tcW w:w="1795" w:type="dxa"/>
          </w:tcPr>
          <w:p w14:paraId="69203AA7"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Bold"/>
                <w:b/>
                <w:bCs/>
                <w:noProof/>
                <w:sz w:val="20"/>
                <w:szCs w:val="20"/>
                <w:lang w:val="ka-GE"/>
              </w:rPr>
              <w:t>სისტემა ორგანო</w:t>
            </w:r>
          </w:p>
          <w:p w14:paraId="38527110" w14:textId="11FC4DC4"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Bold"/>
                <w:b/>
                <w:bCs/>
                <w:noProof/>
                <w:sz w:val="20"/>
                <w:szCs w:val="20"/>
                <w:lang w:val="ka-GE"/>
              </w:rPr>
              <w:t>კლასი</w:t>
            </w:r>
          </w:p>
        </w:tc>
        <w:tc>
          <w:tcPr>
            <w:tcW w:w="1620" w:type="dxa"/>
          </w:tcPr>
          <w:p w14:paraId="4DC84BE7"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Bold"/>
                <w:b/>
                <w:bCs/>
                <w:noProof/>
                <w:sz w:val="20"/>
                <w:szCs w:val="20"/>
                <w:lang w:val="ka-GE"/>
              </w:rPr>
              <w:t>ხშირი</w:t>
            </w:r>
          </w:p>
          <w:p w14:paraId="1814B5A3"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6D88E41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Bold"/>
                <w:b/>
                <w:bCs/>
                <w:noProof/>
                <w:sz w:val="20"/>
                <w:szCs w:val="20"/>
                <w:lang w:val="ka-GE"/>
              </w:rPr>
              <w:t>არახშირი</w:t>
            </w:r>
          </w:p>
        </w:tc>
        <w:tc>
          <w:tcPr>
            <w:tcW w:w="1765" w:type="dxa"/>
          </w:tcPr>
          <w:p w14:paraId="37A310D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Bold"/>
                <w:b/>
                <w:bCs/>
                <w:noProof/>
                <w:sz w:val="20"/>
                <w:szCs w:val="20"/>
                <w:lang w:val="ka-GE"/>
              </w:rPr>
              <w:t>იშვიათი</w:t>
            </w:r>
          </w:p>
        </w:tc>
        <w:tc>
          <w:tcPr>
            <w:tcW w:w="3745" w:type="dxa"/>
          </w:tcPr>
          <w:p w14:paraId="05C9AA80"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Bold"/>
                <w:b/>
                <w:bCs/>
                <w:noProof/>
                <w:sz w:val="20"/>
                <w:szCs w:val="20"/>
                <w:lang w:val="ka-GE"/>
              </w:rPr>
              <w:t>ძალიან იშვიათი, უცნობი*</w:t>
            </w:r>
          </w:p>
        </w:tc>
      </w:tr>
      <w:tr w:rsidR="00CF713E" w:rsidRPr="00CF713E" w14:paraId="4DC8C630" w14:textId="77777777" w:rsidTr="00DB0B9E">
        <w:tc>
          <w:tcPr>
            <w:tcW w:w="1795" w:type="dxa"/>
          </w:tcPr>
          <w:p w14:paraId="772A86CA"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დარღვევები</w:t>
            </w:r>
          </w:p>
          <w:p w14:paraId="3581DF4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სისხლის და</w:t>
            </w:r>
          </w:p>
          <w:p w14:paraId="525F963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ლიმფური სისტემის მხრივ</w:t>
            </w:r>
          </w:p>
          <w:p w14:paraId="38127347"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620" w:type="dxa"/>
          </w:tcPr>
          <w:p w14:paraId="36DD4695"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61E98929"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თრომბოციტოპენია,</w:t>
            </w:r>
          </w:p>
          <w:p w14:paraId="573FCB3A"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ლეიკოპენია,</w:t>
            </w:r>
          </w:p>
          <w:p w14:paraId="45644809"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ეოზინოფილია</w:t>
            </w:r>
          </w:p>
          <w:p w14:paraId="332C648D"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765" w:type="dxa"/>
          </w:tcPr>
          <w:p w14:paraId="491A428C"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ნეიტროპენია,</w:t>
            </w:r>
          </w:p>
          <w:p w14:paraId="0F77E01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მათ შორის მძიმე</w:t>
            </w:r>
          </w:p>
          <w:p w14:paraId="04DC5CB3"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ნეიტროპენია</w:t>
            </w:r>
          </w:p>
          <w:p w14:paraId="14DCF50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7BB1CC22" w14:textId="06D12385"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თრომბოზული თრომბოციტოპენი</w:t>
            </w:r>
            <w:r w:rsidR="00BA727B" w:rsidRPr="00CF713E">
              <w:rPr>
                <w:rFonts w:ascii="Sylfaen" w:hAnsi="Sylfaen" w:cs="Segoe UI"/>
                <w:noProof/>
                <w:sz w:val="20"/>
                <w:szCs w:val="20"/>
                <w:lang w:val="ka-GE"/>
              </w:rPr>
              <w:t>ური</w:t>
            </w:r>
          </w:p>
          <w:p w14:paraId="6EF14170"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პურპურა (TTP) (იხ. ნაწილი 4.4), აპლასტიური</w:t>
            </w:r>
          </w:p>
          <w:p w14:paraId="38686717"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ანემია, პანციტოპენია, აგრანულოციტოზი, მძიმე თრომბოციტოპენია, შეძენილი A</w:t>
            </w:r>
          </w:p>
          <w:p w14:paraId="1847AB82"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ჰემოფილია გრანულოციტოპენია,</w:t>
            </w:r>
          </w:p>
          <w:p w14:paraId="108B5F04"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ანემია</w:t>
            </w:r>
          </w:p>
        </w:tc>
      </w:tr>
      <w:tr w:rsidR="00CF713E" w:rsidRPr="00CF713E" w14:paraId="7809F630" w14:textId="77777777" w:rsidTr="00DB0B9E">
        <w:tc>
          <w:tcPr>
            <w:tcW w:w="1795" w:type="dxa"/>
          </w:tcPr>
          <w:p w14:paraId="2A67FFF2"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გულის მხრივ დარღვევები</w:t>
            </w:r>
          </w:p>
        </w:tc>
        <w:tc>
          <w:tcPr>
            <w:tcW w:w="1620" w:type="dxa"/>
          </w:tcPr>
          <w:p w14:paraId="72D2BEF4"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19F480E4"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765" w:type="dxa"/>
          </w:tcPr>
          <w:p w14:paraId="5401742F"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56D3023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კუნისის სინდრომი (ვაზოსპასტიური ალერგიული სტენოკარდია / ალერგიული მიოკარდიუმის ინფარქტი) კლოპიდოგრელით გამოწვეული ჰიპერმგრძნობელობის რეაქციის კონტექსტში*</w:t>
            </w:r>
          </w:p>
        </w:tc>
      </w:tr>
      <w:tr w:rsidR="00CF713E" w:rsidRPr="00CF713E" w14:paraId="1AFC7117" w14:textId="77777777" w:rsidTr="00DB0B9E">
        <w:tc>
          <w:tcPr>
            <w:tcW w:w="1795" w:type="dxa"/>
          </w:tcPr>
          <w:p w14:paraId="31367E55"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იმუნური სისტემის მხრივ</w:t>
            </w:r>
          </w:p>
          <w:p w14:paraId="12995621"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დარღვევები</w:t>
            </w:r>
          </w:p>
          <w:p w14:paraId="1F89DBE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620" w:type="dxa"/>
          </w:tcPr>
          <w:p w14:paraId="06C5CAF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6D083959"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765" w:type="dxa"/>
          </w:tcPr>
          <w:p w14:paraId="6F8D0071"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0F56EBA9"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შრატისმიერი დაავადება,</w:t>
            </w:r>
          </w:p>
          <w:p w14:paraId="149B6892"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ანაფილაქტოიდური რეაქციები,</w:t>
            </w:r>
          </w:p>
          <w:p w14:paraId="2907690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თიენოპირიდინებს შორის (მაგალითად, ტიკლოპიდინი, პრასუგრელი) ჯვარედინი რეაქციის მქონე პრეპარატის მიმართ ჰიპერმგრძნობელობა (იხ. ნაწილი 4.4)*, ინსულინის აუტოიმუნური სინდრომი, რამაც შეიძლება გამოიწვიოს მძიმე ჰიპოგლიკემია, განსაკუთრებით HLA DRA4 ქვეტიპის მქონე პაციენტებში (უფრო ხშირია</w:t>
            </w:r>
          </w:p>
          <w:p w14:paraId="1C55100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ჯანმრთელობის პროდუქტების მარეგულირებელი ორგანო</w:t>
            </w:r>
          </w:p>
          <w:p w14:paraId="0654B842"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2025 წლის 30 აპრილი CRN00G8Z4 გვერდი 9 / 19</w:t>
            </w:r>
          </w:p>
          <w:p w14:paraId="7B2D7C09"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იაპონიის მოსახლეობა)*</w:t>
            </w:r>
          </w:p>
        </w:tc>
      </w:tr>
      <w:tr w:rsidR="00CF713E" w:rsidRPr="00CF713E" w14:paraId="2446A255" w14:textId="77777777" w:rsidTr="00BA727B">
        <w:trPr>
          <w:trHeight w:val="602"/>
        </w:trPr>
        <w:tc>
          <w:tcPr>
            <w:tcW w:w="1795" w:type="dxa"/>
          </w:tcPr>
          <w:p w14:paraId="618B30BB"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ფსიქიატრიული</w:t>
            </w:r>
          </w:p>
          <w:p w14:paraId="36DE222D" w14:textId="6E7733DB"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დარღვევები</w:t>
            </w:r>
          </w:p>
        </w:tc>
        <w:tc>
          <w:tcPr>
            <w:tcW w:w="1620" w:type="dxa"/>
          </w:tcPr>
          <w:p w14:paraId="02D1DC1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47F4F343"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765" w:type="dxa"/>
          </w:tcPr>
          <w:p w14:paraId="1B251ED2"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7A1C21B9"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ჰალუცინაციები, დაბნეულობა</w:t>
            </w:r>
          </w:p>
        </w:tc>
      </w:tr>
      <w:tr w:rsidR="00CF713E" w:rsidRPr="00CF713E" w14:paraId="2CE52B56" w14:textId="77777777" w:rsidTr="00DB0B9E">
        <w:tc>
          <w:tcPr>
            <w:tcW w:w="1795" w:type="dxa"/>
          </w:tcPr>
          <w:p w14:paraId="44CE4E8D"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ნერვული სისტემის მხრივ</w:t>
            </w:r>
          </w:p>
          <w:p w14:paraId="39A84F7D"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დარღვევები</w:t>
            </w:r>
          </w:p>
          <w:p w14:paraId="08FE4734"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620" w:type="dxa"/>
          </w:tcPr>
          <w:p w14:paraId="1DFE52BC"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40B8BCA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ინტრაკრანიალური</w:t>
            </w:r>
          </w:p>
          <w:p w14:paraId="0A2A4204"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სისხლდენა (ზოგიერთ</w:t>
            </w:r>
          </w:p>
          <w:p w14:paraId="123343C9"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შემთხვევებში  დაფიქსირდა</w:t>
            </w:r>
          </w:p>
          <w:p w14:paraId="53BC2F90"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ფატალური შედეგი),</w:t>
            </w:r>
          </w:p>
          <w:p w14:paraId="75799455"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თავის ტკივილი,</w:t>
            </w:r>
          </w:p>
          <w:p w14:paraId="543C65BB"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პარესთეზია,</w:t>
            </w:r>
          </w:p>
          <w:p w14:paraId="2C17A3A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თავბრუსხვევა</w:t>
            </w:r>
          </w:p>
        </w:tc>
        <w:tc>
          <w:tcPr>
            <w:tcW w:w="1765" w:type="dxa"/>
          </w:tcPr>
          <w:p w14:paraId="21EE2D03"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4941A2C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გემოვნების დარღვევა, აგევზია</w:t>
            </w:r>
          </w:p>
          <w:p w14:paraId="760EB290"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r>
      <w:tr w:rsidR="00CF713E" w:rsidRPr="00CF713E" w14:paraId="60922787" w14:textId="77777777" w:rsidTr="00DB0B9E">
        <w:tc>
          <w:tcPr>
            <w:tcW w:w="1795" w:type="dxa"/>
          </w:tcPr>
          <w:p w14:paraId="6EBC40C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თვალის მხრივ დარღვევები</w:t>
            </w:r>
          </w:p>
          <w:p w14:paraId="470F1260"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620" w:type="dxa"/>
          </w:tcPr>
          <w:p w14:paraId="2840CA50"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589E25F2"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თვალიდან სისხლდენა</w:t>
            </w:r>
          </w:p>
          <w:p w14:paraId="4622884F"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(კონიუნქტივიდან,</w:t>
            </w:r>
          </w:p>
          <w:p w14:paraId="35D41EE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თვალიდან, ბადურიდან)</w:t>
            </w:r>
          </w:p>
        </w:tc>
        <w:tc>
          <w:tcPr>
            <w:tcW w:w="1765" w:type="dxa"/>
          </w:tcPr>
          <w:p w14:paraId="25B28CD0"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4DD0DBE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r>
      <w:tr w:rsidR="00CF713E" w:rsidRPr="00CF713E" w14:paraId="143BFE04" w14:textId="77777777" w:rsidTr="00DB0B9E">
        <w:tc>
          <w:tcPr>
            <w:tcW w:w="1795" w:type="dxa"/>
          </w:tcPr>
          <w:p w14:paraId="62035FBA"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ყურის და ლაბირინთული</w:t>
            </w:r>
          </w:p>
          <w:p w14:paraId="367C3BD0"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დარღვევები</w:t>
            </w:r>
          </w:p>
          <w:p w14:paraId="570F5ADA"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620" w:type="dxa"/>
          </w:tcPr>
          <w:p w14:paraId="031D3132"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11F4F00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765" w:type="dxa"/>
          </w:tcPr>
          <w:p w14:paraId="7CA92478" w14:textId="5769B545" w:rsidR="004E6C38" w:rsidRPr="00CF713E" w:rsidRDefault="00BA727B"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ვერტიგო</w:t>
            </w:r>
          </w:p>
          <w:p w14:paraId="7FE8FDF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2863B5A3"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r>
      <w:tr w:rsidR="00CF713E" w:rsidRPr="00CF713E" w14:paraId="70438BCE" w14:textId="77777777" w:rsidTr="00DB0B9E">
        <w:tc>
          <w:tcPr>
            <w:tcW w:w="1795" w:type="dxa"/>
          </w:tcPr>
          <w:p w14:paraId="5C8CA41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სისხლძარღვოვანი დარღვევები</w:t>
            </w:r>
          </w:p>
          <w:p w14:paraId="1A7FC885"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620" w:type="dxa"/>
          </w:tcPr>
          <w:p w14:paraId="333C58B4"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ჰემატომა</w:t>
            </w:r>
          </w:p>
          <w:p w14:paraId="2D23C8AF"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50D6AC80"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765" w:type="dxa"/>
          </w:tcPr>
          <w:p w14:paraId="56A49CEA"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0CD55C53" w14:textId="0D5C010B"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სერიოზული სისხლდენა, ოპერაციული ჭრილობიდან სისხლდენა, ვასკულიტი, ჰიპოტენზია</w:t>
            </w:r>
          </w:p>
        </w:tc>
      </w:tr>
      <w:tr w:rsidR="00CF713E" w:rsidRPr="00CF713E" w14:paraId="63F00635" w14:textId="77777777" w:rsidTr="00DB0B9E">
        <w:tc>
          <w:tcPr>
            <w:tcW w:w="1795" w:type="dxa"/>
          </w:tcPr>
          <w:p w14:paraId="6A574BC1"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სასუნთქი გზების,</w:t>
            </w:r>
          </w:p>
          <w:p w14:paraId="320216F0"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გულმკერდის და</w:t>
            </w:r>
          </w:p>
          <w:p w14:paraId="1536B747"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 xml:space="preserve">შუასაყრის მხრივ </w:t>
            </w:r>
          </w:p>
          <w:p w14:paraId="6F21DA35"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დარღვევები</w:t>
            </w:r>
          </w:p>
          <w:p w14:paraId="00BD2509"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620" w:type="dxa"/>
          </w:tcPr>
          <w:p w14:paraId="73426E75"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ეპისტაქსისი</w:t>
            </w:r>
          </w:p>
          <w:p w14:paraId="56947471"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1843F4AF"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765" w:type="dxa"/>
          </w:tcPr>
          <w:p w14:paraId="020EAB0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07C4E48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სასუნთქი გზებიდან სისხლდენა (ჰემოპტიზი, ფილტვისმიერი სისხლდენა),</w:t>
            </w:r>
          </w:p>
          <w:p w14:paraId="277F9125"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ბრონქოსპაზმი, ინტერსტიციული პნევმონიტი, ეოზინოფილური პნევმონია</w:t>
            </w:r>
          </w:p>
        </w:tc>
      </w:tr>
      <w:tr w:rsidR="00CF713E" w:rsidRPr="00CF713E" w14:paraId="631FE05F" w14:textId="77777777" w:rsidTr="00DB0B9E">
        <w:tc>
          <w:tcPr>
            <w:tcW w:w="1795" w:type="dxa"/>
          </w:tcPr>
          <w:p w14:paraId="0A2AFEA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 xml:space="preserve">კუჭ-ნაწლავის მხრივ </w:t>
            </w:r>
          </w:p>
          <w:p w14:paraId="2E7905B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დარღვევები</w:t>
            </w:r>
          </w:p>
          <w:p w14:paraId="73DD39A2"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620" w:type="dxa"/>
          </w:tcPr>
          <w:p w14:paraId="08F8FB3C"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 xml:space="preserve">კუჭ-ნაწლავის ტრაქტიდან </w:t>
            </w:r>
          </w:p>
          <w:p w14:paraId="52CAD82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სისხლდენა,</w:t>
            </w:r>
          </w:p>
          <w:p w14:paraId="4AD43D12"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დიარეა,</w:t>
            </w:r>
          </w:p>
          <w:p w14:paraId="4B37A5A5"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მუცლის</w:t>
            </w:r>
          </w:p>
          <w:p w14:paraId="30DA7712"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ტკივილი, დისპეფსია</w:t>
            </w:r>
          </w:p>
        </w:tc>
        <w:tc>
          <w:tcPr>
            <w:tcW w:w="2230" w:type="dxa"/>
          </w:tcPr>
          <w:p w14:paraId="4816B5FF"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კუჭის წყლული და</w:t>
            </w:r>
          </w:p>
          <w:p w14:paraId="2A50C3EA"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თორმეტგოჯა ნაწლავის წყლული,</w:t>
            </w:r>
          </w:p>
          <w:p w14:paraId="7778BE6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გასტრიტი, ღებინება,</w:t>
            </w:r>
          </w:p>
          <w:p w14:paraId="6E2D3973"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გულისრევა, ყაბზობა,</w:t>
            </w:r>
          </w:p>
          <w:p w14:paraId="5801EE4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შებერილობა</w:t>
            </w:r>
          </w:p>
        </w:tc>
        <w:tc>
          <w:tcPr>
            <w:tcW w:w="1765" w:type="dxa"/>
          </w:tcPr>
          <w:p w14:paraId="5D1F239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რეტროპერიტონეალური</w:t>
            </w:r>
          </w:p>
          <w:p w14:paraId="0EA50CC2"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სისხლდენა</w:t>
            </w:r>
          </w:p>
          <w:p w14:paraId="6CE72B17"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7B6D0F8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კუჭ-ნაწლავის და რეტროპერიტონეალური</w:t>
            </w:r>
          </w:p>
          <w:p w14:paraId="21F9D01D"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სისხლდენა ფატალური შედეგით,</w:t>
            </w:r>
          </w:p>
          <w:p w14:paraId="48D9B5CA" w14:textId="1DA0C8D5"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პანკრეატიტი, კოლიტი (მათ შორის წყლულოვანი ან ლიმფოციტური კოლიტი), სტომატიტი</w:t>
            </w:r>
          </w:p>
        </w:tc>
      </w:tr>
      <w:tr w:rsidR="00CF713E" w:rsidRPr="00CF713E" w14:paraId="2BF72369" w14:textId="77777777" w:rsidTr="00DB0B9E">
        <w:tc>
          <w:tcPr>
            <w:tcW w:w="1795" w:type="dxa"/>
          </w:tcPr>
          <w:p w14:paraId="58EF7C1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ჰეპატო-ბილიარული</w:t>
            </w:r>
          </w:p>
          <w:p w14:paraId="7679826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დარღვევები</w:t>
            </w:r>
          </w:p>
        </w:tc>
        <w:tc>
          <w:tcPr>
            <w:tcW w:w="1620" w:type="dxa"/>
          </w:tcPr>
          <w:p w14:paraId="2E8CC51F"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6972FB1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765" w:type="dxa"/>
          </w:tcPr>
          <w:p w14:paraId="7B18AB53"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7C7191E6" w14:textId="6B1D910F"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 xml:space="preserve">ღვიძლის </w:t>
            </w:r>
            <w:r w:rsidR="00BA727B" w:rsidRPr="00CF713E">
              <w:rPr>
                <w:rFonts w:ascii="Sylfaen" w:hAnsi="Sylfaen" w:cs="Segoe UI"/>
                <w:noProof/>
                <w:sz w:val="20"/>
                <w:szCs w:val="20"/>
                <w:lang w:val="ka-GE"/>
              </w:rPr>
              <w:t xml:space="preserve">მწვავე </w:t>
            </w:r>
            <w:r w:rsidRPr="00CF713E">
              <w:rPr>
                <w:rFonts w:ascii="Sylfaen" w:hAnsi="Sylfaen" w:cs="Segoe UI"/>
                <w:noProof/>
                <w:sz w:val="20"/>
                <w:szCs w:val="20"/>
                <w:lang w:val="ka-GE"/>
              </w:rPr>
              <w:t>უკმარისობა, ჰეპატიტი, ღვიძლის ფუნქციური ტესტების დარღვევა</w:t>
            </w:r>
          </w:p>
        </w:tc>
      </w:tr>
      <w:tr w:rsidR="00CF713E" w:rsidRPr="00CF713E" w14:paraId="5620D5A1" w14:textId="77777777" w:rsidTr="00DB0B9E">
        <w:tc>
          <w:tcPr>
            <w:tcW w:w="1795" w:type="dxa"/>
          </w:tcPr>
          <w:p w14:paraId="43163A8D"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კანის და</w:t>
            </w:r>
          </w:p>
          <w:p w14:paraId="46D1110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კანქვეშა</w:t>
            </w:r>
          </w:p>
          <w:p w14:paraId="5D8749A1"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ქსოვილის მხრივ დარღვევები</w:t>
            </w:r>
          </w:p>
          <w:p w14:paraId="2A208AA5"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620" w:type="dxa"/>
          </w:tcPr>
          <w:p w14:paraId="3D7397A9"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სისხლჩაქცევები</w:t>
            </w:r>
          </w:p>
          <w:p w14:paraId="168DFF52"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6088A6DB"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გამონაყარი,</w:t>
            </w:r>
          </w:p>
          <w:p w14:paraId="757616F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ქავილი,</w:t>
            </w:r>
          </w:p>
          <w:p w14:paraId="4E5CFCA4"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კანიდან სისხლდენა</w:t>
            </w:r>
          </w:p>
          <w:p w14:paraId="60550ED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(პურპურა)</w:t>
            </w:r>
          </w:p>
          <w:p w14:paraId="3A276A8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765" w:type="dxa"/>
          </w:tcPr>
          <w:p w14:paraId="152FAD9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61244CA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ბულოზური დერმატიტი (ტოქსიკური ეპიდერმული)</w:t>
            </w:r>
          </w:p>
          <w:p w14:paraId="489E979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ნეკროლიზი, სტივენს-ჯონსონის სინდრომი,</w:t>
            </w:r>
          </w:p>
          <w:p w14:paraId="072A304F"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მულტიფორმული ერითემა, მწვავე გენერალიზებული</w:t>
            </w:r>
          </w:p>
          <w:p w14:paraId="788BFFD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ეგზანთემატოზური პუსტულოზი (AGEP)),</w:t>
            </w:r>
          </w:p>
          <w:p w14:paraId="2DE3D831" w14:textId="0C5BE85A"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 xml:space="preserve">ანგიონევროზული შეშუპება, წამლისმიერი </w:t>
            </w:r>
            <w:r w:rsidRPr="00CF713E">
              <w:rPr>
                <w:rFonts w:ascii="Sylfaen" w:eastAsia="MS Gothic" w:hAnsi="Sylfaen" w:cs="Sylfaen"/>
                <w:noProof/>
                <w:sz w:val="20"/>
                <w:szCs w:val="20"/>
                <w:lang w:val="ka-GE"/>
              </w:rPr>
              <w:t>ჰიპერმგრძნობელობის</w:t>
            </w:r>
            <w:r w:rsidRPr="00CF713E">
              <w:rPr>
                <w:rFonts w:ascii="Sylfaen" w:eastAsia="MS Gothic" w:hAnsi="Sylfaen" w:cs="MS Gothic"/>
                <w:noProof/>
                <w:sz w:val="20"/>
                <w:szCs w:val="20"/>
                <w:lang w:val="ka-GE"/>
              </w:rPr>
              <w:t xml:space="preserve"> </w:t>
            </w:r>
            <w:r w:rsidRPr="00CF713E">
              <w:rPr>
                <w:rFonts w:ascii="Sylfaen" w:hAnsi="Sylfaen" w:cs="Segoe UI"/>
                <w:noProof/>
                <w:sz w:val="20"/>
                <w:szCs w:val="20"/>
                <w:lang w:val="ka-GE"/>
              </w:rPr>
              <w:t>სინდრომი, წამლისმიერი გამონაყარი ეოზინოფილიით და სისტემური სიმპტომებით (DRESS), ერითემატოზული ან ექსფოლია</w:t>
            </w:r>
            <w:r w:rsidR="001E32DA" w:rsidRPr="00CF713E">
              <w:rPr>
                <w:rFonts w:ascii="Sylfaen" w:hAnsi="Sylfaen" w:cs="Segoe UI"/>
                <w:noProof/>
                <w:sz w:val="20"/>
                <w:szCs w:val="20"/>
                <w:lang w:val="ka-GE"/>
              </w:rPr>
              <w:t>ც</w:t>
            </w:r>
            <w:r w:rsidRPr="00CF713E">
              <w:rPr>
                <w:rFonts w:ascii="Sylfaen" w:hAnsi="Sylfaen" w:cs="Segoe UI"/>
                <w:noProof/>
                <w:sz w:val="20"/>
                <w:szCs w:val="20"/>
                <w:lang w:val="ka-GE"/>
              </w:rPr>
              <w:t>იური გამონაყარი, ჭინჭრის ციება, ეგზემა,</w:t>
            </w:r>
          </w:p>
          <w:p w14:paraId="18E9A30C"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ბრტყელი ლიქენი</w:t>
            </w:r>
          </w:p>
        </w:tc>
      </w:tr>
      <w:tr w:rsidR="00CF713E" w:rsidRPr="00CF713E" w14:paraId="361B5023" w14:textId="77777777" w:rsidTr="00DB0B9E">
        <w:tc>
          <w:tcPr>
            <w:tcW w:w="1795" w:type="dxa"/>
          </w:tcPr>
          <w:p w14:paraId="44B06C43"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რეპროდუქციული</w:t>
            </w:r>
          </w:p>
          <w:p w14:paraId="3F3619F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სისტემის და</w:t>
            </w:r>
          </w:p>
          <w:p w14:paraId="14937212" w14:textId="3CED6EA8"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მკერდის მხრივ  დარღვევები</w:t>
            </w:r>
          </w:p>
        </w:tc>
        <w:tc>
          <w:tcPr>
            <w:tcW w:w="1620" w:type="dxa"/>
          </w:tcPr>
          <w:p w14:paraId="778BCBAA"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491142A0"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765" w:type="dxa"/>
          </w:tcPr>
          <w:p w14:paraId="3635D65B"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გინეკომასტია</w:t>
            </w:r>
          </w:p>
          <w:p w14:paraId="4A6D3FEB"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5C39F28F"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r>
      <w:tr w:rsidR="00CF713E" w:rsidRPr="00CF713E" w14:paraId="3DF9E7F4" w14:textId="77777777" w:rsidTr="00DB0B9E">
        <w:tc>
          <w:tcPr>
            <w:tcW w:w="1795" w:type="dxa"/>
          </w:tcPr>
          <w:p w14:paraId="50DE0FAD"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კუნთოვანი სისტემის,</w:t>
            </w:r>
          </w:p>
          <w:p w14:paraId="720C4C31"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შემაერთებელი ქსოვილისა და ძვლის მხრივ დარღვევები</w:t>
            </w:r>
          </w:p>
        </w:tc>
        <w:tc>
          <w:tcPr>
            <w:tcW w:w="1620" w:type="dxa"/>
          </w:tcPr>
          <w:p w14:paraId="5CD3E6AA"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4844F321"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765" w:type="dxa"/>
          </w:tcPr>
          <w:p w14:paraId="18301DFF"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08FB6D6C"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ჩონჩხ-კუნთოვანი-სისხლდენა (ჰემართროზი), ართრიტი, ართრალგია,</w:t>
            </w:r>
          </w:p>
          <w:p w14:paraId="30A17B09"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მიალგია</w:t>
            </w:r>
          </w:p>
        </w:tc>
      </w:tr>
      <w:tr w:rsidR="00CF713E" w:rsidRPr="00CF713E" w14:paraId="2E4FEC78" w14:textId="77777777" w:rsidTr="00DB0B9E">
        <w:tc>
          <w:tcPr>
            <w:tcW w:w="1795" w:type="dxa"/>
          </w:tcPr>
          <w:p w14:paraId="374453C2"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თირკმლის და შარდის მხრივ</w:t>
            </w:r>
          </w:p>
          <w:p w14:paraId="534E0454"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დარღვევები</w:t>
            </w:r>
          </w:p>
        </w:tc>
        <w:tc>
          <w:tcPr>
            <w:tcW w:w="1620" w:type="dxa"/>
          </w:tcPr>
          <w:p w14:paraId="7308F5F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39D0CA57"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ჰემატურია</w:t>
            </w:r>
          </w:p>
          <w:p w14:paraId="19EF3BB5"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765" w:type="dxa"/>
          </w:tcPr>
          <w:p w14:paraId="09D248E7"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6343779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გლომერულონეფრიტი, სისხლში კრეატინინის მომატება</w:t>
            </w:r>
          </w:p>
        </w:tc>
      </w:tr>
      <w:tr w:rsidR="00CF713E" w:rsidRPr="00CF713E" w14:paraId="0F338E5D" w14:textId="77777777" w:rsidTr="00DB0B9E">
        <w:tc>
          <w:tcPr>
            <w:tcW w:w="1795" w:type="dxa"/>
          </w:tcPr>
          <w:p w14:paraId="4B2F80CC"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ზოგადი დარღვევები</w:t>
            </w:r>
          </w:p>
          <w:p w14:paraId="786CFDB4"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და</w:t>
            </w:r>
          </w:p>
          <w:p w14:paraId="084DDC4D"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შეყვანის ადგილის მდგომარეობები</w:t>
            </w:r>
          </w:p>
        </w:tc>
        <w:tc>
          <w:tcPr>
            <w:tcW w:w="1620" w:type="dxa"/>
          </w:tcPr>
          <w:p w14:paraId="2E093DD5"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სისხლდენა</w:t>
            </w:r>
          </w:p>
          <w:p w14:paraId="3395CF46" w14:textId="061B2ADD"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პუნქციის ადგილი</w:t>
            </w:r>
            <w:r w:rsidR="001E32DA" w:rsidRPr="00CF713E">
              <w:rPr>
                <w:rFonts w:ascii="Sylfaen" w:hAnsi="Sylfaen" w:cs="Segoe UI"/>
                <w:noProof/>
                <w:sz w:val="20"/>
                <w:szCs w:val="20"/>
                <w:lang w:val="ka-GE"/>
              </w:rPr>
              <w:t>დან</w:t>
            </w:r>
          </w:p>
        </w:tc>
        <w:tc>
          <w:tcPr>
            <w:tcW w:w="2230" w:type="dxa"/>
          </w:tcPr>
          <w:p w14:paraId="153D816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765" w:type="dxa"/>
          </w:tcPr>
          <w:p w14:paraId="739B19FF"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20413EF4"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ცხელება</w:t>
            </w:r>
          </w:p>
          <w:p w14:paraId="0218DF1A"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r>
      <w:tr w:rsidR="004E6C38" w:rsidRPr="00CF713E" w14:paraId="7D4166AB" w14:textId="77777777" w:rsidTr="00DB0B9E">
        <w:tc>
          <w:tcPr>
            <w:tcW w:w="1795" w:type="dxa"/>
          </w:tcPr>
          <w:p w14:paraId="47E935D1"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გამოკვლევები</w:t>
            </w:r>
          </w:p>
          <w:p w14:paraId="58C26DF6"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1620" w:type="dxa"/>
          </w:tcPr>
          <w:p w14:paraId="36016ACF"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2230" w:type="dxa"/>
          </w:tcPr>
          <w:p w14:paraId="6F6B4503"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სისხლდენის დროის</w:t>
            </w:r>
          </w:p>
          <w:p w14:paraId="01437EAD"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გახანგრძლივება</w:t>
            </w:r>
          </w:p>
          <w:p w14:paraId="155F6C9F"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ნეიტროფილების რაოდენობის</w:t>
            </w:r>
          </w:p>
          <w:p w14:paraId="08D6C4F7"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შემცირება, თრომბოციტების რაოდენობის შემცირება</w:t>
            </w:r>
          </w:p>
        </w:tc>
        <w:tc>
          <w:tcPr>
            <w:tcW w:w="1765" w:type="dxa"/>
          </w:tcPr>
          <w:p w14:paraId="324EF55C"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c>
          <w:tcPr>
            <w:tcW w:w="3745" w:type="dxa"/>
          </w:tcPr>
          <w:p w14:paraId="1A27A068"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p>
        </w:tc>
      </w:tr>
    </w:tbl>
    <w:p w14:paraId="6EA6A680" w14:textId="77777777" w:rsidR="004E6C38" w:rsidRPr="00CF713E" w:rsidRDefault="004E6C38" w:rsidP="007065D2">
      <w:pPr>
        <w:spacing w:after="0" w:line="240" w:lineRule="auto"/>
        <w:jc w:val="both"/>
        <w:rPr>
          <w:rFonts w:ascii="Sylfaen" w:hAnsi="Sylfaen"/>
          <w:noProof/>
          <w:sz w:val="20"/>
          <w:szCs w:val="20"/>
          <w:lang w:val="ka-GE"/>
        </w:rPr>
      </w:pPr>
    </w:p>
    <w:p w14:paraId="0A4E7AD5"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კლოპიდოგრელთან დაკავშირებული ინფორმაცია, რომლის სიხშირეც „უცნობია“.</w:t>
      </w:r>
    </w:p>
    <w:p w14:paraId="7FCAFA71" w14:textId="77777777" w:rsidR="004E6C38" w:rsidRPr="00CF713E" w:rsidRDefault="004E6C38" w:rsidP="007065D2">
      <w:pPr>
        <w:spacing w:after="0" w:line="240" w:lineRule="auto"/>
        <w:jc w:val="both"/>
        <w:rPr>
          <w:rFonts w:ascii="Sylfaen" w:hAnsi="Sylfaen"/>
          <w:b/>
          <w:noProof/>
          <w:sz w:val="20"/>
          <w:szCs w:val="20"/>
          <w:lang w:val="ka-GE"/>
        </w:rPr>
      </w:pPr>
    </w:p>
    <w:p w14:paraId="28F6C2AE"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4.9 დოზის გადაჭარბება</w:t>
      </w:r>
    </w:p>
    <w:p w14:paraId="1D9749FB"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კლოპიდოგრელის მიღების შემდეგ დოზის გადაჭარბებამ შეიძლება გამოიწვიოს სისხლდენის დროის გახანგრძლივება და სისხლდენის სახით შემდგომი გართულებები.</w:t>
      </w:r>
    </w:p>
    <w:p w14:paraId="4FFDE193"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სისხლდენის შემთხვევაში უნდა განიხილებოდეს შესაბამისი თერაპია.</w:t>
      </w:r>
    </w:p>
    <w:p w14:paraId="59C39181"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კლოპიდოგრელის ფარმაკოლოგიური აქტივობის ანტიდოტი არ არის ნაპოვნი. თუ საჭიროა სისხლდენის დროის გახანგრძლივების სწრაფი კორექცია, თრომბოციტების გადასხმამ შეიძლება შეაჩეროს კლოპიდოგრელის ეფექტები.</w:t>
      </w:r>
    </w:p>
    <w:p w14:paraId="3EB1D82E" w14:textId="77777777" w:rsidR="004E6C38" w:rsidRPr="00CF713E" w:rsidRDefault="004E6C38" w:rsidP="007065D2">
      <w:pPr>
        <w:spacing w:after="0" w:line="240" w:lineRule="auto"/>
        <w:jc w:val="both"/>
        <w:rPr>
          <w:rFonts w:ascii="Sylfaen" w:hAnsi="Sylfaen"/>
          <w:noProof/>
          <w:sz w:val="20"/>
          <w:szCs w:val="20"/>
          <w:lang w:val="ka-GE"/>
        </w:rPr>
      </w:pPr>
    </w:p>
    <w:p w14:paraId="47BF4024"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5 ფარმაკოლოგიური თვისებები</w:t>
      </w:r>
    </w:p>
    <w:p w14:paraId="0F0C8058"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5.1 ფარმაკოდინამიკური თვისებები</w:t>
      </w:r>
    </w:p>
    <w:p w14:paraId="6DA46C95"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ფარმაკოთერაპიული ჯგუფი: თრომბოციტების აგრეგაციის ინჰიბიტორები, ჰეპარინის გარდა, ათქ კოდი: B01AC04.</w:t>
      </w:r>
    </w:p>
    <w:p w14:paraId="57E68E4F" w14:textId="77777777" w:rsidR="004E6C38" w:rsidRPr="00CF713E" w:rsidRDefault="004E6C38" w:rsidP="007065D2">
      <w:pPr>
        <w:spacing w:after="0" w:line="240" w:lineRule="auto"/>
        <w:jc w:val="both"/>
        <w:rPr>
          <w:rFonts w:ascii="Sylfaen" w:hAnsi="Sylfaen"/>
          <w:b/>
          <w:bCs/>
          <w:noProof/>
          <w:sz w:val="20"/>
          <w:szCs w:val="20"/>
          <w:lang w:val="ka-GE"/>
        </w:rPr>
      </w:pPr>
      <w:r w:rsidRPr="00CF713E">
        <w:rPr>
          <w:rFonts w:ascii="Sylfaen" w:hAnsi="Sylfaen"/>
          <w:b/>
          <w:bCs/>
          <w:noProof/>
          <w:sz w:val="20"/>
          <w:szCs w:val="20"/>
          <w:lang w:val="ka-GE"/>
        </w:rPr>
        <w:t>მოქმედების მექანიზმი</w:t>
      </w:r>
    </w:p>
    <w:p w14:paraId="42EE420B"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 არის პროწამალი, რომლის ერთ-ერთი მეტაბოლიტი თრომბოციტების აგრეგაციის ინჰიბიტორია. კლოპიდოგრელი უნდა მეტაბოლიზდეს CYP450 ფერმენტებით, რათა წარმოიქმნას აქტიური მეტაბოლიტი, რომელიც აინჰიბირებს თრომბოციტების აგრეგაციას. კლოპიდოგრელის აქტიური მეტაბოლიტი სელექციურად აინჰიბირებს ადენოზინდიფოსფატის (ADP) შეკავშირებას მის თრომბოციტების P2Y12 რეცეპტორთან და შემდგომში გლიკოპროტეინ GPIIb/IIIa კომპლექსის ADP-შუამავლობით აქტივაციას, რითაც აფერხებს თრომბოციტების აგრეგაციას. შეუქცევადი შეკავშირების გამო, თრომბოციტები დაზიანებულნი არიან მათი სიცოცხლის დარჩენილი პერიოდის განმავლობაში (დაახლოებით 7-10 დღე) და თრომბოციტების ნორმალური ფუნქციის აღდგენა ხდება თრომბოციტების მეტაბოლიზმის შესაბამისი სიჩქარით. ADP-ს გარდა სხვა აგონისტებით გამოწვეული თრომბოციტების აგრეგაცია ასევე აინჰიბირდება გამოთავისუფლებული ADP-ით თრომბოციტების აქტივაციის გაძლიერების ბლოკირებით.</w:t>
      </w:r>
    </w:p>
    <w:p w14:paraId="49687590" w14:textId="77777777" w:rsidR="004E6C38" w:rsidRPr="00CF713E" w:rsidRDefault="004E6C38" w:rsidP="007065D2">
      <w:pPr>
        <w:spacing w:after="0" w:line="240" w:lineRule="auto"/>
        <w:jc w:val="both"/>
        <w:rPr>
          <w:rFonts w:ascii="Sylfaen" w:hAnsi="Sylfaen"/>
          <w:noProof/>
          <w:sz w:val="20"/>
          <w:szCs w:val="20"/>
          <w:lang w:val="ka-GE"/>
        </w:rPr>
      </w:pPr>
    </w:p>
    <w:p w14:paraId="21CBA022" w14:textId="1A9C5E69"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რადგან აქტიური მეტაბოლიტი წარმოიქმნება CYP450 ფერმენტებით, რომელთაგან ზოგიერთი პოლიმორფულია ან სხვა სამკურნალო საშუალებებით ინჰიბირების ქვეშაა, ყველა პაციენტს არ ექნება თრომბოციტების ადეკვატური ინჰიბირება.</w:t>
      </w:r>
    </w:p>
    <w:p w14:paraId="1BCAF13A"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ფარმაკოდინამიკური ეფექტები</w:t>
      </w:r>
    </w:p>
    <w:p w14:paraId="133D0275" w14:textId="29C1F106"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75 მგ დღეში განმეორებითი დოზები იწვევდა ADP-ით გამოწვეული თრომბოციტების აგრეგაციის მნიშვნელოვან ინჰიბირებას პირველივე დღიდან; ეს</w:t>
      </w:r>
      <w:r w:rsidR="001E32DA" w:rsidRPr="00CF713E">
        <w:rPr>
          <w:rFonts w:ascii="Sylfaen" w:hAnsi="Sylfaen"/>
          <w:noProof/>
          <w:sz w:val="20"/>
          <w:szCs w:val="20"/>
          <w:lang w:val="ka-GE"/>
        </w:rPr>
        <w:t xml:space="preserve"> </w:t>
      </w:r>
      <w:r w:rsidRPr="00CF713E">
        <w:rPr>
          <w:rFonts w:ascii="Sylfaen" w:hAnsi="Sylfaen"/>
          <w:noProof/>
          <w:sz w:val="20"/>
          <w:szCs w:val="20"/>
          <w:lang w:val="ka-GE"/>
        </w:rPr>
        <w:t>პროგრესულად იზრდებოდა და სტაბილურ მდგომარეობას მიაღწია მე-3 და მე-7 დღეს შორის. სტაბილურ მდგომარეობაში, დღეში 75 მგ დოზით დაფიქსირებული საშუალო ინჰიბირების დონე 40%-დან 60%-მდე იყო. თრომბოციტების აგრეგაცია და სისხლდენის დრო თანდათან დაუბრუნდა საწყის მაჩვენებლებს, როგორც წესი, მკურნალობის შეწყვეტიდან 5 დღის განმავლობაში.</w:t>
      </w:r>
    </w:p>
    <w:p w14:paraId="26940558"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კლინიკური ეფექტურობა და უსაფრთხოება</w:t>
      </w:r>
    </w:p>
    <w:p w14:paraId="553A5B12" w14:textId="24D6ABEF"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noProof/>
          <w:sz w:val="20"/>
          <w:szCs w:val="20"/>
          <w:lang w:val="ka-GE"/>
        </w:rPr>
        <w:t>კლოპიდოგრელის უსაფრთხოება და ეფექტურობა შეფასდა 7 ორმაგ ბრმა კვლევაში, რომელშიც მონაწილეობდა 100,000-ზე მეტი პაციენტი:</w:t>
      </w:r>
      <w:r w:rsidR="001E32DA" w:rsidRPr="00CF713E">
        <w:rPr>
          <w:rFonts w:ascii="Sylfaen" w:hAnsi="Sylfaen"/>
          <w:noProof/>
          <w:sz w:val="20"/>
          <w:szCs w:val="20"/>
          <w:lang w:val="ka-GE"/>
        </w:rPr>
        <w:t xml:space="preserve"> </w:t>
      </w:r>
      <w:r w:rsidRPr="00CF713E">
        <w:rPr>
          <w:rFonts w:ascii="Sylfaen" w:hAnsi="Sylfaen"/>
          <w:noProof/>
          <w:sz w:val="20"/>
          <w:szCs w:val="20"/>
          <w:lang w:val="ka-GE"/>
        </w:rPr>
        <w:t>CAPRIE კვლევა, რომელიც ადარებდა კლოპიდოგრელს აცეტილმჟავასთან და CURE, CLARITY, COMMIT, CHANCE, POINT და ACTIVE-A კვლევებში</w:t>
      </w:r>
      <w:r w:rsidR="001E32DA" w:rsidRPr="00CF713E">
        <w:rPr>
          <w:rFonts w:ascii="Sylfaen" w:hAnsi="Sylfaen"/>
          <w:noProof/>
          <w:sz w:val="20"/>
          <w:szCs w:val="20"/>
          <w:lang w:val="ka-GE"/>
        </w:rPr>
        <w:t xml:space="preserve">, </w:t>
      </w:r>
      <w:r w:rsidRPr="00CF713E">
        <w:rPr>
          <w:rFonts w:ascii="Sylfaen" w:hAnsi="Sylfaen"/>
          <w:noProof/>
          <w:sz w:val="20"/>
          <w:szCs w:val="20"/>
          <w:lang w:val="ka-GE"/>
        </w:rPr>
        <w:t xml:space="preserve">რომლებშიც შედარდა კლოპიდოგრელი პლაცებოსთან, ორივე სამკურნალო პროდუქტი, რომელიც მიცემული იყო აცეტილმჟავასთან და სხვა სტანდარტულ თერაპიასთან ერთად. </w:t>
      </w:r>
      <w:r w:rsidRPr="00CF713E">
        <w:rPr>
          <w:rFonts w:ascii="Sylfaen" w:hAnsi="Sylfaen"/>
          <w:i/>
          <w:iCs/>
          <w:noProof/>
          <w:sz w:val="20"/>
          <w:szCs w:val="20"/>
          <w:lang w:val="ka-GE"/>
        </w:rPr>
        <w:t>ბოლო დროს გადატანილი მიოკარდიუმის ინფარქტი (MI), ბოლო დროს გადატანილი ინსულტი ან დადგენილი პერიფერიული არტერიული დაავადება</w:t>
      </w:r>
    </w:p>
    <w:p w14:paraId="22789633" w14:textId="0A306ACE"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CAPRIE კვლევაში მონაწილეობდა 19,185 პაციენტი ათეროთრომბოზით, რაც გამოვლინდა ბოლო დროს გადატანილი მიოკარდიუმის ინფარქტით (&lt;35 დღე),</w:t>
      </w:r>
      <w:r w:rsidR="00DB1821" w:rsidRPr="00CF713E">
        <w:rPr>
          <w:rFonts w:ascii="Sylfaen" w:hAnsi="Sylfaen"/>
          <w:noProof/>
          <w:sz w:val="20"/>
          <w:szCs w:val="20"/>
          <w:lang w:val="ka-GE"/>
        </w:rPr>
        <w:t xml:space="preserve"> </w:t>
      </w:r>
      <w:r w:rsidRPr="00CF713E">
        <w:rPr>
          <w:rFonts w:ascii="Sylfaen" w:hAnsi="Sylfaen"/>
          <w:noProof/>
          <w:sz w:val="20"/>
          <w:szCs w:val="20"/>
          <w:lang w:val="ka-GE"/>
        </w:rPr>
        <w:t>ბოლო დროს გადატანილი იშემიური ინსულტით (7 დღიდან 6 თვემდე) ან დადგენილი პერიფერიული არტერიული დაავადებით (PAD). პაციენტები რანდომიზებულნი იყვნენ კლოპიდოგრელზე 75 მგ/დღეში ან ასმზე 325 მგ/დღეში და მათზე დაკვირვება მიმდინარეობდა 1-დან 3 წლამდე. მიოკარდიუმის ინფარქტის</w:t>
      </w:r>
    </w:p>
    <w:p w14:paraId="0726DD6D"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ქვეჯგუფში, პაციენტების უმეტესობამ მწვავე მიოკარდიუმის ინფარქტის შემდეგ პირველი რამდენიმე დღის განმავლობაში მიიღო ასმ.</w:t>
      </w:r>
    </w:p>
    <w:p w14:paraId="7909493B"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კლოპიდოგრელმა მნიშვნელოვნად შეამცირა ახალი იშემიური მოვლენების (მიოკარდიუმის ინფარქტის, იშემიური ინსულტის და სისხლძარღვოვანი სიკვდილის კომბინირებული საბოლოო წერტილი) შემთხვევები ასმ-თან შედარებით. მკურნალობის განზრახვის ანალიზში, კლოპიდოგრელის ჯგუფში დაფიქსირდა 939 შემთხვევა, ხოლო ასპირინის ჯგუფში - 1020 შემთხვევა (შეფარდებითი რისკის შემცირება (RRR) 8.7%, [95% CI: 0.2-დან 16.4-მდე]; p=0.045), რაც შეესაბამება 2 წლის განმავლობაში ნამკურნალებ ყოველ 1000 პაციენტზე დამატებით 10 [CI: 0-დან 20-მდე] პაციენტს, რომლებიც თავიდან აიცილეს ახალი იშემიური მოვლენის განვითარება. საერთო სიკვდილიანობის, როგორც მეორადი საბოლოო წერტილის, ანალიზმა არ აჩვენა რაიმე მნიშვნელოვანი განსხვავება კლოპიდოგრელს (5.8%) და ასპირინს (6.0%) შორის.</w:t>
      </w:r>
    </w:p>
    <w:p w14:paraId="46510D90" w14:textId="77777777" w:rsidR="00DB1821"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კვალიფიკაციის მქონე მდგომარეობის მიხედვით ქვეჯგუფის ანალიზში (მიოკარდიუმის ინფარქტი, იშემიური ინსულტი და პერიფერიული არტერიული დაავადება), სარგებელი ყველაზე ძლიერი (სტატისტიკურად მნიშვნელოვანი p=0.003-ზე) აღმოჩნდა პერიფერიული არტერიული დაავადების გამო ჩარიცხულ პაციენტებში (განსაკუთრებით მათში, ვისაც ასევე ჰქონდა მიოკარდიუმის ინფარქტის ისტორია) (RRR = 23.7%; CI: 8.9-დან 36.2-მდე) და უფრო სუსტი (მნიშვნელოვნად არ განსხვავდებოდა ასპირინის შემცველი პრეპარატებისგან) ინსულტის მქონე პაციენტებში (RRR = 7.3%; CI: -5.7-დან 18.7-მდე [p=0.258]). კვლევაში მხოლოდ ბოლო დროს გადატანილი მიოკარდიუმის ინფარქტის საფუძველზე ჩარიცხულ პაციენტებში, კლოპიდოგრელი რიცხობრივად ჩამორჩებოდა, მაგრამ სტატისტიკურად არ განსხვავდებოდა ასპირინის შემცველი პრეპარატებისგან (RRR = -4.0%; CI: -22.5-დან 11.7-მდე [p=0.639]). გარდა ამისა, ასაკის მიხედვით ქვეჯგუფის ანალიზმა აჩვენა, რომ 75 წელზე უფროსი ასაკის პაციენტებში კლოპიდოგრელის სარგებელი ნაკლები იყო, ვიდრე 75 წელზე უფროსი ასაკის პაციენტებში. </w:t>
      </w:r>
    </w:p>
    <w:p w14:paraId="744B43D5" w14:textId="7E7E174E"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ვინაიდან CAPRIE კვლევა არ იყო გათვალისწინებული ცალკეული ქვეჯგუფების ეფექტურობის შესაფასებლად, გაურკვეველია, რეალურია თუ არა შეფარდებითი რისკის შემცირების განსხვავებები კვალიფიკაციის პირობებში, თუ შემთხვევითობის შედეგია.</w:t>
      </w:r>
    </w:p>
    <w:p w14:paraId="067635B3"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მწვავე კორონარული სინდრომი</w:t>
      </w:r>
    </w:p>
    <w:p w14:paraId="36B58F8A" w14:textId="0FE73A81"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CURE კვლევაში მონაწილეობდა 12,562 პაციენტი ST სეგმენტის აწევის გარეშე მწვავე კორონარული სინდრომით (არასტაბილური სტენოკარდია ან Q-ტალღის გარეშე მიოკარდიუმის ინფარქტი) და რომლებიც გულმკერდის ტკივილის ბოლო ეპიზოდის ან იშემიის შესაბამისი სიმპტომების დაწყებიდან 24 საათის განმავლობაში გამოჩნდნენ. პაციენტებს უნდა ჰქონოდათ ან ეკგ ცვლილებები, რომლებიც თავსებადი იყო ახალ იშემიასთან, ან გულის ფერმენტების ან ტროპონინ I-ის ან T-ის მომატებული დონე ნორმის ზედა ზღვარზე მინიმუმ ორჯერ. პაციენტები შემთხვევითი შერჩევის პრინციპით შეირჩნენ კლოპიდოგრელზე (300 მგ დატვირთვის დოზა, რასაც მოჰყვებოდა 75 მგ/დღეში, N=6,259) ან პლაცებოზე (N=6,303), ორივე მიცემული იყო აცეტილსალიცილის მჟავასთან (75-325 მგ დღეში ერთხელ) და სხვა სტანდარტულ თერაპიებთან კომბინაციაში. პაციენტები მკურნალობდნენ ერთ წლამდე. CURE კვლევაში, 823 (6.6%) პაციენტმა მიიღო GPIIb/IIIa რეცეპტორების ანტაგონისტური თერაპია. პაციენტების 90%-ზე მეტს დაენიშნა ჰეპარინი და კლოპიდოგრელსა და პლაცებოს შორის სისხლდენის ფარდობითი მაჩვენებელი მნიშვნელოვნად არ შეცვლილა ჰეპარინის თანმხლები თერაპიის შედეგად.</w:t>
      </w:r>
    </w:p>
    <w:p w14:paraId="1C7664EB" w14:textId="77777777" w:rsidR="00C26682"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პაციენტთა რაოდენობა, რომლებსაც აღენიშნებოდათ პირველადი საბოლოო წერტილი [გულ-სისხლძარღვთა (CV) სიკვდილი, მიოკარდიუმის ინფარქტი (MI) ან ინსულტი], იყო 582 (9.3%) კლოპიდოგრელით ნამკურნალებ ჯგუფში და 719 (11.4%) პლაცებოთი ნამკურნალებ ჯგუფში, რაც წარმოადგენს 20%-იან ფარდობითი რისკის შემცირებას (95%-იანი CI 10%-28%; p=0.00009) კლოპიდოგრელით ნამკურნალებ ჯგუფში (17%-იანი ფარდობითი რისკის შემცირება, როდესაც პაციენტები მკურნალობდნენ კონსერვატიულად, 29%-იანი, როდესაც მათ ჩაუტარდათ პერკუტანული ტრანსლუმინალური კორონარული ანგიოპლასტიკა (PTCA) სტენტით ან მის გარეშე და 10%-იანი, როდესაც მათ ჩაუტარდათ კორონარული არტერიის შუნტირება (CABG)). ახალი გულ-სისხლძარღვთა მოვლენების (პირველადი საბოლოო წერტილი) თავიდან აცილება მოხდა, ფარდობითი რისკის შემცირებით 22%-ით (CI: 8.6, 33.4), 32%-ით (CI: 12.8, 46.4), 4%-ით (CI: -26.9, 26.7), 6%-ით (CI: -33.5, 34.3) და 14%-ით (CI: -31.6, 44.2), შესაბამისად, 0-1, 1-3, 3-6, 6-9 და 9-12-თვიანი კვლევის ინტერვალების განმავლობაში. ამრიგად, მკურნალობის 3 თვის შემდეგ, კლოპიდოგრელის + აცეტილსალიცილის მჟავას ჯგუფში დაფიქსირებული სარგებელი კიდევ უფრო არ გაზრდილა, ხოლო სისხლდენის რისკი გაგრძელდა (იხ. ნაწილი 4.4). </w:t>
      </w:r>
    </w:p>
    <w:p w14:paraId="6E5077AC" w14:textId="073F24E0"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კლოპიდოგრელის გამოყენება CURE-ში ასოცირებული იყო თრომბოლიზური თერაპიის საჭიროების შემცირებასთან (RRR = 43.3%; CI: 24.3%, 57.5%) და GPIIb/IIIa ინჰიბიტორების (RRR = 18.2%; CI: 6.5%, 28.3%).</w:t>
      </w:r>
    </w:p>
    <w:p w14:paraId="200BF9D2"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თანაპირველადი საბოლოო წერტილის (გულ-სისხლძარღვთა სიკვდილი, მიოკარდიუმის ინფარქტი, ინსულტი ან რეფრაქტერული იშემია) მქონე პაციენტთა რაოდენობა კლოპიდოგრელით ნამკურნალებ ჯგუფში იყო 1,035 (16.5%) და პლაცებოთი ნამკურნალებ ჯგუფში 1,187 (18.8%), რაც კლოპიდოგრელით ნამკურნალებ ჯგუფში ფარდობითი რისკის 14%-იან შემცირებას წარმოადგენს (95% CI 6%-21%, p=0.0005). ეს სარგებელი ძირითადად განპირობებული იყო მიოკარდიუმის ინფარქტის შემთხვევების სტატისტიკურად მნიშვნელოვანი შემცირებით [287 (4.6%) კლოპიდოგრელით ნამკურნალებ ჯგუფში და 363 (5.8%) პლაცებოთი ნამკურნალებ ჯგუფში]. არასტაბილური სტენოკარდიის დროს ხელახალი ჰოსპიტალიზაციის მაჩვენებელზე არანაირი გავლენა არ დაფიქსირებულა.</w:t>
      </w:r>
    </w:p>
    <w:p w14:paraId="53F52148" w14:textId="7547DA6F"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სხვადასხვა მახასიათებლების მქონე პოპულაციებში მიღებული შედეგები (მაგ. არასტაბილური სტენოკარდია ან არა-Q ტალღოვანი მიოკარდიუმის ინფარქტი, დაბალიდან მაღალი რისკის დონემდე, დიაბეტი, რევასკულარიზაციის საჭიროება, ასაკი, სქესი და ა.შ.) შეესაბამებოდა პირველადი ანალიზის შედეგებს.</w:t>
      </w:r>
      <w:r w:rsidR="00C26682" w:rsidRPr="00CF713E">
        <w:rPr>
          <w:rFonts w:ascii="Sylfaen" w:hAnsi="Sylfaen"/>
          <w:noProof/>
          <w:sz w:val="20"/>
          <w:szCs w:val="20"/>
          <w:lang w:val="ka-GE"/>
        </w:rPr>
        <w:t xml:space="preserve"> </w:t>
      </w:r>
      <w:r w:rsidRPr="00CF713E">
        <w:rPr>
          <w:rFonts w:ascii="Sylfaen" w:hAnsi="Sylfaen"/>
          <w:noProof/>
          <w:sz w:val="20"/>
          <w:szCs w:val="20"/>
          <w:lang w:val="ka-GE"/>
        </w:rPr>
        <w:t>კერძოდ, 2,172 პაციენტზე (CURE პოპულაციის 17%) ჩატარებულ პოსტ-ჰოკ ანალიზში, რომლებსაც ჩაუტარდათ სტენტის ჩადგმა (Stent-CURE), მონაცემებმა აჩვენა, რომ კლოპიდოგრელმა პლაცებოსთან შედარებით აჩვენა მნიშვნელოვანი RRR 26.2%-ით, რაც ემხრობოდა კლოპიდოგრელს თანაპირველადი საბოლოო წერტილისთვის (გულ-სისხლძარღვთა სიკვდილი, მიოკარდიუმის ინფარქტი, ინსულტი) და ასევე მნიშვნელოვანი RRR 23.9%-ით მეორე თანაპირველადი საბოლოო წერტილისთვის (გულ-სისხლძარღვთა სიკვდილი, მიოკარდიუმის ინფარქტი, ინსულტი ან რეფრაქტერული იშემია). გარდა ამისა, პაციენტთა ამ ქვეჯგუფში კლოპიდოგრელის უსაფრთხოების პროფილმა</w:t>
      </w:r>
    </w:p>
    <w:p w14:paraId="7E0AB286"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არ გამოიწვია რაიმე განსაკუთრებული შეშფოთება. ამრიგად, ამ ქვეჯგუფის შედეგები შეესაბამება კვლევის საერთო შედეგებს. კლოპიდოგრელის გამოყენებისას დაფიქსირებული სარგებელი დამოუკიდებელი იყო სხვა მწვავე და ხანგრძლივი გულ-სისხლძარღვთა თერაპიებისგან (როგორიცაა ჰეპარინი/LMWH, GPIIb/IIIa ანტაგონისტები, ლიპიდების დამწევი სამკურნალო საშუალებები, ბეტა-ბლოკატორები და აგფ-ინჰიბიტორები). კლოპიდოგრელის ეფექტურობა დაფიქსირებული იყო აცეტილსალიცილის მჟავის დოზისგან დამოუკიდებლად (75-325 მგ დღეში ერთხელ).</w:t>
      </w:r>
    </w:p>
    <w:p w14:paraId="7B6FCA0B"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ST სეგმენტის აწევით მიოკარდიუმის ინფარქტი</w:t>
      </w:r>
    </w:p>
    <w:p w14:paraId="0AA70282"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ST სეგმენტის აწევით მწვავე მიოკარდიუმის ინფარქტის (STEMI) მქონე პაციენტებში კლოპიდოგრელის უსაფრთხოება და ეფექტურობა შეფასდა 2 რანდომიზებულ, პლაცებო-კონტროლირებად, ორმაგ ბრმა კვლევაში: CLARITY, CLARITY-ის (CLARITY PCI) პერსპექტიული ქვეჯგუფის ანალიზი და COMMIT.</w:t>
      </w:r>
    </w:p>
    <w:p w14:paraId="5328184B" w14:textId="77777777" w:rsidR="00C26682"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CLARITY კვლევაში მონაწილეობდა 3,491 პაციენტი, რომლებიც ST სეგმენტის აწევით მიოკარდიუმის ინფარქტის დაწყებიდან 12 საათის განმავლობაში მიმართეს და თრომბოლიზური თერაპიისთვის იგეგმებოდა. პაციენტებმა მიიღეს კლოპიდოგრელი (300 მგ დატვირთვის დოზა, შემდეგ 75 მგ/დღეში, n=1,752) ან პლაცებო (n=1,739), ორივე აცეტილმჟავასთან (150-დან 325 მგ-მდე დატვირთვის დოზად, შემდეგ 75-დან 162 მგ/დღეში), ფიბრინოლიზურ აგენტთან და, საჭიროების შემთხვევაში, ჰეპარინთან კომბინაციაში. პაციენტები დაკვირვების ქვეშ იმყოფებოდნენ 30 დღის განმავლობაში. პირველადი საბოლოო წერტილი იყო გაწერისწინა ანგიოგრამაზე ინფარქტთან დაკავშირებული არტერიის ოკლუზიის არსებობა, ან კორონარული ანგიოგრაფიის წინ სიკვდილი ან მიოკარდიუმის ინფარქტის რეციდივი. იმ პაციენტებისთვის, რომლებსაც ანგიოგრაფია არ ჩაუტარდათ, პირველადი საბოლოო წერტილი იყო სიკვდილი ან მიოკარდიუმის ინფარქტის რეციდივი მე-8 დღისთვის ან საავადმყოფოდან გაწერის დროისთვის. პაციენტთა პოპულაცია მოიცავდა ქალებს 19.7% და 65 წელზე უფროსი ასაკის პაციენტების 29.2%. პაციენტთა 99.7%-მა მიიღო ფიბრინოლიზური საშუალებები (ფიბრინ-სპეციფიკური: 68.7%, არაფიბრინ-სპეციფიკური: 31.1%), ჰეპარინი 89.5%, ბეტა-ბლოკატორები 78.7%, აგფ ინჰიბიტორების 54.7% და სტატინები 63%. </w:t>
      </w:r>
    </w:p>
    <w:p w14:paraId="7A6AE57E" w14:textId="19546466"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კლოპიდოგრელის ჯგუფში პაციენტების თხუთმეტმა პროცენტმა (15.0%) და პლაცებოს ჯგუფში პაციენტების 21.7%-მა მიაღწია პირველად საბოლოო წერტილს,</w:t>
      </w:r>
      <w:r w:rsidR="00C26682" w:rsidRPr="00CF713E">
        <w:rPr>
          <w:rFonts w:ascii="Sylfaen" w:hAnsi="Sylfaen"/>
          <w:noProof/>
          <w:sz w:val="20"/>
          <w:szCs w:val="20"/>
          <w:lang w:val="ka-GE"/>
        </w:rPr>
        <w:t xml:space="preserve"> </w:t>
      </w:r>
      <w:r w:rsidRPr="00CF713E">
        <w:rPr>
          <w:rFonts w:ascii="Sylfaen" w:hAnsi="Sylfaen"/>
          <w:noProof/>
          <w:sz w:val="20"/>
          <w:szCs w:val="20"/>
          <w:lang w:val="ka-GE"/>
        </w:rPr>
        <w:t>რაც წარმოადგენს 6.7%-იან აბსოლუტურ შემცირებას და კლოპიდოგრელის სასარგებლოდ შანსების 36%-იან შემცირებას (95% CI: 24, 47%; p &lt; 0.001),</w:t>
      </w:r>
      <w:r w:rsidR="00C26682" w:rsidRPr="00CF713E">
        <w:rPr>
          <w:rFonts w:ascii="Sylfaen" w:hAnsi="Sylfaen"/>
          <w:noProof/>
          <w:sz w:val="20"/>
          <w:szCs w:val="20"/>
          <w:lang w:val="ka-GE"/>
        </w:rPr>
        <w:t xml:space="preserve"> </w:t>
      </w:r>
      <w:r w:rsidRPr="00CF713E">
        <w:rPr>
          <w:rFonts w:ascii="Sylfaen" w:hAnsi="Sylfaen"/>
          <w:noProof/>
          <w:sz w:val="20"/>
          <w:szCs w:val="20"/>
          <w:lang w:val="ka-GE"/>
        </w:rPr>
        <w:t>ძირითადად დაკავშირებული იყო ინფარქტთან დაკავშირებული არტერიების ოკლუზიის შემცირებასთან. ეს სარგებელი თანმიმდევრული იყო ყველა წინასწარ განსაზღვრულ ქვეჯგუფში,</w:t>
      </w:r>
      <w:r w:rsidR="00C26682" w:rsidRPr="00CF713E">
        <w:rPr>
          <w:rFonts w:ascii="Sylfaen" w:hAnsi="Sylfaen"/>
          <w:noProof/>
          <w:sz w:val="20"/>
          <w:szCs w:val="20"/>
          <w:lang w:val="ka-GE"/>
        </w:rPr>
        <w:t xml:space="preserve"> </w:t>
      </w:r>
      <w:r w:rsidRPr="00CF713E">
        <w:rPr>
          <w:rFonts w:ascii="Sylfaen" w:hAnsi="Sylfaen"/>
          <w:noProof/>
          <w:sz w:val="20"/>
          <w:szCs w:val="20"/>
          <w:lang w:val="ka-GE"/>
        </w:rPr>
        <w:t>მათ შორის პაციენტების ასაკი და სქესი, ინფარქტის ადგილმდებარეობა და გამოყენებული ფიბრინოლიზური ან ჰეპარინის ტიპი.</w:t>
      </w:r>
    </w:p>
    <w:p w14:paraId="71F2FAB2"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b/>
          <w:bCs/>
          <w:noProof/>
          <w:sz w:val="20"/>
          <w:szCs w:val="20"/>
          <w:lang w:val="ka-GE"/>
        </w:rPr>
        <w:t>CLARITY PCI</w:t>
      </w:r>
      <w:r w:rsidRPr="00CF713E">
        <w:rPr>
          <w:rFonts w:ascii="Sylfaen" w:hAnsi="Sylfaen"/>
          <w:noProof/>
          <w:sz w:val="20"/>
          <w:szCs w:val="20"/>
          <w:lang w:val="ka-GE"/>
        </w:rPr>
        <w:t xml:space="preserve"> ქვეჯგუფის ანალიზში მონაწილეობდა 1863 STEMI პაციენტი, რომლებიც იტარებდნენ PCI-ს. პაციენტებს, რომლებიც იღებდნენ კლოპიდოგრელის 300 მგ დატვირთვის დოზას (LD) (n=933), აღენიშნებოდათ გულ-სისხლძარღვთა სიკვდილის, მიოკარდიუმის ინფარქტის ან ინსულტის შემთხვევების მნიშვნელოვანი შემცირება პლაცებოს მიმღებ პაციენტებთან შედარებით (n=930) (კლოპიდოგრელის წინასწარი მკურნალობის მქონე პაციენტების 3.6% პლაცებოს 6.2%-ის წინააღმდეგ, OR: 0.54; 95% CI: 0.35-0.85; p=0.008). პაციენტებს, რომლებიც იღებდნენ კლოპიდოგრელის 300 მგ LD, აღენიშნებოდათ გულ-სისხლძარღვთა სიკვდილის, მიოკარდიუმის ინფარქტის ან ინსულტის შემთხვევების მნიშვნელოვანი შემცირება PCI-დან 30 დღის განმავლობაში პლაცებოს მიმღებ პაციენტებთან შედარებით (კლოპიდოგრელის წინასწარი მკურნალობის მქონე პაციენტების 7.5% პლაცებოს 12.0%-ის წინააღმდეგ, OR: 0.59; 95% CI: 0.43-0.81; p=0.001). თუმცა, CLARITY კვლევის საერთო პოპულაციაში შეფასებისას, ეს კომბინირებული საბოლოო წერტილი არ იყო სტატისტიკურად მნიშვნელოვანი, როგორც მეორადი საბოლოო წერტილი. ორივე მკურნალობას შორის დიდი ან მცირე სისხლდენის მაჩვენებლებში მნიშვნელოვანი განსხვავება არ დაფიქსირებულა (2.0% კლოპიდოგრელით წინასწარი მკურნალობის დროს პლაცებოთი 1.9%-ის წინააღმდეგ, p&gt;0.99). ამ ანალიზის შედეგები ადასტურებს კლოპიდოგრელის დატვირთვის დოზის ადრეულ გამოყენებას STEMI-ის დროს და კლოპიდოგრელით წინასწარი მკურნალობის რუტინულ სტრატეგიას პაციენტებში, რომლებსაც უტარდებოდათ PCI.</w:t>
      </w:r>
    </w:p>
    <w:p w14:paraId="67CA6E96" w14:textId="77777777" w:rsidR="00C26682"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2x2 ფაქტორული დიზაინის COMMIT კვლევაში მონაწილეობდა 45,852 პაციენტი, რომლებიც მიოკარდიუმის ინფარქტის საეჭვო სიმპტომების დაწყებიდან 24 საათის განმავლობაში გამოჩნდნენ დამხმარე ეკგ-ს დარღვევებით (მაგ. ST სეგმენტის ელევაცია, ST სეგმენტის დეპრესია ან მარცხენა შეკვრის ტოტის ბლოკადა). პაციენტებმა მიიღეს კლოპიდოგრელი (75 მგ/დღეში, n=22,961) ან პლაცებო (n=22,891), ასპირინთან (162 მგ/დღეში) კომბინაციაში, 28 დღის განმავლობაში ან საავადმყოფოდან გაწერამდე. თანაპირველადი საბოლოო წერტილები იყო სიკვდილი ნებისმიერი მიზეზით და ხელახალი ინფარქტის, ინსულტის ან სიკვდილის პირველი შემთხვევა. პოპულაცია მოიცავდა ქალების 27.8%-ს, 60 წელზე ≥ ასაკის პაციენტების 58.4%-ს (70 წელზე ≥ ასაკის პაციენტების 26%) და ფიბრინოლიზური პრეპარატების მიმღები პაციენტების 54.5%-ს. </w:t>
      </w:r>
    </w:p>
    <w:p w14:paraId="11887C79" w14:textId="559C49DC"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კლოპიდოგრელმა მნიშვნელოვნად შეამცირა ნებისმიერი მიზეზით გამოწვეული სიკვდილის ფარდობითი რისკი 7%-ით (p=0.029) და ხელახალი ინფარქტის, ინსულტის ან სიკვდილის კომბინაციის ფარდობითი რისკი 9%-ით (p=0.002), რაც წარმოადგენს აბსოლუტურ შემცირებას შესაბამისად 0.5%-ით და 0.9%-ით. ეს სარგებელი თანმიმდევრული იყო ასაკის, სქესის მიხედვით, ფიბრინოლიზური პრეპარატებით ან მათ გარეშე და დაფიქსირდა 24 საათის შემდეგ.</w:t>
      </w:r>
    </w:p>
    <w:p w14:paraId="3C1BE089" w14:textId="0319203E"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კლოპიდოგრელის 600 მგ დატვირთვის დოზა მწვავე კორონარული სინდრომის მქონე პაციენტებში, რომლებსაც უტარდებათ </w:t>
      </w:r>
      <w:r w:rsidR="00C26682" w:rsidRPr="00CF713E">
        <w:rPr>
          <w:rFonts w:ascii="Sylfaen" w:hAnsi="Sylfaen"/>
          <w:noProof/>
          <w:sz w:val="20"/>
          <w:szCs w:val="20"/>
          <w:lang w:val="ka-GE"/>
        </w:rPr>
        <w:t>PCI</w:t>
      </w:r>
    </w:p>
    <w:p w14:paraId="4D355D51" w14:textId="77777777" w:rsidR="007F1459" w:rsidRPr="00CF713E" w:rsidRDefault="004E6C38" w:rsidP="007065D2">
      <w:pPr>
        <w:spacing w:after="0" w:line="240" w:lineRule="auto"/>
        <w:jc w:val="both"/>
        <w:rPr>
          <w:rFonts w:ascii="Sylfaen" w:hAnsi="Sylfaen"/>
          <w:noProof/>
          <w:sz w:val="20"/>
          <w:szCs w:val="20"/>
          <w:lang w:val="ka-GE"/>
        </w:rPr>
      </w:pPr>
      <w:r w:rsidRPr="00CF713E">
        <w:rPr>
          <w:rFonts w:ascii="Sylfaen" w:hAnsi="Sylfaen"/>
          <w:b/>
          <w:bCs/>
          <w:noProof/>
          <w:sz w:val="20"/>
          <w:szCs w:val="20"/>
          <w:lang w:val="ka-GE"/>
        </w:rPr>
        <w:t>CURRENT-OASIS-7</w:t>
      </w:r>
      <w:r w:rsidRPr="00CF713E">
        <w:rPr>
          <w:rFonts w:ascii="Sylfaen" w:hAnsi="Sylfaen"/>
          <w:noProof/>
          <w:sz w:val="20"/>
          <w:szCs w:val="20"/>
          <w:lang w:val="ka-GE"/>
        </w:rPr>
        <w:t xml:space="preserve"> </w:t>
      </w:r>
      <w:r w:rsidRPr="00CF713E">
        <w:rPr>
          <w:rFonts w:ascii="Sylfaen" w:hAnsi="Sylfaen"/>
          <w:i/>
          <w:iCs/>
          <w:noProof/>
          <w:sz w:val="20"/>
          <w:szCs w:val="20"/>
          <w:lang w:val="ka-GE"/>
        </w:rPr>
        <w:t>(კლოპიდოგრელის და ასპირინის ოპტიმალური დოზის გამოყენება განმეორებითი შემთხვევების შესამცირებლად</w:t>
      </w:r>
      <w:r w:rsidR="00C26682" w:rsidRPr="00CF713E">
        <w:rPr>
          <w:rFonts w:ascii="Sylfaen" w:hAnsi="Sylfaen"/>
          <w:i/>
          <w:iCs/>
          <w:noProof/>
          <w:sz w:val="20"/>
          <w:szCs w:val="20"/>
          <w:lang w:val="ka-GE"/>
        </w:rPr>
        <w:t xml:space="preserve"> </w:t>
      </w:r>
      <w:r w:rsidRPr="00CF713E">
        <w:rPr>
          <w:rFonts w:ascii="Sylfaen" w:hAnsi="Sylfaen"/>
          <w:i/>
          <w:iCs/>
          <w:noProof/>
          <w:sz w:val="20"/>
          <w:szCs w:val="20"/>
          <w:lang w:val="ka-GE"/>
        </w:rPr>
        <w:t>მეშვიდე ორგანიზაცია იშემიური სინდრომების სტრატეგიების შესაფასებლად)</w:t>
      </w:r>
      <w:r w:rsidRPr="00CF713E">
        <w:rPr>
          <w:rFonts w:ascii="Sylfaen" w:hAnsi="Sylfaen"/>
          <w:noProof/>
          <w:sz w:val="20"/>
          <w:szCs w:val="20"/>
          <w:lang w:val="ka-GE"/>
        </w:rPr>
        <w:t xml:space="preserve"> </w:t>
      </w:r>
    </w:p>
    <w:p w14:paraId="11CBFEEB" w14:textId="77777777" w:rsidR="007F1459"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ეს რანდომიზებული ფაქტორული კვლევა მოიცავდა მწვავე კორონარული სინდრომის (ACS) მქონე 25,086 პირს, რომლებიც განკუთვნილი იყვნენ ადრეული პერორალური კორონარული ინფარქტისთვის. პაციენტები შემთხვევითობის პრინციპით შეირჩნენ ორმაგი დოზის (600 მგ პირველ დღეს, შემდეგ 150 მგ მე-2-7 დღეებში, შემდეგ 75 მგ დღეში) და სტანდარტული დოზის (300 მგ პირველ დღეს, შემდეგ 75 მგ დღეში) კლოპიდოგრელის ჯგუფებს შორის, ასევე მაღალი დოზის (300–325 მგ დღეში) და დაბალი დოზის (75–100 მგ დღეში) აცეტილსალიცილის მჟავის თერაპიის ჯგუფებს შორის. კვლევაში მონაწილე 24,835 პაციენტს ჩაუტარდა კორონარული ანგიოგრაფია, ხოლო 17,263-ს - პერორალური კორონარული ინფარქტი. 17,263 პაციენტს შორის, რომლებიც იღებდნენ PCI მკურნალობას, სტანდარტულ დოზასთან შედარებით, კლოპიდოგრელის ორმაგმა დოზამ შეამცირა პირველადი საბოლოო წერტილის მაჩვენებელი (3.9% 4.5%-ის წინააღმდეგ, კორექტირებული HR= 0.86, 95% CI 0.74-0.99, p=0.039) და მნიშვნელოვნად შეამცირა სტენტის თრომბოზი (1.6% 2.3%-ის წინააღმდეგ, HR: 0.68; 95% CI: 0.55 0.85; p=0.001). დიდი სისხლდენა უფრო ხშირი იყო ორმაგი დოზის მიღებისას, ვიდრე სტანდარტული დოზის მიღებისას (1.6% 1.1%-ის წინააღმდეგ, HR=1.41, 95% CI 1.09-1.83, p=0.009). ამ კვლევაში, კლოპიდოგრელის 600 მგ დატვირთვის დოზამ აჩვენა თანმიმდევრული ეფექტურობა ≥75 წლის ასაკის პაციენტებში და &lt;75 წლის პაციენტებში. </w:t>
      </w:r>
    </w:p>
    <w:p w14:paraId="5A4F767E" w14:textId="77777777" w:rsidR="00E05D10" w:rsidRPr="00CF713E" w:rsidRDefault="004E6C38" w:rsidP="007065D2">
      <w:pPr>
        <w:spacing w:after="0" w:line="240" w:lineRule="auto"/>
        <w:jc w:val="both"/>
        <w:rPr>
          <w:rFonts w:ascii="Sylfaen" w:hAnsi="Sylfaen"/>
          <w:noProof/>
          <w:sz w:val="20"/>
          <w:szCs w:val="20"/>
          <w:lang w:val="ka-GE"/>
        </w:rPr>
      </w:pPr>
      <w:r w:rsidRPr="00CF713E">
        <w:rPr>
          <w:rFonts w:ascii="Sylfaen" w:hAnsi="Sylfaen"/>
          <w:b/>
          <w:bCs/>
          <w:noProof/>
          <w:sz w:val="20"/>
          <w:szCs w:val="20"/>
          <w:lang w:val="ka-GE"/>
        </w:rPr>
        <w:t>ARMYDA-6 MI</w:t>
      </w:r>
      <w:r w:rsidRPr="00CF713E">
        <w:rPr>
          <w:rFonts w:ascii="Sylfaen" w:hAnsi="Sylfaen"/>
          <w:noProof/>
          <w:sz w:val="20"/>
          <w:szCs w:val="20"/>
          <w:lang w:val="ka-GE"/>
        </w:rPr>
        <w:t xml:space="preserve"> </w:t>
      </w:r>
      <w:r w:rsidRPr="00CF713E">
        <w:rPr>
          <w:rFonts w:ascii="Sylfaen" w:hAnsi="Sylfaen"/>
          <w:i/>
          <w:iCs/>
          <w:noProof/>
          <w:sz w:val="20"/>
          <w:szCs w:val="20"/>
          <w:lang w:val="ka-GE"/>
        </w:rPr>
        <w:t>(ანტი</w:t>
      </w:r>
      <w:r w:rsidR="00E05D10" w:rsidRPr="00CF713E">
        <w:rPr>
          <w:rFonts w:ascii="Sylfaen" w:hAnsi="Sylfaen"/>
          <w:i/>
          <w:iCs/>
          <w:noProof/>
          <w:sz w:val="20"/>
          <w:szCs w:val="20"/>
          <w:lang w:val="ka-GE"/>
        </w:rPr>
        <w:t>თრომბოციტული</w:t>
      </w:r>
      <w:r w:rsidRPr="00CF713E">
        <w:rPr>
          <w:rFonts w:ascii="Sylfaen" w:hAnsi="Sylfaen"/>
          <w:i/>
          <w:iCs/>
          <w:noProof/>
          <w:sz w:val="20"/>
          <w:szCs w:val="20"/>
          <w:lang w:val="ka-GE"/>
        </w:rPr>
        <w:t xml:space="preserve"> თერაპია მიოკარდიუმის დაზიანების შესამცირებლად ანგიოპლასტიკის დროს - მიოკარდიუმის ინფარქტი)</w:t>
      </w:r>
    </w:p>
    <w:p w14:paraId="25C09856" w14:textId="29EAC631"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noProof/>
          <w:sz w:val="20"/>
          <w:szCs w:val="20"/>
          <w:lang w:val="ka-GE"/>
        </w:rPr>
        <w:t>ეს რანდომიზებული, პერსპექტიული, საერთაშორისო, მულტიცენტრული კვლევა აფასებდა 600 მგ და 300 მგ კლოპიდოგრელის დოზით წინასწარ მკურნალობას STEMI-ის გამო გადაუდებელი PCI-ს დროს. პაციენტებმა PCI-მდე მიიღეს კლოპიდოგრელის დოზით 600 მგ (n=103) ან კლოპიდოგრელის დოზით 300 მგ (n=98), შემდეგ კი PCI-ს მომდევნო დღიდან 1 წლამდე დაინიშნენ 75 მგ/დღეში. პაციენტებს, რომლებიც იღებდნენ კლოპიდოგრელის დოზით 600 მგ, ჰქონდათ მნიშვნელოვნად შემცირებული ინფარქტის ზომა 300 მგ-ის მიმღებ პაციენტებთან შედარებით. 600 მგ PCI-ის შემდეგ მიოკარდიუმის ინფარქტის დროს (MI) &lt;3 ხარისხის თრომბოლიზი ნაკლებად ხშირი იყო (5.8% 16.3%-ის წინააღმდეგ, p=0.031), გაწერის დროს მარცხენა პარკუჭის განდევნის ფრაქციის გაუმჯობესება (52.1 ±9.5% 48.8 ±11.3%-ის წინააღმდეგ, p=0.026) და 30-დღიანი ძირითადი გვერდითი გულ-სისხლძარღვთა მოვლენები ნაკლები იყო (5.8% 15%-ის წინააღმდეგ, p=0.049). სისხლდენის ან შეღწევის ადგილზე გართულებების ზრდა არ დაფიქსირებულა (მეორადი საბოლოო წერტილები 30-ე დღეს).</w:t>
      </w:r>
    </w:p>
    <w:p w14:paraId="68A0EAE4"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b/>
          <w:bCs/>
          <w:noProof/>
          <w:sz w:val="20"/>
          <w:szCs w:val="20"/>
          <w:lang w:val="ka-GE"/>
        </w:rPr>
        <w:t>HORIZONS-AMI</w:t>
      </w:r>
      <w:r w:rsidRPr="00CF713E">
        <w:rPr>
          <w:rFonts w:ascii="Sylfaen" w:hAnsi="Sylfaen"/>
          <w:noProof/>
          <w:sz w:val="20"/>
          <w:szCs w:val="20"/>
          <w:lang w:val="ka-GE"/>
        </w:rPr>
        <w:t xml:space="preserve"> </w:t>
      </w:r>
      <w:r w:rsidRPr="00CF713E">
        <w:rPr>
          <w:rFonts w:ascii="Sylfaen" w:hAnsi="Sylfaen"/>
          <w:i/>
          <w:iCs/>
          <w:noProof/>
          <w:sz w:val="20"/>
          <w:szCs w:val="20"/>
          <w:lang w:val="ka-GE"/>
        </w:rPr>
        <w:t>(რევასკულარიზაციისა და სტენტების ჰარმონიზაციის შედეგები მწვავე მიოკარდიუმის ინფარქტის დროს)</w:t>
      </w:r>
    </w:p>
    <w:p w14:paraId="63FA99A7" w14:textId="77777777" w:rsidR="004A38CC"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ეს პოსტ-ჰოკ ანალიზის კვლევა ჩატარდა იმის შესაფასებლად, უზრუნველყოფს თუ არა 600 მგ კლოპიდოგრელის დაბალი დოზით (LD) თრომბოციტების აქტივაციის უფრო სწრაფ და უკეთეს ინჰიბირებას. ანალიზმა შეისწავლა 600 მგ LD-ის გავლენა 300 მგ-თან შედარებით 30-დღიან კლინიკურ შედეგებზე ძირითადი კვლევის 3311 პაციენტში (n=1153; 300 მგ LD ჯგუფი; n=2158; 600 მგ LD ჯგუფი) გულის კათეტერიზაციამდე, რასაც მოჰყვებოდა 75 მგ/დღეში დოზა გაწერიდან ≥6 თვის განმავლობაში. შედეგებმა აჩვენა სიკვდილიანობის (1.9% 3.1%-ის წინააღმდეგ, p=0.03), რეინფარქტის (1.3% 2.3%-ის წინააღმდეგ, p=0.02) და სტენტის თრომბოზის (1.7% 2.8%-ის წინააღმდეგ, p=0.04) მნიშვნელოვნად დაბალი 30-დღიანი არაკორექტირებული მაჩვენებლები 600 მგ LD-ის მიღებისას სისხლდენის მაღალი მაჩვენებლების გარეშე. მრავალცვლადიანი ანალიზით, 600 მგ LD იყო 30-დღიანი ძირითადი გვერდითი კარდიალური მოვლენების დაბალი მაჩვენებლების დამოუკიდებელი პროგნოზირების ფაქტორი (HR: 0.72 [95% CI: 0.53–0.98], p=0.04). დიდი სისხლდენის მაჩვენებელი (არააეროზოლური შუნტირება) იყო 6.1% 600 მგ LD ჯგუფში და 9.4% 300 მგ LD ჯგუფში (p=0.0005). მცირე სისხლდენის მაჩვენებელი იყო 11.3% 600 მგ LD ჯგუფში და 13.8% 300 მგ LD ჯგუფში (p=0.03). </w:t>
      </w:r>
    </w:p>
    <w:p w14:paraId="006009E5" w14:textId="2EC20305"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ხანგრძლივი (12 თვე) მკურნალობა კლოპიდოგრელით STEMI პაციენტებში PCI-ს შემდეგ</w:t>
      </w:r>
    </w:p>
    <w:p w14:paraId="7F683A3A"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b/>
          <w:bCs/>
          <w:noProof/>
          <w:sz w:val="20"/>
          <w:szCs w:val="20"/>
          <w:lang w:val="ka-GE"/>
        </w:rPr>
        <w:t xml:space="preserve">CREDO </w:t>
      </w:r>
      <w:r w:rsidRPr="00CF713E">
        <w:rPr>
          <w:rFonts w:ascii="Sylfaen" w:hAnsi="Sylfaen"/>
          <w:i/>
          <w:iCs/>
          <w:noProof/>
          <w:sz w:val="20"/>
          <w:szCs w:val="20"/>
          <w:lang w:val="ka-GE"/>
        </w:rPr>
        <w:t>(კლოპიდოგრელი დაკვირვების დროს გვერდითი მოვლენების შესამცირებლად)</w:t>
      </w:r>
    </w:p>
    <w:p w14:paraId="6E057C0B" w14:textId="532FD992"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ეს რანდომიზებული, ორმაგად ბრმა, პლაცებო-კონტროლირებადი კვლევა ჩატარდა ამერიკის შეერთებულ შტატებსა და კანადაში, რათა შეფასებულიყო PCI-ს შემდეგ კლოპიდოგრელით ხანგრძლივი (12 თვე) მკურნალობის სარგებელი. 2,116 პაციენტი რანდომიზებული წესით გადანაწილდა 300 მგ კლოპიდოგრელის LD (n=1,053) ან პლაცებოს (n=1,063) მისაღებად PCI-მდე 3-24 საათით ადრე. ყველა პაციენტმა ასევე მიიღო 325 მგ ასპირინი. ამის შემდეგ, ყველა პაციენტმა მიიღო კლოპიდოგრელი 75 მგ/დღეში 28-ე დღემდე ორივე ჯგუფში. 29-ე დღიდან 12 თვემდე, კლოპიდოგრელის ჯგუფის პაციენტებმა მიიღეს 75 მგ/დღეში კლოპიდოგრელი, ხოლო საკონტროლო ჯგუფში - პლაცებო. კვლევის განმავლობაში ორივე ჯგუფმა მიიღო აცეტილსალიცილის მჟავა (81-დან 325 მგ/დღეში). 1 წლის შემდეგ, კლოპიდოგრელის მიღებისას დაფიქსირდა სიკვდილის, მიოკარდიუმის ინფარქტის ან ინსულტის კომბინირებული რისკის მნიშვნელოვანი შემცირება (26.9%-იანი ფარდობითი შემცირება, 95% CI: 3.9%-44.4%; p=0.02; აბსოლუტური შემცირება 3%) პლაცებოსთან შედარებით.</w:t>
      </w:r>
    </w:p>
    <w:p w14:paraId="6374A156"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1 წლის შემდეგ არ დაფიქსირებულა მნიშვნელოვანი ზრდა მსხვილი სისხლდენის (8.8% კლოპიდოგრელის მიღებისას პლაცებოს მიღებისას 6.7%-ის წინააღმდეგ, p=0.07) ან მცირე სისხლდენის (5.3% კლოპიდოგრელის მიღებისას პლაცებოს მიღებისას 5.6%-ის წინააღმდეგ, p=0.84) მაჩვენებელში. ამ კვლევის მთავარი დასკვნა ის არის, რომ კლოპიდოგრელისა და აცეტილსალიცილის მჟავას მიღების გაგრძელება მინიმუმ 1 წლის განმავლობაში იწვევს ძირითადი თრომბოზული მოვლენების სტატისტიკურად და კლინიკურად მნიშვნელოვან შემცირებას.</w:t>
      </w:r>
    </w:p>
    <w:p w14:paraId="0C5E5D73" w14:textId="4376EA99" w:rsidR="004E6C38" w:rsidRPr="00CF713E" w:rsidRDefault="004A38CC" w:rsidP="007065D2">
      <w:pPr>
        <w:spacing w:after="0" w:line="240" w:lineRule="auto"/>
        <w:jc w:val="both"/>
        <w:rPr>
          <w:rFonts w:ascii="Sylfaen" w:hAnsi="Sylfaen"/>
          <w:noProof/>
          <w:sz w:val="20"/>
          <w:szCs w:val="20"/>
          <w:lang w:val="ka-GE"/>
        </w:rPr>
      </w:pPr>
      <w:r w:rsidRPr="00CF713E">
        <w:rPr>
          <w:rFonts w:ascii="Sylfaen" w:hAnsi="Sylfaen"/>
          <w:b/>
          <w:bCs/>
          <w:noProof/>
          <w:sz w:val="20"/>
          <w:szCs w:val="20"/>
          <w:lang w:val="ka-GE"/>
        </w:rPr>
        <w:t>EXCELLENT</w:t>
      </w:r>
      <w:r w:rsidRPr="00CF713E">
        <w:rPr>
          <w:rFonts w:ascii="Sylfaen" w:hAnsi="Sylfaen"/>
          <w:noProof/>
          <w:sz w:val="20"/>
          <w:szCs w:val="20"/>
          <w:lang w:val="ka-GE"/>
        </w:rPr>
        <w:t xml:space="preserve"> </w:t>
      </w:r>
      <w:r w:rsidRPr="00CF713E">
        <w:rPr>
          <w:rFonts w:ascii="Sylfaen" w:hAnsi="Sylfaen"/>
          <w:i/>
          <w:iCs/>
          <w:noProof/>
          <w:sz w:val="20"/>
          <w:szCs w:val="20"/>
          <w:lang w:val="ka-GE"/>
        </w:rPr>
        <w:t>(</w:t>
      </w:r>
      <w:r w:rsidR="004E6C38" w:rsidRPr="00CF713E">
        <w:rPr>
          <w:rFonts w:ascii="Sylfaen" w:hAnsi="Sylfaen"/>
          <w:i/>
          <w:iCs/>
          <w:noProof/>
          <w:sz w:val="20"/>
          <w:szCs w:val="20"/>
          <w:lang w:val="ka-GE"/>
        </w:rPr>
        <w:t>Xience/Promus-ის ეფექტურობა სტენტირების შემდეგ გვიანი დანაკარგის შესამცირებლად)</w:t>
      </w:r>
    </w:p>
    <w:p w14:paraId="2D2FE4C2" w14:textId="214174D6"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ეს პერსპექტიული, ღია, რანდომიზებული კვლევა ჩატარდა კორეაში იმის შესაფასებლად, იქნებოდა თუ არა 6-თვიანი ორმაგი ანტიაგრეგაციული თერაპია (DAPT) არაფრით ჩამოუვარდებოდა 12-თვიან DAPT-ს წამლისმიერი სტენტების იმპლანტაციის შემდეგ. კვლევაში მონაწილეობდა 1443 პაციენტი, რომლებიც რანდომიზებულად შეირჩნენ 6-თვიან DAPT-ს (ასმ 100–200 მგ/დღეში პლუს კლოპიდოგრელი 75 მგ/დღეში</w:t>
      </w:r>
      <w:r w:rsidR="004A38CC" w:rsidRPr="00CF713E">
        <w:rPr>
          <w:rFonts w:ascii="Sylfaen" w:hAnsi="Sylfaen"/>
          <w:noProof/>
          <w:sz w:val="20"/>
          <w:szCs w:val="20"/>
          <w:lang w:val="ka-GE"/>
        </w:rPr>
        <w:t xml:space="preserve"> </w:t>
      </w:r>
      <w:r w:rsidRPr="00CF713E">
        <w:rPr>
          <w:rFonts w:ascii="Sylfaen" w:hAnsi="Sylfaen"/>
          <w:noProof/>
          <w:sz w:val="20"/>
          <w:szCs w:val="20"/>
          <w:lang w:val="ka-GE"/>
        </w:rPr>
        <w:t>6 თვის განმავლობაში და შემდეგ მხოლოდ ასმ 12 თვემდე) ან 12-თვიან DAPT-ს (ასმ 100–200 მგ/დღეში პლუს კლოპიდოგრელი 75 მგ/დღეში 12 თვის განმავლობაში) მისაღებად. სამიზნე სისხლძარღვის უკმარისობის (გულისმიერი სიკვდილის, მიოკარდიუმის ინფარქტის ან სამიზნე სისხლძარღვის რევასკულარიზაციის კომბინაცია) შემთხვევების სიხშირეში, რომელიც 6-თვიანი და 12-თვიანი DAPT ჯგუფებს შორის პირველადი საბოლოო წერტილი იყო, მნიშვნელოვანი განსხვავება არ დაფიქსირებულა (HR: 1.14; 95% CI: 0.70 1.86; p=0.60). ასევე, კვლევამ არ აჩვენა მნიშვნელოვანი განსხვავება უსაფრთხოების საბოლოო წერტილში (სიკვდილის, მიოკარდიუმის ინფარქტის, ინსულტის, სტენტის თრომბოზის ან TIMI დიდი სისხლდენის კომბინაცია) 6-თვიანი და 12-თვიანი DAPT ჯგუფებს შორის (HR: 1.15; 95% CI: 0.64-2.06; p=0.64).</w:t>
      </w:r>
    </w:p>
    <w:p w14:paraId="56CE3DA3" w14:textId="77777777" w:rsidR="004A38CC"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ამ კვლევის მთავარი დასკვნა იყო ის, რომ 6-თვიანი DAPT არ ჩამოუვარდებოდა 12-თვიან DAPT-ს სამიზნე სისხლძარღვის უკმარისობის რისკის მიხედვით. </w:t>
      </w:r>
    </w:p>
    <w:p w14:paraId="42410EA9" w14:textId="77777777" w:rsidR="004A38CC"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P2Y12 ინჰიბიტორების დე</w:t>
      </w:r>
      <w:r w:rsidR="004A38CC" w:rsidRPr="00CF713E">
        <w:rPr>
          <w:rFonts w:ascii="Sylfaen" w:hAnsi="Sylfaen"/>
          <w:i/>
          <w:iCs/>
          <w:noProof/>
          <w:sz w:val="20"/>
          <w:szCs w:val="20"/>
          <w:lang w:val="ka-GE"/>
        </w:rPr>
        <w:t>-</w:t>
      </w:r>
      <w:r w:rsidRPr="00CF713E">
        <w:rPr>
          <w:rFonts w:ascii="Sylfaen" w:hAnsi="Sylfaen"/>
          <w:i/>
          <w:iCs/>
          <w:noProof/>
          <w:sz w:val="20"/>
          <w:szCs w:val="20"/>
          <w:lang w:val="ka-GE"/>
        </w:rPr>
        <w:t>ესკალაცია მწვავე კორონარული სინდრომის დროს</w:t>
      </w:r>
      <w:r w:rsidR="004A38CC" w:rsidRPr="00CF713E">
        <w:rPr>
          <w:rFonts w:ascii="Sylfaen" w:hAnsi="Sylfaen"/>
          <w:i/>
          <w:iCs/>
          <w:noProof/>
          <w:sz w:val="20"/>
          <w:szCs w:val="20"/>
          <w:lang w:val="ka-GE"/>
        </w:rPr>
        <w:t xml:space="preserve"> </w:t>
      </w:r>
    </w:p>
    <w:p w14:paraId="204D4303" w14:textId="71B8311D"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მწვავე კორონარული სინდრომის (ACS) მწვავე ფაზის შემდეგ ასპირინთან ერთად უფრო ძლიერი P2Y12 რეცეპტორის ინჰიბიტორიდან კლოპიდოგრელზე გადასვლა შეფასდა ორ რანდომიზებულ, მკვლევარის მიერ დაფინანსებულ კვლევაში (ISS) - TOPIC და TROPICAL-ACS - კლინიკური შედეგების მონაცემებით.</w:t>
      </w:r>
    </w:p>
    <w:p w14:paraId="4F108249"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უფრო ძლიერი P2Y12 ინჰიბიტორების, ტიკაგრელორის და პრასუგრელის კლინიკური სარგებელი მათ ძირითად კვლევებში დაკავშირებულია მორეციდივე იშემიური მოვლენების მნიშვნელოვან შემცირებასთან (მათ შორის მწვავე და ქვემწვავე სტენტის თრომბოზი (ST), მიოკარდიუმის ინფარქტი (MI) და სასწრაფო რევასკულარიზაცია). მიუხედავად იმისა, რომ იშემიური სარგებელი თანმიმდევრული იყო პირველი წლის განმავლობაში, მკურნალობის დაწყებიდან პირველი დღეების განმავლობაში დაფიქსირდა ACS-ის შემდეგ იშემიური რეციდივის უფრო დიდი შემცირება. ამის საპირისპიროდ, </w:t>
      </w:r>
      <w:r w:rsidRPr="00CF713E">
        <w:rPr>
          <w:rFonts w:ascii="Sylfaen" w:hAnsi="Sylfaen"/>
          <w:i/>
          <w:iCs/>
          <w:noProof/>
          <w:sz w:val="20"/>
          <w:szCs w:val="20"/>
          <w:lang w:val="ka-GE"/>
        </w:rPr>
        <w:t>პოსტ-ჰოკ</w:t>
      </w:r>
      <w:r w:rsidRPr="00CF713E">
        <w:rPr>
          <w:rFonts w:ascii="Sylfaen" w:hAnsi="Sylfaen"/>
          <w:noProof/>
          <w:sz w:val="20"/>
          <w:szCs w:val="20"/>
          <w:lang w:val="ka-GE"/>
        </w:rPr>
        <w:t xml:space="preserve"> ანალიზებმა აჩვენა სისხლდენის რისკის სტატისტიკურად მნიშვნელოვანი ზრდა უფრო ძლიერი P2Y12 ინჰიბიტორების გამოყენებისას, რაც ძირითადად ხდება შემანარჩუნებელი ფაზის დროს, ACS-დან პირველი თვის შემდეგ. TOPIC და TROPICAL-ACS შეიქმნა იმისათვის, რომ შეესწავლათ, თუ როგორ შემცირებულიყო სისხლდენის შემთხვევები ეფექტურობის შენარჩუნებით.</w:t>
      </w:r>
    </w:p>
    <w:p w14:paraId="47630D33"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b/>
          <w:bCs/>
          <w:noProof/>
          <w:sz w:val="20"/>
          <w:szCs w:val="20"/>
          <w:lang w:val="ka-GE"/>
        </w:rPr>
        <w:t xml:space="preserve">TOPIC </w:t>
      </w:r>
      <w:r w:rsidRPr="00CF713E">
        <w:rPr>
          <w:rFonts w:ascii="Sylfaen" w:hAnsi="Sylfaen"/>
          <w:i/>
          <w:iCs/>
          <w:noProof/>
          <w:sz w:val="20"/>
          <w:szCs w:val="20"/>
          <w:lang w:val="ka-GE"/>
        </w:rPr>
        <w:t>(თრომბოციტების ინჰიბირების დრო მწვავე კორონარული სინდრომის შემდეგ)</w:t>
      </w:r>
    </w:p>
    <w:p w14:paraId="3DFE3FD5"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ეს რანდომიზებული, ღია კვლევა მოიცავდა მწვავე კორონარული სინდრომის მქონე პაციენტებს, რომლებსაც სჭირდებოდათ პერკუტანული კორონარული ჩარევა (PCI). პაციენტებს, რომლებიც იღებდნენ ასპირინს და უფრო ძლიერ P2Y12 ბლოკატორს და არ ჰქონდათ გვერდითი მოვლენები ერთი თვის განმავლობაში, დაევალათ გადასვლა ფიქსირებული დოზით ასპირინზე პლუს კლოპიდოგრელზე (შემცირებული ორმაგი ანტიაგრეგანტული თერაპია (DAPT)) ან წამლის რეჟიმის გაგრძელება (უცვლელი DAPT).</w:t>
      </w:r>
    </w:p>
    <w:p w14:paraId="5DE3B434"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საერთო ჯამში, გაანალიზდა 646 პაციენტიდან 645, რომელთაც აღენიშნებოდათ ST სეგმენტის ელევაცია-MI (STEMI) ან ST სეგმენტის ელევაციის გარეშე-MI (NSTEMI) ან არასტაბილური სტენოკარდია (დეესკალირებული DAPT (n=322); უცვლელი DAPT (n=323)). ერთი წლის შემდეგ დაკვირვება ჩატარდა 316 პაციენტისთვის (98.1%) დეესკალირებული DAPT ჯგუფში და 318 პაციენტისთვის (98.5%) უცვლელი DAPT ჯგუფში. ორივე ჯგუფის საშუალო დაკვირვების ხანგრძლივობა იყო 359 დღე. შესწავლილი კოჰორტის მახასიათებლები მსგავსი იყო ორ ჯგუფში.</w:t>
      </w:r>
    </w:p>
    <w:p w14:paraId="03852954"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პირველადი შედეგი, გულ-სისხლძარღვთა სიკვდილის, ინსულტის, სასწრაფო რევასკულარიზაციის და BARC (სისხლდენის აკადემიური კვლევითი კონსორციუმი) სისხლდენის ≥2 ერთობლიობა მწვავე კორონარული სინდრომიდან 1 წლის შემდეგ, დაფიქსირდა 43 პაციენტში (13.4%) დეესკალირებული DAPT ჯგუფში და 85 პაციენტში (26.3%) უცვლელი DAPT ჯგუფში (p&lt;0.01). ეს სტატისტიკურად მნიშვნელოვანი განსხვავება ძირითადად განპირობებული იყო სისხლდენის შემთხვევების შემცირებით, იშემიური საბოლოო წერტილებში სხვაობა არ დაფიქსირებულა (p=0.36), მაშინ როდესაც BARC ≥2 სისხლდენა ნაკლებად ხშირი იყო დეესკალირებული DAPT ჯგუფში (4.0%), უცვლელი DAPT ჯგუფში კი - 14.9%-თან შედარებით (p&lt;0.01). სისხლდენის შემთხვევები განისაზღვრა, როგორც ყველა BARC შემთხვევა დეესკალირებული DAPT ჯგუფში 30 პაციენტში (9.3%) და უცვლელი DAPT ჯგუფში 76 პაციენტში (23.5%) (p&lt;0.01).</w:t>
      </w:r>
    </w:p>
    <w:p w14:paraId="268F275A"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b/>
          <w:bCs/>
          <w:noProof/>
          <w:sz w:val="20"/>
          <w:szCs w:val="20"/>
          <w:lang w:val="ka-GE"/>
        </w:rPr>
        <w:t>TROPICAL-ACS</w:t>
      </w:r>
      <w:r w:rsidRPr="00CF713E">
        <w:rPr>
          <w:rFonts w:ascii="Sylfaen" w:hAnsi="Sylfaen"/>
          <w:noProof/>
          <w:sz w:val="20"/>
          <w:szCs w:val="20"/>
          <w:lang w:val="ka-GE"/>
        </w:rPr>
        <w:t xml:space="preserve"> </w:t>
      </w:r>
      <w:r w:rsidRPr="00CF713E">
        <w:rPr>
          <w:rFonts w:ascii="Sylfaen" w:hAnsi="Sylfaen"/>
          <w:i/>
          <w:iCs/>
          <w:noProof/>
          <w:sz w:val="20"/>
          <w:szCs w:val="20"/>
          <w:lang w:val="ka-GE"/>
        </w:rPr>
        <w:t>(მწვავე კორონარული სინდრომების ქრონიკული ანტიაგრეგანტული მკურნალობის დროს თრომბოციტების ინჰიბირებისადმი მგრძნობელობის ტესტირება)</w:t>
      </w:r>
    </w:p>
    <w:p w14:paraId="5CE56523"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ეს რანდომიზებული, ღია კვლევა მოიცავდა 2,610 ბიომარკერ-დადებით ACS პაციენტს წარმატებული PCI-ს შემდეგ. პაციენტები რანდომიზებულნი იყვნენ პრასუგრელის 5 ან 10 მგ/დღეში (დღეები 0-14) (n=1306) ან პრასუგრელის 5 ან 10 მგ/დღეში (დღეები 0-7) მისაღებად, შემდეგ კი კლოპიდოგრელზე 75 მგ/დღეში (დღეები 8-14) (n=1304) დეესკალაცია, ასპირინთან კომბინაციაში (&lt;100 მგ/დღეში). მე-14 დღეს ჩატარდა თრომბოციტების ფუნქციის ტესტირება (PFT). მხოლოდ პრასუგრელის მიმღებ პაციენტებს პრასუგრელის მიღება 11.5 თვის განმავლობაში გააგრძელეს.</w:t>
      </w:r>
    </w:p>
    <w:p w14:paraId="46A1A1E1" w14:textId="202630D1"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დეესკალაციის მქონე პაციენტებს ჩაუტარდათ მაღალი თრომბოციტების რეაქტიულობის (HPR) ტესტირება. თუ HPR≥46 ერთეულს შეადგენდა, პაციენტების დოზა კვლავ გაიზარდა პრასუგრელზე 5 ან 10 მგ/დღეში 11.5 თვის განმავლობაში; თუ HPR&lt;46 ერთეულს შეადგენდა, პაციენტები აგრძელებდნენ კლოპიდოგრელის 75 მგ/დღეში მიღებას 11.5 თვის განმავლობაში.</w:t>
      </w:r>
      <w:r w:rsidR="004A38CC" w:rsidRPr="00CF713E">
        <w:rPr>
          <w:rFonts w:ascii="Sylfaen" w:hAnsi="Sylfaen"/>
          <w:noProof/>
          <w:sz w:val="20"/>
          <w:szCs w:val="20"/>
          <w:lang w:val="ka-GE"/>
        </w:rPr>
        <w:t xml:space="preserve"> </w:t>
      </w:r>
      <w:r w:rsidRPr="00CF713E">
        <w:rPr>
          <w:rFonts w:ascii="Sylfaen" w:hAnsi="Sylfaen"/>
          <w:noProof/>
          <w:sz w:val="20"/>
          <w:szCs w:val="20"/>
          <w:lang w:val="ka-GE"/>
        </w:rPr>
        <w:t>ამიტომ, დეესკალაციის მართვად ჯგუფში შედიოდნენ პაციენტები, რომლებიც იღებდნენ ან პრასუგრელს (40%), ან კლოპიდოგრელს (60%). ყველა პაციენტი აგრძელებდა ასპირინის მიღებას და მათზე დაკვირვება ერთი წლის განმავლობაში მიმდინარეობდა.</w:t>
      </w:r>
    </w:p>
    <w:p w14:paraId="4C5255B2" w14:textId="742B8BBA"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ძირითადი საბოლოო წერტილი (გულ-სისხლძარღვთა სიკვდილის, მიოკარდიუმის ინფარქტის, ინსულტის და BARC კლასიფიკაციით სისხლდენის ≥2 ხარისხის კომბინირებული შემთხვევები 12 თვის შემდეგ) დაკმაყოფილდა, რაც არადაბალი მდგომარეობის მანიშნებელი იყო. დეესკალაციის მართვად ჯგუფში ოთხმოცდათხუთმეტ პაციენტს (7%) და საკონტროლო ჯგუფში 118 პაციენტს (9%) (p არადაბალი მდგომარეობის = 0.0004) აღენიშნებოდათ მოვლენა. მართვადმა დეესკალაციამ არ გამოიწვია იშემიური მოვლენების კომბინირებული რისკის ზრდა (2.5% დეესკალაციის ჯგუფში საკონტროლო ჯგუფში 3.2%-ის წინააღმდეგ; p არადაბალი=0.0115), ასევე BARC სისხლდენის ≥2 ძირითადი მეორადი საბოლოო წერტილი ((5%) დეესკალაციის ჯგუფში საკონტროლო ჯგუფში 6%-ის წინააღმდეგ (p=0.23)). ყველა სისხლდენის მოვლენის კუმულაციური სიხშირე (BARC კლასი 1-დან 5-მდე) იყო 9% (114 მოვლენა) მართვად დეესკალაციის ჯგუფში საკონტროლო ჯგუფში 11%-ის (137 მოვლენა) წინააღმდეგ (p=0.14).</w:t>
      </w:r>
    </w:p>
    <w:p w14:paraId="0DAE6F4D"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ორმაგი ანტიაგრეგანტული თერაპია (DAPT) მწვავე მცირე ინსულტის ან საშუალო და მაღალი რისკის TIA-ს დროს</w:t>
      </w:r>
    </w:p>
    <w:p w14:paraId="610812C9" w14:textId="459C5B8D"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DAPT კლოპიდოგრელისა და ასპირინის კომბინაციით, როგორც მკურნალობა ინსულტის პრევენციისთვის მწვავე მცირე ინსულტის ან საშუალო და მაღალი რისკის TIA-ს შემდეგ</w:t>
      </w:r>
    </w:p>
    <w:p w14:paraId="2C7F1972" w14:textId="77777777" w:rsidR="00C051AC"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TIA შეფასდა ორ რანდომიზებულ მკვლევარის მიერ დაფინანსებულ კვლევაში (ISS) - CHANCE და POINT - კლინიკური უსაფრთხოებისა და ეფექტურობის შედეგების მონაცემებით. </w:t>
      </w:r>
    </w:p>
    <w:p w14:paraId="0DC59E49" w14:textId="702DEA36"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b/>
          <w:bCs/>
          <w:noProof/>
          <w:sz w:val="20"/>
          <w:szCs w:val="20"/>
          <w:lang w:val="ka-GE"/>
        </w:rPr>
        <w:t>CHANCE</w:t>
      </w:r>
      <w:r w:rsidRPr="00CF713E">
        <w:rPr>
          <w:rFonts w:ascii="Sylfaen" w:hAnsi="Sylfaen"/>
          <w:noProof/>
          <w:sz w:val="20"/>
          <w:szCs w:val="20"/>
          <w:lang w:val="ka-GE"/>
        </w:rPr>
        <w:t xml:space="preserve"> </w:t>
      </w:r>
      <w:r w:rsidRPr="00CF713E">
        <w:rPr>
          <w:rFonts w:ascii="Sylfaen" w:hAnsi="Sylfaen"/>
          <w:i/>
          <w:iCs/>
          <w:noProof/>
          <w:sz w:val="20"/>
          <w:szCs w:val="20"/>
          <w:lang w:val="ka-GE"/>
        </w:rPr>
        <w:t>(კლოპიდოგრელი მაღალი რისკის მქონე პაციენტებში მწვავე არაინვალიდური ცერებროვასკულური შემთხვევებით)</w:t>
      </w:r>
    </w:p>
    <w:p w14:paraId="4BB3542F" w14:textId="52038B0B"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ეს რანდომიზებული, ორმაგი ბრმა, მულტიცენტრული, პლაცებო-კონტროლირებადი კლინიკური კვლევა მოიცავდა 5,170 ჩინელ პაციენტს მწვავე TIA-თი</w:t>
      </w:r>
      <w:r w:rsidR="00C051AC" w:rsidRPr="00CF713E">
        <w:rPr>
          <w:rFonts w:ascii="Sylfaen" w:hAnsi="Sylfaen"/>
          <w:noProof/>
          <w:sz w:val="20"/>
          <w:szCs w:val="20"/>
          <w:lang w:val="ka-GE"/>
        </w:rPr>
        <w:t xml:space="preserve"> </w:t>
      </w:r>
      <w:r w:rsidRPr="00CF713E">
        <w:rPr>
          <w:rFonts w:ascii="Sylfaen" w:hAnsi="Sylfaen"/>
          <w:noProof/>
          <w:sz w:val="20"/>
          <w:szCs w:val="20"/>
          <w:lang w:val="ka-GE"/>
        </w:rPr>
        <w:t>(ABCD2 ქულა ≥4) ან მწვავე მცირე ინსულტით (NIHSS ≤3). ორივე ჯგუფის პაციენტებმა მიიღეს ღია აასპ პირველ დღეს (დოზით</w:t>
      </w:r>
      <w:r w:rsidR="00C051AC" w:rsidRPr="00CF713E">
        <w:rPr>
          <w:rFonts w:ascii="Sylfaen" w:hAnsi="Sylfaen"/>
          <w:noProof/>
          <w:sz w:val="20"/>
          <w:szCs w:val="20"/>
          <w:lang w:val="ka-GE"/>
        </w:rPr>
        <w:t xml:space="preserve"> </w:t>
      </w:r>
      <w:r w:rsidRPr="00CF713E">
        <w:rPr>
          <w:rFonts w:ascii="Sylfaen" w:hAnsi="Sylfaen"/>
          <w:noProof/>
          <w:sz w:val="20"/>
          <w:szCs w:val="20"/>
          <w:lang w:val="ka-GE"/>
        </w:rPr>
        <w:t>75-დან 300 მგ-მდე, მკურნალი ექიმის შეხედულებისამებრ). კლოპიდოგრელ-ასმ-ს ჯგუფში შემთხვევითობის პრინციპით შერჩეულმა პაციენტებმა პირველ დღეს მიიღეს კლოპიდოგრელის 300 მგ დარტყმითი დოზა, შემდეგ მე-2-დან 90 დღემდე - კლოპიდოგრელის 75 მგ დოზა დღეში, ხოლო მე-2-დან 21-ე დღემდე - ასმ-ს 75 მგ დოზა დღეში. ასმ-ს ჯგუფში შემთხვევითობის პრინციპით შერჩეულმა პაციენტებმა მიიღეს კლოპიდოგრელის პლაცებო ვერსია 1-დან 90 დღემდე და ასმ-ს 75 მგ დოზა დღეში მე-2-დან 90 დღემდე. ეფექტურობის ძირითადი შედეგი იყო ინსულტის ნებისმიერი ახალი შემთხვევა (იშემიური და ჰემორაგიული) მწვავე მცირე ინსულტის ან მაღალი რისკის მქონე TIA-ს შემდეგ პირველი 90 დღის განმავლობაში. ეს კლოპიდოგრელ-ასპირინის ჯგუფში 212 პაციენტს (8.2%) აღენიშნებოდა, ასპირინის ჯგუფში კი - 303 პაციენტს (11.7%) (საფრთხის თანაფარდობა [HR], 0.68; 95%-იანი სანდოობის ინტერვალი [CI], 0.57-დან 0.81-მდე; P&lt;0.001). ინსულტი კლოპიდოგრელ-ასპირინის ჯგუფში 204 პაციენტს (7.9%) აღენიშნებოდა, ასპირინის ჯგუფში კი - 295-ს (11.4%) (HR, 0.67; 95% CI, 0.56-დან 0.81-მდე; P&lt;0.001). ჰემორაგიული ინსულტი ორივე კვლევის ჯგუფში 8 პაციენტს (თითოეული ჯგუფის 0.3%) აღენიშნებოდა.</w:t>
      </w:r>
    </w:p>
    <w:p w14:paraId="39B1713B"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საშუალო ან მძიმე სისხლდენა კლოპიდოგრელ-ასპირინის ჯგუფში შვიდ პაციენტს (0.3%) და ასპირინის ჯგუფში რვა პაციენტს (0.3%) აღენიშნებოდა (P = 0.73). კლოპიდოგრელ-აცეტილსალიცილის მჟავის ჯგუფში ნებისმიერი სისხლდენის მაჩვენებელი 2.3% იყო, აცეტილსალიცილის მჟავის ჯგუფში კი - 1.6% (HR, 1.41; 95% CI, 0.95-დან 2.10-მდე; P = 0.09).</w:t>
      </w:r>
    </w:p>
    <w:p w14:paraId="6751BC53"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b/>
          <w:bCs/>
          <w:noProof/>
          <w:sz w:val="20"/>
          <w:szCs w:val="20"/>
          <w:lang w:val="ka-GE"/>
        </w:rPr>
        <w:t>POINT</w:t>
      </w:r>
      <w:r w:rsidRPr="00CF713E">
        <w:rPr>
          <w:rFonts w:ascii="Sylfaen" w:hAnsi="Sylfaen"/>
          <w:noProof/>
          <w:sz w:val="20"/>
          <w:szCs w:val="20"/>
          <w:lang w:val="ka-GE"/>
        </w:rPr>
        <w:t xml:space="preserve"> </w:t>
      </w:r>
      <w:r w:rsidRPr="00CF713E">
        <w:rPr>
          <w:rFonts w:ascii="Sylfaen" w:hAnsi="Sylfaen"/>
          <w:i/>
          <w:iCs/>
          <w:noProof/>
          <w:sz w:val="20"/>
          <w:szCs w:val="20"/>
          <w:lang w:val="ka-GE"/>
        </w:rPr>
        <w:t>(თრომბოციტებზე ორიენტირებული ინჰიბირება ახალი TIA-სა და მცირე იშემიური ინსულტის დროს)</w:t>
      </w:r>
    </w:p>
    <w:p w14:paraId="613A08FB" w14:textId="77777777" w:rsidR="00365380"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ეს რანდომიზებული, ორმაგი ბრმა, მულტიცენტრული, პლაცებო-კონტროლირებადი კლინიკური კვლევა მოიცავდა 4,881 საერთაშორისო პაციენტს მწვავე TIA-თი (ABCD2 ქულა ≥4) ან მცირე ინსულტით (NIHSS ≤3). ორივე ჯგუფის ყველა პაციენტმა მიიღო ღია ASA 1-დან 90 დღემდე (50-325 მგ, მკურნალი ექიმის შეხედულებისამებრ). პაციენტებმა, რომლებიც შემთხვევითობის პრინციპით იყვნენ განაწილებულნი კლოპიდოგრელის ჯგუფში, პირველ დღეს მიიღეს 600 მგ კლოპიდოგრელის საწყისი დოზა, შემდეგ კი 75 მგ კლოპიდოგრელი დღეში მე-2-დან 90-ე დღემდე. </w:t>
      </w:r>
    </w:p>
    <w:p w14:paraId="5EA8C2B2" w14:textId="77777777" w:rsidR="00365380"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პაციენტებმა, რომლებიც შემთხვევითობის პრინციპით იყვნენ განაწილებულნი პლაცებო ჯგუფში, პირველიდან 90-ე დღემდე მიიღეს კლოპიდოგრელის პლაცებო. ეფექტურობის ძირითადი შედეგი იყო ძირითადი იშემიური მოვლენების (ინსულტი, მიოკარდიუმის ინფარქტი ან სიკვდილი იშემიური სისხლძარღვოვანი მოვლენიდან) ერთობლიობა მე-90 დღეს. ეს მოხდა 121 პაციენტში (5.0%), რომლებიც იღებდნენ კლოპიდოგრელს პლუს აცეტილსალიცილის მჟავას, იმ 160 პაციენტთან შედარებით (6.5%), რომლებიც იღებდნენ მხოლოდ აცეტილსალიცილის მჟავას (HR, 0.75; 95% CI, 0.59-დან 0.95-მდე; P = 0.02). IS-ის მეორადი შედეგი დაფიქსირდა 112 პაციენტში (4.6%), რომლებიც იღებდნენ კლოპიდოგრელს პლუს აცეტილსალიცილის მჟავას, იმ 155 პაციენტთან შედარებით (6.3%), რომლებიც იღებდნენ მხოლოდ აცეტილსალიცილის მჟავას (HR, 0.72; 95% CI, 0.56-დან 0.92-მდე; P = 0.01). ძირითადი უსაფრთხოების შედეგი - დიდი სისხლდენა დაფიქსირდა კლოპიდოგრელთან პლუს აცეტილსალიცილის მჟავას შემცველი 2432 პაციენტიდან 23-ში (0.9%) და მხოლოდ აცეტილსალიცილის მჟავას შემცველი 2449 პაციენტიდან 10-ში (0.4%) (HR, 2.32; 95% CI, 1.10-დან 4.87-მდე; P = 0.02). მცირე სისხლდენა დაფიქსირდა 40 პაციენტში (1.6%), რომლებიც იღებდნენ კლოპიდოგრელს პლუს აცეტილსალიცილის მჟავას და 13 პაციენტში (0.5%), რომლებიც იღებდნენ მხოლოდ აცეტილსალიცილის მჟავას (HR, 3.12; 95% CI, 1.67-დან 5.83-მდე; P &lt; 0.001). </w:t>
      </w:r>
    </w:p>
    <w:p w14:paraId="45B29877" w14:textId="25704235"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CHANCE და POINT დროის კურსის ანალიზი</w:t>
      </w:r>
    </w:p>
    <w:p w14:paraId="6F8FDEAD"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DAPT-ის 21 დღეზე მეტი ვადით გაგრძელების ეფექტურობის სარგებელი არ დაფიქსირებულა. DAPT-ის მოკლევადიანი კურსის გავლენის გასაანალიზებლად ჩატარდა ძირითადი იშემიური მოვლენების და ძირითადი სისხლჩაქცევების დროის კურსის განაწილება მკურნალობის მინიჭების მიხედვით.</w:t>
      </w:r>
    </w:p>
    <w:p w14:paraId="7D5E7DB1" w14:textId="77777777" w:rsidR="004E6C38" w:rsidRPr="00CF713E" w:rsidRDefault="004E6C38" w:rsidP="007065D2">
      <w:pPr>
        <w:spacing w:after="0" w:line="240" w:lineRule="auto"/>
        <w:jc w:val="both"/>
        <w:rPr>
          <w:rFonts w:ascii="Sylfaen" w:hAnsi="Sylfaen"/>
          <w:noProof/>
          <w:sz w:val="20"/>
          <w:szCs w:val="20"/>
          <w:lang w:val="ka-GE"/>
        </w:rPr>
      </w:pPr>
    </w:p>
    <w:p w14:paraId="2D08F067"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ცხრილი 1 - ძირითადი იშემიური მოვლენების და ძირითადი სისხლჩაქცევების დროითი განაწილება მკურნალობის მინიჭების მიხედვით CHANCE-სა და POINT-ში</w:t>
      </w:r>
    </w:p>
    <w:p w14:paraId="4AFB780F" w14:textId="77777777" w:rsidR="004E6C38" w:rsidRPr="00CF713E" w:rsidRDefault="004E6C38" w:rsidP="007065D2">
      <w:pPr>
        <w:spacing w:after="0" w:line="240" w:lineRule="auto"/>
        <w:jc w:val="both"/>
        <w:rPr>
          <w:rFonts w:ascii="Sylfaen" w:hAnsi="Sylfaen"/>
          <w:noProof/>
          <w:sz w:val="20"/>
          <w:szCs w:val="20"/>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9"/>
        <w:gridCol w:w="1975"/>
        <w:gridCol w:w="1835"/>
        <w:gridCol w:w="1721"/>
        <w:gridCol w:w="1835"/>
        <w:gridCol w:w="1835"/>
      </w:tblGrid>
      <w:tr w:rsidR="00CF713E" w:rsidRPr="00CF713E" w14:paraId="64A55A2A" w14:textId="77777777" w:rsidTr="002540FD">
        <w:tc>
          <w:tcPr>
            <w:tcW w:w="1949" w:type="dxa"/>
          </w:tcPr>
          <w:p w14:paraId="3BA3DD72" w14:textId="0B41FF88"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მოვლენის #</w:t>
            </w:r>
          </w:p>
        </w:tc>
        <w:tc>
          <w:tcPr>
            <w:tcW w:w="1975" w:type="dxa"/>
          </w:tcPr>
          <w:p w14:paraId="187326A6"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p>
        </w:tc>
        <w:tc>
          <w:tcPr>
            <w:tcW w:w="1835" w:type="dxa"/>
          </w:tcPr>
          <w:p w14:paraId="149E65AE"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p>
        </w:tc>
        <w:tc>
          <w:tcPr>
            <w:tcW w:w="1721" w:type="dxa"/>
          </w:tcPr>
          <w:p w14:paraId="1BAF809B"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p>
        </w:tc>
        <w:tc>
          <w:tcPr>
            <w:tcW w:w="1835" w:type="dxa"/>
          </w:tcPr>
          <w:p w14:paraId="36E57D38"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p>
        </w:tc>
        <w:tc>
          <w:tcPr>
            <w:tcW w:w="1835" w:type="dxa"/>
          </w:tcPr>
          <w:p w14:paraId="1D01AF0D"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p>
        </w:tc>
      </w:tr>
      <w:tr w:rsidR="00CF713E" w:rsidRPr="00CF713E" w14:paraId="119CBC8C" w14:textId="77777777" w:rsidTr="002540FD">
        <w:tc>
          <w:tcPr>
            <w:tcW w:w="1949" w:type="dxa"/>
          </w:tcPr>
          <w:p w14:paraId="3680F24C"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შედეგები CHANCE-სა და POINT-ში</w:t>
            </w:r>
          </w:p>
        </w:tc>
        <w:tc>
          <w:tcPr>
            <w:tcW w:w="1975" w:type="dxa"/>
          </w:tcPr>
          <w:p w14:paraId="0BDC1CD0"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მკურნალობის დანიშვნა</w:t>
            </w:r>
          </w:p>
        </w:tc>
        <w:tc>
          <w:tcPr>
            <w:tcW w:w="1835" w:type="dxa"/>
          </w:tcPr>
          <w:p w14:paraId="164A0AD1"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სულ</w:t>
            </w:r>
          </w:p>
          <w:p w14:paraId="318DB0B2"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p>
        </w:tc>
        <w:tc>
          <w:tcPr>
            <w:tcW w:w="1721" w:type="dxa"/>
          </w:tcPr>
          <w:p w14:paraId="23C05C0E" w14:textId="7777777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 xml:space="preserve">1 </w:t>
            </w:r>
            <w:r w:rsidRPr="00CF713E">
              <w:rPr>
                <w:rFonts w:ascii="Sylfaen" w:hAnsi="Sylfaen" w:cs="Segoe UI"/>
                <w:noProof/>
                <w:sz w:val="13"/>
                <w:szCs w:val="13"/>
                <w:lang w:val="ka-GE"/>
              </w:rPr>
              <w:t xml:space="preserve">-ლი </w:t>
            </w:r>
            <w:r w:rsidRPr="00CF713E">
              <w:rPr>
                <w:rFonts w:ascii="Sylfaen" w:hAnsi="Sylfaen" w:cs="Segoe UI"/>
                <w:noProof/>
                <w:sz w:val="20"/>
                <w:szCs w:val="20"/>
                <w:lang w:val="ka-GE"/>
              </w:rPr>
              <w:t>კვირა</w:t>
            </w:r>
          </w:p>
        </w:tc>
        <w:tc>
          <w:tcPr>
            <w:tcW w:w="1835" w:type="dxa"/>
          </w:tcPr>
          <w:p w14:paraId="25985230"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13"/>
                <w:szCs w:val="13"/>
                <w:lang w:val="ka-GE"/>
              </w:rPr>
              <w:t xml:space="preserve">მე </w:t>
            </w:r>
            <w:r w:rsidRPr="00CF713E">
              <w:rPr>
                <w:rFonts w:ascii="Sylfaen" w:hAnsi="Sylfaen" w:cs="Segoe UI"/>
                <w:noProof/>
                <w:sz w:val="20"/>
                <w:szCs w:val="20"/>
                <w:lang w:val="ka-GE"/>
              </w:rPr>
              <w:t>-2 კვირა</w:t>
            </w:r>
          </w:p>
        </w:tc>
        <w:tc>
          <w:tcPr>
            <w:tcW w:w="1835" w:type="dxa"/>
          </w:tcPr>
          <w:p w14:paraId="5F95D1C1"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13"/>
                <w:szCs w:val="13"/>
                <w:lang w:val="ka-GE"/>
              </w:rPr>
              <w:t xml:space="preserve">მე </w:t>
            </w:r>
            <w:r w:rsidRPr="00CF713E">
              <w:rPr>
                <w:rFonts w:ascii="Sylfaen" w:hAnsi="Sylfaen" w:cs="Segoe UI"/>
                <w:noProof/>
                <w:sz w:val="20"/>
                <w:szCs w:val="20"/>
                <w:lang w:val="ka-GE"/>
              </w:rPr>
              <w:t>-3 კვირა</w:t>
            </w:r>
          </w:p>
        </w:tc>
      </w:tr>
      <w:tr w:rsidR="00CF713E" w:rsidRPr="00CF713E" w14:paraId="29DC1600" w14:textId="77777777" w:rsidTr="002540FD">
        <w:tc>
          <w:tcPr>
            <w:tcW w:w="1949" w:type="dxa"/>
          </w:tcPr>
          <w:p w14:paraId="453C2475" w14:textId="7DF4C83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ძირითადი იშემიური მოვლენები</w:t>
            </w:r>
          </w:p>
        </w:tc>
        <w:tc>
          <w:tcPr>
            <w:tcW w:w="1975" w:type="dxa"/>
          </w:tcPr>
          <w:p w14:paraId="2F4F7452"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ასმ (n=5,035)</w:t>
            </w:r>
          </w:p>
        </w:tc>
        <w:tc>
          <w:tcPr>
            <w:tcW w:w="1835" w:type="dxa"/>
          </w:tcPr>
          <w:p w14:paraId="162E4323"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458</w:t>
            </w:r>
          </w:p>
        </w:tc>
        <w:tc>
          <w:tcPr>
            <w:tcW w:w="1721" w:type="dxa"/>
          </w:tcPr>
          <w:p w14:paraId="07D244EC"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330</w:t>
            </w:r>
          </w:p>
        </w:tc>
        <w:tc>
          <w:tcPr>
            <w:tcW w:w="1835" w:type="dxa"/>
          </w:tcPr>
          <w:p w14:paraId="28AAD5D9"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36</w:t>
            </w:r>
          </w:p>
        </w:tc>
        <w:tc>
          <w:tcPr>
            <w:tcW w:w="1835" w:type="dxa"/>
          </w:tcPr>
          <w:p w14:paraId="3CDA9D94"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21</w:t>
            </w:r>
          </w:p>
        </w:tc>
      </w:tr>
      <w:tr w:rsidR="00CF713E" w:rsidRPr="00CF713E" w14:paraId="1CDDE242" w14:textId="77777777" w:rsidTr="002540FD">
        <w:tc>
          <w:tcPr>
            <w:tcW w:w="1949" w:type="dxa"/>
          </w:tcPr>
          <w:p w14:paraId="7B44D2AA"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p>
        </w:tc>
        <w:tc>
          <w:tcPr>
            <w:tcW w:w="1975" w:type="dxa"/>
          </w:tcPr>
          <w:p w14:paraId="75AA354C" w14:textId="34A522E9"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CLP+ASA(n=5,016)</w:t>
            </w:r>
          </w:p>
        </w:tc>
        <w:tc>
          <w:tcPr>
            <w:tcW w:w="1835" w:type="dxa"/>
          </w:tcPr>
          <w:p w14:paraId="1DCBACAE"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328</w:t>
            </w:r>
          </w:p>
        </w:tc>
        <w:tc>
          <w:tcPr>
            <w:tcW w:w="1721" w:type="dxa"/>
          </w:tcPr>
          <w:p w14:paraId="29AC63A8"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217</w:t>
            </w:r>
          </w:p>
        </w:tc>
        <w:tc>
          <w:tcPr>
            <w:tcW w:w="1835" w:type="dxa"/>
          </w:tcPr>
          <w:p w14:paraId="5577F2B4"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30</w:t>
            </w:r>
          </w:p>
        </w:tc>
        <w:tc>
          <w:tcPr>
            <w:tcW w:w="1835" w:type="dxa"/>
          </w:tcPr>
          <w:p w14:paraId="75A6D8F3"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14</w:t>
            </w:r>
          </w:p>
        </w:tc>
      </w:tr>
      <w:tr w:rsidR="00CF713E" w:rsidRPr="00CF713E" w14:paraId="13A0B448" w14:textId="77777777" w:rsidTr="002540FD">
        <w:tc>
          <w:tcPr>
            <w:tcW w:w="1949" w:type="dxa"/>
          </w:tcPr>
          <w:p w14:paraId="073DBABF"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p>
        </w:tc>
        <w:tc>
          <w:tcPr>
            <w:tcW w:w="1975" w:type="dxa"/>
          </w:tcPr>
          <w:p w14:paraId="24EECF65" w14:textId="2D51C2A6"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განსხვავება</w:t>
            </w:r>
          </w:p>
        </w:tc>
        <w:tc>
          <w:tcPr>
            <w:tcW w:w="1835" w:type="dxa"/>
          </w:tcPr>
          <w:p w14:paraId="78972C01"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130</w:t>
            </w:r>
          </w:p>
        </w:tc>
        <w:tc>
          <w:tcPr>
            <w:tcW w:w="1721" w:type="dxa"/>
          </w:tcPr>
          <w:p w14:paraId="5A802C28"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113</w:t>
            </w:r>
          </w:p>
        </w:tc>
        <w:tc>
          <w:tcPr>
            <w:tcW w:w="1835" w:type="dxa"/>
          </w:tcPr>
          <w:p w14:paraId="022AD5DF"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6</w:t>
            </w:r>
          </w:p>
        </w:tc>
        <w:tc>
          <w:tcPr>
            <w:tcW w:w="1835" w:type="dxa"/>
          </w:tcPr>
          <w:p w14:paraId="405B8F99"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7</w:t>
            </w:r>
          </w:p>
        </w:tc>
      </w:tr>
      <w:tr w:rsidR="00CF713E" w:rsidRPr="00CF713E" w14:paraId="7D07A621" w14:textId="77777777" w:rsidTr="002540FD">
        <w:tc>
          <w:tcPr>
            <w:tcW w:w="1949" w:type="dxa"/>
          </w:tcPr>
          <w:p w14:paraId="1730F484"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დიდი სისხლდენა</w:t>
            </w:r>
          </w:p>
        </w:tc>
        <w:tc>
          <w:tcPr>
            <w:tcW w:w="1975" w:type="dxa"/>
          </w:tcPr>
          <w:p w14:paraId="30F88B84" w14:textId="6A4EF37B"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ასმ (n=5,035)</w:t>
            </w:r>
          </w:p>
        </w:tc>
        <w:tc>
          <w:tcPr>
            <w:tcW w:w="1835" w:type="dxa"/>
          </w:tcPr>
          <w:p w14:paraId="4A0D26DC"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18</w:t>
            </w:r>
          </w:p>
        </w:tc>
        <w:tc>
          <w:tcPr>
            <w:tcW w:w="1721" w:type="dxa"/>
          </w:tcPr>
          <w:p w14:paraId="7598B2F1"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4</w:t>
            </w:r>
          </w:p>
        </w:tc>
        <w:tc>
          <w:tcPr>
            <w:tcW w:w="1835" w:type="dxa"/>
          </w:tcPr>
          <w:p w14:paraId="7E15AC67"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2</w:t>
            </w:r>
          </w:p>
        </w:tc>
        <w:tc>
          <w:tcPr>
            <w:tcW w:w="1835" w:type="dxa"/>
          </w:tcPr>
          <w:p w14:paraId="2083D824"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1</w:t>
            </w:r>
          </w:p>
        </w:tc>
      </w:tr>
      <w:tr w:rsidR="00CF713E" w:rsidRPr="00CF713E" w14:paraId="43D163AF" w14:textId="77777777" w:rsidTr="002540FD">
        <w:tc>
          <w:tcPr>
            <w:tcW w:w="1949" w:type="dxa"/>
          </w:tcPr>
          <w:p w14:paraId="297D4403"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p>
        </w:tc>
        <w:tc>
          <w:tcPr>
            <w:tcW w:w="1975" w:type="dxa"/>
          </w:tcPr>
          <w:p w14:paraId="332BF883" w14:textId="71DFAF37"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CLP+ASA(n=5,016)</w:t>
            </w:r>
          </w:p>
        </w:tc>
        <w:tc>
          <w:tcPr>
            <w:tcW w:w="1835" w:type="dxa"/>
          </w:tcPr>
          <w:p w14:paraId="38E992AE"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30</w:t>
            </w:r>
          </w:p>
        </w:tc>
        <w:tc>
          <w:tcPr>
            <w:tcW w:w="1721" w:type="dxa"/>
          </w:tcPr>
          <w:p w14:paraId="73ACF5EC"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10</w:t>
            </w:r>
          </w:p>
        </w:tc>
        <w:tc>
          <w:tcPr>
            <w:tcW w:w="1835" w:type="dxa"/>
          </w:tcPr>
          <w:p w14:paraId="4D636155"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4</w:t>
            </w:r>
          </w:p>
        </w:tc>
        <w:tc>
          <w:tcPr>
            <w:tcW w:w="1835" w:type="dxa"/>
          </w:tcPr>
          <w:p w14:paraId="7899EACB"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2</w:t>
            </w:r>
          </w:p>
        </w:tc>
      </w:tr>
      <w:tr w:rsidR="004E6C38" w:rsidRPr="00CF713E" w14:paraId="030A292A" w14:textId="77777777" w:rsidTr="002540FD">
        <w:tc>
          <w:tcPr>
            <w:tcW w:w="1949" w:type="dxa"/>
          </w:tcPr>
          <w:p w14:paraId="52EA06D1"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p>
        </w:tc>
        <w:tc>
          <w:tcPr>
            <w:tcW w:w="1975" w:type="dxa"/>
          </w:tcPr>
          <w:p w14:paraId="63292159" w14:textId="32B1CE95" w:rsidR="004E6C38" w:rsidRPr="00CF713E" w:rsidRDefault="004E6C38" w:rsidP="007065D2">
            <w:pPr>
              <w:autoSpaceDE w:val="0"/>
              <w:autoSpaceDN w:val="0"/>
              <w:adjustRightInd w:val="0"/>
              <w:spacing w:after="0" w:line="240" w:lineRule="auto"/>
              <w:jc w:val="both"/>
              <w:rPr>
                <w:rFonts w:ascii="Sylfaen" w:hAnsi="Sylfaen" w:cs="Segoe UI"/>
                <w:noProof/>
                <w:sz w:val="20"/>
                <w:szCs w:val="20"/>
                <w:lang w:val="ka-GE"/>
              </w:rPr>
            </w:pPr>
            <w:r w:rsidRPr="00CF713E">
              <w:rPr>
                <w:rFonts w:ascii="Sylfaen" w:hAnsi="Sylfaen" w:cs="Segoe UI"/>
                <w:noProof/>
                <w:sz w:val="20"/>
                <w:szCs w:val="20"/>
                <w:lang w:val="ka-GE"/>
              </w:rPr>
              <w:t>განსხვავება</w:t>
            </w:r>
          </w:p>
        </w:tc>
        <w:tc>
          <w:tcPr>
            <w:tcW w:w="1835" w:type="dxa"/>
          </w:tcPr>
          <w:p w14:paraId="3BF13603"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-12</w:t>
            </w:r>
          </w:p>
        </w:tc>
        <w:tc>
          <w:tcPr>
            <w:tcW w:w="1721" w:type="dxa"/>
          </w:tcPr>
          <w:p w14:paraId="2FB1F366"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-6</w:t>
            </w:r>
          </w:p>
        </w:tc>
        <w:tc>
          <w:tcPr>
            <w:tcW w:w="1835" w:type="dxa"/>
          </w:tcPr>
          <w:p w14:paraId="58D34F85"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-2</w:t>
            </w:r>
          </w:p>
        </w:tc>
        <w:tc>
          <w:tcPr>
            <w:tcW w:w="1835" w:type="dxa"/>
          </w:tcPr>
          <w:p w14:paraId="3D9E7563" w14:textId="77777777" w:rsidR="004E6C38" w:rsidRPr="00CF713E" w:rsidRDefault="004E6C38" w:rsidP="007065D2">
            <w:pPr>
              <w:autoSpaceDE w:val="0"/>
              <w:autoSpaceDN w:val="0"/>
              <w:adjustRightInd w:val="0"/>
              <w:spacing w:after="0" w:line="240" w:lineRule="auto"/>
              <w:jc w:val="both"/>
              <w:rPr>
                <w:rFonts w:ascii="Sylfaen" w:hAnsi="Sylfaen" w:cs="Segoe UI Bold"/>
                <w:b/>
                <w:bCs/>
                <w:noProof/>
                <w:sz w:val="20"/>
                <w:szCs w:val="20"/>
                <w:lang w:val="ka-GE"/>
              </w:rPr>
            </w:pPr>
            <w:r w:rsidRPr="00CF713E">
              <w:rPr>
                <w:rFonts w:ascii="Sylfaen" w:hAnsi="Sylfaen" w:cs="Segoe UI"/>
                <w:noProof/>
                <w:sz w:val="20"/>
                <w:szCs w:val="20"/>
                <w:lang w:val="ka-GE"/>
              </w:rPr>
              <w:t>-1</w:t>
            </w:r>
          </w:p>
        </w:tc>
      </w:tr>
    </w:tbl>
    <w:p w14:paraId="37D9EDB3" w14:textId="77777777" w:rsidR="004E6C38" w:rsidRPr="00CF713E" w:rsidRDefault="004E6C38" w:rsidP="007065D2">
      <w:pPr>
        <w:spacing w:after="0" w:line="240" w:lineRule="auto"/>
        <w:jc w:val="both"/>
        <w:rPr>
          <w:rFonts w:ascii="Sylfaen" w:hAnsi="Sylfaen"/>
          <w:noProof/>
          <w:sz w:val="20"/>
          <w:szCs w:val="20"/>
          <w:lang w:val="ka-GE"/>
        </w:rPr>
      </w:pPr>
    </w:p>
    <w:p w14:paraId="3E80C3C5"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წინაგულების ფიბრილაცია</w:t>
      </w:r>
    </w:p>
    <w:p w14:paraId="0958BFB2" w14:textId="5C69037C"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ACTIVE პროგრამის ცალკეულ კვლევებში, ACTIVE-W და ACTIVE-A, მონაწილეობდნენ წინაგულების ფიბრილაციის (AF) მქონე პაციენტები, რომლებსაც</w:t>
      </w:r>
      <w:r w:rsidR="00283CF0" w:rsidRPr="00CF713E">
        <w:rPr>
          <w:rFonts w:ascii="Sylfaen" w:hAnsi="Sylfaen"/>
          <w:noProof/>
          <w:sz w:val="20"/>
          <w:szCs w:val="20"/>
          <w:lang w:val="ka-GE"/>
        </w:rPr>
        <w:t xml:space="preserve"> </w:t>
      </w:r>
      <w:r w:rsidRPr="00CF713E">
        <w:rPr>
          <w:rFonts w:ascii="Sylfaen" w:hAnsi="Sylfaen"/>
          <w:noProof/>
          <w:sz w:val="20"/>
          <w:szCs w:val="20"/>
          <w:lang w:val="ka-GE"/>
        </w:rPr>
        <w:t>სისხლძარღვოვანი მოვლენების მინიმუმ ერთი რისკ-ფაქტორი ჰქონდათ. ჩარიცხვის კრიტერიუმების საფუძველზე, ექიმებმა ACTIVE-W-ში ჩარიცხეს პაციენტები, თუ ისინი</w:t>
      </w:r>
      <w:r w:rsidR="00283CF0" w:rsidRPr="00CF713E">
        <w:rPr>
          <w:rFonts w:ascii="Sylfaen" w:hAnsi="Sylfaen"/>
          <w:noProof/>
          <w:sz w:val="20"/>
          <w:szCs w:val="20"/>
          <w:lang w:val="ka-GE"/>
        </w:rPr>
        <w:t xml:space="preserve"> </w:t>
      </w:r>
      <w:r w:rsidRPr="00CF713E">
        <w:rPr>
          <w:rFonts w:ascii="Sylfaen" w:hAnsi="Sylfaen"/>
          <w:noProof/>
          <w:sz w:val="20"/>
          <w:szCs w:val="20"/>
          <w:lang w:val="ka-GE"/>
        </w:rPr>
        <w:t>იყვნენ K ვიტამინის ანტაგონისტის (VKA) თერაპიის (მაგალითად, ვარფარინის) კანდიდატები. ACTIVE-A კვლევაში მონაწილეობდნენ პაციენტები, რომლებსაც არ შეეძლოთ VKA თერაპიის მიღება, რადგან არ შეეძლოთ ან არ სურდათ მკურნალობის მიღება.</w:t>
      </w:r>
    </w:p>
    <w:p w14:paraId="2E79206E" w14:textId="4FA8A189"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ACTIVE-W კვლევამ აჩვენა, რომ K ვიტამინის ანტაგონისტებით ანტიკოაგულა</w:t>
      </w:r>
      <w:r w:rsidR="00283CF0" w:rsidRPr="00CF713E">
        <w:rPr>
          <w:rFonts w:ascii="Sylfaen" w:hAnsi="Sylfaen"/>
          <w:noProof/>
          <w:sz w:val="20"/>
          <w:szCs w:val="20"/>
          <w:lang w:val="ka-GE"/>
        </w:rPr>
        <w:t>ციური</w:t>
      </w:r>
      <w:r w:rsidRPr="00CF713E">
        <w:rPr>
          <w:rFonts w:ascii="Sylfaen" w:hAnsi="Sylfaen"/>
          <w:noProof/>
          <w:sz w:val="20"/>
          <w:szCs w:val="20"/>
          <w:lang w:val="ka-GE"/>
        </w:rPr>
        <w:t xml:space="preserve"> მკურნალობა უფრო ეფექტური იყო, ვიდრე</w:t>
      </w:r>
      <w:r w:rsidR="00283CF0" w:rsidRPr="00CF713E">
        <w:rPr>
          <w:rFonts w:ascii="Sylfaen" w:hAnsi="Sylfaen"/>
          <w:noProof/>
          <w:sz w:val="20"/>
          <w:szCs w:val="20"/>
          <w:lang w:val="ka-GE"/>
        </w:rPr>
        <w:t xml:space="preserve"> </w:t>
      </w:r>
      <w:r w:rsidRPr="00CF713E">
        <w:rPr>
          <w:rFonts w:ascii="Sylfaen" w:hAnsi="Sylfaen"/>
          <w:noProof/>
          <w:sz w:val="20"/>
          <w:szCs w:val="20"/>
          <w:lang w:val="ka-GE"/>
        </w:rPr>
        <w:t>კლოპიდოგრელით და აცეტილსალიცილის მჟავათი.</w:t>
      </w:r>
    </w:p>
    <w:p w14:paraId="18BB7031" w14:textId="150A6B8B"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ACTIVE-A კვლევა (N=7,554) იყო მრავალცენტრიანი, რანდომიზებული, ორმაგად ბრმა, პლაცებო-კონტროლირებადი კვლევა, რომელშიც შედარდა</w:t>
      </w:r>
      <w:r w:rsidR="00283CF0" w:rsidRPr="00CF713E">
        <w:rPr>
          <w:rFonts w:ascii="Sylfaen" w:hAnsi="Sylfaen"/>
          <w:noProof/>
          <w:sz w:val="20"/>
          <w:szCs w:val="20"/>
          <w:lang w:val="ka-GE"/>
        </w:rPr>
        <w:t xml:space="preserve"> </w:t>
      </w:r>
      <w:r w:rsidRPr="00CF713E">
        <w:rPr>
          <w:rFonts w:ascii="Sylfaen" w:hAnsi="Sylfaen"/>
          <w:noProof/>
          <w:sz w:val="20"/>
          <w:szCs w:val="20"/>
          <w:lang w:val="ka-GE"/>
        </w:rPr>
        <w:t>კლოპიდოგრელი 75 მგ/დღეში + აცეტილსალიცილის მჟავა (N=3,772) პლაცებო + აცეტილსალიცილის მჟავასთან (N=3,782). აცეტილსალიცილის მჟავას რეკომენდებული დოზა იყო 75-დან 100 მგ/დღეში.</w:t>
      </w:r>
    </w:p>
    <w:p w14:paraId="69CBC22B"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პაციენტები მკურნალობდნენ 5 წლამდე.</w:t>
      </w:r>
    </w:p>
    <w:p w14:paraId="48E4D891"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ACTIVE პროგრამაში რანდომიზებულად შერჩეული პაციენტები იყვნენ ისინი, ვისაც ჰქონდათ დადასტურებული წინაგულების ფიბრილაცია, ანუ მუდმივი წინაგულების ფიბრილაცია ან ბოლო 6 თვის განმავლობაში პერიოდული წინაგულების ფიბრილაციის მინიმუმ 2 ეპიზოდი და ჰქონდათ შემდეგი რისკ-ფაქტორებიდან მინიმუმ ერთი: ასაკი ≥ 75 წელი ან 55-დან 74 წლამდე ასაკი და შაქრიანი დიაბეტი, რომელიც საჭიროებდა მედიკამენტურ თერაპიას, ან დადასტურებული იყო წინა მიოკარდიუმის ინფარქტი ან დადასტურებული კორონარული არტერიის დაავადება; ნამკურნალები იყო სისტემური ჰიპერტენზია; წინა ინსულტი, გარდამავალი იშემიური შეტევა (TIA) ან არა-ცნს სისტემური ემბოლია; მარცხენა პარკუჭის დისფუნქცია მარცხენა პარკუჭის განდევნის ფრაქციით &lt;45%; ან დადასტურებული პერიფერიული სისხლძარღვთა დაავადება. საშუალო CHADS2 ქულა იყო 2.0 (დიაპაზონი 0-6).</w:t>
      </w:r>
    </w:p>
    <w:p w14:paraId="0E551090"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პაციენტებისთვის ძირითადი გამორიცხვის კრიტერიუმები იყო დადასტურებული პეპტიური წყლულოვანი დაავადება ბოლო 6 თვის განმავლობაში; წინა ინტრაცერებრული სისხლდენა; მნიშვნელოვანი თრომბოციტოპენია (თრომბოციტების რაოდენობა &lt; 50 x 109/ლ);</w:t>
      </w:r>
    </w:p>
    <w:p w14:paraId="70692EA4"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კლოპიდოგრელის ან პერორალური ანტიკოაგულანტების (OAC) საჭიროება; ან ორი ნაერთის მიმართ აუტანლობა. ACTIVE-A კვლევაში ჩართული პაციენტების სამოცდაცამეტი პროცენტი (73%) ვერ იღებდა VKA-ს ექიმის შეფასების, INR-ის (საერთაშორისო ნორმალიზებული თანაფარდობა) მონიტორინგის შეუძლებლობის, დაცემის ან თავის ტრავმისადმი მიდრეკილების, ან სისხლდენის სპეციფიკური რისკის გამო; პაციენტების 26%-ის შემთხვევაში ექიმის გადაწყვეტილება ეფუძნებოდა პაციენტის მიერ VKA-ს მიღების სურვილის არქონას.</w:t>
      </w:r>
    </w:p>
    <w:p w14:paraId="7D9F78B8" w14:textId="77777777" w:rsidR="00283CF0"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პაციენტთა პოპულაცია მოიცავდა ქალებს. საშუალო ასაკი იყო 71 წელი, პაციენტების 41.6% იყო ≥75 წლის. პაციენტების 23.0%-მა მიიღო ანტიარითმული საშუალებები, 52.1%-მა ბეტა-ბლოკატორები, 54.6%-მა აგფ ინჰიბიტორები და 25.4%-მა სტატინები. პაციენტთა რაოდენობა, რომლებმაც მიაღწიეს პირველად საბოლოო წერტილს (ინსულტის, მიოკარდიუმის ინფარქტის, არაცნს-ის სისტემური ემბოლიის ან სისხლძარღვოვანი სიკვდილის პირველი გამოვლენის დრო), იყო 832 (22.1%) კლოპიდოგრელით + აცეტილსალიცილის მჟავით ნამკურნალებ ჯგუფში და 924 (24.4%) პლაცებო + აცეტილსალიცილის მჟავით ნამკურნალებ ჯგუფში (შედარებითი რისკის შემცირება 11.1%-ით; 95% CI 2.4%-დან 19.1%-მდე; p=0.013), ძირითადად ინსულტების შემთხვევების მნიშვნელოვანი შემცირებით იყო განპირობებული. ინსულტები განვითარდა კლოპიდოგრელით + აცეტილსალიცილის მჟავით ნამკურნალებ 296 (7.8%) პაციენტში და პლაცებო + აცეტილსალიცილის მჟავით ნამკურნალებ 408 (10.8%) პაციენტში (შედარებითი რისკის შემცირება, 28.4%; 95% CI, 16.8%-დან 38.3%-მდე; p=0.00001). </w:t>
      </w:r>
    </w:p>
    <w:p w14:paraId="0E2F2A9D" w14:textId="4BCC7489"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პედიატრიული პოპულაცია</w:t>
      </w:r>
    </w:p>
    <w:p w14:paraId="42828534"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86 ახალშობილის ან 24 თვემდე ასაკის ჩვილის დოზის გაზრდის კვლევაში, რომლებსაც თრომბოზის რისკი ჰქონდათ (PICOLO), კლოპიდოგრელი შეფასდა ახალშობილებსა და ჩვილებში 0.01, 0.1 და 0.2 მგ/კგ თანმიმდევრული დოზებით და მხოლოდ 0.15 მგ/კგ ახალშობილებში. 0.2 მგ/კგ დოზამ მიაღწია 49.3%-იან საშუალო პროცენტულ ინჰიბირებას (5 μM ADP-ინდუცირებული თრომბოციტების აგრეგაცია), რაც შედარებადი იყო კლოპიდოგრელის 75 მგ/დღეში მიღების ზრდასრულ პაციენტებში.</w:t>
      </w:r>
    </w:p>
    <w:p w14:paraId="776BED46" w14:textId="77777777" w:rsidR="00524E85"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რანდომიზებულ, ორმაგ ბრმა, პარალელურ ჯგუფურ კვლევაში (CLARINET), 906 პედიატრიული პაციენტი (ახალშობილები და ჩვილები), რომლებსაც აღენიშნებოდათ ციანოზური თანდაყოლილი გულის დაავადება, რომელიც სისტემურ-ფილტვის არტერიულ შუნტით იყო პალიატიური, რანდომიზებული იქნა კლოპიდოგრელის 0.2 მგ/კგ (n=467) ან პლაცებოს (n=439) მისაღებად, თანმხლებ ფონურ თერაპიასთან ერთად, მეორე სტადიის ქირურგიული ჩარევის მომენტამდე. შუნტის პალიაციურ რეაქციებსა და კვლევის სამკურნალო საშუალების პირველ მიღებას შორის საშუალო დრო 20 დღე იყო. პაციენტების დაახლოებით 88%-მა თანმხლები აცეტილქოლინი მიიღო (დიაპაზონი 1-დან 23 მგ/კგ/დღეში). ჯგუფებს შორის მნიშვნელოვანი განსხვავება არ იყო სიკვდილის, შუნტის თრომბოზის ან გულთან დაკავშირებული ჩარევის პირველადი კომპლექსური საბოლოო წერტილის მიხედვით, 120 დღის ასაკამდე, თრომბოზული ხასიათის მოვლენის შემდეგ (89 [19.1%] კლოპიდოგრელის ჯგუფისთვის და 90 [20.5%] პლაცებო ჯგუფისთვის) (იხ. ნაწილი 4.2). სისხლდენა ყველაზე ხშირად მოხსენებული გვერდითი რეაქცია იყო როგორც კლოპიდოგრელის, ასევე პლაცებოს ჯგუფებში; თუმცა, ჯგუფებს შორის სისხლდენის მაჩვენებელში მნიშვნელოვანი განსხვავება არ იყო. ამ კვლევის გრძელვადიანი უსაფრთხოების დაკვირვების დროს, 26</w:t>
      </w:r>
      <w:r w:rsidR="00524E85" w:rsidRPr="00CF713E">
        <w:rPr>
          <w:rFonts w:ascii="Sylfaen" w:hAnsi="Sylfaen"/>
          <w:noProof/>
          <w:sz w:val="20"/>
          <w:szCs w:val="20"/>
          <w:lang w:val="ka-GE"/>
        </w:rPr>
        <w:t xml:space="preserve"> </w:t>
      </w:r>
      <w:r w:rsidRPr="00CF713E">
        <w:rPr>
          <w:rFonts w:ascii="Sylfaen" w:hAnsi="Sylfaen"/>
          <w:noProof/>
          <w:sz w:val="20"/>
          <w:szCs w:val="20"/>
          <w:lang w:val="ka-GE"/>
        </w:rPr>
        <w:t xml:space="preserve">პაციენტმა, რომლებსაც შუნტი ჯერ კიდევ ჰქონდათ ერთი წლის ასაკში, კლოპიდოგრელი 18 თვის ასაკამდე მიიღეს. ამ გრძელვადიანი დაკვირვების დროს უსაფრთხოების ახალი საკითხები არ დაფიქსირებულა. </w:t>
      </w:r>
    </w:p>
    <w:p w14:paraId="50DA020C" w14:textId="01BE2A5D"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CLARINET-ისა და PICOLO-ს კვლევები ჩატარდა კლოპიდოგრელის განზავებული ხსნარის გამოყენებით. მოზრდილებში ჩატარებულ ფარდობითი ბიოშეღწევადობის კვლევაში, კლოპიდოგრელის განზავებულმა ხსნარმა აჩვენა მოცირკულირე ძირითადი (არააქტიური) ხსნარების მსგავსი ხარისხი და შეწოვის ოდნავ მაღალი სიჩქარე.</w:t>
      </w:r>
    </w:p>
    <w:p w14:paraId="568D59AE" w14:textId="77777777" w:rsidR="004E6C38" w:rsidRPr="00CF713E" w:rsidRDefault="004E6C38" w:rsidP="007065D2">
      <w:pPr>
        <w:spacing w:after="0" w:line="240" w:lineRule="auto"/>
        <w:jc w:val="both"/>
        <w:rPr>
          <w:rFonts w:ascii="Sylfaen" w:hAnsi="Sylfaen"/>
          <w:noProof/>
          <w:sz w:val="20"/>
          <w:szCs w:val="20"/>
          <w:lang w:val="ka-GE"/>
        </w:rPr>
      </w:pPr>
    </w:p>
    <w:p w14:paraId="07B64174"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5.2 ფარმაკოკინეტიკური თვისებები</w:t>
      </w:r>
    </w:p>
    <w:p w14:paraId="75F9BF6D"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შეწოვა</w:t>
      </w:r>
    </w:p>
    <w:p w14:paraId="0931B2F6"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75 მგ დღეში ერთჯერადი და განმეორებითი პერორალური დოზების მიღების შემდეგ, კლოპიდოგრელი სწრაფად შეიწოვება. უცვლელი კლოპიდოგრელის საშუალო პიკური პლაზმური დონე (დაახლოებით 2.2-2.5 ნგ/მლ 75 მგ ერთჯერადი პერორალური დოზის შემდეგ) მიიღწევა დოზირებიდან დაახლოებით 45 წუთის შემდეგ.</w:t>
      </w:r>
    </w:p>
    <w:p w14:paraId="52AB2C4E"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კლოპიდოგრელის მეტაბოლიტების შარდით გამოყოფის მიხედვით, შეწოვა შეადგენს მინიმუმ 50%-ს.</w:t>
      </w:r>
    </w:p>
    <w:p w14:paraId="0BCF9B3C"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განაწილება</w:t>
      </w:r>
    </w:p>
    <w:p w14:paraId="3682F9AE"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 და მისი ძირითადი მოცირკულირე (არააქტიური) მეტაბოლიტი შექცევადად უკავშირდება ადამიანის პლაზმის ცილებს in vitro (შესაბამისად 98% და 94%). in vitro შეკავშირება არ არის გაჯერებული ფართო კონცენტრაციის დიაპაზონში.</w:t>
      </w:r>
    </w:p>
    <w:p w14:paraId="59B15A7B"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ბიოტრანსფორმაცია</w:t>
      </w:r>
    </w:p>
    <w:p w14:paraId="03E90B76"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 ინტენსიურად მეტაბოლიზდება ღვიძლში. in vitro და in vivo, კლოპიდოგრელი მეტაბოლიზდება ორი ძირითადი მეტაბოლური გზით: ერთი ესთერაზების მეშვეობით და იწვევს ჰიდროლიზს მის არააქტიურ კარბოქსილის მჟავას წარმოებულად (მოცირკულირე მეტაბოლიტების 85%), და ერთი მრავალჯერადი ციტოქრომ P450-ის მეშვეობით. კლოპიდოგრელი თავდაპირველად მეტაბოლიზდება 2-ოქსო-კლოპიდოგრელის შუალედურ მეტაბოლიტად. 2-ოქსო-კლოპიდოგრელის შუალედური მეტაბოლიტის შემდგომი მეტაბოლიზმი იწვევს აქტიური მეტაბოლიტის, კლოპიდოგრელის თიოლის წარმოებულის, წარმოქმნას. აქტიური მეტაბოლიტი ძირითადად წარმოიქმნება CYP2C19-ის მიერ, რამდენიმე სხვა CYP ფერმენტის მონაწილეობით, მათ შორის CYP1A2, CYP2B6 და CYP3A4. აქტიური თიოლის მეტაბოლიტი, რომელიც იზოლირებული იქნა in vitro, სწრაფად და შეუქცევადად უკავშირდება თრომბოციტების რეცეპტორებს, რითაც აფერხებს თრომბოციტების აგრეგაციას.</w:t>
      </w:r>
    </w:p>
    <w:p w14:paraId="35395EC9" w14:textId="77777777" w:rsidR="00524E85"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აქტიური მეტაბოლიტის Cmax ორჯერ მაღალია კლოპიდოგრელის ერთჯერადი 300 მგ დატვირთვის დოზის შემდეგ, ვიდრე 75 მგ შემანარჩუნებელი დოზის ოთხი დღის შემდეგ. Cmax მიიღწევა დოზირებიდან დაახლოებით 30-60 წუთის შემდეგ. </w:t>
      </w:r>
    </w:p>
    <w:p w14:paraId="1E695B20" w14:textId="027A9F2E"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გამოყოფა</w:t>
      </w:r>
    </w:p>
    <w:p w14:paraId="4AD9A960"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ადამიანებში </w:t>
      </w:r>
      <w:r w:rsidRPr="00CF713E">
        <w:rPr>
          <w:rFonts w:ascii="Sylfaen" w:hAnsi="Sylfaen"/>
          <w:noProof/>
          <w:sz w:val="20"/>
          <w:szCs w:val="20"/>
          <w:vertAlign w:val="subscript"/>
          <w:lang w:val="ka-GE"/>
        </w:rPr>
        <w:t>14</w:t>
      </w:r>
      <w:r w:rsidRPr="00CF713E">
        <w:rPr>
          <w:rFonts w:ascii="Sylfaen" w:hAnsi="Sylfaen"/>
          <w:noProof/>
          <w:sz w:val="20"/>
          <w:szCs w:val="20"/>
          <w:lang w:val="ka-GE"/>
        </w:rPr>
        <w:t>C-ით მონიშნული კლოპიდოგრელის პერორალური დოზის მიღების შემდეგ, დაახლოებით 50% გამოიყოფა შარდით და დაახლოებით 46% განავლით დოზირებიდან 120 საათის ინტერვალში. 75 მგ ერთჯერადი პერორალური დოზის მიღების შემდეგ, კლოპიდოგრელის ნახევარგამოყოფის პერიოდი დაახლოებით 6 საათია. ძირითადი მოცირკულირე (არააქტიური) მეტაბოლიტის ნახევარგამოყოფის პერიოდი ერთჯერადი და განმეორებითი მიღების შემდეგ 8 საათია.</w:t>
      </w:r>
    </w:p>
    <w:p w14:paraId="1B439E0C"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ფარმაკოგენეტიკა</w:t>
      </w:r>
    </w:p>
    <w:p w14:paraId="0C12E17E"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CYP2C19 მონაწილეობს როგორც აქტიური მეტაბოლიტის, ასევე 2-ოქსო-კლოპიდოგრელის შუალედური მეტაბოლიტის ფორმირებაში.</w:t>
      </w:r>
    </w:p>
    <w:p w14:paraId="7110023C" w14:textId="1E338752"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კლოპიდოგრელის აქტიური მეტაბოლიტის ფარმაკოკინეტიკა და ანტიაგრეგანტული ეფექტები, რომელიც იზომება ექსვივო თრომბოციტების აგრეგაციის ანალიზებით,</w:t>
      </w:r>
      <w:r w:rsidR="00524E85" w:rsidRPr="00CF713E">
        <w:rPr>
          <w:rFonts w:ascii="Sylfaen" w:hAnsi="Sylfaen"/>
          <w:noProof/>
          <w:sz w:val="20"/>
          <w:szCs w:val="20"/>
          <w:lang w:val="ka-GE"/>
        </w:rPr>
        <w:t xml:space="preserve"> </w:t>
      </w:r>
      <w:r w:rsidRPr="00CF713E">
        <w:rPr>
          <w:rFonts w:ascii="Sylfaen" w:hAnsi="Sylfaen"/>
          <w:noProof/>
          <w:sz w:val="20"/>
          <w:szCs w:val="20"/>
          <w:lang w:val="ka-GE"/>
        </w:rPr>
        <w:t>განსხვავდება CYP2C19 გენოტიპის მიხედვით.</w:t>
      </w:r>
    </w:p>
    <w:p w14:paraId="1E70A4F8" w14:textId="185B20EF"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CYP2C19*1 ალელი შეესაბამება სრულად ფუნქციონალურ მეტაბოლიზმს, ხოლო CYP2C19*2 და CYP2C19*3 ალელები</w:t>
      </w:r>
      <w:r w:rsidR="00524E85" w:rsidRPr="00CF713E">
        <w:rPr>
          <w:rFonts w:ascii="Sylfaen" w:hAnsi="Sylfaen"/>
          <w:noProof/>
          <w:sz w:val="20"/>
          <w:szCs w:val="20"/>
          <w:lang w:val="ka-GE"/>
        </w:rPr>
        <w:t xml:space="preserve"> </w:t>
      </w:r>
      <w:r w:rsidRPr="00CF713E">
        <w:rPr>
          <w:rFonts w:ascii="Sylfaen" w:hAnsi="Sylfaen"/>
          <w:noProof/>
          <w:sz w:val="20"/>
          <w:szCs w:val="20"/>
          <w:lang w:val="ka-GE"/>
        </w:rPr>
        <w:t>არაფუნქციურია. CYP2C19*2 და CYP2C19*3 ალელები შემცირებული ფუნქციის მქონე ალელების უმრავლესობას შეადგენს კავკასიელ (85%) და აზიელ (99%) სუსტ მეტაბოლიზატორებში. სხვა ალელები, რომლებიც დაკავშირებულია მეტაბოლიზმის არარსებობასთან ან შემცირებასთან, ნაკლებად ხშირია და მოიცავს CYP2C19*4, *5, *6, *7 და *8. პაციენტს, რომელსაც აქვს ცუდი მეტაბოლიზმის სტატუსი, ექნება ზემოთ განსაზღვრული ორი ფუნქციის დაკარგვის ალელი.</w:t>
      </w:r>
      <w:r w:rsidR="00524E85" w:rsidRPr="00CF713E">
        <w:rPr>
          <w:rFonts w:ascii="Sylfaen" w:hAnsi="Sylfaen"/>
          <w:noProof/>
          <w:sz w:val="20"/>
          <w:szCs w:val="20"/>
          <w:lang w:val="ka-GE"/>
        </w:rPr>
        <w:t xml:space="preserve"> </w:t>
      </w:r>
      <w:r w:rsidRPr="00CF713E">
        <w:rPr>
          <w:rFonts w:ascii="Sylfaen" w:hAnsi="Sylfaen"/>
          <w:noProof/>
          <w:sz w:val="20"/>
          <w:szCs w:val="20"/>
          <w:lang w:val="ka-GE"/>
        </w:rPr>
        <w:t>ცუდი CYP2C19 მეტაბოლიზმის მქონე გენოტიპების გამოქვეყნებული სიხშირეები დაახლოებით 2% კავკასიელებისთვის, 4% შავკანიანებისთვის და 14% ჩინელებისთვისაა. პაციენტის CYP2C19 გენოტიპის დასადგენად ხელმისაწვდომია ტესტები. 40 ჯანმრთელ სუბიექტზე ჩატარებულმა კროსოვერმა კვლევამ, რომელთაგან თითოეულს 10-10 ადამიანი ეკუთვნოდა CYP2C19-ის მეტაბოლიზმის ოთხ ჯგუფში (ულტრასწრაფი, ინტენსიური, საშუალო და სუსტი), შეაფასა ფარმაკოკინეტიკური და ანტიაგრეგანტული რეაქციები 300 მგ-ის, შემდეგ 75 მგ/დღეში და 600 მგ-ის, შემდეგ 150 მგ/დღეში გამოყენებით, თითოეულის 5 დღის განმავლობაში (სტაბილური მდგომარეობა). აქტიური მეტაბოლიტის ექსპოზიციისა და თრომბოციტების აგრეგაციის საშუალო ინჰიბირების (IPA) მხრივ მნიშვნელოვანი განსხვავებები არ დაფიქსირებულა ულტრასწრაფ, ინტენსიურ და საშუალო მეტაბოლიზატორებს შორის. სუსტ მეტაბოლიზატორებში აქტიური მეტაბოლიტის ექსპოზიცია შემცირდა 63-71%-ით ინტენსიურ მეტაბოლიზატორებთან შედარებით. 300 მგ/75 მგ დოზირების რეჟიმის შემდეგ, ანტიაგრეგანტული რეაქციები შემცირდა სუსტი მეტაბოლიზატორებში, საშუალო IPA (5 μM ადფ) შეადგენდა 24%-ს (24 საათი) და 37%-ს (5 დღე), ინტენსიური მეტაბოლიზატორებში IPA-ს 39%-თან (24 საათი) და 58%-თან (5 დღე) და შუალედური მეტაბოლიზატორებში 37%-თან (24 საათი) და 60%-თან (5 დღე). როდესაც სუსტი მეტაბოლიზატორებმა მიიღეს 600 მგ/150 მგ რეჟიმი, აქტიური მეტაბოლიტის ექსპოზიცია უფრო მაღალი იყო, ვიდრე 300 მგ/75 მგ რეჟიმის დროს. გარდა ამისა, IPA იყო 32% (24 საათი) და 61% (5 დღე), რაც უფრო მაღალი იყო, ვიდრე 300 მგ/75 მგ რეჟიმის მიმღებ სუსტი მეტაბოლიზატორებში და მსგავსი იყო 300 მგ/75 მგ რეჟიმის მიმღებ სხვა CYP2C19 მეტაბოლიზატორთა ჯგუფების. კლინიკური კვლევების შედეგების მიხედვით, პაციენტთა ამ პოპულაციისთვის შესაბამისი დოზირების რეჟიმი დადგენილი არ არის.</w:t>
      </w:r>
    </w:p>
    <w:p w14:paraId="627584D3"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ზემოთ მოცემულ შედეგებთან შესაბამისობაში, მეტაანალიზში, რომელიც მოიცავდა 335 კლოპიდოგრელით ნამკურნალებ სუბიექტზე 6 კვლევას სტაბილურ მდგომარეობაში, ნაჩვენები იყო, რომ აქტიური მეტაბოლიტის ექსპოზიცია შემცირდა 28%-ით შუალედური მეტაბოლიზატორებისთვის და 72%-ით ცუდი მეტაბოლიზატორებისთვის, ხოლო თრომბოციტების აგრეგაციის ინჰიბირება (5 μM ADP) შემცირდა IPA-ში 5.9%-იანი და 21.4%-იანი სხვაობით, შესაბამისად, ინტენსიური მეტაბოლიზატორების მქონე პირებთან შედარებით.</w:t>
      </w:r>
    </w:p>
    <w:p w14:paraId="2381D069" w14:textId="7B0B2353"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CYP2C19 გენოტიპის გავლენა კლოპიდოგრელით ნამკურნალებ პაციენტებში კლინიკურ შედეგებზე არ შეფასებულა პერსპექტიულ, რანდომიზებულ, კონტროლირებად კვლევებში. თუმცა, ჩატარდა არაერთი რეტროსპექტული ანალიზი, რათა შეფასებულიყო ეს ეფექტი კლოპიდოგრელით ნამკურნალებ პაციენტებში, რომელთა გენოტიპირების შედეგებიც არსებობს: CURE (n=2721), CHARISMA (n=2428), CLARITY-TIMI 28 (n=227), TRITON-TIMI 38 (n=1477) და ACTIVE-A (n=601), ასევე გამოქვეყნებული კოჰორტული კვლევების რაოდენობა.</w:t>
      </w:r>
    </w:p>
    <w:p w14:paraId="159FFABA" w14:textId="75571153"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TRITON-TIMI 38-სა და 3 კოჰორტულ კვლევებში (Collet, Sibbing, Giusti) პაციენტთა გაერთიანებულ ჯგუფს, რომლებსაც ჰქონდათ საშუალო ან ცუდი მეტაბოლიზატორის სტატუსი, ჰქონდათ გულ-სისხლძარღვთა მოვლენების (სიკვდილი, მიოკარდიუმის ინფარქტი და ინსულტი) ან სტენტის თრომბოზი უფრო მაღალი მაჩვენებელი ინტენსიური მეტაბოლიზატორების მქონე პირებთან შედარებით. CHARISMA-სა და ერთ კოჰორტულ კვლევაში (Simon), შემთხვევების გაზრდილი მაჩვენებელი დაფიქსირდა მხოლოდ სუსტ მეტაბოლიზატორებში ინტენსიური მეტაბოლიზატორების მქონე პირებთან შედარებით. CURE, CLARITY, ACTIVE-A და ერთ-ერთ კოჰორტულ კვლევაში (Trenk), მეტაბოლიზატორის სტატუსის მიხედვით, მოვლენების სიხშირის ზრდა არ დაფიქსირებულა.</w:t>
      </w:r>
    </w:p>
    <w:p w14:paraId="1E40A734" w14:textId="284085D4"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ამ ანალიზიდან არცერთი არ იყო საკმარისად დიდი, რომ გამოვლენილიყო ცუდი მეტაბოლიზატორების შედეგებში არსებული განსხვავებები.</w:t>
      </w:r>
    </w:p>
    <w:p w14:paraId="315B259F"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სპეციალური პოპულაციები</w:t>
      </w:r>
    </w:p>
    <w:p w14:paraId="10BF134A"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კლოპიდოგრელის აქტიური მეტაბოლიტის ფარმაკოკინეტიკა ამ სპეციალურ პოპულაციებში ცნობილი არ არის.</w:t>
      </w:r>
    </w:p>
    <w:p w14:paraId="0D53BF26"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თირკმლის ფუნქციის დარღვევა</w:t>
      </w:r>
    </w:p>
    <w:p w14:paraId="590D37B4" w14:textId="3F488954"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თირკმლის მძიმე დაავადების მქონე სუბიექტებში (კრეატინინის კლირენსი 5-დან 15 მლ/წთ-მდე) დღეში 75 მგ კლოპიდოგრელის განმეორებითი დოზების შემდეგ, ADP-ით გამოწვეული თრომბოციტების აგრეგაციის ინჰიბირება უფრო დაბალი იყო (25%), ვიდრე ჯანმრთელ სუბიექტებში დაფიქსირებული, თუმცა,</w:t>
      </w:r>
      <w:r w:rsidR="00524E85" w:rsidRPr="00CF713E">
        <w:rPr>
          <w:rFonts w:ascii="Sylfaen" w:hAnsi="Sylfaen"/>
          <w:noProof/>
          <w:sz w:val="20"/>
          <w:szCs w:val="20"/>
          <w:lang w:val="ka-GE"/>
        </w:rPr>
        <w:t xml:space="preserve"> </w:t>
      </w:r>
      <w:r w:rsidRPr="00CF713E">
        <w:rPr>
          <w:rFonts w:ascii="Sylfaen" w:hAnsi="Sylfaen"/>
          <w:noProof/>
          <w:sz w:val="20"/>
          <w:szCs w:val="20"/>
          <w:lang w:val="ka-GE"/>
        </w:rPr>
        <w:t>სისხლდენის დროის გახანგრძლივება მსგავსი იყო ჯანმრთელ სუბიექტებში, რომლებიც იღებდნენ 75 მგ კლოპიდოგრელს დღეში. გარდა ამისა,</w:t>
      </w:r>
      <w:r w:rsidR="00524E85" w:rsidRPr="00CF713E">
        <w:rPr>
          <w:rFonts w:ascii="Sylfaen" w:hAnsi="Sylfaen"/>
          <w:noProof/>
          <w:sz w:val="20"/>
          <w:szCs w:val="20"/>
          <w:lang w:val="ka-GE"/>
        </w:rPr>
        <w:t xml:space="preserve"> </w:t>
      </w:r>
      <w:r w:rsidRPr="00CF713E">
        <w:rPr>
          <w:rFonts w:ascii="Sylfaen" w:hAnsi="Sylfaen"/>
          <w:noProof/>
          <w:sz w:val="20"/>
          <w:szCs w:val="20"/>
          <w:lang w:val="ka-GE"/>
        </w:rPr>
        <w:t>კლინიკური ტოლერანტობა კარგი იყო ყველა პაციენტში.</w:t>
      </w:r>
    </w:p>
    <w:p w14:paraId="6B1EEAB3"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ღვიძლის ფუნქციის დარღვევა</w:t>
      </w:r>
    </w:p>
    <w:p w14:paraId="1C1ECDF7"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ღვიძლის მძიმე უკმარისობის მქონე პაციენტებში დღეში 75 მგ კლოპიდოგრელის განმეორებითი დოზების 10 დღის განმავლობაში მიღების შემდეგ, ADP-ით გამოწვეული თრომბოციტების აგრეგაციის ინჰიბირება მსგავსი იყო ჯანმრთელ სუბიექტებში დაფიქსირებულის. სისხლდენის დროის საშუალო გახანგრძლივება ასევე მსგავსი იყო ორ ჯგუფში.</w:t>
      </w:r>
    </w:p>
    <w:p w14:paraId="64D036CC" w14:textId="77777777" w:rsidR="004E6C38" w:rsidRPr="00CF713E" w:rsidRDefault="004E6C38" w:rsidP="007065D2">
      <w:pPr>
        <w:spacing w:after="0" w:line="240" w:lineRule="auto"/>
        <w:jc w:val="both"/>
        <w:rPr>
          <w:rFonts w:ascii="Sylfaen" w:hAnsi="Sylfaen"/>
          <w:i/>
          <w:iCs/>
          <w:noProof/>
          <w:sz w:val="20"/>
          <w:szCs w:val="20"/>
          <w:lang w:val="ka-GE"/>
        </w:rPr>
      </w:pPr>
      <w:r w:rsidRPr="00CF713E">
        <w:rPr>
          <w:rFonts w:ascii="Sylfaen" w:hAnsi="Sylfaen"/>
          <w:i/>
          <w:iCs/>
          <w:noProof/>
          <w:sz w:val="20"/>
          <w:szCs w:val="20"/>
          <w:lang w:val="ka-GE"/>
        </w:rPr>
        <w:t>რასა</w:t>
      </w:r>
    </w:p>
    <w:p w14:paraId="22D3278C"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CYP2C19 ალელების გავრცელება, რომლებიც იწვევენ CYP2C19-ის შუალედურ და სუსტ მეტაბოლიზმს, განსხვავდება რასის/ეთნიკური კუთვნილების მიხედვით (იხილეთ ფარმაკოგენეტიკა). ლიტერატურიდან გამომდინარე, აზიურ პოპულაციებში შეზღუდული მონაცემებია ხელმისაწვდომი ამ CYP-ის გენოტიპირების კლინიკური გავლენის შესაფასებლად კლინიკურ შედეგებზე.</w:t>
      </w:r>
    </w:p>
    <w:p w14:paraId="19A0EDDE" w14:textId="77777777" w:rsidR="004E6C38" w:rsidRPr="00CF713E" w:rsidRDefault="004E6C38" w:rsidP="007065D2">
      <w:pPr>
        <w:spacing w:after="0" w:line="240" w:lineRule="auto"/>
        <w:jc w:val="both"/>
        <w:rPr>
          <w:rFonts w:ascii="Sylfaen" w:hAnsi="Sylfaen"/>
          <w:noProof/>
          <w:sz w:val="20"/>
          <w:szCs w:val="20"/>
          <w:lang w:val="ka-GE"/>
        </w:rPr>
      </w:pPr>
    </w:p>
    <w:p w14:paraId="4DD2267A"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5.3 კლინიკური უსაფრთხოების წინარე მონაცემები</w:t>
      </w:r>
    </w:p>
    <w:p w14:paraId="121B0571"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ვირთაგვებსა და ბაბუინებზე ჩატარებული არაკლინიკური კვლევების დროს ყველაზე ხშირად დაფიქსირებული ეფექტები იყო ღვიძლის მხრივ ცვლილებები. ეს მოვლენები ვითარდებოდა დოზების დროს, რომლებიც წარმოადგენდა ადამიანებში კლინიკური დოზის 75 მგ/დღეში მიღებისას დაფიქსირებულ ექსპოზიციას სულ მცირე 25-ჯერ და წარმოადგენდა ღვიძლის მეტაბოლიზმის ფერმენტებზე ზემოქმედების შედეგს. თერაპიული დოზით კლოპიდოგრელის მიმღებ ადამიანებში ღვიძლის მეტაბოლიზმის ფერმენტებზე გავლენა არ დაფიქსირებულა.</w:t>
      </w:r>
    </w:p>
    <w:p w14:paraId="31AC81D7"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ძალიან მაღალი დოზების მიღებისას, ვირთაგვებსა და ბაბუინებში ასევე დაფიქსირდა კლოპიდოგრელის კუჭის ტოლერანტობის დაქვეითება (გასტრიტი, კუჭის ეროზიები და/ან ღებინება).</w:t>
      </w:r>
    </w:p>
    <w:p w14:paraId="41FDDB04"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კანცეროგენული ეფექტის მტკიცებულება არ დაფიქსირებულა, როდესაც კლოპიდოგრელი თაგვებში 78 კვირის და ვირთაგვებში 104 კვირის განმავლობაში გამოიყენებოდა,</w:t>
      </w:r>
    </w:p>
    <w:p w14:paraId="42C7EDFD"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როდესაც მიცემული იყო დღეში 77 მგ/კგ-მდე დოზით (რაც წარმოადგენს კლინიკური დოზის 75 მგ/დღეში მიღებისას დაფიქსირებულ ექსპოზიციას სულ მცირე 25-ჯერ).</w:t>
      </w:r>
    </w:p>
    <w:p w14:paraId="0B01CBF8"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 გამოცდილი იქნა in vitro და in vivo გენოტოქსიკურობის კვლევების ფართო სპექტრში და არ აჩვენა გენოტოქსიკური აქტივობა. კლოპიდოგრელს არ ჰქონდა გავლენა მამრი და მდედრი ვირთაგვების ნაყოფიერებაზე და არ იყო ტერატოგენული არც ვირთაგვებში და არც ბოცვრებში. მეძუძურ ვირთაგვებში მიღებისას კლოპიდოგრელმა გამოიწვია შთამომავლობის განვითარების მცირე შეფერხება. რადიოაქტიური ნიშნით მონიშნული კლოპიდოგრელით ჩატარებულმა სპეციფიკურმა ფარმაკოკინეტიკურმა კვლევებმა აჩვენა, რომ საწყისი ნაერთი ან მისი მეტაბოლიტები გამოიყოფა რძეში. შესაბამისად, არ არის გამორიცხული პირდაპირი ეფექტი (უმნიშვნელო ტოქსიკურობა) ან არაპირდაპირი ეფექტი (დაბალი გემო).</w:t>
      </w:r>
    </w:p>
    <w:p w14:paraId="5EFAA064" w14:textId="77777777" w:rsidR="004E6C38" w:rsidRPr="00CF713E" w:rsidRDefault="004E6C38" w:rsidP="007065D2">
      <w:pPr>
        <w:spacing w:after="0" w:line="240" w:lineRule="auto"/>
        <w:jc w:val="both"/>
        <w:rPr>
          <w:rFonts w:ascii="Sylfaen" w:hAnsi="Sylfaen"/>
          <w:noProof/>
          <w:sz w:val="20"/>
          <w:szCs w:val="20"/>
          <w:lang w:val="ka-GE"/>
        </w:rPr>
      </w:pPr>
    </w:p>
    <w:p w14:paraId="4FE7F81D"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6 ფარმაცევტული მახასიათებლები</w:t>
      </w:r>
    </w:p>
    <w:p w14:paraId="11265DEF"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6.1 ექსციპიენტების სია</w:t>
      </w:r>
    </w:p>
    <w:p w14:paraId="07EE54CC" w14:textId="1AF716A9"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მშრალი ნარევი: მომზადებული გრანულები-1 (მიკროსკრისტალური ცელულოზის, პოვიდონის K-30</w:t>
      </w:r>
      <w:r w:rsidR="00524E85" w:rsidRPr="00CF713E">
        <w:rPr>
          <w:rFonts w:ascii="Sylfaen" w:hAnsi="Sylfaen"/>
          <w:noProof/>
          <w:sz w:val="20"/>
          <w:szCs w:val="20"/>
          <w:lang w:val="ka-GE"/>
        </w:rPr>
        <w:t xml:space="preserve"> &amp; </w:t>
      </w:r>
      <w:r w:rsidRPr="00CF713E">
        <w:rPr>
          <w:rFonts w:ascii="Sylfaen" w:hAnsi="Sylfaen"/>
          <w:noProof/>
          <w:sz w:val="20"/>
          <w:szCs w:val="20"/>
          <w:lang w:val="ka-GE"/>
        </w:rPr>
        <w:t>კროსპოვიდონის), მიკროკრისტალური ცელულოზა,</w:t>
      </w:r>
    </w:p>
    <w:p w14:paraId="5D37C7B6"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ხსნარის მომზადება: პოვიდონი K-30, იზოპროპილის სპირტი,</w:t>
      </w:r>
    </w:p>
    <w:p w14:paraId="3FF57466"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შერევა: კროსპოვიდონი, გასუფთავებული ტალკი, მაგნიუმის სტეარატი, კოლოიდური უწყლო სილიციუმი,</w:t>
      </w:r>
    </w:p>
    <w:p w14:paraId="467F3A61"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დამცავი საფარი: კოპოვიდონი, *იზოპროპილის სპირტი,</w:t>
      </w:r>
    </w:p>
    <w:p w14:paraId="19EF8677" w14:textId="74C91423"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აპკი</w:t>
      </w:r>
      <w:r w:rsidR="00524E85" w:rsidRPr="00CF713E">
        <w:rPr>
          <w:rFonts w:ascii="Sylfaen" w:hAnsi="Sylfaen"/>
          <w:noProof/>
          <w:sz w:val="20"/>
          <w:szCs w:val="20"/>
          <w:lang w:val="ka-GE"/>
        </w:rPr>
        <w:t>ანი</w:t>
      </w:r>
      <w:r w:rsidRPr="00CF713E">
        <w:rPr>
          <w:rFonts w:ascii="Sylfaen" w:hAnsi="Sylfaen"/>
          <w:noProof/>
          <w:sz w:val="20"/>
          <w:szCs w:val="20"/>
          <w:lang w:val="ka-GE"/>
        </w:rPr>
        <w:t xml:space="preserve"> საფარი: ჰიდროქსიპროპილ მეთილცელულოზა, ტიტანის დიოქსიდი, გასუფთავებული ტალკი, *იზოპროპილის სპირტი, მეთილენქლორიდი.</w:t>
      </w:r>
    </w:p>
    <w:p w14:paraId="150633F0" w14:textId="189AB9B3"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 არ </w:t>
      </w:r>
      <w:r w:rsidR="00524E85" w:rsidRPr="00CF713E">
        <w:rPr>
          <w:rFonts w:ascii="Sylfaen" w:hAnsi="Sylfaen"/>
          <w:noProof/>
          <w:sz w:val="20"/>
          <w:szCs w:val="20"/>
          <w:lang w:val="ka-GE"/>
        </w:rPr>
        <w:t xml:space="preserve">გამოჩნდება </w:t>
      </w:r>
      <w:r w:rsidRPr="00CF713E">
        <w:rPr>
          <w:rFonts w:ascii="Sylfaen" w:hAnsi="Sylfaen"/>
          <w:noProof/>
          <w:sz w:val="20"/>
          <w:szCs w:val="20"/>
          <w:lang w:val="ka-GE"/>
        </w:rPr>
        <w:t xml:space="preserve">საბოლოო პროდუქტში </w:t>
      </w:r>
    </w:p>
    <w:p w14:paraId="2A033436" w14:textId="77777777" w:rsidR="004E6C38" w:rsidRPr="00CF713E" w:rsidRDefault="004E6C38" w:rsidP="007065D2">
      <w:pPr>
        <w:spacing w:after="0" w:line="240" w:lineRule="auto"/>
        <w:jc w:val="both"/>
        <w:rPr>
          <w:rFonts w:ascii="Sylfaen" w:hAnsi="Sylfaen"/>
          <w:b/>
          <w:bCs/>
          <w:noProof/>
          <w:sz w:val="20"/>
          <w:szCs w:val="20"/>
          <w:lang w:val="ka-GE"/>
        </w:rPr>
      </w:pPr>
      <w:r w:rsidRPr="00CF713E">
        <w:rPr>
          <w:rFonts w:ascii="Sylfaen" w:hAnsi="Sylfaen"/>
          <w:b/>
          <w:bCs/>
          <w:noProof/>
          <w:sz w:val="20"/>
          <w:szCs w:val="20"/>
          <w:lang w:val="ka-GE"/>
        </w:rPr>
        <w:t>6.2 შეუთავსებლობა</w:t>
      </w:r>
    </w:p>
    <w:p w14:paraId="57F6D408"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არ არის წარმოდგენილი</w:t>
      </w:r>
    </w:p>
    <w:p w14:paraId="6C8F3195" w14:textId="77777777" w:rsidR="00524E85" w:rsidRPr="00CF713E" w:rsidRDefault="00524E85" w:rsidP="007065D2">
      <w:pPr>
        <w:spacing w:after="0" w:line="240" w:lineRule="auto"/>
        <w:jc w:val="both"/>
        <w:rPr>
          <w:rFonts w:ascii="Sylfaen" w:hAnsi="Sylfaen"/>
          <w:noProof/>
          <w:sz w:val="20"/>
          <w:szCs w:val="20"/>
          <w:lang w:val="ka-GE"/>
        </w:rPr>
      </w:pPr>
    </w:p>
    <w:p w14:paraId="33311DA2" w14:textId="77777777" w:rsidR="004E6C38" w:rsidRPr="00CF713E" w:rsidRDefault="004E6C38" w:rsidP="007065D2">
      <w:pPr>
        <w:spacing w:after="0" w:line="240" w:lineRule="auto"/>
        <w:jc w:val="both"/>
        <w:rPr>
          <w:rFonts w:ascii="Sylfaen" w:hAnsi="Sylfaen"/>
          <w:b/>
          <w:bCs/>
          <w:noProof/>
          <w:sz w:val="20"/>
          <w:szCs w:val="20"/>
          <w:lang w:val="ka-GE"/>
        </w:rPr>
      </w:pPr>
      <w:r w:rsidRPr="00CF713E">
        <w:rPr>
          <w:rFonts w:ascii="Sylfaen" w:hAnsi="Sylfaen"/>
          <w:b/>
          <w:bCs/>
          <w:noProof/>
          <w:sz w:val="20"/>
          <w:szCs w:val="20"/>
          <w:lang w:val="ka-GE"/>
        </w:rPr>
        <w:t>6.3 ვარგისიანობის ვადა</w:t>
      </w:r>
    </w:p>
    <w:p w14:paraId="7E4AAAD0"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3 წელი</w:t>
      </w:r>
    </w:p>
    <w:p w14:paraId="1C7DF69C" w14:textId="77777777" w:rsidR="007D1924" w:rsidRPr="00CF713E" w:rsidRDefault="007D1924" w:rsidP="007065D2">
      <w:pPr>
        <w:spacing w:after="0" w:line="240" w:lineRule="auto"/>
        <w:jc w:val="both"/>
        <w:rPr>
          <w:rFonts w:ascii="Sylfaen" w:hAnsi="Sylfaen"/>
          <w:noProof/>
          <w:sz w:val="20"/>
          <w:szCs w:val="20"/>
          <w:lang w:val="ka-GE"/>
        </w:rPr>
      </w:pPr>
    </w:p>
    <w:p w14:paraId="1187DB09" w14:textId="77777777" w:rsidR="004E6C38" w:rsidRPr="00CF713E" w:rsidRDefault="004E6C38" w:rsidP="007065D2">
      <w:pPr>
        <w:spacing w:after="0" w:line="240" w:lineRule="auto"/>
        <w:jc w:val="both"/>
        <w:rPr>
          <w:rFonts w:ascii="Sylfaen" w:hAnsi="Sylfaen"/>
          <w:b/>
          <w:bCs/>
          <w:noProof/>
          <w:sz w:val="20"/>
          <w:szCs w:val="20"/>
          <w:lang w:val="ka-GE"/>
        </w:rPr>
      </w:pPr>
      <w:r w:rsidRPr="00CF713E">
        <w:rPr>
          <w:rFonts w:ascii="Sylfaen" w:hAnsi="Sylfaen"/>
          <w:b/>
          <w:bCs/>
          <w:noProof/>
          <w:sz w:val="20"/>
          <w:szCs w:val="20"/>
          <w:lang w:val="ka-GE"/>
        </w:rPr>
        <w:t>6.4 შენახვის განსაკუთრებული სიფრთხილის ზომები</w:t>
      </w:r>
    </w:p>
    <w:p w14:paraId="23EAAA49"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 xml:space="preserve">ეს სამკურნალო პროდუქტი არ საჭიროებს შენახვის განსაკუთრებულ პირობებს. </w:t>
      </w:r>
    </w:p>
    <w:p w14:paraId="3D924079" w14:textId="77777777" w:rsidR="007D1924" w:rsidRPr="00CF713E" w:rsidRDefault="007D1924" w:rsidP="007065D2">
      <w:pPr>
        <w:spacing w:after="0" w:line="240" w:lineRule="auto"/>
        <w:jc w:val="both"/>
        <w:rPr>
          <w:rFonts w:ascii="Sylfaen" w:hAnsi="Sylfaen"/>
          <w:noProof/>
          <w:sz w:val="20"/>
          <w:szCs w:val="20"/>
          <w:lang w:val="ka-GE"/>
        </w:rPr>
      </w:pPr>
    </w:p>
    <w:p w14:paraId="7C9366F7" w14:textId="77777777" w:rsidR="004E6C38" w:rsidRPr="00CF713E" w:rsidRDefault="004E6C38" w:rsidP="007065D2">
      <w:pPr>
        <w:spacing w:after="0" w:line="240" w:lineRule="auto"/>
        <w:jc w:val="both"/>
        <w:rPr>
          <w:rFonts w:ascii="Sylfaen" w:hAnsi="Sylfaen"/>
          <w:b/>
          <w:bCs/>
          <w:noProof/>
          <w:sz w:val="20"/>
          <w:szCs w:val="20"/>
          <w:lang w:val="ka-GE"/>
        </w:rPr>
      </w:pPr>
      <w:r w:rsidRPr="00CF713E">
        <w:rPr>
          <w:rFonts w:ascii="Sylfaen" w:hAnsi="Sylfaen"/>
          <w:b/>
          <w:bCs/>
          <w:noProof/>
          <w:sz w:val="20"/>
          <w:szCs w:val="20"/>
          <w:lang w:val="ka-GE"/>
        </w:rPr>
        <w:t>6.5 კონტეინერის ბუნება და შემადგენლობა</w:t>
      </w:r>
    </w:p>
    <w:p w14:paraId="3DE217A1"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კლოპიდოგრელის 75 მგ 14 აპკიანი გარსით დაფარული ტაბლეტი შეფუთულია ალუ-ალუ ბლისტერში და 2 ბლისტერი, რომელიც ასევე შეფუთულია მუყაოს კოლოფში პაციენტის საინფორმაციო ჩანართთან ერთად.</w:t>
      </w:r>
    </w:p>
    <w:p w14:paraId="1D7E2CE8" w14:textId="77777777" w:rsidR="007D1924" w:rsidRPr="00CF713E" w:rsidRDefault="007D1924" w:rsidP="007065D2">
      <w:pPr>
        <w:spacing w:after="0" w:line="240" w:lineRule="auto"/>
        <w:jc w:val="both"/>
        <w:rPr>
          <w:rFonts w:ascii="Sylfaen" w:hAnsi="Sylfaen"/>
          <w:noProof/>
          <w:sz w:val="20"/>
          <w:szCs w:val="20"/>
          <w:lang w:val="ka-GE"/>
        </w:rPr>
      </w:pPr>
    </w:p>
    <w:p w14:paraId="25B145BF" w14:textId="77777777" w:rsidR="004E6C38" w:rsidRPr="00CF713E" w:rsidRDefault="004E6C38" w:rsidP="007065D2">
      <w:pPr>
        <w:spacing w:after="0" w:line="240" w:lineRule="auto"/>
        <w:jc w:val="both"/>
        <w:rPr>
          <w:rFonts w:ascii="Sylfaen" w:hAnsi="Sylfaen"/>
          <w:b/>
          <w:bCs/>
          <w:noProof/>
          <w:sz w:val="20"/>
          <w:szCs w:val="20"/>
          <w:lang w:val="ka-GE"/>
        </w:rPr>
      </w:pPr>
      <w:r w:rsidRPr="00CF713E">
        <w:rPr>
          <w:rFonts w:ascii="Sylfaen" w:hAnsi="Sylfaen"/>
          <w:b/>
          <w:bCs/>
          <w:noProof/>
          <w:sz w:val="20"/>
          <w:szCs w:val="20"/>
          <w:lang w:val="ka-GE"/>
        </w:rPr>
        <w:t>6.6 განსაკუთრებული სიფრთხილის ზომები განადგურების და სხვა დამუშავების დროს</w:t>
      </w:r>
    </w:p>
    <w:p w14:paraId="1CCD6417"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Sylfaen" w:hAnsi="Sylfaen"/>
          <w:noProof/>
          <w:sz w:val="20"/>
          <w:szCs w:val="20"/>
          <w:lang w:val="ka-GE"/>
        </w:rPr>
        <w:t>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p>
    <w:p w14:paraId="0E858693" w14:textId="77777777" w:rsidR="004E6C38" w:rsidRPr="00CF713E" w:rsidRDefault="004E6C38" w:rsidP="007065D2">
      <w:pPr>
        <w:spacing w:after="0" w:line="240" w:lineRule="auto"/>
        <w:jc w:val="both"/>
        <w:rPr>
          <w:rFonts w:ascii="Sylfaen" w:hAnsi="Sylfaen"/>
          <w:b/>
          <w:noProof/>
          <w:sz w:val="20"/>
          <w:szCs w:val="20"/>
          <w:lang w:val="ka-GE"/>
        </w:rPr>
      </w:pPr>
    </w:p>
    <w:p w14:paraId="33885C11"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7. სავაჭრო ლიცენზიის მფლობელი და მწარმოებელი</w:t>
      </w:r>
    </w:p>
    <w:p w14:paraId="1140C787" w14:textId="77777777" w:rsidR="004E6C38" w:rsidRPr="00CF713E" w:rsidRDefault="004E6C38" w:rsidP="007065D2">
      <w:pPr>
        <w:shd w:val="clear" w:color="auto" w:fill="FFFFFF"/>
        <w:spacing w:after="0" w:line="240" w:lineRule="auto"/>
        <w:jc w:val="both"/>
        <w:rPr>
          <w:rFonts w:ascii="Times New Roman" w:hAnsi="Times New Roman"/>
          <w:noProof/>
          <w:kern w:val="0"/>
          <w:sz w:val="20"/>
          <w:szCs w:val="20"/>
          <w:lang w:val="ka-GE"/>
        </w:rPr>
      </w:pPr>
      <w:r w:rsidRPr="00CF713E">
        <w:rPr>
          <w:rFonts w:ascii="Times New Roman" w:hAnsi="Times New Roman"/>
          <w:noProof/>
          <w:kern w:val="0"/>
          <w:sz w:val="20"/>
          <w:szCs w:val="20"/>
          <w:lang w:val="ka-GE"/>
        </w:rPr>
        <w:t xml:space="preserve">“DRUG INTERNATIONAL LIMITED”, </w:t>
      </w:r>
    </w:p>
    <w:p w14:paraId="7D33473A" w14:textId="77777777" w:rsidR="004E6C38" w:rsidRPr="00CF713E" w:rsidRDefault="004E6C38" w:rsidP="007065D2">
      <w:pPr>
        <w:spacing w:after="0" w:line="240" w:lineRule="auto"/>
        <w:jc w:val="both"/>
        <w:rPr>
          <w:rFonts w:ascii="Sylfaen" w:hAnsi="Sylfaen"/>
          <w:noProof/>
          <w:sz w:val="20"/>
          <w:szCs w:val="20"/>
          <w:lang w:val="ka-GE"/>
        </w:rPr>
      </w:pPr>
      <w:r w:rsidRPr="00CF713E">
        <w:rPr>
          <w:rFonts w:ascii="Times New Roman" w:hAnsi="Times New Roman"/>
          <w:noProof/>
          <w:kern w:val="0"/>
          <w:sz w:val="20"/>
          <w:szCs w:val="20"/>
          <w:lang w:val="ka-GE"/>
        </w:rPr>
        <w:t>Bangladesh</w:t>
      </w:r>
      <w:r w:rsidRPr="00CF713E">
        <w:rPr>
          <w:rFonts w:ascii="Sylfaen" w:hAnsi="Sylfaen"/>
          <w:noProof/>
          <w:sz w:val="20"/>
          <w:szCs w:val="20"/>
          <w:lang w:val="ka-GE"/>
        </w:rPr>
        <w:t xml:space="preserve"> </w:t>
      </w:r>
    </w:p>
    <w:p w14:paraId="33407D53" w14:textId="77777777" w:rsidR="004E6C38" w:rsidRPr="00CF713E" w:rsidRDefault="004E6C38" w:rsidP="007065D2">
      <w:pPr>
        <w:spacing w:after="0" w:line="240" w:lineRule="auto"/>
        <w:jc w:val="both"/>
        <w:rPr>
          <w:rFonts w:ascii="Sylfaen" w:hAnsi="Sylfaen"/>
          <w:noProof/>
          <w:sz w:val="20"/>
          <w:szCs w:val="20"/>
          <w:lang w:val="ka-GE"/>
        </w:rPr>
      </w:pPr>
    </w:p>
    <w:p w14:paraId="4C14995E"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8. რეგისტრაციის ნომერი(ები)</w:t>
      </w:r>
    </w:p>
    <w:p w14:paraId="4D4C782D" w14:textId="77777777" w:rsidR="004E6C38" w:rsidRPr="00CF713E" w:rsidRDefault="004E6C38" w:rsidP="007065D2">
      <w:pPr>
        <w:spacing w:after="0" w:line="240" w:lineRule="auto"/>
        <w:jc w:val="both"/>
        <w:rPr>
          <w:rFonts w:ascii="Sylfaen" w:hAnsi="Sylfaen"/>
          <w:b/>
          <w:noProof/>
          <w:sz w:val="20"/>
          <w:szCs w:val="20"/>
          <w:lang w:val="ka-GE"/>
        </w:rPr>
      </w:pPr>
    </w:p>
    <w:p w14:paraId="09AB25B3"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9. პირველი რეგისტრაციის/ხელახალი რეგისტრაციის თარიღი</w:t>
      </w:r>
    </w:p>
    <w:p w14:paraId="05D20538" w14:textId="77777777" w:rsidR="004E6C38" w:rsidRPr="00CF713E" w:rsidRDefault="004E6C38" w:rsidP="007065D2">
      <w:pPr>
        <w:spacing w:after="0" w:line="240" w:lineRule="auto"/>
        <w:jc w:val="both"/>
        <w:rPr>
          <w:rFonts w:ascii="Sylfaen" w:hAnsi="Sylfaen"/>
          <w:b/>
          <w:noProof/>
          <w:sz w:val="20"/>
          <w:szCs w:val="20"/>
          <w:lang w:val="ka-GE"/>
        </w:rPr>
      </w:pPr>
    </w:p>
    <w:p w14:paraId="651EE9DE" w14:textId="77777777" w:rsidR="004E6C38" w:rsidRPr="00CF713E" w:rsidRDefault="004E6C38" w:rsidP="007065D2">
      <w:pPr>
        <w:spacing w:after="0" w:line="240" w:lineRule="auto"/>
        <w:jc w:val="both"/>
        <w:rPr>
          <w:rFonts w:ascii="Sylfaen" w:hAnsi="Sylfaen"/>
          <w:b/>
          <w:noProof/>
          <w:sz w:val="20"/>
          <w:szCs w:val="20"/>
          <w:lang w:val="ka-GE"/>
        </w:rPr>
      </w:pPr>
      <w:r w:rsidRPr="00CF713E">
        <w:rPr>
          <w:rFonts w:ascii="Sylfaen" w:hAnsi="Sylfaen"/>
          <w:b/>
          <w:noProof/>
          <w:sz w:val="20"/>
          <w:szCs w:val="20"/>
          <w:lang w:val="ka-GE"/>
        </w:rPr>
        <w:t>10. ტექსტის გადახედვის თარიღი</w:t>
      </w:r>
    </w:p>
    <w:p w14:paraId="6DFED026" w14:textId="77777777" w:rsidR="004E6C38" w:rsidRPr="00CF713E" w:rsidRDefault="004E6C38" w:rsidP="007065D2">
      <w:pPr>
        <w:spacing w:after="0" w:line="240" w:lineRule="auto"/>
        <w:jc w:val="both"/>
        <w:rPr>
          <w:rFonts w:ascii="Sylfaen" w:hAnsi="Sylfaen"/>
          <w:noProof/>
          <w:sz w:val="20"/>
          <w:szCs w:val="20"/>
          <w:lang w:val="ka-GE"/>
        </w:rPr>
      </w:pPr>
    </w:p>
    <w:p w14:paraId="45670E0D" w14:textId="77777777" w:rsidR="007D1924" w:rsidRPr="00CF713E" w:rsidRDefault="007D1924" w:rsidP="007D1924">
      <w:pPr>
        <w:pStyle w:val="Default"/>
        <w:rPr>
          <w:rFonts w:ascii="Sylfaen" w:hAnsi="Sylfaen" w:cs="Times New Roman"/>
          <w:b/>
          <w:noProof/>
          <w:color w:val="auto"/>
          <w:sz w:val="20"/>
          <w:szCs w:val="20"/>
          <w:lang w:val="ka-GE"/>
        </w:rPr>
      </w:pPr>
      <w:r w:rsidRPr="00CF713E">
        <w:rPr>
          <w:rFonts w:ascii="Sylfaen" w:hAnsi="Sylfaen" w:cs="Times New Roman"/>
          <w:b/>
          <w:noProof/>
          <w:color w:val="auto"/>
          <w:sz w:val="20"/>
          <w:szCs w:val="20"/>
          <w:lang w:val="ka-GE"/>
        </w:rPr>
        <w:t>გაცემის წესი:</w:t>
      </w:r>
    </w:p>
    <w:p w14:paraId="1D92D228" w14:textId="77777777" w:rsidR="007D1924" w:rsidRPr="00CF713E" w:rsidRDefault="007D1924" w:rsidP="007D1924">
      <w:pPr>
        <w:pStyle w:val="Default"/>
        <w:rPr>
          <w:rFonts w:ascii="Sylfaen" w:hAnsi="Sylfaen" w:cs="Times New Roman"/>
          <w:bCs/>
          <w:noProof/>
          <w:color w:val="auto"/>
          <w:sz w:val="20"/>
          <w:szCs w:val="20"/>
          <w:lang w:val="ka-GE"/>
        </w:rPr>
      </w:pPr>
      <w:proofErr w:type="spellStart"/>
      <w:r w:rsidRPr="00CF713E">
        <w:rPr>
          <w:rFonts w:ascii="Sylfaen" w:eastAsia="SimSun" w:hAnsi="Sylfaen"/>
          <w:bCs/>
          <w:color w:val="auto"/>
          <w:sz w:val="20"/>
          <w:szCs w:val="20"/>
        </w:rPr>
        <w:t>ფარმაცევტული</w:t>
      </w:r>
      <w:proofErr w:type="spellEnd"/>
      <w:r w:rsidRPr="00CF713E">
        <w:rPr>
          <w:rFonts w:ascii="Sylfaen" w:eastAsia="SimSun" w:hAnsi="Sylfaen"/>
          <w:bCs/>
          <w:color w:val="auto"/>
          <w:sz w:val="20"/>
          <w:szCs w:val="20"/>
        </w:rPr>
        <w:t xml:space="preserve"> </w:t>
      </w:r>
      <w:proofErr w:type="spellStart"/>
      <w:r w:rsidRPr="00CF713E">
        <w:rPr>
          <w:rFonts w:ascii="Sylfaen" w:eastAsia="SimSun" w:hAnsi="Sylfaen"/>
          <w:bCs/>
          <w:color w:val="auto"/>
          <w:sz w:val="20"/>
          <w:szCs w:val="20"/>
        </w:rPr>
        <w:t>პროდუქტის</w:t>
      </w:r>
      <w:proofErr w:type="spellEnd"/>
      <w:r w:rsidRPr="00CF713E">
        <w:rPr>
          <w:rFonts w:ascii="Sylfaen" w:eastAsia="SimSun" w:hAnsi="Sylfaen"/>
          <w:bCs/>
          <w:color w:val="auto"/>
          <w:sz w:val="20"/>
          <w:szCs w:val="20"/>
        </w:rPr>
        <w:t xml:space="preserve"> </w:t>
      </w:r>
      <w:proofErr w:type="spellStart"/>
      <w:r w:rsidRPr="00CF713E">
        <w:rPr>
          <w:rFonts w:ascii="Sylfaen" w:eastAsia="SimSun" w:hAnsi="Sylfaen"/>
          <w:bCs/>
          <w:color w:val="auto"/>
          <w:sz w:val="20"/>
          <w:szCs w:val="20"/>
        </w:rPr>
        <w:t>ჯგუფი</w:t>
      </w:r>
      <w:proofErr w:type="spellEnd"/>
      <w:r w:rsidRPr="00CF713E">
        <w:rPr>
          <w:rFonts w:ascii="Sylfaen" w:eastAsia="SimSun" w:hAnsi="Sylfaen"/>
          <w:bCs/>
          <w:color w:val="auto"/>
          <w:sz w:val="20"/>
          <w:szCs w:val="20"/>
        </w:rPr>
        <w:t xml:space="preserve"> II, </w:t>
      </w:r>
      <w:proofErr w:type="spellStart"/>
      <w:r w:rsidRPr="00CF713E">
        <w:rPr>
          <w:rFonts w:ascii="Sylfaen" w:eastAsia="SimSun" w:hAnsi="Sylfaen"/>
          <w:bCs/>
          <w:color w:val="auto"/>
          <w:sz w:val="20"/>
          <w:szCs w:val="20"/>
        </w:rPr>
        <w:t>გაიცემა</w:t>
      </w:r>
      <w:proofErr w:type="spellEnd"/>
      <w:r w:rsidRPr="00CF713E">
        <w:rPr>
          <w:rFonts w:ascii="Sylfaen" w:eastAsia="SimSun" w:hAnsi="Sylfaen"/>
          <w:bCs/>
          <w:color w:val="auto"/>
          <w:sz w:val="20"/>
          <w:szCs w:val="20"/>
        </w:rPr>
        <w:t xml:space="preserve"> </w:t>
      </w:r>
      <w:proofErr w:type="spellStart"/>
      <w:r w:rsidRPr="00CF713E">
        <w:rPr>
          <w:rFonts w:ascii="Sylfaen" w:eastAsia="SimSun" w:hAnsi="Sylfaen"/>
          <w:bCs/>
          <w:color w:val="auto"/>
          <w:sz w:val="20"/>
          <w:szCs w:val="20"/>
        </w:rPr>
        <w:t>ფორმა</w:t>
      </w:r>
      <w:proofErr w:type="spellEnd"/>
      <w:r w:rsidRPr="00CF713E">
        <w:rPr>
          <w:rFonts w:ascii="Sylfaen" w:eastAsia="SimSun" w:hAnsi="Sylfaen"/>
          <w:bCs/>
          <w:color w:val="auto"/>
          <w:sz w:val="20"/>
          <w:szCs w:val="20"/>
        </w:rPr>
        <w:t xml:space="preserve"> №3 </w:t>
      </w:r>
      <w:proofErr w:type="spellStart"/>
      <w:r w:rsidRPr="00CF713E">
        <w:rPr>
          <w:rFonts w:ascii="Sylfaen" w:eastAsia="SimSun" w:hAnsi="Sylfaen"/>
          <w:bCs/>
          <w:color w:val="auto"/>
          <w:sz w:val="20"/>
          <w:szCs w:val="20"/>
        </w:rPr>
        <w:t>რეცეპტით</w:t>
      </w:r>
      <w:proofErr w:type="spellEnd"/>
      <w:r w:rsidRPr="00CF713E">
        <w:rPr>
          <w:rFonts w:ascii="Sylfaen" w:eastAsia="SimSun" w:hAnsi="Sylfaen"/>
          <w:bCs/>
          <w:color w:val="auto"/>
          <w:sz w:val="20"/>
          <w:szCs w:val="20"/>
        </w:rPr>
        <w:t>.</w:t>
      </w:r>
    </w:p>
    <w:p w14:paraId="63842E39" w14:textId="77777777" w:rsidR="004E6C38" w:rsidRPr="00CF713E" w:rsidRDefault="004E6C38" w:rsidP="007065D2">
      <w:pPr>
        <w:spacing w:after="0" w:line="240" w:lineRule="auto"/>
        <w:jc w:val="both"/>
        <w:rPr>
          <w:rFonts w:ascii="Sylfaen" w:hAnsi="Sylfaen"/>
          <w:noProof/>
          <w:sz w:val="20"/>
          <w:szCs w:val="20"/>
          <w:lang w:val="ka-GE"/>
        </w:rPr>
      </w:pPr>
    </w:p>
    <w:p w14:paraId="60EE3A9D" w14:textId="77777777" w:rsidR="004E6C38" w:rsidRPr="00CF713E" w:rsidRDefault="004E6C38" w:rsidP="007065D2">
      <w:pPr>
        <w:spacing w:after="0" w:line="240" w:lineRule="auto"/>
        <w:jc w:val="both"/>
        <w:rPr>
          <w:rFonts w:ascii="Sylfaen" w:hAnsi="Sylfaen"/>
          <w:noProof/>
          <w:sz w:val="20"/>
          <w:szCs w:val="20"/>
          <w:lang w:val="ka-GE"/>
        </w:rPr>
      </w:pPr>
    </w:p>
    <w:sectPr w:rsidR="004E6C38" w:rsidRPr="00CF713E" w:rsidSect="001F6BA8">
      <w:footerReference w:type="default" r:id="rId7"/>
      <w:pgSz w:w="12240" w:h="15840"/>
      <w:pgMar w:top="284" w:right="616" w:bottom="540"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E87C6" w14:textId="77777777" w:rsidR="00BE17ED" w:rsidRDefault="00BE17ED" w:rsidP="0002685A">
      <w:pPr>
        <w:spacing w:after="0" w:line="240" w:lineRule="auto"/>
      </w:pPr>
      <w:r>
        <w:separator/>
      </w:r>
    </w:p>
  </w:endnote>
  <w:endnote w:type="continuationSeparator" w:id="0">
    <w:p w14:paraId="323543B1" w14:textId="77777777" w:rsidR="00BE17ED" w:rsidRDefault="00BE17ED" w:rsidP="00026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charset w:val="00"/>
    <w:family w:val="swiss"/>
    <w:pitch w:val="variable"/>
    <w:sig w:usb0="20000287" w:usb1="00000003" w:usb2="00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Bold">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7B974" w14:textId="77777777" w:rsidR="0002685A" w:rsidRDefault="0002685A">
    <w:pPr>
      <w:pStyle w:val="Footer"/>
      <w:jc w:val="center"/>
    </w:pPr>
    <w:r>
      <w:fldChar w:fldCharType="begin"/>
    </w:r>
    <w:r>
      <w:instrText xml:space="preserve"> PAGE   \* MERGEFORMAT </w:instrText>
    </w:r>
    <w:r>
      <w:fldChar w:fldCharType="separate"/>
    </w:r>
    <w:r>
      <w:rPr>
        <w:noProof/>
      </w:rPr>
      <w:t>2</w:t>
    </w:r>
    <w:r>
      <w:rPr>
        <w:noProof/>
      </w:rPr>
      <w:fldChar w:fldCharType="end"/>
    </w:r>
  </w:p>
  <w:p w14:paraId="2BB4E949" w14:textId="77777777" w:rsidR="0002685A" w:rsidRDefault="000268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B3596" w14:textId="77777777" w:rsidR="00BE17ED" w:rsidRDefault="00BE17ED" w:rsidP="0002685A">
      <w:pPr>
        <w:spacing w:after="0" w:line="240" w:lineRule="auto"/>
      </w:pPr>
      <w:r>
        <w:separator/>
      </w:r>
    </w:p>
  </w:footnote>
  <w:footnote w:type="continuationSeparator" w:id="0">
    <w:p w14:paraId="2608B3B1" w14:textId="77777777" w:rsidR="00BE17ED" w:rsidRDefault="00BE17ED" w:rsidP="000268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C6F46EC"/>
    <w:multiLevelType w:val="hybridMultilevel"/>
    <w:tmpl w:val="3412199E"/>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8"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A3599"/>
    <w:multiLevelType w:val="hybridMultilevel"/>
    <w:tmpl w:val="418AB5BE"/>
    <w:lvl w:ilvl="0" w:tplc="33C21078">
      <w:start w:val="4"/>
      <w:numFmt w:val="bullet"/>
      <w:lvlText w:val="-"/>
      <w:lvlJc w:val="left"/>
      <w:pPr>
        <w:tabs>
          <w:tab w:val="num" w:pos="360"/>
        </w:tabs>
        <w:ind w:left="360" w:hanging="360"/>
      </w:pPr>
      <w:rPr>
        <w:rFonts w:ascii="Sylfaen" w:eastAsia="Times New Roman" w:hAnsi="Sylfae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2690848">
    <w:abstractNumId w:val="21"/>
  </w:num>
  <w:num w:numId="2" w16cid:durableId="76749410">
    <w:abstractNumId w:val="8"/>
  </w:num>
  <w:num w:numId="3" w16cid:durableId="1260092883">
    <w:abstractNumId w:val="9"/>
  </w:num>
  <w:num w:numId="4" w16cid:durableId="1616719339">
    <w:abstractNumId w:val="13"/>
  </w:num>
  <w:num w:numId="5" w16cid:durableId="241070526">
    <w:abstractNumId w:val="22"/>
  </w:num>
  <w:num w:numId="6" w16cid:durableId="184560112">
    <w:abstractNumId w:val="18"/>
  </w:num>
  <w:num w:numId="7" w16cid:durableId="838427638">
    <w:abstractNumId w:val="3"/>
  </w:num>
  <w:num w:numId="8" w16cid:durableId="1832215916">
    <w:abstractNumId w:val="11"/>
  </w:num>
  <w:num w:numId="9" w16cid:durableId="531041790">
    <w:abstractNumId w:val="4"/>
  </w:num>
  <w:num w:numId="10" w16cid:durableId="15229306">
    <w:abstractNumId w:val="2"/>
  </w:num>
  <w:num w:numId="11" w16cid:durableId="274673075">
    <w:abstractNumId w:val="14"/>
  </w:num>
  <w:num w:numId="12" w16cid:durableId="196351996">
    <w:abstractNumId w:val="0"/>
  </w:num>
  <w:num w:numId="13" w16cid:durableId="1885559288">
    <w:abstractNumId w:val="15"/>
  </w:num>
  <w:num w:numId="14" w16cid:durableId="1761023343">
    <w:abstractNumId w:val="7"/>
  </w:num>
  <w:num w:numId="15" w16cid:durableId="1218204912">
    <w:abstractNumId w:val="1"/>
  </w:num>
  <w:num w:numId="16" w16cid:durableId="144978613">
    <w:abstractNumId w:val="6"/>
  </w:num>
  <w:num w:numId="17" w16cid:durableId="1765346389">
    <w:abstractNumId w:val="10"/>
  </w:num>
  <w:num w:numId="18" w16cid:durableId="558975364">
    <w:abstractNumId w:val="5"/>
  </w:num>
  <w:num w:numId="19" w16cid:durableId="39089155">
    <w:abstractNumId w:val="19"/>
  </w:num>
  <w:num w:numId="20" w16cid:durableId="1612469910">
    <w:abstractNumId w:val="12"/>
  </w:num>
  <w:num w:numId="21" w16cid:durableId="2026202120">
    <w:abstractNumId w:val="16"/>
  </w:num>
  <w:num w:numId="22" w16cid:durableId="1302148639">
    <w:abstractNumId w:val="20"/>
  </w:num>
  <w:num w:numId="23" w16cid:durableId="182099380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236C7"/>
    <w:rsid w:val="00023A88"/>
    <w:rsid w:val="0002685A"/>
    <w:rsid w:val="00033065"/>
    <w:rsid w:val="0003637A"/>
    <w:rsid w:val="00072545"/>
    <w:rsid w:val="000971F6"/>
    <w:rsid w:val="000B122A"/>
    <w:rsid w:val="000B544C"/>
    <w:rsid w:val="000D3A02"/>
    <w:rsid w:val="001673C5"/>
    <w:rsid w:val="00176BBD"/>
    <w:rsid w:val="0017778E"/>
    <w:rsid w:val="001A01C6"/>
    <w:rsid w:val="001B0395"/>
    <w:rsid w:val="001B6177"/>
    <w:rsid w:val="001B6E3B"/>
    <w:rsid w:val="001C7D82"/>
    <w:rsid w:val="001D3513"/>
    <w:rsid w:val="001D35FA"/>
    <w:rsid w:val="001E32DA"/>
    <w:rsid w:val="001E4833"/>
    <w:rsid w:val="001F1F33"/>
    <w:rsid w:val="001F6BA8"/>
    <w:rsid w:val="002540FD"/>
    <w:rsid w:val="002566F8"/>
    <w:rsid w:val="00260539"/>
    <w:rsid w:val="00265CFF"/>
    <w:rsid w:val="00274CE1"/>
    <w:rsid w:val="00277091"/>
    <w:rsid w:val="00283CF0"/>
    <w:rsid w:val="002E042A"/>
    <w:rsid w:val="002E612E"/>
    <w:rsid w:val="002F4587"/>
    <w:rsid w:val="003018B4"/>
    <w:rsid w:val="0030573F"/>
    <w:rsid w:val="00306C7B"/>
    <w:rsid w:val="00342611"/>
    <w:rsid w:val="00355BDE"/>
    <w:rsid w:val="00357F1A"/>
    <w:rsid w:val="00362F1C"/>
    <w:rsid w:val="00365380"/>
    <w:rsid w:val="00381C57"/>
    <w:rsid w:val="0038695E"/>
    <w:rsid w:val="003C68C6"/>
    <w:rsid w:val="003E24EB"/>
    <w:rsid w:val="003F4751"/>
    <w:rsid w:val="003F6D04"/>
    <w:rsid w:val="00405F28"/>
    <w:rsid w:val="00423C0F"/>
    <w:rsid w:val="00433003"/>
    <w:rsid w:val="004451A6"/>
    <w:rsid w:val="00445C19"/>
    <w:rsid w:val="00497B6B"/>
    <w:rsid w:val="004A38CC"/>
    <w:rsid w:val="004A516D"/>
    <w:rsid w:val="004C05A4"/>
    <w:rsid w:val="004C6204"/>
    <w:rsid w:val="004D4B42"/>
    <w:rsid w:val="004E1902"/>
    <w:rsid w:val="004E6725"/>
    <w:rsid w:val="004E6C38"/>
    <w:rsid w:val="004F13EB"/>
    <w:rsid w:val="00514DED"/>
    <w:rsid w:val="00524E85"/>
    <w:rsid w:val="00532CA3"/>
    <w:rsid w:val="0055246C"/>
    <w:rsid w:val="00552924"/>
    <w:rsid w:val="00553FEB"/>
    <w:rsid w:val="00564C16"/>
    <w:rsid w:val="00576959"/>
    <w:rsid w:val="005C221D"/>
    <w:rsid w:val="005C520C"/>
    <w:rsid w:val="005E3461"/>
    <w:rsid w:val="005E56A9"/>
    <w:rsid w:val="005F1923"/>
    <w:rsid w:val="00600C95"/>
    <w:rsid w:val="00605781"/>
    <w:rsid w:val="006110C6"/>
    <w:rsid w:val="00612217"/>
    <w:rsid w:val="00625CCD"/>
    <w:rsid w:val="00627996"/>
    <w:rsid w:val="0063628F"/>
    <w:rsid w:val="00643921"/>
    <w:rsid w:val="006467B5"/>
    <w:rsid w:val="00670D9D"/>
    <w:rsid w:val="00671566"/>
    <w:rsid w:val="006921B5"/>
    <w:rsid w:val="006929A8"/>
    <w:rsid w:val="006930FD"/>
    <w:rsid w:val="006B2E5A"/>
    <w:rsid w:val="006C0CB6"/>
    <w:rsid w:val="006C2228"/>
    <w:rsid w:val="006D1883"/>
    <w:rsid w:val="006F3504"/>
    <w:rsid w:val="00700784"/>
    <w:rsid w:val="007053B2"/>
    <w:rsid w:val="007065D2"/>
    <w:rsid w:val="0073119D"/>
    <w:rsid w:val="007443C9"/>
    <w:rsid w:val="007736DE"/>
    <w:rsid w:val="00784DFB"/>
    <w:rsid w:val="00792621"/>
    <w:rsid w:val="00795A6D"/>
    <w:rsid w:val="007A02F2"/>
    <w:rsid w:val="007B5425"/>
    <w:rsid w:val="007B7016"/>
    <w:rsid w:val="007D03E5"/>
    <w:rsid w:val="007D1924"/>
    <w:rsid w:val="007E325F"/>
    <w:rsid w:val="007F1459"/>
    <w:rsid w:val="007F2060"/>
    <w:rsid w:val="007F7D10"/>
    <w:rsid w:val="00815F85"/>
    <w:rsid w:val="0082140E"/>
    <w:rsid w:val="0083171F"/>
    <w:rsid w:val="00832C61"/>
    <w:rsid w:val="008720EF"/>
    <w:rsid w:val="008864DE"/>
    <w:rsid w:val="00897363"/>
    <w:rsid w:val="008A6A43"/>
    <w:rsid w:val="008B77F5"/>
    <w:rsid w:val="008C0C9C"/>
    <w:rsid w:val="008C0DF0"/>
    <w:rsid w:val="008D0ED7"/>
    <w:rsid w:val="008E68F4"/>
    <w:rsid w:val="009037C2"/>
    <w:rsid w:val="00932F78"/>
    <w:rsid w:val="009550E0"/>
    <w:rsid w:val="00972C23"/>
    <w:rsid w:val="0097649D"/>
    <w:rsid w:val="00984033"/>
    <w:rsid w:val="00995725"/>
    <w:rsid w:val="009962C7"/>
    <w:rsid w:val="009A1AD0"/>
    <w:rsid w:val="009A1AFE"/>
    <w:rsid w:val="009B6CBA"/>
    <w:rsid w:val="009D160E"/>
    <w:rsid w:val="009F12AF"/>
    <w:rsid w:val="009F1545"/>
    <w:rsid w:val="009F6F56"/>
    <w:rsid w:val="009F7F89"/>
    <w:rsid w:val="00A02080"/>
    <w:rsid w:val="00A068CB"/>
    <w:rsid w:val="00A44E75"/>
    <w:rsid w:val="00A50270"/>
    <w:rsid w:val="00A5266B"/>
    <w:rsid w:val="00AC27F8"/>
    <w:rsid w:val="00AC3008"/>
    <w:rsid w:val="00AD5F58"/>
    <w:rsid w:val="00AD75E0"/>
    <w:rsid w:val="00AF4A75"/>
    <w:rsid w:val="00AF5674"/>
    <w:rsid w:val="00B24772"/>
    <w:rsid w:val="00B307E8"/>
    <w:rsid w:val="00B31CA2"/>
    <w:rsid w:val="00B34859"/>
    <w:rsid w:val="00B43A53"/>
    <w:rsid w:val="00B44C2F"/>
    <w:rsid w:val="00B472CC"/>
    <w:rsid w:val="00B479E3"/>
    <w:rsid w:val="00B560F3"/>
    <w:rsid w:val="00B74BBD"/>
    <w:rsid w:val="00B77417"/>
    <w:rsid w:val="00B836FA"/>
    <w:rsid w:val="00B93A7A"/>
    <w:rsid w:val="00BA26A5"/>
    <w:rsid w:val="00BA727B"/>
    <w:rsid w:val="00BC0B05"/>
    <w:rsid w:val="00BC2014"/>
    <w:rsid w:val="00BD5387"/>
    <w:rsid w:val="00BD5DD7"/>
    <w:rsid w:val="00BE0342"/>
    <w:rsid w:val="00BE17ED"/>
    <w:rsid w:val="00BE5A03"/>
    <w:rsid w:val="00BE638D"/>
    <w:rsid w:val="00C04F72"/>
    <w:rsid w:val="00C051AC"/>
    <w:rsid w:val="00C26682"/>
    <w:rsid w:val="00C51677"/>
    <w:rsid w:val="00C51C8D"/>
    <w:rsid w:val="00C63229"/>
    <w:rsid w:val="00C644C1"/>
    <w:rsid w:val="00C723D5"/>
    <w:rsid w:val="00C7575B"/>
    <w:rsid w:val="00C766E2"/>
    <w:rsid w:val="00C954E8"/>
    <w:rsid w:val="00CA4AD3"/>
    <w:rsid w:val="00CB53E4"/>
    <w:rsid w:val="00CB622A"/>
    <w:rsid w:val="00CB67DF"/>
    <w:rsid w:val="00CD7FEB"/>
    <w:rsid w:val="00CE3F41"/>
    <w:rsid w:val="00CE7ADD"/>
    <w:rsid w:val="00CF713E"/>
    <w:rsid w:val="00D024B3"/>
    <w:rsid w:val="00D0385F"/>
    <w:rsid w:val="00D27E91"/>
    <w:rsid w:val="00D66A4F"/>
    <w:rsid w:val="00D736FA"/>
    <w:rsid w:val="00D9231E"/>
    <w:rsid w:val="00DB0B9E"/>
    <w:rsid w:val="00DB1821"/>
    <w:rsid w:val="00DC0056"/>
    <w:rsid w:val="00DD2896"/>
    <w:rsid w:val="00DD30DB"/>
    <w:rsid w:val="00DD4297"/>
    <w:rsid w:val="00E00A37"/>
    <w:rsid w:val="00E05D10"/>
    <w:rsid w:val="00E15CC3"/>
    <w:rsid w:val="00E22335"/>
    <w:rsid w:val="00E34A74"/>
    <w:rsid w:val="00E44D34"/>
    <w:rsid w:val="00E50A35"/>
    <w:rsid w:val="00E53117"/>
    <w:rsid w:val="00E71959"/>
    <w:rsid w:val="00E768E6"/>
    <w:rsid w:val="00E967E3"/>
    <w:rsid w:val="00E97F99"/>
    <w:rsid w:val="00EB1D3C"/>
    <w:rsid w:val="00EB26AF"/>
    <w:rsid w:val="00EC0349"/>
    <w:rsid w:val="00ED0591"/>
    <w:rsid w:val="00ED29D1"/>
    <w:rsid w:val="00EE2126"/>
    <w:rsid w:val="00F01937"/>
    <w:rsid w:val="00F40799"/>
    <w:rsid w:val="00F94A3A"/>
    <w:rsid w:val="00F96D34"/>
    <w:rsid w:val="00FB2A97"/>
    <w:rsid w:val="00FB4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693493"/>
  <w15:docId w15:val="{7B450F71-B2D1-468C-9CB4-A4962AEA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kern w:val="2"/>
      <w:sz w:val="24"/>
      <w:szCs w:val="24"/>
      <w:lang w:val="en-US"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basedOn w:val="Bodytext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 w:type="paragraph" w:styleId="Header">
    <w:name w:val="header"/>
    <w:basedOn w:val="Normal"/>
    <w:link w:val="HeaderChar"/>
    <w:uiPriority w:val="99"/>
    <w:unhideWhenUsed/>
    <w:locked/>
    <w:rsid w:val="0002685A"/>
    <w:pPr>
      <w:tabs>
        <w:tab w:val="center" w:pos="4513"/>
        <w:tab w:val="right" w:pos="9026"/>
      </w:tabs>
    </w:pPr>
  </w:style>
  <w:style w:type="character" w:customStyle="1" w:styleId="HeaderChar">
    <w:name w:val="Header Char"/>
    <w:link w:val="Header"/>
    <w:uiPriority w:val="99"/>
    <w:rsid w:val="0002685A"/>
    <w:rPr>
      <w:kern w:val="2"/>
      <w:sz w:val="24"/>
      <w:szCs w:val="24"/>
    </w:rPr>
  </w:style>
  <w:style w:type="paragraph" w:styleId="Footer">
    <w:name w:val="footer"/>
    <w:basedOn w:val="Normal"/>
    <w:link w:val="FooterChar"/>
    <w:uiPriority w:val="99"/>
    <w:unhideWhenUsed/>
    <w:locked/>
    <w:rsid w:val="0002685A"/>
    <w:pPr>
      <w:tabs>
        <w:tab w:val="center" w:pos="4513"/>
        <w:tab w:val="right" w:pos="9026"/>
      </w:tabs>
    </w:pPr>
  </w:style>
  <w:style w:type="character" w:customStyle="1" w:styleId="FooterChar">
    <w:name w:val="Footer Char"/>
    <w:link w:val="Footer"/>
    <w:uiPriority w:val="99"/>
    <w:rsid w:val="0002685A"/>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4222035">
      <w:marLeft w:val="0"/>
      <w:marRight w:val="0"/>
      <w:marTop w:val="0"/>
      <w:marBottom w:val="0"/>
      <w:divBdr>
        <w:top w:val="none" w:sz="0" w:space="0" w:color="auto"/>
        <w:left w:val="none" w:sz="0" w:space="0" w:color="auto"/>
        <w:bottom w:val="none" w:sz="0" w:space="0" w:color="auto"/>
        <w:right w:val="none" w:sz="0" w:space="0" w:color="auto"/>
      </w:divBdr>
      <w:divsChild>
        <w:div w:id="1924222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1000</TotalTime>
  <Pages>13</Pages>
  <Words>11837</Words>
  <Characters>67476</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Nino Trokashvili</cp:lastModifiedBy>
  <cp:revision>108</cp:revision>
  <cp:lastPrinted>2026-07-29T11:07:00Z</cp:lastPrinted>
  <dcterms:created xsi:type="dcterms:W3CDTF">2025-12-01T08:11:00Z</dcterms:created>
  <dcterms:modified xsi:type="dcterms:W3CDTF">2026-08-19T08:54:00Z</dcterms:modified>
</cp:coreProperties>
</file>