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2853C" w14:textId="5EF5DDF6" w:rsidR="00575707" w:rsidRDefault="002360C9" w:rsidP="002360C9">
      <w:pPr>
        <w:pStyle w:val="ListParagraph"/>
        <w:tabs>
          <w:tab w:val="left" w:pos="-142"/>
        </w:tabs>
        <w:ind w:left="360"/>
        <w:jc w:val="center"/>
        <w:rPr>
          <w:rFonts w:ascii="Sylfaen" w:hAnsi="Sylfaen" w:cs="Sylfaen"/>
          <w:b/>
          <w:bCs/>
          <w:sz w:val="20"/>
          <w:szCs w:val="20"/>
          <w:lang w:val="ka-GE" w:eastAsia="en-US"/>
        </w:rPr>
      </w:pPr>
      <w:proofErr w:type="spellStart"/>
      <w:r w:rsidRPr="002360C9">
        <w:rPr>
          <w:rFonts w:ascii="Sylfaen" w:hAnsi="Sylfaen" w:cs="Sylfaen"/>
          <w:b/>
          <w:bCs/>
          <w:sz w:val="20"/>
          <w:szCs w:val="20"/>
          <w:lang w:val="ka-GE" w:eastAsia="en-US"/>
        </w:rPr>
        <w:t>სარეკპმენდაციო</w:t>
      </w:r>
      <w:proofErr w:type="spellEnd"/>
      <w:r w:rsidRPr="002360C9">
        <w:rPr>
          <w:rFonts w:ascii="Sylfaen" w:hAnsi="Sylfaen" w:cs="Sylfaen"/>
          <w:b/>
          <w:bCs/>
          <w:sz w:val="20"/>
          <w:szCs w:val="20"/>
          <w:lang w:val="ka-GE" w:eastAsia="en-US"/>
        </w:rPr>
        <w:t xml:space="preserve"> ვერსია</w:t>
      </w:r>
    </w:p>
    <w:p w14:paraId="199B5CF3" w14:textId="77777777" w:rsidR="002360C9" w:rsidRPr="002360C9" w:rsidRDefault="002360C9" w:rsidP="002360C9">
      <w:pPr>
        <w:pStyle w:val="ListParagraph"/>
        <w:tabs>
          <w:tab w:val="left" w:pos="-142"/>
        </w:tabs>
        <w:ind w:left="360"/>
        <w:jc w:val="center"/>
        <w:rPr>
          <w:rFonts w:ascii="Sylfaen" w:hAnsi="Sylfaen" w:cs="Sylfaen"/>
          <w:b/>
          <w:bCs/>
          <w:sz w:val="20"/>
          <w:szCs w:val="20"/>
          <w:lang w:val="ka-GE" w:eastAsia="en-US"/>
        </w:rPr>
      </w:pPr>
    </w:p>
    <w:p w14:paraId="4CDE1D52" w14:textId="77777777" w:rsidR="00575707" w:rsidRPr="003A761E" w:rsidRDefault="00575707" w:rsidP="00635FE1">
      <w:pPr>
        <w:spacing w:after="0" w:line="240" w:lineRule="auto"/>
        <w:ind w:left="360"/>
        <w:jc w:val="center"/>
        <w:rPr>
          <w:rFonts w:ascii="Sylfaen" w:hAnsi="Sylfaen" w:cs="Sylfaen"/>
          <w:b/>
          <w:bCs/>
          <w:sz w:val="20"/>
          <w:szCs w:val="20"/>
          <w:lang w:val="ka-GE"/>
        </w:rPr>
      </w:pPr>
      <w:r w:rsidRPr="003A761E">
        <w:rPr>
          <w:rFonts w:ascii="Sylfaen" w:hAnsi="Sylfaen" w:cs="Sylfaen"/>
          <w:b/>
          <w:bCs/>
          <w:sz w:val="20"/>
          <w:szCs w:val="20"/>
          <w:lang w:val="ka-GE"/>
        </w:rPr>
        <w:t>პაციენტის ინფორმაცია</w:t>
      </w:r>
    </w:p>
    <w:p w14:paraId="0017BA6B" w14:textId="77777777" w:rsidR="00575707" w:rsidRPr="003A761E" w:rsidRDefault="00575707" w:rsidP="00C87ED8">
      <w:pPr>
        <w:spacing w:after="0" w:line="240" w:lineRule="auto"/>
        <w:ind w:left="360"/>
        <w:jc w:val="both"/>
        <w:rPr>
          <w:rFonts w:ascii="Sylfaen" w:hAnsi="Sylfaen" w:cs="Sylfaen"/>
          <w:b/>
          <w:bCs/>
          <w:sz w:val="20"/>
          <w:szCs w:val="20"/>
          <w:lang w:val="ka-GE"/>
        </w:rPr>
      </w:pPr>
    </w:p>
    <w:p w14:paraId="2957565E"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roofErr w:type="spellStart"/>
      <w:r w:rsidRPr="003A761E">
        <w:rPr>
          <w:rFonts w:ascii="Sylfaen" w:hAnsi="Sylfaen" w:cs="Sylfaen"/>
          <w:b/>
          <w:bCs/>
          <w:sz w:val="20"/>
          <w:szCs w:val="20"/>
          <w:lang w:val="ka-GE" w:eastAsia="en-US"/>
        </w:rPr>
        <w:t>ნაპროსინი</w:t>
      </w:r>
      <w:proofErr w:type="spellEnd"/>
      <w:r w:rsidRPr="003A761E">
        <w:rPr>
          <w:rFonts w:ascii="Sylfaen" w:hAnsi="Sylfaen" w:cs="Sylfaen"/>
          <w:b/>
          <w:bCs/>
          <w:sz w:val="20"/>
          <w:szCs w:val="20"/>
          <w:lang w:val="ka-GE" w:eastAsia="en-US"/>
        </w:rPr>
        <w:t xml:space="preserve">® CR 750 </w:t>
      </w:r>
      <w:proofErr w:type="spellStart"/>
      <w:r w:rsidRPr="003A761E">
        <w:rPr>
          <w:rFonts w:ascii="Sylfaen" w:hAnsi="Sylfaen" w:cs="Sylfaen"/>
          <w:b/>
          <w:bCs/>
          <w:sz w:val="20"/>
          <w:szCs w:val="20"/>
          <w:lang w:val="ka-GE" w:eastAsia="en-US"/>
        </w:rPr>
        <w:t>მგ</w:t>
      </w:r>
      <w:proofErr w:type="spellEnd"/>
      <w:r w:rsidRPr="003A761E">
        <w:rPr>
          <w:rFonts w:ascii="Sylfaen" w:hAnsi="Sylfaen" w:cs="Sylfaen"/>
          <w:b/>
          <w:bCs/>
          <w:sz w:val="20"/>
          <w:szCs w:val="20"/>
          <w:lang w:val="ka-GE" w:eastAsia="en-US"/>
        </w:rPr>
        <w:t xml:space="preserve"> გახანგრძლივებული გამოთავისუფლების ტაბლეტი</w:t>
      </w:r>
    </w:p>
    <w:p w14:paraId="1699102C"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roofErr w:type="spellStart"/>
      <w:r w:rsidRPr="003A761E">
        <w:rPr>
          <w:rFonts w:ascii="Sylfaen" w:hAnsi="Sylfaen" w:cs="Sylfaen"/>
          <w:b/>
          <w:bCs/>
          <w:sz w:val="20"/>
          <w:szCs w:val="20"/>
          <w:lang w:val="ka-GE" w:eastAsia="en-US"/>
        </w:rPr>
        <w:t>პერორალური</w:t>
      </w:r>
      <w:proofErr w:type="spellEnd"/>
      <w:r w:rsidRPr="003A761E">
        <w:rPr>
          <w:rFonts w:ascii="Sylfaen" w:hAnsi="Sylfaen" w:cs="Sylfaen"/>
          <w:b/>
          <w:bCs/>
          <w:sz w:val="20"/>
          <w:szCs w:val="20"/>
          <w:lang w:val="ka-GE" w:eastAsia="en-US"/>
        </w:rPr>
        <w:t xml:space="preserve"> გამოყენებისთვის.</w:t>
      </w:r>
    </w:p>
    <w:p w14:paraId="090E15B2"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
    <w:p w14:paraId="7C62F97E" w14:textId="77777777" w:rsidR="00575707" w:rsidRPr="003A761E" w:rsidRDefault="00575707" w:rsidP="00206A41">
      <w:pPr>
        <w:pStyle w:val="ListParagraph"/>
        <w:tabs>
          <w:tab w:val="left" w:pos="-142"/>
        </w:tabs>
        <w:ind w:left="360"/>
        <w:rPr>
          <w:rFonts w:ascii="Sylfaen" w:hAnsi="Sylfaen" w:cs="Sylfaen"/>
          <w:bCs/>
          <w:sz w:val="20"/>
          <w:szCs w:val="20"/>
          <w:lang w:val="ka-GE" w:eastAsia="en-US"/>
        </w:rPr>
      </w:pPr>
      <w:r w:rsidRPr="003A761E">
        <w:rPr>
          <w:rFonts w:ascii="Sylfaen" w:hAnsi="Sylfaen" w:cs="Sylfaen"/>
          <w:b/>
          <w:bCs/>
          <w:sz w:val="20"/>
          <w:szCs w:val="20"/>
          <w:lang w:val="ka-GE" w:eastAsia="en-US"/>
        </w:rPr>
        <w:t xml:space="preserve">წამლის სუბსტანცია: </w:t>
      </w:r>
      <w:r w:rsidRPr="003A761E">
        <w:rPr>
          <w:rFonts w:ascii="Sylfaen" w:hAnsi="Sylfaen" w:cs="Sylfaen"/>
          <w:bCs/>
          <w:sz w:val="20"/>
          <w:szCs w:val="20"/>
          <w:lang w:val="ka-GE" w:eastAsia="en-US"/>
        </w:rPr>
        <w:t xml:space="preserve">თითოეული ტაბლეტი შეიცავს 750 </w:t>
      </w:r>
      <w:proofErr w:type="spellStart"/>
      <w:r w:rsidRPr="003A761E">
        <w:rPr>
          <w:rFonts w:ascii="Sylfaen" w:hAnsi="Sylfaen" w:cs="Sylfaen"/>
          <w:bCs/>
          <w:sz w:val="20"/>
          <w:szCs w:val="20"/>
          <w:lang w:val="ka-GE" w:eastAsia="en-US"/>
        </w:rPr>
        <w:t>მგ</w:t>
      </w:r>
      <w:proofErr w:type="spellEnd"/>
      <w:r w:rsidRPr="003A761E">
        <w:rPr>
          <w:rFonts w:ascii="Sylfaen" w:hAnsi="Sylfaen" w:cs="Sylfaen"/>
          <w:bCs/>
          <w:sz w:val="20"/>
          <w:szCs w:val="20"/>
          <w:lang w:val="ka-GE" w:eastAsia="en-US"/>
        </w:rPr>
        <w:t xml:space="preserve"> </w:t>
      </w:r>
      <w:proofErr w:type="spellStart"/>
      <w:r w:rsidRPr="003A761E">
        <w:rPr>
          <w:rFonts w:ascii="Sylfaen" w:hAnsi="Sylfaen" w:cs="Sylfaen"/>
          <w:bCs/>
          <w:sz w:val="20"/>
          <w:szCs w:val="20"/>
          <w:lang w:val="ka-GE" w:eastAsia="en-US"/>
        </w:rPr>
        <w:t>ნაპროქსენს</w:t>
      </w:r>
      <w:proofErr w:type="spellEnd"/>
      <w:r w:rsidRPr="003A761E">
        <w:rPr>
          <w:rFonts w:ascii="Sylfaen" w:hAnsi="Sylfaen" w:cs="Sylfaen"/>
          <w:bCs/>
          <w:sz w:val="20"/>
          <w:szCs w:val="20"/>
          <w:lang w:val="ka-GE" w:eastAsia="en-US"/>
        </w:rPr>
        <w:t>.</w:t>
      </w:r>
    </w:p>
    <w:p w14:paraId="7C0A60F0" w14:textId="77777777" w:rsidR="00575707" w:rsidRPr="003A761E" w:rsidRDefault="00575707" w:rsidP="00206A41">
      <w:pPr>
        <w:pStyle w:val="ListParagraph"/>
        <w:tabs>
          <w:tab w:val="left" w:pos="-142"/>
        </w:tabs>
        <w:ind w:left="360"/>
        <w:rPr>
          <w:rFonts w:ascii="Sylfaen" w:hAnsi="Sylfaen" w:cs="Sylfaen"/>
          <w:bCs/>
          <w:sz w:val="20"/>
          <w:szCs w:val="20"/>
          <w:lang w:val="ka-GE" w:eastAsia="en-US"/>
        </w:rPr>
      </w:pPr>
      <w:r w:rsidRPr="003A761E">
        <w:rPr>
          <w:rFonts w:ascii="Sylfaen" w:hAnsi="Sylfaen" w:cs="Sylfaen"/>
          <w:bCs/>
          <w:sz w:val="20"/>
          <w:szCs w:val="20"/>
          <w:lang w:val="ka-GE" w:eastAsia="en-US"/>
        </w:rPr>
        <w:t xml:space="preserve">დამხმარე ნივთიერებები: </w:t>
      </w:r>
      <w:proofErr w:type="spellStart"/>
      <w:r w:rsidRPr="003A761E">
        <w:rPr>
          <w:rFonts w:ascii="Sylfaen" w:hAnsi="Sylfaen" w:cs="Sylfaen"/>
          <w:bCs/>
          <w:sz w:val="20"/>
          <w:szCs w:val="20"/>
          <w:lang w:val="ka-GE" w:eastAsia="en-US"/>
        </w:rPr>
        <w:t>ჰიდროქსიპროპილ</w:t>
      </w:r>
      <w:proofErr w:type="spellEnd"/>
      <w:r w:rsidRPr="003A761E">
        <w:rPr>
          <w:rFonts w:ascii="Sylfaen" w:hAnsi="Sylfaen" w:cs="Sylfaen"/>
          <w:bCs/>
          <w:sz w:val="20"/>
          <w:szCs w:val="20"/>
          <w:lang w:val="ka-GE" w:eastAsia="en-US"/>
        </w:rPr>
        <w:t xml:space="preserve"> </w:t>
      </w:r>
      <w:proofErr w:type="spellStart"/>
      <w:r w:rsidRPr="003A761E">
        <w:rPr>
          <w:rFonts w:ascii="Sylfaen" w:hAnsi="Sylfaen" w:cs="Sylfaen"/>
          <w:bCs/>
          <w:sz w:val="20"/>
          <w:szCs w:val="20"/>
          <w:lang w:val="ka-GE" w:eastAsia="en-US"/>
        </w:rPr>
        <w:t>მეთილცელულოზა</w:t>
      </w:r>
      <w:proofErr w:type="spellEnd"/>
      <w:r w:rsidRPr="003A761E">
        <w:rPr>
          <w:rFonts w:ascii="Sylfaen" w:hAnsi="Sylfaen" w:cs="Sylfaen"/>
          <w:bCs/>
          <w:sz w:val="20"/>
          <w:szCs w:val="20"/>
          <w:lang w:val="ka-GE" w:eastAsia="en-US"/>
        </w:rPr>
        <w:t xml:space="preserve"> 2208, მაგნიუმის </w:t>
      </w:r>
      <w:proofErr w:type="spellStart"/>
      <w:r w:rsidRPr="003A761E">
        <w:rPr>
          <w:rFonts w:ascii="Sylfaen" w:hAnsi="Sylfaen" w:cs="Sylfaen"/>
          <w:bCs/>
          <w:sz w:val="20"/>
          <w:szCs w:val="20"/>
          <w:lang w:val="ka-GE" w:eastAsia="en-US"/>
        </w:rPr>
        <w:t>სტეარატი</w:t>
      </w:r>
      <w:proofErr w:type="spellEnd"/>
      <w:r w:rsidRPr="003A761E">
        <w:rPr>
          <w:rFonts w:ascii="Sylfaen" w:hAnsi="Sylfaen" w:cs="Sylfaen"/>
          <w:bCs/>
          <w:sz w:val="20"/>
          <w:szCs w:val="20"/>
          <w:lang w:val="ka-GE" w:eastAsia="en-US"/>
        </w:rPr>
        <w:t xml:space="preserve">, FD&amp;C ყვითელი </w:t>
      </w:r>
      <w:proofErr w:type="spellStart"/>
      <w:r w:rsidRPr="003A761E">
        <w:rPr>
          <w:rFonts w:ascii="Sylfaen" w:hAnsi="Sylfaen" w:cs="Sylfaen"/>
          <w:bCs/>
          <w:sz w:val="20"/>
          <w:szCs w:val="20"/>
          <w:lang w:val="ka-GE" w:eastAsia="en-US"/>
        </w:rPr>
        <w:t>No</w:t>
      </w:r>
      <w:proofErr w:type="spellEnd"/>
      <w:r w:rsidRPr="003A761E">
        <w:rPr>
          <w:rFonts w:ascii="Sylfaen" w:hAnsi="Sylfaen" w:cs="Sylfaen"/>
          <w:bCs/>
          <w:sz w:val="20"/>
          <w:szCs w:val="20"/>
          <w:lang w:val="ka-GE" w:eastAsia="en-US"/>
        </w:rPr>
        <w:t>. 6 და გასუფთავებული წყალი.</w:t>
      </w:r>
    </w:p>
    <w:p w14:paraId="3535D54B"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575707" w:rsidRPr="003A761E" w14:paraId="0C2DFA75" w14:textId="77777777">
        <w:tc>
          <w:tcPr>
            <w:tcW w:w="10173" w:type="dxa"/>
          </w:tcPr>
          <w:p w14:paraId="6D446CB2" w14:textId="77777777" w:rsidR="00575707" w:rsidRPr="003A761E" w:rsidRDefault="00575707" w:rsidP="00C87ED8">
            <w:pPr>
              <w:spacing w:after="0" w:line="240" w:lineRule="auto"/>
              <w:ind w:left="360"/>
              <w:jc w:val="both"/>
              <w:rPr>
                <w:rFonts w:ascii="Sylfaen" w:hAnsi="Sylfaen" w:cs="Sylfaen"/>
                <w:b/>
                <w:bCs/>
                <w:sz w:val="20"/>
                <w:szCs w:val="20"/>
                <w:lang w:val="ka-GE"/>
              </w:rPr>
            </w:pPr>
            <w:r w:rsidRPr="003A761E">
              <w:rPr>
                <w:rFonts w:ascii="Sylfaen" w:hAnsi="Sylfaen" w:cs="Sylfaen"/>
                <w:b/>
                <w:bCs/>
                <w:noProof/>
                <w:sz w:val="20"/>
                <w:szCs w:val="20"/>
                <w:lang w:val="ka-GE"/>
              </w:rPr>
              <w:t xml:space="preserve">ამ </w:t>
            </w:r>
            <w:r w:rsidRPr="003A761E">
              <w:rPr>
                <w:rFonts w:ascii="Sylfaen" w:hAnsi="Sylfaen" w:cs="Sylfaen"/>
                <w:b/>
                <w:bCs/>
                <w:noProof/>
                <w:sz w:val="20"/>
                <w:szCs w:val="20"/>
              </w:rPr>
              <w:t xml:space="preserve">პრეპარატის გამოყენების დაწყებამდე </w:t>
            </w:r>
            <w:r w:rsidRPr="003A761E">
              <w:rPr>
                <w:rFonts w:ascii="Sylfaen" w:hAnsi="Sylfaen" w:cs="Sylfaen"/>
                <w:b/>
                <w:bCs/>
                <w:noProof/>
                <w:sz w:val="20"/>
                <w:szCs w:val="20"/>
                <w:lang w:val="ka-GE"/>
              </w:rPr>
              <w:t xml:space="preserve">ყურადღებით </w:t>
            </w:r>
            <w:r w:rsidRPr="003A761E">
              <w:rPr>
                <w:rFonts w:ascii="Sylfaen" w:hAnsi="Sylfaen" w:cs="Sylfaen"/>
                <w:b/>
                <w:bCs/>
                <w:noProof/>
                <w:sz w:val="20"/>
                <w:szCs w:val="20"/>
              </w:rPr>
              <w:t>წაიკითხეთ</w:t>
            </w:r>
            <w:r w:rsidRPr="003A761E">
              <w:rPr>
                <w:rFonts w:ascii="Sylfaen" w:hAnsi="Sylfaen" w:cs="Sylfaen"/>
                <w:b/>
                <w:bCs/>
                <w:noProof/>
                <w:sz w:val="20"/>
                <w:szCs w:val="20"/>
                <w:lang w:val="ka-GE"/>
              </w:rPr>
              <w:t xml:space="preserve"> ეს </w:t>
            </w:r>
            <w:r w:rsidRPr="003A761E">
              <w:rPr>
                <w:rFonts w:ascii="Sylfaen" w:hAnsi="Sylfaen" w:cs="Sylfaen"/>
                <w:b/>
                <w:bCs/>
                <w:noProof/>
                <w:sz w:val="20"/>
                <w:szCs w:val="20"/>
              </w:rPr>
              <w:t>ფურცელი-ჩანართი</w:t>
            </w:r>
            <w:r w:rsidRPr="003A761E">
              <w:rPr>
                <w:rFonts w:ascii="Sylfaen" w:hAnsi="Sylfaen" w:cs="Sylfaen"/>
                <w:b/>
                <w:bCs/>
                <w:noProof/>
                <w:sz w:val="20"/>
                <w:szCs w:val="20"/>
                <w:lang w:val="ka-GE"/>
              </w:rPr>
              <w:t xml:space="preserve">, რადგან ის შეიცავს თქვენთვის მნიშვნელოვან ინფორმაციას.  </w:t>
            </w:r>
          </w:p>
          <w:p w14:paraId="750AC952"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noProof/>
                <w:sz w:val="20"/>
                <w:szCs w:val="20"/>
              </w:rPr>
              <w:t>შეინახეთ</w:t>
            </w:r>
            <w:r w:rsidRPr="003A761E">
              <w:rPr>
                <w:rFonts w:ascii="Sylfaen" w:hAnsi="Sylfaen" w:cs="Sylfaen"/>
                <w:i/>
                <w:iCs/>
                <w:noProof/>
                <w:sz w:val="20"/>
                <w:szCs w:val="20"/>
                <w:lang w:val="ka-GE"/>
              </w:rPr>
              <w:t xml:space="preserve"> </w:t>
            </w:r>
            <w:r w:rsidRPr="003A761E">
              <w:rPr>
                <w:rFonts w:ascii="Sylfaen" w:hAnsi="Sylfaen" w:cs="Sylfaen"/>
                <w:i/>
                <w:iCs/>
                <w:noProof/>
                <w:sz w:val="20"/>
                <w:szCs w:val="20"/>
              </w:rPr>
              <w:t>ფურცელი-ჩანართი. შე</w:t>
            </w:r>
            <w:r w:rsidRPr="003A761E">
              <w:rPr>
                <w:rFonts w:ascii="Sylfaen" w:hAnsi="Sylfaen" w:cs="Sylfaen"/>
                <w:i/>
                <w:iCs/>
                <w:noProof/>
                <w:sz w:val="20"/>
                <w:szCs w:val="20"/>
                <w:lang w:val="ka-GE"/>
              </w:rPr>
              <w:t xml:space="preserve">საძლოა თქვენ </w:t>
            </w:r>
            <w:r w:rsidRPr="003A761E">
              <w:rPr>
                <w:rFonts w:ascii="Sylfaen" w:hAnsi="Sylfaen" w:cs="Sylfaen"/>
                <w:i/>
                <w:iCs/>
                <w:noProof/>
                <w:sz w:val="20"/>
                <w:szCs w:val="20"/>
              </w:rPr>
              <w:t xml:space="preserve">დაგჭირდეთ მისი </w:t>
            </w:r>
            <w:r w:rsidRPr="003A761E">
              <w:rPr>
                <w:rFonts w:ascii="Sylfaen" w:hAnsi="Sylfaen" w:cs="Sylfaen"/>
                <w:i/>
                <w:iCs/>
                <w:noProof/>
                <w:sz w:val="20"/>
                <w:szCs w:val="20"/>
                <w:lang w:val="ka-GE"/>
              </w:rPr>
              <w:t xml:space="preserve">კვლავ </w:t>
            </w:r>
            <w:r w:rsidRPr="003A761E">
              <w:rPr>
                <w:rFonts w:ascii="Sylfaen" w:hAnsi="Sylfaen" w:cs="Sylfaen"/>
                <w:i/>
                <w:iCs/>
                <w:noProof/>
                <w:sz w:val="20"/>
                <w:szCs w:val="20"/>
              </w:rPr>
              <w:t>წაკითხვა.</w:t>
            </w:r>
          </w:p>
          <w:p w14:paraId="39DA34EB"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თუ თქვენ რაიმე დამატებითი კითხვები გაქვთ, მიმართეთ თქვენს ექიმს ან</w:t>
            </w:r>
            <w:r w:rsidRPr="003A761E">
              <w:rPr>
                <w:rFonts w:ascii="Sylfaen" w:hAnsi="Sylfaen" w:cs="Sylfaen"/>
                <w:i/>
                <w:iCs/>
                <w:sz w:val="20"/>
                <w:szCs w:val="20"/>
              </w:rPr>
              <w:t xml:space="preserve"> </w:t>
            </w:r>
            <w:r w:rsidRPr="003A761E">
              <w:rPr>
                <w:rFonts w:ascii="Sylfaen" w:hAnsi="Sylfaen" w:cs="Sylfaen"/>
                <w:i/>
                <w:iCs/>
                <w:sz w:val="20"/>
                <w:szCs w:val="20"/>
                <w:lang w:val="ka-GE"/>
              </w:rPr>
              <w:t>ფარმაცევტს.</w:t>
            </w:r>
          </w:p>
          <w:p w14:paraId="032CE508"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 xml:space="preserve">ეს პრეპარატი დანიშნულია მხოლოდ თქვენთვის. არ გადასცეთ ის სხვებს. </w:t>
            </w:r>
          </w:p>
          <w:p w14:paraId="6C5B0639"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Cs/>
                <w:sz w:val="20"/>
                <w:szCs w:val="20"/>
                <w:lang w:val="ka-GE"/>
              </w:rPr>
              <w:t>თუ ამ პრეპარატის გამოყენების პერიოდში ექიმთან ან საავადმყოფოში მიდიხართ, აცნობეთ ექიმს, რომ იყენებთ ამ პრეპარატს.</w:t>
            </w:r>
          </w:p>
          <w:p w14:paraId="7B0A99E3"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 xml:space="preserve">მიყევით მოცემულ ფურცელ–ჩანართში არსებულ ინფორმაციას. არ გამოიყენოთ პრეპარატის </w:t>
            </w:r>
            <w:r w:rsidRPr="003A761E">
              <w:rPr>
                <w:rFonts w:ascii="Sylfaen" w:hAnsi="Sylfaen" w:cs="Sylfaen"/>
                <w:bCs/>
                <w:i/>
                <w:iCs/>
                <w:sz w:val="20"/>
                <w:szCs w:val="20"/>
                <w:lang w:val="ka-GE"/>
              </w:rPr>
              <w:t>უფრო მაღალი</w:t>
            </w:r>
            <w:r w:rsidRPr="003A761E">
              <w:rPr>
                <w:rFonts w:ascii="Sylfaen" w:hAnsi="Sylfaen" w:cs="Sylfaen"/>
                <w:i/>
                <w:iCs/>
                <w:sz w:val="20"/>
                <w:szCs w:val="20"/>
                <w:lang w:val="ka-GE"/>
              </w:rPr>
              <w:t xml:space="preserve"> ან </w:t>
            </w:r>
            <w:r w:rsidRPr="003A761E">
              <w:rPr>
                <w:rFonts w:ascii="Sylfaen" w:hAnsi="Sylfaen" w:cs="Sylfaen"/>
                <w:bCs/>
                <w:i/>
                <w:iCs/>
                <w:sz w:val="20"/>
                <w:szCs w:val="20"/>
                <w:lang w:val="ka-GE"/>
              </w:rPr>
              <w:t>უფრო დაბალი</w:t>
            </w:r>
            <w:r w:rsidRPr="003A761E">
              <w:rPr>
                <w:rFonts w:ascii="Sylfaen" w:hAnsi="Sylfaen" w:cs="Sylfaen"/>
                <w:i/>
                <w:iCs/>
                <w:sz w:val="20"/>
                <w:szCs w:val="20"/>
                <w:lang w:val="ka-GE"/>
              </w:rPr>
              <w:t xml:space="preserve"> დოზა, ვიდრე ეს რეკომენდებულია თქვენთვის.</w:t>
            </w:r>
          </w:p>
          <w:p w14:paraId="60BEA0DC" w14:textId="77777777" w:rsidR="00575707" w:rsidRPr="003A761E" w:rsidRDefault="00575707" w:rsidP="00C87ED8">
            <w:pPr>
              <w:tabs>
                <w:tab w:val="left" w:pos="180"/>
              </w:tabs>
              <w:spacing w:after="0" w:line="240" w:lineRule="auto"/>
              <w:ind w:left="360"/>
              <w:jc w:val="both"/>
              <w:rPr>
                <w:rFonts w:ascii="Sylfaen" w:hAnsi="Sylfaen" w:cs="Sylfaen"/>
                <w:i/>
                <w:iCs/>
                <w:sz w:val="20"/>
                <w:szCs w:val="20"/>
                <w:lang w:val="ka-GE"/>
              </w:rPr>
            </w:pPr>
          </w:p>
        </w:tc>
      </w:tr>
    </w:tbl>
    <w:p w14:paraId="5AEE0882" w14:textId="77777777" w:rsidR="00575707" w:rsidRPr="003A761E" w:rsidRDefault="00575707" w:rsidP="00C87ED8">
      <w:pPr>
        <w:spacing w:after="0" w:line="240" w:lineRule="auto"/>
        <w:ind w:left="360"/>
        <w:jc w:val="both"/>
        <w:rPr>
          <w:rFonts w:ascii="Sylfaen" w:hAnsi="Sylfaen" w:cs="Sylfaen"/>
          <w:i/>
          <w:iCs/>
          <w:sz w:val="20"/>
          <w:szCs w:val="20"/>
          <w:lang w:val="ka-GE"/>
        </w:rPr>
      </w:pPr>
    </w:p>
    <w:p w14:paraId="78C9514B" w14:textId="77777777" w:rsidR="00575707" w:rsidRPr="003A761E" w:rsidRDefault="00575707" w:rsidP="00C87ED8">
      <w:pPr>
        <w:spacing w:after="0" w:line="240" w:lineRule="auto"/>
        <w:ind w:left="360" w:hanging="425"/>
        <w:jc w:val="both"/>
        <w:rPr>
          <w:rFonts w:ascii="Sylfaen" w:hAnsi="Sylfaen" w:cs="Sylfaen"/>
          <w:b/>
          <w:bCs/>
          <w:noProof/>
          <w:sz w:val="20"/>
          <w:szCs w:val="20"/>
          <w:u w:val="single"/>
          <w:lang w:val="ka-GE"/>
        </w:rPr>
      </w:pPr>
      <w:r w:rsidRPr="003A761E">
        <w:rPr>
          <w:rFonts w:ascii="Sylfaen" w:hAnsi="Sylfaen" w:cs="Sylfaen"/>
          <w:b/>
          <w:bCs/>
          <w:noProof/>
          <w:sz w:val="20"/>
          <w:szCs w:val="20"/>
          <w:u w:val="single"/>
          <w:lang w:val="ka-GE"/>
        </w:rPr>
        <w:t xml:space="preserve">ამ </w:t>
      </w:r>
      <w:r w:rsidRPr="003A761E">
        <w:rPr>
          <w:rFonts w:ascii="Sylfaen" w:hAnsi="Sylfaen" w:cs="Sylfaen"/>
          <w:b/>
          <w:bCs/>
          <w:sz w:val="20"/>
          <w:szCs w:val="20"/>
          <w:u w:val="single"/>
          <w:lang w:val="ka-GE"/>
        </w:rPr>
        <w:t>ჩანართში</w:t>
      </w:r>
      <w:r w:rsidRPr="003A761E">
        <w:rPr>
          <w:rFonts w:ascii="Sylfaen" w:hAnsi="Sylfaen" w:cs="Sylfaen"/>
          <w:b/>
          <w:bCs/>
          <w:noProof/>
          <w:sz w:val="20"/>
          <w:szCs w:val="20"/>
          <w:u w:val="single"/>
          <w:lang w:val="ka-GE"/>
        </w:rPr>
        <w:t>:</w:t>
      </w:r>
    </w:p>
    <w:p w14:paraId="5E40A3EE" w14:textId="77777777" w:rsidR="00575707" w:rsidRPr="003A761E" w:rsidRDefault="00575707" w:rsidP="00C87ED8">
      <w:pPr>
        <w:spacing w:after="0" w:line="240" w:lineRule="auto"/>
        <w:ind w:left="360" w:hanging="425"/>
        <w:jc w:val="both"/>
        <w:rPr>
          <w:rFonts w:ascii="Sylfaen" w:hAnsi="Sylfaen" w:cs="Sylfaen"/>
          <w:b/>
          <w:bCs/>
          <w:noProof/>
          <w:sz w:val="20"/>
          <w:szCs w:val="20"/>
          <w:u w:val="single"/>
          <w:lang w:val="ka-GE"/>
        </w:rPr>
      </w:pPr>
    </w:p>
    <w:p w14:paraId="70DDBAB3"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1. რა არის ნაპროსინი CR  და რისთვის გამოიყენება იგი?</w:t>
      </w:r>
    </w:p>
    <w:p w14:paraId="05504BAF"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2. ნაპროსინი CR-ის გამოყენებამდე</w:t>
      </w:r>
    </w:p>
    <w:p w14:paraId="7474265A"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3. როგორ გამოიყენება ნაპროსინი CR ?</w:t>
      </w:r>
    </w:p>
    <w:p w14:paraId="26F04A3A"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4. შესაძლო გვერდითი მოვლენები?</w:t>
      </w:r>
    </w:p>
    <w:p w14:paraId="6B5C4C8A"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5. როგორ ინახება ნაპროსინი CR ?</w:t>
      </w:r>
    </w:p>
    <w:p w14:paraId="4EF1302F" w14:textId="77777777" w:rsidR="00575707" w:rsidRPr="003A761E" w:rsidRDefault="00575707" w:rsidP="00C87ED8">
      <w:pPr>
        <w:spacing w:after="0" w:line="240" w:lineRule="auto"/>
        <w:ind w:left="360" w:hanging="425"/>
        <w:jc w:val="both"/>
        <w:rPr>
          <w:rFonts w:ascii="Sylfaen" w:hAnsi="Sylfaen" w:cs="Sylfaen"/>
          <w:sz w:val="20"/>
          <w:szCs w:val="20"/>
          <w:lang w:val="ka-GE"/>
        </w:rPr>
      </w:pPr>
    </w:p>
    <w:p w14:paraId="15D26434" w14:textId="77777777" w:rsidR="00575707" w:rsidRPr="003A761E" w:rsidRDefault="00575707" w:rsidP="00E66572">
      <w:pPr>
        <w:spacing w:after="0" w:line="240" w:lineRule="auto"/>
        <w:jc w:val="both"/>
        <w:rPr>
          <w:rFonts w:ascii="Sylfaen" w:hAnsi="Sylfaen" w:cs="Sylfaen"/>
          <w:b/>
          <w:sz w:val="20"/>
          <w:szCs w:val="20"/>
          <w:lang w:val="ka-GE"/>
        </w:rPr>
      </w:pPr>
      <w:r w:rsidRPr="003A761E">
        <w:rPr>
          <w:rFonts w:ascii="Sylfaen" w:hAnsi="Sylfaen" w:cs="Sylfaen"/>
          <w:b/>
          <w:sz w:val="20"/>
          <w:szCs w:val="20"/>
          <w:lang w:val="ka-GE"/>
        </w:rPr>
        <w:t>მოცემულია თავები</w:t>
      </w:r>
    </w:p>
    <w:p w14:paraId="435ACC4C" w14:textId="77777777" w:rsidR="00575707" w:rsidRPr="003A761E" w:rsidRDefault="00575707" w:rsidP="00E66572">
      <w:pPr>
        <w:spacing w:after="0" w:line="240" w:lineRule="auto"/>
        <w:jc w:val="both"/>
        <w:rPr>
          <w:rFonts w:ascii="Sylfaen" w:hAnsi="Sylfaen" w:cs="Sylfaen"/>
          <w:sz w:val="20"/>
          <w:szCs w:val="20"/>
          <w:lang w:val="ka-GE"/>
        </w:rPr>
      </w:pPr>
    </w:p>
    <w:p w14:paraId="0D5C5C4D" w14:textId="77777777" w:rsidR="00575707" w:rsidRPr="003A761E" w:rsidRDefault="00575707" w:rsidP="00E66572">
      <w:pPr>
        <w:spacing w:after="0" w:line="240" w:lineRule="auto"/>
        <w:jc w:val="both"/>
        <w:rPr>
          <w:rFonts w:ascii="Sylfaen" w:hAnsi="Sylfaen" w:cs="Sylfaen"/>
          <w:b/>
          <w:bCs/>
          <w:noProof/>
          <w:sz w:val="20"/>
          <w:szCs w:val="20"/>
          <w:lang w:val="ka-GE"/>
        </w:rPr>
      </w:pPr>
      <w:r w:rsidRPr="003A761E">
        <w:rPr>
          <w:rFonts w:ascii="Sylfaen" w:hAnsi="Sylfaen" w:cs="Sylfaen"/>
          <w:b/>
          <w:bCs/>
          <w:noProof/>
          <w:sz w:val="20"/>
          <w:szCs w:val="20"/>
          <w:lang w:val="ka-GE"/>
        </w:rPr>
        <w:t>1. რა არის ნაპროსინი CR  და რისთვის გამოიყენება იგი?</w:t>
      </w:r>
    </w:p>
    <w:p w14:paraId="2B4D9D8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 ხელმისაწვდომია ბლისტერულ შეფუთვაში, რომელიც შეიცავს 10 ან 30 ატმისფერ, ოვალური ფორმის ტაბლეტს.</w:t>
      </w:r>
    </w:p>
    <w:p w14:paraId="5BA1670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 არის ტკივილგამაყუჩებელი, რომელიც მიეკუთვნება არასტეროიდული ანთების საწინააღმდეგო პრეპარატების (აასპ) ჯგუფს.</w:t>
      </w:r>
    </w:p>
    <w:p w14:paraId="59F9BA8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w:t>
      </w:r>
    </w:p>
    <w:p w14:paraId="5C76929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სახსრის ხრტილის დეგენერაცია ტრავმის ან სხვა მდგომარეობების შედეგად, სახსრების ანთება, რომელიც ხასიათდება ტკივილით და ფუნქციის დაკარგვით,</w:t>
      </w:r>
    </w:p>
    <w:p w14:paraId="4BE326E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სახსრების მტკივნეული ანთება, რომელიც ვითარდება ხელებისა და ფეხების სახსრებში,</w:t>
      </w:r>
    </w:p>
    <w:p w14:paraId="6458BA58"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მაანკილოზებელი სპონდილიტი, რევმატოიდული ართრიტის მსგავსი მდგომარეობა, რომელიც ძირითადად აზიანებს ხერხემალს,</w:t>
      </w:r>
    </w:p>
    <w:p w14:paraId="3AF1ABE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როგორც ანთების საწინააღმდეგო და ტკივილგამაყუჩებელი საშუალება რევმატული დაავადებების სამკურნალოდ, როგორიცაა ძლიერი ტკივილი, რომელიც შეინიშნება შემაერთებელ ქსოვილსა და სასახსრე ხრტილში ცილის დეგრადაციის პრობლემის გამო (მწვავე პოდაგრა),</w:t>
      </w:r>
    </w:p>
    <w:p w14:paraId="645D2A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მწვავე კუნთოვანი (ძვლოვანი) ტკივილის შემთხვევებში,</w:t>
      </w:r>
    </w:p>
    <w:p w14:paraId="6523A3E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ქალებში მენსტრუალური სპაზმების თანმხლები ტკივილის შესამსუბუქებლად,</w:t>
      </w:r>
    </w:p>
    <w:p w14:paraId="23535A3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როგორც ტკივილგამაყუჩებელი ორთოპედიული და ქირურგიული პროცედურების დროს.</w:t>
      </w:r>
    </w:p>
    <w:p w14:paraId="4FB9AC07" w14:textId="77777777" w:rsidR="00575707" w:rsidRPr="003A761E" w:rsidRDefault="00575707" w:rsidP="00E66572">
      <w:pPr>
        <w:pStyle w:val="ListParagraph"/>
        <w:ind w:left="0"/>
        <w:rPr>
          <w:rFonts w:ascii="Sylfaen" w:hAnsi="Sylfaen" w:cs="Sylfaen"/>
          <w:noProof/>
          <w:sz w:val="20"/>
          <w:szCs w:val="20"/>
          <w:lang w:val="ka-GE"/>
        </w:rPr>
      </w:pPr>
    </w:p>
    <w:p w14:paraId="21096887"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 xml:space="preserve">2. რა უნდა იცოდეთ ნაპროსინი CR-ის გამოყენებამდე? </w:t>
      </w:r>
    </w:p>
    <w:p w14:paraId="00FBD0AC"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არ გამოიყენოთ ნაპროსინი CR შემდეგ შემთხვევებში</w:t>
      </w:r>
    </w:p>
    <w:p w14:paraId="578110D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გულ-სისხლძარღვთა სისტემასთან დაკავშირებული რისკები</w:t>
      </w:r>
    </w:p>
    <w:p w14:paraId="0D70682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CR-მა შეიძლება გაზარდოს პოტენციურად ფატალური თრომბოზული (შედედებასთან დაკავშირებული) მოვლენების, გულის შეტევების და ინსულტების რისკი. ეს რისკი შეიძლება გაიზარდოს გამოყენების პერიოდის მიხედვით. პაციენტებს, რომლებსაც აქვთ გულ-სისხლძარღვთა დაავადება ან გულ-სისხლძარღვთა დაავადებების რისკ-ფაქტორები, შეიძლება ჰქონდეთ უფრო მაღალი რისკი.</w:t>
      </w:r>
    </w:p>
    <w:p w14:paraId="2C58166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 არ უნდა იქნას გამოყენებული ტკივილის მართვისთვის კორონარული არტერიის შუნტირების ოპერაციამდე.</w:t>
      </w:r>
    </w:p>
    <w:p w14:paraId="4A613C46" w14:textId="77777777" w:rsidR="00575707" w:rsidRPr="003A761E" w:rsidRDefault="00575707" w:rsidP="00E66572">
      <w:pPr>
        <w:pStyle w:val="ListParagraph"/>
        <w:ind w:left="0"/>
        <w:rPr>
          <w:rFonts w:ascii="Sylfaen" w:hAnsi="Sylfaen" w:cs="Sylfaen"/>
          <w:noProof/>
          <w:sz w:val="20"/>
          <w:szCs w:val="20"/>
          <w:lang w:val="ka-GE"/>
        </w:rPr>
      </w:pPr>
    </w:p>
    <w:p w14:paraId="0F5219C2"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lastRenderedPageBreak/>
        <w:t>საჭმლის მომნელებელ სისტემასთან დაკავშირებული რისკები</w:t>
      </w:r>
    </w:p>
    <w:p w14:paraId="5BB2D02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აასპ-ებმა შეიძლება გამოიწვიოს სერიოზული გვერდითი მოვლენები, რომლებიც შეიძლება სიცოცხლისთვის საშიში იყოს, როგორიცაა სისხლდენა, წყლული და კუჭის ან ნაწლავის პერფორაცია. ეს გვერდითი მოვლენები შეიძლება განვითარდეს ნებისმიერ დროს, გამაფრთხილებელი ნიშნით ან მის გარეშე. ხანდაზმული პაციენტები უფრო მაღალი რისკის ქვეშ არიან ამ სერიოზული ეფექტების მიმართ.</w:t>
      </w:r>
    </w:p>
    <w:p w14:paraId="75E8A6E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w:t>
      </w:r>
    </w:p>
    <w:p w14:paraId="79590A31"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ნაპროსინი CR, თუ გაქვთ ალერგია მის რომელიმე ინგრედიენტზე ან ნაპროქსენის ან ნატრიუმის ნაპროქსენის შემცველ მედიკამენტებზე, ან თუ ასპირინი ან ტკივილის, ცხელების და ანთების სამკურნალოდ გამოყენებული სხვა მედიკამენტები იწვევს ასთმის მსგავს სიმპტომებს, სურდოს ან ცხვირის წიაღების ანთებას.</w:t>
      </w:r>
    </w:p>
    <w:p w14:paraId="67E9053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ეს მედიკამენტი, თუ წარსულში გამოყენებულმა ტკივილგამაყუჩებელმა, სიცხის დამწევმა ან ანთების საწინააღმდეგო მედიკამენტებმა გამოიწვია კუჭ-ნაწლავის სისხლდენა ან დაზიანება, ან თუ ამჟამად გაქვთ აქტიური ან მორეციდივე კუჭის ან თორმეტგოჯა ნაწლავის წყლული, ან თუ გქონიათ დიაგნოზირებული წყლულის ან სისხლდენის ორი ან მეტი ეპიზოდი.</w:t>
      </w:r>
    </w:p>
    <w:p w14:paraId="717AF6B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ეს პროდუქტი, თუ გაქვთ თირკმლის, ღვიძლის ან გულის მწვავე უკმარისობა.</w:t>
      </w:r>
    </w:p>
    <w:p w14:paraId="15578022"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კორონარული არტერიის შუნტირების ოპერაციამდე ან მის შემდეგ.</w:t>
      </w:r>
    </w:p>
    <w:p w14:paraId="58DB4DE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თუ პაციენტი 16 წლამდე ასაკისაა.</w:t>
      </w:r>
    </w:p>
    <w:p w14:paraId="704952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ეს პროდუქტი, თუ ძუძუთი კვებავთ ბავშვს ან ორსულობის ბოლო 3 თვეში ხართ.</w:t>
      </w:r>
    </w:p>
    <w:p w14:paraId="47DE2F44" w14:textId="77777777" w:rsidR="00575707" w:rsidRPr="003A761E" w:rsidRDefault="00575707" w:rsidP="00E66572">
      <w:pPr>
        <w:pStyle w:val="ListParagraph"/>
        <w:ind w:left="0"/>
        <w:rPr>
          <w:rFonts w:ascii="Sylfaen" w:hAnsi="Sylfaen" w:cs="Sylfaen"/>
          <w:noProof/>
          <w:sz w:val="20"/>
          <w:szCs w:val="20"/>
          <w:lang w:val="ka-GE"/>
        </w:rPr>
      </w:pPr>
    </w:p>
    <w:p w14:paraId="31C81C7F"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გამოიყენეთ ნაპროსინი CR სიფრთხილით შემდეგ სიტუაციებში</w:t>
      </w:r>
    </w:p>
    <w:p w14:paraId="64F9F0F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მოერიდეთ ტკივილის, ცხელებისა და ანთების საწინააღმდეგო ჯგუფის აქტიურ მედიკამენტებთან ერთად გამოყენებას.</w:t>
      </w:r>
    </w:p>
    <w:p w14:paraId="639E938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მკურნალობის უმცირესი ეფექტური დოზის რაც შეიძლება ხანმოკლედ გამოყენებით, შეგიძლიათ შეამციროთ გვერდითი მოვლენების უმეტესობა.</w:t>
      </w:r>
    </w:p>
    <w:p w14:paraId="558F047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კუჭ-ნაწლავის სერიოზული დაავადება ან სიმპტომები, რომლებიც ადრე არ გქონიათ, სისხლდენა, წყლულები ან დაზიანება შეიძლება განვითარდეს მკურნალობის ნებისმიერ დროს. ტკივილის, ცხელების და ანთების საწინააღმდეგო პრეპარატებით გამოწვეული კუჭ-ნაწლავის ყველაზე სერიოზული დარღვევები აღინიშნა ხანდაზმულ და შეზღუდული შესაძლებლობის მქონე პაციენტებში. ამიტომ, თუ გაქვთ კუჭ-ნაწლავის სერიოზული მდგომარეობა, როგორიცაა წყლული, სისხლდენა ან დაზიანება, ექიმი გირჩევთ, დაიწყოთ მკურნალობა ყველაზე დაბალი დოზით და მასთან ერთად მიიღოთ გარკვეული დამცავი მედიკამენტები (მაგალითად, მიზოპროსტოლი ან პროტონული ტუმბოს ინჰიბიტორები). თუ გჭირდებათ ასპირინის დაბალი დოზით ან სხვა მედიკამენტების მიღება, რომლებმაც შეიძლება გამოიწვიოს კუჭ-ნაწლავის სისხლდენა, ასევე დაგჭირდებათ დამცავი მედიკამენტების მიღება.</w:t>
      </w:r>
    </w:p>
    <w:p w14:paraId="6AAB930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ნაწლავის ანთებითი დაავადება (წყლულოვანი კოლიტი, კრონის დაავადება), სიფრთხილით გამოიყენეთ ტკივილგამაყუჩებლები, სიცხის დამწევები და ანთების საწინააღმდეგო მედიკამენტები, რადგან ამან შეიძლება გაზარდოს თქვენი დისკომფორტის სიმძიმე. თუ წარსულში გქონიათ კუჭ-ნაწლავის ტრაქტტის მოწამვლა, აუცილებლად აცნობეთ ექიმს, თუ განიცდით მუცლის არეში დისკომფორტის რაიმე სიმპტომს. არ გააგრძელოთ ნაპროსინი CR-ის გამოყენება, თუ გაქვთ კუჭ-ნაწლავის სისხლდენა ან წყლული.</w:t>
      </w:r>
    </w:p>
    <w:p w14:paraId="5333B9F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კუჭ-ნაწლავის დაავადება, ნაპროსინი CR აუცილებლად გამოიყენეთ მხოლოდ ექიმის მეთვალყურეობის ქვეშ.</w:t>
      </w:r>
    </w:p>
    <w:p w14:paraId="027358A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ტკივილის, ცხელების და ანთების სამკურნალოდ გამოყენებული სხვა მედიკამენტების მსგავსად, კუჭ-ნაწლავის დარღვევების სიხშირე და სიმძიმე შეიძლება გაიზარდოს ნაპროსინი CR-ის მაღალი დოზებით და ხანგრძლივი მკურნალობით.</w:t>
      </w:r>
    </w:p>
    <w:p w14:paraId="1E1D09E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გჭირდებათ პერორალური ჩასახვის საწინააღმდეგო აბების მიღება სისხლის შედედების საწინააღმდეგო მედიკამენტებთან, როგორიცაა ვარფარინი, ან მედიკამენტებთან, რომლებმაც შეიძლება გაზარდონ წყლულის ან სისხლდენის რისკი, როგორიცაა ასპირინი, ერთად, გთხოვთ, გამოიჩინოთ სიფრთხილე.</w:t>
      </w:r>
    </w:p>
    <w:p w14:paraId="5B110FAC"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ხანდაზმულმა პაციენტებმა უნდა გამოიყენონ ნაპროსინი CR-ის ყველაზე დაბალი შესაძლო დოზა, კუჭ-ნაწლავის ძლიერი სისხლდენის და დაზიანების რისკის გაზრდის პოტენციალის გამო.</w:t>
      </w:r>
    </w:p>
    <w:p w14:paraId="389331E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გააგრძელოთ ნაპროსინი CR-ის გამოყენება, თუ გაქვთ კანის აქერცვლა, ლორწოვანი გარსის დაზიანება ან კანის ზედმეტი მგრძნობელობა.</w:t>
      </w:r>
    </w:p>
    <w:p w14:paraId="01EDF4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სიფრთხილით გამოიყენეთ ჰიპერმგრძნობელობის შემთხვევებში, როგორიცაა სახისა და ყელის შეშუპება, ბრონქების შევიწროება (ასთმა) და გაციება. ასთმის, ალერგიული მდგომარეობების ან ასპირინის მიმართ მგრძნობელობის მქონე პაციენტებში ბრონქოსპაზმი შეიძლება უფრო სწრაფად განვითარდეს.</w:t>
      </w:r>
    </w:p>
    <w:p w14:paraId="20B8C36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ტკივილის, სიცხისა და ანთების საწინააღმდეგო სხვა ეფექტური მედიკამენტების მსგავსად, ნაპროსინი CR სიფრთხილით უნდა იქნას გამოყენებული თირკმლის დაავადების მქონე პაციენტებში. ფრთხილად იყავით, თუ გაქვთ დისკომფორტი, რომელიც იწვევს სისხლის მოცულობის ან თირკმლის სისხლის ნაკადის შემცირებას, გულის უკმარისობას ან ღვიძლის ფუნქციის დარღვევებს. ექიმი შეამცირებს თქვენს მიერ მიღებულ ნაპროსინ CR-ის დოზას.</w:t>
      </w:r>
    </w:p>
    <w:p w14:paraId="6B2E46F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 ტკივილის, სიცხისა და ანთების სამკურნალოდ გამოყენებული სხვა მედიკამენტების მსგავსად, ნაპროსინი CR-მა შეიძლება გამოიწვიოს ღვიძლის ფუნქციური ტესტის ზოგიერთი შედეგის მომატება. ყურადღებით იყავით </w:t>
      </w:r>
      <w:r w:rsidRPr="003A761E">
        <w:rPr>
          <w:rFonts w:ascii="Sylfaen" w:hAnsi="Sylfaen" w:cs="Sylfaen"/>
          <w:noProof/>
          <w:sz w:val="20"/>
          <w:szCs w:val="20"/>
          <w:lang w:val="ka-GE"/>
        </w:rPr>
        <w:lastRenderedPageBreak/>
        <w:t>ღვიძლის ფუნქციის დარღვევის ნიშნებისა და სიმპტომების მიმართ (გულისრევა, დაღლილობა, ძილიანობა, ქავილი, სიყვითლე, ტკივილი მუცლის ზედა მარჯვენა ნაწილში, გაციების მსგავსი სიმპტომები). სიფრთხილეა საჭირო ღვიძლის მძიმე დაავადებების, მათ შორის სიყვითლისა და ჰეპატიტის დროს.</w:t>
      </w:r>
    </w:p>
    <w:p w14:paraId="6964D00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 რადგან ნაპროქსენი ამცირებს სისხლის შედედებაში მონაწილე თრომბოციტების აგრეგაციას, რითაც ახანგრძლივებს სისხლდენის დროს, თუ გაქვთ სისხლდენის დარღვევა, გააგრძელეთ ნაპროსინი CR-ით მკურნალობა ექიმის მეთვალყურეობის ქვეშ. ნაპროსინ CR-ის მიღებისას სისხლდენის რისკი შეიძლება გაიზარდოს, თუ გაქვთ სისხლდენის მაღალი რისკი ან თუ იღებთ სისხლის შედედების საწინააღმდეგო მედიკამენტს. </w:t>
      </w:r>
    </w:p>
    <w:p w14:paraId="5B8CE71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ნაპროსინი CR-ის მიღების დროს მხედველობის პრობლემები გაქვთ, გაიარეთ თვალების გამოკვლევა.</w:t>
      </w:r>
    </w:p>
    <w:p w14:paraId="478B568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მაღალი არტერიული წნევა ან გულის უკმარისობა, ნაპროსინ CR სიფრთხილით გამოიყენეთ, რადგან არსებობს სითხის შეკავების და შეშუპების რისკი, რომელიც გამოწვეულია ტკივილის, სიცხისა და ანთების სამკურნალო მედიკამენტებით.</w:t>
      </w:r>
    </w:p>
    <w:p w14:paraId="4783FAD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უკონტროლო მაღალი არტერიული წნევა, თუ გაქვთ მნიშვნელოვანი დაავადება გულის უკმარისობის გამო, რაც გამოწვეულია სუნთქვის უკმარისობით, შეშუპებით, ღვიძლის გადიდებით, უნდა აცნობოთ ექიმს, თუ გაქვთ დაავადება, რომელიც გამოწვეულია გულის არასაკმარისი სისხლით მომარაგებით. ექიმი გაითვალისწინებს ამ სიმპტომებს ნაპროსინი CR-ით მკურნალობის დროს.</w:t>
      </w:r>
    </w:p>
    <w:p w14:paraId="2D3C17D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თქვენ გაქვთ გულ-სისხლძარღვთა დაავადებების მაღალი რისკი (მაღალი არტერიული წნევა, დიაბეტი, მოწევა), ექიმი გაითვალისწინებს ამ მდგომარეობებს ნაპროსინი CR-ით ხანგრძლივი მკურნალობის დანიშვნისას.</w:t>
      </w:r>
    </w:p>
    <w:p w14:paraId="756AD92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 ტკივილის, სიცხისა და ანთების სამკურნალოდ გამოყენებული სხვა მედიკამენტების მსგავსად, ნაპროსინი CR-მა შეიძლება გამოიწვიოს სერიოზული გვერდითი მოვლენები, როგორიცაა გულის შეტევა ან ინსულტი, რამაც შეიძლება გამოიწვიოს ჰოსპიტალიზაცია ან სიკვდილი. </w:t>
      </w:r>
    </w:p>
    <w:p w14:paraId="1F1AD09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მიუხედავად იმისა, რომ გულ-სისხლძარღვთა სისტემასთან დაკავშირებული მოვლენები შეიძლება განვითარდეს ყოველგვარი გამაფრთხილებელი ნიშნების გარეშე, უნდა მიმართოთ ექიმს, თუ გაქვთ ისეთი სიმპტომები, როგორიცაა ტკივილი გულმკერდის არეში, ქოშინი, დაღლილობა, მეტყველების გაძნელება.</w:t>
      </w:r>
    </w:p>
    <w:p w14:paraId="62C210A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სიფრთხილით უნდა იქნას გამოყენებული ალცჰაიმერის დაავადების (მდგომარეობა, რომელიც ხასიათდება მეხსიერების დაკარგვით) განვითარების რისკის ქვეშ მყოფ პირებში.</w:t>
      </w:r>
    </w:p>
    <w:p w14:paraId="4A055C3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ზემოთ აღნიშნული გაფრთხილებები თქვენთვის აქტუალურია, თუნდაც წარსულში თქვენი ცხოვრების ნებისმიერ ეტაპზე, მიმართეთ ექიმს.“</w:t>
      </w:r>
    </w:p>
    <w:p w14:paraId="4AAF6E64" w14:textId="77777777" w:rsidR="00575707" w:rsidRPr="003A761E" w:rsidRDefault="00575707" w:rsidP="00E66572">
      <w:pPr>
        <w:pStyle w:val="ListParagraph"/>
        <w:ind w:left="0"/>
        <w:rPr>
          <w:rFonts w:ascii="Sylfaen" w:hAnsi="Sylfaen" w:cs="Sylfaen"/>
          <w:noProof/>
          <w:sz w:val="20"/>
          <w:szCs w:val="20"/>
          <w:lang w:val="ka-GE"/>
        </w:rPr>
      </w:pPr>
    </w:p>
    <w:p w14:paraId="472AC5F3"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ნაპროსინი CR-ის გამოყენება საკვებთან და სასმელებთან ერთად</w:t>
      </w:r>
    </w:p>
    <w:p w14:paraId="4EF8CA0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არ მიიღოთ ეს წამალი საკვებთან ერთად, რადგან ის ურთიერთქმედებს საკვებთან.</w:t>
      </w:r>
    </w:p>
    <w:p w14:paraId="396B44B6" w14:textId="77777777" w:rsidR="00575707" w:rsidRPr="003A761E" w:rsidRDefault="00575707" w:rsidP="00E66572">
      <w:pPr>
        <w:pStyle w:val="ListParagraph"/>
        <w:ind w:left="0"/>
        <w:rPr>
          <w:rFonts w:ascii="Sylfaen" w:hAnsi="Sylfaen" w:cs="Sylfaen"/>
          <w:noProof/>
          <w:sz w:val="20"/>
          <w:szCs w:val="20"/>
          <w:lang w:val="ka-GE"/>
        </w:rPr>
      </w:pPr>
    </w:p>
    <w:p w14:paraId="6337CF9C"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ორსულობა</w:t>
      </w:r>
    </w:p>
    <w:p w14:paraId="6F24772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წამლის გამოყენებამდე მიმართეთ ექიმს ან ფარმაცევტს.</w:t>
      </w:r>
    </w:p>
    <w:p w14:paraId="64FCDB9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პაციენტისთვის სარგებელი და შესაძლო რისკები ძალიან ფრთხილად უნდა შეფასდეს. ამიტომ, წამალი არ უნდა იქნას გამოყენებული ორსულობის დროს, თუ ეს აუცილებელი არ არის. ის აბსოლუტურად არ უნდა იქნას გამოყენებული ორსულობის ბოლო 3 თვის განმავლობაში.</w:t>
      </w:r>
    </w:p>
    <w:p w14:paraId="53809BB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 მკურნალობის დროს შეამჩნევთ, რომ ორსულად ხართ, დაუყოვნებლივ მიმართეთ ექიმს ან ფარმაცევტს.</w:t>
      </w:r>
    </w:p>
    <w:p w14:paraId="07E20131" w14:textId="77777777" w:rsidR="00575707" w:rsidRPr="003A761E" w:rsidRDefault="00575707" w:rsidP="00E66572">
      <w:pPr>
        <w:pStyle w:val="ListParagraph"/>
        <w:ind w:left="0"/>
        <w:rPr>
          <w:rFonts w:ascii="Sylfaen" w:hAnsi="Sylfaen" w:cs="Sylfaen"/>
          <w:noProof/>
          <w:sz w:val="20"/>
          <w:szCs w:val="20"/>
          <w:lang w:val="ka-GE"/>
        </w:rPr>
      </w:pPr>
    </w:p>
    <w:p w14:paraId="04545C2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ძუძუთი კვება</w:t>
      </w:r>
    </w:p>
    <w:p w14:paraId="335F926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წამლის გამოყენებამდე მიმართეთ ექიმს ან ფარმაცევტს. ნაპროქსენი არ უნდა მიეცეთ მეძუძურ დედებს, რადგან ის გადადის დედის რძეში.</w:t>
      </w:r>
    </w:p>
    <w:p w14:paraId="7480D554" w14:textId="77777777" w:rsidR="00575707" w:rsidRPr="003A761E" w:rsidRDefault="00575707" w:rsidP="00E66572">
      <w:pPr>
        <w:pStyle w:val="ListParagraph"/>
        <w:ind w:left="0"/>
        <w:rPr>
          <w:rFonts w:ascii="Sylfaen" w:hAnsi="Sylfaen" w:cs="Sylfaen"/>
          <w:noProof/>
          <w:sz w:val="20"/>
          <w:szCs w:val="20"/>
          <w:lang w:val="ka-GE"/>
        </w:rPr>
      </w:pPr>
    </w:p>
    <w:p w14:paraId="0D84FC2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ავტომობილის და მექანიზმების გამოყენება</w:t>
      </w:r>
    </w:p>
    <w:p w14:paraId="41C9B80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CR-ის მიღების დროს ზოგიერთ პაციენტს შეიძლება განუვითარდეს ძილიანობა, თავბრუსხვევა, უძილობა ან დეპრესია. თუ თქვენ განიცდით ამ ან მსგავს გვერდით მოვლენებს, გთხოვთ, გამოიჩინოთ სიფრთხილე ისეთი საქმიანობის დროს, რომელიც მოითხოვს ყურადღებას.</w:t>
      </w:r>
    </w:p>
    <w:p w14:paraId="72A60BA1" w14:textId="77777777" w:rsidR="00575707" w:rsidRPr="003A761E" w:rsidRDefault="00575707" w:rsidP="00E66572">
      <w:pPr>
        <w:pStyle w:val="ListParagraph"/>
        <w:ind w:left="0"/>
        <w:rPr>
          <w:rFonts w:ascii="Sylfaen" w:hAnsi="Sylfaen" w:cs="Sylfaen"/>
          <w:noProof/>
          <w:sz w:val="20"/>
          <w:szCs w:val="20"/>
          <w:lang w:val="ka-GE"/>
        </w:rPr>
      </w:pPr>
    </w:p>
    <w:p w14:paraId="671921F0"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მნიშვნელოვანი ინფორმაცია ნაპროსინი CR-ში შემავალი გარკვეული დამხმარე ნივთიერებების შესახებ</w:t>
      </w:r>
    </w:p>
    <w:p w14:paraId="4A37D72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 არ შეიცავს რაიმე დამხმარე ნივთიერებას, რომელიც საჭიროებს სპეციალურ გაფრთხილებებს.</w:t>
      </w:r>
    </w:p>
    <w:p w14:paraId="5B466470" w14:textId="77777777" w:rsidR="00575707" w:rsidRPr="003A761E" w:rsidRDefault="00575707" w:rsidP="00E66572">
      <w:pPr>
        <w:pStyle w:val="ListParagraph"/>
        <w:ind w:left="0"/>
        <w:rPr>
          <w:rFonts w:ascii="Sylfaen" w:hAnsi="Sylfaen" w:cs="Sylfaen"/>
          <w:noProof/>
          <w:sz w:val="20"/>
          <w:szCs w:val="20"/>
          <w:lang w:val="ka-GE"/>
        </w:rPr>
      </w:pPr>
    </w:p>
    <w:p w14:paraId="3687F208"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სხვა მედიკამენტები და ნაპროსინი CR</w:t>
      </w:r>
    </w:p>
    <w:p w14:paraId="185CF27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 ნაპროსინი CR-ს იღებთ კუჭის მჟავიანობის მარეგულირებელ მედიკამენტებთან ან ქოლესტირამინთან ერთად, მისი ეფექტი შეიძლება შეფერხდეს.</w:t>
      </w:r>
    </w:p>
    <w:p w14:paraId="40CEF66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საკვებთან ერთად მიღებამ შეიძლება შეამციროს მისი ეფექტურობა.</w:t>
      </w:r>
    </w:p>
    <w:p w14:paraId="5ED0B812"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ნაპროქსენი უკავშირდება სისხლში ცილას, რომელსაც ალბუმინი ეწოდება. რადგან მას შეუძლია ურთიერთქმედება მოახდინოს ალბუმინთან დაკავშირებულ სხვა პრეპარატებთან, როგორიცაა კუმარინის ტიპის ანტიკოაგულანტები, სულფონილშარდოვანა, ჰიდანტოინები, სხვა არასტეროიდული ანთების საწინააღმდეგო (არასტეროიდული ანთების საწინააღმდეგო) პრეპარატები და ასპირინი, ექიმი შესაბამისად შეცვლის ნაპროსინი </w:t>
      </w:r>
      <w:r w:rsidRPr="003A761E">
        <w:rPr>
          <w:rFonts w:ascii="Sylfaen" w:hAnsi="Sylfaen" w:cs="Sylfaen"/>
          <w:noProof/>
          <w:sz w:val="20"/>
          <w:szCs w:val="20"/>
          <w:lang w:val="ka-GE"/>
        </w:rPr>
        <w:lastRenderedPageBreak/>
        <w:t>CR-ის დოზას.</w:t>
      </w:r>
    </w:p>
    <w:p w14:paraId="083269C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ნაპროქსენს შეუძლია შეაფერხოს სისხლის შედედება უჯრედების, თრომბოციტების, აქტივობის შემცირებით, რომლებიც ერთად მონაწილეობენ სისხლის შედედებაში.</w:t>
      </w:r>
    </w:p>
    <w:p w14:paraId="1110A59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სიფრთხილეა საჭირო ნაპროქსენის პრობენეციდთან (პრეპარატი, რომელიც ზრდის შარდმჟავას გამოყოფას შარდში) კომბინაციაში გამოყენებისას, რადგან ამან შეიძლება გამოიწვიოს ნაპროქსენის უფრო სწრაფი და ძლიერი ეფექტი.</w:t>
      </w:r>
    </w:p>
    <w:p w14:paraId="46ADC22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ძალიან ფრთხილად იყავით მეთოტრექსატთან (პრეპარატი, რომელიც გამოიყენება კიბოს სამკურნალოდ) გამოყენებისას. ნაპროქსენმა შეიძლება შეამციროს მეტოტრექსატის ორგანიზმიდან გამოყოფა და გამოიწვიოს მეტოტრექსატთან დაკავშირებული გვერდითი მოვლენები.</w:t>
      </w:r>
    </w:p>
    <w:p w14:paraId="12FE8819" w14:textId="77777777" w:rsidR="00575707" w:rsidRPr="003A761E" w:rsidRDefault="00575707" w:rsidP="00E66572">
      <w:pPr>
        <w:pStyle w:val="ListParagraph"/>
        <w:ind w:left="0"/>
        <w:rPr>
          <w:rFonts w:ascii="Sylfaen" w:hAnsi="Sylfaen" w:cs="Sylfaen"/>
          <w:noProof/>
          <w:sz w:val="20"/>
          <w:szCs w:val="20"/>
          <w:lang w:val="ka-GE"/>
        </w:rPr>
      </w:pPr>
    </w:p>
    <w:p w14:paraId="49B7DB7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სიფრთხილეა საჭირო ამ მედიკამენტის ციკლოსპორინებთან (იმუნოსუპრესანტი) კომბინაციაში გამოყენებისას, რადგან მას შეუძლია თირკმელებზე მავნე ზემოქმედება მოახდინოს.</w:t>
      </w:r>
    </w:p>
    <w:p w14:paraId="2D6AF012" w14:textId="77777777" w:rsidR="00575707" w:rsidRPr="003A761E" w:rsidRDefault="00575707" w:rsidP="00E66572">
      <w:pPr>
        <w:pStyle w:val="ListParagraph"/>
        <w:ind w:left="0"/>
        <w:rPr>
          <w:rFonts w:ascii="Sylfaen" w:hAnsi="Sylfaen" w:cs="Sylfaen"/>
          <w:noProof/>
          <w:sz w:val="20"/>
          <w:szCs w:val="20"/>
          <w:lang w:val="ka-GE"/>
        </w:rPr>
      </w:pPr>
    </w:p>
    <w:p w14:paraId="7A88B0D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რადგან ნაპროქსენი ამცირებს მიფეპრისტონის (აბორტის საწინააღმდეგო აბი) ეფექტურობას, არ მიიღოთ ნაპროქსენი მიფეპრისტონის მიღებიდან 8-12 დღის განმავლობაში.</w:t>
      </w:r>
    </w:p>
    <w:p w14:paraId="68F4FAD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ასპირინის გამოყენება ნაპროსინი CR-თან ერთად, ისევე როგორც არასტეროიდული ანთების საწინააღმდეგო პრეპარატების შემთხვევაში, არ არის რეკომენდებული გვერდითი მოვლენების გაზრდილი რისკის გამო.</w:t>
      </w:r>
    </w:p>
    <w:p w14:paraId="19475EE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მან შეიძლება შეამციროს მაღალი არტერიული წნევის სამკურნალოდ გამოყენებული ბეტა-ბლოკატორების ეფექტურობა. ნაპროქსენმა და სხვა ტკივილგამაყუჩებელმა, ცხელებისა და ანთების საწინააღმდეგო ეფექტურმა მედიკამენტებმა შეიძლება შეამცირონ მაღალი არტერიული წნევის სამკურნალოდ გამოყენებული მედიკამენტების ეფექტურობა და გაზარდონ აგფ ინჰიბიტორებთან დაკავშირებული თირკმლის დაზიანების რისკი.</w:t>
      </w:r>
    </w:p>
    <w:p w14:paraId="620F7244" w14:textId="77777777" w:rsidR="00575707" w:rsidRPr="003A761E" w:rsidRDefault="00575707" w:rsidP="00E66572">
      <w:pPr>
        <w:pStyle w:val="ListParagraph"/>
        <w:ind w:left="0"/>
        <w:rPr>
          <w:rFonts w:ascii="Sylfaen" w:hAnsi="Sylfaen" w:cs="Sylfaen"/>
          <w:noProof/>
          <w:sz w:val="20"/>
          <w:szCs w:val="20"/>
          <w:lang w:val="ka-GE"/>
        </w:rPr>
      </w:pPr>
    </w:p>
    <w:p w14:paraId="059F9211"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შარდმდენების, როგორიცაა ფუროსემიდი, ტკივილგამაყუჩებლებთან და ანთების საწინააღმდეგო მედიკამენტებთან ერთად გამოყენებამ შეიძლება გაზარდოს თირკმლის უკმარისობის განვითარების რისკი. ლითიუმთან (რომელიც გამოიყენება ფსიქიკური დაავადებების დროს) ერთად გამოყენებისას შესაძლოა გამოვლინდეს სისხლში ლითიუმის დონის მომატება და მასთან დაკავშირებული გვერდითი მოვლენები.</w:t>
      </w:r>
    </w:p>
    <w:p w14:paraId="55B3573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ტკივილის, ცხელების და ანთების სამკურნალო მედიკამენტებმა შეიძლება გაზარდოს თირკმლის დაზიანების რისკი ტაკროლიმუსთან ერთად მიღებისას.</w:t>
      </w:r>
    </w:p>
    <w:p w14:paraId="5C25A5EE" w14:textId="77777777" w:rsidR="00575707" w:rsidRPr="003A761E" w:rsidRDefault="00575707" w:rsidP="00E66572">
      <w:pPr>
        <w:pStyle w:val="ListParagraph"/>
        <w:ind w:left="0"/>
        <w:rPr>
          <w:rFonts w:ascii="Sylfaen" w:hAnsi="Sylfaen" w:cs="Sylfaen"/>
          <w:noProof/>
          <w:sz w:val="20"/>
          <w:szCs w:val="20"/>
          <w:lang w:val="ka-GE"/>
        </w:rPr>
      </w:pPr>
    </w:p>
    <w:p w14:paraId="2B5B8A3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ციკლოსპორინთან და ტაკროლიმუსთან, იმუნოსუპრესიულ პრეპარატთან ერთად გამოყენებისას, შესაძლოა გაიზარდოს თირკმლის დაზიანების რისკი.</w:t>
      </w:r>
    </w:p>
    <w:p w14:paraId="71D1D88F" w14:textId="77777777" w:rsidR="00575707" w:rsidRPr="003A761E" w:rsidRDefault="00575707" w:rsidP="00E66572">
      <w:pPr>
        <w:pStyle w:val="ListParagraph"/>
        <w:ind w:left="0"/>
        <w:rPr>
          <w:rFonts w:ascii="Sylfaen" w:hAnsi="Sylfaen" w:cs="Sylfaen"/>
          <w:noProof/>
          <w:sz w:val="20"/>
          <w:szCs w:val="20"/>
          <w:lang w:val="ka-GE"/>
        </w:rPr>
      </w:pPr>
    </w:p>
    <w:p w14:paraId="1A6DE6D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საგულე გლიკოზიდებთან ერთად გამოყენებისას, ნაპროქსენის შემცველმა მედიკამენტებმა, რომლებიც ეფექტურია ტკივილის, ცხელების და ანთების საწინააღმდეგოდ, შეიძლება გაამწვავოს გულის უკმარისობა და გაზარდოს მათი კონცენტრაცია სისხლში მათი თირკმლის ელიმინაციის ზემოქმედებით.</w:t>
      </w:r>
    </w:p>
    <w:p w14:paraId="053D16A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ზიდოვუდინთან, ანტივირუსულ საშუალებასთან, რომელიც აქტიურია რეტროვირუსების, მათ შორის ადამიანის იმუნოდეფიციტის ვირუსის (აივ) წინააღმდეგ, ერთად გამოყენებისას, ნაპროქსენის შემცველმა მედიკამენტებმა, რომლებიც ეფექტურია ტკივილის, ცხელების და ანთების საწინააღმდეგოდ, შეიძლება გაზარდოს სისხლის დაავადებების რისკი.</w:t>
      </w:r>
    </w:p>
    <w:p w14:paraId="139BC58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როდესაც ტკივილის, ცხელების და ანთების საწინააღმდეგო ნაპროქსენის შემცველი მედიკამენტები გამოიყენება დეპრესიის სამკურნალოდ გამოყენებულ სეროტონინის უკუჩვენებების ინჰიბიტორებთან ერთად, კუჭ-ნაწლავის სისხლდენის რისკი იზრდება. როგორც ტკივილის, სიცხისა და ანთების საწინააღმდეგო სხვა პრეპარატების შემთხვევაში, კუჭ-ნაწლავის წყლულებისა და სისხლდენის რისკი იზრდება სტეროიდებთან ერთად გამოყენებისას.</w:t>
      </w:r>
    </w:p>
    <w:p w14:paraId="59F5042F" w14:textId="77777777" w:rsidR="00575707" w:rsidRPr="003A761E" w:rsidRDefault="00575707" w:rsidP="00E66572">
      <w:pPr>
        <w:pStyle w:val="ListParagraph"/>
        <w:ind w:left="0"/>
        <w:rPr>
          <w:rFonts w:ascii="Sylfaen" w:hAnsi="Sylfaen" w:cs="Sylfaen"/>
          <w:noProof/>
          <w:sz w:val="20"/>
          <w:szCs w:val="20"/>
          <w:lang w:val="ka-GE"/>
        </w:rPr>
      </w:pPr>
    </w:p>
    <w:p w14:paraId="27AE77DC"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ცხოველებზე ჩატარებულ კვლევებში, ტკივილის, სიცხისა და ანთების საწინააღმდეგო ეფექტური პრეპარატების ქინოლონის ჯგუფის ანტიბიოტიკებთან ერთად გამოყენებისას, შესაძლოა გაიზარდოს ყველა ან ზოგიერთი ნებაყოფლობითი კუნთის ძლიერი რიტმული შეკუმშვების (კრუნჩხვების) რისკი.</w:t>
      </w:r>
    </w:p>
    <w:p w14:paraId="6B390544" w14:textId="77777777" w:rsidR="00575707" w:rsidRPr="003A761E" w:rsidRDefault="00575707" w:rsidP="00E66572">
      <w:pPr>
        <w:pStyle w:val="ListParagraph"/>
        <w:ind w:left="0"/>
        <w:rPr>
          <w:rFonts w:ascii="Sylfaen" w:hAnsi="Sylfaen" w:cs="Sylfaen"/>
          <w:noProof/>
          <w:sz w:val="20"/>
          <w:szCs w:val="20"/>
          <w:lang w:val="ka-GE"/>
        </w:rPr>
      </w:pPr>
    </w:p>
    <w:p w14:paraId="058BF37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CR-ის და ტკივილის, სიცხისა და ანთების საწინააღმდეგო სხვა პრეპარატების ერთდროული გამოყენება რეკომენდებული არ არის.</w:t>
      </w:r>
    </w:p>
    <w:p w14:paraId="65072C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ისევე, როგორც ტკივილის, სიცხისა და ანთების სამკურნალოდ გამოყენებული სხვა პრეპარატების შემთხვევაში, ამ პრეპარატების ჩასახვის საწინააღმდეგო აბებთან ერთად გამოყენებისას სიფრთხილეა საჭირო კუჭ-ნაწლავის ტრაქტში წყლულებისა და სისხლდენის რისკის გამო.</w:t>
      </w:r>
    </w:p>
    <w:p w14:paraId="5F323EDF" w14:textId="77777777" w:rsidR="00575707" w:rsidRPr="003A761E" w:rsidRDefault="00575707" w:rsidP="00E66572">
      <w:pPr>
        <w:pStyle w:val="ListParagraph"/>
        <w:ind w:left="0"/>
        <w:rPr>
          <w:rFonts w:ascii="Sylfaen" w:hAnsi="Sylfaen" w:cs="Sylfaen"/>
          <w:noProof/>
          <w:sz w:val="20"/>
          <w:szCs w:val="20"/>
          <w:lang w:val="ka-GE"/>
        </w:rPr>
      </w:pPr>
    </w:p>
    <w:p w14:paraId="25A2E1C8"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გთხოვთ გაითვალისწინოთ, რომ ეს გაფრთხილებები ვრცელდება ადრე გამოყენებულ ან მომავალში გამოსაყენებელ პროდუქტებზე.</w:t>
      </w:r>
    </w:p>
    <w:p w14:paraId="74BC774A" w14:textId="77777777" w:rsidR="00575707" w:rsidRPr="003A761E" w:rsidRDefault="00575707" w:rsidP="00E66572">
      <w:pPr>
        <w:pStyle w:val="ListParagraph"/>
        <w:ind w:left="0"/>
        <w:rPr>
          <w:rFonts w:ascii="Sylfaen" w:hAnsi="Sylfaen" w:cs="Sylfaen"/>
          <w:noProof/>
          <w:sz w:val="20"/>
          <w:szCs w:val="20"/>
          <w:lang w:val="ka-GE"/>
        </w:rPr>
      </w:pPr>
    </w:p>
    <w:p w14:paraId="7D39569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თუ ამჟამად იყენებთ რეცეპტით ან ურეცეპტოდ გაცემულ მედიკამენტებს, ან თუ ბოლო დროს გამოიყენეთ, </w:t>
      </w:r>
      <w:r w:rsidRPr="003A761E">
        <w:rPr>
          <w:rFonts w:ascii="Sylfaen" w:hAnsi="Sylfaen" w:cs="Sylfaen"/>
          <w:noProof/>
          <w:sz w:val="20"/>
          <w:szCs w:val="20"/>
          <w:lang w:val="ka-GE"/>
        </w:rPr>
        <w:lastRenderedPageBreak/>
        <w:t>გთხოვთ, აცნობოთ თქვენს ექიმს ან ფარმაცევტს ამის შესახებ.</w:t>
      </w:r>
    </w:p>
    <w:p w14:paraId="1BBB5FFB" w14:textId="77777777" w:rsidR="00575707" w:rsidRPr="003A761E" w:rsidRDefault="00575707" w:rsidP="00E66572">
      <w:pPr>
        <w:pStyle w:val="ListParagraph"/>
        <w:ind w:left="0"/>
        <w:rPr>
          <w:rFonts w:ascii="Sylfaen" w:hAnsi="Sylfaen" w:cs="Sylfaen"/>
          <w:noProof/>
          <w:sz w:val="20"/>
          <w:szCs w:val="20"/>
          <w:lang w:val="ka-GE"/>
        </w:rPr>
      </w:pPr>
    </w:p>
    <w:p w14:paraId="7E5DEF87" w14:textId="77777777" w:rsidR="00575707" w:rsidRPr="003A761E" w:rsidRDefault="00575707" w:rsidP="00E66572">
      <w:pPr>
        <w:pStyle w:val="ListParagraph"/>
        <w:ind w:left="0"/>
        <w:rPr>
          <w:rFonts w:ascii="Sylfaen" w:hAnsi="Sylfaen" w:cs="Sylfaen"/>
          <w:noProof/>
          <w:sz w:val="20"/>
          <w:szCs w:val="20"/>
          <w:lang w:val="ka-GE"/>
        </w:rPr>
      </w:pPr>
    </w:p>
    <w:p w14:paraId="74BB1BF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3. როგორ გამოვიყენოთ ნაპროსინი CR?</w:t>
      </w:r>
    </w:p>
    <w:p w14:paraId="492C610B"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სწორი გამოყენების და მიღების დოზირების/სიხშირის ინსტრუქცია:</w:t>
      </w:r>
    </w:p>
    <w:p w14:paraId="4693B125" w14:textId="77777777" w:rsidR="00575707" w:rsidRPr="003A761E" w:rsidRDefault="00575707" w:rsidP="00E66572">
      <w:pPr>
        <w:pStyle w:val="ListParagraph"/>
        <w:ind w:left="0"/>
        <w:rPr>
          <w:rFonts w:ascii="Sylfaen" w:hAnsi="Sylfaen" w:cs="Sylfaen"/>
          <w:noProof/>
          <w:sz w:val="20"/>
          <w:szCs w:val="20"/>
          <w:lang w:val="ka-GE"/>
        </w:rPr>
      </w:pPr>
    </w:p>
    <w:p w14:paraId="2AFFC39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რეკომენდებული დღიური დოზაა ნაპროსინი CR 1 ტაბლეტი (750 მგ).</w:t>
      </w:r>
    </w:p>
    <w:p w14:paraId="30FF47F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მიღების გზა და მეთოდი:</w:t>
      </w:r>
    </w:p>
    <w:p w14:paraId="4C783C2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გადაყლაპეთ საკმარისი რაოდენობის წყალთან ერთად პერორალურად.</w:t>
      </w:r>
    </w:p>
    <w:p w14:paraId="3BA855D9" w14:textId="77777777" w:rsidR="00575707" w:rsidRPr="003A761E" w:rsidRDefault="00575707" w:rsidP="00E66572">
      <w:pPr>
        <w:pStyle w:val="ListParagraph"/>
        <w:ind w:left="0"/>
        <w:rPr>
          <w:rFonts w:ascii="Sylfaen" w:hAnsi="Sylfaen" w:cs="Sylfaen"/>
          <w:noProof/>
          <w:sz w:val="20"/>
          <w:szCs w:val="20"/>
          <w:lang w:val="ka-GE"/>
        </w:rPr>
      </w:pPr>
    </w:p>
    <w:p w14:paraId="43F229B8"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სხვადასხვა ასაკობრივი ჯგუფები:</w:t>
      </w:r>
    </w:p>
    <w:p w14:paraId="3C37410D"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პედიატრიული გამოყენება:</w:t>
      </w:r>
    </w:p>
    <w:p w14:paraId="2EC754F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 არ არის რეკომენდებული 16 წლამდე ასაკის ბავშვებში გამოსაყენებლად. თუმცა, სახსრების ანთების მქონე 5 წელზე უფროსი ასაკის ბავშვებში ის უნდა იქნას გამოყენებული მხოლოდ 10 მგ/კგ/დღეში დოზით, ყოველ 12 საათში.</w:t>
      </w:r>
    </w:p>
    <w:p w14:paraId="30130E8D" w14:textId="77777777" w:rsidR="00575707" w:rsidRPr="003A761E" w:rsidRDefault="00575707" w:rsidP="00E66572">
      <w:pPr>
        <w:pStyle w:val="ListParagraph"/>
        <w:ind w:left="0"/>
        <w:rPr>
          <w:rFonts w:ascii="Sylfaen" w:hAnsi="Sylfaen" w:cs="Sylfaen"/>
          <w:noProof/>
          <w:sz w:val="20"/>
          <w:szCs w:val="20"/>
          <w:lang w:val="ka-GE"/>
        </w:rPr>
      </w:pPr>
    </w:p>
    <w:p w14:paraId="6621FF01"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გერიატრიული გამოყენება:</w:t>
      </w:r>
    </w:p>
    <w:p w14:paraId="4140A3A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ვინაიდან ორგანიზმის პრეპარატის გამოდევნის უნარი შეიძლება შემცირებული იყოს ხანდაზმულებში, დოზასთან დაკავშირებით სიფრთხილეა საჭირო და უნდა იქნას გამოყენებული ყველაზე დაბალი ეფექტური დოზა. </w:t>
      </w:r>
    </w:p>
    <w:p w14:paraId="67D312C9" w14:textId="77777777" w:rsidR="00575707" w:rsidRPr="003A761E" w:rsidRDefault="00575707" w:rsidP="00E66572">
      <w:pPr>
        <w:pStyle w:val="ListParagraph"/>
        <w:ind w:left="0"/>
        <w:rPr>
          <w:rFonts w:ascii="Sylfaen" w:hAnsi="Sylfaen" w:cs="Sylfaen"/>
          <w:noProof/>
          <w:sz w:val="20"/>
          <w:szCs w:val="20"/>
          <w:lang w:val="ka-GE"/>
        </w:rPr>
      </w:pPr>
    </w:p>
    <w:p w14:paraId="2784900C"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გამოყენების განსაკუთრებული პირობები:</w:t>
      </w:r>
    </w:p>
    <w:p w14:paraId="2396ECD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თირკმლის/ღვიძლის უკმარისობა: არ გამოიყენოთ ნაპროსინი CR, თუ თირკმლის ფუნქციის ტესტის შედეგები არანორმალურია. თუ გაქვთ ღვიძლის დისფუნქცია, გამოიყენეთ ნაპროსინი CR სიფრთხილით.</w:t>
      </w:r>
    </w:p>
    <w:p w14:paraId="7008845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 ფიქრობთ, რომ ნაპროსინი CR-ის ეფექტი ძალიან ძლიერი ან სუსტია, მიმართეთ ექიმს ან ფარმაცევტს.</w:t>
      </w:r>
    </w:p>
    <w:p w14:paraId="11CACD96" w14:textId="77777777" w:rsidR="00575707" w:rsidRPr="003A761E" w:rsidRDefault="00575707" w:rsidP="00E66572">
      <w:pPr>
        <w:pStyle w:val="ListParagraph"/>
        <w:ind w:left="0"/>
        <w:rPr>
          <w:rFonts w:ascii="Sylfaen" w:hAnsi="Sylfaen" w:cs="Sylfaen"/>
          <w:noProof/>
          <w:sz w:val="20"/>
          <w:szCs w:val="20"/>
          <w:lang w:val="ka-GE"/>
        </w:rPr>
      </w:pPr>
    </w:p>
    <w:p w14:paraId="2C3DB941"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თუ მიიღეთ ნაპროსინ CR-ის საჭიროზე მეტი დოზა:</w:t>
      </w:r>
    </w:p>
    <w:p w14:paraId="56F8AA36"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დოზის მძიმე გადაჭარბებას ახასიათებს თავის ტკივილი, თავბრუსხვევა, გულისრევა, </w:t>
      </w:r>
      <w:proofErr w:type="spellStart"/>
      <w:r w:rsidRPr="003A761E">
        <w:rPr>
          <w:rFonts w:ascii="Sylfaen" w:hAnsi="Sylfaen" w:cs="Sylfaen"/>
          <w:iCs/>
          <w:sz w:val="20"/>
          <w:szCs w:val="20"/>
          <w:lang w:val="ka-GE"/>
        </w:rPr>
        <w:t>გულძმარვა</w:t>
      </w:r>
      <w:proofErr w:type="spellEnd"/>
      <w:r w:rsidRPr="003A761E">
        <w:rPr>
          <w:rFonts w:ascii="Sylfaen" w:hAnsi="Sylfaen" w:cs="Sylfaen"/>
          <w:iCs/>
          <w:sz w:val="20"/>
          <w:szCs w:val="20"/>
          <w:lang w:val="ka-GE"/>
        </w:rPr>
        <w:t xml:space="preserve">, საჭმლის მონელების დარღვევა, გულისრევა, ღებინება, კუჭ-ნაწლავიდან სისხლდენა და ზოგჯერ დიარეა, დაბუჟება, თავბრუსხვევა, ყურებში შუილი და გულისრევა. თუ ტაბლეტების გადაჭარბებული რაოდენობა მიიღება შემთხვევით ან განზრახ, კუჭი უნდა დაიცალოს და უნდა იქნას მიღებული სტანდარტული დამხმარე ზომები. აქტივირებული ნახშირი უნდა დაინიშნოს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საჭიროზე მეტი დოზის მიღებიდან 1 საათის შემდეგ. კუჭის ამორეცხვა შესაძლებელია ასევე მოზრდილებში. რეკომენდირებულია ხშირი შარდვა. თქვენი ექიმი მონიტორინგს გაუწევს თქვენს თირკმელებისა და ღვიძლის მუშაობას.</w:t>
      </w:r>
    </w:p>
    <w:p w14:paraId="1CA6AAEB"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თუ თქვენ იყენებთ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CR-ს საჭიროზე მეტ რაოდენობას, მიმართეთ ექიმს მკურნალობის გაგრძელებით.</w:t>
      </w:r>
    </w:p>
    <w:p w14:paraId="40F7AFEB"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7924AD33" w14:textId="77777777" w:rsidR="00575707" w:rsidRPr="003A761E" w:rsidRDefault="00575707" w:rsidP="00E66572">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 xml:space="preserve">თუ დაგავიწყდათ </w:t>
      </w:r>
      <w:proofErr w:type="spellStart"/>
      <w:r w:rsidRPr="003A761E">
        <w:rPr>
          <w:rFonts w:ascii="Sylfaen" w:hAnsi="Sylfaen" w:cs="Sylfaen"/>
          <w:b/>
          <w:iCs/>
          <w:sz w:val="20"/>
          <w:szCs w:val="20"/>
          <w:lang w:val="ka-GE"/>
        </w:rPr>
        <w:t>ნაპროსინი</w:t>
      </w:r>
      <w:proofErr w:type="spellEnd"/>
      <w:r w:rsidRPr="003A761E">
        <w:rPr>
          <w:rFonts w:ascii="Sylfaen" w:hAnsi="Sylfaen" w:cs="Sylfaen"/>
          <w:b/>
          <w:iCs/>
          <w:sz w:val="20"/>
          <w:szCs w:val="20"/>
          <w:lang w:val="ka-GE"/>
        </w:rPr>
        <w:t xml:space="preserve"> CR-ის მიღება</w:t>
      </w:r>
    </w:p>
    <w:p w14:paraId="0F156DC6"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არ გამოიყენოთ ორმაგი დოზა გამოტოვებული დოზის ასანაზღაურებლად.</w:t>
      </w:r>
    </w:p>
    <w:p w14:paraId="4420FC4D"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407BF8BA" w14:textId="77777777" w:rsidR="00575707" w:rsidRPr="003A761E" w:rsidRDefault="00575707" w:rsidP="00E66572">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 xml:space="preserve">შესაძლო ეფექტები, რომლებიც შეიძლება განვითარდეს </w:t>
      </w:r>
      <w:proofErr w:type="spellStart"/>
      <w:r w:rsidRPr="003A761E">
        <w:rPr>
          <w:rFonts w:ascii="Sylfaen" w:hAnsi="Sylfaen" w:cs="Sylfaen"/>
          <w:b/>
          <w:iCs/>
          <w:sz w:val="20"/>
          <w:szCs w:val="20"/>
          <w:lang w:val="ka-GE"/>
        </w:rPr>
        <w:t>ნაპროსინ</w:t>
      </w:r>
      <w:proofErr w:type="spellEnd"/>
      <w:r w:rsidRPr="003A761E">
        <w:rPr>
          <w:rFonts w:ascii="Sylfaen" w:hAnsi="Sylfaen" w:cs="Sylfaen"/>
          <w:b/>
          <w:iCs/>
          <w:sz w:val="20"/>
          <w:szCs w:val="20"/>
          <w:lang w:val="ka-GE"/>
        </w:rPr>
        <w:t xml:space="preserve"> CR-ით მკურნალობის შეწყვეტისას</w:t>
      </w:r>
    </w:p>
    <w:p w14:paraId="6F01E0D8"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მკურნალობის შეწყვეტისას არ არის მოსალოდნელი რაიმე პრობლემა.</w:t>
      </w:r>
    </w:p>
    <w:p w14:paraId="361BA02D"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5CDCB2CA" w14:textId="77777777" w:rsidR="00575707" w:rsidRPr="003A761E" w:rsidRDefault="00575707" w:rsidP="00E66572">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4. რა არის შესაძლო გვერდითი მოვლენები?</w:t>
      </w:r>
    </w:p>
    <w:p w14:paraId="19C3E46C"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როგორც ყველა მედიკამენტის შემთხვევაში, გვერდითი მოვლენები შეიძლება განვითარდეს ადამიანებში, რომლებიც მგრძნობიარენი არიან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ინგრედიენტების მიმართ.</w:t>
      </w:r>
    </w:p>
    <w:p w14:paraId="0B1ED270"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387BC5F0"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თუ ჩამოთვლილთაგან რომელიმე მოხდება, შეწყვიტეთ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მიღება და დაუყოვნებლივ აცნობეთ ექიმს ან მიმართეთ უახლოეს საავადმყოფოს სასწრაფო დახმარების განყოფილებას:</w:t>
      </w:r>
    </w:p>
    <w:p w14:paraId="7F656B50"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ხელების, ფეხების, ტერფების, სახის, ტუჩების, პირის ან ყელის შეშუპება სუნთქვის ან ყლაპვის გაძნელებით</w:t>
      </w:r>
    </w:p>
    <w:p w14:paraId="70D2E82D"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სისხლდენა ან სუნთქვის გაძნელება (ასთმის შეტევა),</w:t>
      </w:r>
    </w:p>
    <w:p w14:paraId="6621F9F6"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დაღლილობა</w:t>
      </w:r>
    </w:p>
    <w:p w14:paraId="407F36B2"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კანის გამონაყარი</w:t>
      </w:r>
    </w:p>
    <w:p w14:paraId="6B622CD1"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კანში, პირის ღრუში, თვალებში, სასქესო ორგანოების ირგვლივ; კანის მძიმე დაავადება (სტივენ-ჯონსონის სინდრომი) დესკვამაცია, შეშუპება, ბუშტუკები და ცხელება;</w:t>
      </w:r>
    </w:p>
    <w:p w14:paraId="305E4C2E"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პირის ღრუში და სხეულის სხვა ნაწილებში სხვადასხვა ზომის ბუშტუკების ან წითელი გამონაყარის სახით (ერითემა </w:t>
      </w:r>
      <w:proofErr w:type="spellStart"/>
      <w:r w:rsidRPr="003A761E">
        <w:rPr>
          <w:rFonts w:ascii="Sylfaen" w:hAnsi="Sylfaen" w:cs="Sylfaen"/>
          <w:iCs/>
          <w:sz w:val="20"/>
          <w:szCs w:val="20"/>
          <w:lang w:val="ka-GE"/>
        </w:rPr>
        <w:t>მულტიფორმული</w:t>
      </w:r>
      <w:proofErr w:type="spellEnd"/>
      <w:r w:rsidRPr="003A761E">
        <w:rPr>
          <w:rFonts w:ascii="Sylfaen" w:hAnsi="Sylfaen" w:cs="Sylfaen"/>
          <w:iCs/>
          <w:sz w:val="20"/>
          <w:szCs w:val="20"/>
          <w:lang w:val="ka-GE"/>
        </w:rPr>
        <w:t>),</w:t>
      </w:r>
    </w:p>
    <w:p w14:paraId="2C9D5D19"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სერიოზული დაავადება (ტოქსიკური ეპიდერმული </w:t>
      </w:r>
      <w:proofErr w:type="spellStart"/>
      <w:r w:rsidRPr="003A761E">
        <w:rPr>
          <w:rFonts w:ascii="Sylfaen" w:hAnsi="Sylfaen" w:cs="Sylfaen"/>
          <w:iCs/>
          <w:sz w:val="20"/>
          <w:szCs w:val="20"/>
          <w:lang w:val="ka-GE"/>
        </w:rPr>
        <w:t>ნეკროლიზი</w:t>
      </w:r>
      <w:proofErr w:type="spellEnd"/>
      <w:r w:rsidRPr="003A761E">
        <w:rPr>
          <w:rFonts w:ascii="Sylfaen" w:hAnsi="Sylfaen" w:cs="Sylfaen"/>
          <w:iCs/>
          <w:sz w:val="20"/>
          <w:szCs w:val="20"/>
          <w:lang w:val="ka-GE"/>
        </w:rPr>
        <w:t>) კანის აქერცვლით და ქსოვილის დაკარგვით თხევადი ბუშტებით კანში,</w:t>
      </w:r>
    </w:p>
    <w:p w14:paraId="2C096080"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ძლიერი თავის ტკივილი, კეფის კუნთების </w:t>
      </w:r>
      <w:proofErr w:type="spellStart"/>
      <w:r w:rsidRPr="003A761E">
        <w:rPr>
          <w:rFonts w:ascii="Sylfaen" w:hAnsi="Sylfaen" w:cs="Sylfaen"/>
          <w:iCs/>
          <w:sz w:val="20"/>
          <w:szCs w:val="20"/>
          <w:lang w:val="ka-GE"/>
        </w:rPr>
        <w:t>რიგიდობა</w:t>
      </w:r>
      <w:proofErr w:type="spellEnd"/>
      <w:r w:rsidRPr="003A761E">
        <w:rPr>
          <w:rFonts w:ascii="Sylfaen" w:hAnsi="Sylfaen" w:cs="Sylfaen"/>
          <w:iCs/>
          <w:sz w:val="20"/>
          <w:szCs w:val="20"/>
          <w:lang w:val="ka-GE"/>
        </w:rPr>
        <w:t>, გულისრევა, ღებინება და ცნობიერების დაბინდვა (</w:t>
      </w:r>
      <w:proofErr w:type="spellStart"/>
      <w:r w:rsidRPr="003A761E">
        <w:rPr>
          <w:rFonts w:ascii="Sylfaen" w:hAnsi="Sylfaen" w:cs="Sylfaen"/>
          <w:iCs/>
          <w:sz w:val="20"/>
          <w:szCs w:val="20"/>
          <w:lang w:val="ka-GE"/>
        </w:rPr>
        <w:t>ასპტიკური</w:t>
      </w:r>
      <w:proofErr w:type="spellEnd"/>
      <w:r w:rsidRPr="003A761E">
        <w:rPr>
          <w:rFonts w:ascii="Sylfaen" w:hAnsi="Sylfaen" w:cs="Sylfaen"/>
          <w:iCs/>
          <w:sz w:val="20"/>
          <w:szCs w:val="20"/>
          <w:lang w:val="ka-GE"/>
        </w:rPr>
        <w:t xml:space="preserve"> მენინგიტი),</w:t>
      </w:r>
    </w:p>
    <w:p w14:paraId="7EC7CEDC"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lastRenderedPageBreak/>
        <w:t xml:space="preserve">• სისხლი ან შავი ფერის, მაგალითად, ყავის ნალექის არსებობა განავალსა და </w:t>
      </w:r>
      <w:proofErr w:type="spellStart"/>
      <w:r w:rsidRPr="003A761E">
        <w:rPr>
          <w:rFonts w:ascii="Sylfaen" w:hAnsi="Sylfaen" w:cs="Sylfaen"/>
          <w:iCs/>
          <w:sz w:val="20"/>
          <w:szCs w:val="20"/>
          <w:lang w:val="ka-GE"/>
        </w:rPr>
        <w:t>ამონაღებ</w:t>
      </w:r>
      <w:proofErr w:type="spellEnd"/>
      <w:r w:rsidRPr="003A761E">
        <w:rPr>
          <w:rFonts w:ascii="Sylfaen" w:hAnsi="Sylfaen" w:cs="Sylfaen"/>
          <w:iCs/>
          <w:sz w:val="20"/>
          <w:szCs w:val="20"/>
          <w:lang w:val="ka-GE"/>
        </w:rPr>
        <w:t xml:space="preserve"> მასებში (საჭმლის მომნელებელი ტრაქტის სისხლდენა).</w:t>
      </w:r>
    </w:p>
    <w:p w14:paraId="5257CF3F"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0DB6918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ეს ყველაფერი ძალიან სერიოზული გვერდითი მოვლენებია.</w:t>
      </w:r>
    </w:p>
    <w:p w14:paraId="2FF8F81A"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7D52C90B"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თუ თქვენ აღგენიშნებათ რომელიმე ჩამოთვლილი მდგომარეობა, ეს ნიშნავს, რომ თქვენ გაქვთ სერიოზული ალერგია </w:t>
      </w:r>
      <w:proofErr w:type="spellStart"/>
      <w:r w:rsidRPr="003A761E">
        <w:rPr>
          <w:rFonts w:ascii="Sylfaen" w:hAnsi="Sylfaen" w:cs="Sylfaen"/>
          <w:iCs/>
          <w:sz w:val="20"/>
          <w:szCs w:val="20"/>
          <w:lang w:val="ka-GE"/>
        </w:rPr>
        <w:t>ნაპროსინ</w:t>
      </w:r>
      <w:proofErr w:type="spellEnd"/>
      <w:r w:rsidRPr="003A761E">
        <w:rPr>
          <w:rFonts w:ascii="Sylfaen" w:hAnsi="Sylfaen" w:cs="Sylfaen"/>
          <w:iCs/>
          <w:sz w:val="20"/>
          <w:szCs w:val="20"/>
          <w:lang w:val="ka-GE"/>
        </w:rPr>
        <w:t xml:space="preserve"> CR-ზე. შესაძლოა დაგჭირდეთ სასწრაფო სამედიცინო ჩარევა ან ჰოსპიტალიზაცია.</w:t>
      </w:r>
    </w:p>
    <w:p w14:paraId="6BF7B5C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ყველა ეს სერიოზული გვერდითი მოვლენა ძალიან იშვიათად აღინიშნება.</w:t>
      </w:r>
    </w:p>
    <w:p w14:paraId="1904E2F8"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6B83F19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თუ შეამჩნევთ ქვემოთ ჩამოთვლილთაგან რომელიმეს,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3FD7780F"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ვირუსული მენინგიტი (ცხელება, დაღლილობა, თავის ტკივილი და კისრის ტკივილი, სინათლის მიმართ მგრძნობელობა)</w:t>
      </w:r>
    </w:p>
    <w:p w14:paraId="4825A167"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ანემია, გამოწვეული სისხლის უჯრედების ნაკლებობით, სისხლში ლეიკოციტების რაოდენობის შემცირებით, სისხლის შედედებაში მონაწილე თრომბოციტების რაოდენობის შემცირებით</w:t>
      </w:r>
    </w:p>
    <w:p w14:paraId="66ADD0F8"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სისხლში კალიუმის დონის მატება</w:t>
      </w:r>
    </w:p>
    <w:p w14:paraId="3536B128"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დეპრესია, ძილის დარღვევა, უძილობა</w:t>
      </w:r>
    </w:p>
    <w:p w14:paraId="0E371710"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ინსულტი, </w:t>
      </w:r>
      <w:proofErr w:type="spellStart"/>
      <w:r w:rsidRPr="003A761E">
        <w:rPr>
          <w:rFonts w:ascii="Sylfaen" w:hAnsi="Sylfaen" w:cs="Sylfaen"/>
          <w:iCs/>
          <w:sz w:val="20"/>
          <w:szCs w:val="20"/>
          <w:lang w:val="ka-GE"/>
        </w:rPr>
        <w:t>კოგნიტური</w:t>
      </w:r>
      <w:proofErr w:type="spellEnd"/>
      <w:r w:rsidRPr="003A761E">
        <w:rPr>
          <w:rFonts w:ascii="Sylfaen" w:hAnsi="Sylfaen" w:cs="Sylfaen"/>
          <w:iCs/>
          <w:sz w:val="20"/>
          <w:szCs w:val="20"/>
          <w:lang w:val="ka-GE"/>
        </w:rPr>
        <w:t xml:space="preserve"> ფუნქციის დაქვეითება</w:t>
      </w:r>
    </w:p>
    <w:p w14:paraId="727C77E2"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ანთება მხედველობის ნერვის შეშუპებით</w:t>
      </w:r>
    </w:p>
    <w:p w14:paraId="2C100659"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სმენის დაქვეითება, ყურებში შუილი, თავბრუსხვევა</w:t>
      </w:r>
    </w:p>
    <w:p w14:paraId="7DD057E0"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მაღალი არტერიული წნევა, სისხლძარღვების დახშობა</w:t>
      </w:r>
    </w:p>
    <w:p w14:paraId="3CC81A85"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კუჭ-ნაწლავის ტრაქტის დარღვევები (მონელების დარღვევა, ყაბზობა, დიარეა, გულისრევა, ღებინება)</w:t>
      </w:r>
    </w:p>
    <w:p w14:paraId="63AE3AC1"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ოფლიანობა, თმის ცვენა, კანის პრობლემები</w:t>
      </w:r>
    </w:p>
    <w:p w14:paraId="2E10E12B"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კუნთების ტკივილი და კუნთების სისუსტე</w:t>
      </w:r>
    </w:p>
    <w:p w14:paraId="589B0D67"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უნაყოფობა ქალებში</w:t>
      </w:r>
    </w:p>
    <w:p w14:paraId="4F5E2001"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შემცივნება, სიცხე, სისუსტე</w:t>
      </w:r>
    </w:p>
    <w:p w14:paraId="68FE9C4E"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ჰეპატიტი (ღვიძლის ანთება), სიყვითლე (მადის დაკარგვა, დაღლილობა, ღვიძლის ფუნქციური ტესტების დარღვევები)</w:t>
      </w:r>
    </w:p>
    <w:p w14:paraId="0ABF434A"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6685376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ეს ყველაფერი სერიოზული გვერდითი მოვლენებია. შეიძლება საჭირო გახდეს სასწრაფო სამედიცინო დახმარება. სერიოზული გვერდითი მოვლენები ძალიან იშვიათია.</w:t>
      </w:r>
    </w:p>
    <w:p w14:paraId="1FAAB213" w14:textId="77777777" w:rsidR="00575707" w:rsidRPr="003A761E" w:rsidRDefault="00575707" w:rsidP="00F05C87">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თუ შეამჩნევთ ქვემოთ ჩამოთვლილთაგან რომელიმე გვერდით მოვლენას, აცნობეთ ექიმს:</w:t>
      </w:r>
    </w:p>
    <w:p w14:paraId="727E45F6"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ანემია</w:t>
      </w:r>
    </w:p>
    <w:p w14:paraId="714EDE02"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თავბრუსხვევა, ლეთარგია, თავის ტკივილი, სინათლის მიმართ მგრძნობელობა, კონცენტრაციის გაძნელება</w:t>
      </w:r>
    </w:p>
    <w:p w14:paraId="79A7E570"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ძილიანობა</w:t>
      </w:r>
    </w:p>
    <w:p w14:paraId="3919FD7D"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ბოდვა</w:t>
      </w:r>
    </w:p>
    <w:p w14:paraId="351E6B5E"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მხედველობის დაბინდვა</w:t>
      </w:r>
    </w:p>
    <w:p w14:paraId="6B09CF82"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გულისცემის შეგრძნება</w:t>
      </w:r>
    </w:p>
    <w:p w14:paraId="726AB0AD"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ქოშინი</w:t>
      </w:r>
    </w:p>
    <w:p w14:paraId="0208BFD5"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კუჭის წყლული და დაზიანება, ღებინება, დიარეა, მუცლის ტკივილი, წვა, ყაბზობა</w:t>
      </w:r>
    </w:p>
    <w:p w14:paraId="24B3FFE9"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ქავილი, კანზე გამონაყარი, კანის ფერის შეცვლა, სისხლჩაქცევები</w:t>
      </w:r>
    </w:p>
    <w:p w14:paraId="286D4399"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თირკმლის დარღვევები</w:t>
      </w:r>
    </w:p>
    <w:p w14:paraId="02C706AC"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შეშუპება, წყურვილის შეგრძნება</w:t>
      </w:r>
    </w:p>
    <w:p w14:paraId="2857AFE7" w14:textId="77777777" w:rsidR="00575707" w:rsidRPr="003A761E" w:rsidRDefault="00575707" w:rsidP="00F05C87">
      <w:pPr>
        <w:spacing w:after="0" w:line="240" w:lineRule="auto"/>
        <w:ind w:left="-180" w:right="-2"/>
        <w:jc w:val="both"/>
        <w:rPr>
          <w:rFonts w:ascii="Sylfaen" w:hAnsi="Sylfaen" w:cs="Sylfaen"/>
          <w:iCs/>
          <w:sz w:val="20"/>
          <w:szCs w:val="20"/>
          <w:lang w:val="ka-GE"/>
        </w:rPr>
      </w:pPr>
    </w:p>
    <w:p w14:paraId="47040C55"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xml:space="preserve">ეს არის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მსუბუქი გვერდითი მოვლენები.</w:t>
      </w:r>
    </w:p>
    <w:p w14:paraId="0159FA71"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თუ ეს სიმპტომები სპონტანურად არ გაქრება ან თუ ისინი მძიმე/შემაწუხებელია, მიმართეთ ექიმს.</w:t>
      </w:r>
    </w:p>
    <w:p w14:paraId="73E96131" w14:textId="77777777" w:rsidR="00575707" w:rsidRPr="003A761E" w:rsidRDefault="00575707" w:rsidP="00F05C87">
      <w:pPr>
        <w:spacing w:after="0" w:line="240" w:lineRule="auto"/>
        <w:ind w:left="-180" w:right="-2"/>
        <w:jc w:val="both"/>
        <w:rPr>
          <w:rFonts w:ascii="Sylfaen" w:hAnsi="Sylfaen" w:cs="Sylfaen"/>
          <w:iCs/>
          <w:sz w:val="20"/>
          <w:szCs w:val="20"/>
          <w:u w:val="single"/>
          <w:lang w:val="ka-GE"/>
        </w:rPr>
      </w:pPr>
      <w:r w:rsidRPr="003A761E">
        <w:rPr>
          <w:rFonts w:ascii="Sylfaen" w:hAnsi="Sylfaen" w:cs="Sylfaen"/>
          <w:iCs/>
          <w:sz w:val="20"/>
          <w:szCs w:val="20"/>
          <w:lang w:val="ka-GE"/>
        </w:rPr>
        <w:t>თუ შენიშნავთ რაიმე გვერდით მოვლენას, რომელიც არ არის მითითებული ამ ჩანართში აცნობეთ ამის შესახებ ექიმს ან ფარმაცევტს.</w:t>
      </w:r>
    </w:p>
    <w:p w14:paraId="5B429215" w14:textId="77777777" w:rsidR="00575707" w:rsidRPr="003A761E" w:rsidRDefault="00575707" w:rsidP="00A26C04">
      <w:pPr>
        <w:spacing w:after="0" w:line="240" w:lineRule="auto"/>
        <w:ind w:left="-180" w:right="-2"/>
        <w:jc w:val="both"/>
        <w:rPr>
          <w:rFonts w:ascii="Sylfaen" w:hAnsi="Sylfaen" w:cs="Sylfaen"/>
          <w:sz w:val="20"/>
          <w:szCs w:val="20"/>
          <w:u w:val="single"/>
          <w:lang w:val="ka-GE"/>
        </w:rPr>
      </w:pPr>
    </w:p>
    <w:p w14:paraId="23EB099F" w14:textId="77777777" w:rsidR="00575707" w:rsidRPr="003A761E" w:rsidRDefault="00575707" w:rsidP="00A26C04">
      <w:pPr>
        <w:spacing w:after="0" w:line="240" w:lineRule="auto"/>
        <w:ind w:left="-180" w:right="-2"/>
        <w:jc w:val="both"/>
        <w:rPr>
          <w:rFonts w:ascii="Sylfaen" w:hAnsi="Sylfaen" w:cs="Sylfaen"/>
          <w:sz w:val="20"/>
          <w:szCs w:val="20"/>
          <w:u w:val="single"/>
          <w:lang w:val="ka-GE"/>
        </w:rPr>
      </w:pPr>
      <w:r w:rsidRPr="003A761E">
        <w:rPr>
          <w:rFonts w:ascii="Sylfaen" w:hAnsi="Sylfaen" w:cs="Sylfaen"/>
          <w:sz w:val="20"/>
          <w:szCs w:val="20"/>
          <w:u w:val="single"/>
          <w:lang w:val="ka-GE"/>
        </w:rPr>
        <w:t>გვერდითი რეაქციების შესახებ შეტყობინება</w:t>
      </w:r>
    </w:p>
    <w:p w14:paraId="0ADCD203" w14:textId="77777777" w:rsidR="00575707" w:rsidRPr="003A761E" w:rsidRDefault="00575707" w:rsidP="00F05C87">
      <w:pPr>
        <w:spacing w:after="0" w:line="240" w:lineRule="auto"/>
        <w:ind w:left="-180" w:right="-2"/>
        <w:jc w:val="both"/>
        <w:rPr>
          <w:rFonts w:ascii="Sylfaen" w:hAnsi="Sylfaen" w:cs="Sylfaen"/>
          <w:sz w:val="20"/>
          <w:szCs w:val="20"/>
          <w:lang w:val="ka-GE"/>
        </w:rPr>
      </w:pPr>
      <w:r w:rsidRPr="003A761E">
        <w:rPr>
          <w:rFonts w:ascii="Sylfaen" w:hAnsi="Sylfaen" w:cs="Sylfaen"/>
          <w:sz w:val="20"/>
          <w:szCs w:val="20"/>
          <w:lang w:val="ka-GE"/>
        </w:rPr>
        <w:t xml:space="preserve">თუ თქვენ შენიშნავთ რომელიმე გვერდით მოვლენას, რომელიც ჩამოთვლილია ან არ არის ჩამოთვლილი ამ ინსტრუქციაში, მიმართეთ თქვენს ექიმს, ფარმაცევტს ან ექთანს. ასევე, გთხოვთ, შეატყობინოთ ნებისმიერი გვერდითი მოვლენის შესახებ თურქეთის </w:t>
      </w:r>
      <w:proofErr w:type="spellStart"/>
      <w:r w:rsidRPr="003A761E">
        <w:rPr>
          <w:rFonts w:ascii="Sylfaen" w:hAnsi="Sylfaen" w:cs="Sylfaen"/>
          <w:sz w:val="20"/>
          <w:szCs w:val="20"/>
          <w:lang w:val="ka-GE"/>
        </w:rPr>
        <w:t>ფარმაკოზედამხედველობის</w:t>
      </w:r>
      <w:proofErr w:type="spellEnd"/>
      <w:r w:rsidRPr="003A761E">
        <w:rPr>
          <w:rFonts w:ascii="Sylfaen" w:hAnsi="Sylfaen" w:cs="Sylfaen"/>
          <w:sz w:val="20"/>
          <w:szCs w:val="20"/>
          <w:lang w:val="ka-GE"/>
        </w:rPr>
        <w:t xml:space="preserve"> ცენტრს (TÜFAM) ვებგვერდზე www.titck.gov.tr-ზე „წამლის გვერდითი მოვლენის შესახებ შეტყობინების“ ხატულაზე </w:t>
      </w:r>
      <w:proofErr w:type="spellStart"/>
      <w:r w:rsidRPr="003A761E">
        <w:rPr>
          <w:rFonts w:ascii="Sylfaen" w:hAnsi="Sylfaen" w:cs="Sylfaen"/>
          <w:sz w:val="20"/>
          <w:szCs w:val="20"/>
          <w:lang w:val="ka-GE"/>
        </w:rPr>
        <w:t>დაწკაპუნებით</w:t>
      </w:r>
      <w:proofErr w:type="spellEnd"/>
      <w:r w:rsidRPr="003A761E">
        <w:rPr>
          <w:rFonts w:ascii="Sylfaen" w:hAnsi="Sylfaen" w:cs="Sylfaen"/>
          <w:sz w:val="20"/>
          <w:szCs w:val="20"/>
          <w:lang w:val="ka-GE"/>
        </w:rPr>
        <w:t xml:space="preserve"> ან გვერდითი მოვლენების შესახებ შეტყობინებით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547167DF" w14:textId="77777777" w:rsidR="00575707" w:rsidRPr="003A761E" w:rsidRDefault="00575707" w:rsidP="00C87ED8">
      <w:pPr>
        <w:spacing w:after="0" w:line="240" w:lineRule="auto"/>
        <w:ind w:left="360" w:right="-2"/>
        <w:jc w:val="both"/>
        <w:rPr>
          <w:rFonts w:ascii="Sylfaen" w:hAnsi="Sylfaen" w:cs="Sylfaen"/>
          <w:b/>
          <w:bCs/>
          <w:sz w:val="20"/>
          <w:szCs w:val="20"/>
          <w:lang w:val="ka-GE"/>
        </w:rPr>
      </w:pPr>
    </w:p>
    <w:p w14:paraId="1DAACB5A" w14:textId="77777777" w:rsidR="00575707" w:rsidRPr="003A761E" w:rsidRDefault="00575707" w:rsidP="003A761E">
      <w:pPr>
        <w:spacing w:after="0" w:line="240" w:lineRule="auto"/>
        <w:ind w:left="-180" w:right="-2"/>
        <w:jc w:val="both"/>
        <w:rPr>
          <w:rFonts w:ascii="Sylfaen" w:hAnsi="Sylfaen" w:cs="Sylfaen"/>
          <w:b/>
          <w:bCs/>
          <w:noProof/>
          <w:sz w:val="20"/>
          <w:szCs w:val="20"/>
          <w:lang w:val="ka-GE"/>
        </w:rPr>
      </w:pPr>
      <w:r w:rsidRPr="003A761E">
        <w:rPr>
          <w:rFonts w:ascii="Sylfaen" w:hAnsi="Sylfaen" w:cs="Sylfaen"/>
          <w:b/>
          <w:bCs/>
          <w:noProof/>
          <w:sz w:val="20"/>
          <w:szCs w:val="20"/>
          <w:lang w:val="ka-GE"/>
        </w:rPr>
        <w:t>როგორ შევინახოთ ნაპროსინ CR?</w:t>
      </w:r>
    </w:p>
    <w:p w14:paraId="3C480068" w14:textId="77777777" w:rsidR="00575707" w:rsidRPr="003A761E" w:rsidRDefault="00575707" w:rsidP="003A761E">
      <w:pPr>
        <w:spacing w:after="0" w:line="240" w:lineRule="auto"/>
        <w:ind w:left="-180" w:right="-2"/>
        <w:jc w:val="both"/>
        <w:rPr>
          <w:rFonts w:ascii="Sylfaen" w:hAnsi="Sylfaen" w:cs="Sylfaen"/>
          <w:b/>
          <w:bCs/>
          <w:noProof/>
          <w:sz w:val="20"/>
          <w:szCs w:val="20"/>
          <w:lang w:val="ka-GE"/>
        </w:rPr>
      </w:pPr>
    </w:p>
    <w:p w14:paraId="31445EEA"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lastRenderedPageBreak/>
        <w:t>შეინახეთ ნაპროსინი CR ბავშვებისთვის მიუწვდომელ ადგილას და შეფუთვაში.</w:t>
      </w:r>
    </w:p>
    <w:p w14:paraId="26F9F546"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შეინახეთ 25°C-ზე დაბალ ოთახის ტემპერატურაზე, სინათლისგან დაცულ ადგილას.</w:t>
      </w:r>
    </w:p>
    <w:p w14:paraId="5E435618"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584AC47D"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გამოიყენეთ ვარგისიანობის ვადის დაცვით.</w:t>
      </w:r>
    </w:p>
    <w:p w14:paraId="4760CD38"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67ADC711"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არ გამოიყენოთ ნაპროსინი CR შეფუთვაზე მითითებული ვარგისიანობის ვადის გასვლის შემდეგ.</w:t>
      </w:r>
    </w:p>
    <w:p w14:paraId="10BABC55"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66D7C498"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თუ პროდუქტზე და/ან შეფუთვაზე დეფექტებს შეამჩნევთ, არ გამოიყენოთ ნაპროსინი CR.</w:t>
      </w:r>
    </w:p>
    <w:p w14:paraId="7E9DF280"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0C6D1F4D"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არ გადააგდოთ ვადაგასული ან გამოუყენებელი პრეპარატები! გადაეცით გარემოს დაცვისა და ურბანიზაციის სამინისტროს მიერ განსაზღვრულ შეგროვების სისტემას.</w:t>
      </w:r>
    </w:p>
    <w:p w14:paraId="515677C2" w14:textId="77777777" w:rsidR="00575707" w:rsidRDefault="00575707" w:rsidP="003A761E">
      <w:pPr>
        <w:spacing w:after="0" w:line="240" w:lineRule="auto"/>
        <w:ind w:left="-180" w:right="-2"/>
        <w:jc w:val="both"/>
        <w:rPr>
          <w:rFonts w:ascii="Sylfaen" w:hAnsi="Sylfaen" w:cs="Sylfaen"/>
          <w:b/>
          <w:bCs/>
          <w:noProof/>
          <w:sz w:val="20"/>
          <w:szCs w:val="20"/>
          <w:lang w:val="ka-GE"/>
        </w:rPr>
      </w:pPr>
    </w:p>
    <w:p w14:paraId="47C6BC92" w14:textId="77777777" w:rsidR="002360C9" w:rsidRPr="00F70382" w:rsidRDefault="002360C9" w:rsidP="002360C9">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2E3D0694" w14:textId="77777777" w:rsidR="002360C9" w:rsidRDefault="002360C9" w:rsidP="002360C9">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E83F9F">
        <w:rPr>
          <w:rFonts w:ascii="Sylfaen" w:hAnsi="Sylfaen" w:cs="Sylfaen"/>
          <w:b/>
          <w:noProof/>
        </w:rPr>
        <w:t>III ჯგუფი, გაიცემა რეცეპტის გარეშე  </w:t>
      </w:r>
      <w:bookmarkEnd w:id="0"/>
    </w:p>
    <w:bookmarkEnd w:id="1"/>
    <w:p w14:paraId="1A303DFC" w14:textId="77777777" w:rsidR="002360C9" w:rsidRPr="003A761E" w:rsidRDefault="002360C9" w:rsidP="003A761E">
      <w:pPr>
        <w:spacing w:after="0" w:line="240" w:lineRule="auto"/>
        <w:ind w:left="-180" w:right="-2"/>
        <w:jc w:val="both"/>
        <w:rPr>
          <w:rFonts w:ascii="Sylfaen" w:hAnsi="Sylfaen" w:cs="Sylfaen"/>
          <w:b/>
          <w:bCs/>
          <w:noProof/>
          <w:sz w:val="20"/>
          <w:szCs w:val="20"/>
          <w:lang w:val="ka-GE"/>
        </w:rPr>
      </w:pPr>
    </w:p>
    <w:p w14:paraId="7D3D1C73" w14:textId="77777777" w:rsidR="00575707" w:rsidRPr="003A761E" w:rsidRDefault="00575707" w:rsidP="003A761E">
      <w:pPr>
        <w:spacing w:after="0" w:line="240" w:lineRule="auto"/>
        <w:ind w:left="-180" w:right="-2"/>
        <w:jc w:val="both"/>
        <w:rPr>
          <w:rFonts w:ascii="Sylfaen" w:hAnsi="Sylfaen" w:cs="Sylfaen"/>
          <w:b/>
          <w:bCs/>
          <w:sz w:val="20"/>
          <w:szCs w:val="20"/>
          <w:lang w:val="ka-GE"/>
        </w:rPr>
      </w:pPr>
      <w:r w:rsidRPr="003A761E">
        <w:rPr>
          <w:rFonts w:ascii="Sylfaen" w:hAnsi="Sylfaen" w:cs="Sylfaen"/>
          <w:b/>
          <w:bCs/>
          <w:sz w:val="20"/>
          <w:szCs w:val="20"/>
          <w:lang w:val="ka-GE"/>
        </w:rPr>
        <w:t xml:space="preserve">სავაჭრო ლიცენზიის მფლობელი: </w:t>
      </w:r>
    </w:p>
    <w:p w14:paraId="2C7952DA" w14:textId="77777777" w:rsidR="00575707" w:rsidRPr="003A761E" w:rsidRDefault="00575707" w:rsidP="003A761E">
      <w:pPr>
        <w:pStyle w:val="BodyText"/>
        <w:kinsoku w:val="0"/>
        <w:overflowPunct w:val="0"/>
        <w:spacing w:line="276" w:lineRule="auto"/>
        <w:ind w:left="-180"/>
        <w:rPr>
          <w:sz w:val="20"/>
          <w:szCs w:val="20"/>
          <w:lang w:val="ka-GE"/>
        </w:rPr>
      </w:pPr>
      <w:proofErr w:type="spellStart"/>
      <w:r w:rsidRPr="003A761E">
        <w:rPr>
          <w:sz w:val="20"/>
          <w:szCs w:val="20"/>
          <w:lang w:val="ka-GE"/>
        </w:rPr>
        <w:t>Abdi</w:t>
      </w:r>
      <w:proofErr w:type="spellEnd"/>
      <w:r w:rsidRPr="003A761E">
        <w:rPr>
          <w:sz w:val="20"/>
          <w:szCs w:val="20"/>
          <w:lang w:val="ka-GE"/>
        </w:rPr>
        <w:t xml:space="preserve"> </w:t>
      </w:r>
      <w:proofErr w:type="spellStart"/>
      <w:r w:rsidRPr="003A761E">
        <w:rPr>
          <w:sz w:val="20"/>
          <w:szCs w:val="20"/>
          <w:lang w:val="ka-GE"/>
        </w:rPr>
        <w:t>İbrahim</w:t>
      </w:r>
      <w:proofErr w:type="spellEnd"/>
      <w:r w:rsidRPr="003A761E">
        <w:rPr>
          <w:sz w:val="20"/>
          <w:szCs w:val="20"/>
          <w:lang w:val="ka-GE"/>
        </w:rPr>
        <w:t xml:space="preserve"> </w:t>
      </w:r>
      <w:proofErr w:type="spellStart"/>
      <w:r w:rsidRPr="003A761E">
        <w:rPr>
          <w:sz w:val="20"/>
          <w:szCs w:val="20"/>
          <w:lang w:val="ka-GE"/>
        </w:rPr>
        <w:t>İlaç</w:t>
      </w:r>
      <w:proofErr w:type="spellEnd"/>
      <w:r w:rsidRPr="003A761E">
        <w:rPr>
          <w:sz w:val="20"/>
          <w:szCs w:val="20"/>
          <w:lang w:val="ka-GE"/>
        </w:rPr>
        <w:t xml:space="preserve"> </w:t>
      </w:r>
      <w:proofErr w:type="spellStart"/>
      <w:r w:rsidRPr="003A761E">
        <w:rPr>
          <w:sz w:val="20"/>
          <w:szCs w:val="20"/>
          <w:lang w:val="ka-GE"/>
        </w:rPr>
        <w:t>San</w:t>
      </w:r>
      <w:proofErr w:type="spellEnd"/>
      <w:r w:rsidRPr="003A761E">
        <w:rPr>
          <w:sz w:val="20"/>
          <w:szCs w:val="20"/>
          <w:lang w:val="ka-GE"/>
        </w:rPr>
        <w:t xml:space="preserve">. </w:t>
      </w:r>
      <w:proofErr w:type="spellStart"/>
      <w:r w:rsidRPr="003A761E">
        <w:rPr>
          <w:sz w:val="20"/>
          <w:szCs w:val="20"/>
          <w:lang w:val="ka-GE"/>
        </w:rPr>
        <w:t>ve</w:t>
      </w:r>
      <w:proofErr w:type="spellEnd"/>
      <w:r w:rsidRPr="003A761E">
        <w:rPr>
          <w:sz w:val="20"/>
          <w:szCs w:val="20"/>
          <w:lang w:val="ka-GE"/>
        </w:rPr>
        <w:t xml:space="preserve"> </w:t>
      </w:r>
      <w:proofErr w:type="spellStart"/>
      <w:r w:rsidRPr="003A761E">
        <w:rPr>
          <w:sz w:val="20"/>
          <w:szCs w:val="20"/>
          <w:lang w:val="ka-GE"/>
        </w:rPr>
        <w:t>Tic</w:t>
      </w:r>
      <w:proofErr w:type="spellEnd"/>
      <w:r w:rsidRPr="003A761E">
        <w:rPr>
          <w:sz w:val="20"/>
          <w:szCs w:val="20"/>
          <w:lang w:val="ka-GE"/>
        </w:rPr>
        <w:t>. A.Ş.</w:t>
      </w:r>
    </w:p>
    <w:p w14:paraId="456C3E66"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Times New Roman" w:hAnsi="Times New Roman" w:cs="Times New Roman"/>
          <w:sz w:val="20"/>
          <w:szCs w:val="20"/>
          <w:lang w:val="it-IT"/>
        </w:rPr>
        <w:t xml:space="preserve">Reşitpaşa Mahallesi Eski Büyükdere Cad. No:4 34467 </w:t>
      </w:r>
    </w:p>
    <w:p w14:paraId="64A2BAA6" w14:textId="77777777" w:rsidR="00575707" w:rsidRPr="003A761E" w:rsidRDefault="00575707" w:rsidP="003A761E">
      <w:pPr>
        <w:spacing w:after="0" w:line="240" w:lineRule="auto"/>
        <w:ind w:left="-180" w:right="-2"/>
        <w:jc w:val="both"/>
        <w:rPr>
          <w:rFonts w:ascii="Sylfaen" w:hAnsi="Sylfaen" w:cs="Sylfaen"/>
          <w:sz w:val="20"/>
          <w:szCs w:val="20"/>
          <w:lang w:val="ka-GE"/>
        </w:rPr>
      </w:pPr>
      <w:r w:rsidRPr="003A761E">
        <w:rPr>
          <w:rFonts w:ascii="Times New Roman" w:hAnsi="Times New Roman" w:cs="Times New Roman"/>
          <w:sz w:val="20"/>
          <w:szCs w:val="20"/>
          <w:lang w:val="it-IT"/>
        </w:rPr>
        <w:t>Maslak / Sarıyer / İstanbul</w:t>
      </w:r>
      <w:r w:rsidRPr="003A761E">
        <w:rPr>
          <w:rFonts w:ascii="Sylfaen" w:hAnsi="Sylfaen" w:cs="Sylfaen"/>
          <w:sz w:val="20"/>
          <w:szCs w:val="20"/>
          <w:lang w:val="ka-GE"/>
        </w:rPr>
        <w:t xml:space="preserve"> </w:t>
      </w:r>
    </w:p>
    <w:p w14:paraId="51DF6C36" w14:textId="77777777" w:rsidR="00575707" w:rsidRPr="003A761E" w:rsidRDefault="00575707" w:rsidP="003A761E">
      <w:pPr>
        <w:spacing w:after="0" w:line="240" w:lineRule="auto"/>
        <w:ind w:left="-180" w:right="-2"/>
        <w:jc w:val="both"/>
        <w:rPr>
          <w:rFonts w:ascii="Sylfaen" w:hAnsi="Sylfaen" w:cs="Sylfaen"/>
          <w:sz w:val="20"/>
          <w:szCs w:val="20"/>
          <w:lang w:val="ka-GE"/>
        </w:rPr>
      </w:pPr>
      <w:r w:rsidRPr="003A761E">
        <w:rPr>
          <w:rFonts w:ascii="Sylfaen" w:hAnsi="Sylfaen" w:cs="Sylfaen"/>
          <w:sz w:val="20"/>
          <w:szCs w:val="20"/>
          <w:lang w:val="ka-GE"/>
        </w:rPr>
        <w:t xml:space="preserve"> </w:t>
      </w:r>
    </w:p>
    <w:p w14:paraId="034741C4" w14:textId="77777777" w:rsidR="00575707" w:rsidRPr="003A761E" w:rsidRDefault="00575707" w:rsidP="003A761E">
      <w:pPr>
        <w:spacing w:after="0" w:line="240" w:lineRule="auto"/>
        <w:ind w:left="-180" w:right="-2"/>
        <w:jc w:val="both"/>
        <w:rPr>
          <w:rFonts w:ascii="Sylfaen" w:hAnsi="Sylfaen" w:cs="Sylfaen"/>
          <w:b/>
          <w:bCs/>
          <w:sz w:val="20"/>
          <w:szCs w:val="20"/>
          <w:lang w:val="ka-GE"/>
        </w:rPr>
      </w:pPr>
      <w:r w:rsidRPr="003A761E">
        <w:rPr>
          <w:rFonts w:ascii="Sylfaen" w:hAnsi="Sylfaen" w:cs="Sylfaen"/>
          <w:b/>
          <w:bCs/>
          <w:sz w:val="20"/>
          <w:szCs w:val="20"/>
          <w:lang w:val="ka-GE"/>
        </w:rPr>
        <w:t>წარმოების ადგილი:</w:t>
      </w:r>
    </w:p>
    <w:p w14:paraId="5FB2B020" w14:textId="77777777" w:rsidR="00575707" w:rsidRPr="008F616F" w:rsidRDefault="00575707" w:rsidP="003A761E">
      <w:pPr>
        <w:pStyle w:val="BodyText"/>
        <w:kinsoku w:val="0"/>
        <w:overflowPunct w:val="0"/>
        <w:spacing w:line="276" w:lineRule="auto"/>
        <w:ind w:left="-180"/>
        <w:rPr>
          <w:sz w:val="20"/>
          <w:szCs w:val="20"/>
          <w:lang w:val="it-IT"/>
        </w:rPr>
      </w:pPr>
      <w:r w:rsidRPr="008F616F">
        <w:rPr>
          <w:sz w:val="20"/>
          <w:szCs w:val="20"/>
          <w:lang w:val="it-IT"/>
        </w:rPr>
        <w:t>Abdi İbrahim İlaç San. ve Tic. A.Ş.</w:t>
      </w:r>
    </w:p>
    <w:p w14:paraId="651BB71B"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Times New Roman" w:hAnsi="Times New Roman" w:cs="Times New Roman"/>
          <w:sz w:val="20"/>
          <w:szCs w:val="20"/>
          <w:lang w:val="it-IT"/>
        </w:rPr>
        <w:t xml:space="preserve">Esenyurt / İstanbul </w:t>
      </w:r>
    </w:p>
    <w:p w14:paraId="734C84D6" w14:textId="77777777" w:rsidR="00575707" w:rsidRPr="003A761E" w:rsidRDefault="00575707" w:rsidP="003A761E">
      <w:pPr>
        <w:spacing w:after="0" w:line="240" w:lineRule="auto"/>
        <w:ind w:left="-180" w:right="-2"/>
        <w:jc w:val="both"/>
        <w:rPr>
          <w:rFonts w:ascii="Sylfaen" w:hAnsi="Sylfaen" w:cs="Times New Roman"/>
          <w:color w:val="FF0000"/>
          <w:sz w:val="20"/>
          <w:szCs w:val="20"/>
          <w:lang w:val="ka-GE"/>
        </w:rPr>
      </w:pPr>
    </w:p>
    <w:p w14:paraId="5990F383"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Sylfaen" w:hAnsi="Sylfaen" w:cs="Times New Roman"/>
          <w:sz w:val="20"/>
          <w:szCs w:val="20"/>
          <w:lang w:val="ka-GE"/>
        </w:rPr>
        <w:t>ეს პაციენტის საინფორმაციო ფურცელი დამტკიცებულია 02/09/2013.</w:t>
      </w:r>
    </w:p>
    <w:p w14:paraId="28DAC67A"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Sylfaen" w:hAnsi="Sylfaen" w:cs="Times New Roman"/>
          <w:sz w:val="20"/>
          <w:szCs w:val="20"/>
          <w:lang w:val="ka-GE"/>
        </w:rPr>
        <w:t xml:space="preserve">თქვენ შეგიძლიათ მიიღოთ დეტალური და განახლებული ინფორმაცია ამ მედიკამენტის შესახებ QR კოდის სკანირებით თქვენი </w:t>
      </w:r>
      <w:proofErr w:type="spellStart"/>
      <w:r w:rsidRPr="003A761E">
        <w:rPr>
          <w:rFonts w:ascii="Sylfaen" w:hAnsi="Sylfaen" w:cs="Times New Roman"/>
          <w:sz w:val="20"/>
          <w:szCs w:val="20"/>
          <w:lang w:val="ka-GE"/>
        </w:rPr>
        <w:t>სმარტფონის</w:t>
      </w:r>
      <w:proofErr w:type="spellEnd"/>
      <w:r w:rsidRPr="003A761E">
        <w:rPr>
          <w:rFonts w:ascii="Sylfaen" w:hAnsi="Sylfaen" w:cs="Times New Roman"/>
          <w:sz w:val="20"/>
          <w:szCs w:val="20"/>
          <w:lang w:val="ka-GE"/>
        </w:rPr>
        <w:t xml:space="preserve">, </w:t>
      </w:r>
      <w:proofErr w:type="spellStart"/>
      <w:r w:rsidRPr="003A761E">
        <w:rPr>
          <w:rFonts w:ascii="Sylfaen" w:hAnsi="Sylfaen" w:cs="Times New Roman"/>
          <w:sz w:val="20"/>
          <w:szCs w:val="20"/>
          <w:lang w:val="ka-GE"/>
        </w:rPr>
        <w:t>პლანშეტის</w:t>
      </w:r>
      <w:proofErr w:type="spellEnd"/>
      <w:r w:rsidRPr="003A761E">
        <w:rPr>
          <w:rFonts w:ascii="Sylfaen" w:hAnsi="Sylfaen" w:cs="Times New Roman"/>
          <w:sz w:val="20"/>
          <w:szCs w:val="20"/>
          <w:lang w:val="ka-GE"/>
        </w:rPr>
        <w:t xml:space="preserve"> ან QR კოდის წამკითხველის საშუალებით.</w:t>
      </w:r>
    </w:p>
    <w:p w14:paraId="6BFD00A6" w14:textId="77777777" w:rsidR="00575707" w:rsidRPr="003A761E" w:rsidRDefault="00575707" w:rsidP="003A761E">
      <w:pPr>
        <w:spacing w:after="0" w:line="240" w:lineRule="auto"/>
        <w:ind w:left="-180" w:right="-2"/>
        <w:jc w:val="both"/>
        <w:rPr>
          <w:rFonts w:ascii="Sylfaen" w:hAnsi="Sylfaen" w:cs="Sylfaen"/>
          <w:sz w:val="20"/>
          <w:szCs w:val="20"/>
          <w:lang w:val="ka-GE"/>
        </w:rPr>
      </w:pPr>
    </w:p>
    <w:p w14:paraId="640EC156" w14:textId="77777777" w:rsidR="00575707" w:rsidRPr="003A761E" w:rsidRDefault="00575707" w:rsidP="003A761E">
      <w:pPr>
        <w:spacing w:after="0" w:line="240" w:lineRule="auto"/>
        <w:ind w:left="-180" w:right="-2"/>
        <w:jc w:val="both"/>
        <w:rPr>
          <w:rFonts w:ascii="Sylfaen" w:hAnsi="Sylfaen" w:cs="Sylfaen"/>
          <w:i/>
          <w:iCs/>
          <w:sz w:val="20"/>
          <w:szCs w:val="20"/>
          <w:lang w:val="en-US"/>
        </w:rPr>
      </w:pPr>
    </w:p>
    <w:p w14:paraId="251BE2C6" w14:textId="77777777" w:rsidR="00575707" w:rsidRPr="003A761E" w:rsidRDefault="00575707" w:rsidP="003A761E">
      <w:pPr>
        <w:spacing w:after="0" w:line="240" w:lineRule="auto"/>
        <w:ind w:left="-180" w:right="-2"/>
        <w:jc w:val="both"/>
        <w:rPr>
          <w:rFonts w:ascii="Sylfaen" w:hAnsi="Sylfaen" w:cs="Sylfaen"/>
          <w:i/>
          <w:iCs/>
          <w:sz w:val="20"/>
          <w:szCs w:val="20"/>
          <w:lang w:val="ka-GE"/>
        </w:rPr>
      </w:pPr>
    </w:p>
    <w:p w14:paraId="39D79A4D" w14:textId="77777777" w:rsidR="00575707" w:rsidRPr="003A761E" w:rsidRDefault="00575707" w:rsidP="003A761E">
      <w:pPr>
        <w:spacing w:after="0" w:line="240" w:lineRule="auto"/>
        <w:ind w:left="-180" w:right="-2"/>
        <w:jc w:val="both"/>
        <w:rPr>
          <w:rFonts w:ascii="Sylfaen" w:hAnsi="Sylfaen" w:cs="Sylfaen"/>
          <w:i/>
          <w:iCs/>
          <w:sz w:val="20"/>
          <w:szCs w:val="20"/>
          <w:lang w:val="ka-GE"/>
        </w:rPr>
      </w:pPr>
    </w:p>
    <w:p w14:paraId="0BFC3D89" w14:textId="77777777" w:rsidR="00575707" w:rsidRPr="003A761E" w:rsidRDefault="00575707" w:rsidP="00C87ED8">
      <w:pPr>
        <w:spacing w:after="0" w:line="240" w:lineRule="auto"/>
        <w:ind w:right="-2"/>
        <w:jc w:val="both"/>
        <w:rPr>
          <w:rFonts w:ascii="Sylfaen" w:hAnsi="Sylfaen" w:cs="Sylfaen"/>
          <w:i/>
          <w:iCs/>
          <w:sz w:val="20"/>
          <w:szCs w:val="20"/>
          <w:lang w:val="en-US"/>
        </w:rPr>
      </w:pPr>
    </w:p>
    <w:p w14:paraId="66D163A5" w14:textId="77777777" w:rsidR="00575707" w:rsidRPr="003A761E" w:rsidRDefault="00575707" w:rsidP="00C87ED8">
      <w:pPr>
        <w:spacing w:after="0" w:line="240" w:lineRule="auto"/>
        <w:ind w:right="-2"/>
        <w:jc w:val="both"/>
        <w:rPr>
          <w:rFonts w:ascii="Sylfaen" w:hAnsi="Sylfaen" w:cs="Sylfaen"/>
          <w:i/>
          <w:iCs/>
          <w:sz w:val="20"/>
          <w:szCs w:val="20"/>
          <w:lang w:val="ka-GE"/>
        </w:rPr>
      </w:pPr>
    </w:p>
    <w:p w14:paraId="09E89799" w14:textId="77777777" w:rsidR="00575707" w:rsidRPr="003A761E" w:rsidRDefault="00575707" w:rsidP="00C87ED8">
      <w:pPr>
        <w:spacing w:after="0" w:line="240" w:lineRule="auto"/>
        <w:ind w:right="-2"/>
        <w:jc w:val="both"/>
        <w:rPr>
          <w:rFonts w:ascii="Sylfaen" w:hAnsi="Sylfaen" w:cs="Sylfaen"/>
          <w:i/>
          <w:iCs/>
          <w:sz w:val="20"/>
          <w:szCs w:val="20"/>
          <w:lang w:val="ka-GE"/>
        </w:rPr>
      </w:pPr>
    </w:p>
    <w:sectPr w:rsidR="00575707" w:rsidRPr="003A761E" w:rsidSect="00DA1173">
      <w:pgSz w:w="11906" w:h="16838"/>
      <w:pgMar w:top="360" w:right="566" w:bottom="5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346C54E0"/>
    <w:multiLevelType w:val="hybridMultilevel"/>
    <w:tmpl w:val="ABB010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258323048">
    <w:abstractNumId w:val="16"/>
  </w:num>
  <w:num w:numId="2" w16cid:durableId="59715298">
    <w:abstractNumId w:val="2"/>
  </w:num>
  <w:num w:numId="3" w16cid:durableId="608126856">
    <w:abstractNumId w:val="14"/>
  </w:num>
  <w:num w:numId="4" w16cid:durableId="758210451">
    <w:abstractNumId w:val="13"/>
  </w:num>
  <w:num w:numId="5" w16cid:durableId="1364280311">
    <w:abstractNumId w:val="22"/>
  </w:num>
  <w:num w:numId="6" w16cid:durableId="1960647967">
    <w:abstractNumId w:val="17"/>
  </w:num>
  <w:num w:numId="7" w16cid:durableId="235627672">
    <w:abstractNumId w:val="11"/>
  </w:num>
  <w:num w:numId="8" w16cid:durableId="1224027901">
    <w:abstractNumId w:val="9"/>
  </w:num>
  <w:num w:numId="9" w16cid:durableId="1757246661">
    <w:abstractNumId w:val="4"/>
  </w:num>
  <w:num w:numId="10" w16cid:durableId="386757452">
    <w:abstractNumId w:val="0"/>
  </w:num>
  <w:num w:numId="11" w16cid:durableId="840314060">
    <w:abstractNumId w:val="15"/>
  </w:num>
  <w:num w:numId="12" w16cid:durableId="761410250">
    <w:abstractNumId w:val="10"/>
  </w:num>
  <w:num w:numId="13" w16cid:durableId="162672120">
    <w:abstractNumId w:val="8"/>
  </w:num>
  <w:num w:numId="14" w16cid:durableId="455293572">
    <w:abstractNumId w:val="19"/>
  </w:num>
  <w:num w:numId="15" w16cid:durableId="634141152">
    <w:abstractNumId w:val="21"/>
  </w:num>
  <w:num w:numId="16" w16cid:durableId="1151210005">
    <w:abstractNumId w:val="12"/>
  </w:num>
  <w:num w:numId="17" w16cid:durableId="71239236">
    <w:abstractNumId w:val="7"/>
  </w:num>
  <w:num w:numId="18" w16cid:durableId="1072587001">
    <w:abstractNumId w:val="20"/>
  </w:num>
  <w:num w:numId="19" w16cid:durableId="677846833">
    <w:abstractNumId w:val="18"/>
  </w:num>
  <w:num w:numId="20" w16cid:durableId="903567217">
    <w:abstractNumId w:val="1"/>
  </w:num>
  <w:num w:numId="21" w16cid:durableId="2119792500">
    <w:abstractNumId w:val="3"/>
  </w:num>
  <w:num w:numId="22" w16cid:durableId="1754468039">
    <w:abstractNumId w:val="6"/>
  </w:num>
  <w:num w:numId="23" w16cid:durableId="498615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defaultTabStop w:val="720"/>
  <w:hyphenationZone w:val="141"/>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E6"/>
    <w:rsid w:val="00002A22"/>
    <w:rsid w:val="00010A76"/>
    <w:rsid w:val="000156FF"/>
    <w:rsid w:val="00015916"/>
    <w:rsid w:val="00022DBE"/>
    <w:rsid w:val="00033F0F"/>
    <w:rsid w:val="00036EA7"/>
    <w:rsid w:val="00047104"/>
    <w:rsid w:val="00076DD3"/>
    <w:rsid w:val="000933A1"/>
    <w:rsid w:val="0009540E"/>
    <w:rsid w:val="000B51DB"/>
    <w:rsid w:val="000C3BD8"/>
    <w:rsid w:val="000F040C"/>
    <w:rsid w:val="000F32BC"/>
    <w:rsid w:val="001018C1"/>
    <w:rsid w:val="001021B9"/>
    <w:rsid w:val="0011755A"/>
    <w:rsid w:val="00124258"/>
    <w:rsid w:val="00140A29"/>
    <w:rsid w:val="00144BD4"/>
    <w:rsid w:val="001550AA"/>
    <w:rsid w:val="00160A74"/>
    <w:rsid w:val="00175DF3"/>
    <w:rsid w:val="0019580C"/>
    <w:rsid w:val="00197FB4"/>
    <w:rsid w:val="001B0180"/>
    <w:rsid w:val="001B16FD"/>
    <w:rsid w:val="001D3D53"/>
    <w:rsid w:val="001D7B82"/>
    <w:rsid w:val="001F1258"/>
    <w:rsid w:val="001F7813"/>
    <w:rsid w:val="00201F41"/>
    <w:rsid w:val="00206A41"/>
    <w:rsid w:val="00225AD0"/>
    <w:rsid w:val="00226C9C"/>
    <w:rsid w:val="002330BF"/>
    <w:rsid w:val="002360C9"/>
    <w:rsid w:val="00236AE6"/>
    <w:rsid w:val="00245A94"/>
    <w:rsid w:val="00257886"/>
    <w:rsid w:val="002639D1"/>
    <w:rsid w:val="00285A16"/>
    <w:rsid w:val="00290A4F"/>
    <w:rsid w:val="00294D3D"/>
    <w:rsid w:val="00295C51"/>
    <w:rsid w:val="002D7EB9"/>
    <w:rsid w:val="002F0DDF"/>
    <w:rsid w:val="0032101E"/>
    <w:rsid w:val="00326236"/>
    <w:rsid w:val="00341E0A"/>
    <w:rsid w:val="00342A16"/>
    <w:rsid w:val="00345B36"/>
    <w:rsid w:val="003A19FC"/>
    <w:rsid w:val="003A761E"/>
    <w:rsid w:val="003B565A"/>
    <w:rsid w:val="003C266F"/>
    <w:rsid w:val="003D210E"/>
    <w:rsid w:val="003D587A"/>
    <w:rsid w:val="003E15DB"/>
    <w:rsid w:val="003F1D8A"/>
    <w:rsid w:val="003F59D6"/>
    <w:rsid w:val="00401EEE"/>
    <w:rsid w:val="00413D80"/>
    <w:rsid w:val="0043574B"/>
    <w:rsid w:val="004374C5"/>
    <w:rsid w:val="00443E13"/>
    <w:rsid w:val="004634B9"/>
    <w:rsid w:val="00473AAB"/>
    <w:rsid w:val="00480F4C"/>
    <w:rsid w:val="00486A94"/>
    <w:rsid w:val="00487A32"/>
    <w:rsid w:val="004A5C23"/>
    <w:rsid w:val="004C02A7"/>
    <w:rsid w:val="004C2447"/>
    <w:rsid w:val="004E763B"/>
    <w:rsid w:val="004F4237"/>
    <w:rsid w:val="004F558F"/>
    <w:rsid w:val="005157D5"/>
    <w:rsid w:val="00521C93"/>
    <w:rsid w:val="00537272"/>
    <w:rsid w:val="00537A5C"/>
    <w:rsid w:val="005440A3"/>
    <w:rsid w:val="005448AF"/>
    <w:rsid w:val="0055190E"/>
    <w:rsid w:val="005530AB"/>
    <w:rsid w:val="0056015C"/>
    <w:rsid w:val="00575707"/>
    <w:rsid w:val="00594AF6"/>
    <w:rsid w:val="005D08A6"/>
    <w:rsid w:val="005F43E7"/>
    <w:rsid w:val="00633E93"/>
    <w:rsid w:val="00634965"/>
    <w:rsid w:val="00635FE1"/>
    <w:rsid w:val="006365C3"/>
    <w:rsid w:val="006431CD"/>
    <w:rsid w:val="00644FF4"/>
    <w:rsid w:val="00654249"/>
    <w:rsid w:val="00656E86"/>
    <w:rsid w:val="00662BD0"/>
    <w:rsid w:val="00671098"/>
    <w:rsid w:val="00671E4E"/>
    <w:rsid w:val="00677531"/>
    <w:rsid w:val="0068478C"/>
    <w:rsid w:val="00693583"/>
    <w:rsid w:val="00694A9D"/>
    <w:rsid w:val="006A1C99"/>
    <w:rsid w:val="006B1B38"/>
    <w:rsid w:val="006B1ECC"/>
    <w:rsid w:val="006B3A81"/>
    <w:rsid w:val="006C2600"/>
    <w:rsid w:val="006E65B3"/>
    <w:rsid w:val="006E7850"/>
    <w:rsid w:val="0070125B"/>
    <w:rsid w:val="0072310B"/>
    <w:rsid w:val="00724CE9"/>
    <w:rsid w:val="00732782"/>
    <w:rsid w:val="00732E16"/>
    <w:rsid w:val="00732EC6"/>
    <w:rsid w:val="007402B4"/>
    <w:rsid w:val="0074284D"/>
    <w:rsid w:val="0075455E"/>
    <w:rsid w:val="00755C2F"/>
    <w:rsid w:val="00763373"/>
    <w:rsid w:val="0076468A"/>
    <w:rsid w:val="007734A5"/>
    <w:rsid w:val="007764FF"/>
    <w:rsid w:val="0078071F"/>
    <w:rsid w:val="007B33ED"/>
    <w:rsid w:val="007C2118"/>
    <w:rsid w:val="007C78B3"/>
    <w:rsid w:val="007D361E"/>
    <w:rsid w:val="007D5F68"/>
    <w:rsid w:val="007E0A83"/>
    <w:rsid w:val="007E322D"/>
    <w:rsid w:val="007E4372"/>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C32C9"/>
    <w:rsid w:val="008E0328"/>
    <w:rsid w:val="008E39E0"/>
    <w:rsid w:val="008F616F"/>
    <w:rsid w:val="00901E39"/>
    <w:rsid w:val="009123FB"/>
    <w:rsid w:val="009142EC"/>
    <w:rsid w:val="0095786D"/>
    <w:rsid w:val="00960EE6"/>
    <w:rsid w:val="00987819"/>
    <w:rsid w:val="00997516"/>
    <w:rsid w:val="009D1442"/>
    <w:rsid w:val="009D2472"/>
    <w:rsid w:val="009E0480"/>
    <w:rsid w:val="009E1293"/>
    <w:rsid w:val="00A00FD5"/>
    <w:rsid w:val="00A25E46"/>
    <w:rsid w:val="00A26C04"/>
    <w:rsid w:val="00A3507C"/>
    <w:rsid w:val="00A40EFE"/>
    <w:rsid w:val="00A4592E"/>
    <w:rsid w:val="00A468ED"/>
    <w:rsid w:val="00A47FF0"/>
    <w:rsid w:val="00A54F14"/>
    <w:rsid w:val="00A81559"/>
    <w:rsid w:val="00A82DC7"/>
    <w:rsid w:val="00AA1E9B"/>
    <w:rsid w:val="00AA21E0"/>
    <w:rsid w:val="00AA7765"/>
    <w:rsid w:val="00AD7E38"/>
    <w:rsid w:val="00AE4DDB"/>
    <w:rsid w:val="00B00254"/>
    <w:rsid w:val="00B00A8B"/>
    <w:rsid w:val="00B04F42"/>
    <w:rsid w:val="00B7354F"/>
    <w:rsid w:val="00B76C1C"/>
    <w:rsid w:val="00B86F9B"/>
    <w:rsid w:val="00B87050"/>
    <w:rsid w:val="00BC238F"/>
    <w:rsid w:val="00BC2E18"/>
    <w:rsid w:val="00BD2FDA"/>
    <w:rsid w:val="00BE4EAE"/>
    <w:rsid w:val="00C0767C"/>
    <w:rsid w:val="00C11D62"/>
    <w:rsid w:val="00C240FA"/>
    <w:rsid w:val="00C25230"/>
    <w:rsid w:val="00C26FC6"/>
    <w:rsid w:val="00C418D2"/>
    <w:rsid w:val="00C57C5C"/>
    <w:rsid w:val="00C71A2D"/>
    <w:rsid w:val="00C80A99"/>
    <w:rsid w:val="00C86CB6"/>
    <w:rsid w:val="00C8751C"/>
    <w:rsid w:val="00C87ED8"/>
    <w:rsid w:val="00CA136C"/>
    <w:rsid w:val="00CB1943"/>
    <w:rsid w:val="00CB5D72"/>
    <w:rsid w:val="00CB76F0"/>
    <w:rsid w:val="00CD0CDE"/>
    <w:rsid w:val="00CE6881"/>
    <w:rsid w:val="00D30742"/>
    <w:rsid w:val="00D34197"/>
    <w:rsid w:val="00D41FCA"/>
    <w:rsid w:val="00D4286B"/>
    <w:rsid w:val="00D53004"/>
    <w:rsid w:val="00D54E92"/>
    <w:rsid w:val="00D8055C"/>
    <w:rsid w:val="00D82F0F"/>
    <w:rsid w:val="00D860D7"/>
    <w:rsid w:val="00D91572"/>
    <w:rsid w:val="00D93F6F"/>
    <w:rsid w:val="00DA1173"/>
    <w:rsid w:val="00DA1336"/>
    <w:rsid w:val="00DA3E94"/>
    <w:rsid w:val="00DC2C11"/>
    <w:rsid w:val="00DE363E"/>
    <w:rsid w:val="00DE40C0"/>
    <w:rsid w:val="00DE5A69"/>
    <w:rsid w:val="00DF73AB"/>
    <w:rsid w:val="00E07C0E"/>
    <w:rsid w:val="00E33562"/>
    <w:rsid w:val="00E41F17"/>
    <w:rsid w:val="00E66572"/>
    <w:rsid w:val="00EA0AD9"/>
    <w:rsid w:val="00EB3CE4"/>
    <w:rsid w:val="00EB636E"/>
    <w:rsid w:val="00ED1727"/>
    <w:rsid w:val="00EE13AB"/>
    <w:rsid w:val="00EF1FC1"/>
    <w:rsid w:val="00EF444C"/>
    <w:rsid w:val="00F05C87"/>
    <w:rsid w:val="00F110F3"/>
    <w:rsid w:val="00F4396C"/>
    <w:rsid w:val="00F46050"/>
    <w:rsid w:val="00F46433"/>
    <w:rsid w:val="00F46B5B"/>
    <w:rsid w:val="00F639C2"/>
    <w:rsid w:val="00F65255"/>
    <w:rsid w:val="00F80D0F"/>
    <w:rsid w:val="00FA2BC4"/>
    <w:rsid w:val="00FA554C"/>
    <w:rsid w:val="00FB3E63"/>
    <w:rsid w:val="00FC2FEF"/>
    <w:rsid w:val="00FC6A0D"/>
    <w:rsid w:val="00FD7CA7"/>
    <w:rsid w:val="00FE29AB"/>
    <w:rsid w:val="00FE5AE0"/>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F5C42E"/>
  <w15:docId w15:val="{6BB9E366-B651-460B-8A81-1C9BD33D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ED"/>
    <w:pPr>
      <w:spacing w:after="200" w:line="276" w:lineRule="auto"/>
    </w:pPr>
    <w:rPr>
      <w:rFonts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basedOn w:val="DefaultParagraphFont"/>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rPr>
  </w:style>
  <w:style w:type="paragraph" w:styleId="BodyText">
    <w:name w:val="Body Text"/>
    <w:basedOn w:val="Normal"/>
    <w:link w:val="BodyTextChar"/>
    <w:uiPriority w:val="99"/>
    <w:rsid w:val="00A26C04"/>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basedOn w:val="DefaultParagraphFont"/>
    <w:link w:val="BodyText"/>
    <w:uiPriority w:val="99"/>
    <w:locked/>
    <w:rsid w:val="00A26C04"/>
    <w:rPr>
      <w:rFonts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982341">
      <w:marLeft w:val="0"/>
      <w:marRight w:val="0"/>
      <w:marTop w:val="0"/>
      <w:marBottom w:val="0"/>
      <w:divBdr>
        <w:top w:val="none" w:sz="0" w:space="0" w:color="auto"/>
        <w:left w:val="none" w:sz="0" w:space="0" w:color="auto"/>
        <w:bottom w:val="none" w:sz="0" w:space="0" w:color="auto"/>
        <w:right w:val="none" w:sz="0" w:space="0" w:color="auto"/>
      </w:divBdr>
    </w:div>
    <w:div w:id="704982342">
      <w:marLeft w:val="0"/>
      <w:marRight w:val="0"/>
      <w:marTop w:val="0"/>
      <w:marBottom w:val="0"/>
      <w:divBdr>
        <w:top w:val="none" w:sz="0" w:space="0" w:color="auto"/>
        <w:left w:val="none" w:sz="0" w:space="0" w:color="auto"/>
        <w:bottom w:val="none" w:sz="0" w:space="0" w:color="auto"/>
        <w:right w:val="none" w:sz="0" w:space="0" w:color="auto"/>
      </w:divBdr>
    </w:div>
    <w:div w:id="704982343">
      <w:marLeft w:val="0"/>
      <w:marRight w:val="0"/>
      <w:marTop w:val="0"/>
      <w:marBottom w:val="0"/>
      <w:divBdr>
        <w:top w:val="none" w:sz="0" w:space="0" w:color="auto"/>
        <w:left w:val="none" w:sz="0" w:space="0" w:color="auto"/>
        <w:bottom w:val="none" w:sz="0" w:space="0" w:color="auto"/>
        <w:right w:val="none" w:sz="0" w:space="0" w:color="auto"/>
      </w:divBdr>
    </w:div>
    <w:div w:id="704982344">
      <w:marLeft w:val="0"/>
      <w:marRight w:val="0"/>
      <w:marTop w:val="0"/>
      <w:marBottom w:val="0"/>
      <w:divBdr>
        <w:top w:val="none" w:sz="0" w:space="0" w:color="auto"/>
        <w:left w:val="none" w:sz="0" w:space="0" w:color="auto"/>
        <w:bottom w:val="none" w:sz="0" w:space="0" w:color="auto"/>
        <w:right w:val="none" w:sz="0" w:space="0" w:color="auto"/>
      </w:divBdr>
    </w:div>
    <w:div w:id="704982345">
      <w:marLeft w:val="0"/>
      <w:marRight w:val="0"/>
      <w:marTop w:val="0"/>
      <w:marBottom w:val="0"/>
      <w:divBdr>
        <w:top w:val="none" w:sz="0" w:space="0" w:color="auto"/>
        <w:left w:val="none" w:sz="0" w:space="0" w:color="auto"/>
        <w:bottom w:val="none" w:sz="0" w:space="0" w:color="auto"/>
        <w:right w:val="none" w:sz="0" w:space="0" w:color="auto"/>
      </w:divBdr>
    </w:div>
    <w:div w:id="704982346">
      <w:marLeft w:val="0"/>
      <w:marRight w:val="0"/>
      <w:marTop w:val="0"/>
      <w:marBottom w:val="0"/>
      <w:divBdr>
        <w:top w:val="none" w:sz="0" w:space="0" w:color="auto"/>
        <w:left w:val="none" w:sz="0" w:space="0" w:color="auto"/>
        <w:bottom w:val="none" w:sz="0" w:space="0" w:color="auto"/>
        <w:right w:val="none" w:sz="0" w:space="0" w:color="auto"/>
      </w:divBdr>
    </w:div>
    <w:div w:id="704982347">
      <w:marLeft w:val="0"/>
      <w:marRight w:val="0"/>
      <w:marTop w:val="0"/>
      <w:marBottom w:val="0"/>
      <w:divBdr>
        <w:top w:val="none" w:sz="0" w:space="0" w:color="auto"/>
        <w:left w:val="none" w:sz="0" w:space="0" w:color="auto"/>
        <w:bottom w:val="none" w:sz="0" w:space="0" w:color="auto"/>
        <w:right w:val="none" w:sz="0" w:space="0" w:color="auto"/>
      </w:divBdr>
    </w:div>
    <w:div w:id="704982348">
      <w:marLeft w:val="0"/>
      <w:marRight w:val="0"/>
      <w:marTop w:val="0"/>
      <w:marBottom w:val="0"/>
      <w:divBdr>
        <w:top w:val="none" w:sz="0" w:space="0" w:color="auto"/>
        <w:left w:val="none" w:sz="0" w:space="0" w:color="auto"/>
        <w:bottom w:val="none" w:sz="0" w:space="0" w:color="auto"/>
        <w:right w:val="none" w:sz="0" w:space="0" w:color="auto"/>
      </w:divBdr>
    </w:div>
    <w:div w:id="704982349">
      <w:marLeft w:val="0"/>
      <w:marRight w:val="0"/>
      <w:marTop w:val="0"/>
      <w:marBottom w:val="0"/>
      <w:divBdr>
        <w:top w:val="none" w:sz="0" w:space="0" w:color="auto"/>
        <w:left w:val="none" w:sz="0" w:space="0" w:color="auto"/>
        <w:bottom w:val="none" w:sz="0" w:space="0" w:color="auto"/>
        <w:right w:val="none" w:sz="0" w:space="0" w:color="auto"/>
      </w:divBdr>
    </w:div>
    <w:div w:id="704982350">
      <w:marLeft w:val="0"/>
      <w:marRight w:val="0"/>
      <w:marTop w:val="0"/>
      <w:marBottom w:val="0"/>
      <w:divBdr>
        <w:top w:val="none" w:sz="0" w:space="0" w:color="auto"/>
        <w:left w:val="none" w:sz="0" w:space="0" w:color="auto"/>
        <w:bottom w:val="none" w:sz="0" w:space="0" w:color="auto"/>
        <w:right w:val="none" w:sz="0" w:space="0" w:color="auto"/>
      </w:divBdr>
    </w:div>
    <w:div w:id="704982351">
      <w:marLeft w:val="0"/>
      <w:marRight w:val="0"/>
      <w:marTop w:val="0"/>
      <w:marBottom w:val="0"/>
      <w:divBdr>
        <w:top w:val="none" w:sz="0" w:space="0" w:color="auto"/>
        <w:left w:val="none" w:sz="0" w:space="0" w:color="auto"/>
        <w:bottom w:val="none" w:sz="0" w:space="0" w:color="auto"/>
        <w:right w:val="none" w:sz="0" w:space="0" w:color="auto"/>
      </w:divBdr>
    </w:div>
    <w:div w:id="704982352">
      <w:marLeft w:val="0"/>
      <w:marRight w:val="0"/>
      <w:marTop w:val="0"/>
      <w:marBottom w:val="0"/>
      <w:divBdr>
        <w:top w:val="none" w:sz="0" w:space="0" w:color="auto"/>
        <w:left w:val="none" w:sz="0" w:space="0" w:color="auto"/>
        <w:bottom w:val="none" w:sz="0" w:space="0" w:color="auto"/>
        <w:right w:val="none" w:sz="0" w:space="0" w:color="auto"/>
      </w:divBdr>
    </w:div>
    <w:div w:id="704982353">
      <w:marLeft w:val="0"/>
      <w:marRight w:val="0"/>
      <w:marTop w:val="0"/>
      <w:marBottom w:val="0"/>
      <w:divBdr>
        <w:top w:val="none" w:sz="0" w:space="0" w:color="auto"/>
        <w:left w:val="none" w:sz="0" w:space="0" w:color="auto"/>
        <w:bottom w:val="none" w:sz="0" w:space="0" w:color="auto"/>
        <w:right w:val="none" w:sz="0" w:space="0" w:color="auto"/>
      </w:divBdr>
    </w:div>
    <w:div w:id="704982354">
      <w:marLeft w:val="0"/>
      <w:marRight w:val="0"/>
      <w:marTop w:val="0"/>
      <w:marBottom w:val="0"/>
      <w:divBdr>
        <w:top w:val="none" w:sz="0" w:space="0" w:color="auto"/>
        <w:left w:val="none" w:sz="0" w:space="0" w:color="auto"/>
        <w:bottom w:val="none" w:sz="0" w:space="0" w:color="auto"/>
        <w:right w:val="none" w:sz="0" w:space="0" w:color="auto"/>
      </w:divBdr>
    </w:div>
    <w:div w:id="704982355">
      <w:marLeft w:val="0"/>
      <w:marRight w:val="0"/>
      <w:marTop w:val="0"/>
      <w:marBottom w:val="0"/>
      <w:divBdr>
        <w:top w:val="none" w:sz="0" w:space="0" w:color="auto"/>
        <w:left w:val="none" w:sz="0" w:space="0" w:color="auto"/>
        <w:bottom w:val="none" w:sz="0" w:space="0" w:color="auto"/>
        <w:right w:val="none" w:sz="0" w:space="0" w:color="auto"/>
      </w:divBdr>
    </w:div>
    <w:div w:id="704982356">
      <w:marLeft w:val="0"/>
      <w:marRight w:val="0"/>
      <w:marTop w:val="0"/>
      <w:marBottom w:val="0"/>
      <w:divBdr>
        <w:top w:val="none" w:sz="0" w:space="0" w:color="auto"/>
        <w:left w:val="none" w:sz="0" w:space="0" w:color="auto"/>
        <w:bottom w:val="none" w:sz="0" w:space="0" w:color="auto"/>
        <w:right w:val="none" w:sz="0" w:space="0" w:color="auto"/>
      </w:divBdr>
    </w:div>
    <w:div w:id="704982357">
      <w:marLeft w:val="0"/>
      <w:marRight w:val="0"/>
      <w:marTop w:val="0"/>
      <w:marBottom w:val="0"/>
      <w:divBdr>
        <w:top w:val="none" w:sz="0" w:space="0" w:color="auto"/>
        <w:left w:val="none" w:sz="0" w:space="0" w:color="auto"/>
        <w:bottom w:val="none" w:sz="0" w:space="0" w:color="auto"/>
        <w:right w:val="none" w:sz="0" w:space="0" w:color="auto"/>
      </w:divBdr>
    </w:div>
    <w:div w:id="704982358">
      <w:marLeft w:val="0"/>
      <w:marRight w:val="0"/>
      <w:marTop w:val="0"/>
      <w:marBottom w:val="0"/>
      <w:divBdr>
        <w:top w:val="none" w:sz="0" w:space="0" w:color="auto"/>
        <w:left w:val="none" w:sz="0" w:space="0" w:color="auto"/>
        <w:bottom w:val="none" w:sz="0" w:space="0" w:color="auto"/>
        <w:right w:val="none" w:sz="0" w:space="0" w:color="auto"/>
      </w:divBdr>
    </w:div>
    <w:div w:id="704982359">
      <w:marLeft w:val="0"/>
      <w:marRight w:val="0"/>
      <w:marTop w:val="0"/>
      <w:marBottom w:val="0"/>
      <w:divBdr>
        <w:top w:val="none" w:sz="0" w:space="0" w:color="auto"/>
        <w:left w:val="none" w:sz="0" w:space="0" w:color="auto"/>
        <w:bottom w:val="none" w:sz="0" w:space="0" w:color="auto"/>
        <w:right w:val="none" w:sz="0" w:space="0" w:color="auto"/>
      </w:divBdr>
    </w:div>
    <w:div w:id="704982360">
      <w:marLeft w:val="0"/>
      <w:marRight w:val="0"/>
      <w:marTop w:val="0"/>
      <w:marBottom w:val="0"/>
      <w:divBdr>
        <w:top w:val="none" w:sz="0" w:space="0" w:color="auto"/>
        <w:left w:val="none" w:sz="0" w:space="0" w:color="auto"/>
        <w:bottom w:val="none" w:sz="0" w:space="0" w:color="auto"/>
        <w:right w:val="none" w:sz="0" w:space="0" w:color="auto"/>
      </w:divBdr>
    </w:div>
    <w:div w:id="704982361">
      <w:marLeft w:val="0"/>
      <w:marRight w:val="0"/>
      <w:marTop w:val="0"/>
      <w:marBottom w:val="0"/>
      <w:divBdr>
        <w:top w:val="none" w:sz="0" w:space="0" w:color="auto"/>
        <w:left w:val="none" w:sz="0" w:space="0" w:color="auto"/>
        <w:bottom w:val="none" w:sz="0" w:space="0" w:color="auto"/>
        <w:right w:val="none" w:sz="0" w:space="0" w:color="auto"/>
      </w:divBdr>
    </w:div>
    <w:div w:id="704982362">
      <w:marLeft w:val="0"/>
      <w:marRight w:val="0"/>
      <w:marTop w:val="0"/>
      <w:marBottom w:val="0"/>
      <w:divBdr>
        <w:top w:val="none" w:sz="0" w:space="0" w:color="auto"/>
        <w:left w:val="none" w:sz="0" w:space="0" w:color="auto"/>
        <w:bottom w:val="none" w:sz="0" w:space="0" w:color="auto"/>
        <w:right w:val="none" w:sz="0" w:space="0" w:color="auto"/>
      </w:divBdr>
    </w:div>
    <w:div w:id="704982363">
      <w:marLeft w:val="0"/>
      <w:marRight w:val="0"/>
      <w:marTop w:val="0"/>
      <w:marBottom w:val="0"/>
      <w:divBdr>
        <w:top w:val="none" w:sz="0" w:space="0" w:color="auto"/>
        <w:left w:val="none" w:sz="0" w:space="0" w:color="auto"/>
        <w:bottom w:val="none" w:sz="0" w:space="0" w:color="auto"/>
        <w:right w:val="none" w:sz="0" w:space="0" w:color="auto"/>
      </w:divBdr>
    </w:div>
    <w:div w:id="704982364">
      <w:marLeft w:val="0"/>
      <w:marRight w:val="0"/>
      <w:marTop w:val="0"/>
      <w:marBottom w:val="0"/>
      <w:divBdr>
        <w:top w:val="none" w:sz="0" w:space="0" w:color="auto"/>
        <w:left w:val="none" w:sz="0" w:space="0" w:color="auto"/>
        <w:bottom w:val="none" w:sz="0" w:space="0" w:color="auto"/>
        <w:right w:val="none" w:sz="0" w:space="0" w:color="auto"/>
      </w:divBdr>
    </w:div>
    <w:div w:id="704982365">
      <w:marLeft w:val="0"/>
      <w:marRight w:val="0"/>
      <w:marTop w:val="0"/>
      <w:marBottom w:val="0"/>
      <w:divBdr>
        <w:top w:val="none" w:sz="0" w:space="0" w:color="auto"/>
        <w:left w:val="none" w:sz="0" w:space="0" w:color="auto"/>
        <w:bottom w:val="none" w:sz="0" w:space="0" w:color="auto"/>
        <w:right w:val="none" w:sz="0" w:space="0" w:color="auto"/>
      </w:divBdr>
    </w:div>
    <w:div w:id="704982366">
      <w:marLeft w:val="0"/>
      <w:marRight w:val="0"/>
      <w:marTop w:val="0"/>
      <w:marBottom w:val="0"/>
      <w:divBdr>
        <w:top w:val="none" w:sz="0" w:space="0" w:color="auto"/>
        <w:left w:val="none" w:sz="0" w:space="0" w:color="auto"/>
        <w:bottom w:val="none" w:sz="0" w:space="0" w:color="auto"/>
        <w:right w:val="none" w:sz="0" w:space="0" w:color="auto"/>
      </w:divBdr>
    </w:div>
    <w:div w:id="704982367">
      <w:marLeft w:val="0"/>
      <w:marRight w:val="0"/>
      <w:marTop w:val="0"/>
      <w:marBottom w:val="0"/>
      <w:divBdr>
        <w:top w:val="none" w:sz="0" w:space="0" w:color="auto"/>
        <w:left w:val="none" w:sz="0" w:space="0" w:color="auto"/>
        <w:bottom w:val="none" w:sz="0" w:space="0" w:color="auto"/>
        <w:right w:val="none" w:sz="0" w:space="0" w:color="auto"/>
      </w:divBdr>
    </w:div>
    <w:div w:id="704982368">
      <w:marLeft w:val="0"/>
      <w:marRight w:val="0"/>
      <w:marTop w:val="0"/>
      <w:marBottom w:val="0"/>
      <w:divBdr>
        <w:top w:val="none" w:sz="0" w:space="0" w:color="auto"/>
        <w:left w:val="none" w:sz="0" w:space="0" w:color="auto"/>
        <w:bottom w:val="none" w:sz="0" w:space="0" w:color="auto"/>
        <w:right w:val="none" w:sz="0" w:space="0" w:color="auto"/>
      </w:divBdr>
    </w:div>
    <w:div w:id="704982369">
      <w:marLeft w:val="0"/>
      <w:marRight w:val="0"/>
      <w:marTop w:val="0"/>
      <w:marBottom w:val="0"/>
      <w:divBdr>
        <w:top w:val="none" w:sz="0" w:space="0" w:color="auto"/>
        <w:left w:val="none" w:sz="0" w:space="0" w:color="auto"/>
        <w:bottom w:val="none" w:sz="0" w:space="0" w:color="auto"/>
        <w:right w:val="none" w:sz="0" w:space="0" w:color="auto"/>
      </w:divBdr>
    </w:div>
    <w:div w:id="704982370">
      <w:marLeft w:val="0"/>
      <w:marRight w:val="0"/>
      <w:marTop w:val="0"/>
      <w:marBottom w:val="0"/>
      <w:divBdr>
        <w:top w:val="none" w:sz="0" w:space="0" w:color="auto"/>
        <w:left w:val="none" w:sz="0" w:space="0" w:color="auto"/>
        <w:bottom w:val="none" w:sz="0" w:space="0" w:color="auto"/>
        <w:right w:val="none" w:sz="0" w:space="0" w:color="auto"/>
      </w:divBdr>
    </w:div>
    <w:div w:id="704982371">
      <w:marLeft w:val="0"/>
      <w:marRight w:val="0"/>
      <w:marTop w:val="0"/>
      <w:marBottom w:val="0"/>
      <w:divBdr>
        <w:top w:val="none" w:sz="0" w:space="0" w:color="auto"/>
        <w:left w:val="none" w:sz="0" w:space="0" w:color="auto"/>
        <w:bottom w:val="none" w:sz="0" w:space="0" w:color="auto"/>
        <w:right w:val="none" w:sz="0" w:space="0" w:color="auto"/>
      </w:divBdr>
    </w:div>
    <w:div w:id="704982372">
      <w:marLeft w:val="0"/>
      <w:marRight w:val="0"/>
      <w:marTop w:val="0"/>
      <w:marBottom w:val="0"/>
      <w:divBdr>
        <w:top w:val="none" w:sz="0" w:space="0" w:color="auto"/>
        <w:left w:val="none" w:sz="0" w:space="0" w:color="auto"/>
        <w:bottom w:val="none" w:sz="0" w:space="0" w:color="auto"/>
        <w:right w:val="none" w:sz="0" w:space="0" w:color="auto"/>
      </w:divBdr>
    </w:div>
    <w:div w:id="704982373">
      <w:marLeft w:val="0"/>
      <w:marRight w:val="0"/>
      <w:marTop w:val="0"/>
      <w:marBottom w:val="0"/>
      <w:divBdr>
        <w:top w:val="none" w:sz="0" w:space="0" w:color="auto"/>
        <w:left w:val="none" w:sz="0" w:space="0" w:color="auto"/>
        <w:bottom w:val="none" w:sz="0" w:space="0" w:color="auto"/>
        <w:right w:val="none" w:sz="0" w:space="0" w:color="auto"/>
      </w:divBdr>
    </w:div>
    <w:div w:id="704982374">
      <w:marLeft w:val="0"/>
      <w:marRight w:val="0"/>
      <w:marTop w:val="0"/>
      <w:marBottom w:val="0"/>
      <w:divBdr>
        <w:top w:val="none" w:sz="0" w:space="0" w:color="auto"/>
        <w:left w:val="none" w:sz="0" w:space="0" w:color="auto"/>
        <w:bottom w:val="none" w:sz="0" w:space="0" w:color="auto"/>
        <w:right w:val="none" w:sz="0" w:space="0" w:color="auto"/>
      </w:divBdr>
    </w:div>
    <w:div w:id="704982375">
      <w:marLeft w:val="0"/>
      <w:marRight w:val="0"/>
      <w:marTop w:val="0"/>
      <w:marBottom w:val="0"/>
      <w:divBdr>
        <w:top w:val="none" w:sz="0" w:space="0" w:color="auto"/>
        <w:left w:val="none" w:sz="0" w:space="0" w:color="auto"/>
        <w:bottom w:val="none" w:sz="0" w:space="0" w:color="auto"/>
        <w:right w:val="none" w:sz="0" w:space="0" w:color="auto"/>
      </w:divBdr>
    </w:div>
    <w:div w:id="704982376">
      <w:marLeft w:val="0"/>
      <w:marRight w:val="0"/>
      <w:marTop w:val="0"/>
      <w:marBottom w:val="0"/>
      <w:divBdr>
        <w:top w:val="none" w:sz="0" w:space="0" w:color="auto"/>
        <w:left w:val="none" w:sz="0" w:space="0" w:color="auto"/>
        <w:bottom w:val="none" w:sz="0" w:space="0" w:color="auto"/>
        <w:right w:val="none" w:sz="0" w:space="0" w:color="auto"/>
      </w:divBdr>
    </w:div>
    <w:div w:id="704982377">
      <w:marLeft w:val="0"/>
      <w:marRight w:val="0"/>
      <w:marTop w:val="0"/>
      <w:marBottom w:val="0"/>
      <w:divBdr>
        <w:top w:val="none" w:sz="0" w:space="0" w:color="auto"/>
        <w:left w:val="none" w:sz="0" w:space="0" w:color="auto"/>
        <w:bottom w:val="none" w:sz="0" w:space="0" w:color="auto"/>
        <w:right w:val="none" w:sz="0" w:space="0" w:color="auto"/>
      </w:divBdr>
    </w:div>
    <w:div w:id="704982378">
      <w:marLeft w:val="0"/>
      <w:marRight w:val="0"/>
      <w:marTop w:val="0"/>
      <w:marBottom w:val="0"/>
      <w:divBdr>
        <w:top w:val="none" w:sz="0" w:space="0" w:color="auto"/>
        <w:left w:val="none" w:sz="0" w:space="0" w:color="auto"/>
        <w:bottom w:val="none" w:sz="0" w:space="0" w:color="auto"/>
        <w:right w:val="none" w:sz="0" w:space="0" w:color="auto"/>
      </w:divBdr>
    </w:div>
    <w:div w:id="704982379">
      <w:marLeft w:val="0"/>
      <w:marRight w:val="0"/>
      <w:marTop w:val="0"/>
      <w:marBottom w:val="0"/>
      <w:divBdr>
        <w:top w:val="none" w:sz="0" w:space="0" w:color="auto"/>
        <w:left w:val="none" w:sz="0" w:space="0" w:color="auto"/>
        <w:bottom w:val="none" w:sz="0" w:space="0" w:color="auto"/>
        <w:right w:val="none" w:sz="0" w:space="0" w:color="auto"/>
      </w:divBdr>
    </w:div>
    <w:div w:id="704982380">
      <w:marLeft w:val="0"/>
      <w:marRight w:val="0"/>
      <w:marTop w:val="0"/>
      <w:marBottom w:val="0"/>
      <w:divBdr>
        <w:top w:val="none" w:sz="0" w:space="0" w:color="auto"/>
        <w:left w:val="none" w:sz="0" w:space="0" w:color="auto"/>
        <w:bottom w:val="none" w:sz="0" w:space="0" w:color="auto"/>
        <w:right w:val="none" w:sz="0" w:space="0" w:color="auto"/>
      </w:divBdr>
    </w:div>
    <w:div w:id="704982381">
      <w:marLeft w:val="0"/>
      <w:marRight w:val="0"/>
      <w:marTop w:val="0"/>
      <w:marBottom w:val="0"/>
      <w:divBdr>
        <w:top w:val="none" w:sz="0" w:space="0" w:color="auto"/>
        <w:left w:val="none" w:sz="0" w:space="0" w:color="auto"/>
        <w:bottom w:val="none" w:sz="0" w:space="0" w:color="auto"/>
        <w:right w:val="none" w:sz="0" w:space="0" w:color="auto"/>
      </w:divBdr>
    </w:div>
    <w:div w:id="704982382">
      <w:marLeft w:val="0"/>
      <w:marRight w:val="0"/>
      <w:marTop w:val="0"/>
      <w:marBottom w:val="0"/>
      <w:divBdr>
        <w:top w:val="none" w:sz="0" w:space="0" w:color="auto"/>
        <w:left w:val="none" w:sz="0" w:space="0" w:color="auto"/>
        <w:bottom w:val="none" w:sz="0" w:space="0" w:color="auto"/>
        <w:right w:val="none" w:sz="0" w:space="0" w:color="auto"/>
      </w:divBdr>
    </w:div>
    <w:div w:id="704982383">
      <w:marLeft w:val="0"/>
      <w:marRight w:val="0"/>
      <w:marTop w:val="0"/>
      <w:marBottom w:val="0"/>
      <w:divBdr>
        <w:top w:val="none" w:sz="0" w:space="0" w:color="auto"/>
        <w:left w:val="none" w:sz="0" w:space="0" w:color="auto"/>
        <w:bottom w:val="none" w:sz="0" w:space="0" w:color="auto"/>
        <w:right w:val="none" w:sz="0" w:space="0" w:color="auto"/>
      </w:divBdr>
    </w:div>
    <w:div w:id="704982384">
      <w:marLeft w:val="0"/>
      <w:marRight w:val="0"/>
      <w:marTop w:val="0"/>
      <w:marBottom w:val="0"/>
      <w:divBdr>
        <w:top w:val="none" w:sz="0" w:space="0" w:color="auto"/>
        <w:left w:val="none" w:sz="0" w:space="0" w:color="auto"/>
        <w:bottom w:val="none" w:sz="0" w:space="0" w:color="auto"/>
        <w:right w:val="none" w:sz="0" w:space="0" w:color="auto"/>
      </w:divBdr>
    </w:div>
    <w:div w:id="704982385">
      <w:marLeft w:val="0"/>
      <w:marRight w:val="0"/>
      <w:marTop w:val="0"/>
      <w:marBottom w:val="0"/>
      <w:divBdr>
        <w:top w:val="none" w:sz="0" w:space="0" w:color="auto"/>
        <w:left w:val="none" w:sz="0" w:space="0" w:color="auto"/>
        <w:bottom w:val="none" w:sz="0" w:space="0" w:color="auto"/>
        <w:right w:val="none" w:sz="0" w:space="0" w:color="auto"/>
      </w:divBdr>
    </w:div>
    <w:div w:id="704982386">
      <w:marLeft w:val="0"/>
      <w:marRight w:val="0"/>
      <w:marTop w:val="0"/>
      <w:marBottom w:val="0"/>
      <w:divBdr>
        <w:top w:val="none" w:sz="0" w:space="0" w:color="auto"/>
        <w:left w:val="none" w:sz="0" w:space="0" w:color="auto"/>
        <w:bottom w:val="none" w:sz="0" w:space="0" w:color="auto"/>
        <w:right w:val="none" w:sz="0" w:space="0" w:color="auto"/>
      </w:divBdr>
    </w:div>
    <w:div w:id="704982387">
      <w:marLeft w:val="0"/>
      <w:marRight w:val="0"/>
      <w:marTop w:val="0"/>
      <w:marBottom w:val="0"/>
      <w:divBdr>
        <w:top w:val="none" w:sz="0" w:space="0" w:color="auto"/>
        <w:left w:val="none" w:sz="0" w:space="0" w:color="auto"/>
        <w:bottom w:val="none" w:sz="0" w:space="0" w:color="auto"/>
        <w:right w:val="none" w:sz="0" w:space="0" w:color="auto"/>
      </w:divBdr>
    </w:div>
    <w:div w:id="704982388">
      <w:marLeft w:val="0"/>
      <w:marRight w:val="0"/>
      <w:marTop w:val="0"/>
      <w:marBottom w:val="0"/>
      <w:divBdr>
        <w:top w:val="none" w:sz="0" w:space="0" w:color="auto"/>
        <w:left w:val="none" w:sz="0" w:space="0" w:color="auto"/>
        <w:bottom w:val="none" w:sz="0" w:space="0" w:color="auto"/>
        <w:right w:val="none" w:sz="0" w:space="0" w:color="auto"/>
      </w:divBdr>
    </w:div>
    <w:div w:id="704982389">
      <w:marLeft w:val="0"/>
      <w:marRight w:val="0"/>
      <w:marTop w:val="0"/>
      <w:marBottom w:val="0"/>
      <w:divBdr>
        <w:top w:val="none" w:sz="0" w:space="0" w:color="auto"/>
        <w:left w:val="none" w:sz="0" w:space="0" w:color="auto"/>
        <w:bottom w:val="none" w:sz="0" w:space="0" w:color="auto"/>
        <w:right w:val="none" w:sz="0" w:space="0" w:color="auto"/>
      </w:divBdr>
    </w:div>
    <w:div w:id="704982390">
      <w:marLeft w:val="0"/>
      <w:marRight w:val="0"/>
      <w:marTop w:val="0"/>
      <w:marBottom w:val="0"/>
      <w:divBdr>
        <w:top w:val="none" w:sz="0" w:space="0" w:color="auto"/>
        <w:left w:val="none" w:sz="0" w:space="0" w:color="auto"/>
        <w:bottom w:val="none" w:sz="0" w:space="0" w:color="auto"/>
        <w:right w:val="none" w:sz="0" w:space="0" w:color="auto"/>
      </w:divBdr>
    </w:div>
    <w:div w:id="704982391">
      <w:marLeft w:val="0"/>
      <w:marRight w:val="0"/>
      <w:marTop w:val="0"/>
      <w:marBottom w:val="0"/>
      <w:divBdr>
        <w:top w:val="none" w:sz="0" w:space="0" w:color="auto"/>
        <w:left w:val="none" w:sz="0" w:space="0" w:color="auto"/>
        <w:bottom w:val="none" w:sz="0" w:space="0" w:color="auto"/>
        <w:right w:val="none" w:sz="0" w:space="0" w:color="auto"/>
      </w:divBdr>
    </w:div>
    <w:div w:id="704982392">
      <w:marLeft w:val="0"/>
      <w:marRight w:val="0"/>
      <w:marTop w:val="0"/>
      <w:marBottom w:val="0"/>
      <w:divBdr>
        <w:top w:val="none" w:sz="0" w:space="0" w:color="auto"/>
        <w:left w:val="none" w:sz="0" w:space="0" w:color="auto"/>
        <w:bottom w:val="none" w:sz="0" w:space="0" w:color="auto"/>
        <w:right w:val="none" w:sz="0" w:space="0" w:color="auto"/>
      </w:divBdr>
    </w:div>
    <w:div w:id="704982393">
      <w:marLeft w:val="0"/>
      <w:marRight w:val="0"/>
      <w:marTop w:val="0"/>
      <w:marBottom w:val="0"/>
      <w:divBdr>
        <w:top w:val="none" w:sz="0" w:space="0" w:color="auto"/>
        <w:left w:val="none" w:sz="0" w:space="0" w:color="auto"/>
        <w:bottom w:val="none" w:sz="0" w:space="0" w:color="auto"/>
        <w:right w:val="none" w:sz="0" w:space="0" w:color="auto"/>
      </w:divBdr>
    </w:div>
    <w:div w:id="704982394">
      <w:marLeft w:val="0"/>
      <w:marRight w:val="0"/>
      <w:marTop w:val="0"/>
      <w:marBottom w:val="0"/>
      <w:divBdr>
        <w:top w:val="none" w:sz="0" w:space="0" w:color="auto"/>
        <w:left w:val="none" w:sz="0" w:space="0" w:color="auto"/>
        <w:bottom w:val="none" w:sz="0" w:space="0" w:color="auto"/>
        <w:right w:val="none" w:sz="0" w:space="0" w:color="auto"/>
      </w:divBdr>
      <w:divsChild>
        <w:div w:id="704982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3337</Words>
  <Characters>19022</Characters>
  <Application>Microsoft Office Word</Application>
  <DocSecurity>0</DocSecurity>
  <Lines>158</Lines>
  <Paragraphs>44</Paragraphs>
  <ScaleCrop>false</ScaleCrop>
  <Company/>
  <LinksUpToDate>false</LinksUpToDate>
  <CharactersWithSpaces>22315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Zaza Chapichadze</cp:lastModifiedBy>
  <cp:revision>2</cp:revision>
  <cp:lastPrinted>2026-08-11T06:17:00Z</cp:lastPrinted>
  <dcterms:created xsi:type="dcterms:W3CDTF">2026-08-14T10:04:00Z</dcterms:created>
  <dcterms:modified xsi:type="dcterms:W3CDTF">2026-08-14T10:04:00Z</dcterms:modified>
</cp:coreProperties>
</file>