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1D801" w14:textId="77809B83" w:rsidR="00F61B0C" w:rsidRPr="00D66DA1" w:rsidRDefault="002A6A3F" w:rsidP="002A6A3F">
      <w:pPr>
        <w:spacing w:after="0" w:line="360" w:lineRule="auto"/>
        <w:ind w:left="-810" w:right="-211"/>
        <w:jc w:val="center"/>
        <w:rPr>
          <w:rFonts w:ascii="Sylfaen" w:hAnsi="Sylfaen" w:cs="Sylfaen"/>
          <w:b/>
          <w:noProof/>
          <w:sz w:val="24"/>
          <w:szCs w:val="24"/>
          <w:lang w:val="ka-GE"/>
        </w:rPr>
      </w:pPr>
      <w:r w:rsidRPr="00D66DA1">
        <w:rPr>
          <w:rFonts w:ascii="Sylfaen" w:hAnsi="Sylfaen" w:cs="Sylfaen"/>
          <w:b/>
          <w:noProof/>
          <w:sz w:val="24"/>
          <w:szCs w:val="24"/>
          <w:lang w:val="ka-GE"/>
        </w:rPr>
        <w:t>პროდუქტის მახასიათებლების შემაჯამებელი ანგარიში</w:t>
      </w:r>
    </w:p>
    <w:p w14:paraId="5A972AAA" w14:textId="7D0CF881" w:rsidR="00D95163" w:rsidRPr="00D66DA1" w:rsidRDefault="006002D1" w:rsidP="00280B65">
      <w:pPr>
        <w:pStyle w:val="ListParagraph"/>
        <w:numPr>
          <w:ilvl w:val="0"/>
          <w:numId w:val="11"/>
        </w:numPr>
        <w:spacing w:after="0" w:line="360" w:lineRule="auto"/>
        <w:ind w:right="-211"/>
        <w:jc w:val="both"/>
        <w:rPr>
          <w:rFonts w:ascii="Sylfaen" w:hAnsi="Sylfaen" w:cs="Sylfaen"/>
          <w:b/>
          <w:bCs/>
          <w:noProof/>
          <w:sz w:val="24"/>
          <w:szCs w:val="24"/>
          <w:lang w:val="ka-GE"/>
        </w:rPr>
      </w:pPr>
      <w:r w:rsidRPr="00D66DA1">
        <w:rPr>
          <w:rFonts w:ascii="Sylfaen" w:hAnsi="Sylfaen" w:cs="Sylfaen"/>
          <w:b/>
          <w:noProof/>
          <w:sz w:val="24"/>
          <w:szCs w:val="24"/>
          <w:lang w:val="ka-GE"/>
        </w:rPr>
        <w:t xml:space="preserve">სამკურნალო საშუალების დასახელება: </w:t>
      </w:r>
    </w:p>
    <w:p w14:paraId="75A66352" w14:textId="025814BB" w:rsidR="00003FDB" w:rsidRPr="00D66DA1" w:rsidRDefault="00003FDB" w:rsidP="00A63C20">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ციტოპრამი (CITOPRAM)10მგ შემოგარსული ტაბლეტები</w:t>
      </w:r>
    </w:p>
    <w:p w14:paraId="60B3E11C" w14:textId="081FEB81" w:rsidR="00003FDB" w:rsidRPr="00D66DA1" w:rsidRDefault="00003FDB" w:rsidP="00A63C20">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ციტოპრამი (CITOPRAM) 20მგ შემოგარსული ტაბლეტები</w:t>
      </w:r>
    </w:p>
    <w:p w14:paraId="123DE2D0" w14:textId="46A320FA" w:rsidR="00D95163" w:rsidRPr="00D66DA1" w:rsidRDefault="00003FDB" w:rsidP="00280B65">
      <w:pPr>
        <w:pStyle w:val="ListParagraph"/>
        <w:numPr>
          <w:ilvl w:val="0"/>
          <w:numId w:val="11"/>
        </w:numPr>
        <w:spacing w:after="0" w:line="360" w:lineRule="auto"/>
        <w:ind w:right="-211"/>
        <w:jc w:val="both"/>
        <w:rPr>
          <w:rFonts w:ascii="Sylfaen" w:hAnsi="Sylfaen" w:cs="Sylfaen"/>
          <w:b/>
          <w:noProof/>
          <w:sz w:val="24"/>
          <w:szCs w:val="24"/>
          <w:lang w:val="ka-GE"/>
        </w:rPr>
      </w:pPr>
      <w:r w:rsidRPr="00D66DA1">
        <w:rPr>
          <w:rFonts w:ascii="Sylfaen" w:hAnsi="Sylfaen" w:cs="Sylfaen"/>
          <w:b/>
          <w:noProof/>
          <w:sz w:val="24"/>
          <w:szCs w:val="24"/>
          <w:lang w:val="ka-GE"/>
        </w:rPr>
        <w:t xml:space="preserve">ხარისხობრივი  და რაოდენობრივი  შემადგენლობა </w:t>
      </w:r>
    </w:p>
    <w:p w14:paraId="63239852" w14:textId="60064FA1" w:rsidR="00003FDB" w:rsidRPr="00D66DA1" w:rsidRDefault="00003FDB" w:rsidP="0040720C">
      <w:pPr>
        <w:spacing w:after="0"/>
        <w:ind w:left="-810" w:right="-211"/>
        <w:jc w:val="both"/>
        <w:rPr>
          <w:rFonts w:ascii="Sylfaen" w:hAnsi="Sylfaen"/>
          <w:noProof/>
          <w:sz w:val="24"/>
          <w:szCs w:val="24"/>
          <w:lang w:val="ka-GE"/>
        </w:rPr>
      </w:pPr>
      <w:r w:rsidRPr="00D66DA1">
        <w:rPr>
          <w:rFonts w:ascii="Sylfaen" w:hAnsi="Sylfaen"/>
          <w:i/>
          <w:iCs/>
          <w:noProof/>
          <w:sz w:val="24"/>
          <w:szCs w:val="24"/>
          <w:lang w:val="ka-GE"/>
        </w:rPr>
        <w:t>ციტოპრამი 10მგ:</w:t>
      </w:r>
      <w:r w:rsidR="005110CF" w:rsidRPr="00D66DA1">
        <w:rPr>
          <w:rFonts w:ascii="Sylfaen" w:hAnsi="Sylfaen"/>
          <w:noProof/>
          <w:sz w:val="24"/>
          <w:szCs w:val="24"/>
          <w:lang w:val="ka-GE"/>
        </w:rPr>
        <w:t xml:space="preserve"> </w:t>
      </w:r>
      <w:r w:rsidRPr="00D66DA1">
        <w:rPr>
          <w:rFonts w:ascii="Sylfaen" w:hAnsi="Sylfaen"/>
          <w:noProof/>
          <w:sz w:val="24"/>
          <w:szCs w:val="24"/>
          <w:lang w:val="ka-GE"/>
        </w:rPr>
        <w:t>თითოეული შემოგარსული ტაბლეტის შემადგენლობაში შედის 10მგ ესციტალოპრამი (ოქსალატის სახით)</w:t>
      </w:r>
    </w:p>
    <w:p w14:paraId="4F927126" w14:textId="70A7BE6E" w:rsidR="00003FDB" w:rsidRPr="00D66DA1" w:rsidRDefault="00003FDB" w:rsidP="0040720C">
      <w:pPr>
        <w:spacing w:after="0"/>
        <w:ind w:left="-810" w:right="-211"/>
        <w:jc w:val="both"/>
        <w:rPr>
          <w:rFonts w:ascii="Sylfaen" w:hAnsi="Sylfaen"/>
          <w:noProof/>
          <w:sz w:val="24"/>
          <w:szCs w:val="24"/>
          <w:lang w:val="ka-GE"/>
        </w:rPr>
      </w:pPr>
      <w:r w:rsidRPr="00D66DA1">
        <w:rPr>
          <w:rFonts w:ascii="Sylfaen" w:hAnsi="Sylfaen"/>
          <w:i/>
          <w:iCs/>
          <w:noProof/>
          <w:sz w:val="24"/>
          <w:szCs w:val="24"/>
          <w:lang w:val="ka-GE"/>
        </w:rPr>
        <w:t>ციტოპრამი 20მგ:</w:t>
      </w:r>
      <w:r w:rsidRPr="00D66DA1">
        <w:rPr>
          <w:rFonts w:ascii="Sylfaen" w:hAnsi="Sylfaen"/>
          <w:noProof/>
          <w:sz w:val="24"/>
          <w:szCs w:val="24"/>
          <w:lang w:val="ka-GE"/>
        </w:rPr>
        <w:t xml:space="preserve"> თითოეული შემოგარსული ტაბლეტის შემადგენლობაში შედის 20მგ ესციტალოპრამი (ოქსალატის სახით)</w:t>
      </w:r>
    </w:p>
    <w:p w14:paraId="67C6C578" w14:textId="4FBAAA72" w:rsidR="00003FDB" w:rsidRPr="00D66DA1" w:rsidRDefault="00003FDB" w:rsidP="0040720C">
      <w:pPr>
        <w:spacing w:after="0"/>
        <w:ind w:left="-810"/>
        <w:jc w:val="both"/>
        <w:rPr>
          <w:rFonts w:ascii="Sylfaen" w:hAnsi="Sylfaen" w:cs="Sylfaen"/>
          <w:noProof/>
          <w:sz w:val="24"/>
          <w:szCs w:val="24"/>
          <w:lang w:val="ka-GE"/>
        </w:rPr>
      </w:pPr>
      <w:r w:rsidRPr="00D66DA1">
        <w:rPr>
          <w:rFonts w:ascii="Sylfaen" w:hAnsi="Sylfaen"/>
          <w:bCs/>
          <w:noProof/>
          <w:sz w:val="24"/>
          <w:szCs w:val="24"/>
          <w:lang w:val="ka-GE"/>
        </w:rPr>
        <w:t>შემავსებლების სრული ჩამონათვალი  იხილეთ პუნქტში 6.1.</w:t>
      </w:r>
    </w:p>
    <w:p w14:paraId="1572482E" w14:textId="77777777" w:rsidR="00D95163" w:rsidRPr="00D66DA1" w:rsidRDefault="00D95163" w:rsidP="00280B65">
      <w:pPr>
        <w:pStyle w:val="ListParagraph"/>
        <w:numPr>
          <w:ilvl w:val="0"/>
          <w:numId w:val="11"/>
        </w:numPr>
        <w:spacing w:after="0" w:line="360" w:lineRule="auto"/>
        <w:ind w:right="-211"/>
        <w:jc w:val="both"/>
        <w:rPr>
          <w:rFonts w:ascii="Sylfaen" w:hAnsi="Sylfaen" w:cs="Sylfaen"/>
          <w:b/>
          <w:noProof/>
          <w:sz w:val="24"/>
          <w:szCs w:val="24"/>
          <w:lang w:val="ka-GE"/>
        </w:rPr>
      </w:pPr>
      <w:r w:rsidRPr="00D66DA1">
        <w:rPr>
          <w:rFonts w:ascii="Sylfaen" w:hAnsi="Sylfaen" w:cs="Sylfaen"/>
          <w:b/>
          <w:noProof/>
          <w:sz w:val="24"/>
          <w:szCs w:val="24"/>
          <w:lang w:val="ka-GE"/>
        </w:rPr>
        <w:t>წამლის ფორმა</w:t>
      </w:r>
    </w:p>
    <w:p w14:paraId="3140682E" w14:textId="6848CE33" w:rsidR="00D95163" w:rsidRPr="00D66DA1" w:rsidRDefault="00003FDB" w:rsidP="00280B65">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შემოგარსული ტაბლეტი</w:t>
      </w:r>
    </w:p>
    <w:p w14:paraId="322CE874" w14:textId="2D524791" w:rsidR="005110CF" w:rsidRPr="00D66DA1" w:rsidRDefault="00003FDB" w:rsidP="00280B65">
      <w:pPr>
        <w:spacing w:after="0" w:line="360" w:lineRule="auto"/>
        <w:ind w:left="-810" w:right="-211"/>
        <w:jc w:val="both"/>
        <w:rPr>
          <w:rFonts w:ascii="Sylfaen" w:hAnsi="Sylfaen"/>
          <w:noProof/>
          <w:sz w:val="24"/>
          <w:szCs w:val="24"/>
          <w:lang w:val="ka-GE"/>
        </w:rPr>
      </w:pPr>
      <w:r w:rsidRPr="00D66DA1">
        <w:rPr>
          <w:rFonts w:ascii="Sylfaen" w:hAnsi="Sylfaen"/>
          <w:i/>
          <w:iCs/>
          <w:noProof/>
          <w:sz w:val="24"/>
          <w:szCs w:val="24"/>
          <w:lang w:val="ka-GE"/>
        </w:rPr>
        <w:t>ციტოპრამი 10მგ:</w:t>
      </w:r>
      <w:r w:rsidR="005110CF" w:rsidRPr="00D66DA1">
        <w:rPr>
          <w:rFonts w:ascii="Sylfaen" w:hAnsi="Sylfaen"/>
          <w:noProof/>
          <w:sz w:val="24"/>
          <w:szCs w:val="24"/>
          <w:lang w:val="ka-GE"/>
        </w:rPr>
        <w:t xml:space="preserve"> ოვალური ფორმის, ორმხრივ ამობურცული, თეთრი ფერის შემოგარსული ტაბლეტი (დიამეტრი 6.4მმ x 9.25მმ),  ერთ მხარეს ჭდით და  მეორე მხარეს </w:t>
      </w:r>
      <w:r w:rsidR="008C3B47" w:rsidRPr="00D66DA1">
        <w:rPr>
          <w:rFonts w:ascii="Sylfaen" w:hAnsi="Sylfaen"/>
          <w:noProof/>
          <w:sz w:val="24"/>
          <w:szCs w:val="24"/>
          <w:lang w:val="ka-GE"/>
        </w:rPr>
        <w:t xml:space="preserve">გამყოფი ჭდითა და </w:t>
      </w:r>
      <w:r w:rsidR="005110CF" w:rsidRPr="00D66DA1">
        <w:rPr>
          <w:rFonts w:ascii="Sylfaen" w:hAnsi="Sylfaen"/>
          <w:noProof/>
          <w:sz w:val="24"/>
          <w:szCs w:val="24"/>
          <w:lang w:val="ka-GE"/>
        </w:rPr>
        <w:t>„E“ აღნიშვნით.  ტაბლეტი შეიძლება გაიყოს თანაბარ დოზებად.</w:t>
      </w:r>
    </w:p>
    <w:p w14:paraId="45B4338D" w14:textId="75ED03B3" w:rsidR="005110CF" w:rsidRPr="00D66DA1" w:rsidRDefault="005110CF" w:rsidP="00280B65">
      <w:pPr>
        <w:spacing w:after="0" w:line="360" w:lineRule="auto"/>
        <w:ind w:left="-810" w:right="-211"/>
        <w:jc w:val="both"/>
        <w:rPr>
          <w:rFonts w:ascii="Sylfaen" w:hAnsi="Sylfaen"/>
          <w:noProof/>
          <w:sz w:val="24"/>
          <w:szCs w:val="24"/>
          <w:lang w:val="ka-GE"/>
        </w:rPr>
      </w:pPr>
      <w:r w:rsidRPr="00D66DA1">
        <w:rPr>
          <w:rFonts w:ascii="Sylfaen" w:hAnsi="Sylfaen"/>
          <w:i/>
          <w:iCs/>
          <w:noProof/>
          <w:sz w:val="24"/>
          <w:szCs w:val="24"/>
          <w:lang w:val="ka-GE"/>
        </w:rPr>
        <w:t>ციტოპრამი 20მგ:</w:t>
      </w:r>
      <w:r w:rsidRPr="00D66DA1">
        <w:rPr>
          <w:rFonts w:ascii="Sylfaen" w:hAnsi="Sylfaen"/>
          <w:noProof/>
          <w:sz w:val="24"/>
          <w:szCs w:val="24"/>
          <w:lang w:val="ka-GE"/>
        </w:rPr>
        <w:t xml:space="preserve"> ოვალური ფორმის, ორმხრივ ამობურცული, თეთრი ფერის შემოგარსული ტაბლეტი (დიამეტრი 8მმ x 11.7მმ),  ერთ მხარეს ჭდით და  მეორე მხარეს</w:t>
      </w:r>
      <w:r w:rsidR="008C3B47" w:rsidRPr="00D66DA1">
        <w:rPr>
          <w:rFonts w:ascii="Sylfaen" w:hAnsi="Sylfaen"/>
          <w:noProof/>
          <w:sz w:val="24"/>
          <w:szCs w:val="24"/>
          <w:lang w:val="ka-GE"/>
        </w:rPr>
        <w:t xml:space="preserve"> გამყოფი ჭდითა და</w:t>
      </w:r>
      <w:r w:rsidRPr="00D66DA1">
        <w:rPr>
          <w:rFonts w:ascii="Sylfaen" w:hAnsi="Sylfaen"/>
          <w:noProof/>
          <w:sz w:val="24"/>
          <w:szCs w:val="24"/>
          <w:lang w:val="ka-GE"/>
        </w:rPr>
        <w:t xml:space="preserve"> „E“ აღნიშვნით.  ტაბლეტი შეიძლება გაიყოს თანაბარ დოზებად.</w:t>
      </w:r>
    </w:p>
    <w:p w14:paraId="6B07BD5A" w14:textId="77777777" w:rsidR="005110CF" w:rsidRPr="00D66DA1" w:rsidRDefault="005110CF" w:rsidP="00280B65">
      <w:pPr>
        <w:pStyle w:val="ListParagraph"/>
        <w:numPr>
          <w:ilvl w:val="0"/>
          <w:numId w:val="11"/>
        </w:numPr>
        <w:spacing w:after="0" w:line="360" w:lineRule="auto"/>
        <w:ind w:right="-211"/>
        <w:jc w:val="both"/>
        <w:rPr>
          <w:rFonts w:ascii="Sylfaen" w:hAnsi="Sylfaen" w:cs="Sylfaen"/>
          <w:b/>
          <w:noProof/>
          <w:sz w:val="24"/>
          <w:szCs w:val="24"/>
          <w:lang w:val="ka-GE"/>
        </w:rPr>
      </w:pPr>
      <w:r w:rsidRPr="00D66DA1">
        <w:rPr>
          <w:rFonts w:ascii="Sylfaen" w:hAnsi="Sylfaen" w:cs="Sylfaen"/>
          <w:b/>
          <w:noProof/>
          <w:sz w:val="24"/>
          <w:szCs w:val="24"/>
          <w:lang w:val="ka-GE"/>
        </w:rPr>
        <w:t>კლინიკური მონაცემები</w:t>
      </w:r>
    </w:p>
    <w:p w14:paraId="22F81976" w14:textId="77777777" w:rsidR="005110CF" w:rsidRPr="00D66DA1" w:rsidRDefault="005110CF" w:rsidP="00280B65">
      <w:pPr>
        <w:pStyle w:val="ListParagraph"/>
        <w:numPr>
          <w:ilvl w:val="1"/>
          <w:numId w:val="11"/>
        </w:numPr>
        <w:spacing w:after="0" w:line="360" w:lineRule="auto"/>
        <w:ind w:right="-211"/>
        <w:jc w:val="both"/>
        <w:rPr>
          <w:rFonts w:ascii="Sylfaen" w:hAnsi="Sylfaen" w:cs="Sylfaen"/>
          <w:b/>
          <w:noProof/>
          <w:sz w:val="24"/>
          <w:szCs w:val="24"/>
          <w:lang w:val="ka-GE"/>
        </w:rPr>
      </w:pPr>
      <w:r w:rsidRPr="00D66DA1">
        <w:rPr>
          <w:rFonts w:ascii="Sylfaen" w:hAnsi="Sylfaen" w:cs="Sylfaen"/>
          <w:b/>
          <w:noProof/>
          <w:sz w:val="24"/>
          <w:szCs w:val="24"/>
          <w:lang w:val="ka-GE"/>
        </w:rPr>
        <w:t>თერაპიული ჩვენებები</w:t>
      </w:r>
    </w:p>
    <w:p w14:paraId="4199527B" w14:textId="364E0510" w:rsidR="005110CF" w:rsidRPr="00D66DA1" w:rsidRDefault="005110CF" w:rsidP="00280B65">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გამოიყენება შემდეგი დაავადებების  სამკურნალოდ:</w:t>
      </w:r>
    </w:p>
    <w:p w14:paraId="1D5CE4EF" w14:textId="77777777" w:rsidR="005110CF" w:rsidRPr="00D66DA1" w:rsidRDefault="005110CF" w:rsidP="00280B65">
      <w:pPr>
        <w:pStyle w:val="ListParagraph"/>
        <w:numPr>
          <w:ilvl w:val="0"/>
          <w:numId w:val="36"/>
        </w:numPr>
        <w:spacing w:after="0" w:line="360" w:lineRule="auto"/>
        <w:ind w:right="-211"/>
        <w:jc w:val="both"/>
        <w:rPr>
          <w:rFonts w:ascii="Sylfaen" w:hAnsi="Sylfaen"/>
          <w:noProof/>
          <w:sz w:val="24"/>
          <w:szCs w:val="24"/>
          <w:lang w:val="ka-GE"/>
        </w:rPr>
      </w:pPr>
      <w:r w:rsidRPr="00D66DA1">
        <w:rPr>
          <w:rFonts w:ascii="Sylfaen" w:hAnsi="Sylfaen"/>
          <w:noProof/>
          <w:sz w:val="24"/>
          <w:szCs w:val="24"/>
          <w:lang w:val="ka-GE"/>
        </w:rPr>
        <w:t>მძიმე  დეპრესიული ეპიზოდები</w:t>
      </w:r>
    </w:p>
    <w:p w14:paraId="74FCD433" w14:textId="0FC76438" w:rsidR="005110CF" w:rsidRPr="00D66DA1" w:rsidRDefault="005110CF" w:rsidP="00280B65">
      <w:pPr>
        <w:pStyle w:val="ListParagraph"/>
        <w:numPr>
          <w:ilvl w:val="0"/>
          <w:numId w:val="36"/>
        </w:numPr>
        <w:spacing w:after="0" w:line="360" w:lineRule="auto"/>
        <w:ind w:right="-211"/>
        <w:jc w:val="both"/>
        <w:rPr>
          <w:rFonts w:ascii="Sylfaen" w:hAnsi="Sylfaen"/>
          <w:noProof/>
          <w:sz w:val="24"/>
          <w:szCs w:val="24"/>
          <w:lang w:val="ka-GE"/>
        </w:rPr>
      </w:pPr>
      <w:r w:rsidRPr="00D66DA1">
        <w:rPr>
          <w:rFonts w:ascii="Sylfaen" w:hAnsi="Sylfaen"/>
          <w:noProof/>
          <w:sz w:val="24"/>
          <w:szCs w:val="24"/>
          <w:lang w:val="ka-GE"/>
        </w:rPr>
        <w:t>პანიკური აშლილობა აგორაფობიით, ან მის გარეშე</w:t>
      </w:r>
    </w:p>
    <w:p w14:paraId="6F5C5F14" w14:textId="669ACE69" w:rsidR="005110CF" w:rsidRPr="00D66DA1" w:rsidRDefault="005110CF" w:rsidP="00280B65">
      <w:pPr>
        <w:pStyle w:val="ListParagraph"/>
        <w:numPr>
          <w:ilvl w:val="0"/>
          <w:numId w:val="36"/>
        </w:numPr>
        <w:spacing w:after="0" w:line="360" w:lineRule="auto"/>
        <w:ind w:right="-211"/>
        <w:jc w:val="both"/>
        <w:rPr>
          <w:rFonts w:ascii="Sylfaen" w:hAnsi="Sylfaen"/>
          <w:noProof/>
          <w:sz w:val="24"/>
          <w:szCs w:val="24"/>
          <w:lang w:val="ka-GE"/>
        </w:rPr>
      </w:pPr>
      <w:r w:rsidRPr="00D66DA1">
        <w:rPr>
          <w:rFonts w:ascii="Sylfaen" w:hAnsi="Sylfaen"/>
          <w:noProof/>
          <w:sz w:val="24"/>
          <w:szCs w:val="24"/>
          <w:lang w:val="ka-GE"/>
        </w:rPr>
        <w:t>სოციალური შფოთვითი აშლილობა (სოციალური ფობია)</w:t>
      </w:r>
    </w:p>
    <w:p w14:paraId="5BED9053" w14:textId="5FD3E165" w:rsidR="005110CF" w:rsidRPr="00D66DA1" w:rsidRDefault="005110CF" w:rsidP="00280B65">
      <w:pPr>
        <w:pStyle w:val="ListParagraph"/>
        <w:numPr>
          <w:ilvl w:val="0"/>
          <w:numId w:val="36"/>
        </w:numPr>
        <w:spacing w:after="0" w:line="360" w:lineRule="auto"/>
        <w:ind w:right="-211"/>
        <w:jc w:val="both"/>
        <w:rPr>
          <w:rFonts w:ascii="Sylfaen" w:hAnsi="Sylfaen"/>
          <w:noProof/>
          <w:sz w:val="24"/>
          <w:szCs w:val="24"/>
          <w:lang w:val="ka-GE"/>
        </w:rPr>
      </w:pPr>
      <w:r w:rsidRPr="00D66DA1">
        <w:rPr>
          <w:rFonts w:ascii="Sylfaen" w:hAnsi="Sylfaen"/>
          <w:noProof/>
          <w:sz w:val="24"/>
          <w:szCs w:val="24"/>
          <w:lang w:val="ka-GE"/>
        </w:rPr>
        <w:t>გენერალიზებული შფოთვითი აშლილობა</w:t>
      </w:r>
    </w:p>
    <w:p w14:paraId="5E7ABEEC" w14:textId="4813A9DB" w:rsidR="005110CF" w:rsidRPr="00D66DA1" w:rsidRDefault="005110CF" w:rsidP="00280B65">
      <w:pPr>
        <w:pStyle w:val="ListParagraph"/>
        <w:numPr>
          <w:ilvl w:val="0"/>
          <w:numId w:val="36"/>
        </w:numPr>
        <w:spacing w:after="0" w:line="360" w:lineRule="auto"/>
        <w:ind w:right="-211"/>
        <w:jc w:val="both"/>
        <w:rPr>
          <w:rFonts w:ascii="Sylfaen" w:hAnsi="Sylfaen"/>
          <w:noProof/>
          <w:sz w:val="24"/>
          <w:szCs w:val="24"/>
          <w:lang w:val="ka-GE"/>
        </w:rPr>
      </w:pPr>
      <w:r w:rsidRPr="00D66DA1">
        <w:rPr>
          <w:rFonts w:ascii="Sylfaen" w:hAnsi="Sylfaen"/>
          <w:noProof/>
          <w:sz w:val="24"/>
          <w:szCs w:val="24"/>
          <w:lang w:val="ka-GE"/>
        </w:rPr>
        <w:t>ობსესიურ-კომპულსური აშლილობა</w:t>
      </w:r>
    </w:p>
    <w:p w14:paraId="67C2B570" w14:textId="77777777" w:rsidR="000A21AA" w:rsidRPr="00D66DA1" w:rsidRDefault="000A21AA" w:rsidP="00280B65">
      <w:pPr>
        <w:pStyle w:val="ListParagraph"/>
        <w:numPr>
          <w:ilvl w:val="1"/>
          <w:numId w:val="11"/>
        </w:numPr>
        <w:spacing w:after="0" w:line="360" w:lineRule="auto"/>
        <w:ind w:right="-211"/>
        <w:jc w:val="both"/>
        <w:rPr>
          <w:rFonts w:ascii="Sylfaen" w:hAnsi="Sylfaen" w:cs="Sylfaen"/>
          <w:b/>
          <w:noProof/>
          <w:sz w:val="24"/>
          <w:szCs w:val="24"/>
          <w:lang w:val="ka-GE"/>
        </w:rPr>
      </w:pPr>
      <w:r w:rsidRPr="00D66DA1">
        <w:rPr>
          <w:rFonts w:ascii="Sylfaen" w:hAnsi="Sylfaen" w:cs="Sylfaen"/>
          <w:b/>
          <w:noProof/>
          <w:sz w:val="24"/>
          <w:szCs w:val="24"/>
          <w:lang w:val="ka-GE"/>
        </w:rPr>
        <w:t>დოზირება და მიღების წესი</w:t>
      </w:r>
    </w:p>
    <w:p w14:paraId="71425B4D" w14:textId="77777777" w:rsidR="000A21AA" w:rsidRPr="00D66DA1" w:rsidRDefault="000A21AA" w:rsidP="00280B65">
      <w:pPr>
        <w:spacing w:after="0" w:line="360" w:lineRule="auto"/>
        <w:ind w:left="-810" w:right="-211"/>
        <w:jc w:val="both"/>
        <w:rPr>
          <w:rFonts w:ascii="Sylfaen" w:hAnsi="Sylfaen" w:cs="Sylfaen"/>
          <w:b/>
          <w:noProof/>
          <w:sz w:val="24"/>
          <w:szCs w:val="24"/>
          <w:lang w:val="ka-GE"/>
        </w:rPr>
      </w:pPr>
      <w:r w:rsidRPr="00D66DA1">
        <w:rPr>
          <w:rFonts w:ascii="Sylfaen" w:hAnsi="Sylfaen" w:cs="Sylfaen"/>
          <w:noProof/>
          <w:sz w:val="24"/>
          <w:szCs w:val="24"/>
          <w:u w:val="single"/>
          <w:lang w:val="ka-GE"/>
        </w:rPr>
        <w:t>დოზირება</w:t>
      </w:r>
    </w:p>
    <w:p w14:paraId="7857AF23" w14:textId="65E7AEEC" w:rsidR="000A21AA" w:rsidRPr="00D66DA1" w:rsidRDefault="000A21AA" w:rsidP="00280B65">
      <w:pPr>
        <w:spacing w:after="0" w:line="360" w:lineRule="auto"/>
        <w:ind w:left="-810" w:right="-211"/>
        <w:jc w:val="both"/>
        <w:rPr>
          <w:rFonts w:ascii="Sylfaen" w:hAnsi="Sylfaen" w:cs="Sylfaen"/>
          <w:b/>
          <w:noProof/>
          <w:sz w:val="24"/>
          <w:szCs w:val="24"/>
          <w:lang w:val="ka-GE"/>
        </w:rPr>
      </w:pPr>
      <w:r w:rsidRPr="00D66DA1">
        <w:rPr>
          <w:rFonts w:ascii="Sylfaen" w:hAnsi="Sylfaen" w:cs="Sylfaen"/>
          <w:bCs/>
          <w:noProof/>
          <w:sz w:val="24"/>
          <w:szCs w:val="24"/>
          <w:lang w:val="ka-GE"/>
        </w:rPr>
        <w:t>20მგ-ზე მეტი დღიური დოზების მიღების უსაფრთხოება არ არის დადგენილი.</w:t>
      </w:r>
    </w:p>
    <w:p w14:paraId="6C721DB9" w14:textId="2DE3D799" w:rsidR="000A21AA" w:rsidRPr="00D66DA1" w:rsidRDefault="000A21AA" w:rsidP="00280B65">
      <w:pPr>
        <w:spacing w:after="0" w:line="360" w:lineRule="auto"/>
        <w:ind w:left="-810" w:right="-211"/>
        <w:jc w:val="both"/>
        <w:rPr>
          <w:rFonts w:ascii="Sylfaen" w:hAnsi="Sylfaen"/>
          <w:i/>
          <w:iCs/>
          <w:noProof/>
          <w:sz w:val="24"/>
          <w:szCs w:val="24"/>
          <w:lang w:val="ka-GE"/>
        </w:rPr>
      </w:pPr>
      <w:r w:rsidRPr="00D66DA1">
        <w:rPr>
          <w:rFonts w:ascii="Sylfaen" w:hAnsi="Sylfaen"/>
          <w:i/>
          <w:iCs/>
          <w:noProof/>
          <w:sz w:val="24"/>
          <w:szCs w:val="24"/>
          <w:lang w:val="ka-GE"/>
        </w:rPr>
        <w:t>ძიმე  დეპრესიული ეპიზოდები</w:t>
      </w:r>
    </w:p>
    <w:p w14:paraId="1CDC58A9" w14:textId="698AEA0B" w:rsidR="00944C75" w:rsidRPr="00D66DA1" w:rsidRDefault="000A21AA"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lastRenderedPageBreak/>
        <w:t>რეკომენდებული დოზა არის 10 მგ დღეში ერთხელ. პაციენტის ინდივიდუალური საჭიროებებიდან გამომდინარე,  ექიმმა შეიძლება გაზარდოს დოზა დღეში მაქსიმუმ 20 მგ-მდე.</w:t>
      </w:r>
    </w:p>
    <w:p w14:paraId="7A65FB87" w14:textId="77777777" w:rsidR="00944C75" w:rsidRPr="00D66DA1" w:rsidRDefault="00944C75"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ანტიდეპრესანტული ეფექტის მისაღებად ჩვეულებრივ 2-4 კვირა არის საჭირო. სიმპტომების გაქრობის შემდეგ მინიმუმ კიდევ 6 თვის განმავლობაში აუცილებელია თერაპიის გაგრძელება, რათა მიღებული ეფექტი განმტკიცდეს.</w:t>
      </w:r>
    </w:p>
    <w:p w14:paraId="6F5E5955" w14:textId="356F66A6" w:rsidR="00944C75" w:rsidRPr="00D66DA1" w:rsidRDefault="00944C75" w:rsidP="00280B65">
      <w:pPr>
        <w:spacing w:after="0" w:line="360" w:lineRule="auto"/>
        <w:ind w:left="-810" w:right="-211"/>
        <w:jc w:val="both"/>
        <w:rPr>
          <w:rFonts w:ascii="Sylfaen" w:hAnsi="Sylfaen"/>
          <w:i/>
          <w:iCs/>
          <w:noProof/>
          <w:sz w:val="24"/>
          <w:szCs w:val="24"/>
          <w:lang w:val="ka-GE"/>
        </w:rPr>
      </w:pPr>
      <w:r w:rsidRPr="00D66DA1">
        <w:rPr>
          <w:rFonts w:ascii="Sylfaen" w:hAnsi="Sylfaen"/>
          <w:i/>
          <w:iCs/>
          <w:noProof/>
          <w:sz w:val="24"/>
          <w:szCs w:val="24"/>
          <w:lang w:val="ka-GE"/>
        </w:rPr>
        <w:t>პანიკური აშლილობა აგორაფობიით, ან მის გარეშე</w:t>
      </w:r>
    </w:p>
    <w:p w14:paraId="2F7D2DA2" w14:textId="6D62ED65" w:rsidR="00944C75" w:rsidRPr="00D66DA1" w:rsidRDefault="00944C75"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პირველი კვირის განმავლობაში ციტოპრამის საწყისი დოზა არის 5 მგ ერთხელ დღეში, რომელიც შემდგომში იზრდება დღეში 10 მგ-მდე. პაციენტის ინდივიდუალური საჭიროებებიდან გამომდინარე,  დოზა შეიძლება კიდევ გაიზარდოს დღეში მაქსიმუმ 20 მგ-მდე.</w:t>
      </w:r>
    </w:p>
    <w:p w14:paraId="262D91A8" w14:textId="77777777" w:rsidR="00824A1A" w:rsidRPr="00D66DA1" w:rsidRDefault="00944C75"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მაქსიმალური თერაპიული ეფექტი მიიღწევა მკურნალობის დაწყებიდან დაახლოებით 3 თვეში. მკურნალობა რამდენიმე თვე გრძელდება.</w:t>
      </w:r>
    </w:p>
    <w:p w14:paraId="648A6E2B" w14:textId="3E372468" w:rsidR="00824A1A" w:rsidRPr="00D66DA1" w:rsidRDefault="00824A1A" w:rsidP="00280B65">
      <w:pPr>
        <w:spacing w:after="0" w:line="360" w:lineRule="auto"/>
        <w:ind w:left="-810" w:right="-211"/>
        <w:jc w:val="both"/>
        <w:rPr>
          <w:rFonts w:ascii="Sylfaen" w:hAnsi="Sylfaen"/>
          <w:i/>
          <w:iCs/>
          <w:noProof/>
          <w:sz w:val="24"/>
          <w:szCs w:val="24"/>
          <w:lang w:val="ka-GE"/>
        </w:rPr>
      </w:pPr>
      <w:r w:rsidRPr="00D66DA1">
        <w:rPr>
          <w:rFonts w:ascii="Sylfaen" w:hAnsi="Sylfaen"/>
          <w:i/>
          <w:iCs/>
          <w:noProof/>
          <w:sz w:val="24"/>
          <w:szCs w:val="24"/>
          <w:lang w:val="ka-GE"/>
        </w:rPr>
        <w:t xml:space="preserve">სოციალური შფოთვითი აშლილობა </w:t>
      </w:r>
    </w:p>
    <w:p w14:paraId="6601AE5C" w14:textId="2414FE67" w:rsidR="00824A1A" w:rsidRPr="00D66DA1" w:rsidRDefault="00824A1A"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რეკომენდებული დოზა არის 10 მგ დღეში ერთხელ. სიმპტომები ქრება  ჩვეულებრივ 2-4 კვირაში.</w:t>
      </w:r>
      <w:r w:rsidR="00567E0B" w:rsidRPr="00D66DA1">
        <w:rPr>
          <w:rFonts w:ascii="Sylfaen" w:hAnsi="Sylfaen" w:cs="Sylfaen"/>
          <w:bCs/>
          <w:noProof/>
          <w:sz w:val="24"/>
          <w:szCs w:val="24"/>
          <w:lang w:val="ka-GE"/>
        </w:rPr>
        <w:t xml:space="preserve"> </w:t>
      </w:r>
      <w:r w:rsidRPr="00D66DA1">
        <w:rPr>
          <w:rFonts w:ascii="Sylfaen" w:hAnsi="Sylfaen" w:cs="Sylfaen"/>
          <w:bCs/>
          <w:noProof/>
          <w:sz w:val="24"/>
          <w:szCs w:val="24"/>
          <w:lang w:val="ka-GE"/>
        </w:rPr>
        <w:t>პაციენტის ინდივიდუალური საჭიროებებიდან გამომდინარე,  დოზა შეიძლება შემცირდეს 5 მგ-მდე ან გაიზარდოს მაქსიმუმ 20 მგ-მდე დღეში.</w:t>
      </w:r>
    </w:p>
    <w:p w14:paraId="007F59E0" w14:textId="6EFF4C16" w:rsidR="00FF14B9" w:rsidRPr="00D66DA1" w:rsidRDefault="00FF14B9"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სოციალური შფოთვითი აშლილობა ქრონიკული დაავადებაა და მიღებული ეფექტის გასამყარებლად რეკომენდებულია 12-კვირიანი მკურნალობის კურსი.</w:t>
      </w:r>
      <w:r w:rsidR="00DF15D5" w:rsidRPr="00D66DA1">
        <w:rPr>
          <w:rFonts w:ascii="Sylfaen" w:hAnsi="Sylfaen" w:cs="Sylfaen"/>
          <w:bCs/>
          <w:noProof/>
          <w:sz w:val="24"/>
          <w:szCs w:val="24"/>
          <w:lang w:val="ka-GE"/>
        </w:rPr>
        <w:t xml:space="preserve"> </w:t>
      </w:r>
      <w:r w:rsidR="00FD5F8D" w:rsidRPr="00D66DA1">
        <w:rPr>
          <w:rFonts w:ascii="Sylfaen" w:hAnsi="Sylfaen" w:cs="Sylfaen"/>
          <w:bCs/>
          <w:noProof/>
          <w:sz w:val="24"/>
          <w:szCs w:val="24"/>
          <w:lang w:val="ka-GE"/>
        </w:rPr>
        <w:t xml:space="preserve">მკურნალობის </w:t>
      </w:r>
      <w:r w:rsidR="00DF15D5" w:rsidRPr="00D66DA1">
        <w:rPr>
          <w:rFonts w:ascii="Sylfaen" w:hAnsi="Sylfaen" w:cs="Sylfaen"/>
          <w:bCs/>
          <w:noProof/>
          <w:sz w:val="24"/>
          <w:szCs w:val="24"/>
          <w:lang w:val="ka-GE"/>
        </w:rPr>
        <w:t xml:space="preserve">გრძელვადიანი </w:t>
      </w:r>
      <w:r w:rsidR="00FD5F8D" w:rsidRPr="00D66DA1">
        <w:rPr>
          <w:rFonts w:ascii="Sylfaen" w:hAnsi="Sylfaen" w:cs="Sylfaen"/>
          <w:bCs/>
          <w:noProof/>
          <w:sz w:val="24"/>
          <w:szCs w:val="24"/>
          <w:lang w:val="ka-GE"/>
        </w:rPr>
        <w:t>კურსის ეფექტურობა შეფასდა კლინიკურ კვლევებში 6 თვის განმავლობაში</w:t>
      </w:r>
      <w:r w:rsidR="00DF15D5" w:rsidRPr="00D66DA1">
        <w:rPr>
          <w:rFonts w:ascii="Sylfaen" w:hAnsi="Sylfaen" w:cs="Sylfaen"/>
          <w:bCs/>
          <w:noProof/>
          <w:sz w:val="24"/>
          <w:szCs w:val="24"/>
          <w:lang w:val="ka-GE"/>
        </w:rPr>
        <w:t xml:space="preserve"> და ითვლება, რომ რეკომენდებულია რეციდივის პრევენციის მიზნით.</w:t>
      </w:r>
      <w:r w:rsidR="00DF15D5" w:rsidRPr="00D66DA1">
        <w:rPr>
          <w:rFonts w:ascii="Sylfaen" w:hAnsi="Sylfaen"/>
          <w:noProof/>
          <w:sz w:val="24"/>
          <w:szCs w:val="24"/>
          <w:lang w:val="ka-GE"/>
        </w:rPr>
        <w:t xml:space="preserve"> </w:t>
      </w:r>
      <w:r w:rsidRPr="00D66DA1">
        <w:rPr>
          <w:rFonts w:ascii="Sylfaen" w:hAnsi="Sylfaen" w:cs="Sylfaen"/>
          <w:bCs/>
          <w:noProof/>
          <w:sz w:val="24"/>
          <w:szCs w:val="24"/>
          <w:lang w:val="ka-GE"/>
        </w:rPr>
        <w:t>მკურნალობის ეფექტურობა  რეგულარულად უნდა შეფასდეს.</w:t>
      </w:r>
    </w:p>
    <w:p w14:paraId="05308435" w14:textId="2C4277B5" w:rsidR="00FF14B9" w:rsidRPr="00D66DA1" w:rsidRDefault="00FF14B9"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სოციალური შფოთვითი აშლილობა არის სპეციფიური დარღვევის კარგად განსაზღვრული დიაგნოსტიკური ტერმინი და მნიშვნელოვანია, რომ სოციალური შფოთვითი აშლილობა სიმორცხვეს (excessive shyness) არ მივაწეროთ. მედიკამენტოზური მკურნალობა ნაჩვენებია მხოლოდ იმ შემთხვევაში, თუ აშლილობა მნიშვნელოვან გავლენას ახდენს პროფესიულ და სოციალურ საქმიანობაზე.</w:t>
      </w:r>
    </w:p>
    <w:p w14:paraId="0B0F6D74" w14:textId="77777777" w:rsidR="00CE220D" w:rsidRPr="00D66DA1" w:rsidRDefault="00CE220D"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მოცემული პრეპარატით მკურნალობა კოგნიტური ქცევითი თერაპიისას არ არის შესწავლილი. მედიკამენტოზური მკურნალობა საერთო მკურნალობის სტრატეგიის ნაწილია.</w:t>
      </w:r>
    </w:p>
    <w:p w14:paraId="54FF097A" w14:textId="77777777" w:rsidR="00567E0B" w:rsidRPr="00D66DA1" w:rsidRDefault="00824A1A"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i/>
          <w:iCs/>
          <w:noProof/>
          <w:sz w:val="24"/>
          <w:szCs w:val="24"/>
          <w:lang w:val="ka-GE"/>
        </w:rPr>
        <w:t>გენერალიზებული შფოთვითი აშლილობა</w:t>
      </w:r>
    </w:p>
    <w:p w14:paraId="20FEF27D" w14:textId="672DADE8" w:rsidR="00FD5F8D" w:rsidRPr="00D66DA1" w:rsidRDefault="00567E0B" w:rsidP="00280B65">
      <w:pPr>
        <w:spacing w:after="0" w:line="360" w:lineRule="auto"/>
        <w:ind w:left="-810" w:right="-211"/>
        <w:jc w:val="both"/>
        <w:rPr>
          <w:rFonts w:ascii="Sylfaen" w:hAnsi="Sylfaen" w:cs="Sylfaen"/>
          <w:bCs/>
          <w:noProof/>
          <w:sz w:val="24"/>
          <w:szCs w:val="24"/>
          <w:lang w:val="ka-GE"/>
        </w:rPr>
      </w:pPr>
      <w:r w:rsidRPr="00D66DA1">
        <w:rPr>
          <w:rFonts w:ascii="Sylfaen" w:hAnsi="Sylfaen"/>
          <w:noProof/>
          <w:sz w:val="24"/>
          <w:szCs w:val="24"/>
          <w:lang w:val="ka-GE"/>
        </w:rPr>
        <w:t xml:space="preserve">საწყისი დოზა შეადგენს 10 მგ-ს დღეში ერთხელ. </w:t>
      </w:r>
      <w:r w:rsidRPr="00D66DA1">
        <w:rPr>
          <w:rFonts w:ascii="Sylfaen" w:hAnsi="Sylfaen" w:cs="Sylfaen"/>
          <w:bCs/>
          <w:noProof/>
          <w:sz w:val="24"/>
          <w:szCs w:val="24"/>
          <w:lang w:val="ka-GE"/>
        </w:rPr>
        <w:t xml:space="preserve">პაციენტის ინდივიდუალური საჭიროებებიდან გამომდინარე,  დოზა შეიძლება გაიზარდოს </w:t>
      </w:r>
      <w:r w:rsidR="001A146E" w:rsidRPr="00D66DA1">
        <w:rPr>
          <w:rFonts w:ascii="Sylfaen" w:hAnsi="Sylfaen" w:cs="Sylfaen"/>
          <w:bCs/>
          <w:noProof/>
          <w:sz w:val="24"/>
          <w:szCs w:val="24"/>
          <w:lang w:val="ka-GE"/>
        </w:rPr>
        <w:t xml:space="preserve">დღეში </w:t>
      </w:r>
      <w:r w:rsidRPr="00D66DA1">
        <w:rPr>
          <w:rFonts w:ascii="Sylfaen" w:hAnsi="Sylfaen" w:cs="Sylfaen"/>
          <w:bCs/>
          <w:noProof/>
          <w:sz w:val="24"/>
          <w:szCs w:val="24"/>
          <w:lang w:val="ka-GE"/>
        </w:rPr>
        <w:t>მაქსიმუმ 20 მგ-მდე.</w:t>
      </w:r>
    </w:p>
    <w:p w14:paraId="536138FC" w14:textId="5DED4526" w:rsidR="00FD5F8D" w:rsidRPr="00D66DA1" w:rsidRDefault="00FD5F8D"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lastRenderedPageBreak/>
        <w:t xml:space="preserve">მკურნალობის </w:t>
      </w:r>
      <w:r w:rsidR="00DF15D5" w:rsidRPr="00D66DA1">
        <w:rPr>
          <w:rFonts w:ascii="Sylfaen" w:hAnsi="Sylfaen" w:cs="Sylfaen"/>
          <w:bCs/>
          <w:noProof/>
          <w:sz w:val="24"/>
          <w:szCs w:val="24"/>
          <w:lang w:val="ka-GE"/>
        </w:rPr>
        <w:t xml:space="preserve">გრძელვადიანი </w:t>
      </w:r>
      <w:r w:rsidRPr="00D66DA1">
        <w:rPr>
          <w:rFonts w:ascii="Sylfaen" w:hAnsi="Sylfaen" w:cs="Sylfaen"/>
          <w:bCs/>
          <w:noProof/>
          <w:sz w:val="24"/>
          <w:szCs w:val="24"/>
          <w:lang w:val="ka-GE"/>
        </w:rPr>
        <w:t xml:space="preserve">კურსის ეფექტურობა (20 მგ/დღეღამეში) შეფასდა კლინიკურ კვლევებში მინიმუმ 6 თვის განმავლობაში. </w:t>
      </w:r>
      <w:r w:rsidR="00971124" w:rsidRPr="00D66DA1">
        <w:rPr>
          <w:rFonts w:ascii="Sylfaen" w:hAnsi="Sylfaen" w:cs="Sylfaen"/>
          <w:bCs/>
          <w:noProof/>
          <w:sz w:val="24"/>
          <w:szCs w:val="24"/>
          <w:lang w:val="ka-GE"/>
        </w:rPr>
        <w:t>მკურნალობის ეფექტურობა  რეგულარულად უნდა შეფასდეს (იხილეთ პუნქტი 5.1).</w:t>
      </w:r>
    </w:p>
    <w:p w14:paraId="05D28A67" w14:textId="452E6C56" w:rsidR="00824A1A" w:rsidRPr="00D66DA1" w:rsidRDefault="00824A1A"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i/>
          <w:iCs/>
          <w:noProof/>
          <w:sz w:val="24"/>
          <w:szCs w:val="24"/>
          <w:lang w:val="ka-GE"/>
        </w:rPr>
        <w:t>ობსესიურ-კომპულსური აშლილობა</w:t>
      </w:r>
    </w:p>
    <w:p w14:paraId="1FF480B7" w14:textId="0BF330D6" w:rsidR="00971124" w:rsidRPr="00D66DA1" w:rsidRDefault="00971124" w:rsidP="00280B65">
      <w:pPr>
        <w:spacing w:after="0" w:line="360" w:lineRule="auto"/>
        <w:ind w:left="-810" w:right="-211"/>
        <w:jc w:val="both"/>
        <w:rPr>
          <w:rFonts w:ascii="Sylfaen" w:hAnsi="Sylfaen" w:cs="Sylfaen"/>
          <w:bCs/>
          <w:noProof/>
          <w:sz w:val="24"/>
          <w:szCs w:val="24"/>
          <w:lang w:val="ka-GE"/>
        </w:rPr>
      </w:pPr>
      <w:r w:rsidRPr="00D66DA1">
        <w:rPr>
          <w:rFonts w:ascii="Sylfaen" w:hAnsi="Sylfaen"/>
          <w:noProof/>
          <w:sz w:val="24"/>
          <w:szCs w:val="24"/>
          <w:lang w:val="ka-GE"/>
        </w:rPr>
        <w:t xml:space="preserve">საწყისი დოზა შეადგენს 10 მგ-ს დღეში ერთხელ. </w:t>
      </w:r>
      <w:r w:rsidRPr="00D66DA1">
        <w:rPr>
          <w:rFonts w:ascii="Sylfaen" w:hAnsi="Sylfaen" w:cs="Sylfaen"/>
          <w:bCs/>
          <w:noProof/>
          <w:sz w:val="24"/>
          <w:szCs w:val="24"/>
          <w:lang w:val="ka-GE"/>
        </w:rPr>
        <w:t>პაციენტის ინდივიდუალური საჭიროებებიდან გამომდინარე,  დოზა შეიძლება გაიზარდოს დღეში მაქსიმუმ 20 მგ-მდე.</w:t>
      </w:r>
    </w:p>
    <w:p w14:paraId="252A584E" w14:textId="6238F571" w:rsidR="00824A1A" w:rsidRPr="00D66DA1" w:rsidRDefault="00F92930"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ვინაიდან, ობსესიურ-კომპულსური აშლილობა ქრონიკული დაავადებაა, პაციენტებ</w:t>
      </w:r>
      <w:r w:rsidR="00085947" w:rsidRPr="00D66DA1">
        <w:rPr>
          <w:rFonts w:ascii="Sylfaen" w:hAnsi="Sylfaen" w:cs="Sylfaen"/>
          <w:bCs/>
          <w:noProof/>
          <w:sz w:val="24"/>
          <w:szCs w:val="24"/>
          <w:lang w:val="ka-GE"/>
        </w:rPr>
        <w:t>მა</w:t>
      </w:r>
      <w:r w:rsidRPr="00D66DA1">
        <w:rPr>
          <w:rFonts w:ascii="Sylfaen" w:hAnsi="Sylfaen" w:cs="Sylfaen"/>
          <w:bCs/>
          <w:noProof/>
          <w:sz w:val="24"/>
          <w:szCs w:val="24"/>
          <w:lang w:val="ka-GE"/>
        </w:rPr>
        <w:t xml:space="preserve"> უნდა ჩა</w:t>
      </w:r>
      <w:r w:rsidR="00085947" w:rsidRPr="00D66DA1">
        <w:rPr>
          <w:rFonts w:ascii="Sylfaen" w:hAnsi="Sylfaen" w:cs="Sylfaen"/>
          <w:bCs/>
          <w:noProof/>
          <w:sz w:val="24"/>
          <w:szCs w:val="24"/>
          <w:lang w:val="ka-GE"/>
        </w:rPr>
        <w:t>ი</w:t>
      </w:r>
      <w:r w:rsidRPr="00D66DA1">
        <w:rPr>
          <w:rFonts w:ascii="Sylfaen" w:hAnsi="Sylfaen" w:cs="Sylfaen"/>
          <w:bCs/>
          <w:noProof/>
          <w:sz w:val="24"/>
          <w:szCs w:val="24"/>
          <w:lang w:val="ka-GE"/>
        </w:rPr>
        <w:t>ტარ</w:t>
      </w:r>
      <w:r w:rsidR="00085947" w:rsidRPr="00D66DA1">
        <w:rPr>
          <w:rFonts w:ascii="Sylfaen" w:hAnsi="Sylfaen" w:cs="Sylfaen"/>
          <w:bCs/>
          <w:noProof/>
          <w:sz w:val="24"/>
          <w:szCs w:val="24"/>
          <w:lang w:val="ka-GE"/>
        </w:rPr>
        <w:t>ონ</w:t>
      </w:r>
      <w:r w:rsidRPr="00D66DA1">
        <w:rPr>
          <w:rFonts w:ascii="Sylfaen" w:hAnsi="Sylfaen" w:cs="Sylfaen"/>
          <w:bCs/>
          <w:noProof/>
          <w:sz w:val="24"/>
          <w:szCs w:val="24"/>
          <w:lang w:val="ka-GE"/>
        </w:rPr>
        <w:t xml:space="preserve"> მკურნალობა განსაზღვრული პერიოდის განმავლობაში, რათა სიმპტომები სრულად ალაგდეს.</w:t>
      </w:r>
    </w:p>
    <w:p w14:paraId="3E2CD7E7" w14:textId="4E1D2FD7" w:rsidR="00085947" w:rsidRPr="00D66DA1" w:rsidRDefault="00085947"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მკურნალობის ეფექტურობა რეგულარულად უნდა შეფასდეს (იხილეთ პუნქტი 5.1).</w:t>
      </w:r>
    </w:p>
    <w:p w14:paraId="50C12C96" w14:textId="5E878980" w:rsidR="00085947" w:rsidRPr="00D66DA1" w:rsidRDefault="00085947"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ხანდაზმული პაციენტები (65 წლის ზემოთ)</w:t>
      </w:r>
    </w:p>
    <w:p w14:paraId="376DC96A" w14:textId="2010A0FF" w:rsidR="00085947" w:rsidRPr="00D66DA1" w:rsidRDefault="00085947" w:rsidP="00280B65">
      <w:pPr>
        <w:spacing w:after="0" w:line="360" w:lineRule="auto"/>
        <w:ind w:left="-810" w:right="-211"/>
        <w:jc w:val="both"/>
        <w:rPr>
          <w:rFonts w:ascii="Sylfaen" w:hAnsi="Sylfaen" w:cs="Sylfaen"/>
          <w:bCs/>
          <w:noProof/>
          <w:sz w:val="24"/>
          <w:szCs w:val="24"/>
          <w:lang w:val="ka-GE"/>
        </w:rPr>
      </w:pPr>
      <w:r w:rsidRPr="00D66DA1">
        <w:rPr>
          <w:rFonts w:ascii="Sylfaen" w:hAnsi="Sylfaen"/>
          <w:noProof/>
          <w:sz w:val="24"/>
          <w:szCs w:val="24"/>
          <w:lang w:val="ka-GE"/>
        </w:rPr>
        <w:t xml:space="preserve">საწყისი დოზა შეადგენს 5 მგ-ს დღეში ერთხელ. </w:t>
      </w:r>
      <w:r w:rsidRPr="00D66DA1">
        <w:rPr>
          <w:rFonts w:ascii="Sylfaen" w:hAnsi="Sylfaen" w:cs="Sylfaen"/>
          <w:bCs/>
          <w:noProof/>
          <w:sz w:val="24"/>
          <w:szCs w:val="24"/>
          <w:lang w:val="ka-GE"/>
        </w:rPr>
        <w:t>პაციენტის ინდივიდუალური საჭიროებებიდან გამომდინარე,  დოზა შეიძლება გაიზარდოს დღეში 10 მგ-მდე (იხ. პუნქტი 5.2).</w:t>
      </w:r>
    </w:p>
    <w:p w14:paraId="10B2D3A3" w14:textId="22699E8F" w:rsidR="00085947" w:rsidRPr="00D66DA1" w:rsidRDefault="00085947"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ხანდაზმულ პაციენტებში ციტოპრამის ეფექტურობა სოციალური შფოთვითი აშლილობის დროს არ არის შესწავლილი.</w:t>
      </w:r>
    </w:p>
    <w:p w14:paraId="0DC1CAD8" w14:textId="44EFB7B8" w:rsidR="00944C75" w:rsidRPr="00D66DA1" w:rsidRDefault="00085947"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პედიატრიული პოპულაცია (18-წლამდე ასაკის)</w:t>
      </w:r>
    </w:p>
    <w:p w14:paraId="3B67EEE0" w14:textId="4102147F" w:rsidR="00085947" w:rsidRPr="00D66DA1" w:rsidRDefault="00085947"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ციტოპრამი არ გამოიყენება</w:t>
      </w:r>
      <w:r w:rsidR="00F6313A" w:rsidRPr="00D66DA1">
        <w:rPr>
          <w:rFonts w:ascii="Sylfaen" w:hAnsi="Sylfaen" w:cs="Sylfaen"/>
          <w:bCs/>
          <w:noProof/>
          <w:sz w:val="24"/>
          <w:szCs w:val="24"/>
          <w:lang w:val="ka-GE"/>
        </w:rPr>
        <w:t xml:space="preserve"> </w:t>
      </w:r>
      <w:r w:rsidRPr="00D66DA1">
        <w:rPr>
          <w:rFonts w:ascii="Sylfaen" w:hAnsi="Sylfaen" w:cs="Sylfaen"/>
          <w:bCs/>
          <w:noProof/>
          <w:sz w:val="24"/>
          <w:szCs w:val="24"/>
          <w:lang w:val="ka-GE"/>
        </w:rPr>
        <w:t>18 წლამდე ასაკის ბავშვებსა და მოზარდებ</w:t>
      </w:r>
      <w:r w:rsidR="004F1802" w:rsidRPr="00D66DA1">
        <w:rPr>
          <w:rFonts w:ascii="Sylfaen" w:hAnsi="Sylfaen" w:cs="Sylfaen"/>
          <w:bCs/>
          <w:noProof/>
          <w:sz w:val="24"/>
          <w:szCs w:val="24"/>
          <w:lang w:val="ka-GE"/>
        </w:rPr>
        <w:t>ში</w:t>
      </w:r>
      <w:r w:rsidRPr="00D66DA1">
        <w:rPr>
          <w:rFonts w:ascii="Sylfaen" w:hAnsi="Sylfaen" w:cs="Sylfaen"/>
          <w:bCs/>
          <w:noProof/>
          <w:sz w:val="24"/>
          <w:szCs w:val="24"/>
          <w:lang w:val="ka-GE"/>
        </w:rPr>
        <w:t xml:space="preserve"> (იხ. პუნქტი 4.4).</w:t>
      </w:r>
    </w:p>
    <w:p w14:paraId="3755CF34" w14:textId="50584177" w:rsidR="0055558B" w:rsidRPr="00D66DA1" w:rsidRDefault="0055558B"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 xml:space="preserve">თირკმლის ფუნქციის </w:t>
      </w:r>
      <w:r w:rsidR="0090374D" w:rsidRPr="00D66DA1">
        <w:rPr>
          <w:rFonts w:ascii="Sylfaen" w:hAnsi="Sylfaen" w:cs="Sylfaen"/>
          <w:bCs/>
          <w:i/>
          <w:iCs/>
          <w:noProof/>
          <w:sz w:val="24"/>
          <w:szCs w:val="24"/>
          <w:lang w:val="ka-GE"/>
        </w:rPr>
        <w:t>დარღვევა</w:t>
      </w:r>
    </w:p>
    <w:p w14:paraId="132B41B9" w14:textId="0B7C1084" w:rsidR="005110CF" w:rsidRPr="00D66DA1" w:rsidRDefault="0090374D"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თირკმლის ფუნქციის მსუბუქი და საშუალო სიმძიმის დარღვევების მქონე პაციენტებში დოზის კორექცია არ არის საჭირო. განსაკუთრებული სიფრთხილის გამოჩენაა რეკომენდებული თირკმლის ფუნქციის მძიმე დარღვევის მქონე პაციენტებში  (კრეატინინის კლირენსი 30 მლ/წთ-ზე ნაკლები) (იხ. პუნქტი 5.2).</w:t>
      </w:r>
    </w:p>
    <w:p w14:paraId="2165A7FF" w14:textId="74D71953" w:rsidR="0090374D" w:rsidRPr="00D66DA1" w:rsidRDefault="0090374D"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ღვიძლის ფუნქციის დარღვევა</w:t>
      </w:r>
    </w:p>
    <w:p w14:paraId="542E95E7" w14:textId="0889A8DB" w:rsidR="00BE4AA8" w:rsidRPr="00D66DA1" w:rsidRDefault="0090374D"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ღვიძლის ფუნქციის მსუბუქი და საშუალო სიმძიმის დარღვევების მქონე პაციენტებისთვის რეკომენდებულია საწყისი დოზა 5 მგ დღეში მკურნალობის პირველი ორი კვირის განმავლობაში.</w:t>
      </w:r>
      <w:r w:rsidR="00BE4AA8" w:rsidRPr="00D66DA1">
        <w:rPr>
          <w:rFonts w:ascii="Sylfaen" w:hAnsi="Sylfaen" w:cs="Sylfaen"/>
          <w:bCs/>
          <w:noProof/>
          <w:sz w:val="24"/>
          <w:szCs w:val="24"/>
          <w:lang w:val="ka-GE"/>
        </w:rPr>
        <w:t xml:space="preserve"> პაციენტის ინდივიდუალური საჭიროებებიდან გამომდინარე, დოზა შეიძლება გაიზარდოს დღეში 10 მგ-მდე. </w:t>
      </w:r>
      <w:r w:rsidR="00CC6170" w:rsidRPr="00D66DA1">
        <w:rPr>
          <w:rFonts w:ascii="Sylfaen" w:hAnsi="Sylfaen" w:cs="Sylfaen"/>
          <w:bCs/>
          <w:noProof/>
          <w:sz w:val="24"/>
          <w:szCs w:val="24"/>
          <w:lang w:val="ka-GE"/>
        </w:rPr>
        <w:t xml:space="preserve">დოზა განსაკუთრებული სიფრთხილით უნდა შეირჩეს </w:t>
      </w:r>
      <w:r w:rsidR="00BE4AA8" w:rsidRPr="00D66DA1">
        <w:rPr>
          <w:rFonts w:ascii="Sylfaen" w:hAnsi="Sylfaen" w:cs="Sylfaen"/>
          <w:bCs/>
          <w:noProof/>
          <w:sz w:val="24"/>
          <w:szCs w:val="24"/>
          <w:lang w:val="ka-GE"/>
        </w:rPr>
        <w:t>ღვიძლის ფუნქციის მძიმე დარღვევის მქონე პაციენტებში (იხ. პუნქტი 5.2).</w:t>
      </w:r>
    </w:p>
    <w:p w14:paraId="241F7FD9" w14:textId="3EE1011A" w:rsidR="00EF6D9B" w:rsidRPr="00D66DA1" w:rsidRDefault="00EF6D9B"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CYP2C19-ის სუსტი მეტაბოლიზატორები</w:t>
      </w:r>
    </w:p>
    <w:p w14:paraId="58F422CD" w14:textId="5E3B8DD2" w:rsidR="00EF6D9B" w:rsidRPr="00D66DA1" w:rsidRDefault="00EF6D9B"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lastRenderedPageBreak/>
        <w:t>პაციენტებისთვის, რომლებიც არიან CYP2C19-ის ცუდი მეტაბოლიზატორები, რეკომენდებულია საწყისი დოზა 5 მგ დღეში მკურნალობის პირველი ორი კვირის განმავლობაში.</w:t>
      </w:r>
      <w:r w:rsidR="009E5284" w:rsidRPr="00D66DA1">
        <w:rPr>
          <w:rFonts w:ascii="Sylfaen" w:hAnsi="Sylfaen" w:cs="Sylfaen"/>
          <w:bCs/>
          <w:noProof/>
          <w:sz w:val="24"/>
          <w:szCs w:val="24"/>
          <w:lang w:val="ka-GE"/>
        </w:rPr>
        <w:t xml:space="preserve"> პაციენტის ინდივიდუალური საჭიროებებიდან გამომდინარე,  დოზა შეიძლება გაიზარდოს დღეში 10 მგ-მდე (იხ. პუნქტი 5.2).</w:t>
      </w:r>
    </w:p>
    <w:p w14:paraId="2DBC892E" w14:textId="4AAEBF76" w:rsidR="00E8711B" w:rsidRPr="00D66DA1" w:rsidRDefault="00602BB0"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მკურნალობის შეწყვეტისას გამოვლენილი სიმპტომები</w:t>
      </w:r>
    </w:p>
    <w:p w14:paraId="3E837EA0" w14:textId="09F78565" w:rsidR="009E5284" w:rsidRPr="00D66DA1" w:rsidRDefault="009E5284"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არ არის რეკომენდებული მკურნალობის უეცარი შეწყვეტა. /.../-ით მკურნალობის შეწყვეტისას დოზა თანდათან უნდა შემცირდეს ერთი ან ორი კვირის განმავლობაში, რათა შემცირდეს მკურნალობის შეწყვეტით გამოწვეული სიმპტომების განვითარების რისკი (იხ. პუნქტები 4.4 და 4.8).</w:t>
      </w:r>
      <w:r w:rsidR="00E8711B" w:rsidRPr="00D66DA1">
        <w:rPr>
          <w:rFonts w:ascii="Sylfaen" w:hAnsi="Sylfaen" w:cs="Sylfaen"/>
          <w:bCs/>
          <w:noProof/>
          <w:sz w:val="24"/>
          <w:szCs w:val="24"/>
          <w:lang w:val="ka-GE"/>
        </w:rPr>
        <w:t xml:space="preserve"> დოზის შემცირების ან მკურნალობის შეწყვეტის შემდეგ სერიოზული სიმპტომების განვითარების შემთხვევაში, უნდა მოხდეს მანამდე დანიშნული დოზის გადახედვა. შემდგომში ექიმს შეუძლია გააგრძელოს დოზის შემცირება, მაგრამ უფრო ნელი ტემპით.</w:t>
      </w:r>
    </w:p>
    <w:p w14:paraId="77C52EE2" w14:textId="166E7999" w:rsidR="005D5956" w:rsidRPr="00D66DA1" w:rsidRDefault="005D5956" w:rsidP="00280B65">
      <w:pPr>
        <w:spacing w:after="0" w:line="360" w:lineRule="auto"/>
        <w:ind w:left="-810" w:right="-211"/>
        <w:jc w:val="both"/>
        <w:rPr>
          <w:rFonts w:ascii="Sylfaen" w:hAnsi="Sylfaen" w:cs="Sylfaen"/>
          <w:bCs/>
          <w:noProof/>
          <w:sz w:val="24"/>
          <w:szCs w:val="24"/>
          <w:u w:val="single"/>
          <w:lang w:val="ka-GE"/>
        </w:rPr>
      </w:pPr>
      <w:r w:rsidRPr="00D66DA1">
        <w:rPr>
          <w:rFonts w:ascii="Sylfaen" w:hAnsi="Sylfaen" w:cs="Sylfaen"/>
          <w:bCs/>
          <w:noProof/>
          <w:sz w:val="24"/>
          <w:szCs w:val="24"/>
          <w:u w:val="single"/>
          <w:lang w:val="ka-GE"/>
        </w:rPr>
        <w:t>მიღების წესი</w:t>
      </w:r>
    </w:p>
    <w:p w14:paraId="7B93A94D" w14:textId="77777777" w:rsidR="00B96FF4" w:rsidRPr="00D66DA1" w:rsidRDefault="005D5956"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ციტოპრამი ინიშნება ერთჯერადი დღიური დოზის სახით და მისი მიღება შესაძლებელია  საკვებთან ერთად ან მის გარეშე.</w:t>
      </w:r>
    </w:p>
    <w:p w14:paraId="1184610E" w14:textId="5768C9AB" w:rsidR="00B96FF4" w:rsidRPr="00D66DA1" w:rsidRDefault="00B96FF4" w:rsidP="00280B65">
      <w:pPr>
        <w:pStyle w:val="ListParagraph"/>
        <w:numPr>
          <w:ilvl w:val="1"/>
          <w:numId w:val="11"/>
        </w:numPr>
        <w:spacing w:after="0" w:line="360" w:lineRule="auto"/>
        <w:ind w:right="-211"/>
        <w:jc w:val="both"/>
        <w:rPr>
          <w:rFonts w:ascii="Sylfaen" w:hAnsi="Sylfaen" w:cs="Sylfaen"/>
          <w:bCs/>
          <w:noProof/>
          <w:sz w:val="24"/>
          <w:szCs w:val="24"/>
          <w:lang w:val="ka-GE"/>
        </w:rPr>
      </w:pPr>
      <w:r w:rsidRPr="00D66DA1">
        <w:rPr>
          <w:rFonts w:ascii="Sylfaen" w:hAnsi="Sylfaen" w:cs="Sylfaen"/>
          <w:b/>
          <w:bCs/>
          <w:noProof/>
          <w:sz w:val="24"/>
          <w:szCs w:val="24"/>
          <w:lang w:val="ka-GE"/>
        </w:rPr>
        <w:t>უკუჩვენებები</w:t>
      </w:r>
    </w:p>
    <w:p w14:paraId="4B4E5760" w14:textId="71AC07EC" w:rsidR="003421DA" w:rsidRPr="00D66DA1" w:rsidRDefault="003421DA" w:rsidP="00280B65">
      <w:pPr>
        <w:pStyle w:val="ListParagraph"/>
        <w:numPr>
          <w:ilvl w:val="0"/>
          <w:numId w:val="36"/>
        </w:numPr>
        <w:spacing w:after="0" w:line="360" w:lineRule="auto"/>
        <w:ind w:right="-211"/>
        <w:jc w:val="both"/>
        <w:rPr>
          <w:rFonts w:ascii="Sylfaen" w:hAnsi="Sylfaen" w:cs="Sylfaen"/>
          <w:bCs/>
          <w:noProof/>
          <w:sz w:val="24"/>
          <w:szCs w:val="24"/>
          <w:lang w:val="ka-GE"/>
        </w:rPr>
      </w:pPr>
      <w:r w:rsidRPr="00D66DA1">
        <w:rPr>
          <w:rFonts w:ascii="Sylfaen" w:hAnsi="Sylfaen" w:cs="Sylfaen"/>
          <w:bCs/>
          <w:noProof/>
          <w:sz w:val="24"/>
          <w:szCs w:val="24"/>
          <w:lang w:val="ka-GE"/>
        </w:rPr>
        <w:t>მომატებული მგრძნობელობა აქტიური ნივთიერების ან 6.1. პუნქტში მითითებული შემავსებლების მიმართ.</w:t>
      </w:r>
    </w:p>
    <w:p w14:paraId="6FB8E20A" w14:textId="4106626B" w:rsidR="003421DA" w:rsidRPr="00D66DA1" w:rsidRDefault="007061C7" w:rsidP="00280B65">
      <w:pPr>
        <w:pStyle w:val="ListParagraph"/>
        <w:numPr>
          <w:ilvl w:val="0"/>
          <w:numId w:val="36"/>
        </w:numPr>
        <w:spacing w:after="0" w:line="360" w:lineRule="auto"/>
        <w:ind w:right="-211"/>
        <w:jc w:val="both"/>
        <w:rPr>
          <w:rFonts w:ascii="Sylfaen" w:hAnsi="Sylfaen" w:cs="Sylfaen"/>
          <w:bCs/>
          <w:noProof/>
          <w:sz w:val="24"/>
          <w:szCs w:val="24"/>
          <w:lang w:val="ka-GE"/>
        </w:rPr>
      </w:pPr>
      <w:r w:rsidRPr="00D66DA1">
        <w:rPr>
          <w:rFonts w:ascii="Sylfaen" w:hAnsi="Sylfaen" w:cs="Sylfaen"/>
          <w:bCs/>
          <w:noProof/>
          <w:sz w:val="24"/>
          <w:szCs w:val="24"/>
          <w:lang w:val="ka-GE"/>
        </w:rPr>
        <w:t>ციტოპრამისა და არა</w:t>
      </w:r>
      <w:r w:rsidR="0047197E" w:rsidRPr="00D66DA1">
        <w:rPr>
          <w:rFonts w:ascii="Sylfaen" w:hAnsi="Sylfaen" w:cs="Sylfaen"/>
          <w:bCs/>
          <w:noProof/>
          <w:sz w:val="24"/>
          <w:szCs w:val="24"/>
          <w:lang w:val="ka-GE"/>
        </w:rPr>
        <w:t>შერჩევითი</w:t>
      </w:r>
      <w:r w:rsidRPr="00D66DA1">
        <w:rPr>
          <w:rFonts w:ascii="Sylfaen" w:hAnsi="Sylfaen" w:cs="Sylfaen"/>
          <w:bCs/>
          <w:noProof/>
          <w:sz w:val="24"/>
          <w:szCs w:val="24"/>
          <w:lang w:val="ka-GE"/>
        </w:rPr>
        <w:t xml:space="preserve"> შეუქცევადი </w:t>
      </w:r>
      <w:r w:rsidR="001E1DC9" w:rsidRPr="00D66DA1">
        <w:rPr>
          <w:rFonts w:ascii="Sylfaen" w:hAnsi="Sylfaen" w:cs="Sylfaen"/>
          <w:bCs/>
          <w:noProof/>
          <w:sz w:val="24"/>
          <w:szCs w:val="24"/>
          <w:lang w:val="ka-GE"/>
        </w:rPr>
        <w:t xml:space="preserve">მონოამინოოქსიდაზას </w:t>
      </w:r>
      <w:r w:rsidRPr="00D66DA1">
        <w:rPr>
          <w:rFonts w:ascii="Sylfaen" w:hAnsi="Sylfaen" w:cs="Sylfaen"/>
          <w:bCs/>
          <w:noProof/>
          <w:sz w:val="24"/>
          <w:szCs w:val="24"/>
          <w:lang w:val="ka-GE"/>
        </w:rPr>
        <w:t>(</w:t>
      </w:r>
      <w:r w:rsidR="001E1DC9" w:rsidRPr="00D66DA1">
        <w:rPr>
          <w:rFonts w:ascii="Sylfaen" w:hAnsi="Sylfaen" w:cs="Sylfaen"/>
          <w:bCs/>
          <w:noProof/>
          <w:sz w:val="24"/>
          <w:szCs w:val="24"/>
          <w:lang w:val="ka-GE"/>
        </w:rPr>
        <w:t>მაო-ს</w:t>
      </w:r>
      <w:r w:rsidRPr="00D66DA1">
        <w:rPr>
          <w:rFonts w:ascii="Sylfaen" w:hAnsi="Sylfaen" w:cs="Sylfaen"/>
          <w:bCs/>
          <w:noProof/>
          <w:sz w:val="24"/>
          <w:szCs w:val="24"/>
          <w:lang w:val="ka-GE"/>
        </w:rPr>
        <w:t>)</w:t>
      </w:r>
      <w:r w:rsidR="001E1DC9" w:rsidRPr="00D66DA1">
        <w:rPr>
          <w:rFonts w:ascii="Sylfaen" w:hAnsi="Sylfaen" w:cs="Sylfaen"/>
          <w:bCs/>
          <w:noProof/>
          <w:sz w:val="24"/>
          <w:szCs w:val="24"/>
          <w:lang w:val="ka-GE"/>
        </w:rPr>
        <w:t xml:space="preserve">ინჰიბიტორების </w:t>
      </w:r>
      <w:r w:rsidRPr="00D66DA1">
        <w:rPr>
          <w:rFonts w:ascii="Sylfaen" w:hAnsi="Sylfaen" w:cs="Sylfaen"/>
          <w:bCs/>
          <w:noProof/>
          <w:sz w:val="24"/>
          <w:szCs w:val="24"/>
          <w:lang w:val="ka-GE"/>
        </w:rPr>
        <w:t xml:space="preserve"> ერთდროულად მიღება უკუნაჩვენებია სეროტონინის სინდრომის (აჟიტაციით) განვითარების რისკის გამო; ტრემორი, ჰიპერთერმია და ა.შ. (იხ. პუნქტი 4.5).</w:t>
      </w:r>
    </w:p>
    <w:p w14:paraId="776B1E32" w14:textId="286474F5" w:rsidR="007061C7" w:rsidRPr="00D66DA1" w:rsidRDefault="007061C7" w:rsidP="00280B65">
      <w:pPr>
        <w:pStyle w:val="ListParagraph"/>
        <w:numPr>
          <w:ilvl w:val="0"/>
          <w:numId w:val="36"/>
        </w:numPr>
        <w:spacing w:after="0" w:line="360" w:lineRule="auto"/>
        <w:ind w:right="-211"/>
        <w:jc w:val="both"/>
        <w:rPr>
          <w:rFonts w:ascii="Sylfaen" w:hAnsi="Sylfaen" w:cs="Sylfaen"/>
          <w:bCs/>
          <w:noProof/>
          <w:sz w:val="24"/>
          <w:szCs w:val="24"/>
          <w:lang w:val="ka-GE"/>
        </w:rPr>
      </w:pPr>
      <w:r w:rsidRPr="00D66DA1">
        <w:rPr>
          <w:rFonts w:ascii="Sylfaen" w:hAnsi="Sylfaen" w:cs="Sylfaen"/>
          <w:bCs/>
          <w:noProof/>
          <w:sz w:val="24"/>
          <w:szCs w:val="24"/>
          <w:lang w:val="ka-GE"/>
        </w:rPr>
        <w:t xml:space="preserve">ესციტალოპრამის კომბინაცია </w:t>
      </w:r>
      <w:r w:rsidR="0061014C" w:rsidRPr="00D66DA1">
        <w:rPr>
          <w:rFonts w:ascii="Sylfaen" w:hAnsi="Sylfaen" w:cs="Sylfaen"/>
          <w:bCs/>
          <w:noProof/>
          <w:sz w:val="24"/>
          <w:szCs w:val="24"/>
          <w:lang w:val="ka-GE"/>
        </w:rPr>
        <w:t>მაო</w:t>
      </w:r>
      <w:r w:rsidRPr="00D66DA1">
        <w:rPr>
          <w:rFonts w:ascii="Sylfaen" w:hAnsi="Sylfaen" w:cs="Sylfaen"/>
          <w:bCs/>
          <w:noProof/>
          <w:sz w:val="24"/>
          <w:szCs w:val="24"/>
          <w:lang w:val="ka-GE"/>
        </w:rPr>
        <w:t>-A-ს შექცევად ინჰიბიტორებთან (მაგ. მოკლობემიდი) ან შექცევად არა</w:t>
      </w:r>
      <w:r w:rsidR="0047197E" w:rsidRPr="00D66DA1">
        <w:rPr>
          <w:rFonts w:ascii="Sylfaen" w:hAnsi="Sylfaen" w:cs="Sylfaen"/>
          <w:bCs/>
          <w:noProof/>
          <w:sz w:val="24"/>
          <w:szCs w:val="24"/>
          <w:lang w:val="ka-GE"/>
        </w:rPr>
        <w:t>შერჩევით</w:t>
      </w:r>
      <w:r w:rsidRPr="00D66DA1">
        <w:rPr>
          <w:rFonts w:ascii="Sylfaen" w:hAnsi="Sylfaen" w:cs="Sylfaen"/>
          <w:bCs/>
          <w:noProof/>
          <w:sz w:val="24"/>
          <w:szCs w:val="24"/>
          <w:lang w:val="ka-GE"/>
        </w:rPr>
        <w:t xml:space="preserve"> </w:t>
      </w:r>
      <w:r w:rsidR="001E1DC9" w:rsidRPr="00D66DA1">
        <w:rPr>
          <w:rFonts w:ascii="Sylfaen" w:hAnsi="Sylfaen" w:cs="Sylfaen"/>
          <w:bCs/>
          <w:noProof/>
          <w:sz w:val="24"/>
          <w:szCs w:val="24"/>
          <w:lang w:val="ka-GE"/>
        </w:rPr>
        <w:t>მაო-ს</w:t>
      </w:r>
      <w:r w:rsidRPr="00D66DA1">
        <w:rPr>
          <w:rFonts w:ascii="Sylfaen" w:hAnsi="Sylfaen" w:cs="Sylfaen"/>
          <w:bCs/>
          <w:noProof/>
          <w:sz w:val="24"/>
          <w:szCs w:val="24"/>
          <w:lang w:val="ka-GE"/>
        </w:rPr>
        <w:t xml:space="preserve"> ინჰიბიტორთან, ლინეზოლიდთან, უკუნაჩვენებია სეროტონინის სინდრომის განვითარების რისკის გამო (იხ. პუნქტი 4.5).</w:t>
      </w:r>
    </w:p>
    <w:p w14:paraId="6FB1CE5B" w14:textId="718D0423" w:rsidR="007061C7" w:rsidRPr="00D66DA1" w:rsidRDefault="007061C7" w:rsidP="00280B65">
      <w:pPr>
        <w:pStyle w:val="ListParagraph"/>
        <w:numPr>
          <w:ilvl w:val="0"/>
          <w:numId w:val="36"/>
        </w:numPr>
        <w:spacing w:after="0" w:line="360" w:lineRule="auto"/>
        <w:ind w:right="-211"/>
        <w:jc w:val="both"/>
        <w:rPr>
          <w:rFonts w:ascii="Sylfaen" w:hAnsi="Sylfaen" w:cs="Sylfaen"/>
          <w:bCs/>
          <w:noProof/>
          <w:sz w:val="24"/>
          <w:szCs w:val="24"/>
          <w:lang w:val="ka-GE"/>
        </w:rPr>
      </w:pPr>
      <w:r w:rsidRPr="00D66DA1">
        <w:rPr>
          <w:rFonts w:ascii="Sylfaen" w:hAnsi="Sylfaen" w:cs="Sylfaen"/>
          <w:bCs/>
          <w:noProof/>
          <w:sz w:val="24"/>
          <w:szCs w:val="24"/>
          <w:lang w:val="ka-GE"/>
        </w:rPr>
        <w:t>ესციტალოპრამი უკუნაჩვენებია პაციენტებში, რომლებსაც აღენიშნებათ  გახანგრძლივებული QT ინტერვალი ან QT ინტერვალის თანდაყოლილი გახანგრძლივება.</w:t>
      </w:r>
    </w:p>
    <w:p w14:paraId="49E4B2B1" w14:textId="30E7B478" w:rsidR="007061C7" w:rsidRPr="00D66DA1" w:rsidRDefault="007061C7" w:rsidP="00280B65">
      <w:pPr>
        <w:pStyle w:val="ListParagraph"/>
        <w:numPr>
          <w:ilvl w:val="0"/>
          <w:numId w:val="36"/>
        </w:numPr>
        <w:spacing w:after="0" w:line="360" w:lineRule="auto"/>
        <w:ind w:right="-211"/>
        <w:jc w:val="both"/>
        <w:rPr>
          <w:rFonts w:ascii="Sylfaen" w:hAnsi="Sylfaen" w:cs="Sylfaen"/>
          <w:bCs/>
          <w:noProof/>
          <w:sz w:val="24"/>
          <w:szCs w:val="24"/>
          <w:lang w:val="ka-GE"/>
        </w:rPr>
      </w:pPr>
      <w:r w:rsidRPr="00D66DA1">
        <w:rPr>
          <w:rFonts w:ascii="Sylfaen" w:hAnsi="Sylfaen" w:cs="Sylfaen"/>
          <w:bCs/>
          <w:noProof/>
          <w:sz w:val="24"/>
          <w:szCs w:val="24"/>
          <w:lang w:val="ka-GE"/>
        </w:rPr>
        <w:t>ესციტალოპრამის გამოყენება უკუნაჩვენებია იმ სამკურნალო საშუალებებთან ერთად, რომლებიც ახანგრძლივებენ QT ინტერვალს  (იხ. პუნქტი 4.5).</w:t>
      </w:r>
    </w:p>
    <w:p w14:paraId="48325570" w14:textId="77777777" w:rsidR="0047197E" w:rsidRPr="00D66DA1" w:rsidRDefault="0047197E" w:rsidP="00280B65">
      <w:pPr>
        <w:pStyle w:val="ListParagraph"/>
        <w:numPr>
          <w:ilvl w:val="1"/>
          <w:numId w:val="11"/>
        </w:numPr>
        <w:spacing w:after="0" w:line="360" w:lineRule="auto"/>
        <w:ind w:right="-211"/>
        <w:jc w:val="both"/>
        <w:rPr>
          <w:rFonts w:ascii="Sylfaen" w:hAnsi="Sylfaen" w:cs="Sylfaen"/>
          <w:b/>
          <w:bCs/>
          <w:noProof/>
          <w:sz w:val="24"/>
          <w:szCs w:val="24"/>
          <w:lang w:val="ka-GE"/>
        </w:rPr>
      </w:pPr>
      <w:r w:rsidRPr="00D66DA1">
        <w:rPr>
          <w:rFonts w:ascii="Sylfaen" w:hAnsi="Sylfaen" w:cs="Sylfaen"/>
          <w:b/>
          <w:bCs/>
          <w:noProof/>
          <w:sz w:val="24"/>
          <w:szCs w:val="24"/>
          <w:lang w:val="ka-GE"/>
        </w:rPr>
        <w:t>განსაკუთრებული მითითებები და უსაფრთხოების ზომები</w:t>
      </w:r>
    </w:p>
    <w:p w14:paraId="2F97B502" w14:textId="32804D94" w:rsidR="0047197E" w:rsidRPr="00D66DA1" w:rsidRDefault="0047197E"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ქვემოთ მოცემული განსაკუთრებული მითითებები და უსაფრთხოების ზომები ვრცელდება SSRI-</w:t>
      </w:r>
      <w:r w:rsidR="0061014C" w:rsidRPr="00D66DA1">
        <w:rPr>
          <w:rFonts w:ascii="Sylfaen" w:hAnsi="Sylfaen" w:cs="Sylfaen"/>
          <w:bCs/>
          <w:noProof/>
          <w:sz w:val="24"/>
          <w:szCs w:val="24"/>
          <w:lang w:val="ka-GE"/>
        </w:rPr>
        <w:t>ებ</w:t>
      </w:r>
      <w:r w:rsidR="00022553" w:rsidRPr="00D66DA1">
        <w:rPr>
          <w:rFonts w:ascii="Sylfaen" w:hAnsi="Sylfaen" w:cs="Sylfaen"/>
          <w:bCs/>
          <w:noProof/>
          <w:sz w:val="24"/>
          <w:szCs w:val="24"/>
          <w:lang w:val="ka-GE"/>
        </w:rPr>
        <w:t>ის</w:t>
      </w:r>
      <w:r w:rsidRPr="00D66DA1">
        <w:rPr>
          <w:rFonts w:ascii="Sylfaen" w:hAnsi="Sylfaen" w:cs="Sylfaen"/>
          <w:bCs/>
          <w:noProof/>
          <w:sz w:val="24"/>
          <w:szCs w:val="24"/>
          <w:lang w:val="ka-GE"/>
        </w:rPr>
        <w:t xml:space="preserve"> </w:t>
      </w:r>
      <w:r w:rsidR="0061014C" w:rsidRPr="00D66DA1">
        <w:rPr>
          <w:rFonts w:ascii="Sylfaen" w:hAnsi="Sylfaen" w:cs="Sylfaen"/>
          <w:bCs/>
          <w:noProof/>
          <w:sz w:val="24"/>
          <w:szCs w:val="24"/>
          <w:lang w:val="ka-GE"/>
        </w:rPr>
        <w:t xml:space="preserve">(სეროტონინის უკუმიტაცების შერჩევითი ინჰიბიტორები) </w:t>
      </w:r>
      <w:r w:rsidR="00022553" w:rsidRPr="00D66DA1">
        <w:rPr>
          <w:rFonts w:ascii="Sylfaen" w:hAnsi="Sylfaen" w:cs="Sylfaen"/>
          <w:bCs/>
          <w:noProof/>
          <w:sz w:val="24"/>
          <w:szCs w:val="24"/>
          <w:lang w:val="ka-GE"/>
        </w:rPr>
        <w:t>თერაპიულ კლასზე</w:t>
      </w:r>
      <w:r w:rsidRPr="00D66DA1">
        <w:rPr>
          <w:rFonts w:ascii="Sylfaen" w:hAnsi="Sylfaen" w:cs="Sylfaen"/>
          <w:bCs/>
          <w:noProof/>
          <w:sz w:val="24"/>
          <w:szCs w:val="24"/>
          <w:lang w:val="ka-GE"/>
        </w:rPr>
        <w:t>.</w:t>
      </w:r>
    </w:p>
    <w:p w14:paraId="5CDA27A8" w14:textId="2BD0A531" w:rsidR="00022553" w:rsidRPr="00D66DA1" w:rsidRDefault="00022553" w:rsidP="00280B65">
      <w:pPr>
        <w:spacing w:after="0" w:line="360" w:lineRule="auto"/>
        <w:ind w:left="-810" w:right="-211"/>
        <w:jc w:val="both"/>
        <w:rPr>
          <w:rFonts w:ascii="Sylfaen" w:hAnsi="Sylfaen" w:cs="Sylfaen"/>
          <w:i/>
          <w:iCs/>
          <w:noProof/>
          <w:sz w:val="24"/>
          <w:szCs w:val="24"/>
          <w:lang w:val="ka-GE"/>
        </w:rPr>
      </w:pPr>
      <w:r w:rsidRPr="00D66DA1">
        <w:rPr>
          <w:rFonts w:ascii="Sylfaen" w:hAnsi="Sylfaen" w:cs="Sylfaen"/>
          <w:i/>
          <w:iCs/>
          <w:noProof/>
          <w:sz w:val="24"/>
          <w:szCs w:val="24"/>
          <w:lang w:val="ka-GE"/>
        </w:rPr>
        <w:lastRenderedPageBreak/>
        <w:t>პედიატრიული პოპულაცია</w:t>
      </w:r>
    </w:p>
    <w:p w14:paraId="01726F80" w14:textId="2B9F7291" w:rsidR="003421DA" w:rsidRPr="00D66DA1" w:rsidRDefault="004F1802"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ციტოპრამი არ გამოიყენება 18 წლამდე ასაკის ბავშვებსა და მოზარდებში. სუიციდთან დაკავშირებული ქცევები (სუიციდის მცდელობა და სუიციდური იდეები) და მტრული დამოკიდებულება (ძირითადად აგრესია, ოპოზიციონალური ქცევა და სიბრაზე) კლინიკური კვლევისას უფრო ხშირად გამოვლინდა იმ ბავშვებსა და მოზარდებში, რომლებიც მკურნალობდნენ ანტიდეპრესანტებით, ვიდრე იმ ბავშვებსა და მოზარდებში, რომლებიც მკურნალობდნენ პლაცებოთი.</w:t>
      </w:r>
      <w:r w:rsidR="004C7087" w:rsidRPr="00D66DA1">
        <w:rPr>
          <w:rFonts w:ascii="Sylfaen" w:hAnsi="Sylfaen" w:cs="Sylfaen"/>
          <w:bCs/>
          <w:noProof/>
          <w:sz w:val="24"/>
          <w:szCs w:val="24"/>
          <w:lang w:val="ka-GE"/>
        </w:rPr>
        <w:t xml:space="preserve"> </w:t>
      </w:r>
      <w:r w:rsidR="0061014C" w:rsidRPr="00D66DA1">
        <w:rPr>
          <w:rFonts w:ascii="Sylfaen" w:hAnsi="Sylfaen" w:cs="Sylfaen"/>
          <w:bCs/>
          <w:noProof/>
          <w:sz w:val="24"/>
          <w:szCs w:val="24"/>
          <w:lang w:val="ka-GE"/>
        </w:rPr>
        <w:t xml:space="preserve">იმ შემთხვევაში, </w:t>
      </w:r>
      <w:r w:rsidR="004C7087" w:rsidRPr="00D66DA1">
        <w:rPr>
          <w:rFonts w:ascii="Sylfaen" w:hAnsi="Sylfaen" w:cs="Sylfaen"/>
          <w:bCs/>
          <w:noProof/>
          <w:sz w:val="24"/>
          <w:szCs w:val="24"/>
          <w:lang w:val="ka-GE"/>
        </w:rPr>
        <w:t>თუ კლინიკური საჭიროებიდან გამომდინარე გადაწყდება მკურნალობა, აუცილებელია პაციენტის მონიტორინგი სუიციდური სიმპტომების გამოსავლენად.</w:t>
      </w:r>
      <w:r w:rsidR="0061014C" w:rsidRPr="00D66DA1">
        <w:rPr>
          <w:rFonts w:ascii="Sylfaen" w:hAnsi="Sylfaen" w:cs="Sylfaen"/>
          <w:bCs/>
          <w:noProof/>
          <w:sz w:val="24"/>
          <w:szCs w:val="24"/>
          <w:lang w:val="ka-GE"/>
        </w:rPr>
        <w:t xml:space="preserve"> </w:t>
      </w:r>
      <w:r w:rsidR="004C7087" w:rsidRPr="00D66DA1">
        <w:rPr>
          <w:rFonts w:ascii="Sylfaen" w:hAnsi="Sylfaen" w:cs="Sylfaen"/>
          <w:bCs/>
          <w:noProof/>
          <w:sz w:val="24"/>
          <w:szCs w:val="24"/>
          <w:lang w:val="ka-GE"/>
        </w:rPr>
        <w:t>გარდა ამისა, გრძელვადიანი უსაფრთხოების მონაცემები ბავშვებსა და მოზარდებში ზრდის, მომწიფების, კოგნიტური და ქცევითი განვითარების შესახებ არ არსებობს.</w:t>
      </w:r>
    </w:p>
    <w:p w14:paraId="7E3AD3C0" w14:textId="058B79EB" w:rsidR="004C7087" w:rsidRPr="00D66DA1" w:rsidRDefault="004C7087"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პარადოქსალური შფოთვა</w:t>
      </w:r>
    </w:p>
    <w:p w14:paraId="52D0DF52" w14:textId="3E866DD9" w:rsidR="004C7087" w:rsidRPr="00D66DA1" w:rsidRDefault="004C7087"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პანიკური აშლილობის მქონე ზოგიერთ პაციენტში შეიძლება აღინიშნოს შფოთვის სიმპტომების მომატება ანტიდეპრესანტებით მკურნალობის დასაწყისში. ამგვარი პარადოქსალური რეაქცია ქრება ორი კვირის განმავლობაში მკურნალობის შეწყვეტის გარეშე. შფოთვითი ეფექტის გამოვლენის რისკის შესამცირებლად რეკომენდებულია დაბალი საწყისი დოზის გამოყენება (იხ. პუნქტი 4.2).</w:t>
      </w:r>
    </w:p>
    <w:p w14:paraId="2AA86382" w14:textId="478E0C44" w:rsidR="004C7087" w:rsidRPr="00D66DA1" w:rsidRDefault="004C7087"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შეტევები</w:t>
      </w:r>
    </w:p>
    <w:p w14:paraId="450F90DA" w14:textId="796EB82F" w:rsidR="00CC6170" w:rsidRPr="00D66DA1" w:rsidRDefault="00DA3C1A"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პრეპარატის მიღება უნდა შეწყდეს, თუ პაციენტს განუვითარდა შეტევა პირველად, ან ადგილი აქვს შეტევის სიხშირის მატებას (პაციენტებში, რომლებსაც ადრე ჰქონდათ ეპილეფსიის დიაგნოზი). SSRI-ს გამოყენება თავიდან უნდა იქნას აცილებული არასტაბილური ეპილეფსიის მქონე პაციენტებში. კონტროლირებადი ეპილეფსიის მქონე პაციენტების შემთხვევაში, აუცილებელია მონიტორინგი.</w:t>
      </w:r>
    </w:p>
    <w:p w14:paraId="346DF78F" w14:textId="77777777" w:rsidR="00DA3C1A" w:rsidRPr="00D66DA1" w:rsidRDefault="00DA3C1A"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მანია</w:t>
      </w:r>
    </w:p>
    <w:p w14:paraId="279CD5F1" w14:textId="386BA901" w:rsidR="00DA3C1A" w:rsidRPr="00D66DA1" w:rsidRDefault="00DA3C1A"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 xml:space="preserve">SSRI-ები სიფრთხილით </w:t>
      </w:r>
      <w:r w:rsidR="0061014C" w:rsidRPr="00D66DA1">
        <w:rPr>
          <w:rFonts w:ascii="Sylfaen" w:hAnsi="Sylfaen" w:cs="Sylfaen"/>
          <w:bCs/>
          <w:noProof/>
          <w:sz w:val="24"/>
          <w:szCs w:val="24"/>
          <w:lang w:val="ka-GE"/>
        </w:rPr>
        <w:t>ინიშნება</w:t>
      </w:r>
      <w:r w:rsidRPr="00D66DA1">
        <w:rPr>
          <w:rFonts w:ascii="Sylfaen" w:hAnsi="Sylfaen" w:cs="Sylfaen"/>
          <w:bCs/>
          <w:noProof/>
          <w:sz w:val="24"/>
          <w:szCs w:val="24"/>
          <w:lang w:val="ka-GE"/>
        </w:rPr>
        <w:t xml:space="preserve"> ანამნეზში მანიის/ჰიპომანიის მქონე პაციენტებში. მანიის ფაზის დადგომისთანავე SSRI-ების მიღება უნდა შეწყდეს.</w:t>
      </w:r>
    </w:p>
    <w:p w14:paraId="37118E0E" w14:textId="4A3D33E2" w:rsidR="00DA3C1A" w:rsidRPr="00D66DA1" w:rsidRDefault="00DA3C1A"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დიაბეტი</w:t>
      </w:r>
    </w:p>
    <w:p w14:paraId="126AFEC8" w14:textId="2F7ACF8E" w:rsidR="00DA3C1A" w:rsidRPr="00D66DA1" w:rsidRDefault="00DA3C1A"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დიაბეტის მქონე პაციენტებში SSRI-ით მკურნალობამ შეიძლება შეცვალოს გლიკემიური კონტროლი (ჰიპოგლიკემია ან ჰიპერგლიკემია). შეიძლება საჭირო გახდეს ინსულინის და/ან პერორალური ჰიპოგლიკემიური საშუალებების დოზის კორექტირება.</w:t>
      </w:r>
    </w:p>
    <w:p w14:paraId="157941C5" w14:textId="39214E78" w:rsidR="00DA3C1A" w:rsidRPr="00D66DA1" w:rsidRDefault="00DA3C1A"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სუიციდი/სუიციდური აზრები ან კლინიკური მდგომარეობის გაუარესება</w:t>
      </w:r>
    </w:p>
    <w:p w14:paraId="4DCC13C1" w14:textId="6704C0FB" w:rsidR="009337D9" w:rsidRPr="00D66DA1" w:rsidRDefault="009337D9"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lastRenderedPageBreak/>
        <w:t>დეპრესია ასოცირდება სუიციდური აზრების, თვითდაზიანების და სუიციდის (სუიციდთან დაკავშირებული მოვლენების) მომატებულ რისკთან. ამგვარი რისკი არსებობს მნიშვნელოვანი რემისიის დადგომამდე. ვინაიდან</w:t>
      </w:r>
      <w:r w:rsidR="00D40A6B" w:rsidRPr="00D66DA1">
        <w:rPr>
          <w:rFonts w:ascii="Sylfaen" w:hAnsi="Sylfaen" w:cs="Sylfaen"/>
          <w:bCs/>
          <w:noProof/>
          <w:sz w:val="24"/>
          <w:szCs w:val="24"/>
          <w:lang w:val="ka-GE"/>
        </w:rPr>
        <w:t>,</w:t>
      </w:r>
      <w:r w:rsidRPr="00D66DA1">
        <w:rPr>
          <w:rFonts w:ascii="Sylfaen" w:hAnsi="Sylfaen" w:cs="Sylfaen"/>
          <w:bCs/>
          <w:noProof/>
          <w:sz w:val="24"/>
          <w:szCs w:val="24"/>
          <w:lang w:val="ka-GE"/>
        </w:rPr>
        <w:t xml:space="preserve"> მდგომარეობა შეიძლება არ გამოსწორდეს მკურნალობის პირველი რამდენიმე კვირის ან მეტი დროის განმავლობაში, აუცილებელია ამ პერიოდში, გაუმჯობესებამდე პაციენტთა კონტროლი. ზოგადი კლინიკური გამოცდილებით, სუიციდის რისკი შეიძლება გაიზარდოს გამოჯანმრთელების ადრეულ ეტაპებზე.</w:t>
      </w:r>
    </w:p>
    <w:p w14:paraId="6E2E0722" w14:textId="36F95574" w:rsidR="009337D9" w:rsidRPr="00D66DA1" w:rsidRDefault="009337D9"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 xml:space="preserve">სხვა ფსიქიატრიული მდგომარეობები, რომლის დროსაც ინიშნება ციტოპრამი, ასევე შეიძლება ასოცირებული იყოს სუიციდთან დაკავშირებული მოვლენების მომატებულ რისკთან. ამასთან, ამგვარი მდგომარეობები შეიძლება გამოწვეული იყოს ძირითადი დეპრესიული </w:t>
      </w:r>
      <w:r w:rsidR="00B0531C" w:rsidRPr="00D66DA1">
        <w:rPr>
          <w:rFonts w:ascii="Sylfaen" w:hAnsi="Sylfaen" w:cs="Sylfaen"/>
          <w:bCs/>
          <w:noProof/>
          <w:sz w:val="24"/>
          <w:szCs w:val="24"/>
          <w:lang w:val="ka-GE"/>
        </w:rPr>
        <w:t>აშლილობი</w:t>
      </w:r>
      <w:r w:rsidRPr="00D66DA1">
        <w:rPr>
          <w:rFonts w:ascii="Sylfaen" w:hAnsi="Sylfaen" w:cs="Sylfaen"/>
          <w:bCs/>
          <w:noProof/>
          <w:sz w:val="24"/>
          <w:szCs w:val="24"/>
          <w:lang w:val="ka-GE"/>
        </w:rPr>
        <w:t>თ. სხვა ფსიქიატრიული დარღვევების მკურნალობისას გამოიყენება ის სიფრთხილის ზომები, რაც ძირითადი დეპრესიული დარღვევებისას.</w:t>
      </w:r>
    </w:p>
    <w:p w14:paraId="76D315F5" w14:textId="21F74B48" w:rsidR="00B0531C" w:rsidRPr="00D66DA1" w:rsidRDefault="00B0531C"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ის პაციენტები, რომლებსაც ანამნეზში აღენიშნებათ სუიციდთან დაკავშირებული მოვლენები ან რომლებსაც აქვთ სერიოზული ხარისხის სუიციდური აზრები მკურნალობის დაწყებამდე, იმყოფებიან სუიციდური აზრების ან სუიციდის მცდელობების უფრო დიდი რისკის ქვეშ და ამიტომ მკურნალობის პერიოდში საჭიროებენ გულდასმით კონტროლს. ანტიდეპრესანტული პრეპარატების პლაცებო</w:t>
      </w:r>
      <w:r w:rsidR="00D40A6B" w:rsidRPr="00D66DA1">
        <w:rPr>
          <w:rFonts w:ascii="Sylfaen" w:hAnsi="Sylfaen" w:cs="Sylfaen"/>
          <w:bCs/>
          <w:noProof/>
          <w:sz w:val="24"/>
          <w:szCs w:val="24"/>
          <w:lang w:val="ka-GE"/>
        </w:rPr>
        <w:t>-</w:t>
      </w:r>
      <w:r w:rsidRPr="00D66DA1">
        <w:rPr>
          <w:rFonts w:ascii="Sylfaen" w:hAnsi="Sylfaen" w:cs="Sylfaen"/>
          <w:bCs/>
          <w:noProof/>
          <w:sz w:val="24"/>
          <w:szCs w:val="24"/>
          <w:lang w:val="ka-GE"/>
        </w:rPr>
        <w:t xml:space="preserve">კონტროლირებული კლინიკური კვლევების მეტა ანალიზი ფსიქიატრიული აშლილობების მქონე მოზრდილ პაციენტებში აჩვენებს, რომ სუიციდური ქცევის განვითარების რისკი უფრო მაღალია ანტიდეპრესანტებით მკურნალობისას, ვიდრე პლაცებოს გამოყენებისას 25 წლამდე ასაკის პაციენტებში. </w:t>
      </w:r>
    </w:p>
    <w:p w14:paraId="1650254D" w14:textId="1AFE5BE1" w:rsidR="00B0531C" w:rsidRPr="00D66DA1" w:rsidRDefault="00B0531C"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მკურნალობის ადრეულ ეტაპზე და დოზების ცვლილების შემდეგ აუცილებელია პაციენტთა კონტროლი, განსაკუთრებით მათი, ვინც მაღალი რისკის ჯგუფს მიეკუთვნება.</w:t>
      </w:r>
    </w:p>
    <w:p w14:paraId="1FFBD0E1" w14:textId="4B416FF3" w:rsidR="00606832" w:rsidRPr="00D66DA1" w:rsidRDefault="00606832"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პაციენტებს (და პაციენტთა მომვლელებს) უნდა მიეცეთ გაფრთხილება, აკონტროლონ ნებისმიერი კლინიკური გაუარესება, სუიციდის მცდელობა ან ფიქრი და სხვა ქცევაში უცნაური ცვლილებები  და ასეთი სიმპტომის გამოვლენისთანავე მიმართონ ექიმს.</w:t>
      </w:r>
    </w:p>
    <w:p w14:paraId="4D038B1A" w14:textId="3713A683" w:rsidR="00606832" w:rsidRPr="00D66DA1" w:rsidRDefault="00606832"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აკათიზია /ფსიქომოტორული მოუსვენრობა</w:t>
      </w:r>
    </w:p>
    <w:p w14:paraId="2870A880" w14:textId="2CC4D1B8" w:rsidR="00606832" w:rsidRPr="00D66DA1" w:rsidRDefault="00606832"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SSRI/SNRI-ს გამოყენება ასოცირდება აკათიზიის განვითარებასთან, რაც ხასიათდება სუბიექტურად არასასიამოვნო ან დისტრესულ მოუსვენრობასთან და მოძრაობის საჭიროებასთან, რასაც ხშირად თან ახლავს ჯდომის ან მშვიდად ყოფნის უუნარობა. ეს ყველაზე ხშირად შეიძლება განვითარდეს მკურნალობის პირველი რამდენიმე კვირის განმავლობაში. ამ სიმპტომების განვითარებისას გადამწყვეტი მნიშვნელობა აქვს დოზის მომატებას.</w:t>
      </w:r>
    </w:p>
    <w:p w14:paraId="12F784D7" w14:textId="43ED141C" w:rsidR="00606832" w:rsidRPr="00D66DA1" w:rsidRDefault="00606832"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lastRenderedPageBreak/>
        <w:t>ჰიპონატრიემია</w:t>
      </w:r>
    </w:p>
    <w:p w14:paraId="15AE56B0" w14:textId="001C259E" w:rsidR="00606832" w:rsidRPr="00D66DA1" w:rsidRDefault="00606832"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ჰიპონატრიემია, სავარაუდოდ გამოწვეული ანტიდიურეტიკული ჰორმონის არასათანადო სეკრეციით (SIADH), იშვიათად აღინიშნა SSRI-ების გამოყენებისას და ჩვეულებრივ ქრება თერაპიის შეწყვეტისთანავე. აუცილებელია სიფრთხილის გამოჩენა რისკის ქვეშ მყოფ პაციენტებში, როგორებიცაა ხანდაზმულები, ციროზის მქონე პაციენტები ან ის პაციენტები, რომლებიც მკურნალობენ ჰიპონატრიემიის გამომწვევი პრეპარატებით.</w:t>
      </w:r>
    </w:p>
    <w:p w14:paraId="7F65F688" w14:textId="77777777" w:rsidR="00611FFE" w:rsidRPr="00D66DA1" w:rsidRDefault="00611FFE"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ჰემორაგია</w:t>
      </w:r>
    </w:p>
    <w:p w14:paraId="52DBDEFC" w14:textId="4422EBD3" w:rsidR="00606832" w:rsidRPr="00D66DA1" w:rsidRDefault="000648AB"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 xml:space="preserve">SSRI-ების გამოყენებასთან დაკავშირებით </w:t>
      </w:r>
      <w:r w:rsidR="00611FFE" w:rsidRPr="00D66DA1">
        <w:rPr>
          <w:rFonts w:ascii="Sylfaen" w:hAnsi="Sylfaen" w:cs="Sylfaen"/>
          <w:bCs/>
          <w:noProof/>
          <w:sz w:val="24"/>
          <w:szCs w:val="24"/>
          <w:lang w:val="ka-GE"/>
        </w:rPr>
        <w:t>აღინიშნა კანის</w:t>
      </w:r>
      <w:r w:rsidRPr="00D66DA1">
        <w:rPr>
          <w:rFonts w:ascii="Sylfaen" w:hAnsi="Sylfaen" w:cs="Sylfaen"/>
          <w:bCs/>
          <w:noProof/>
          <w:sz w:val="24"/>
          <w:szCs w:val="24"/>
          <w:lang w:val="ka-GE"/>
        </w:rPr>
        <w:t>მხრივი</w:t>
      </w:r>
      <w:r w:rsidR="00611FFE" w:rsidRPr="00D66DA1">
        <w:rPr>
          <w:rFonts w:ascii="Sylfaen" w:hAnsi="Sylfaen" w:cs="Sylfaen"/>
          <w:bCs/>
          <w:noProof/>
          <w:sz w:val="24"/>
          <w:szCs w:val="24"/>
          <w:lang w:val="ka-GE"/>
        </w:rPr>
        <w:t xml:space="preserve"> სისხლდენის დარღვევები, როგორიცაა </w:t>
      </w:r>
      <w:r w:rsidRPr="00D66DA1">
        <w:rPr>
          <w:rFonts w:ascii="Sylfaen" w:hAnsi="Sylfaen" w:cs="Sylfaen"/>
          <w:bCs/>
          <w:noProof/>
          <w:sz w:val="24"/>
          <w:szCs w:val="24"/>
          <w:lang w:val="ka-GE"/>
        </w:rPr>
        <w:t xml:space="preserve">ეკქიმოზები </w:t>
      </w:r>
      <w:r w:rsidR="00611FFE" w:rsidRPr="00D66DA1">
        <w:rPr>
          <w:rFonts w:ascii="Sylfaen" w:hAnsi="Sylfaen" w:cs="Sylfaen"/>
          <w:bCs/>
          <w:noProof/>
          <w:sz w:val="24"/>
          <w:szCs w:val="24"/>
          <w:lang w:val="ka-GE"/>
        </w:rPr>
        <w:t xml:space="preserve">და პურპურა. სიფრთხილის გამოჩენა არის საჭირო </w:t>
      </w:r>
      <w:r w:rsidRPr="00D66DA1">
        <w:rPr>
          <w:rFonts w:ascii="Sylfaen" w:hAnsi="Sylfaen" w:cs="Sylfaen"/>
          <w:bCs/>
          <w:noProof/>
          <w:sz w:val="24"/>
          <w:szCs w:val="24"/>
          <w:lang w:val="ka-GE"/>
        </w:rPr>
        <w:t xml:space="preserve">SSRI-ების </w:t>
      </w:r>
      <w:r w:rsidR="00611FFE" w:rsidRPr="00D66DA1">
        <w:rPr>
          <w:rFonts w:ascii="Sylfaen" w:hAnsi="Sylfaen" w:cs="Sylfaen"/>
          <w:bCs/>
          <w:noProof/>
          <w:sz w:val="24"/>
          <w:szCs w:val="24"/>
          <w:lang w:val="ka-GE"/>
        </w:rPr>
        <w:t xml:space="preserve"> გამოყენებისას, განსაკუთრებით იმავდროულად პერორალური ანტიკოაგულანტების მიღებისას, რომლებიც, როგორც ცნობილია, გავლენას ახდენენ თრომბოციტების ფუნქციაზე (მაგ. ატიპური ანტიფსიქოტური საშუალებები და ფენოთიაზინები, ტრიციკლური ანტიდეპრესანტების უმრავლესობა, აცეტილსალიცილმჟავა და არასტეროიდული, ანთების საწინააღმდეგო საშუალებები</w:t>
      </w:r>
      <w:r w:rsidR="00D13C42" w:rsidRPr="00D66DA1">
        <w:rPr>
          <w:rFonts w:ascii="Sylfaen" w:hAnsi="Sylfaen" w:cs="Sylfaen"/>
          <w:bCs/>
          <w:noProof/>
          <w:sz w:val="24"/>
          <w:szCs w:val="24"/>
          <w:lang w:val="ka-GE"/>
        </w:rPr>
        <w:t xml:space="preserve"> (NSAID)</w:t>
      </w:r>
      <w:r w:rsidR="00611FFE" w:rsidRPr="00D66DA1">
        <w:rPr>
          <w:rFonts w:ascii="Sylfaen" w:hAnsi="Sylfaen" w:cs="Sylfaen"/>
          <w:bCs/>
          <w:noProof/>
          <w:sz w:val="24"/>
          <w:szCs w:val="24"/>
          <w:lang w:val="ka-GE"/>
        </w:rPr>
        <w:t>, ტიკლოპიდინი და დიპირიდამოლი) და იმ პაციენტებში, რომლებიც მიდრეკილნი არიან სისხლდენისადმი.</w:t>
      </w:r>
    </w:p>
    <w:p w14:paraId="7DAA9C8F" w14:textId="184DED3B" w:rsidR="000648AB" w:rsidRPr="00D66DA1" w:rsidRDefault="000648AB"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ელექტროკონვულსიური თერაპია</w:t>
      </w:r>
    </w:p>
    <w:p w14:paraId="776D97DB" w14:textId="0187D48D" w:rsidR="000648AB" w:rsidRPr="00D66DA1" w:rsidRDefault="000648AB"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SSRI-ებისა და ელექტროკონვულსიური თერაპიის</w:t>
      </w:r>
      <w:r w:rsidR="00D13C42" w:rsidRPr="00D66DA1">
        <w:rPr>
          <w:rFonts w:ascii="Sylfaen" w:hAnsi="Sylfaen" w:cs="Sylfaen"/>
          <w:bCs/>
          <w:noProof/>
          <w:sz w:val="24"/>
          <w:szCs w:val="24"/>
          <w:lang w:val="ka-GE"/>
        </w:rPr>
        <w:t xml:space="preserve"> (ECT)</w:t>
      </w:r>
      <w:r w:rsidRPr="00D66DA1">
        <w:rPr>
          <w:rFonts w:ascii="Sylfaen" w:hAnsi="Sylfaen" w:cs="Sylfaen"/>
          <w:bCs/>
          <w:noProof/>
          <w:sz w:val="24"/>
          <w:szCs w:val="24"/>
          <w:lang w:val="ka-GE"/>
        </w:rPr>
        <w:t xml:space="preserve"> ერთდროული გამოყენების შესახებ კლინიკური გამოცდილება შეზღუდულია, ამიტომ, სასურველია სიფრთხილის გამოჩენა.</w:t>
      </w:r>
    </w:p>
    <w:p w14:paraId="20B03D73" w14:textId="3D7AACB4" w:rsidR="00A3781F" w:rsidRPr="00D66DA1" w:rsidRDefault="00A3781F"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სეროტონინის სინდრომი</w:t>
      </w:r>
    </w:p>
    <w:p w14:paraId="329C92FB" w14:textId="555E4E34" w:rsidR="00A3781F" w:rsidRPr="00D66DA1" w:rsidRDefault="00A3781F"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 xml:space="preserve">სიფრთხილე არის საჭირო, როდესაც ესციტალოპრამი გამოიყენება </w:t>
      </w:r>
      <w:r w:rsidR="00EA59A4" w:rsidRPr="00D66DA1">
        <w:rPr>
          <w:rFonts w:ascii="Sylfaen" w:hAnsi="Sylfaen" w:cs="Sylfaen"/>
          <w:bCs/>
          <w:noProof/>
          <w:sz w:val="24"/>
          <w:szCs w:val="24"/>
          <w:lang w:val="ka-GE"/>
        </w:rPr>
        <w:t xml:space="preserve">ისეთ </w:t>
      </w:r>
      <w:r w:rsidRPr="00D66DA1">
        <w:rPr>
          <w:rFonts w:ascii="Sylfaen" w:hAnsi="Sylfaen" w:cs="Sylfaen"/>
          <w:bCs/>
          <w:noProof/>
          <w:sz w:val="24"/>
          <w:szCs w:val="24"/>
          <w:lang w:val="ka-GE"/>
        </w:rPr>
        <w:t>სეროტონერგიული ეფექტების მქონე პრეპარატებთან ერთად, როგორიცაა სუმატრიპტანი ან სხვა ტრიპტანები, ტრამადოლი და ტრიპტოფანი.</w:t>
      </w:r>
    </w:p>
    <w:p w14:paraId="2A3B7E7F" w14:textId="29A9672D" w:rsidR="00A3781F" w:rsidRPr="00D66DA1" w:rsidRDefault="00A3781F"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იშვიათ შემთხვევებში, სეროტონინის სინდრომი აღინიშნა იმ პაციენტებში, რომლებიც SSRI-</w:t>
      </w:r>
      <w:r w:rsidR="00EA59A4" w:rsidRPr="00D66DA1">
        <w:rPr>
          <w:rFonts w:ascii="Sylfaen" w:hAnsi="Sylfaen" w:cs="Sylfaen"/>
          <w:bCs/>
          <w:noProof/>
          <w:sz w:val="24"/>
          <w:szCs w:val="24"/>
          <w:lang w:val="ka-GE"/>
        </w:rPr>
        <w:t>ებ</w:t>
      </w:r>
      <w:r w:rsidRPr="00D66DA1">
        <w:rPr>
          <w:rFonts w:ascii="Sylfaen" w:hAnsi="Sylfaen" w:cs="Sylfaen"/>
          <w:bCs/>
          <w:noProof/>
          <w:sz w:val="24"/>
          <w:szCs w:val="24"/>
          <w:lang w:val="ka-GE"/>
        </w:rPr>
        <w:t>თან ერთად იღებდნენ სეროტონერგიულ სამკურნალო საშუალებებს. ამგვარი მდგომარეობის განვითარებაზე შეიძლება მიუთითებდეს ისეთი სიმპტომების კომბინაცია, როგორიცაა ა</w:t>
      </w:r>
      <w:r w:rsidR="00EA59A4" w:rsidRPr="00D66DA1">
        <w:rPr>
          <w:rFonts w:ascii="Sylfaen" w:hAnsi="Sylfaen" w:cs="Sylfaen"/>
          <w:bCs/>
          <w:noProof/>
          <w:sz w:val="24"/>
          <w:szCs w:val="24"/>
          <w:lang w:val="ka-GE"/>
        </w:rPr>
        <w:t>ჟიტაცია</w:t>
      </w:r>
      <w:r w:rsidRPr="00D66DA1">
        <w:rPr>
          <w:rFonts w:ascii="Sylfaen" w:hAnsi="Sylfaen" w:cs="Sylfaen"/>
          <w:bCs/>
          <w:noProof/>
          <w:sz w:val="24"/>
          <w:szCs w:val="24"/>
          <w:lang w:val="ka-GE"/>
        </w:rPr>
        <w:t>, ტრემორი, მიოკლონუსი და ჰიპერთერმია. ასეთი მდგომარეობის განვითარებისას SSRI-თა და სეროტონერგიული პრეპარატებით მკურნალობა დაუყოვნებლივ უნდა შეწყდეს და დაიწყოს სიმპტომატური თერაპია.</w:t>
      </w:r>
    </w:p>
    <w:p w14:paraId="7107844F" w14:textId="77777777" w:rsidR="005735F2" w:rsidRPr="00D66DA1" w:rsidRDefault="005735F2"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კრაზანა</w:t>
      </w:r>
    </w:p>
    <w:p w14:paraId="62E8007D" w14:textId="3F1815CE" w:rsidR="005735F2" w:rsidRPr="00D66DA1" w:rsidRDefault="005735F2"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lastRenderedPageBreak/>
        <w:t>SSRI-ებისა და კრაზანას (Hypericum perforatum) შემცველი მცენარეული საშუალებების ერთდროულმა გამოყენებამ შეიძლება გამოიწვიოს გვერდითი რეაქციების  სიხშირის მომატება  (იხ. პუნქტი 4.5).</w:t>
      </w:r>
    </w:p>
    <w:p w14:paraId="15D56E0C" w14:textId="60D1F05E" w:rsidR="00602BB0" w:rsidRPr="00D66DA1" w:rsidRDefault="00602BB0"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მკურნალობის შეწყვეტისას გამოვლენილი სიმპტომები</w:t>
      </w:r>
    </w:p>
    <w:p w14:paraId="1A095C86" w14:textId="122CCEAE" w:rsidR="00602BB0" w:rsidRPr="00D66DA1" w:rsidRDefault="00602BB0"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მკურნალობის შეწყვეტისას ხშირად ვლინდება სხვადასხვა სიმპტომები, განსაკუთრებით, როდესაც მკურნალობის შეწყვეტა ხდება უცებ და ერთბაშად (იხ. პუნქტი 4.8). კლინიკური კვლევისას მკურნალობის შეწყვეტის შემდეგ არასასურველი მოვლენები განვითარდა ესციტალოპრამით მკურნალობაზე მყოფ პაციენტთა დაახლოებით 25%-ში, ხოლო პლაცებოს მიმღებ პაციენტთა 15%-ში.</w:t>
      </w:r>
    </w:p>
    <w:p w14:paraId="5C01B051" w14:textId="7F096528" w:rsidR="005B1FCF" w:rsidRPr="00D66DA1" w:rsidRDefault="005B1FCF"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 xml:space="preserve">მკურნალობის შეწყვეტისას სიმპტომების განვითარების რისკი შეიძლება დამოკიდებული იყოს რამდენიმე ფაქტორზე, მათ შორის თერაპიის ხანგრძლივობასა და დოზაზე და დოზის შემცირების სიხშირეზე. ყველაზე ხშირად ვლინდება თავბრუსხვევა, სენსორული დარღვევები (მათ შორის პარესთეზია და ელექტროშოკის შეგრძნებები), ძილის დარღვევები (მათ შორის უძილობა და </w:t>
      </w:r>
      <w:r w:rsidR="000F6CC6" w:rsidRPr="00D66DA1">
        <w:rPr>
          <w:rFonts w:ascii="Sylfaen" w:hAnsi="Sylfaen" w:cs="Sylfaen"/>
          <w:bCs/>
          <w:noProof/>
          <w:sz w:val="24"/>
          <w:szCs w:val="24"/>
          <w:lang w:val="ka-GE"/>
        </w:rPr>
        <w:t xml:space="preserve">მძაფრი </w:t>
      </w:r>
      <w:r w:rsidRPr="00D66DA1">
        <w:rPr>
          <w:rFonts w:ascii="Sylfaen" w:hAnsi="Sylfaen" w:cs="Sylfaen"/>
          <w:bCs/>
          <w:noProof/>
          <w:sz w:val="24"/>
          <w:szCs w:val="24"/>
          <w:lang w:val="ka-GE"/>
        </w:rPr>
        <w:t xml:space="preserve">სიზმრები), </w:t>
      </w:r>
      <w:r w:rsidR="000F6CC6" w:rsidRPr="00D66DA1">
        <w:rPr>
          <w:rFonts w:ascii="Sylfaen" w:hAnsi="Sylfaen" w:cs="Sylfaen"/>
          <w:bCs/>
          <w:noProof/>
          <w:sz w:val="24"/>
          <w:szCs w:val="24"/>
          <w:lang w:val="ka-GE"/>
        </w:rPr>
        <w:t>აჯიტაცია</w:t>
      </w:r>
      <w:r w:rsidRPr="00D66DA1">
        <w:rPr>
          <w:rFonts w:ascii="Sylfaen" w:hAnsi="Sylfaen" w:cs="Sylfaen"/>
          <w:bCs/>
          <w:noProof/>
          <w:sz w:val="24"/>
          <w:szCs w:val="24"/>
          <w:lang w:val="ka-GE"/>
        </w:rPr>
        <w:t xml:space="preserve">, შფოთვა, გულისრევა და/ან პირღებინება, ტრემორი, გონების არევა, ოფლიანობა, თავის ტკივილი, დიარეა, გულისცემის გახშირება, ემოციური არასტაბილურობა, გაღიზიანება და მხედველობის დარღვევები. ზოგადად, აღნიშნული სიმპტომები </w:t>
      </w:r>
      <w:r w:rsidR="000F6CC6" w:rsidRPr="00D66DA1">
        <w:rPr>
          <w:rFonts w:ascii="Sylfaen" w:hAnsi="Sylfaen" w:cs="Sylfaen"/>
          <w:bCs/>
          <w:noProof/>
          <w:sz w:val="24"/>
          <w:szCs w:val="24"/>
          <w:lang w:val="ka-GE"/>
        </w:rPr>
        <w:t xml:space="preserve">მსუბუქი ან </w:t>
      </w:r>
      <w:r w:rsidRPr="00D66DA1">
        <w:rPr>
          <w:rFonts w:ascii="Sylfaen" w:hAnsi="Sylfaen" w:cs="Sylfaen"/>
          <w:bCs/>
          <w:noProof/>
          <w:sz w:val="24"/>
          <w:szCs w:val="24"/>
          <w:lang w:val="ka-GE"/>
        </w:rPr>
        <w:t>საშუალო ხასიათისაა, თუმცა ზოგიერთ პაციენტში შეიძლება მწვავე ფორმით გამოვლინდეს.</w:t>
      </w:r>
    </w:p>
    <w:p w14:paraId="267ABA73" w14:textId="57C73031" w:rsidR="000F6CC6" w:rsidRPr="00D66DA1" w:rsidRDefault="000F6CC6"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აღნიშნული სიმპტომები ჩვეულებრივ ვლინდება მკურნალობის შეწყვეტიდან პირველი რამდენიმე დღის განმავლობაში, თუმცა ამგვარი სიმპტომები ძალიან იშვიათად განვითარდა იმ პაციენტებში, რომლებ</w:t>
      </w:r>
      <w:r w:rsidR="00270E19" w:rsidRPr="00D66DA1">
        <w:rPr>
          <w:rFonts w:ascii="Sylfaen" w:hAnsi="Sylfaen" w:cs="Sylfaen"/>
          <w:bCs/>
          <w:noProof/>
          <w:sz w:val="24"/>
          <w:szCs w:val="24"/>
          <w:lang w:val="ka-GE"/>
        </w:rPr>
        <w:t>მაც თვითნებურად გამოტოვეს</w:t>
      </w:r>
      <w:r w:rsidRPr="00D66DA1">
        <w:rPr>
          <w:rFonts w:ascii="Sylfaen" w:hAnsi="Sylfaen" w:cs="Sylfaen"/>
          <w:bCs/>
          <w:noProof/>
          <w:sz w:val="24"/>
          <w:szCs w:val="24"/>
          <w:lang w:val="ka-GE"/>
        </w:rPr>
        <w:t xml:space="preserve"> დოზ</w:t>
      </w:r>
      <w:r w:rsidR="00270E19" w:rsidRPr="00D66DA1">
        <w:rPr>
          <w:rFonts w:ascii="Sylfaen" w:hAnsi="Sylfaen" w:cs="Sylfaen"/>
          <w:bCs/>
          <w:noProof/>
          <w:sz w:val="24"/>
          <w:szCs w:val="24"/>
          <w:lang w:val="ka-GE"/>
        </w:rPr>
        <w:t>ა</w:t>
      </w:r>
      <w:r w:rsidRPr="00D66DA1">
        <w:rPr>
          <w:rFonts w:ascii="Sylfaen" w:hAnsi="Sylfaen" w:cs="Sylfaen"/>
          <w:bCs/>
          <w:noProof/>
          <w:sz w:val="24"/>
          <w:szCs w:val="24"/>
          <w:lang w:val="ka-GE"/>
        </w:rPr>
        <w:t>.</w:t>
      </w:r>
    </w:p>
    <w:p w14:paraId="0F90AC22" w14:textId="7678A4E6" w:rsidR="00270E19" w:rsidRPr="00D66DA1" w:rsidRDefault="00270E19"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აღნიშნული სიმპტომები ზოგადად გადის 2 კვირაში, თუმცა ზოგიერთ პაციენტში ეს პერიოდი შეიძლება უფრო ხანგრძლივი იყოს (2-3 თვე ან მეტი). ამიტომ, რეკომენდებულია ესციტალოპრამით მკურნალობის შეწყვეტა მოხდეს თანდათან რამდენიმე კვირის ან თვის განმავლობაში, პაციენტის საჭიროების გათვალისწინებით (იხ. პუნქტი 4.2).</w:t>
      </w:r>
    </w:p>
    <w:p w14:paraId="53B21502" w14:textId="77777777" w:rsidR="00270E19" w:rsidRPr="00D66DA1" w:rsidRDefault="00270E19"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 xml:space="preserve">გულის იშემიური დაავადება </w:t>
      </w:r>
    </w:p>
    <w:p w14:paraId="0D5B0085" w14:textId="3EC7317D" w:rsidR="00270E19" w:rsidRPr="00D66DA1" w:rsidRDefault="00270E19"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შეზღუდული კლინიკური გამოცდილების გამო, რეკომენდებულია სიფრთხილის გამოჩენა გულის იშემიური დაავადების მქონე პაციენტებში</w:t>
      </w:r>
      <w:r w:rsidR="00036621" w:rsidRPr="00D66DA1">
        <w:rPr>
          <w:rFonts w:ascii="Sylfaen" w:hAnsi="Sylfaen" w:cs="Sylfaen"/>
          <w:bCs/>
          <w:noProof/>
          <w:sz w:val="24"/>
          <w:szCs w:val="24"/>
          <w:lang w:val="ka-GE"/>
        </w:rPr>
        <w:t xml:space="preserve"> (იხ. პუნქტი 5.3).</w:t>
      </w:r>
    </w:p>
    <w:p w14:paraId="66977E30" w14:textId="5219010B" w:rsidR="00270E19" w:rsidRPr="00D66DA1" w:rsidRDefault="00270E19"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გახანგრძლივებული QT ინტერვალი</w:t>
      </w:r>
    </w:p>
    <w:p w14:paraId="78F01635" w14:textId="2ED9BF04" w:rsidR="00077834" w:rsidRPr="00D66DA1" w:rsidRDefault="00270E19"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lastRenderedPageBreak/>
        <w:t>დადინდა, რომ ესციტალოპრამი იწვევს QT  ინტერვალის დოზადამოკიდებულ გახანგრძლივებას.  გახანგრძლივებული</w:t>
      </w:r>
      <w:r w:rsidRPr="00D66DA1">
        <w:rPr>
          <w:rFonts w:ascii="Sylfaen" w:hAnsi="Sylfaen" w:cs="Sylfaen"/>
          <w:bCs/>
          <w:i/>
          <w:iCs/>
          <w:noProof/>
          <w:sz w:val="24"/>
          <w:szCs w:val="24"/>
          <w:lang w:val="ka-GE"/>
        </w:rPr>
        <w:t xml:space="preserve"> </w:t>
      </w:r>
      <w:r w:rsidRPr="00D66DA1">
        <w:rPr>
          <w:rFonts w:ascii="Sylfaen" w:hAnsi="Sylfaen" w:cs="Sylfaen"/>
          <w:bCs/>
          <w:noProof/>
          <w:sz w:val="24"/>
          <w:szCs w:val="24"/>
          <w:lang w:val="ka-GE"/>
        </w:rPr>
        <w:t>QT  ინტერვალის და პარკუჭოვანი არითმიების, მათ შორის პარკუჭოვანი ტაქიკარდიის (torsade de pointes) შემთხვევები დაფიქსირ</w:t>
      </w:r>
      <w:r w:rsidR="00077834" w:rsidRPr="00D66DA1">
        <w:rPr>
          <w:rFonts w:ascii="Sylfaen" w:hAnsi="Sylfaen" w:cs="Sylfaen"/>
          <w:bCs/>
          <w:noProof/>
          <w:sz w:val="24"/>
          <w:szCs w:val="24"/>
          <w:lang w:val="ka-GE"/>
        </w:rPr>
        <w:t>და</w:t>
      </w:r>
      <w:r w:rsidRPr="00D66DA1">
        <w:rPr>
          <w:rFonts w:ascii="Sylfaen" w:hAnsi="Sylfaen" w:cs="Sylfaen"/>
          <w:bCs/>
          <w:noProof/>
          <w:sz w:val="24"/>
          <w:szCs w:val="24"/>
          <w:lang w:val="ka-GE"/>
        </w:rPr>
        <w:t xml:space="preserve"> პოსტ-მარკეტინგულ პერიოდში, </w:t>
      </w:r>
      <w:r w:rsidR="00077834" w:rsidRPr="00D66DA1">
        <w:rPr>
          <w:rFonts w:ascii="Sylfaen" w:hAnsi="Sylfaen" w:cs="Sylfaen"/>
          <w:bCs/>
          <w:noProof/>
          <w:sz w:val="24"/>
          <w:szCs w:val="24"/>
          <w:lang w:val="ka-GE"/>
        </w:rPr>
        <w:t>ძირითადად</w:t>
      </w:r>
      <w:r w:rsidRPr="00D66DA1">
        <w:rPr>
          <w:rFonts w:ascii="Sylfaen" w:hAnsi="Sylfaen" w:cs="Sylfaen"/>
          <w:bCs/>
          <w:noProof/>
          <w:sz w:val="24"/>
          <w:szCs w:val="24"/>
          <w:lang w:val="ka-GE"/>
        </w:rPr>
        <w:t xml:space="preserve"> ქალებში, ჰიპოკალიემიით, ან უკვე არსებული </w:t>
      </w:r>
      <w:r w:rsidR="00077834" w:rsidRPr="00D66DA1">
        <w:rPr>
          <w:rFonts w:ascii="Sylfaen" w:hAnsi="Sylfaen" w:cs="Sylfaen"/>
          <w:bCs/>
          <w:noProof/>
          <w:sz w:val="24"/>
          <w:szCs w:val="24"/>
          <w:lang w:val="ka-GE"/>
        </w:rPr>
        <w:t>გახანგრძლივებული</w:t>
      </w:r>
      <w:r w:rsidR="00077834" w:rsidRPr="00D66DA1">
        <w:rPr>
          <w:rFonts w:ascii="Sylfaen" w:hAnsi="Sylfaen" w:cs="Sylfaen"/>
          <w:bCs/>
          <w:i/>
          <w:iCs/>
          <w:noProof/>
          <w:sz w:val="24"/>
          <w:szCs w:val="24"/>
          <w:lang w:val="ka-GE"/>
        </w:rPr>
        <w:t xml:space="preserve"> </w:t>
      </w:r>
      <w:r w:rsidRPr="00D66DA1">
        <w:rPr>
          <w:rFonts w:ascii="Sylfaen" w:hAnsi="Sylfaen" w:cs="Sylfaen"/>
          <w:bCs/>
          <w:noProof/>
          <w:sz w:val="24"/>
          <w:szCs w:val="24"/>
          <w:lang w:val="ka-GE"/>
        </w:rPr>
        <w:t>QT  ინტერვალი</w:t>
      </w:r>
      <w:r w:rsidR="00077834" w:rsidRPr="00D66DA1">
        <w:rPr>
          <w:rFonts w:ascii="Sylfaen" w:hAnsi="Sylfaen" w:cs="Sylfaen"/>
          <w:bCs/>
          <w:noProof/>
          <w:sz w:val="24"/>
          <w:szCs w:val="24"/>
          <w:lang w:val="ka-GE"/>
        </w:rPr>
        <w:t>თ</w:t>
      </w:r>
      <w:r w:rsidRPr="00D66DA1">
        <w:rPr>
          <w:rFonts w:ascii="Sylfaen" w:hAnsi="Sylfaen" w:cs="Sylfaen"/>
          <w:bCs/>
          <w:noProof/>
          <w:sz w:val="24"/>
          <w:szCs w:val="24"/>
          <w:lang w:val="ka-GE"/>
        </w:rPr>
        <w:t xml:space="preserve"> ან სხვა გულის დაავადებებით ანამნეზში (იხილეთ </w:t>
      </w:r>
      <w:r w:rsidR="00077834" w:rsidRPr="00D66DA1">
        <w:rPr>
          <w:rFonts w:ascii="Sylfaen" w:hAnsi="Sylfaen" w:cs="Sylfaen"/>
          <w:bCs/>
          <w:noProof/>
          <w:sz w:val="24"/>
          <w:szCs w:val="24"/>
          <w:lang w:val="ka-GE"/>
        </w:rPr>
        <w:t>პუნქტები 4.3, 4.5, 4.8, 4.9 და 5.1).</w:t>
      </w:r>
    </w:p>
    <w:p w14:paraId="074C869F" w14:textId="195B1E0C" w:rsidR="00766D9C" w:rsidRPr="00D66DA1" w:rsidRDefault="00766D9C"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სიფრთხილის გამოჩენაა აუცილებელი პაციენტებში, რომლებსაც აღენიშნებათ ბრადიკარდია, მწვავე მიოკარდიუმის ინფარქტი, ან დეკომპენსირებული გულის უკმარისობა.</w:t>
      </w:r>
    </w:p>
    <w:p w14:paraId="1DD5480C" w14:textId="7D3CFF50" w:rsidR="00766D9C" w:rsidRPr="00D66DA1" w:rsidRDefault="00766D9C"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ელექტროლიტური დარღვევები, როგორიცაა ჰიპოკალიემია და ჰიპომაგნიემია, ზრდის ავთვისებიანი არითმიების განვითარების რისკს  და უნდა გამოსწორდეს ესციტალოპრამით მკურნალობის დაწყებამდე.</w:t>
      </w:r>
    </w:p>
    <w:p w14:paraId="1A39B660" w14:textId="7E3C23C4" w:rsidR="00766D9C" w:rsidRPr="00D66DA1" w:rsidRDefault="00766D9C"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გულის ქრონიკული დაავადებების მქონე პაციენტების შემთხვევაში  მკურნალობის დაწყებამდე უნდა მოხდეს ეკგ მონაცემების განხილვა.</w:t>
      </w:r>
    </w:p>
    <w:p w14:paraId="7281D3D1" w14:textId="0F97522C" w:rsidR="00766D9C" w:rsidRPr="00D66DA1" w:rsidRDefault="00766D9C"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 xml:space="preserve">თუ ესციტალოპრამით მკურნალობის პროცესში დაფიქსირდა გულის არითმია, უნდა </w:t>
      </w:r>
      <w:r w:rsidR="001F2CCD" w:rsidRPr="00D66DA1">
        <w:rPr>
          <w:rFonts w:ascii="Sylfaen" w:hAnsi="Sylfaen" w:cs="Sylfaen"/>
          <w:bCs/>
          <w:noProof/>
          <w:sz w:val="24"/>
          <w:szCs w:val="24"/>
          <w:lang w:val="ka-GE"/>
        </w:rPr>
        <w:t>შეწყდეს</w:t>
      </w:r>
      <w:r w:rsidRPr="00D66DA1">
        <w:rPr>
          <w:rFonts w:ascii="Sylfaen" w:hAnsi="Sylfaen" w:cs="Sylfaen"/>
          <w:bCs/>
          <w:noProof/>
          <w:sz w:val="24"/>
          <w:szCs w:val="24"/>
          <w:lang w:val="ka-GE"/>
        </w:rPr>
        <w:t xml:space="preserve"> მკურნალობ</w:t>
      </w:r>
      <w:r w:rsidR="001F2CCD" w:rsidRPr="00D66DA1">
        <w:rPr>
          <w:rFonts w:ascii="Sylfaen" w:hAnsi="Sylfaen" w:cs="Sylfaen"/>
          <w:bCs/>
          <w:noProof/>
          <w:sz w:val="24"/>
          <w:szCs w:val="24"/>
          <w:lang w:val="ka-GE"/>
        </w:rPr>
        <w:t>ა</w:t>
      </w:r>
      <w:r w:rsidRPr="00D66DA1">
        <w:rPr>
          <w:rFonts w:ascii="Sylfaen" w:hAnsi="Sylfaen" w:cs="Sylfaen"/>
          <w:bCs/>
          <w:noProof/>
          <w:sz w:val="24"/>
          <w:szCs w:val="24"/>
          <w:lang w:val="ka-GE"/>
        </w:rPr>
        <w:t xml:space="preserve"> და დაინიშნოს ეკგ კვლევა.</w:t>
      </w:r>
    </w:p>
    <w:p w14:paraId="7FB063EE" w14:textId="0EEF2E20" w:rsidR="00305374" w:rsidRPr="00D66DA1" w:rsidRDefault="00305374" w:rsidP="00280B65">
      <w:pPr>
        <w:spacing w:after="0" w:line="360" w:lineRule="auto"/>
        <w:ind w:left="-810" w:right="-211"/>
        <w:jc w:val="both"/>
        <w:rPr>
          <w:rFonts w:ascii="Sylfaen" w:hAnsi="Sylfaen" w:cs="Sylfaen"/>
          <w:bCs/>
          <w:noProof/>
          <w:sz w:val="24"/>
          <w:szCs w:val="24"/>
          <w:u w:val="single"/>
          <w:lang w:val="ka-GE"/>
        </w:rPr>
      </w:pPr>
      <w:r w:rsidRPr="00D66DA1">
        <w:rPr>
          <w:rFonts w:ascii="Sylfaen" w:hAnsi="Sylfaen" w:cs="Sylfaen"/>
          <w:bCs/>
          <w:noProof/>
          <w:sz w:val="24"/>
          <w:szCs w:val="24"/>
          <w:u w:val="single"/>
          <w:lang w:val="ka-GE"/>
        </w:rPr>
        <w:t>დახურულკუთხოვანი გლაუკომა</w:t>
      </w:r>
    </w:p>
    <w:p w14:paraId="609CCB92" w14:textId="77777777" w:rsidR="00F9595A" w:rsidRPr="00D66DA1" w:rsidRDefault="00305374"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SSRI</w:t>
      </w:r>
      <w:r w:rsidR="008300A1" w:rsidRPr="00D66DA1">
        <w:rPr>
          <w:rFonts w:ascii="Sylfaen" w:hAnsi="Sylfaen" w:cs="Sylfaen"/>
          <w:bCs/>
          <w:noProof/>
          <w:sz w:val="24"/>
          <w:szCs w:val="24"/>
          <w:lang w:val="ka-GE"/>
        </w:rPr>
        <w:t>-ებმა</w:t>
      </w:r>
      <w:r w:rsidRPr="00D66DA1">
        <w:rPr>
          <w:rFonts w:ascii="Sylfaen" w:hAnsi="Sylfaen" w:cs="Sylfaen"/>
          <w:bCs/>
          <w:noProof/>
          <w:sz w:val="24"/>
          <w:szCs w:val="24"/>
          <w:lang w:val="ka-GE"/>
        </w:rPr>
        <w:t>, მათ შორის ესციტალოპრამმა</w:t>
      </w:r>
      <w:r w:rsidR="008300A1" w:rsidRPr="00D66DA1">
        <w:rPr>
          <w:rFonts w:ascii="Sylfaen" w:hAnsi="Sylfaen" w:cs="Sylfaen"/>
          <w:bCs/>
          <w:noProof/>
          <w:sz w:val="24"/>
          <w:szCs w:val="24"/>
          <w:lang w:val="ka-GE"/>
        </w:rPr>
        <w:t>,</w:t>
      </w:r>
      <w:r w:rsidRPr="00D66DA1">
        <w:rPr>
          <w:rFonts w:ascii="Sylfaen" w:hAnsi="Sylfaen" w:cs="Sylfaen"/>
          <w:bCs/>
          <w:noProof/>
          <w:sz w:val="24"/>
          <w:szCs w:val="24"/>
          <w:lang w:val="ka-GE"/>
        </w:rPr>
        <w:t xml:space="preserve"> შეიძლება გავლენა </w:t>
      </w:r>
      <w:r w:rsidR="008300A1" w:rsidRPr="00D66DA1">
        <w:rPr>
          <w:rFonts w:ascii="Sylfaen" w:hAnsi="Sylfaen" w:cs="Sylfaen"/>
          <w:bCs/>
          <w:noProof/>
          <w:sz w:val="24"/>
          <w:szCs w:val="24"/>
          <w:lang w:val="ka-GE"/>
        </w:rPr>
        <w:t>იქონიოს</w:t>
      </w:r>
      <w:r w:rsidRPr="00D66DA1">
        <w:rPr>
          <w:rFonts w:ascii="Sylfaen" w:hAnsi="Sylfaen" w:cs="Sylfaen"/>
          <w:bCs/>
          <w:noProof/>
          <w:sz w:val="24"/>
          <w:szCs w:val="24"/>
          <w:lang w:val="ka-GE"/>
        </w:rPr>
        <w:t xml:space="preserve"> გუგის ზომაზე</w:t>
      </w:r>
      <w:r w:rsidR="008300A1" w:rsidRPr="00D66DA1">
        <w:rPr>
          <w:rFonts w:ascii="Sylfaen" w:hAnsi="Sylfaen" w:cs="Sylfaen"/>
          <w:bCs/>
          <w:noProof/>
          <w:sz w:val="24"/>
          <w:szCs w:val="24"/>
          <w:lang w:val="ka-GE"/>
        </w:rPr>
        <w:t xml:space="preserve"> და გამოიწვიოს</w:t>
      </w:r>
      <w:r w:rsidRPr="00D66DA1">
        <w:rPr>
          <w:rFonts w:ascii="Sylfaen" w:hAnsi="Sylfaen" w:cs="Sylfaen"/>
          <w:bCs/>
          <w:noProof/>
          <w:sz w:val="24"/>
          <w:szCs w:val="24"/>
          <w:lang w:val="ka-GE"/>
        </w:rPr>
        <w:t xml:space="preserve"> </w:t>
      </w:r>
      <w:r w:rsidR="008300A1" w:rsidRPr="00D66DA1">
        <w:rPr>
          <w:rFonts w:ascii="Sylfaen" w:hAnsi="Sylfaen" w:cs="Sylfaen"/>
          <w:bCs/>
          <w:noProof/>
          <w:sz w:val="24"/>
          <w:szCs w:val="24"/>
          <w:lang w:val="ka-GE"/>
        </w:rPr>
        <w:t>მიდრიაზი</w:t>
      </w:r>
      <w:r w:rsidRPr="00D66DA1">
        <w:rPr>
          <w:rFonts w:ascii="Sylfaen" w:hAnsi="Sylfaen" w:cs="Sylfaen"/>
          <w:bCs/>
          <w:noProof/>
          <w:sz w:val="24"/>
          <w:szCs w:val="24"/>
          <w:lang w:val="ka-GE"/>
        </w:rPr>
        <w:t xml:space="preserve">. გუგის გაფართოებას აქვს პოტენციალი გამოიწვიოს </w:t>
      </w:r>
      <w:r w:rsidR="00F9595A" w:rsidRPr="00D66DA1">
        <w:rPr>
          <w:rFonts w:ascii="Sylfaen" w:hAnsi="Sylfaen" w:cs="Sylfaen"/>
          <w:bCs/>
          <w:noProof/>
          <w:sz w:val="24"/>
          <w:szCs w:val="24"/>
          <w:lang w:val="ka-GE"/>
        </w:rPr>
        <w:t xml:space="preserve">თვალის </w:t>
      </w:r>
      <w:r w:rsidRPr="00D66DA1">
        <w:rPr>
          <w:rFonts w:ascii="Sylfaen" w:hAnsi="Sylfaen" w:cs="Sylfaen"/>
          <w:bCs/>
          <w:noProof/>
          <w:sz w:val="24"/>
          <w:szCs w:val="24"/>
          <w:lang w:val="ka-GE"/>
        </w:rPr>
        <w:t xml:space="preserve">კუთხის შევიწროვება, რაც, თავის მხრივ, იწვევს თვალისშიდა წნევის </w:t>
      </w:r>
      <w:r w:rsidR="00F9595A" w:rsidRPr="00D66DA1">
        <w:rPr>
          <w:rFonts w:ascii="Sylfaen" w:hAnsi="Sylfaen" w:cs="Sylfaen"/>
          <w:bCs/>
          <w:noProof/>
          <w:sz w:val="24"/>
          <w:szCs w:val="24"/>
          <w:lang w:val="ka-GE"/>
        </w:rPr>
        <w:t xml:space="preserve">მომატებას </w:t>
      </w:r>
      <w:r w:rsidRPr="00D66DA1">
        <w:rPr>
          <w:rFonts w:ascii="Sylfaen" w:hAnsi="Sylfaen" w:cs="Sylfaen"/>
          <w:bCs/>
          <w:noProof/>
          <w:sz w:val="24"/>
          <w:szCs w:val="24"/>
          <w:lang w:val="ka-GE"/>
        </w:rPr>
        <w:t xml:space="preserve">და  დახურულკუთხოვან გლაუკომას, განსაკუთრებით წინასწარგანწყობილ პაციენტებში. </w:t>
      </w:r>
      <w:r w:rsidR="00F9595A" w:rsidRPr="00D66DA1">
        <w:rPr>
          <w:rFonts w:ascii="Sylfaen" w:hAnsi="Sylfaen" w:cs="Sylfaen"/>
          <w:bCs/>
          <w:noProof/>
          <w:sz w:val="24"/>
          <w:szCs w:val="24"/>
          <w:lang w:val="ka-GE"/>
        </w:rPr>
        <w:t>ამიტომ</w:t>
      </w:r>
      <w:r w:rsidRPr="00D66DA1">
        <w:rPr>
          <w:rFonts w:ascii="Sylfaen" w:hAnsi="Sylfaen" w:cs="Sylfaen"/>
          <w:bCs/>
          <w:noProof/>
          <w:sz w:val="24"/>
          <w:szCs w:val="24"/>
          <w:lang w:val="ka-GE"/>
        </w:rPr>
        <w:t>, ესციტალოპრამი სიფრთხილით უნდა იქ</w:t>
      </w:r>
      <w:r w:rsidR="00F9595A" w:rsidRPr="00D66DA1">
        <w:rPr>
          <w:rFonts w:ascii="Sylfaen" w:hAnsi="Sylfaen" w:cs="Sylfaen"/>
          <w:bCs/>
          <w:noProof/>
          <w:sz w:val="24"/>
          <w:szCs w:val="24"/>
          <w:lang w:val="ka-GE"/>
        </w:rPr>
        <w:t>ნ</w:t>
      </w:r>
      <w:r w:rsidRPr="00D66DA1">
        <w:rPr>
          <w:rFonts w:ascii="Sylfaen" w:hAnsi="Sylfaen" w:cs="Sylfaen"/>
          <w:bCs/>
          <w:noProof/>
          <w:sz w:val="24"/>
          <w:szCs w:val="24"/>
          <w:lang w:val="ka-GE"/>
        </w:rPr>
        <w:t>ას გამოყენებული ანამნეზში დახურულკუთხოვანი გლაუკომის ან გლაუკომის მქონე პაციენტებში.</w:t>
      </w:r>
    </w:p>
    <w:p w14:paraId="68C9B8A4" w14:textId="1BB36DA8" w:rsidR="00F9595A" w:rsidRPr="00D66DA1" w:rsidRDefault="00F9595A" w:rsidP="00280B65">
      <w:pPr>
        <w:pStyle w:val="ListParagraph"/>
        <w:numPr>
          <w:ilvl w:val="1"/>
          <w:numId w:val="11"/>
        </w:numPr>
        <w:spacing w:after="0" w:line="360" w:lineRule="auto"/>
        <w:ind w:right="-211"/>
        <w:jc w:val="both"/>
        <w:rPr>
          <w:rFonts w:ascii="Sylfaen" w:hAnsi="Sylfaen" w:cs="Sylfaen"/>
          <w:bCs/>
          <w:noProof/>
          <w:sz w:val="24"/>
          <w:szCs w:val="24"/>
          <w:lang w:val="ka-GE"/>
        </w:rPr>
      </w:pPr>
      <w:r w:rsidRPr="00D66DA1">
        <w:rPr>
          <w:rFonts w:ascii="Sylfaen" w:hAnsi="Sylfaen" w:cs="Sylfaen"/>
          <w:b/>
          <w:bCs/>
          <w:noProof/>
          <w:sz w:val="24"/>
          <w:szCs w:val="24"/>
          <w:lang w:val="ka-GE"/>
        </w:rPr>
        <w:t>ურთიერთქმედება სხვა სამკურნალო საშუალებებთან და ურთიერთქმედების სხვა ფორმები</w:t>
      </w:r>
    </w:p>
    <w:p w14:paraId="5F841295" w14:textId="7084173F" w:rsidR="00F9595A" w:rsidRPr="00D66DA1" w:rsidRDefault="00F9595A" w:rsidP="00280B65">
      <w:pPr>
        <w:spacing w:after="0" w:line="360" w:lineRule="auto"/>
        <w:ind w:left="-810" w:right="-211"/>
        <w:jc w:val="both"/>
        <w:rPr>
          <w:rFonts w:ascii="Sylfaen" w:hAnsi="Sylfaen" w:cs="Sylfaen"/>
          <w:b/>
          <w:noProof/>
          <w:sz w:val="24"/>
          <w:szCs w:val="24"/>
          <w:lang w:val="ka-GE"/>
        </w:rPr>
      </w:pPr>
      <w:r w:rsidRPr="00D66DA1">
        <w:rPr>
          <w:rFonts w:ascii="Sylfaen" w:hAnsi="Sylfaen" w:cs="Sylfaen"/>
          <w:b/>
          <w:noProof/>
          <w:sz w:val="24"/>
          <w:szCs w:val="24"/>
          <w:lang w:val="ka-GE"/>
        </w:rPr>
        <w:t>ფარმაკოდინამიკური ურთიერთქმედება</w:t>
      </w:r>
    </w:p>
    <w:p w14:paraId="167CAFC5" w14:textId="209C2D4C" w:rsidR="00F9595A" w:rsidRPr="00D66DA1" w:rsidRDefault="00F9595A" w:rsidP="00280B65">
      <w:pPr>
        <w:spacing w:after="0" w:line="360" w:lineRule="auto"/>
        <w:ind w:left="-810" w:right="-211"/>
        <w:jc w:val="both"/>
        <w:rPr>
          <w:rFonts w:ascii="Sylfaen" w:hAnsi="Sylfaen" w:cs="Sylfaen"/>
          <w:b/>
          <w:i/>
          <w:iCs/>
          <w:noProof/>
          <w:sz w:val="24"/>
          <w:szCs w:val="24"/>
          <w:lang w:val="ka-GE"/>
        </w:rPr>
      </w:pPr>
      <w:r w:rsidRPr="00D66DA1">
        <w:rPr>
          <w:rFonts w:ascii="Sylfaen" w:hAnsi="Sylfaen" w:cs="Sylfaen"/>
          <w:b/>
          <w:i/>
          <w:iCs/>
          <w:noProof/>
          <w:sz w:val="24"/>
          <w:szCs w:val="24"/>
          <w:lang w:val="ka-GE"/>
        </w:rPr>
        <w:t>უკუნაჩვენები კომბინაციები:</w:t>
      </w:r>
    </w:p>
    <w:p w14:paraId="5A6C2B7D" w14:textId="6EBFCD23" w:rsidR="00270E19" w:rsidRPr="00D66DA1" w:rsidRDefault="00EB25FF"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 xml:space="preserve">არაშერჩევითი </w:t>
      </w:r>
      <w:r w:rsidR="004A4CB5" w:rsidRPr="00D66DA1">
        <w:rPr>
          <w:rFonts w:ascii="Sylfaen" w:hAnsi="Sylfaen" w:cs="Sylfaen"/>
          <w:bCs/>
          <w:i/>
          <w:iCs/>
          <w:noProof/>
          <w:sz w:val="24"/>
          <w:szCs w:val="24"/>
          <w:lang w:val="ka-GE"/>
        </w:rPr>
        <w:t xml:space="preserve">შეუქცევადი </w:t>
      </w:r>
      <w:r w:rsidR="001E1DC9" w:rsidRPr="00D66DA1">
        <w:rPr>
          <w:rFonts w:ascii="Sylfaen" w:hAnsi="Sylfaen" w:cs="Sylfaen"/>
          <w:bCs/>
          <w:i/>
          <w:iCs/>
          <w:noProof/>
          <w:sz w:val="24"/>
          <w:szCs w:val="24"/>
          <w:lang w:val="ka-GE"/>
        </w:rPr>
        <w:t xml:space="preserve">მაო-ს </w:t>
      </w:r>
      <w:r w:rsidRPr="00D66DA1">
        <w:rPr>
          <w:rFonts w:ascii="Sylfaen" w:hAnsi="Sylfaen" w:cs="Sylfaen"/>
          <w:bCs/>
          <w:i/>
          <w:iCs/>
          <w:noProof/>
          <w:sz w:val="24"/>
          <w:szCs w:val="24"/>
          <w:lang w:val="ka-GE"/>
        </w:rPr>
        <w:t>ინჰიბიტორები</w:t>
      </w:r>
    </w:p>
    <w:p w14:paraId="0F9A9B28" w14:textId="6A424315" w:rsidR="00387F8A" w:rsidRPr="00D66DA1" w:rsidRDefault="00EB25FF"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 xml:space="preserve">სერიოზული რეაქციები აღინიშნა იმ პაციენტებში, რომლებიც SSRI-ს იღებდნენ არაშერჩევითი შეუქცევადი </w:t>
      </w:r>
      <w:r w:rsidR="001E1DC9" w:rsidRPr="00D66DA1">
        <w:rPr>
          <w:rFonts w:ascii="Sylfaen" w:hAnsi="Sylfaen" w:cs="Sylfaen"/>
          <w:bCs/>
          <w:noProof/>
          <w:sz w:val="24"/>
          <w:szCs w:val="24"/>
          <w:lang w:val="ka-GE"/>
        </w:rPr>
        <w:t xml:space="preserve">მონოამინოოქსიდაზას (მაო-ს) </w:t>
      </w:r>
      <w:r w:rsidRPr="00D66DA1">
        <w:rPr>
          <w:rFonts w:ascii="Sylfaen" w:hAnsi="Sylfaen" w:cs="Sylfaen"/>
          <w:bCs/>
          <w:noProof/>
          <w:sz w:val="24"/>
          <w:szCs w:val="24"/>
          <w:lang w:val="ka-GE"/>
        </w:rPr>
        <w:t xml:space="preserve">ინჰიბიტორთან კომბინაციაში და იმ პაციენტებში, რომლებმაც ცოტა ხნის წინ შეწყვიტეს SSRI-ით მკურნალობა და დაიწყეს თერაპია </w:t>
      </w:r>
      <w:r w:rsidR="001E1DC9" w:rsidRPr="00D66DA1">
        <w:rPr>
          <w:rFonts w:ascii="Sylfaen" w:hAnsi="Sylfaen" w:cs="Sylfaen"/>
          <w:bCs/>
          <w:noProof/>
          <w:sz w:val="24"/>
          <w:szCs w:val="24"/>
          <w:lang w:val="ka-GE"/>
        </w:rPr>
        <w:t xml:space="preserve">მაო-ს ინჰიბიტორის </w:t>
      </w:r>
      <w:r w:rsidRPr="00D66DA1">
        <w:rPr>
          <w:rFonts w:ascii="Sylfaen" w:hAnsi="Sylfaen" w:cs="Sylfaen"/>
          <w:bCs/>
          <w:noProof/>
          <w:sz w:val="24"/>
          <w:szCs w:val="24"/>
          <w:lang w:val="ka-GE"/>
        </w:rPr>
        <w:t>გამოყენებით (იხ. პუნქტი 4.3). ზოგ შემთხვევაში, პაციენტს განუვითარდა სეროტონინის სინდრომი (იხ. პუნქტი 4.8).</w:t>
      </w:r>
    </w:p>
    <w:p w14:paraId="3C8C3B58" w14:textId="77777777" w:rsidR="00EC2A3C" w:rsidRPr="00D66DA1" w:rsidRDefault="004A4CB5"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lastRenderedPageBreak/>
        <w:t>ესციტალოპრამი</w:t>
      </w:r>
      <w:r w:rsidR="00EC2A3C" w:rsidRPr="00D66DA1">
        <w:rPr>
          <w:rFonts w:ascii="Sylfaen" w:hAnsi="Sylfaen" w:cs="Sylfaen"/>
          <w:bCs/>
          <w:noProof/>
          <w:sz w:val="24"/>
          <w:szCs w:val="24"/>
          <w:lang w:val="ka-GE"/>
        </w:rPr>
        <w:t>ს გამოყენება</w:t>
      </w:r>
      <w:r w:rsidRPr="00D66DA1">
        <w:rPr>
          <w:rFonts w:ascii="Sylfaen" w:hAnsi="Sylfaen" w:cs="Sylfaen"/>
          <w:bCs/>
          <w:noProof/>
          <w:sz w:val="24"/>
          <w:szCs w:val="24"/>
          <w:lang w:val="ka-GE"/>
        </w:rPr>
        <w:t xml:space="preserve"> უკუნაჩვენებია არაშერჩევით შეუქცევად </w:t>
      </w:r>
      <w:r w:rsidR="001E1DC9" w:rsidRPr="00D66DA1">
        <w:rPr>
          <w:rFonts w:ascii="Sylfaen" w:hAnsi="Sylfaen" w:cs="Sylfaen"/>
          <w:bCs/>
          <w:noProof/>
          <w:sz w:val="24"/>
          <w:szCs w:val="24"/>
          <w:lang w:val="ka-GE"/>
        </w:rPr>
        <w:t xml:space="preserve">მაო-ს </w:t>
      </w:r>
      <w:r w:rsidRPr="00D66DA1">
        <w:rPr>
          <w:rFonts w:ascii="Sylfaen" w:hAnsi="Sylfaen" w:cs="Sylfaen"/>
          <w:bCs/>
          <w:noProof/>
          <w:sz w:val="24"/>
          <w:szCs w:val="24"/>
          <w:lang w:val="ka-GE"/>
        </w:rPr>
        <w:t xml:space="preserve">ინჰიბიტორებთან კომბინაციაში. </w:t>
      </w:r>
    </w:p>
    <w:p w14:paraId="07ED920C" w14:textId="2BA38E06" w:rsidR="004A4CB5" w:rsidRPr="00D66DA1" w:rsidRDefault="004A4CB5"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 xml:space="preserve">ესციტალოპრამის მიღება შეიძლება დაიწყოს შეუქცევადი </w:t>
      </w:r>
      <w:r w:rsidR="001E1DC9" w:rsidRPr="00D66DA1">
        <w:rPr>
          <w:rFonts w:ascii="Sylfaen" w:hAnsi="Sylfaen" w:cs="Sylfaen"/>
          <w:bCs/>
          <w:noProof/>
          <w:sz w:val="24"/>
          <w:szCs w:val="24"/>
          <w:lang w:val="ka-GE"/>
        </w:rPr>
        <w:t xml:space="preserve">მაო-ს </w:t>
      </w:r>
      <w:r w:rsidRPr="00D66DA1">
        <w:rPr>
          <w:rFonts w:ascii="Sylfaen" w:hAnsi="Sylfaen" w:cs="Sylfaen"/>
          <w:bCs/>
          <w:noProof/>
          <w:sz w:val="24"/>
          <w:szCs w:val="24"/>
          <w:lang w:val="ka-GE"/>
        </w:rPr>
        <w:t xml:space="preserve">ინჰიბიტორებით მკურნალობის შეწყვეტიდან 14 დღის შემდეგ, ხოლო არაშერჩევითი შეუქცევადი </w:t>
      </w:r>
      <w:r w:rsidR="001E1DC9" w:rsidRPr="00D66DA1">
        <w:rPr>
          <w:rFonts w:ascii="Sylfaen" w:hAnsi="Sylfaen" w:cs="Sylfaen"/>
          <w:bCs/>
          <w:noProof/>
          <w:sz w:val="24"/>
          <w:szCs w:val="24"/>
          <w:lang w:val="ka-GE"/>
        </w:rPr>
        <w:t xml:space="preserve">მაო-ს </w:t>
      </w:r>
      <w:r w:rsidRPr="00D66DA1">
        <w:rPr>
          <w:rFonts w:ascii="Sylfaen" w:hAnsi="Sylfaen" w:cs="Sylfaen"/>
          <w:bCs/>
          <w:noProof/>
          <w:sz w:val="24"/>
          <w:szCs w:val="24"/>
          <w:lang w:val="ka-GE"/>
        </w:rPr>
        <w:t>ინჰიბიტორებით  მკურნალობის დაწყება შეიძლება ესციტალოპრამის მიღების შეწყვეტიდან მინიმუმ 7 დღის შემდეგ.</w:t>
      </w:r>
    </w:p>
    <w:p w14:paraId="40089A05" w14:textId="15D56348" w:rsidR="004A4CB5" w:rsidRPr="00D66DA1" w:rsidRDefault="004A4CB5"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 xml:space="preserve">შექცევადი შერჩევითი </w:t>
      </w:r>
      <w:r w:rsidR="00132771" w:rsidRPr="00D66DA1">
        <w:rPr>
          <w:rFonts w:ascii="Sylfaen" w:hAnsi="Sylfaen" w:cs="Sylfaen"/>
          <w:bCs/>
          <w:i/>
          <w:iCs/>
          <w:noProof/>
          <w:sz w:val="24"/>
          <w:szCs w:val="24"/>
          <w:lang w:val="ka-GE"/>
        </w:rPr>
        <w:t>მაო</w:t>
      </w:r>
      <w:r w:rsidRPr="00D66DA1">
        <w:rPr>
          <w:rFonts w:ascii="Sylfaen" w:hAnsi="Sylfaen" w:cs="Sylfaen"/>
          <w:bCs/>
          <w:i/>
          <w:iCs/>
          <w:noProof/>
          <w:sz w:val="24"/>
          <w:szCs w:val="24"/>
          <w:lang w:val="ka-GE"/>
        </w:rPr>
        <w:t xml:space="preserve"> -A</w:t>
      </w:r>
      <w:r w:rsidR="00132771" w:rsidRPr="00D66DA1">
        <w:rPr>
          <w:rFonts w:ascii="Sylfaen" w:hAnsi="Sylfaen" w:cs="Sylfaen"/>
          <w:bCs/>
          <w:i/>
          <w:iCs/>
          <w:noProof/>
          <w:sz w:val="24"/>
          <w:szCs w:val="24"/>
          <w:lang w:val="ka-GE"/>
        </w:rPr>
        <w:t xml:space="preserve">-ს </w:t>
      </w:r>
      <w:r w:rsidRPr="00D66DA1">
        <w:rPr>
          <w:rFonts w:ascii="Sylfaen" w:hAnsi="Sylfaen" w:cs="Sylfaen"/>
          <w:bCs/>
          <w:i/>
          <w:iCs/>
          <w:noProof/>
          <w:sz w:val="24"/>
          <w:szCs w:val="24"/>
          <w:lang w:val="ka-GE"/>
        </w:rPr>
        <w:t>ინჰიბიტორი (მოკლობემიდი)</w:t>
      </w:r>
    </w:p>
    <w:p w14:paraId="2437A81D" w14:textId="08F9EC4B" w:rsidR="004A4CB5" w:rsidRPr="00D66DA1" w:rsidRDefault="004A4CB5"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 xml:space="preserve">სეროტონინის სინდრომის განვითარების რისკის გამო, ესციტალოპრტამის კომბინაცია </w:t>
      </w:r>
      <w:r w:rsidR="00EC2A3C" w:rsidRPr="00D66DA1">
        <w:rPr>
          <w:rFonts w:ascii="Sylfaen" w:hAnsi="Sylfaen" w:cs="Sylfaen"/>
          <w:bCs/>
          <w:noProof/>
          <w:sz w:val="24"/>
          <w:szCs w:val="24"/>
          <w:lang w:val="ka-GE"/>
        </w:rPr>
        <w:t>მაო</w:t>
      </w:r>
      <w:r w:rsidR="00B07711" w:rsidRPr="00D66DA1">
        <w:rPr>
          <w:rFonts w:ascii="Sylfaen" w:hAnsi="Sylfaen" w:cs="Sylfaen"/>
          <w:bCs/>
          <w:noProof/>
          <w:sz w:val="24"/>
          <w:szCs w:val="24"/>
          <w:lang w:val="ka-GE"/>
        </w:rPr>
        <w:t xml:space="preserve"> -A</w:t>
      </w:r>
      <w:r w:rsidRPr="00D66DA1">
        <w:rPr>
          <w:rFonts w:ascii="Sylfaen" w:hAnsi="Sylfaen" w:cs="Sylfaen"/>
          <w:bCs/>
          <w:noProof/>
          <w:sz w:val="24"/>
          <w:szCs w:val="24"/>
          <w:lang w:val="ka-GE"/>
        </w:rPr>
        <w:t xml:space="preserve"> ინჰიბიტორთან უკუნაჩვენებია (იხ. </w:t>
      </w:r>
      <w:r w:rsidR="00B07711" w:rsidRPr="00D66DA1">
        <w:rPr>
          <w:rFonts w:ascii="Sylfaen" w:hAnsi="Sylfaen" w:cs="Sylfaen"/>
          <w:bCs/>
          <w:noProof/>
          <w:sz w:val="24"/>
          <w:szCs w:val="24"/>
          <w:lang w:val="ka-GE"/>
        </w:rPr>
        <w:t>პუნქტი 4.3</w:t>
      </w:r>
      <w:r w:rsidRPr="00D66DA1">
        <w:rPr>
          <w:rFonts w:ascii="Sylfaen" w:hAnsi="Sylfaen" w:cs="Sylfaen"/>
          <w:bCs/>
          <w:noProof/>
          <w:sz w:val="24"/>
          <w:szCs w:val="24"/>
          <w:lang w:val="ka-GE"/>
        </w:rPr>
        <w:t>). თუ აუცილებელია ამგვარი კომბინაცია, მკურნალობა უნდა დაიწყოს მინიმალური რეკომენდებული დოზით და ამავე დროს უნდა გაძლიერდეს კლინიკური მონიტორინგი.</w:t>
      </w:r>
    </w:p>
    <w:p w14:paraId="5A567F81" w14:textId="08E39C64" w:rsidR="004A4CB5" w:rsidRPr="00D66DA1" w:rsidRDefault="004A4CB5"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შექცევადი არა</w:t>
      </w:r>
      <w:r w:rsidR="00B07711" w:rsidRPr="00D66DA1">
        <w:rPr>
          <w:rFonts w:ascii="Sylfaen" w:hAnsi="Sylfaen" w:cs="Sylfaen"/>
          <w:bCs/>
          <w:i/>
          <w:iCs/>
          <w:noProof/>
          <w:sz w:val="24"/>
          <w:szCs w:val="24"/>
          <w:lang w:val="ka-GE"/>
        </w:rPr>
        <w:t>შერჩევითი</w:t>
      </w:r>
      <w:r w:rsidRPr="00D66DA1">
        <w:rPr>
          <w:rFonts w:ascii="Sylfaen" w:hAnsi="Sylfaen" w:cs="Sylfaen"/>
          <w:bCs/>
          <w:i/>
          <w:iCs/>
          <w:noProof/>
          <w:sz w:val="24"/>
          <w:szCs w:val="24"/>
          <w:lang w:val="ka-GE"/>
        </w:rPr>
        <w:t xml:space="preserve"> </w:t>
      </w:r>
      <w:r w:rsidR="001E1DC9" w:rsidRPr="00D66DA1">
        <w:rPr>
          <w:rFonts w:ascii="Sylfaen" w:hAnsi="Sylfaen" w:cs="Sylfaen"/>
          <w:bCs/>
          <w:i/>
          <w:iCs/>
          <w:noProof/>
          <w:sz w:val="24"/>
          <w:szCs w:val="24"/>
          <w:lang w:val="ka-GE"/>
        </w:rPr>
        <w:t xml:space="preserve">მაო-ს </w:t>
      </w:r>
      <w:r w:rsidRPr="00D66DA1">
        <w:rPr>
          <w:rFonts w:ascii="Sylfaen" w:hAnsi="Sylfaen" w:cs="Sylfaen"/>
          <w:bCs/>
          <w:i/>
          <w:iCs/>
          <w:noProof/>
          <w:sz w:val="24"/>
          <w:szCs w:val="24"/>
          <w:lang w:val="ka-GE"/>
        </w:rPr>
        <w:t>ინჰიბიტორი (ლინეზოლიდი)</w:t>
      </w:r>
    </w:p>
    <w:p w14:paraId="5D3A9D0D" w14:textId="0AC25159" w:rsidR="00E75629" w:rsidRPr="00D66DA1" w:rsidRDefault="004A4CB5"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ანტიბიოტიკი ლინეზოლიდი არის შექცევადი არა</w:t>
      </w:r>
      <w:r w:rsidR="001E1DC9" w:rsidRPr="00D66DA1">
        <w:rPr>
          <w:rFonts w:ascii="Sylfaen" w:hAnsi="Sylfaen" w:cs="Sylfaen"/>
          <w:bCs/>
          <w:noProof/>
          <w:sz w:val="24"/>
          <w:szCs w:val="24"/>
          <w:lang w:val="ka-GE"/>
        </w:rPr>
        <w:t>შერჩევითი</w:t>
      </w:r>
      <w:r w:rsidRPr="00D66DA1">
        <w:rPr>
          <w:rFonts w:ascii="Sylfaen" w:hAnsi="Sylfaen" w:cs="Sylfaen"/>
          <w:bCs/>
          <w:noProof/>
          <w:sz w:val="24"/>
          <w:szCs w:val="24"/>
          <w:lang w:val="ka-GE"/>
        </w:rPr>
        <w:t xml:space="preserve"> მაო</w:t>
      </w:r>
      <w:r w:rsidR="001E1DC9" w:rsidRPr="00D66DA1">
        <w:rPr>
          <w:rFonts w:ascii="Sylfaen" w:hAnsi="Sylfaen" w:cs="Sylfaen"/>
          <w:bCs/>
          <w:noProof/>
          <w:sz w:val="24"/>
          <w:szCs w:val="24"/>
          <w:lang w:val="ka-GE"/>
        </w:rPr>
        <w:t>-ს</w:t>
      </w:r>
      <w:r w:rsidRPr="00D66DA1">
        <w:rPr>
          <w:rFonts w:ascii="Sylfaen" w:hAnsi="Sylfaen" w:cs="Sylfaen"/>
          <w:bCs/>
          <w:noProof/>
          <w:sz w:val="24"/>
          <w:szCs w:val="24"/>
          <w:lang w:val="ka-GE"/>
        </w:rPr>
        <w:t xml:space="preserve"> ინჰიბიტორი და მისი გამოყენება არ შეიძლება იმ პაციენტებში, რომლებიც მკურნალობენ ესციტალოპრამით. თუ აუცილებელია ამგვარი კომბინაცია, მკურნალობა უნდა დაიწყოს მინიმალური რეკომენდებული დოზით და ამავე დროს უნდა გაძლიერდეს კლინიკური მონიტორინგი</w:t>
      </w:r>
      <w:r w:rsidR="001E1DC9" w:rsidRPr="00D66DA1">
        <w:rPr>
          <w:rFonts w:ascii="Sylfaen" w:hAnsi="Sylfaen" w:cs="Sylfaen"/>
          <w:bCs/>
          <w:noProof/>
          <w:sz w:val="24"/>
          <w:szCs w:val="24"/>
          <w:lang w:val="ka-GE"/>
        </w:rPr>
        <w:t xml:space="preserve"> (იხ. პუნქტი 4.3).</w:t>
      </w:r>
    </w:p>
    <w:p w14:paraId="52B062F1" w14:textId="617138B0" w:rsidR="00690B0B" w:rsidRPr="00D66DA1" w:rsidRDefault="00690B0B"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 xml:space="preserve">შეუქცევადი, შერჩევითი </w:t>
      </w:r>
      <w:r w:rsidR="00132771" w:rsidRPr="00D66DA1">
        <w:rPr>
          <w:rFonts w:ascii="Sylfaen" w:hAnsi="Sylfaen" w:cs="Sylfaen"/>
          <w:bCs/>
          <w:i/>
          <w:iCs/>
          <w:noProof/>
          <w:sz w:val="24"/>
          <w:szCs w:val="24"/>
          <w:lang w:val="ka-GE"/>
        </w:rPr>
        <w:t>მაო</w:t>
      </w:r>
      <w:r w:rsidRPr="00D66DA1">
        <w:rPr>
          <w:rFonts w:ascii="Sylfaen" w:hAnsi="Sylfaen" w:cs="Sylfaen"/>
          <w:bCs/>
          <w:i/>
          <w:iCs/>
          <w:noProof/>
          <w:sz w:val="24"/>
          <w:szCs w:val="24"/>
          <w:lang w:val="ka-GE"/>
        </w:rPr>
        <w:t>-B</w:t>
      </w:r>
      <w:r w:rsidR="00132771" w:rsidRPr="00D66DA1">
        <w:rPr>
          <w:rFonts w:ascii="Sylfaen" w:hAnsi="Sylfaen" w:cs="Sylfaen"/>
          <w:bCs/>
          <w:i/>
          <w:iCs/>
          <w:noProof/>
          <w:sz w:val="24"/>
          <w:szCs w:val="24"/>
          <w:lang w:val="ka-GE"/>
        </w:rPr>
        <w:t>-ს</w:t>
      </w:r>
      <w:r w:rsidRPr="00D66DA1">
        <w:rPr>
          <w:rFonts w:ascii="Sylfaen" w:hAnsi="Sylfaen" w:cs="Sylfaen"/>
          <w:bCs/>
          <w:i/>
          <w:iCs/>
          <w:noProof/>
          <w:sz w:val="24"/>
          <w:szCs w:val="24"/>
          <w:lang w:val="ka-GE"/>
        </w:rPr>
        <w:t xml:space="preserve"> ინჰიბიტორი (სელეგილინი)</w:t>
      </w:r>
    </w:p>
    <w:p w14:paraId="07490E42" w14:textId="77433E2D" w:rsidR="00690B0B" w:rsidRPr="00D66DA1" w:rsidRDefault="00690B0B"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სელეგილინთან კომბინაციაში (შეუქცევადი მაო-B</w:t>
      </w:r>
      <w:r w:rsidR="00560092" w:rsidRPr="00D66DA1">
        <w:rPr>
          <w:rFonts w:ascii="Sylfaen" w:hAnsi="Sylfaen" w:cs="Sylfaen"/>
          <w:bCs/>
          <w:noProof/>
          <w:sz w:val="24"/>
          <w:szCs w:val="24"/>
          <w:lang w:val="ka-GE"/>
        </w:rPr>
        <w:t>-ს</w:t>
      </w:r>
      <w:r w:rsidRPr="00D66DA1">
        <w:rPr>
          <w:rFonts w:ascii="Sylfaen" w:hAnsi="Sylfaen" w:cs="Sylfaen"/>
          <w:bCs/>
          <w:noProof/>
          <w:sz w:val="24"/>
          <w:szCs w:val="24"/>
          <w:lang w:val="ka-GE"/>
        </w:rPr>
        <w:t xml:space="preserve"> ინჰიბიტორი), საჭიროა სიფრთხილის გამოჩენა სეროტონინის სინდრომის განვითარების რისკის გამო. სელეგილინის დოზები დღეში 10 მგ-მდე უსაფრთხოა რაცემიულ ციტალოპრამთან ერთად.</w:t>
      </w:r>
    </w:p>
    <w:p w14:paraId="18B4A690" w14:textId="77777777" w:rsidR="00690B0B" w:rsidRPr="00D66DA1" w:rsidRDefault="00690B0B"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QT ინტერვალის გახანგრძლივება</w:t>
      </w:r>
    </w:p>
    <w:p w14:paraId="4D1DC511" w14:textId="5C11D907" w:rsidR="00815B6D" w:rsidRPr="00D66DA1" w:rsidRDefault="00690B0B"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 xml:space="preserve">ესციტალოპრამისა და სხვა </w:t>
      </w:r>
      <w:r w:rsidR="00815B6D" w:rsidRPr="00D66DA1">
        <w:rPr>
          <w:rFonts w:ascii="Sylfaen" w:hAnsi="Sylfaen" w:cs="Sylfaen"/>
          <w:bCs/>
          <w:noProof/>
          <w:sz w:val="24"/>
          <w:szCs w:val="24"/>
          <w:lang w:val="ka-GE"/>
        </w:rPr>
        <w:t>QT</w:t>
      </w:r>
      <w:r w:rsidR="00815B6D" w:rsidRPr="00D66DA1">
        <w:rPr>
          <w:rFonts w:ascii="Sylfaen" w:hAnsi="Sylfaen" w:cs="Sylfaen"/>
          <w:bCs/>
          <w:i/>
          <w:iCs/>
          <w:noProof/>
          <w:sz w:val="24"/>
          <w:szCs w:val="24"/>
          <w:lang w:val="ka-GE"/>
        </w:rPr>
        <w:t xml:space="preserve"> </w:t>
      </w:r>
      <w:r w:rsidRPr="00D66DA1">
        <w:rPr>
          <w:rFonts w:ascii="Sylfaen" w:hAnsi="Sylfaen" w:cs="Sylfaen"/>
          <w:bCs/>
          <w:noProof/>
          <w:sz w:val="24"/>
          <w:szCs w:val="24"/>
          <w:lang w:val="ka-GE"/>
        </w:rPr>
        <w:t xml:space="preserve">ინტერვალის გახანგრძლივებაზე მოქმედი პრეპარატების ერთობლივი გამოყენების ფარმაკოკინეტიკური და ფარმაკოდინამიკური კვლევები არ ჩატარებულა. ესციტალოპრამისა და ამ პრეპარატების </w:t>
      </w:r>
      <w:r w:rsidR="00815B6D" w:rsidRPr="00D66DA1">
        <w:rPr>
          <w:rFonts w:ascii="Sylfaen" w:hAnsi="Sylfaen" w:cs="Sylfaen"/>
          <w:bCs/>
          <w:noProof/>
          <w:sz w:val="24"/>
          <w:szCs w:val="24"/>
          <w:lang w:val="ka-GE"/>
        </w:rPr>
        <w:t xml:space="preserve">ადიტიური </w:t>
      </w:r>
      <w:r w:rsidRPr="00D66DA1">
        <w:rPr>
          <w:rFonts w:ascii="Sylfaen" w:hAnsi="Sylfaen" w:cs="Sylfaen"/>
          <w:bCs/>
          <w:noProof/>
          <w:sz w:val="24"/>
          <w:szCs w:val="24"/>
          <w:lang w:val="ka-GE"/>
        </w:rPr>
        <w:t>ეფექტი არ არის გამორიცხული. აქედან გამომდინარე</w:t>
      </w:r>
      <w:r w:rsidR="00815B6D" w:rsidRPr="00D66DA1">
        <w:rPr>
          <w:rFonts w:ascii="Sylfaen" w:hAnsi="Sylfaen" w:cs="Sylfaen"/>
          <w:bCs/>
          <w:noProof/>
          <w:sz w:val="24"/>
          <w:szCs w:val="24"/>
          <w:lang w:val="ka-GE"/>
        </w:rPr>
        <w:t>,</w:t>
      </w:r>
      <w:r w:rsidRPr="00D66DA1">
        <w:rPr>
          <w:rFonts w:ascii="Sylfaen" w:hAnsi="Sylfaen" w:cs="Sylfaen"/>
          <w:bCs/>
          <w:noProof/>
          <w:sz w:val="24"/>
          <w:szCs w:val="24"/>
          <w:lang w:val="ka-GE"/>
        </w:rPr>
        <w:t xml:space="preserve"> </w:t>
      </w:r>
      <w:r w:rsidR="00815B6D" w:rsidRPr="00D66DA1">
        <w:rPr>
          <w:rFonts w:ascii="Sylfaen" w:hAnsi="Sylfaen" w:cs="Sylfaen"/>
          <w:bCs/>
          <w:noProof/>
          <w:sz w:val="24"/>
          <w:szCs w:val="24"/>
          <w:lang w:val="ka-GE"/>
        </w:rPr>
        <w:t>დაუშვებელია ესციტალოპრამის გამოყენება იმ სამკურნალო საშუალებებთან ერთად, რომლებიც ახანგრძლივებენ QT ინტერვალს,</w:t>
      </w:r>
      <w:r w:rsidR="005254D9" w:rsidRPr="00D66DA1">
        <w:rPr>
          <w:rFonts w:ascii="Sylfaen" w:hAnsi="Sylfaen" w:cs="Sylfaen"/>
          <w:bCs/>
          <w:noProof/>
          <w:sz w:val="24"/>
          <w:szCs w:val="24"/>
          <w:lang w:val="ka-GE"/>
        </w:rPr>
        <w:t xml:space="preserve"> </w:t>
      </w:r>
      <w:r w:rsidR="00815B6D" w:rsidRPr="00D66DA1">
        <w:rPr>
          <w:rFonts w:ascii="Sylfaen" w:hAnsi="Sylfaen" w:cs="Sylfaen"/>
          <w:bCs/>
          <w:noProof/>
          <w:sz w:val="24"/>
          <w:szCs w:val="24"/>
          <w:lang w:val="ka-GE"/>
        </w:rPr>
        <w:t>როგორიცაა IA და III კლასის ანტიარითმული საშუალებები, ნეიროლეპტიკები (მაგ. ფენოთიაზინის წარმოებულები, პიმოზიდი, ჰალოპერიდოლი),</w:t>
      </w:r>
      <w:r w:rsidR="005254D9" w:rsidRPr="00D66DA1">
        <w:rPr>
          <w:rFonts w:ascii="Sylfaen" w:hAnsi="Sylfaen" w:cs="Sylfaen"/>
          <w:bCs/>
          <w:noProof/>
          <w:sz w:val="24"/>
          <w:szCs w:val="24"/>
          <w:lang w:val="ka-GE"/>
        </w:rPr>
        <w:t xml:space="preserve"> </w:t>
      </w:r>
      <w:r w:rsidR="00815B6D" w:rsidRPr="00D66DA1">
        <w:rPr>
          <w:rFonts w:ascii="Sylfaen" w:hAnsi="Sylfaen" w:cs="Sylfaen"/>
          <w:bCs/>
          <w:noProof/>
          <w:sz w:val="24"/>
          <w:szCs w:val="24"/>
          <w:lang w:val="ka-GE"/>
        </w:rPr>
        <w:t xml:space="preserve">ტრიციკლური ანტიდეპრესანტები, ზოგიერტი ანტიმიკრობული საშუალებები (მაგ. სპარფლოქსაცინი, მოქსიფლოქსაცინი, ერითრომიცინი IV, პენტამიდინი, </w:t>
      </w:r>
      <w:r w:rsidR="00815B6D" w:rsidRPr="00D66DA1">
        <w:rPr>
          <w:rFonts w:ascii="Sylfaen" w:hAnsi="Sylfaen" w:cs="Sylfaen"/>
          <w:bCs/>
          <w:noProof/>
          <w:sz w:val="24"/>
          <w:szCs w:val="24"/>
          <w:lang w:val="ka-GE"/>
        </w:rPr>
        <w:lastRenderedPageBreak/>
        <w:t>ანტიმალარიული საშუალება -  ჰალოფანტრინი),ზოგიერთი ანტიჰისტამინური საშუალება (მაგ. ასტემიზოლი, მიზოლასტინი).</w:t>
      </w:r>
    </w:p>
    <w:p w14:paraId="6AE4B1BC" w14:textId="77777777" w:rsidR="00D95301" w:rsidRPr="00D66DA1" w:rsidRDefault="00D95301" w:rsidP="00280B65">
      <w:pPr>
        <w:spacing w:after="0" w:line="360" w:lineRule="auto"/>
        <w:ind w:left="-810" w:right="-211"/>
        <w:jc w:val="both"/>
        <w:rPr>
          <w:rFonts w:ascii="Sylfaen" w:hAnsi="Sylfaen" w:cs="Sylfaen"/>
          <w:b/>
          <w:i/>
          <w:iCs/>
          <w:noProof/>
          <w:sz w:val="24"/>
          <w:szCs w:val="24"/>
          <w:lang w:val="ka-GE"/>
        </w:rPr>
      </w:pPr>
      <w:r w:rsidRPr="00D66DA1">
        <w:rPr>
          <w:rFonts w:ascii="Sylfaen" w:hAnsi="Sylfaen" w:cs="Sylfaen"/>
          <w:b/>
          <w:i/>
          <w:iCs/>
          <w:noProof/>
          <w:sz w:val="24"/>
          <w:szCs w:val="24"/>
          <w:lang w:val="ka-GE"/>
        </w:rPr>
        <w:t>კომბინაციები, რომელთა გამოყენებისას საჭიროა განსაკუთრებული სიფრთხილე:</w:t>
      </w:r>
    </w:p>
    <w:p w14:paraId="62835B27" w14:textId="77777777" w:rsidR="00D95301" w:rsidRPr="00D66DA1" w:rsidRDefault="00D95301"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სეროტონერგიული სამკურნალო საშუალებები</w:t>
      </w:r>
    </w:p>
    <w:p w14:paraId="5F1DC62E" w14:textId="480135FE" w:rsidR="00DF2086" w:rsidRPr="00D66DA1" w:rsidRDefault="00D95301"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 xml:space="preserve">სეროტონერგიულ სამკურნალო საშუალებებთან (მაგ. ტრამადოლი, სუმატრიპანი და სხვა ტრიპტანები) ერთად </w:t>
      </w:r>
      <w:r w:rsidR="00DF2086" w:rsidRPr="00D66DA1">
        <w:rPr>
          <w:rFonts w:ascii="Sylfaen" w:hAnsi="Sylfaen" w:cs="Sylfaen"/>
          <w:bCs/>
          <w:noProof/>
          <w:sz w:val="24"/>
          <w:szCs w:val="24"/>
          <w:lang w:val="ka-GE"/>
        </w:rPr>
        <w:t>გამოყენებამ შეიძლება გამოიწვიოს სეროტონინის სინდრომის განვითარება.</w:t>
      </w:r>
    </w:p>
    <w:p w14:paraId="3FE95EE0" w14:textId="70E2AC65" w:rsidR="00815B6D" w:rsidRPr="00D66DA1" w:rsidRDefault="00D95301"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შეტევების დაწყების შემამცირებელი საშუალებები</w:t>
      </w:r>
    </w:p>
    <w:p w14:paraId="29C91308" w14:textId="77777777" w:rsidR="00CD153C" w:rsidRPr="00D66DA1" w:rsidRDefault="00095308"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 xml:space="preserve">SSRI-მ შეიძლება შეამციროს შეტევების დაწყების ხარისხი. </w:t>
      </w:r>
      <w:r w:rsidR="00CD153C" w:rsidRPr="00D66DA1">
        <w:rPr>
          <w:rFonts w:ascii="Sylfaen" w:hAnsi="Sylfaen" w:cs="Sylfaen"/>
          <w:bCs/>
          <w:noProof/>
          <w:sz w:val="24"/>
          <w:szCs w:val="24"/>
          <w:lang w:val="ka-GE"/>
        </w:rPr>
        <w:t xml:space="preserve">სიფრთხილეა რეკომენდებული </w:t>
      </w:r>
      <w:r w:rsidRPr="00D66DA1">
        <w:rPr>
          <w:rFonts w:ascii="Sylfaen" w:hAnsi="Sylfaen" w:cs="Sylfaen"/>
          <w:bCs/>
          <w:noProof/>
          <w:sz w:val="24"/>
          <w:szCs w:val="24"/>
          <w:lang w:val="ka-GE"/>
        </w:rPr>
        <w:t xml:space="preserve">სხვა ამგვარ საშუალებებთან </w:t>
      </w:r>
      <w:r w:rsidR="00CD153C" w:rsidRPr="00D66DA1">
        <w:rPr>
          <w:rFonts w:ascii="Sylfaen" w:hAnsi="Sylfaen" w:cs="Sylfaen"/>
          <w:bCs/>
          <w:noProof/>
          <w:sz w:val="24"/>
          <w:szCs w:val="24"/>
          <w:lang w:val="ka-GE"/>
        </w:rPr>
        <w:t xml:space="preserve">(მაგ. ანტიდეპრესანტები (ტრიციკლური საშუალებები, SSRI-ები), ნეიროლეპტიკები (ფენოთიაზინები, თიოქსანთენები და ბუტიროფენონები), მეფლოქინი, ბუპროპიონი და ტრამადოლი) </w:t>
      </w:r>
      <w:r w:rsidRPr="00D66DA1">
        <w:rPr>
          <w:rFonts w:ascii="Sylfaen" w:hAnsi="Sylfaen" w:cs="Sylfaen"/>
          <w:bCs/>
          <w:noProof/>
          <w:sz w:val="24"/>
          <w:szCs w:val="24"/>
          <w:lang w:val="ka-GE"/>
        </w:rPr>
        <w:t>ერთად გამოყენებისას</w:t>
      </w:r>
      <w:r w:rsidR="00CD153C" w:rsidRPr="00D66DA1">
        <w:rPr>
          <w:rFonts w:ascii="Sylfaen" w:hAnsi="Sylfaen" w:cs="Sylfaen"/>
          <w:bCs/>
          <w:noProof/>
          <w:sz w:val="24"/>
          <w:szCs w:val="24"/>
          <w:lang w:val="ka-GE"/>
        </w:rPr>
        <w:t>.</w:t>
      </w:r>
    </w:p>
    <w:p w14:paraId="139FD4E0" w14:textId="77777777" w:rsidR="00CD153C" w:rsidRPr="00D66DA1" w:rsidRDefault="00CD153C"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ლითიუმი, ტრიპტოფანი</w:t>
      </w:r>
    </w:p>
    <w:p w14:paraId="75B65716" w14:textId="33BFD0AA" w:rsidR="00CD153C" w:rsidRPr="00D66DA1" w:rsidRDefault="00CD153C"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ლითიუმთან ან ტრიპტოპანთან ერთად SSRI -ებ</w:t>
      </w:r>
      <w:r w:rsidR="005254D9" w:rsidRPr="00D66DA1">
        <w:rPr>
          <w:rFonts w:ascii="Sylfaen" w:hAnsi="Sylfaen" w:cs="Sylfaen"/>
          <w:bCs/>
          <w:noProof/>
          <w:sz w:val="24"/>
          <w:szCs w:val="24"/>
          <w:lang w:val="ka-GE"/>
        </w:rPr>
        <w:t>ი</w:t>
      </w:r>
      <w:r w:rsidRPr="00D66DA1">
        <w:rPr>
          <w:rFonts w:ascii="Sylfaen" w:hAnsi="Sylfaen" w:cs="Sylfaen"/>
          <w:bCs/>
          <w:noProof/>
          <w:sz w:val="24"/>
          <w:szCs w:val="24"/>
          <w:lang w:val="ka-GE"/>
        </w:rPr>
        <w:t>ს გამოყენებისას აღინიშნა გაუმჯობესებული ეფექტების შემთხვევები, ამიტომ, ამგვარი კომბინაციის გამოყენება სიფრთხილით უნდა მოხდეს.</w:t>
      </w:r>
    </w:p>
    <w:p w14:paraId="6F37CC4B" w14:textId="4808EB12" w:rsidR="00CD153C" w:rsidRPr="00D66DA1" w:rsidRDefault="00CD153C"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კრაზანა</w:t>
      </w:r>
    </w:p>
    <w:p w14:paraId="16C17393" w14:textId="77777777" w:rsidR="006C47CF" w:rsidRPr="00D66DA1" w:rsidRDefault="00CD153C"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SSRI-ებისა და კრაზანას (Hypericum perforatum) შემცველი მცენარეული საშუალებების ერთდროულმა გამოყენებამ შეიძლება გამოიწვიოს გვერდითი რეაქციების  სიხშირის მომატება  (იხ. პუნქტი 4.4).</w:t>
      </w:r>
    </w:p>
    <w:p w14:paraId="0C6FD2AC" w14:textId="77777777" w:rsidR="006C47CF" w:rsidRPr="00D66DA1" w:rsidRDefault="006C47CF"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ჰემორაგია</w:t>
      </w:r>
    </w:p>
    <w:p w14:paraId="310505CF" w14:textId="77777777" w:rsidR="00326A9C" w:rsidRPr="00D66DA1" w:rsidRDefault="006C47CF"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 xml:space="preserve">ესციტალოპრამისა და პერორალური ანტიკოაგულანტების ერთდროულად გამოყენებისას შეიძლება აღინიშნოს ანტიკოაგულანტური ეფექტების შეცვლა. ესციტალოპრამის მიღების დაწყებისას ან შეწყვეტისას აუცილებელია კოაგულაციის კონტროლი იმ პაციენტებში, რომლებიც იმყოფებიან ანტიკოაგულაციურ თერაპიაზე (იხ. პუნქტი 4.4). მასთან ერთად არასტეროიდული ანთების საწინააღმდეგო საშუალებების (NSAID) გამოყენებამ შეიძლება გაზარდოს სისხლდენის განვითარების რისკი (იხ. პუნქტი 4.4).  </w:t>
      </w:r>
    </w:p>
    <w:p w14:paraId="5F72ADE7" w14:textId="77777777" w:rsidR="00326A9C" w:rsidRPr="00D66DA1" w:rsidRDefault="00326A9C"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ალკოჰოლი</w:t>
      </w:r>
    </w:p>
    <w:p w14:paraId="4D867000" w14:textId="77777777" w:rsidR="00326A9C" w:rsidRPr="00D66DA1" w:rsidRDefault="00326A9C"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 xml:space="preserve">ესციტალოპრამსა და ალკოჰოლს შორის ფარმაკოდინამიკური ან ფარმაკოკინეტიკური ურთიერთქმედებები მოსალოდნელი არ არის. მიუხედავად ამისა, როგორც სხვა ფსიქოტროპული სამკურნალო საშუალებების შემთხვევაში, ალკოჰოლთან კომბინაცია სასურველი არ არის. </w:t>
      </w:r>
    </w:p>
    <w:p w14:paraId="39839E38" w14:textId="77777777" w:rsidR="00326A9C" w:rsidRPr="00D66DA1" w:rsidRDefault="00326A9C"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პრეპარატები, რომლებიც იწვევენ ჰიპოკალიემიას/ჰიპომაგნიემიას</w:t>
      </w:r>
    </w:p>
    <w:p w14:paraId="3DD0A654" w14:textId="1E81B2B2" w:rsidR="00EF6D9B" w:rsidRPr="00D66DA1" w:rsidRDefault="00326A9C"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lastRenderedPageBreak/>
        <w:t>სიფრთხილეს საჭიროებს წამლის გამოყენება იმ პრეპარატებთან ერთად, რომლებიც იწვევენ ჰიპოკალიემიას/ჰიპომაგნიემიას, ვინაიდან ეს მდგომარეობა ზრდის ავთვისებიანი არითმიების განვითარების რისკს (იხ. პუნქტი 4.4).</w:t>
      </w:r>
      <w:r w:rsidR="006C47CF" w:rsidRPr="00D66DA1">
        <w:rPr>
          <w:rFonts w:ascii="Sylfaen" w:hAnsi="Sylfaen" w:cs="Sylfaen"/>
          <w:bCs/>
          <w:noProof/>
          <w:sz w:val="24"/>
          <w:szCs w:val="24"/>
          <w:lang w:val="ka-GE"/>
        </w:rPr>
        <w:t xml:space="preserve"> </w:t>
      </w:r>
    </w:p>
    <w:p w14:paraId="0A0241FC" w14:textId="3280B8AF" w:rsidR="006C47CF" w:rsidRPr="00D66DA1" w:rsidRDefault="00470FA3" w:rsidP="00280B65">
      <w:pPr>
        <w:spacing w:after="0" w:line="360" w:lineRule="auto"/>
        <w:ind w:left="-810" w:right="-211"/>
        <w:jc w:val="both"/>
        <w:rPr>
          <w:rFonts w:ascii="Sylfaen" w:hAnsi="Sylfaen" w:cs="Sylfaen"/>
          <w:b/>
          <w:noProof/>
          <w:sz w:val="24"/>
          <w:szCs w:val="24"/>
          <w:lang w:val="ka-GE"/>
        </w:rPr>
      </w:pPr>
      <w:r w:rsidRPr="00D66DA1">
        <w:rPr>
          <w:rFonts w:ascii="Sylfaen" w:hAnsi="Sylfaen" w:cs="Sylfaen"/>
          <w:b/>
          <w:noProof/>
          <w:sz w:val="24"/>
          <w:szCs w:val="24"/>
          <w:lang w:val="ka-GE"/>
        </w:rPr>
        <w:t>ფარმაკოკინეტიკური ურთიერთქმედებები</w:t>
      </w:r>
    </w:p>
    <w:p w14:paraId="0F39D4A3" w14:textId="77F86707" w:rsidR="00470FA3" w:rsidRPr="00D66DA1" w:rsidRDefault="00470FA3" w:rsidP="00280B65">
      <w:pPr>
        <w:spacing w:after="0" w:line="360" w:lineRule="auto"/>
        <w:ind w:left="-810" w:right="-211"/>
        <w:jc w:val="both"/>
        <w:rPr>
          <w:rFonts w:ascii="Sylfaen" w:hAnsi="Sylfaen" w:cs="Sylfaen"/>
          <w:b/>
          <w:i/>
          <w:iCs/>
          <w:noProof/>
          <w:sz w:val="24"/>
          <w:szCs w:val="24"/>
          <w:lang w:val="ka-GE"/>
        </w:rPr>
      </w:pPr>
      <w:r w:rsidRPr="00D66DA1">
        <w:rPr>
          <w:rFonts w:ascii="Sylfaen" w:hAnsi="Sylfaen" w:cs="Sylfaen"/>
          <w:b/>
          <w:i/>
          <w:iCs/>
          <w:noProof/>
          <w:sz w:val="24"/>
          <w:szCs w:val="24"/>
          <w:lang w:val="ka-GE"/>
        </w:rPr>
        <w:t>სხვა სამკურნალო საშუალებების ზემოქმედება ესციტალოპრამის ფარმაკოკინეტიკაზე</w:t>
      </w:r>
    </w:p>
    <w:p w14:paraId="11CFC997" w14:textId="4BF7AD4E" w:rsidR="003173FE" w:rsidRPr="00D66DA1" w:rsidRDefault="003173FE"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 xml:space="preserve">ესციტალოპრამის მეტაბოლიზმი უპირატესად განპირობებულია CYP2C19-ით. CYP3A4 და CYO2D6 ასევე ხელს უწყობენ მეტაბოლიზმს, თუცა უფრო ნაკლებად. ძირითადი მეტაბოლიტის </w:t>
      </w:r>
      <w:r w:rsidR="0090699B" w:rsidRPr="00D66DA1">
        <w:rPr>
          <w:rFonts w:ascii="Sylfaen" w:hAnsi="Sylfaen" w:cs="Sylfaen"/>
          <w:bCs/>
          <w:noProof/>
          <w:sz w:val="24"/>
          <w:szCs w:val="24"/>
          <w:lang w:val="ka-GE"/>
        </w:rPr>
        <w:t>S- DCT</w:t>
      </w:r>
      <w:r w:rsidRPr="00D66DA1">
        <w:rPr>
          <w:rFonts w:ascii="Sylfaen" w:hAnsi="Sylfaen" w:cs="Sylfaen"/>
          <w:bCs/>
          <w:noProof/>
          <w:sz w:val="24"/>
          <w:szCs w:val="24"/>
          <w:lang w:val="ka-GE"/>
        </w:rPr>
        <w:t xml:space="preserve"> (</w:t>
      </w:r>
      <w:r w:rsidR="0090699B" w:rsidRPr="00D66DA1">
        <w:rPr>
          <w:rFonts w:ascii="Sylfaen" w:hAnsi="Sylfaen" w:cs="Sylfaen"/>
          <w:bCs/>
          <w:noProof/>
          <w:sz w:val="24"/>
          <w:szCs w:val="24"/>
          <w:lang w:val="ka-GE"/>
        </w:rPr>
        <w:t>დემეთილირებული</w:t>
      </w:r>
      <w:r w:rsidRPr="00D66DA1">
        <w:rPr>
          <w:rFonts w:ascii="Sylfaen" w:hAnsi="Sylfaen" w:cs="Sylfaen"/>
          <w:bCs/>
          <w:noProof/>
          <w:sz w:val="24"/>
          <w:szCs w:val="24"/>
          <w:lang w:val="ka-GE"/>
        </w:rPr>
        <w:t xml:space="preserve"> ესციტალოპრამი) მეტაბოლიზმი ნაწილობრივ კატალიზდება CYP2D6-ით.</w:t>
      </w:r>
    </w:p>
    <w:p w14:paraId="31924CA1" w14:textId="7A8BDA9E" w:rsidR="0090374D" w:rsidRPr="00D66DA1" w:rsidRDefault="003173FE"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ესციტალოპრამის მიღებამ ომეპრაზოლთან 30მგ დღეში ერთხელ (CYP2C19 ინჰიბიტორი) გამოიწვია ესციტალოპრამის პლაზმური კონცენტრაციების საშუალო მომატება (დაახლოებით 50%).</w:t>
      </w:r>
    </w:p>
    <w:p w14:paraId="76C09F90" w14:textId="06993CA7" w:rsidR="007C4DC2" w:rsidRPr="00D66DA1" w:rsidRDefault="007C4DC2" w:rsidP="00280B65">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ესციტალოპრამთან ერთად ციმეტიდინის მიღებამ დღეში ორჯერ 400 მგ დოზით (ზომიერად ძლიერი ზოგადი ფერმენტის ინჰიბიტორი) გამოიწვია ესციტალოპრამის პლაზმური კონცენტრაციის საშუალო (დაახლოებით 70%) მომატება. საჭიროა სიფრთხილე ციმეტიდინთან ერთად ესციტალოპრამის დანიშვნისას. შესაძლოა საჭირო გახდეს დოზის კორექცია.</w:t>
      </w:r>
    </w:p>
    <w:p w14:paraId="272CB207" w14:textId="2155A39B" w:rsidR="00AA62D4" w:rsidRPr="00D66DA1" w:rsidRDefault="007C4DC2" w:rsidP="00280B65">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 xml:space="preserve">ამგვარად, სიფრთხილის გამოჩენა არის საჭირო CYP2C19 ინჰიბიტორებთან (მაგ. ომეპრაზოლი, ესომეპრაზოლი, ფლუვოქსამინი, ლანსოპრაზოლი, ტიკლოპიდინი) ან ციმეტიდინთან ერთად გამოყენებისას. </w:t>
      </w:r>
      <w:r w:rsidR="00AA62D4" w:rsidRPr="00D66DA1">
        <w:rPr>
          <w:rFonts w:ascii="Sylfaen" w:hAnsi="Sylfaen"/>
          <w:noProof/>
          <w:sz w:val="24"/>
          <w:szCs w:val="24"/>
          <w:lang w:val="ka-GE"/>
        </w:rPr>
        <w:t xml:space="preserve"> ესციტალოპრამის დოზის შემცირება შეიძლება საჭირო გახდეს თანმხლები მკურნალობის დროს გვერდითი ეფექტების მონიტორინგის საფუძველზე.</w:t>
      </w:r>
    </w:p>
    <w:p w14:paraId="49E16FA4" w14:textId="77777777" w:rsidR="00B446BF" w:rsidRPr="00D66DA1" w:rsidRDefault="00B446BF" w:rsidP="00280B65">
      <w:pPr>
        <w:spacing w:after="0" w:line="360" w:lineRule="auto"/>
        <w:ind w:left="-810" w:right="-211"/>
        <w:jc w:val="both"/>
        <w:rPr>
          <w:rFonts w:ascii="Sylfaen" w:hAnsi="Sylfaen"/>
          <w:b/>
          <w:bCs/>
          <w:i/>
          <w:iCs/>
          <w:noProof/>
          <w:sz w:val="24"/>
          <w:szCs w:val="24"/>
          <w:lang w:val="ka-GE"/>
        </w:rPr>
      </w:pPr>
      <w:r w:rsidRPr="00D66DA1">
        <w:rPr>
          <w:rFonts w:ascii="Sylfaen" w:hAnsi="Sylfaen"/>
          <w:b/>
          <w:bCs/>
          <w:i/>
          <w:iCs/>
          <w:noProof/>
          <w:sz w:val="24"/>
          <w:szCs w:val="24"/>
          <w:lang w:val="ka-GE"/>
        </w:rPr>
        <w:t>ესციტალოპრამის მოქმედება სხვა სამკურნალო საშუალებების ფარმაკოკინეტიკაზე</w:t>
      </w:r>
    </w:p>
    <w:p w14:paraId="6884C450" w14:textId="117929BB" w:rsidR="00B446BF" w:rsidRPr="00D66DA1" w:rsidRDefault="00B446BF" w:rsidP="00280B65">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ესციტალოპრამი არის CYP2D6 ფერმენტის ინჰიბიტორი. სიფრთხილე არის საჭირო ესციტალოპრამის მიღებისას ისეთ სამკურნალო საშუალებებთან</w:t>
      </w:r>
      <w:r w:rsidR="00E049DA" w:rsidRPr="00D66DA1">
        <w:rPr>
          <w:rFonts w:ascii="Sylfaen" w:hAnsi="Sylfaen"/>
          <w:noProof/>
          <w:sz w:val="24"/>
          <w:szCs w:val="24"/>
          <w:lang w:val="ka-GE"/>
        </w:rPr>
        <w:t xml:space="preserve"> ერთად</w:t>
      </w:r>
      <w:r w:rsidRPr="00D66DA1">
        <w:rPr>
          <w:rFonts w:ascii="Sylfaen" w:hAnsi="Sylfaen"/>
          <w:noProof/>
          <w:sz w:val="24"/>
          <w:szCs w:val="24"/>
          <w:lang w:val="ka-GE"/>
        </w:rPr>
        <w:t>, რომლებიც ძირითადად მეტაბოლიზდება ამ ფერმენტით და რომლებსაც გააჩნიათ ვიწრო თერაპიული მაჩვენებელი, მაგ. ფლეკაინიდი, პროპაფენონი და მეტოპროლოლი (გულის უკმარისობის დროს გამოყენებისას) ან ზოგიერთი ცენტრალურ ნერვულ სისტემაზე მოქმედი პრეპარატი, რომლებიც ძირითადად მეტაბოლიზდება CYP2D6-ით, მაგ. ანტიდეპრესანტები, როგორიცაა დეზიპრამინი, კლომიპრამინი და ნორტრიპტილინი ან ანტიფსიქოზური საშუალებები, როგორიცაა რისპერიდონი, თიორიდაზინი და ჰალოპერიდოლი. შესაძლოა საჭირო გახდეს დოზის კორექცია.</w:t>
      </w:r>
    </w:p>
    <w:p w14:paraId="1EF2CFBE" w14:textId="77777777" w:rsidR="00B446BF" w:rsidRPr="00D66DA1" w:rsidRDefault="00B446BF" w:rsidP="00280B65">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lastRenderedPageBreak/>
        <w:t xml:space="preserve">დეზიპრამინთან ან მეტოპროლოლთან ერთად გამოყენებისას აღინიშნა ამ ორი CYP2D6 სუბსტრატის პლაზმური დონეების ორგზის მომატება. </w:t>
      </w:r>
    </w:p>
    <w:p w14:paraId="77F15008" w14:textId="77777777" w:rsidR="009B503F" w:rsidRPr="00D66DA1" w:rsidRDefault="00B446BF" w:rsidP="00280B65">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In vitro კვლევები აჩვენებს, რომ ესციტალოპრამმა შეიძლება ასევე გამოიწვიოს CYP2C19-ის სუსტი ინჰიბირება. სიფრთხილე არის რეკომენდებული იმ საშუალებებთან ერთად გამოყენებისას, რომლებიც მეტაბოლიზდება CYP2C19-ით.</w:t>
      </w:r>
    </w:p>
    <w:p w14:paraId="13424BC1" w14:textId="77777777" w:rsidR="009B503F" w:rsidRPr="00D66DA1" w:rsidRDefault="009B503F" w:rsidP="00280B65">
      <w:pPr>
        <w:pStyle w:val="ListParagraph"/>
        <w:numPr>
          <w:ilvl w:val="1"/>
          <w:numId w:val="11"/>
        </w:numPr>
        <w:spacing w:after="0" w:line="360" w:lineRule="auto"/>
        <w:ind w:right="-211"/>
        <w:jc w:val="both"/>
        <w:rPr>
          <w:rFonts w:ascii="Sylfaen" w:hAnsi="Sylfaen"/>
          <w:noProof/>
          <w:sz w:val="24"/>
          <w:szCs w:val="24"/>
          <w:lang w:val="ka-GE"/>
        </w:rPr>
      </w:pPr>
      <w:r w:rsidRPr="00D66DA1">
        <w:rPr>
          <w:rFonts w:ascii="Sylfaen" w:hAnsi="Sylfaen" w:cs="Sylfaen"/>
          <w:b/>
          <w:bCs/>
          <w:noProof/>
          <w:sz w:val="24"/>
          <w:szCs w:val="24"/>
          <w:lang w:val="ka-GE"/>
        </w:rPr>
        <w:t>ფერტილობა, ორსულობა და ლაქტაცია</w:t>
      </w:r>
    </w:p>
    <w:p w14:paraId="557A8A49" w14:textId="7D3C7430" w:rsidR="009B503F" w:rsidRPr="00D66DA1" w:rsidRDefault="009B503F" w:rsidP="00280B65">
      <w:pPr>
        <w:spacing w:after="0" w:line="360" w:lineRule="auto"/>
        <w:ind w:left="-810" w:right="-211"/>
        <w:jc w:val="both"/>
        <w:rPr>
          <w:rFonts w:ascii="Sylfaen" w:hAnsi="Sylfaen"/>
          <w:i/>
          <w:iCs/>
          <w:noProof/>
          <w:sz w:val="24"/>
          <w:szCs w:val="24"/>
          <w:lang w:val="ka-GE"/>
        </w:rPr>
      </w:pPr>
      <w:r w:rsidRPr="00D66DA1">
        <w:rPr>
          <w:rFonts w:ascii="Sylfaen" w:hAnsi="Sylfaen" w:cs="Sylfaen"/>
          <w:i/>
          <w:iCs/>
          <w:noProof/>
          <w:sz w:val="24"/>
          <w:szCs w:val="24"/>
          <w:lang w:val="ka-GE"/>
        </w:rPr>
        <w:t>ორსულობა</w:t>
      </w:r>
    </w:p>
    <w:p w14:paraId="6FBAC554" w14:textId="5775B122" w:rsidR="009B503F" w:rsidRPr="00D66DA1" w:rsidRDefault="009B503F" w:rsidP="00280B65">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ორსულობაზე ესციტალოპრამის მოქმედების შესახებ მხოლოდ მცირე კლინიკური მონაცემები არსებობს.</w:t>
      </w:r>
    </w:p>
    <w:p w14:paraId="59194D20" w14:textId="704296D7" w:rsidR="00E56170" w:rsidRPr="00D66DA1" w:rsidRDefault="00E56170" w:rsidP="00280B65">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ვირთხებზე ჩატარებულმა კვლევებმა აჩვენა ემბრიოტოქსიური/ფეტოტოქსიური მოქმედება, მაგრამ არ დაფიქსირებულა მალფორმაციების გაზრდილი სიხშირე (იხ. პუნქტი 5.3).</w:t>
      </w:r>
    </w:p>
    <w:p w14:paraId="09328757" w14:textId="6A6E152C" w:rsidR="00C43F84" w:rsidRPr="00D66DA1" w:rsidRDefault="00C43F84" w:rsidP="00280B65">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 არ გამოიყენება ორსულობის პერიოდში, გარდა მკაფიო აუცილებლობისა და მხოლოდ რისკის/სარგებლის შეფასების შემდეგ.</w:t>
      </w:r>
    </w:p>
    <w:p w14:paraId="1C2F1ED0" w14:textId="16328502" w:rsidR="00C43F84" w:rsidRPr="00D66DA1" w:rsidRDefault="00C43F84" w:rsidP="00280B65">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ეპიდემიოლოგიური მონაცემების საფუძველზე სავარაუდოა, რომ SSRI-ს გამოყენება ორსულობის დროს, განსაკუთრებით გვიანი ორსულობის დროს, ზრდის ახალშობილში მდგრადი ფილტვისმიერი ჰიპერტენზიის (PPHN) განვითარების რისკს. რისკი შეადგენდა დაახლოებით 5 შემთხვევას 1000 ფეხმძიმობაზე. ზოგად პოპულაციაზე -PPHN-ის  1-2 შემთხვევა 1000 ფეხმძიმობაზე.</w:t>
      </w:r>
    </w:p>
    <w:p w14:paraId="30AA33E0" w14:textId="55E5D538" w:rsidR="00080398" w:rsidRPr="00D66DA1" w:rsidRDefault="00080398" w:rsidP="00280B65">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თუ დედა ორსულობის ბოლო ეტაპებზე, განსაკუთრებით მესამე ტრიმესტრში, იღებდა ესციტალოპრამს, აუცილებელია ახალშობილზე დაკვირვება. ორსულობის პერიოდში თავიდან უნდა იქნას აცილებული SSRI-ით მკურნალობის ერთბაშად შეწყვეტა.</w:t>
      </w:r>
    </w:p>
    <w:p w14:paraId="2B2553C0" w14:textId="5DDD3539" w:rsidR="00080398" w:rsidRPr="00D66DA1" w:rsidRDefault="00080398" w:rsidP="00280B65">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თუ დედა ორსულობის ბოლო ეტაპებზე იღებდა SSRI/SNRI-ს, ახალშობილში შეიძლება განვითარდეს შემდეგი სიმპტომები: რესპირატორული დისტრესი, ციანოზი, აპნოე, შეტევები, ტემპერატურული არასტაბილურობა, კვების გაძნელება, პირღებინება, ჰიპოგლიკემია, ჰიპერტონია, ჰიპოტონია, ჰიპერრეფლექსია, ტრემორი, ნერვიული აშლილობა, გაღიაზიანებადობა, ლეთარგია, მუდმივი ტირილი, ძილიანობა და ძილის გაძნელება. აღნიშნული სიმპტომები შეიძლება გამოწვეული იყოს სეროტონერგიული ეფექტებით ან მკურნალობის შეწყვეტით. შემთხვევათა უმრავლესობისას გართულებები იწყება მშობიარობისთანავე და მალევე (&lt;24 საათში) მშობიარობის შემდეგ.</w:t>
      </w:r>
    </w:p>
    <w:p w14:paraId="47D27291" w14:textId="252E3E06" w:rsidR="006E3754" w:rsidRPr="00D66DA1" w:rsidRDefault="006E3754" w:rsidP="00280B65">
      <w:pPr>
        <w:spacing w:after="0" w:line="360" w:lineRule="auto"/>
        <w:ind w:left="-810" w:right="-211"/>
        <w:jc w:val="both"/>
        <w:rPr>
          <w:rFonts w:ascii="Sylfaen" w:hAnsi="Sylfaen"/>
          <w:i/>
          <w:iCs/>
          <w:noProof/>
          <w:sz w:val="24"/>
          <w:szCs w:val="24"/>
          <w:lang w:val="ka-GE"/>
        </w:rPr>
      </w:pPr>
      <w:r w:rsidRPr="00D66DA1">
        <w:rPr>
          <w:rFonts w:ascii="Sylfaen" w:hAnsi="Sylfaen"/>
          <w:i/>
          <w:iCs/>
          <w:noProof/>
          <w:sz w:val="24"/>
          <w:szCs w:val="24"/>
          <w:lang w:val="ka-GE"/>
        </w:rPr>
        <w:t>ძუძუთი კვება</w:t>
      </w:r>
    </w:p>
    <w:p w14:paraId="67D76D97" w14:textId="5FA34EE9" w:rsidR="006E3754" w:rsidRPr="00D66DA1" w:rsidRDefault="00E049DA" w:rsidP="00280B65">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lastRenderedPageBreak/>
        <w:t>სავარაუდოდ,</w:t>
      </w:r>
      <w:r w:rsidR="006E3754" w:rsidRPr="00D66DA1">
        <w:rPr>
          <w:rFonts w:ascii="Sylfaen" w:hAnsi="Sylfaen"/>
          <w:noProof/>
          <w:sz w:val="24"/>
          <w:szCs w:val="24"/>
          <w:lang w:val="ka-GE"/>
        </w:rPr>
        <w:t xml:space="preserve"> ესციტალოპრამი გადა</w:t>
      </w:r>
      <w:r w:rsidRPr="00D66DA1">
        <w:rPr>
          <w:rFonts w:ascii="Sylfaen" w:hAnsi="Sylfaen"/>
          <w:noProof/>
          <w:sz w:val="24"/>
          <w:szCs w:val="24"/>
          <w:lang w:val="ka-GE"/>
        </w:rPr>
        <w:t xml:space="preserve">ვა </w:t>
      </w:r>
      <w:r w:rsidR="006E3754" w:rsidRPr="00D66DA1">
        <w:rPr>
          <w:rFonts w:ascii="Sylfaen" w:hAnsi="Sylfaen"/>
          <w:noProof/>
          <w:sz w:val="24"/>
          <w:szCs w:val="24"/>
          <w:lang w:val="ka-GE"/>
        </w:rPr>
        <w:t xml:space="preserve">დედის რძეში. </w:t>
      </w:r>
    </w:p>
    <w:p w14:paraId="0A4FB177" w14:textId="4E942A79" w:rsidR="006E3754" w:rsidRPr="00D66DA1" w:rsidRDefault="006E3754" w:rsidP="00280B65">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შესაბამისად, მკურნალობის დროს რეკომენდებული არ არის ძუძუთი კვება.</w:t>
      </w:r>
    </w:p>
    <w:p w14:paraId="74B2037B" w14:textId="43A029FD" w:rsidR="00C43F84" w:rsidRPr="00D66DA1" w:rsidRDefault="006E3754" w:rsidP="00280B65">
      <w:pPr>
        <w:spacing w:after="0" w:line="360" w:lineRule="auto"/>
        <w:ind w:left="-810" w:right="-211"/>
        <w:jc w:val="both"/>
        <w:rPr>
          <w:rFonts w:ascii="Sylfaen" w:hAnsi="Sylfaen"/>
          <w:i/>
          <w:iCs/>
          <w:noProof/>
          <w:sz w:val="24"/>
          <w:szCs w:val="24"/>
          <w:lang w:val="ka-GE"/>
        </w:rPr>
      </w:pPr>
      <w:r w:rsidRPr="00D66DA1">
        <w:rPr>
          <w:rFonts w:ascii="Sylfaen" w:hAnsi="Sylfaen"/>
          <w:i/>
          <w:iCs/>
          <w:noProof/>
          <w:sz w:val="24"/>
          <w:szCs w:val="24"/>
          <w:lang w:val="ka-GE"/>
        </w:rPr>
        <w:t>ფერტილობა</w:t>
      </w:r>
    </w:p>
    <w:p w14:paraId="4B8CCCD1" w14:textId="77777777" w:rsidR="006E3754" w:rsidRPr="00D66DA1" w:rsidRDefault="006E3754" w:rsidP="00280B65">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ცხოველებზე ჩატარებულმა კვლევებმა აჩვენა, რომ ციტალოპრამი გავლენას ახდენს სპერმის ხარისხზე (იხ. პუნქტი 5.3). ადამიანების ავადმყოფობის შესახებ ანგარიშებმა აჩვენა, რომ სპერმის ხარისხის ეფექტურობა შექცევადია. ადამიანის შობადობაზე გავლენის შესახებ დაკვირვება არ ჩატარებული.</w:t>
      </w:r>
    </w:p>
    <w:p w14:paraId="15DBB4F4" w14:textId="0CC300CB" w:rsidR="006E3754" w:rsidRPr="00D66DA1" w:rsidRDefault="006E3754" w:rsidP="00280B65">
      <w:pPr>
        <w:pStyle w:val="ListParagraph"/>
        <w:numPr>
          <w:ilvl w:val="1"/>
          <w:numId w:val="11"/>
        </w:numPr>
        <w:spacing w:after="0" w:line="360" w:lineRule="auto"/>
        <w:ind w:right="-211"/>
        <w:jc w:val="both"/>
        <w:rPr>
          <w:rFonts w:ascii="Sylfaen" w:hAnsi="Sylfaen"/>
          <w:noProof/>
          <w:sz w:val="24"/>
          <w:szCs w:val="24"/>
          <w:lang w:val="ka-GE"/>
        </w:rPr>
      </w:pPr>
      <w:r w:rsidRPr="00D66DA1">
        <w:rPr>
          <w:rFonts w:ascii="Sylfaen" w:hAnsi="Sylfaen" w:cs="Sylfaen"/>
          <w:b/>
          <w:noProof/>
          <w:sz w:val="24"/>
          <w:szCs w:val="24"/>
          <w:lang w:val="ka-GE"/>
        </w:rPr>
        <w:t>ზეგავლენა სატრანსპორტო საშუალებების მართვისა და მექანიზმების გამოყენების უნარზე</w:t>
      </w:r>
    </w:p>
    <w:p w14:paraId="162D956F" w14:textId="77777777" w:rsidR="00D456AE" w:rsidRPr="00D66DA1" w:rsidRDefault="006E3754" w:rsidP="00280B65">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მიუხედავად იმისა, რომ ესციტალოპრამი გავლენას არ ახდენს ინტელექტუალურ ან ფსიქომოტორულ ფუნქციებზე, ნებისმიერმა ფსიქოაქტიურმა პრეპარატმა შეიძლება შეაფერხოს ადამიანის გონებრივი თუ ფიზიკური შესაძლებლობები. პაციენტებს უნდა ეცნობოთ ავტომობილებისა და მექანიზმების მართვის უნარზე ზემოქმედების პოტენციური რისკის შესახებ.</w:t>
      </w:r>
    </w:p>
    <w:p w14:paraId="0B3BEDA0" w14:textId="32E1F696" w:rsidR="00D456AE" w:rsidRPr="00D66DA1" w:rsidRDefault="00D456AE" w:rsidP="00280B65">
      <w:pPr>
        <w:pStyle w:val="ListParagraph"/>
        <w:numPr>
          <w:ilvl w:val="1"/>
          <w:numId w:val="11"/>
        </w:numPr>
        <w:spacing w:after="0" w:line="360" w:lineRule="auto"/>
        <w:ind w:right="-211"/>
        <w:jc w:val="both"/>
        <w:rPr>
          <w:rFonts w:ascii="Sylfaen" w:hAnsi="Sylfaen"/>
          <w:noProof/>
          <w:sz w:val="24"/>
          <w:szCs w:val="24"/>
          <w:lang w:val="ka-GE"/>
        </w:rPr>
      </w:pPr>
      <w:r w:rsidRPr="00D66DA1">
        <w:rPr>
          <w:rFonts w:ascii="Sylfaen" w:hAnsi="Sylfaen" w:cs="Sylfaen"/>
          <w:b/>
          <w:noProof/>
          <w:sz w:val="24"/>
          <w:szCs w:val="24"/>
          <w:lang w:val="ka-GE"/>
        </w:rPr>
        <w:t>არასასურველი გვერდითი ეფექტები</w:t>
      </w:r>
    </w:p>
    <w:p w14:paraId="6A945F5A" w14:textId="6730A460" w:rsidR="00E45079" w:rsidRPr="00D66DA1" w:rsidRDefault="00D456AE" w:rsidP="00280B65">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 xml:space="preserve">გვერდითი რეაქციები ყველაზე ხშირად ვლინდება მკურნალობის პირველ ან მეორე </w:t>
      </w:r>
      <w:r w:rsidR="00A76524" w:rsidRPr="00D66DA1">
        <w:rPr>
          <w:rFonts w:ascii="Sylfaen" w:hAnsi="Sylfaen"/>
          <w:noProof/>
          <w:sz w:val="24"/>
          <w:szCs w:val="24"/>
          <w:lang w:val="ka-GE"/>
        </w:rPr>
        <w:t xml:space="preserve">კვირაში </w:t>
      </w:r>
      <w:r w:rsidRPr="00D66DA1">
        <w:rPr>
          <w:rFonts w:ascii="Sylfaen" w:hAnsi="Sylfaen"/>
          <w:noProof/>
          <w:sz w:val="24"/>
          <w:szCs w:val="24"/>
          <w:lang w:val="ka-GE"/>
        </w:rPr>
        <w:t>და მათი ინტენსივობა და სიხშირე მკურნალობის ფონზე თანდათან მცირდება.</w:t>
      </w:r>
    </w:p>
    <w:p w14:paraId="4C871567" w14:textId="6BF62ED9" w:rsidR="00D456AE" w:rsidRPr="00D66DA1" w:rsidRDefault="00D456AE" w:rsidP="00280B65">
      <w:pPr>
        <w:spacing w:after="0" w:line="360" w:lineRule="auto"/>
        <w:ind w:left="-810" w:right="-211"/>
        <w:jc w:val="both"/>
        <w:rPr>
          <w:rFonts w:ascii="Sylfaen" w:hAnsi="Sylfaen"/>
          <w:b/>
          <w:bCs/>
          <w:noProof/>
          <w:sz w:val="24"/>
          <w:szCs w:val="24"/>
          <w:u w:val="single"/>
          <w:lang w:val="ka-GE"/>
        </w:rPr>
      </w:pPr>
      <w:r w:rsidRPr="00D66DA1">
        <w:rPr>
          <w:rFonts w:ascii="Sylfaen" w:hAnsi="Sylfaen"/>
          <w:b/>
          <w:bCs/>
          <w:noProof/>
          <w:sz w:val="24"/>
          <w:szCs w:val="24"/>
          <w:u w:val="single"/>
          <w:lang w:val="ka-GE"/>
        </w:rPr>
        <w:t>გვერდითი რეაქციების ჩამონათვალი მოცემულია ცხრილში</w:t>
      </w:r>
    </w:p>
    <w:p w14:paraId="5E703DE1" w14:textId="3138E630" w:rsidR="00D456AE" w:rsidRPr="00D66DA1" w:rsidRDefault="00821E81" w:rsidP="00280B65">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 xml:space="preserve">არასასურველი რეაქციები, რომლებიც </w:t>
      </w:r>
      <w:r w:rsidR="00A76524" w:rsidRPr="00D66DA1">
        <w:rPr>
          <w:rFonts w:ascii="Sylfaen" w:hAnsi="Sylfaen"/>
          <w:noProof/>
          <w:sz w:val="24"/>
          <w:szCs w:val="24"/>
          <w:lang w:val="ka-GE"/>
        </w:rPr>
        <w:t>გამო</w:t>
      </w:r>
      <w:r w:rsidRPr="00D66DA1">
        <w:rPr>
          <w:rFonts w:ascii="Sylfaen" w:hAnsi="Sylfaen"/>
          <w:noProof/>
          <w:sz w:val="24"/>
          <w:szCs w:val="24"/>
          <w:lang w:val="ka-GE"/>
        </w:rPr>
        <w:t>ვლინდა SSRI-ებისა და ასევე ესციტალოპრამის გამოყენებისას პლაცებოკონტროლირებული კლინიკური კვლევებში ან პრეპარატის რეალიზაციის პერიოდში, წარმოდგენილია ქვემოთ ორგანოთა სისტემური კლასისა და გამოვლენის სიხშირის მიხედვით.</w:t>
      </w:r>
    </w:p>
    <w:p w14:paraId="727F02D6" w14:textId="75878ED7" w:rsidR="00821E81" w:rsidRPr="00D66DA1" w:rsidRDefault="00821E81" w:rsidP="00280B65">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სიხშირის მონაცემები აღებულია კლინიკური კვლევებიდან; ეს არ არის პლაცებო-კორექტირებული.</w:t>
      </w:r>
    </w:p>
    <w:p w14:paraId="6C7FB55B" w14:textId="7A5D4995" w:rsidR="00821E81" w:rsidRPr="00D66DA1" w:rsidRDefault="00821E81" w:rsidP="00280B65">
      <w:pPr>
        <w:spacing w:after="0" w:line="360" w:lineRule="auto"/>
        <w:ind w:left="-810" w:right="-211"/>
        <w:jc w:val="both"/>
        <w:rPr>
          <w:rFonts w:ascii="Sylfaen" w:hAnsi="Sylfaen"/>
          <w:noProof/>
          <w:sz w:val="24"/>
          <w:szCs w:val="24"/>
          <w:lang w:val="ka-GE"/>
        </w:rPr>
      </w:pPr>
      <w:r w:rsidRPr="00D66DA1">
        <w:rPr>
          <w:rFonts w:ascii="Sylfaen" w:hAnsi="Sylfaen" w:cs="Sylfaen"/>
          <w:noProof/>
          <w:sz w:val="24"/>
          <w:szCs w:val="24"/>
          <w:lang w:val="ka-GE"/>
        </w:rPr>
        <w:t>სიხშირე განისაზღვრება შემდეგნაირად: ძალიან ხშირი (≥1/10 ), ხშირი (≥1/100 - &lt;1/10), არც თუ ისე ხშირი (≥1/1,000 - &lt;1/100), იშვიათი (≥1/10,000 - &lt;1/1,000), ძალიან იშვიათი (&lt;1/10, 000), უცნობი სიხშირის გვერდითი მოქმედებები (მათი გამოვლენის ზუსტი სიხშირე ვერ დგინდება არსებული მონაცემებით).</w:t>
      </w:r>
    </w:p>
    <w:tbl>
      <w:tblPr>
        <w:tblStyle w:val="TableGrid"/>
        <w:tblW w:w="10710" w:type="dxa"/>
        <w:tblInd w:w="-702" w:type="dxa"/>
        <w:tblLook w:val="04A0" w:firstRow="1" w:lastRow="0" w:firstColumn="1" w:lastColumn="0" w:noHBand="0" w:noVBand="1"/>
      </w:tblPr>
      <w:tblGrid>
        <w:gridCol w:w="3870"/>
        <w:gridCol w:w="1800"/>
        <w:gridCol w:w="5040"/>
      </w:tblGrid>
      <w:tr w:rsidR="00821E81" w:rsidRPr="00D66DA1" w14:paraId="0FDD6CD3" w14:textId="77777777" w:rsidTr="007F26A1">
        <w:tc>
          <w:tcPr>
            <w:tcW w:w="3870" w:type="dxa"/>
          </w:tcPr>
          <w:p w14:paraId="27851488" w14:textId="2DA3A667" w:rsidR="00821E81" w:rsidRPr="00D66DA1" w:rsidRDefault="00821E81" w:rsidP="00C80769">
            <w:pPr>
              <w:ind w:right="-211"/>
              <w:jc w:val="both"/>
              <w:rPr>
                <w:rFonts w:ascii="Sylfaen" w:hAnsi="Sylfaen"/>
                <w:b/>
                <w:bCs/>
                <w:noProof/>
                <w:sz w:val="24"/>
                <w:szCs w:val="24"/>
                <w:lang w:val="ka-GE"/>
              </w:rPr>
            </w:pPr>
            <w:r w:rsidRPr="00D66DA1">
              <w:rPr>
                <w:rFonts w:ascii="Sylfaen" w:hAnsi="Sylfaen"/>
                <w:b/>
                <w:bCs/>
                <w:noProof/>
                <w:sz w:val="24"/>
                <w:szCs w:val="24"/>
                <w:lang w:val="ka-GE"/>
              </w:rPr>
              <w:t>ორგანოთა სისტემა</w:t>
            </w:r>
          </w:p>
        </w:tc>
        <w:tc>
          <w:tcPr>
            <w:tcW w:w="1800" w:type="dxa"/>
          </w:tcPr>
          <w:p w14:paraId="37715B48" w14:textId="1588EE9F" w:rsidR="00821E81" w:rsidRPr="00D66DA1" w:rsidRDefault="00821E81" w:rsidP="00C80769">
            <w:pPr>
              <w:ind w:right="-211"/>
              <w:jc w:val="both"/>
              <w:rPr>
                <w:rFonts w:ascii="Sylfaen" w:hAnsi="Sylfaen"/>
                <w:b/>
                <w:bCs/>
                <w:noProof/>
                <w:sz w:val="24"/>
                <w:szCs w:val="24"/>
                <w:lang w:val="ka-GE"/>
              </w:rPr>
            </w:pPr>
            <w:r w:rsidRPr="00D66DA1">
              <w:rPr>
                <w:rFonts w:ascii="Sylfaen" w:hAnsi="Sylfaen"/>
                <w:b/>
                <w:bCs/>
                <w:noProof/>
                <w:sz w:val="24"/>
                <w:szCs w:val="24"/>
                <w:lang w:val="ka-GE"/>
              </w:rPr>
              <w:t>სიხშირე</w:t>
            </w:r>
          </w:p>
        </w:tc>
        <w:tc>
          <w:tcPr>
            <w:tcW w:w="5040" w:type="dxa"/>
          </w:tcPr>
          <w:p w14:paraId="12C7A3A3" w14:textId="0716B60A" w:rsidR="00821E81" w:rsidRPr="00D66DA1" w:rsidRDefault="00821E81" w:rsidP="00C80769">
            <w:pPr>
              <w:ind w:right="-18"/>
              <w:jc w:val="both"/>
              <w:rPr>
                <w:rFonts w:ascii="Sylfaen" w:hAnsi="Sylfaen"/>
                <w:b/>
                <w:bCs/>
                <w:noProof/>
                <w:sz w:val="24"/>
                <w:szCs w:val="24"/>
                <w:lang w:val="ka-GE"/>
              </w:rPr>
            </w:pPr>
            <w:r w:rsidRPr="00D66DA1">
              <w:rPr>
                <w:rFonts w:ascii="Sylfaen" w:hAnsi="Sylfaen"/>
                <w:b/>
                <w:bCs/>
                <w:noProof/>
                <w:sz w:val="24"/>
                <w:szCs w:val="24"/>
                <w:lang w:val="ka-GE"/>
              </w:rPr>
              <w:t>არასასურველი ეფექტი</w:t>
            </w:r>
          </w:p>
        </w:tc>
      </w:tr>
      <w:tr w:rsidR="00821E81" w:rsidRPr="00D66DA1" w14:paraId="561E5B42" w14:textId="77777777" w:rsidTr="007F26A1">
        <w:tc>
          <w:tcPr>
            <w:tcW w:w="3870" w:type="dxa"/>
          </w:tcPr>
          <w:p w14:paraId="3CA48E81" w14:textId="11F80F9A" w:rsidR="00821E81" w:rsidRPr="00D66DA1" w:rsidRDefault="00821E81" w:rsidP="00C80769">
            <w:pPr>
              <w:ind w:right="-71"/>
              <w:jc w:val="both"/>
              <w:rPr>
                <w:rFonts w:ascii="Sylfaen" w:hAnsi="Sylfaen"/>
                <w:noProof/>
                <w:sz w:val="24"/>
                <w:szCs w:val="24"/>
                <w:lang w:val="ka-GE"/>
              </w:rPr>
            </w:pPr>
            <w:r w:rsidRPr="00D66DA1">
              <w:rPr>
                <w:rFonts w:ascii="Sylfaen" w:hAnsi="Sylfaen"/>
                <w:noProof/>
                <w:sz w:val="24"/>
                <w:szCs w:val="24"/>
                <w:lang w:val="ka-GE"/>
              </w:rPr>
              <w:t>სისხლისა და ლიმფური სისტემის დარღვევები</w:t>
            </w:r>
          </w:p>
        </w:tc>
        <w:tc>
          <w:tcPr>
            <w:tcW w:w="1800" w:type="dxa"/>
          </w:tcPr>
          <w:p w14:paraId="0FFBB904" w14:textId="3603F0C3" w:rsidR="00821E81" w:rsidRPr="00D66DA1" w:rsidRDefault="00480307" w:rsidP="00C80769">
            <w:pPr>
              <w:ind w:right="-211"/>
              <w:jc w:val="both"/>
              <w:rPr>
                <w:rFonts w:ascii="Sylfaen" w:hAnsi="Sylfaen"/>
                <w:noProof/>
                <w:sz w:val="24"/>
                <w:szCs w:val="24"/>
                <w:lang w:val="ka-GE"/>
              </w:rPr>
            </w:pPr>
            <w:r w:rsidRPr="00D66DA1">
              <w:rPr>
                <w:rFonts w:ascii="Sylfaen" w:hAnsi="Sylfaen"/>
                <w:noProof/>
                <w:sz w:val="24"/>
                <w:szCs w:val="24"/>
                <w:lang w:val="ka-GE"/>
              </w:rPr>
              <w:t>უცნობი</w:t>
            </w:r>
          </w:p>
        </w:tc>
        <w:tc>
          <w:tcPr>
            <w:tcW w:w="5040" w:type="dxa"/>
          </w:tcPr>
          <w:p w14:paraId="46F5933D" w14:textId="1947626D" w:rsidR="00821E81" w:rsidRPr="00D66DA1" w:rsidRDefault="00480307" w:rsidP="00C80769">
            <w:pPr>
              <w:ind w:right="-18"/>
              <w:jc w:val="both"/>
              <w:rPr>
                <w:rFonts w:ascii="Sylfaen" w:hAnsi="Sylfaen"/>
                <w:noProof/>
                <w:sz w:val="24"/>
                <w:szCs w:val="24"/>
                <w:lang w:val="ka-GE"/>
              </w:rPr>
            </w:pPr>
            <w:r w:rsidRPr="00D66DA1">
              <w:rPr>
                <w:rFonts w:ascii="Sylfaen" w:hAnsi="Sylfaen"/>
                <w:noProof/>
                <w:sz w:val="24"/>
                <w:szCs w:val="24"/>
                <w:lang w:val="ka-GE"/>
              </w:rPr>
              <w:t>თრომბოციტოპენია</w:t>
            </w:r>
          </w:p>
        </w:tc>
      </w:tr>
      <w:tr w:rsidR="00821E81" w:rsidRPr="00D66DA1" w14:paraId="3E12952E" w14:textId="77777777" w:rsidTr="007F26A1">
        <w:tc>
          <w:tcPr>
            <w:tcW w:w="3870" w:type="dxa"/>
          </w:tcPr>
          <w:p w14:paraId="7B719CF0" w14:textId="7EC63993" w:rsidR="00821E81" w:rsidRPr="00D66DA1" w:rsidRDefault="00821E81" w:rsidP="00C80769">
            <w:pPr>
              <w:ind w:right="-71"/>
              <w:jc w:val="both"/>
              <w:rPr>
                <w:rFonts w:ascii="Sylfaen" w:hAnsi="Sylfaen"/>
                <w:noProof/>
                <w:sz w:val="24"/>
                <w:szCs w:val="24"/>
                <w:lang w:val="ka-GE"/>
              </w:rPr>
            </w:pPr>
            <w:r w:rsidRPr="00D66DA1">
              <w:rPr>
                <w:rFonts w:ascii="Sylfaen" w:hAnsi="Sylfaen"/>
                <w:noProof/>
                <w:sz w:val="24"/>
                <w:szCs w:val="24"/>
                <w:lang w:val="ka-GE"/>
              </w:rPr>
              <w:t>იმუნური სისტემის დარღვევები</w:t>
            </w:r>
          </w:p>
        </w:tc>
        <w:tc>
          <w:tcPr>
            <w:tcW w:w="1800" w:type="dxa"/>
          </w:tcPr>
          <w:p w14:paraId="509EA56A" w14:textId="2D2D6F91" w:rsidR="00821E81" w:rsidRPr="00D66DA1" w:rsidRDefault="00480307" w:rsidP="00C80769">
            <w:pPr>
              <w:ind w:right="-211"/>
              <w:jc w:val="both"/>
              <w:rPr>
                <w:rFonts w:ascii="Sylfaen" w:hAnsi="Sylfaen"/>
                <w:noProof/>
                <w:sz w:val="24"/>
                <w:szCs w:val="24"/>
                <w:lang w:val="ka-GE"/>
              </w:rPr>
            </w:pPr>
            <w:r w:rsidRPr="00D66DA1">
              <w:rPr>
                <w:rFonts w:ascii="Sylfaen" w:hAnsi="Sylfaen"/>
                <w:noProof/>
                <w:sz w:val="24"/>
                <w:szCs w:val="24"/>
                <w:lang w:val="ka-GE"/>
              </w:rPr>
              <w:t>იშვიათი</w:t>
            </w:r>
          </w:p>
        </w:tc>
        <w:tc>
          <w:tcPr>
            <w:tcW w:w="5040" w:type="dxa"/>
          </w:tcPr>
          <w:p w14:paraId="713CA1A8" w14:textId="3133B051" w:rsidR="00821E81" w:rsidRPr="00D66DA1" w:rsidRDefault="00480307" w:rsidP="00C80769">
            <w:pPr>
              <w:ind w:right="-18"/>
              <w:jc w:val="both"/>
              <w:rPr>
                <w:rFonts w:ascii="Sylfaen" w:hAnsi="Sylfaen"/>
                <w:noProof/>
                <w:sz w:val="24"/>
                <w:szCs w:val="24"/>
                <w:lang w:val="ka-GE"/>
              </w:rPr>
            </w:pPr>
            <w:r w:rsidRPr="00D66DA1">
              <w:rPr>
                <w:rFonts w:ascii="Sylfaen" w:hAnsi="Sylfaen"/>
                <w:noProof/>
                <w:sz w:val="24"/>
                <w:szCs w:val="24"/>
                <w:lang w:val="ka-GE"/>
              </w:rPr>
              <w:t>ანაფილაქსიური რეაქცია</w:t>
            </w:r>
          </w:p>
        </w:tc>
      </w:tr>
      <w:tr w:rsidR="00821E81" w:rsidRPr="00D66DA1" w14:paraId="6C1A65BA" w14:textId="77777777" w:rsidTr="007F26A1">
        <w:tc>
          <w:tcPr>
            <w:tcW w:w="3870" w:type="dxa"/>
          </w:tcPr>
          <w:p w14:paraId="659FD37B" w14:textId="0C714C48" w:rsidR="00821E81" w:rsidRPr="00D66DA1" w:rsidRDefault="00821E81" w:rsidP="00C80769">
            <w:pPr>
              <w:ind w:right="-71"/>
              <w:jc w:val="both"/>
              <w:rPr>
                <w:rFonts w:ascii="Sylfaen" w:hAnsi="Sylfaen"/>
                <w:noProof/>
                <w:sz w:val="24"/>
                <w:szCs w:val="24"/>
                <w:lang w:val="ka-GE"/>
              </w:rPr>
            </w:pPr>
            <w:r w:rsidRPr="00D66DA1">
              <w:rPr>
                <w:rFonts w:ascii="Sylfaen" w:hAnsi="Sylfaen"/>
                <w:noProof/>
                <w:sz w:val="24"/>
                <w:szCs w:val="24"/>
                <w:lang w:val="ka-GE"/>
              </w:rPr>
              <w:lastRenderedPageBreak/>
              <w:t>ენდოკრინული სისტემის დარღვევები</w:t>
            </w:r>
          </w:p>
        </w:tc>
        <w:tc>
          <w:tcPr>
            <w:tcW w:w="1800" w:type="dxa"/>
          </w:tcPr>
          <w:p w14:paraId="3F811417" w14:textId="3FED5F13" w:rsidR="00821E81" w:rsidRPr="00D66DA1" w:rsidRDefault="00480307" w:rsidP="00C80769">
            <w:pPr>
              <w:ind w:right="-211"/>
              <w:jc w:val="both"/>
              <w:rPr>
                <w:rFonts w:ascii="Sylfaen" w:hAnsi="Sylfaen"/>
                <w:noProof/>
                <w:sz w:val="24"/>
                <w:szCs w:val="24"/>
                <w:lang w:val="ka-GE"/>
              </w:rPr>
            </w:pPr>
            <w:r w:rsidRPr="00D66DA1">
              <w:rPr>
                <w:rFonts w:ascii="Sylfaen" w:hAnsi="Sylfaen"/>
                <w:noProof/>
                <w:sz w:val="24"/>
                <w:szCs w:val="24"/>
                <w:lang w:val="ka-GE"/>
              </w:rPr>
              <w:t>უცნობი</w:t>
            </w:r>
          </w:p>
        </w:tc>
        <w:tc>
          <w:tcPr>
            <w:tcW w:w="5040" w:type="dxa"/>
          </w:tcPr>
          <w:p w14:paraId="55EC7A3D" w14:textId="7FF8EEE7" w:rsidR="00821E81" w:rsidRPr="00D66DA1" w:rsidRDefault="00480307" w:rsidP="00C80769">
            <w:pPr>
              <w:ind w:right="-18"/>
              <w:jc w:val="both"/>
              <w:rPr>
                <w:rFonts w:ascii="Sylfaen" w:hAnsi="Sylfaen"/>
                <w:noProof/>
                <w:sz w:val="24"/>
                <w:szCs w:val="24"/>
                <w:lang w:val="ka-GE"/>
              </w:rPr>
            </w:pPr>
            <w:r w:rsidRPr="00D66DA1">
              <w:rPr>
                <w:rFonts w:ascii="Sylfaen" w:hAnsi="Sylfaen"/>
                <w:noProof/>
                <w:sz w:val="24"/>
                <w:szCs w:val="24"/>
                <w:lang w:val="ka-GE"/>
              </w:rPr>
              <w:t>ანტიდიურეზული ჰორმონის არასათანადო  სეკრეცია</w:t>
            </w:r>
          </w:p>
        </w:tc>
      </w:tr>
      <w:tr w:rsidR="00C31807" w:rsidRPr="00D66DA1" w14:paraId="2943AC9A" w14:textId="77777777" w:rsidTr="007F26A1">
        <w:tc>
          <w:tcPr>
            <w:tcW w:w="3870" w:type="dxa"/>
            <w:vMerge w:val="restart"/>
          </w:tcPr>
          <w:p w14:paraId="29FDE72D" w14:textId="77777777" w:rsidR="00A76524" w:rsidRPr="00D66DA1" w:rsidRDefault="00A76524" w:rsidP="00C80769">
            <w:pPr>
              <w:ind w:right="-71"/>
              <w:jc w:val="both"/>
              <w:rPr>
                <w:rFonts w:ascii="Sylfaen" w:hAnsi="Sylfaen"/>
                <w:noProof/>
                <w:sz w:val="24"/>
                <w:szCs w:val="24"/>
                <w:lang w:val="ka-GE"/>
              </w:rPr>
            </w:pPr>
          </w:p>
          <w:p w14:paraId="3E55543F" w14:textId="6EE388A4" w:rsidR="00C31807" w:rsidRPr="00D66DA1" w:rsidRDefault="00C31807" w:rsidP="00C80769">
            <w:pPr>
              <w:ind w:right="-71"/>
              <w:jc w:val="both"/>
              <w:rPr>
                <w:rFonts w:ascii="Sylfaen" w:hAnsi="Sylfaen"/>
                <w:noProof/>
                <w:sz w:val="24"/>
                <w:szCs w:val="24"/>
                <w:lang w:val="ka-GE"/>
              </w:rPr>
            </w:pPr>
            <w:r w:rsidRPr="00D66DA1">
              <w:rPr>
                <w:rFonts w:ascii="Sylfaen" w:hAnsi="Sylfaen"/>
                <w:noProof/>
                <w:sz w:val="24"/>
                <w:szCs w:val="24"/>
                <w:lang w:val="ka-GE"/>
              </w:rPr>
              <w:t>მეტაბოლური და კვებითი დარღვევები</w:t>
            </w:r>
          </w:p>
        </w:tc>
        <w:tc>
          <w:tcPr>
            <w:tcW w:w="1800" w:type="dxa"/>
          </w:tcPr>
          <w:p w14:paraId="6A8DCAD4" w14:textId="79AEBB05" w:rsidR="00C31807" w:rsidRPr="00D66DA1" w:rsidRDefault="00C31807" w:rsidP="00C80769">
            <w:pPr>
              <w:ind w:right="-211"/>
              <w:jc w:val="both"/>
              <w:rPr>
                <w:rFonts w:ascii="Sylfaen" w:hAnsi="Sylfaen"/>
                <w:noProof/>
                <w:sz w:val="24"/>
                <w:szCs w:val="24"/>
                <w:lang w:val="ka-GE"/>
              </w:rPr>
            </w:pPr>
            <w:r w:rsidRPr="00D66DA1">
              <w:rPr>
                <w:rFonts w:ascii="Sylfaen" w:hAnsi="Sylfaen"/>
                <w:noProof/>
                <w:sz w:val="24"/>
                <w:szCs w:val="24"/>
                <w:lang w:val="ka-GE"/>
              </w:rPr>
              <w:t>ხშირი</w:t>
            </w:r>
          </w:p>
        </w:tc>
        <w:tc>
          <w:tcPr>
            <w:tcW w:w="5040" w:type="dxa"/>
          </w:tcPr>
          <w:p w14:paraId="5CAB0DF7" w14:textId="6B9FD514" w:rsidR="00C31807" w:rsidRPr="00D66DA1" w:rsidRDefault="00C31807" w:rsidP="00C80769">
            <w:pPr>
              <w:ind w:right="-18"/>
              <w:jc w:val="both"/>
              <w:rPr>
                <w:rFonts w:ascii="Sylfaen" w:hAnsi="Sylfaen"/>
                <w:noProof/>
                <w:sz w:val="24"/>
                <w:szCs w:val="24"/>
                <w:lang w:val="ka-GE"/>
              </w:rPr>
            </w:pPr>
            <w:r w:rsidRPr="00D66DA1">
              <w:rPr>
                <w:rFonts w:ascii="Sylfaen" w:hAnsi="Sylfaen"/>
                <w:noProof/>
                <w:sz w:val="24"/>
                <w:szCs w:val="24"/>
                <w:lang w:val="ka-GE"/>
              </w:rPr>
              <w:t>მადის დაქვეითება, მადის მატება, წონის მატება</w:t>
            </w:r>
          </w:p>
        </w:tc>
      </w:tr>
      <w:tr w:rsidR="00C31807" w:rsidRPr="00D66DA1" w14:paraId="71089D32" w14:textId="77777777" w:rsidTr="007F26A1">
        <w:tc>
          <w:tcPr>
            <w:tcW w:w="3870" w:type="dxa"/>
            <w:vMerge/>
          </w:tcPr>
          <w:p w14:paraId="7EF3F72C" w14:textId="77777777" w:rsidR="00C31807" w:rsidRPr="00D66DA1" w:rsidRDefault="00C31807" w:rsidP="00C80769">
            <w:pPr>
              <w:ind w:right="-71"/>
              <w:jc w:val="both"/>
              <w:rPr>
                <w:rFonts w:ascii="Sylfaen" w:hAnsi="Sylfaen"/>
                <w:noProof/>
                <w:sz w:val="24"/>
                <w:szCs w:val="24"/>
                <w:lang w:val="ka-GE"/>
              </w:rPr>
            </w:pPr>
          </w:p>
        </w:tc>
        <w:tc>
          <w:tcPr>
            <w:tcW w:w="1800" w:type="dxa"/>
          </w:tcPr>
          <w:p w14:paraId="705E58E1" w14:textId="06F5FE48" w:rsidR="00C31807" w:rsidRPr="00D66DA1" w:rsidRDefault="00C31807" w:rsidP="00C80769">
            <w:pPr>
              <w:ind w:right="-211"/>
              <w:jc w:val="both"/>
              <w:rPr>
                <w:rFonts w:ascii="Sylfaen" w:hAnsi="Sylfaen"/>
                <w:noProof/>
                <w:sz w:val="24"/>
                <w:szCs w:val="24"/>
                <w:lang w:val="ka-GE"/>
              </w:rPr>
            </w:pPr>
            <w:r w:rsidRPr="00D66DA1">
              <w:rPr>
                <w:rFonts w:ascii="Sylfaen" w:hAnsi="Sylfaen"/>
                <w:noProof/>
                <w:sz w:val="24"/>
                <w:szCs w:val="24"/>
                <w:lang w:val="ka-GE"/>
              </w:rPr>
              <w:t>არახშირი</w:t>
            </w:r>
          </w:p>
        </w:tc>
        <w:tc>
          <w:tcPr>
            <w:tcW w:w="5040" w:type="dxa"/>
          </w:tcPr>
          <w:p w14:paraId="6E84A05A" w14:textId="63B60007" w:rsidR="00C31807" w:rsidRPr="00D66DA1" w:rsidRDefault="00C31807" w:rsidP="00C80769">
            <w:pPr>
              <w:ind w:right="-18"/>
              <w:jc w:val="both"/>
              <w:rPr>
                <w:rFonts w:ascii="Sylfaen" w:hAnsi="Sylfaen"/>
                <w:noProof/>
                <w:sz w:val="24"/>
                <w:szCs w:val="24"/>
                <w:lang w:val="ka-GE"/>
              </w:rPr>
            </w:pPr>
            <w:r w:rsidRPr="00D66DA1">
              <w:rPr>
                <w:rFonts w:ascii="Sylfaen" w:hAnsi="Sylfaen"/>
                <w:noProof/>
                <w:sz w:val="24"/>
                <w:szCs w:val="24"/>
                <w:lang w:val="ka-GE"/>
              </w:rPr>
              <w:t>წონის კლება</w:t>
            </w:r>
          </w:p>
        </w:tc>
      </w:tr>
      <w:tr w:rsidR="00C31807" w:rsidRPr="00D66DA1" w14:paraId="1823B43E" w14:textId="77777777" w:rsidTr="007F26A1">
        <w:tc>
          <w:tcPr>
            <w:tcW w:w="3870" w:type="dxa"/>
            <w:vMerge/>
          </w:tcPr>
          <w:p w14:paraId="07B78A4D" w14:textId="77777777" w:rsidR="00C31807" w:rsidRPr="00D66DA1" w:rsidRDefault="00C31807" w:rsidP="00C80769">
            <w:pPr>
              <w:ind w:right="-71"/>
              <w:jc w:val="both"/>
              <w:rPr>
                <w:rFonts w:ascii="Sylfaen" w:hAnsi="Sylfaen"/>
                <w:noProof/>
                <w:sz w:val="24"/>
                <w:szCs w:val="24"/>
                <w:lang w:val="ka-GE"/>
              </w:rPr>
            </w:pPr>
          </w:p>
        </w:tc>
        <w:tc>
          <w:tcPr>
            <w:tcW w:w="1800" w:type="dxa"/>
          </w:tcPr>
          <w:p w14:paraId="27417089" w14:textId="15687DA8" w:rsidR="00C31807" w:rsidRPr="00D66DA1" w:rsidRDefault="00C31807" w:rsidP="00C80769">
            <w:pPr>
              <w:ind w:right="-211"/>
              <w:jc w:val="both"/>
              <w:rPr>
                <w:rFonts w:ascii="Sylfaen" w:hAnsi="Sylfaen"/>
                <w:noProof/>
                <w:sz w:val="24"/>
                <w:szCs w:val="24"/>
                <w:lang w:val="ka-GE"/>
              </w:rPr>
            </w:pPr>
            <w:r w:rsidRPr="00D66DA1">
              <w:rPr>
                <w:rFonts w:ascii="Sylfaen" w:hAnsi="Sylfaen"/>
                <w:noProof/>
                <w:sz w:val="24"/>
                <w:szCs w:val="24"/>
                <w:lang w:val="ka-GE"/>
              </w:rPr>
              <w:t>უცნობი</w:t>
            </w:r>
          </w:p>
        </w:tc>
        <w:tc>
          <w:tcPr>
            <w:tcW w:w="5040" w:type="dxa"/>
          </w:tcPr>
          <w:p w14:paraId="1486F2F7" w14:textId="50FF3B19" w:rsidR="00C31807" w:rsidRPr="00D66DA1" w:rsidRDefault="002C315A" w:rsidP="00C80769">
            <w:pPr>
              <w:ind w:right="-18"/>
              <w:jc w:val="both"/>
              <w:rPr>
                <w:rFonts w:ascii="Sylfaen" w:hAnsi="Sylfaen"/>
                <w:noProof/>
                <w:sz w:val="24"/>
                <w:szCs w:val="24"/>
                <w:lang w:val="ka-GE"/>
              </w:rPr>
            </w:pPr>
            <w:r w:rsidRPr="00D66DA1">
              <w:rPr>
                <w:rFonts w:ascii="Sylfaen" w:hAnsi="Sylfaen"/>
                <w:noProof/>
                <w:sz w:val="24"/>
                <w:szCs w:val="24"/>
                <w:lang w:val="ka-GE"/>
              </w:rPr>
              <w:t>ჰიპონატრიემია, ანორექსია</w:t>
            </w:r>
            <w:r w:rsidR="00745802" w:rsidRPr="00D66DA1">
              <w:rPr>
                <w:rFonts w:ascii="Sylfaen" w:hAnsi="Sylfaen"/>
                <w:noProof/>
                <w:sz w:val="24"/>
                <w:szCs w:val="24"/>
                <w:vertAlign w:val="superscript"/>
                <w:lang w:val="ka-GE"/>
              </w:rPr>
              <w:t>2</w:t>
            </w:r>
          </w:p>
        </w:tc>
      </w:tr>
      <w:tr w:rsidR="00547A1D" w:rsidRPr="00D66DA1" w14:paraId="20C56519" w14:textId="77777777" w:rsidTr="007F26A1">
        <w:tc>
          <w:tcPr>
            <w:tcW w:w="3870" w:type="dxa"/>
            <w:vMerge w:val="restart"/>
          </w:tcPr>
          <w:p w14:paraId="772BED33" w14:textId="77777777" w:rsidR="007F26A1" w:rsidRPr="00D66DA1" w:rsidRDefault="007F26A1" w:rsidP="00C80769">
            <w:pPr>
              <w:ind w:right="-71"/>
              <w:jc w:val="both"/>
              <w:rPr>
                <w:rFonts w:ascii="Sylfaen" w:hAnsi="Sylfaen"/>
                <w:noProof/>
                <w:sz w:val="24"/>
                <w:szCs w:val="24"/>
                <w:lang w:val="ka-GE"/>
              </w:rPr>
            </w:pPr>
          </w:p>
          <w:p w14:paraId="533D2EDA" w14:textId="77777777" w:rsidR="007F26A1" w:rsidRPr="00D66DA1" w:rsidRDefault="007F26A1" w:rsidP="00C80769">
            <w:pPr>
              <w:ind w:right="-71"/>
              <w:jc w:val="both"/>
              <w:rPr>
                <w:rFonts w:ascii="Sylfaen" w:hAnsi="Sylfaen"/>
                <w:noProof/>
                <w:sz w:val="24"/>
                <w:szCs w:val="24"/>
                <w:lang w:val="ka-GE"/>
              </w:rPr>
            </w:pPr>
          </w:p>
          <w:p w14:paraId="6D122BA5" w14:textId="6B37B58F" w:rsidR="00547A1D" w:rsidRPr="00D66DA1" w:rsidRDefault="00547A1D" w:rsidP="00C80769">
            <w:pPr>
              <w:ind w:right="-71"/>
              <w:jc w:val="both"/>
              <w:rPr>
                <w:rFonts w:ascii="Sylfaen" w:hAnsi="Sylfaen"/>
                <w:noProof/>
                <w:sz w:val="24"/>
                <w:szCs w:val="24"/>
                <w:lang w:val="ka-GE"/>
              </w:rPr>
            </w:pPr>
            <w:r w:rsidRPr="00D66DA1">
              <w:rPr>
                <w:rFonts w:ascii="Sylfaen" w:hAnsi="Sylfaen"/>
                <w:noProof/>
                <w:sz w:val="24"/>
                <w:szCs w:val="24"/>
                <w:lang w:val="ka-GE"/>
              </w:rPr>
              <w:t>ფსიქიკური დარღვევები</w:t>
            </w:r>
          </w:p>
        </w:tc>
        <w:tc>
          <w:tcPr>
            <w:tcW w:w="1800" w:type="dxa"/>
          </w:tcPr>
          <w:p w14:paraId="6D214BE1" w14:textId="1A96D410" w:rsidR="00547A1D" w:rsidRPr="00D66DA1" w:rsidRDefault="00547A1D" w:rsidP="00C80769">
            <w:pPr>
              <w:ind w:right="-211"/>
              <w:jc w:val="both"/>
              <w:rPr>
                <w:rFonts w:ascii="Sylfaen" w:hAnsi="Sylfaen"/>
                <w:noProof/>
                <w:sz w:val="24"/>
                <w:szCs w:val="24"/>
                <w:lang w:val="ka-GE"/>
              </w:rPr>
            </w:pPr>
            <w:r w:rsidRPr="00D66DA1">
              <w:rPr>
                <w:rFonts w:ascii="Sylfaen" w:hAnsi="Sylfaen"/>
                <w:noProof/>
                <w:sz w:val="24"/>
                <w:szCs w:val="24"/>
                <w:lang w:val="ka-GE"/>
              </w:rPr>
              <w:t>ხშირი</w:t>
            </w:r>
          </w:p>
        </w:tc>
        <w:tc>
          <w:tcPr>
            <w:tcW w:w="5040" w:type="dxa"/>
          </w:tcPr>
          <w:p w14:paraId="3168E928" w14:textId="70092D71" w:rsidR="00547A1D" w:rsidRPr="00D66DA1" w:rsidRDefault="00745802" w:rsidP="00C80769">
            <w:pPr>
              <w:ind w:right="-18"/>
              <w:jc w:val="both"/>
              <w:rPr>
                <w:rFonts w:ascii="Sylfaen" w:hAnsi="Sylfaen"/>
                <w:noProof/>
                <w:sz w:val="24"/>
                <w:szCs w:val="24"/>
                <w:lang w:val="ka-GE"/>
              </w:rPr>
            </w:pPr>
            <w:r w:rsidRPr="00D66DA1">
              <w:rPr>
                <w:rFonts w:ascii="Sylfaen" w:hAnsi="Sylfaen"/>
                <w:noProof/>
                <w:sz w:val="24"/>
                <w:szCs w:val="24"/>
                <w:lang w:val="ka-GE"/>
              </w:rPr>
              <w:t>შფოთვა, მღელვარება, პათოლოგიური სიზმრები, ლიბიდოს დაქვეითება, ქალებში: ანორგაზმია</w:t>
            </w:r>
          </w:p>
        </w:tc>
      </w:tr>
      <w:tr w:rsidR="00547A1D" w:rsidRPr="00D66DA1" w14:paraId="1038F777" w14:textId="77777777" w:rsidTr="007F26A1">
        <w:tc>
          <w:tcPr>
            <w:tcW w:w="3870" w:type="dxa"/>
            <w:vMerge/>
          </w:tcPr>
          <w:p w14:paraId="09EC6948" w14:textId="77777777" w:rsidR="00547A1D" w:rsidRPr="00D66DA1" w:rsidRDefault="00547A1D" w:rsidP="00C80769">
            <w:pPr>
              <w:ind w:right="-71"/>
              <w:jc w:val="both"/>
              <w:rPr>
                <w:rFonts w:ascii="Sylfaen" w:hAnsi="Sylfaen"/>
                <w:noProof/>
                <w:sz w:val="24"/>
                <w:szCs w:val="24"/>
                <w:lang w:val="ka-GE"/>
              </w:rPr>
            </w:pPr>
          </w:p>
        </w:tc>
        <w:tc>
          <w:tcPr>
            <w:tcW w:w="1800" w:type="dxa"/>
          </w:tcPr>
          <w:p w14:paraId="4D8FA9E6" w14:textId="419FD6E8" w:rsidR="00547A1D" w:rsidRPr="00D66DA1" w:rsidRDefault="00547A1D" w:rsidP="00C80769">
            <w:pPr>
              <w:ind w:right="-211"/>
              <w:jc w:val="both"/>
              <w:rPr>
                <w:rFonts w:ascii="Sylfaen" w:hAnsi="Sylfaen"/>
                <w:noProof/>
                <w:sz w:val="24"/>
                <w:szCs w:val="24"/>
                <w:lang w:val="ka-GE"/>
              </w:rPr>
            </w:pPr>
            <w:r w:rsidRPr="00D66DA1">
              <w:rPr>
                <w:rFonts w:ascii="Sylfaen" w:hAnsi="Sylfaen"/>
                <w:noProof/>
                <w:sz w:val="24"/>
                <w:szCs w:val="24"/>
                <w:lang w:val="ka-GE"/>
              </w:rPr>
              <w:t>არახშირი</w:t>
            </w:r>
          </w:p>
        </w:tc>
        <w:tc>
          <w:tcPr>
            <w:tcW w:w="5040" w:type="dxa"/>
          </w:tcPr>
          <w:p w14:paraId="1B75C5FB" w14:textId="109F256D" w:rsidR="00547A1D" w:rsidRPr="00D66DA1" w:rsidRDefault="00745802" w:rsidP="00C80769">
            <w:pPr>
              <w:ind w:right="-18"/>
              <w:jc w:val="both"/>
              <w:rPr>
                <w:rFonts w:ascii="Sylfaen" w:hAnsi="Sylfaen"/>
                <w:noProof/>
                <w:sz w:val="24"/>
                <w:szCs w:val="24"/>
                <w:lang w:val="ka-GE"/>
              </w:rPr>
            </w:pPr>
            <w:r w:rsidRPr="00D66DA1">
              <w:rPr>
                <w:rFonts w:ascii="Sylfaen" w:hAnsi="Sylfaen"/>
                <w:noProof/>
                <w:sz w:val="24"/>
                <w:szCs w:val="24"/>
                <w:lang w:val="ka-GE"/>
              </w:rPr>
              <w:t>ბრუქსიზმი, აჟიტაცია, ნევროზულობა, პანიკური შეტევა, დაბნეულობა</w:t>
            </w:r>
          </w:p>
        </w:tc>
      </w:tr>
      <w:tr w:rsidR="00547A1D" w:rsidRPr="00D66DA1" w14:paraId="3201AE9E" w14:textId="77777777" w:rsidTr="007F26A1">
        <w:tc>
          <w:tcPr>
            <w:tcW w:w="3870" w:type="dxa"/>
            <w:vMerge/>
          </w:tcPr>
          <w:p w14:paraId="34BD4AB1" w14:textId="77777777" w:rsidR="00547A1D" w:rsidRPr="00D66DA1" w:rsidRDefault="00547A1D" w:rsidP="00C80769">
            <w:pPr>
              <w:ind w:right="-71"/>
              <w:jc w:val="both"/>
              <w:rPr>
                <w:rFonts w:ascii="Sylfaen" w:hAnsi="Sylfaen"/>
                <w:noProof/>
                <w:sz w:val="24"/>
                <w:szCs w:val="24"/>
                <w:lang w:val="ka-GE"/>
              </w:rPr>
            </w:pPr>
          </w:p>
        </w:tc>
        <w:tc>
          <w:tcPr>
            <w:tcW w:w="1800" w:type="dxa"/>
          </w:tcPr>
          <w:p w14:paraId="5CE730AE" w14:textId="2DCDE57C" w:rsidR="00547A1D" w:rsidRPr="00D66DA1" w:rsidRDefault="00547A1D" w:rsidP="00C80769">
            <w:pPr>
              <w:ind w:right="-211"/>
              <w:jc w:val="both"/>
              <w:rPr>
                <w:rFonts w:ascii="Sylfaen" w:hAnsi="Sylfaen"/>
                <w:noProof/>
                <w:sz w:val="24"/>
                <w:szCs w:val="24"/>
                <w:lang w:val="ka-GE"/>
              </w:rPr>
            </w:pPr>
            <w:r w:rsidRPr="00D66DA1">
              <w:rPr>
                <w:rFonts w:ascii="Sylfaen" w:hAnsi="Sylfaen"/>
                <w:noProof/>
                <w:sz w:val="24"/>
                <w:szCs w:val="24"/>
                <w:lang w:val="ka-GE"/>
              </w:rPr>
              <w:t>იშვიათი</w:t>
            </w:r>
          </w:p>
        </w:tc>
        <w:tc>
          <w:tcPr>
            <w:tcW w:w="5040" w:type="dxa"/>
          </w:tcPr>
          <w:p w14:paraId="2C436EE2" w14:textId="1E7F2C64" w:rsidR="00547A1D" w:rsidRPr="00D66DA1" w:rsidRDefault="00745802" w:rsidP="00C80769">
            <w:pPr>
              <w:ind w:right="-18"/>
              <w:jc w:val="both"/>
              <w:rPr>
                <w:rFonts w:ascii="Sylfaen" w:hAnsi="Sylfaen"/>
                <w:noProof/>
                <w:sz w:val="24"/>
                <w:szCs w:val="24"/>
                <w:lang w:val="ka-GE"/>
              </w:rPr>
            </w:pPr>
            <w:r w:rsidRPr="00D66DA1">
              <w:rPr>
                <w:rFonts w:ascii="Sylfaen" w:hAnsi="Sylfaen"/>
                <w:noProof/>
                <w:sz w:val="24"/>
                <w:szCs w:val="24"/>
                <w:lang w:val="ka-GE"/>
              </w:rPr>
              <w:t>აგრესია, დეპერსონილიზაცია, ჰალუცინაციები</w:t>
            </w:r>
          </w:p>
        </w:tc>
      </w:tr>
      <w:tr w:rsidR="00547A1D" w:rsidRPr="00D66DA1" w14:paraId="797CDC2D" w14:textId="77777777" w:rsidTr="007F26A1">
        <w:tc>
          <w:tcPr>
            <w:tcW w:w="3870" w:type="dxa"/>
            <w:vMerge/>
          </w:tcPr>
          <w:p w14:paraId="56438D11" w14:textId="77777777" w:rsidR="00547A1D" w:rsidRPr="00D66DA1" w:rsidRDefault="00547A1D" w:rsidP="00C80769">
            <w:pPr>
              <w:ind w:right="-71"/>
              <w:jc w:val="both"/>
              <w:rPr>
                <w:rFonts w:ascii="Sylfaen" w:hAnsi="Sylfaen"/>
                <w:noProof/>
                <w:sz w:val="24"/>
                <w:szCs w:val="24"/>
                <w:lang w:val="ka-GE"/>
              </w:rPr>
            </w:pPr>
          </w:p>
        </w:tc>
        <w:tc>
          <w:tcPr>
            <w:tcW w:w="1800" w:type="dxa"/>
          </w:tcPr>
          <w:p w14:paraId="7887B591" w14:textId="0C6007E7" w:rsidR="00547A1D" w:rsidRPr="00D66DA1" w:rsidRDefault="00547A1D" w:rsidP="00C80769">
            <w:pPr>
              <w:ind w:right="-211"/>
              <w:jc w:val="both"/>
              <w:rPr>
                <w:rFonts w:ascii="Sylfaen" w:hAnsi="Sylfaen"/>
                <w:noProof/>
                <w:sz w:val="24"/>
                <w:szCs w:val="24"/>
                <w:lang w:val="ka-GE"/>
              </w:rPr>
            </w:pPr>
            <w:r w:rsidRPr="00D66DA1">
              <w:rPr>
                <w:rFonts w:ascii="Sylfaen" w:hAnsi="Sylfaen"/>
                <w:noProof/>
                <w:sz w:val="24"/>
                <w:szCs w:val="24"/>
                <w:lang w:val="ka-GE"/>
              </w:rPr>
              <w:t>უცნობი</w:t>
            </w:r>
          </w:p>
        </w:tc>
        <w:tc>
          <w:tcPr>
            <w:tcW w:w="5040" w:type="dxa"/>
          </w:tcPr>
          <w:p w14:paraId="094D6734" w14:textId="62BB92E5" w:rsidR="00547A1D" w:rsidRPr="00D66DA1" w:rsidRDefault="00745802" w:rsidP="00C80769">
            <w:pPr>
              <w:ind w:right="-18"/>
              <w:jc w:val="both"/>
              <w:rPr>
                <w:rFonts w:ascii="Sylfaen" w:hAnsi="Sylfaen"/>
                <w:noProof/>
                <w:sz w:val="24"/>
                <w:szCs w:val="24"/>
                <w:lang w:val="ka-GE"/>
              </w:rPr>
            </w:pPr>
            <w:r w:rsidRPr="00D66DA1">
              <w:rPr>
                <w:rFonts w:ascii="Sylfaen" w:hAnsi="Sylfaen"/>
                <w:noProof/>
                <w:sz w:val="24"/>
                <w:szCs w:val="24"/>
                <w:lang w:val="ka-GE"/>
              </w:rPr>
              <w:t>მანია, სუიციდური აზრები,  სუიციდური ქცევა</w:t>
            </w:r>
            <w:r w:rsidRPr="00D66DA1">
              <w:rPr>
                <w:rFonts w:ascii="Sylfaen" w:hAnsi="Sylfaen"/>
                <w:noProof/>
                <w:sz w:val="24"/>
                <w:szCs w:val="24"/>
                <w:vertAlign w:val="superscript"/>
                <w:lang w:val="ka-GE"/>
              </w:rPr>
              <w:t>1</w:t>
            </w:r>
          </w:p>
        </w:tc>
      </w:tr>
      <w:tr w:rsidR="00C35901" w:rsidRPr="00D66DA1" w14:paraId="311D3AC8" w14:textId="77777777" w:rsidTr="007F26A1">
        <w:tc>
          <w:tcPr>
            <w:tcW w:w="3870" w:type="dxa"/>
            <w:vMerge w:val="restart"/>
          </w:tcPr>
          <w:p w14:paraId="7D8BCD2D" w14:textId="70681C44" w:rsidR="00C35901" w:rsidRPr="00D66DA1" w:rsidRDefault="00C35901" w:rsidP="00C80769">
            <w:pPr>
              <w:ind w:right="-71"/>
              <w:jc w:val="both"/>
              <w:rPr>
                <w:rFonts w:ascii="Sylfaen" w:hAnsi="Sylfaen"/>
                <w:noProof/>
                <w:sz w:val="24"/>
                <w:szCs w:val="24"/>
                <w:lang w:val="ka-GE"/>
              </w:rPr>
            </w:pPr>
            <w:r w:rsidRPr="00D66DA1">
              <w:rPr>
                <w:rFonts w:ascii="Sylfaen" w:hAnsi="Sylfaen"/>
                <w:noProof/>
                <w:sz w:val="24"/>
                <w:szCs w:val="24"/>
                <w:lang w:val="ka-GE"/>
              </w:rPr>
              <w:t>ნერვული სისტემის დარღვევები </w:t>
            </w:r>
          </w:p>
        </w:tc>
        <w:tc>
          <w:tcPr>
            <w:tcW w:w="1800" w:type="dxa"/>
          </w:tcPr>
          <w:p w14:paraId="774B3D8B" w14:textId="4CD5608E" w:rsidR="00C35901" w:rsidRPr="00D66DA1" w:rsidRDefault="00C35901" w:rsidP="00C80769">
            <w:pPr>
              <w:ind w:right="-211"/>
              <w:jc w:val="both"/>
              <w:rPr>
                <w:rFonts w:ascii="Sylfaen" w:hAnsi="Sylfaen"/>
                <w:noProof/>
                <w:sz w:val="24"/>
                <w:szCs w:val="24"/>
                <w:lang w:val="ka-GE"/>
              </w:rPr>
            </w:pPr>
            <w:r w:rsidRPr="00D66DA1">
              <w:rPr>
                <w:rFonts w:ascii="Sylfaen" w:hAnsi="Sylfaen"/>
                <w:noProof/>
                <w:sz w:val="24"/>
                <w:szCs w:val="24"/>
                <w:lang w:val="ka-GE"/>
              </w:rPr>
              <w:t>ძალიან ხშირი</w:t>
            </w:r>
          </w:p>
        </w:tc>
        <w:tc>
          <w:tcPr>
            <w:tcW w:w="5040" w:type="dxa"/>
          </w:tcPr>
          <w:p w14:paraId="1C84E3A0" w14:textId="63700BE5" w:rsidR="00C35901" w:rsidRPr="00D66DA1" w:rsidRDefault="00C35901" w:rsidP="00C80769">
            <w:pPr>
              <w:ind w:right="-18"/>
              <w:jc w:val="both"/>
              <w:rPr>
                <w:rFonts w:ascii="Sylfaen" w:hAnsi="Sylfaen"/>
                <w:noProof/>
                <w:sz w:val="24"/>
                <w:szCs w:val="24"/>
                <w:lang w:val="ka-GE"/>
              </w:rPr>
            </w:pPr>
            <w:r w:rsidRPr="00D66DA1">
              <w:rPr>
                <w:rFonts w:ascii="Sylfaen" w:hAnsi="Sylfaen"/>
                <w:noProof/>
                <w:sz w:val="24"/>
                <w:szCs w:val="24"/>
                <w:lang w:val="ka-GE"/>
              </w:rPr>
              <w:t>თავის ტკივილი</w:t>
            </w:r>
          </w:p>
        </w:tc>
      </w:tr>
      <w:tr w:rsidR="00C35901" w:rsidRPr="00D66DA1" w14:paraId="47FFFA07" w14:textId="77777777" w:rsidTr="007F26A1">
        <w:tc>
          <w:tcPr>
            <w:tcW w:w="3870" w:type="dxa"/>
            <w:vMerge/>
          </w:tcPr>
          <w:p w14:paraId="435316C1" w14:textId="77777777" w:rsidR="00C35901" w:rsidRPr="00D66DA1" w:rsidRDefault="00C35901" w:rsidP="00C80769">
            <w:pPr>
              <w:ind w:right="-71"/>
              <w:jc w:val="both"/>
              <w:rPr>
                <w:rFonts w:ascii="Sylfaen" w:hAnsi="Sylfaen"/>
                <w:noProof/>
                <w:sz w:val="24"/>
                <w:szCs w:val="24"/>
                <w:lang w:val="ka-GE"/>
              </w:rPr>
            </w:pPr>
          </w:p>
        </w:tc>
        <w:tc>
          <w:tcPr>
            <w:tcW w:w="1800" w:type="dxa"/>
          </w:tcPr>
          <w:p w14:paraId="659CBB55" w14:textId="6639DE43" w:rsidR="00C35901" w:rsidRPr="00D66DA1" w:rsidRDefault="00C35901" w:rsidP="00C80769">
            <w:pPr>
              <w:ind w:right="-211"/>
              <w:jc w:val="both"/>
              <w:rPr>
                <w:rFonts w:ascii="Sylfaen" w:hAnsi="Sylfaen"/>
                <w:noProof/>
                <w:sz w:val="24"/>
                <w:szCs w:val="24"/>
                <w:lang w:val="ka-GE"/>
              </w:rPr>
            </w:pPr>
            <w:r w:rsidRPr="00D66DA1">
              <w:rPr>
                <w:rFonts w:ascii="Sylfaen" w:hAnsi="Sylfaen"/>
                <w:noProof/>
                <w:sz w:val="24"/>
                <w:szCs w:val="24"/>
                <w:lang w:val="ka-GE"/>
              </w:rPr>
              <w:t>ხშირი</w:t>
            </w:r>
          </w:p>
        </w:tc>
        <w:tc>
          <w:tcPr>
            <w:tcW w:w="5040" w:type="dxa"/>
          </w:tcPr>
          <w:p w14:paraId="48CBA82F" w14:textId="5BEB941E" w:rsidR="00C35901" w:rsidRPr="00D66DA1" w:rsidRDefault="00C35901" w:rsidP="00C80769">
            <w:pPr>
              <w:ind w:right="-18"/>
              <w:jc w:val="both"/>
              <w:rPr>
                <w:rFonts w:ascii="Sylfaen" w:hAnsi="Sylfaen"/>
                <w:noProof/>
                <w:sz w:val="24"/>
                <w:szCs w:val="24"/>
                <w:lang w:val="ka-GE"/>
              </w:rPr>
            </w:pPr>
            <w:r w:rsidRPr="00D66DA1">
              <w:rPr>
                <w:rFonts w:ascii="Sylfaen" w:hAnsi="Sylfaen"/>
                <w:noProof/>
                <w:sz w:val="24"/>
                <w:szCs w:val="24"/>
                <w:lang w:val="ka-GE"/>
              </w:rPr>
              <w:t>უძილობა, ძილიანობა, თავბრუსხვევა, პარესთეზია, ტრემორი</w:t>
            </w:r>
          </w:p>
        </w:tc>
      </w:tr>
      <w:tr w:rsidR="00C35901" w:rsidRPr="00D66DA1" w14:paraId="1E7F5A9A" w14:textId="77777777" w:rsidTr="007F26A1">
        <w:tc>
          <w:tcPr>
            <w:tcW w:w="3870" w:type="dxa"/>
            <w:vMerge/>
          </w:tcPr>
          <w:p w14:paraId="48DB0A68" w14:textId="77777777" w:rsidR="00C35901" w:rsidRPr="00D66DA1" w:rsidRDefault="00C35901" w:rsidP="00C80769">
            <w:pPr>
              <w:ind w:right="-71"/>
              <w:jc w:val="both"/>
              <w:rPr>
                <w:rFonts w:ascii="Sylfaen" w:hAnsi="Sylfaen"/>
                <w:noProof/>
                <w:sz w:val="24"/>
                <w:szCs w:val="24"/>
                <w:lang w:val="ka-GE"/>
              </w:rPr>
            </w:pPr>
          </w:p>
        </w:tc>
        <w:tc>
          <w:tcPr>
            <w:tcW w:w="1800" w:type="dxa"/>
          </w:tcPr>
          <w:p w14:paraId="162B2435" w14:textId="23FFF674" w:rsidR="00C35901" w:rsidRPr="00D66DA1" w:rsidRDefault="00C35901" w:rsidP="00C80769">
            <w:pPr>
              <w:ind w:right="-211"/>
              <w:jc w:val="both"/>
              <w:rPr>
                <w:rFonts w:ascii="Sylfaen" w:hAnsi="Sylfaen"/>
                <w:noProof/>
                <w:sz w:val="24"/>
                <w:szCs w:val="24"/>
                <w:lang w:val="ka-GE"/>
              </w:rPr>
            </w:pPr>
            <w:r w:rsidRPr="00D66DA1">
              <w:rPr>
                <w:rFonts w:ascii="Sylfaen" w:hAnsi="Sylfaen"/>
                <w:noProof/>
                <w:sz w:val="24"/>
                <w:szCs w:val="24"/>
                <w:lang w:val="ka-GE"/>
              </w:rPr>
              <w:t>არახშირი</w:t>
            </w:r>
          </w:p>
        </w:tc>
        <w:tc>
          <w:tcPr>
            <w:tcW w:w="5040" w:type="dxa"/>
          </w:tcPr>
          <w:p w14:paraId="1018B25D" w14:textId="12B80EB6" w:rsidR="00C35901" w:rsidRPr="00D66DA1" w:rsidRDefault="00C35901" w:rsidP="00C80769">
            <w:pPr>
              <w:ind w:right="-18"/>
              <w:jc w:val="both"/>
              <w:rPr>
                <w:rFonts w:ascii="Sylfaen" w:hAnsi="Sylfaen"/>
                <w:noProof/>
                <w:sz w:val="24"/>
                <w:szCs w:val="24"/>
                <w:lang w:val="ka-GE"/>
              </w:rPr>
            </w:pPr>
            <w:r w:rsidRPr="00D66DA1">
              <w:rPr>
                <w:rFonts w:ascii="Sylfaen" w:hAnsi="Sylfaen"/>
                <w:noProof/>
                <w:sz w:val="24"/>
                <w:szCs w:val="24"/>
                <w:lang w:val="ka-GE"/>
              </w:rPr>
              <w:t>გემოს დაკარგვა, ძილის დარღვევა, სინკოპე</w:t>
            </w:r>
          </w:p>
        </w:tc>
      </w:tr>
      <w:tr w:rsidR="00C35901" w:rsidRPr="00D66DA1" w14:paraId="142D7518" w14:textId="77777777" w:rsidTr="007F26A1">
        <w:tc>
          <w:tcPr>
            <w:tcW w:w="3870" w:type="dxa"/>
            <w:vMerge/>
          </w:tcPr>
          <w:p w14:paraId="4201A4E0" w14:textId="77777777" w:rsidR="00C35901" w:rsidRPr="00D66DA1" w:rsidRDefault="00C35901" w:rsidP="00C80769">
            <w:pPr>
              <w:ind w:right="-71"/>
              <w:jc w:val="both"/>
              <w:rPr>
                <w:rFonts w:ascii="Sylfaen" w:hAnsi="Sylfaen"/>
                <w:noProof/>
                <w:sz w:val="24"/>
                <w:szCs w:val="24"/>
                <w:lang w:val="ka-GE"/>
              </w:rPr>
            </w:pPr>
          </w:p>
        </w:tc>
        <w:tc>
          <w:tcPr>
            <w:tcW w:w="1800" w:type="dxa"/>
          </w:tcPr>
          <w:p w14:paraId="541F055B" w14:textId="44CE1984" w:rsidR="00C35901" w:rsidRPr="00D66DA1" w:rsidRDefault="00C35901" w:rsidP="00C80769">
            <w:pPr>
              <w:ind w:right="-211"/>
              <w:jc w:val="both"/>
              <w:rPr>
                <w:rFonts w:ascii="Sylfaen" w:hAnsi="Sylfaen"/>
                <w:noProof/>
                <w:sz w:val="24"/>
                <w:szCs w:val="24"/>
                <w:lang w:val="ka-GE"/>
              </w:rPr>
            </w:pPr>
            <w:r w:rsidRPr="00D66DA1">
              <w:rPr>
                <w:rFonts w:ascii="Sylfaen" w:hAnsi="Sylfaen"/>
                <w:noProof/>
                <w:sz w:val="24"/>
                <w:szCs w:val="24"/>
                <w:lang w:val="ka-GE"/>
              </w:rPr>
              <w:t>იშვიათი</w:t>
            </w:r>
          </w:p>
        </w:tc>
        <w:tc>
          <w:tcPr>
            <w:tcW w:w="5040" w:type="dxa"/>
          </w:tcPr>
          <w:p w14:paraId="451D680C" w14:textId="27A30C7A" w:rsidR="00C35901" w:rsidRPr="00D66DA1" w:rsidRDefault="00C35901" w:rsidP="00C80769">
            <w:pPr>
              <w:ind w:right="-18"/>
              <w:jc w:val="both"/>
              <w:rPr>
                <w:rFonts w:ascii="Sylfaen" w:hAnsi="Sylfaen"/>
                <w:noProof/>
                <w:sz w:val="24"/>
                <w:szCs w:val="24"/>
                <w:lang w:val="ka-GE"/>
              </w:rPr>
            </w:pPr>
            <w:r w:rsidRPr="00D66DA1">
              <w:rPr>
                <w:rFonts w:ascii="Sylfaen" w:hAnsi="Sylfaen"/>
                <w:noProof/>
                <w:sz w:val="24"/>
                <w:szCs w:val="24"/>
                <w:lang w:val="ka-GE"/>
              </w:rPr>
              <w:t>სეროტონინის სინდრომი</w:t>
            </w:r>
          </w:p>
        </w:tc>
      </w:tr>
      <w:tr w:rsidR="00C35901" w:rsidRPr="00D66DA1" w14:paraId="2B18C3DD" w14:textId="77777777" w:rsidTr="007F26A1">
        <w:tc>
          <w:tcPr>
            <w:tcW w:w="3870" w:type="dxa"/>
            <w:vMerge/>
          </w:tcPr>
          <w:p w14:paraId="436C92E9" w14:textId="77777777" w:rsidR="00C35901" w:rsidRPr="00D66DA1" w:rsidRDefault="00C35901" w:rsidP="00C80769">
            <w:pPr>
              <w:ind w:right="-71"/>
              <w:jc w:val="both"/>
              <w:rPr>
                <w:rFonts w:ascii="Sylfaen" w:hAnsi="Sylfaen"/>
                <w:noProof/>
                <w:sz w:val="24"/>
                <w:szCs w:val="24"/>
                <w:lang w:val="ka-GE"/>
              </w:rPr>
            </w:pPr>
          </w:p>
        </w:tc>
        <w:tc>
          <w:tcPr>
            <w:tcW w:w="1800" w:type="dxa"/>
          </w:tcPr>
          <w:p w14:paraId="374CD17B" w14:textId="227D7887" w:rsidR="00C35901" w:rsidRPr="00D66DA1" w:rsidRDefault="00C35901" w:rsidP="00C80769">
            <w:pPr>
              <w:ind w:right="-211"/>
              <w:jc w:val="both"/>
              <w:rPr>
                <w:rFonts w:ascii="Sylfaen" w:hAnsi="Sylfaen"/>
                <w:noProof/>
                <w:sz w:val="24"/>
                <w:szCs w:val="24"/>
                <w:lang w:val="ka-GE"/>
              </w:rPr>
            </w:pPr>
            <w:r w:rsidRPr="00D66DA1">
              <w:rPr>
                <w:rFonts w:ascii="Sylfaen" w:hAnsi="Sylfaen"/>
                <w:noProof/>
                <w:sz w:val="24"/>
                <w:szCs w:val="24"/>
                <w:lang w:val="ka-GE"/>
              </w:rPr>
              <w:t>უცნობი</w:t>
            </w:r>
          </w:p>
        </w:tc>
        <w:tc>
          <w:tcPr>
            <w:tcW w:w="5040" w:type="dxa"/>
          </w:tcPr>
          <w:p w14:paraId="190D378C" w14:textId="00AFCB28" w:rsidR="00C35901" w:rsidRPr="00D66DA1" w:rsidRDefault="00C35901" w:rsidP="00C80769">
            <w:pPr>
              <w:ind w:right="-18"/>
              <w:jc w:val="both"/>
              <w:rPr>
                <w:rFonts w:ascii="Sylfaen" w:hAnsi="Sylfaen"/>
                <w:noProof/>
                <w:sz w:val="24"/>
                <w:szCs w:val="24"/>
                <w:lang w:val="ka-GE"/>
              </w:rPr>
            </w:pPr>
            <w:r w:rsidRPr="00D66DA1">
              <w:rPr>
                <w:rFonts w:ascii="Sylfaen" w:hAnsi="Sylfaen"/>
                <w:noProof/>
                <w:sz w:val="24"/>
                <w:szCs w:val="24"/>
                <w:lang w:val="ka-GE"/>
              </w:rPr>
              <w:t>დისკინეზია, მოძრაობის დარღვევა, კონვულსია,  აკათიზია/ფსიქომოტორული მოუსვენრობა</w:t>
            </w:r>
            <w:r w:rsidRPr="00D66DA1">
              <w:rPr>
                <w:rFonts w:ascii="Sylfaen" w:hAnsi="Sylfaen"/>
                <w:noProof/>
                <w:sz w:val="24"/>
                <w:szCs w:val="24"/>
                <w:vertAlign w:val="superscript"/>
                <w:lang w:val="ka-GE"/>
              </w:rPr>
              <w:t>2</w:t>
            </w:r>
          </w:p>
        </w:tc>
      </w:tr>
      <w:tr w:rsidR="00821E81" w:rsidRPr="00D66DA1" w14:paraId="39EBEF6F" w14:textId="77777777" w:rsidTr="007F26A1">
        <w:tc>
          <w:tcPr>
            <w:tcW w:w="3870" w:type="dxa"/>
          </w:tcPr>
          <w:p w14:paraId="75CFB504" w14:textId="14C73B5A" w:rsidR="00821E81" w:rsidRPr="00D66DA1" w:rsidRDefault="00821E81" w:rsidP="00C80769">
            <w:pPr>
              <w:ind w:right="-71"/>
              <w:jc w:val="both"/>
              <w:rPr>
                <w:rFonts w:ascii="Sylfaen" w:hAnsi="Sylfaen"/>
                <w:noProof/>
                <w:sz w:val="24"/>
                <w:szCs w:val="24"/>
                <w:lang w:val="ka-GE"/>
              </w:rPr>
            </w:pPr>
            <w:r w:rsidRPr="00D66DA1">
              <w:rPr>
                <w:rFonts w:ascii="Sylfaen" w:hAnsi="Sylfaen"/>
                <w:noProof/>
                <w:sz w:val="24"/>
                <w:szCs w:val="24"/>
                <w:lang w:val="ka-GE"/>
              </w:rPr>
              <w:t>დარღვევები</w:t>
            </w:r>
            <w:r w:rsidR="00AE428D" w:rsidRPr="00D66DA1">
              <w:rPr>
                <w:rFonts w:ascii="Sylfaen" w:hAnsi="Sylfaen"/>
                <w:noProof/>
                <w:sz w:val="24"/>
                <w:szCs w:val="24"/>
                <w:lang w:val="ka-GE"/>
              </w:rPr>
              <w:t xml:space="preserve"> </w:t>
            </w:r>
            <w:r w:rsidRPr="00D66DA1">
              <w:rPr>
                <w:rFonts w:ascii="Sylfaen" w:hAnsi="Sylfaen"/>
                <w:noProof/>
                <w:sz w:val="24"/>
                <w:szCs w:val="24"/>
                <w:lang w:val="ka-GE"/>
              </w:rPr>
              <w:t>მხედველობის</w:t>
            </w:r>
            <w:r w:rsidR="00AE428D" w:rsidRPr="00D66DA1">
              <w:rPr>
                <w:rFonts w:ascii="Sylfaen" w:hAnsi="Sylfaen"/>
                <w:noProof/>
                <w:sz w:val="24"/>
                <w:szCs w:val="24"/>
                <w:lang w:val="ka-GE"/>
              </w:rPr>
              <w:t xml:space="preserve"> </w:t>
            </w:r>
            <w:r w:rsidRPr="00D66DA1">
              <w:rPr>
                <w:rFonts w:ascii="Sylfaen" w:hAnsi="Sylfaen"/>
                <w:noProof/>
                <w:sz w:val="24"/>
                <w:szCs w:val="24"/>
                <w:lang w:val="ka-GE"/>
              </w:rPr>
              <w:t>ორგანოს მხრივ</w:t>
            </w:r>
          </w:p>
        </w:tc>
        <w:tc>
          <w:tcPr>
            <w:tcW w:w="1800" w:type="dxa"/>
          </w:tcPr>
          <w:p w14:paraId="3C605F9A" w14:textId="256A08CD" w:rsidR="00821E81" w:rsidRPr="00D66DA1" w:rsidRDefault="00AE428D" w:rsidP="00C80769">
            <w:pPr>
              <w:ind w:right="-211"/>
              <w:jc w:val="both"/>
              <w:rPr>
                <w:rFonts w:ascii="Sylfaen" w:hAnsi="Sylfaen"/>
                <w:noProof/>
                <w:sz w:val="24"/>
                <w:szCs w:val="24"/>
                <w:lang w:val="ka-GE"/>
              </w:rPr>
            </w:pPr>
            <w:r w:rsidRPr="00D66DA1">
              <w:rPr>
                <w:rFonts w:ascii="Sylfaen" w:hAnsi="Sylfaen"/>
                <w:noProof/>
                <w:sz w:val="24"/>
                <w:szCs w:val="24"/>
                <w:lang w:val="ka-GE"/>
              </w:rPr>
              <w:t>არახშირი</w:t>
            </w:r>
          </w:p>
        </w:tc>
        <w:tc>
          <w:tcPr>
            <w:tcW w:w="5040" w:type="dxa"/>
          </w:tcPr>
          <w:p w14:paraId="5840683E" w14:textId="5565B613" w:rsidR="00821E81" w:rsidRPr="00D66DA1" w:rsidRDefault="00AE428D" w:rsidP="00C80769">
            <w:pPr>
              <w:ind w:right="-18"/>
              <w:jc w:val="both"/>
              <w:rPr>
                <w:rFonts w:ascii="Sylfaen" w:hAnsi="Sylfaen"/>
                <w:noProof/>
                <w:sz w:val="24"/>
                <w:szCs w:val="24"/>
                <w:lang w:val="ka-GE"/>
              </w:rPr>
            </w:pPr>
            <w:r w:rsidRPr="00D66DA1">
              <w:rPr>
                <w:rFonts w:ascii="Sylfaen" w:hAnsi="Sylfaen"/>
                <w:noProof/>
                <w:sz w:val="24"/>
                <w:szCs w:val="24"/>
                <w:lang w:val="ka-GE"/>
              </w:rPr>
              <w:t>მიდრიაზი, მხედველობის დაქვეითება</w:t>
            </w:r>
          </w:p>
        </w:tc>
      </w:tr>
      <w:tr w:rsidR="00821E81" w:rsidRPr="00D66DA1" w14:paraId="23A7B969" w14:textId="77777777" w:rsidTr="007F26A1">
        <w:tc>
          <w:tcPr>
            <w:tcW w:w="3870" w:type="dxa"/>
          </w:tcPr>
          <w:p w14:paraId="094415B1" w14:textId="77E03D27" w:rsidR="00821E81" w:rsidRPr="00D66DA1" w:rsidRDefault="00821E81" w:rsidP="00C80769">
            <w:pPr>
              <w:ind w:right="-71"/>
              <w:jc w:val="both"/>
              <w:rPr>
                <w:rFonts w:ascii="Sylfaen" w:hAnsi="Sylfaen"/>
                <w:noProof/>
                <w:sz w:val="24"/>
                <w:szCs w:val="24"/>
                <w:lang w:val="ka-GE"/>
              </w:rPr>
            </w:pPr>
            <w:r w:rsidRPr="00D66DA1">
              <w:rPr>
                <w:rFonts w:ascii="Sylfaen" w:hAnsi="Sylfaen"/>
                <w:noProof/>
                <w:sz w:val="24"/>
                <w:szCs w:val="24"/>
                <w:lang w:val="ka-GE"/>
              </w:rPr>
              <w:t>დარღვევები</w:t>
            </w:r>
            <w:r w:rsidR="00AE428D" w:rsidRPr="00D66DA1">
              <w:rPr>
                <w:rFonts w:ascii="Sylfaen" w:hAnsi="Sylfaen"/>
                <w:noProof/>
                <w:sz w:val="24"/>
                <w:szCs w:val="24"/>
                <w:lang w:val="ka-GE"/>
              </w:rPr>
              <w:t xml:space="preserve"> </w:t>
            </w:r>
            <w:r w:rsidRPr="00D66DA1">
              <w:rPr>
                <w:rFonts w:ascii="Sylfaen" w:hAnsi="Sylfaen"/>
                <w:noProof/>
                <w:sz w:val="24"/>
                <w:szCs w:val="24"/>
                <w:lang w:val="ka-GE"/>
              </w:rPr>
              <w:t>სმენის</w:t>
            </w:r>
            <w:r w:rsidR="00AE428D" w:rsidRPr="00D66DA1">
              <w:rPr>
                <w:rFonts w:ascii="Sylfaen" w:hAnsi="Sylfaen"/>
                <w:noProof/>
                <w:sz w:val="24"/>
                <w:szCs w:val="24"/>
                <w:lang w:val="ka-GE"/>
              </w:rPr>
              <w:t xml:space="preserve"> </w:t>
            </w:r>
            <w:r w:rsidRPr="00D66DA1">
              <w:rPr>
                <w:rFonts w:ascii="Sylfaen" w:hAnsi="Sylfaen"/>
                <w:noProof/>
                <w:sz w:val="24"/>
                <w:szCs w:val="24"/>
                <w:lang w:val="ka-GE"/>
              </w:rPr>
              <w:t>ორგანოს მხრივ</w:t>
            </w:r>
          </w:p>
        </w:tc>
        <w:tc>
          <w:tcPr>
            <w:tcW w:w="1800" w:type="dxa"/>
          </w:tcPr>
          <w:p w14:paraId="1400EBB7" w14:textId="50A063E3" w:rsidR="00821E81" w:rsidRPr="00D66DA1" w:rsidRDefault="00AE428D" w:rsidP="00C80769">
            <w:pPr>
              <w:ind w:right="-211"/>
              <w:jc w:val="both"/>
              <w:rPr>
                <w:rFonts w:ascii="Sylfaen" w:hAnsi="Sylfaen"/>
                <w:noProof/>
                <w:sz w:val="24"/>
                <w:szCs w:val="24"/>
                <w:lang w:val="ka-GE"/>
              </w:rPr>
            </w:pPr>
            <w:r w:rsidRPr="00D66DA1">
              <w:rPr>
                <w:rFonts w:ascii="Sylfaen" w:hAnsi="Sylfaen"/>
                <w:noProof/>
                <w:sz w:val="24"/>
                <w:szCs w:val="24"/>
                <w:lang w:val="ka-GE"/>
              </w:rPr>
              <w:t>არახშირი</w:t>
            </w:r>
          </w:p>
        </w:tc>
        <w:tc>
          <w:tcPr>
            <w:tcW w:w="5040" w:type="dxa"/>
          </w:tcPr>
          <w:p w14:paraId="025F78BE" w14:textId="66768DDA" w:rsidR="00821E81" w:rsidRPr="00D66DA1" w:rsidRDefault="00AE428D" w:rsidP="00C80769">
            <w:pPr>
              <w:ind w:right="-18"/>
              <w:jc w:val="both"/>
              <w:rPr>
                <w:rFonts w:ascii="Sylfaen" w:hAnsi="Sylfaen"/>
                <w:noProof/>
                <w:sz w:val="24"/>
                <w:szCs w:val="24"/>
                <w:lang w:val="ka-GE"/>
              </w:rPr>
            </w:pPr>
            <w:r w:rsidRPr="00D66DA1">
              <w:rPr>
                <w:rFonts w:ascii="Sylfaen" w:hAnsi="Sylfaen"/>
                <w:noProof/>
                <w:sz w:val="24"/>
                <w:szCs w:val="24"/>
                <w:lang w:val="ka-GE"/>
              </w:rPr>
              <w:t>ტინიტუსი</w:t>
            </w:r>
          </w:p>
        </w:tc>
      </w:tr>
      <w:tr w:rsidR="00AE428D" w:rsidRPr="00D66DA1" w14:paraId="0BA1CB72" w14:textId="77777777" w:rsidTr="007F26A1">
        <w:tc>
          <w:tcPr>
            <w:tcW w:w="3870" w:type="dxa"/>
            <w:vMerge w:val="restart"/>
          </w:tcPr>
          <w:p w14:paraId="1DB624FA" w14:textId="77777777" w:rsidR="00A76524" w:rsidRPr="00D66DA1" w:rsidRDefault="00A76524" w:rsidP="00C80769">
            <w:pPr>
              <w:ind w:right="-71"/>
              <w:jc w:val="both"/>
              <w:rPr>
                <w:rFonts w:ascii="Sylfaen" w:hAnsi="Sylfaen"/>
                <w:noProof/>
                <w:sz w:val="24"/>
                <w:szCs w:val="24"/>
                <w:lang w:val="ka-GE"/>
              </w:rPr>
            </w:pPr>
          </w:p>
          <w:p w14:paraId="1734FA82" w14:textId="77777777" w:rsidR="00A76524" w:rsidRPr="00D66DA1" w:rsidRDefault="00A76524" w:rsidP="00C80769">
            <w:pPr>
              <w:ind w:right="-71"/>
              <w:jc w:val="both"/>
              <w:rPr>
                <w:rFonts w:ascii="Sylfaen" w:hAnsi="Sylfaen"/>
                <w:noProof/>
                <w:sz w:val="24"/>
                <w:szCs w:val="24"/>
                <w:lang w:val="ka-GE"/>
              </w:rPr>
            </w:pPr>
          </w:p>
          <w:p w14:paraId="36069CEE" w14:textId="6FB53EBE" w:rsidR="00AE428D" w:rsidRPr="00D66DA1" w:rsidRDefault="00AE428D" w:rsidP="00C80769">
            <w:pPr>
              <w:ind w:right="-71"/>
              <w:jc w:val="both"/>
              <w:rPr>
                <w:rFonts w:ascii="Sylfaen" w:hAnsi="Sylfaen"/>
                <w:noProof/>
                <w:sz w:val="24"/>
                <w:szCs w:val="24"/>
                <w:lang w:val="ka-GE"/>
              </w:rPr>
            </w:pPr>
            <w:r w:rsidRPr="00D66DA1">
              <w:rPr>
                <w:rFonts w:ascii="Sylfaen" w:hAnsi="Sylfaen"/>
                <w:noProof/>
                <w:sz w:val="24"/>
                <w:szCs w:val="24"/>
                <w:lang w:val="ka-GE"/>
              </w:rPr>
              <w:t>დარღვევები გულის მხრივ</w:t>
            </w:r>
          </w:p>
        </w:tc>
        <w:tc>
          <w:tcPr>
            <w:tcW w:w="1800" w:type="dxa"/>
          </w:tcPr>
          <w:p w14:paraId="36BF1421" w14:textId="21236DDC" w:rsidR="00AE428D" w:rsidRPr="00D66DA1" w:rsidRDefault="00AE428D" w:rsidP="00C80769">
            <w:pPr>
              <w:ind w:right="-211"/>
              <w:jc w:val="both"/>
              <w:rPr>
                <w:rFonts w:ascii="Sylfaen" w:hAnsi="Sylfaen"/>
                <w:noProof/>
                <w:sz w:val="24"/>
                <w:szCs w:val="24"/>
                <w:lang w:val="ka-GE"/>
              </w:rPr>
            </w:pPr>
            <w:r w:rsidRPr="00D66DA1">
              <w:rPr>
                <w:rFonts w:ascii="Sylfaen" w:hAnsi="Sylfaen"/>
                <w:noProof/>
                <w:sz w:val="24"/>
                <w:szCs w:val="24"/>
                <w:lang w:val="ka-GE"/>
              </w:rPr>
              <w:t>არახშირი</w:t>
            </w:r>
          </w:p>
        </w:tc>
        <w:tc>
          <w:tcPr>
            <w:tcW w:w="5040" w:type="dxa"/>
          </w:tcPr>
          <w:p w14:paraId="5B73FC45" w14:textId="20D92DA9" w:rsidR="00AE428D" w:rsidRPr="00D66DA1" w:rsidRDefault="00AE428D" w:rsidP="00C80769">
            <w:pPr>
              <w:ind w:right="-18"/>
              <w:jc w:val="both"/>
              <w:rPr>
                <w:rFonts w:ascii="Sylfaen" w:hAnsi="Sylfaen"/>
                <w:noProof/>
                <w:sz w:val="24"/>
                <w:szCs w:val="24"/>
                <w:lang w:val="ka-GE"/>
              </w:rPr>
            </w:pPr>
            <w:r w:rsidRPr="00D66DA1">
              <w:rPr>
                <w:rFonts w:ascii="Sylfaen" w:hAnsi="Sylfaen"/>
                <w:noProof/>
                <w:sz w:val="24"/>
                <w:szCs w:val="24"/>
                <w:lang w:val="ka-GE"/>
              </w:rPr>
              <w:t>ტაქიკარდია</w:t>
            </w:r>
          </w:p>
        </w:tc>
      </w:tr>
      <w:tr w:rsidR="00AE428D" w:rsidRPr="00D66DA1" w14:paraId="7D698D8D" w14:textId="77777777" w:rsidTr="007F26A1">
        <w:tc>
          <w:tcPr>
            <w:tcW w:w="3870" w:type="dxa"/>
            <w:vMerge/>
          </w:tcPr>
          <w:p w14:paraId="7D21E069" w14:textId="77777777" w:rsidR="00AE428D" w:rsidRPr="00D66DA1" w:rsidRDefault="00AE428D" w:rsidP="00C80769">
            <w:pPr>
              <w:ind w:right="-71"/>
              <w:jc w:val="both"/>
              <w:rPr>
                <w:rFonts w:ascii="Sylfaen" w:hAnsi="Sylfaen"/>
                <w:noProof/>
                <w:sz w:val="24"/>
                <w:szCs w:val="24"/>
                <w:lang w:val="ka-GE"/>
              </w:rPr>
            </w:pPr>
          </w:p>
        </w:tc>
        <w:tc>
          <w:tcPr>
            <w:tcW w:w="1800" w:type="dxa"/>
          </w:tcPr>
          <w:p w14:paraId="17AB1010" w14:textId="774D98E8" w:rsidR="00AE428D" w:rsidRPr="00D66DA1" w:rsidRDefault="00AE428D" w:rsidP="00C80769">
            <w:pPr>
              <w:ind w:right="-211"/>
              <w:jc w:val="both"/>
              <w:rPr>
                <w:rFonts w:ascii="Sylfaen" w:hAnsi="Sylfaen"/>
                <w:noProof/>
                <w:sz w:val="24"/>
                <w:szCs w:val="24"/>
                <w:lang w:val="ka-GE"/>
              </w:rPr>
            </w:pPr>
            <w:r w:rsidRPr="00D66DA1">
              <w:rPr>
                <w:rFonts w:ascii="Sylfaen" w:hAnsi="Sylfaen"/>
                <w:noProof/>
                <w:sz w:val="24"/>
                <w:szCs w:val="24"/>
                <w:lang w:val="ka-GE"/>
              </w:rPr>
              <w:t>იშვიათი</w:t>
            </w:r>
          </w:p>
        </w:tc>
        <w:tc>
          <w:tcPr>
            <w:tcW w:w="5040" w:type="dxa"/>
          </w:tcPr>
          <w:p w14:paraId="1893E94A" w14:textId="2D04D1DC" w:rsidR="00AE428D" w:rsidRPr="00D66DA1" w:rsidRDefault="00AE428D" w:rsidP="00C80769">
            <w:pPr>
              <w:ind w:right="-18"/>
              <w:jc w:val="both"/>
              <w:rPr>
                <w:rFonts w:ascii="Sylfaen" w:hAnsi="Sylfaen"/>
                <w:noProof/>
                <w:sz w:val="24"/>
                <w:szCs w:val="24"/>
                <w:lang w:val="ka-GE"/>
              </w:rPr>
            </w:pPr>
            <w:r w:rsidRPr="00D66DA1">
              <w:rPr>
                <w:rFonts w:ascii="Sylfaen" w:hAnsi="Sylfaen"/>
                <w:noProof/>
                <w:sz w:val="24"/>
                <w:szCs w:val="24"/>
                <w:lang w:val="ka-GE"/>
              </w:rPr>
              <w:t>ბრადიკარდია</w:t>
            </w:r>
          </w:p>
        </w:tc>
      </w:tr>
      <w:tr w:rsidR="00AE428D" w:rsidRPr="00D66DA1" w14:paraId="001760AE" w14:textId="77777777" w:rsidTr="007F26A1">
        <w:tc>
          <w:tcPr>
            <w:tcW w:w="3870" w:type="dxa"/>
            <w:vMerge/>
          </w:tcPr>
          <w:p w14:paraId="2B8BB19A" w14:textId="77777777" w:rsidR="00AE428D" w:rsidRPr="00D66DA1" w:rsidRDefault="00AE428D" w:rsidP="00C80769">
            <w:pPr>
              <w:ind w:right="-71"/>
              <w:jc w:val="both"/>
              <w:rPr>
                <w:rFonts w:ascii="Sylfaen" w:hAnsi="Sylfaen"/>
                <w:noProof/>
                <w:sz w:val="24"/>
                <w:szCs w:val="24"/>
                <w:lang w:val="ka-GE"/>
              </w:rPr>
            </w:pPr>
          </w:p>
        </w:tc>
        <w:tc>
          <w:tcPr>
            <w:tcW w:w="1800" w:type="dxa"/>
          </w:tcPr>
          <w:p w14:paraId="29293A1D" w14:textId="5E70458E" w:rsidR="00AE428D" w:rsidRPr="00D66DA1" w:rsidRDefault="00AE428D" w:rsidP="00C80769">
            <w:pPr>
              <w:ind w:right="-211"/>
              <w:jc w:val="both"/>
              <w:rPr>
                <w:rFonts w:ascii="Sylfaen" w:hAnsi="Sylfaen"/>
                <w:noProof/>
                <w:sz w:val="24"/>
                <w:szCs w:val="24"/>
                <w:lang w:val="ka-GE"/>
              </w:rPr>
            </w:pPr>
            <w:r w:rsidRPr="00D66DA1">
              <w:rPr>
                <w:rFonts w:ascii="Sylfaen" w:hAnsi="Sylfaen"/>
                <w:noProof/>
                <w:sz w:val="24"/>
                <w:szCs w:val="24"/>
                <w:lang w:val="ka-GE"/>
              </w:rPr>
              <w:t>უცნობი</w:t>
            </w:r>
          </w:p>
        </w:tc>
        <w:tc>
          <w:tcPr>
            <w:tcW w:w="5040" w:type="dxa"/>
          </w:tcPr>
          <w:p w14:paraId="2DA723DB" w14:textId="37F402CE" w:rsidR="005F17AA" w:rsidRPr="00D66DA1" w:rsidRDefault="005F17AA" w:rsidP="00C80769">
            <w:pPr>
              <w:ind w:right="-18"/>
              <w:jc w:val="both"/>
              <w:rPr>
                <w:rFonts w:ascii="Sylfaen" w:hAnsi="Sylfaen" w:cs="Sylfaen"/>
                <w:bCs/>
                <w:noProof/>
                <w:sz w:val="24"/>
                <w:szCs w:val="24"/>
                <w:lang w:val="ka-GE"/>
              </w:rPr>
            </w:pPr>
            <w:r w:rsidRPr="00D66DA1">
              <w:rPr>
                <w:rFonts w:ascii="Sylfaen" w:hAnsi="Sylfaen"/>
                <w:noProof/>
                <w:sz w:val="24"/>
                <w:szCs w:val="24"/>
                <w:lang w:val="ka-GE"/>
              </w:rPr>
              <w:t xml:space="preserve">პარკუჭოვანი არითმია, </w:t>
            </w:r>
            <w:r w:rsidRPr="00D66DA1">
              <w:rPr>
                <w:rFonts w:ascii="Sylfaen" w:hAnsi="Sylfaen" w:cs="Sylfaen"/>
                <w:bCs/>
                <w:noProof/>
                <w:sz w:val="24"/>
                <w:szCs w:val="24"/>
                <w:lang w:val="ka-GE"/>
              </w:rPr>
              <w:t>მათ შორის პარკუჭოვანი ტაქიკარდია (torsade de pointes)</w:t>
            </w:r>
            <w:r w:rsidR="00A76524" w:rsidRPr="00D66DA1">
              <w:rPr>
                <w:rFonts w:ascii="Sylfaen" w:hAnsi="Sylfaen" w:cs="Sylfaen"/>
                <w:bCs/>
                <w:noProof/>
                <w:sz w:val="24"/>
                <w:szCs w:val="24"/>
                <w:lang w:val="ka-GE"/>
              </w:rPr>
              <w:t xml:space="preserve">,  </w:t>
            </w:r>
            <w:r w:rsidRPr="00D66DA1">
              <w:rPr>
                <w:rFonts w:ascii="Sylfaen" w:hAnsi="Sylfaen"/>
                <w:noProof/>
                <w:sz w:val="24"/>
                <w:szCs w:val="24"/>
                <w:lang w:val="ka-GE"/>
              </w:rPr>
              <w:t>ეკგ გახანგრძლივებული QT</w:t>
            </w:r>
          </w:p>
        </w:tc>
      </w:tr>
      <w:tr w:rsidR="00821E81" w:rsidRPr="00D66DA1" w14:paraId="30848EC0" w14:textId="77777777" w:rsidTr="007F26A1">
        <w:tc>
          <w:tcPr>
            <w:tcW w:w="3870" w:type="dxa"/>
          </w:tcPr>
          <w:p w14:paraId="75DCA52C" w14:textId="4F09ED81" w:rsidR="00821E81" w:rsidRPr="00D66DA1" w:rsidRDefault="00821E81" w:rsidP="00C80769">
            <w:pPr>
              <w:ind w:right="-71"/>
              <w:jc w:val="both"/>
              <w:rPr>
                <w:rFonts w:ascii="Sylfaen" w:hAnsi="Sylfaen"/>
                <w:noProof/>
                <w:sz w:val="24"/>
                <w:szCs w:val="24"/>
                <w:lang w:val="ka-GE"/>
              </w:rPr>
            </w:pPr>
            <w:r w:rsidRPr="00D66DA1">
              <w:rPr>
                <w:rFonts w:ascii="Sylfaen" w:hAnsi="Sylfaen"/>
                <w:noProof/>
                <w:sz w:val="24"/>
                <w:szCs w:val="24"/>
                <w:lang w:val="ka-GE"/>
              </w:rPr>
              <w:t>ვასკულარული დარღვევები</w:t>
            </w:r>
          </w:p>
        </w:tc>
        <w:tc>
          <w:tcPr>
            <w:tcW w:w="1800" w:type="dxa"/>
          </w:tcPr>
          <w:p w14:paraId="2CB991E1" w14:textId="54F5C57F" w:rsidR="00821E81" w:rsidRPr="00D66DA1" w:rsidRDefault="005F17AA" w:rsidP="00C80769">
            <w:pPr>
              <w:ind w:right="-211"/>
              <w:jc w:val="both"/>
              <w:rPr>
                <w:rFonts w:ascii="Sylfaen" w:hAnsi="Sylfaen"/>
                <w:noProof/>
                <w:sz w:val="24"/>
                <w:szCs w:val="24"/>
                <w:lang w:val="ka-GE"/>
              </w:rPr>
            </w:pPr>
            <w:r w:rsidRPr="00D66DA1">
              <w:rPr>
                <w:rFonts w:ascii="Sylfaen" w:hAnsi="Sylfaen"/>
                <w:noProof/>
                <w:sz w:val="24"/>
                <w:szCs w:val="24"/>
                <w:lang w:val="ka-GE"/>
              </w:rPr>
              <w:t>უცნობი</w:t>
            </w:r>
          </w:p>
        </w:tc>
        <w:tc>
          <w:tcPr>
            <w:tcW w:w="5040" w:type="dxa"/>
          </w:tcPr>
          <w:p w14:paraId="661E392E" w14:textId="6B525F54" w:rsidR="00821E81" w:rsidRPr="00D66DA1" w:rsidRDefault="005F17AA" w:rsidP="00C80769">
            <w:pPr>
              <w:ind w:right="-18"/>
              <w:jc w:val="both"/>
              <w:rPr>
                <w:rFonts w:ascii="Sylfaen" w:hAnsi="Sylfaen"/>
                <w:noProof/>
                <w:sz w:val="24"/>
                <w:szCs w:val="24"/>
                <w:lang w:val="ka-GE"/>
              </w:rPr>
            </w:pPr>
            <w:r w:rsidRPr="00D66DA1">
              <w:rPr>
                <w:rFonts w:ascii="Sylfaen" w:hAnsi="Sylfaen"/>
                <w:noProof/>
                <w:sz w:val="24"/>
                <w:szCs w:val="24"/>
                <w:lang w:val="ka-GE"/>
              </w:rPr>
              <w:t>ორთოსტატული ჰიპოტენზია</w:t>
            </w:r>
          </w:p>
        </w:tc>
      </w:tr>
      <w:tr w:rsidR="005F17AA" w:rsidRPr="00D66DA1" w14:paraId="12FB9A96" w14:textId="77777777" w:rsidTr="007F26A1">
        <w:tc>
          <w:tcPr>
            <w:tcW w:w="3870" w:type="dxa"/>
            <w:vMerge w:val="restart"/>
          </w:tcPr>
          <w:p w14:paraId="78119AC6" w14:textId="0363AA36" w:rsidR="005F17AA" w:rsidRPr="00D66DA1" w:rsidRDefault="005F17AA" w:rsidP="00C80769">
            <w:pPr>
              <w:ind w:right="-71"/>
              <w:jc w:val="both"/>
              <w:rPr>
                <w:rFonts w:ascii="Sylfaen" w:hAnsi="Sylfaen"/>
                <w:noProof/>
                <w:sz w:val="24"/>
                <w:szCs w:val="24"/>
                <w:lang w:val="ka-GE"/>
              </w:rPr>
            </w:pPr>
            <w:r w:rsidRPr="00D66DA1">
              <w:rPr>
                <w:rFonts w:ascii="Sylfaen" w:hAnsi="Sylfaen"/>
                <w:noProof/>
                <w:sz w:val="24"/>
                <w:szCs w:val="24"/>
                <w:lang w:val="ka-GE"/>
              </w:rPr>
              <w:t>რესპირატორულ, გულმკერდისა და შუასაყარის მხრივი დარღვევები</w:t>
            </w:r>
          </w:p>
        </w:tc>
        <w:tc>
          <w:tcPr>
            <w:tcW w:w="1800" w:type="dxa"/>
          </w:tcPr>
          <w:p w14:paraId="566B834E" w14:textId="0F6B3229" w:rsidR="005F17AA" w:rsidRPr="00D66DA1" w:rsidRDefault="005F17AA" w:rsidP="00C80769">
            <w:pPr>
              <w:ind w:right="-211"/>
              <w:jc w:val="both"/>
              <w:rPr>
                <w:rFonts w:ascii="Sylfaen" w:hAnsi="Sylfaen"/>
                <w:noProof/>
                <w:sz w:val="24"/>
                <w:szCs w:val="24"/>
                <w:lang w:val="ka-GE"/>
              </w:rPr>
            </w:pPr>
            <w:r w:rsidRPr="00D66DA1">
              <w:rPr>
                <w:rFonts w:ascii="Sylfaen" w:hAnsi="Sylfaen"/>
                <w:noProof/>
                <w:sz w:val="24"/>
                <w:szCs w:val="24"/>
                <w:lang w:val="ka-GE"/>
              </w:rPr>
              <w:t>ხშირი</w:t>
            </w:r>
          </w:p>
        </w:tc>
        <w:tc>
          <w:tcPr>
            <w:tcW w:w="5040" w:type="dxa"/>
          </w:tcPr>
          <w:p w14:paraId="75993E65" w14:textId="3FE5CC0A" w:rsidR="005F17AA" w:rsidRPr="00D66DA1" w:rsidRDefault="005F17AA" w:rsidP="00C80769">
            <w:pPr>
              <w:ind w:right="-18"/>
              <w:jc w:val="both"/>
              <w:rPr>
                <w:rFonts w:ascii="Sylfaen" w:hAnsi="Sylfaen"/>
                <w:noProof/>
                <w:sz w:val="24"/>
                <w:szCs w:val="24"/>
                <w:lang w:val="ka-GE"/>
              </w:rPr>
            </w:pPr>
            <w:r w:rsidRPr="00D66DA1">
              <w:rPr>
                <w:rFonts w:ascii="Sylfaen" w:hAnsi="Sylfaen"/>
                <w:noProof/>
                <w:sz w:val="24"/>
                <w:szCs w:val="24"/>
                <w:lang w:val="ka-GE"/>
              </w:rPr>
              <w:t>სინუსიტი, მთქნარება</w:t>
            </w:r>
          </w:p>
        </w:tc>
      </w:tr>
      <w:tr w:rsidR="005F17AA" w:rsidRPr="00D66DA1" w14:paraId="5C179DAF" w14:textId="77777777" w:rsidTr="007F26A1">
        <w:tc>
          <w:tcPr>
            <w:tcW w:w="3870" w:type="dxa"/>
            <w:vMerge/>
          </w:tcPr>
          <w:p w14:paraId="5999B69B" w14:textId="77777777" w:rsidR="005F17AA" w:rsidRPr="00D66DA1" w:rsidRDefault="005F17AA" w:rsidP="00C80769">
            <w:pPr>
              <w:ind w:right="-71"/>
              <w:jc w:val="both"/>
              <w:rPr>
                <w:rFonts w:ascii="Sylfaen" w:hAnsi="Sylfaen"/>
                <w:noProof/>
                <w:sz w:val="24"/>
                <w:szCs w:val="24"/>
                <w:lang w:val="ka-GE"/>
              </w:rPr>
            </w:pPr>
          </w:p>
        </w:tc>
        <w:tc>
          <w:tcPr>
            <w:tcW w:w="1800" w:type="dxa"/>
          </w:tcPr>
          <w:p w14:paraId="78FF4B9F" w14:textId="367A5CD9" w:rsidR="005F17AA" w:rsidRPr="00D66DA1" w:rsidRDefault="005F17AA" w:rsidP="00C80769">
            <w:pPr>
              <w:ind w:right="-211"/>
              <w:jc w:val="both"/>
              <w:rPr>
                <w:rFonts w:ascii="Sylfaen" w:hAnsi="Sylfaen"/>
                <w:noProof/>
                <w:sz w:val="24"/>
                <w:szCs w:val="24"/>
                <w:lang w:val="ka-GE"/>
              </w:rPr>
            </w:pPr>
            <w:r w:rsidRPr="00D66DA1">
              <w:rPr>
                <w:rFonts w:ascii="Sylfaen" w:hAnsi="Sylfaen"/>
                <w:noProof/>
                <w:sz w:val="24"/>
                <w:szCs w:val="24"/>
                <w:lang w:val="ka-GE"/>
              </w:rPr>
              <w:t>არახშირი</w:t>
            </w:r>
          </w:p>
        </w:tc>
        <w:tc>
          <w:tcPr>
            <w:tcW w:w="5040" w:type="dxa"/>
          </w:tcPr>
          <w:p w14:paraId="75050181" w14:textId="2DCEAACE" w:rsidR="005F17AA" w:rsidRPr="00D66DA1" w:rsidRDefault="005F17AA" w:rsidP="00C80769">
            <w:pPr>
              <w:ind w:right="-18"/>
              <w:jc w:val="both"/>
              <w:rPr>
                <w:rFonts w:ascii="Sylfaen" w:hAnsi="Sylfaen"/>
                <w:noProof/>
                <w:sz w:val="24"/>
                <w:szCs w:val="24"/>
                <w:lang w:val="ka-GE"/>
              </w:rPr>
            </w:pPr>
            <w:r w:rsidRPr="00D66DA1">
              <w:rPr>
                <w:rFonts w:ascii="Sylfaen" w:hAnsi="Sylfaen"/>
                <w:noProof/>
                <w:sz w:val="24"/>
                <w:szCs w:val="24"/>
                <w:lang w:val="ka-GE"/>
              </w:rPr>
              <w:t>ეპისტაქსისი</w:t>
            </w:r>
          </w:p>
        </w:tc>
      </w:tr>
      <w:tr w:rsidR="005F17AA" w:rsidRPr="00D66DA1" w14:paraId="24EB29F9" w14:textId="77777777" w:rsidTr="007F26A1">
        <w:tc>
          <w:tcPr>
            <w:tcW w:w="3870" w:type="dxa"/>
            <w:vMerge w:val="restart"/>
          </w:tcPr>
          <w:p w14:paraId="0665CB2F" w14:textId="77777777" w:rsidR="00A76524" w:rsidRPr="00D66DA1" w:rsidRDefault="00A76524" w:rsidP="00C80769">
            <w:pPr>
              <w:ind w:right="-71"/>
              <w:jc w:val="both"/>
              <w:rPr>
                <w:rFonts w:ascii="Sylfaen" w:hAnsi="Sylfaen"/>
                <w:noProof/>
                <w:sz w:val="24"/>
                <w:szCs w:val="24"/>
                <w:lang w:val="ka-GE"/>
              </w:rPr>
            </w:pPr>
          </w:p>
          <w:p w14:paraId="76A354FE" w14:textId="271C5E99" w:rsidR="005F17AA" w:rsidRPr="00D66DA1" w:rsidRDefault="005F17AA" w:rsidP="00C80769">
            <w:pPr>
              <w:ind w:right="-71"/>
              <w:jc w:val="both"/>
              <w:rPr>
                <w:rFonts w:ascii="Sylfaen" w:hAnsi="Sylfaen"/>
                <w:noProof/>
                <w:sz w:val="24"/>
                <w:szCs w:val="24"/>
                <w:lang w:val="ka-GE"/>
              </w:rPr>
            </w:pPr>
            <w:r w:rsidRPr="00D66DA1">
              <w:rPr>
                <w:rFonts w:ascii="Sylfaen" w:hAnsi="Sylfaen"/>
                <w:noProof/>
                <w:sz w:val="24"/>
                <w:szCs w:val="24"/>
                <w:lang w:val="ka-GE"/>
              </w:rPr>
              <w:t>გასტრო-ინტესტინალური დარღვევები</w:t>
            </w:r>
          </w:p>
        </w:tc>
        <w:tc>
          <w:tcPr>
            <w:tcW w:w="1800" w:type="dxa"/>
          </w:tcPr>
          <w:p w14:paraId="73007980" w14:textId="3A2DA82D" w:rsidR="005F17AA" w:rsidRPr="00D66DA1" w:rsidRDefault="005F17AA" w:rsidP="00C80769">
            <w:pPr>
              <w:ind w:right="-211"/>
              <w:jc w:val="both"/>
              <w:rPr>
                <w:rFonts w:ascii="Sylfaen" w:hAnsi="Sylfaen"/>
                <w:noProof/>
                <w:sz w:val="24"/>
                <w:szCs w:val="24"/>
                <w:lang w:val="ka-GE"/>
              </w:rPr>
            </w:pPr>
            <w:r w:rsidRPr="00D66DA1">
              <w:rPr>
                <w:rFonts w:ascii="Sylfaen" w:hAnsi="Sylfaen"/>
                <w:noProof/>
                <w:sz w:val="24"/>
                <w:szCs w:val="24"/>
                <w:lang w:val="ka-GE"/>
              </w:rPr>
              <w:t>ძალიან ხშირი</w:t>
            </w:r>
          </w:p>
        </w:tc>
        <w:tc>
          <w:tcPr>
            <w:tcW w:w="5040" w:type="dxa"/>
          </w:tcPr>
          <w:p w14:paraId="74420C9F" w14:textId="1A2F8CED" w:rsidR="005F17AA" w:rsidRPr="00D66DA1" w:rsidRDefault="005F17AA" w:rsidP="00C80769">
            <w:pPr>
              <w:ind w:right="-18"/>
              <w:jc w:val="both"/>
              <w:rPr>
                <w:rFonts w:ascii="Sylfaen" w:hAnsi="Sylfaen"/>
                <w:noProof/>
                <w:sz w:val="24"/>
                <w:szCs w:val="24"/>
                <w:lang w:val="ka-GE"/>
              </w:rPr>
            </w:pPr>
            <w:r w:rsidRPr="00D66DA1">
              <w:rPr>
                <w:rFonts w:ascii="Sylfaen" w:hAnsi="Sylfaen"/>
                <w:noProof/>
                <w:sz w:val="24"/>
                <w:szCs w:val="24"/>
                <w:lang w:val="ka-GE"/>
              </w:rPr>
              <w:t>გულისრევა</w:t>
            </w:r>
          </w:p>
        </w:tc>
      </w:tr>
      <w:tr w:rsidR="005F17AA" w:rsidRPr="00D66DA1" w14:paraId="183A7C11" w14:textId="77777777" w:rsidTr="007F26A1">
        <w:tc>
          <w:tcPr>
            <w:tcW w:w="3870" w:type="dxa"/>
            <w:vMerge/>
          </w:tcPr>
          <w:p w14:paraId="6E3B549C" w14:textId="77777777" w:rsidR="005F17AA" w:rsidRPr="00D66DA1" w:rsidRDefault="005F17AA" w:rsidP="00C80769">
            <w:pPr>
              <w:ind w:right="-71"/>
              <w:jc w:val="both"/>
              <w:rPr>
                <w:rFonts w:ascii="Sylfaen" w:hAnsi="Sylfaen"/>
                <w:noProof/>
                <w:sz w:val="24"/>
                <w:szCs w:val="24"/>
                <w:lang w:val="ka-GE"/>
              </w:rPr>
            </w:pPr>
          </w:p>
        </w:tc>
        <w:tc>
          <w:tcPr>
            <w:tcW w:w="1800" w:type="dxa"/>
          </w:tcPr>
          <w:p w14:paraId="7529DD14" w14:textId="02886572" w:rsidR="005F17AA" w:rsidRPr="00D66DA1" w:rsidRDefault="005F17AA" w:rsidP="00C80769">
            <w:pPr>
              <w:ind w:right="-211"/>
              <w:jc w:val="both"/>
              <w:rPr>
                <w:rFonts w:ascii="Sylfaen" w:hAnsi="Sylfaen"/>
                <w:noProof/>
                <w:sz w:val="24"/>
                <w:szCs w:val="24"/>
                <w:lang w:val="ka-GE"/>
              </w:rPr>
            </w:pPr>
            <w:r w:rsidRPr="00D66DA1">
              <w:rPr>
                <w:rFonts w:ascii="Sylfaen" w:hAnsi="Sylfaen"/>
                <w:noProof/>
                <w:sz w:val="24"/>
                <w:szCs w:val="24"/>
                <w:lang w:val="ka-GE"/>
              </w:rPr>
              <w:t>ხშირი</w:t>
            </w:r>
          </w:p>
        </w:tc>
        <w:tc>
          <w:tcPr>
            <w:tcW w:w="5040" w:type="dxa"/>
          </w:tcPr>
          <w:p w14:paraId="62134492" w14:textId="4D44BB9E" w:rsidR="005F17AA" w:rsidRPr="00D66DA1" w:rsidRDefault="005F17AA" w:rsidP="00C80769">
            <w:pPr>
              <w:ind w:right="-18"/>
              <w:jc w:val="both"/>
              <w:rPr>
                <w:rFonts w:ascii="Sylfaen" w:hAnsi="Sylfaen"/>
                <w:noProof/>
                <w:sz w:val="24"/>
                <w:szCs w:val="24"/>
                <w:lang w:val="ka-GE"/>
              </w:rPr>
            </w:pPr>
            <w:r w:rsidRPr="00D66DA1">
              <w:rPr>
                <w:rFonts w:ascii="Sylfaen" w:hAnsi="Sylfaen"/>
                <w:noProof/>
                <w:sz w:val="24"/>
                <w:szCs w:val="24"/>
                <w:lang w:val="ka-GE"/>
              </w:rPr>
              <w:t>დიარეა, შეკრულობა, ღებინება, პირის სიმშრალე</w:t>
            </w:r>
          </w:p>
        </w:tc>
      </w:tr>
      <w:tr w:rsidR="005F17AA" w:rsidRPr="00D66DA1" w14:paraId="1C382B72" w14:textId="77777777" w:rsidTr="007F26A1">
        <w:tc>
          <w:tcPr>
            <w:tcW w:w="3870" w:type="dxa"/>
            <w:vMerge/>
          </w:tcPr>
          <w:p w14:paraId="1F1737C4" w14:textId="77777777" w:rsidR="005F17AA" w:rsidRPr="00D66DA1" w:rsidRDefault="005F17AA" w:rsidP="00C80769">
            <w:pPr>
              <w:ind w:right="-71"/>
              <w:jc w:val="both"/>
              <w:rPr>
                <w:rFonts w:ascii="Sylfaen" w:hAnsi="Sylfaen"/>
                <w:noProof/>
                <w:sz w:val="24"/>
                <w:szCs w:val="24"/>
                <w:lang w:val="ka-GE"/>
              </w:rPr>
            </w:pPr>
          </w:p>
        </w:tc>
        <w:tc>
          <w:tcPr>
            <w:tcW w:w="1800" w:type="dxa"/>
          </w:tcPr>
          <w:p w14:paraId="58C32C8C" w14:textId="2AC7FDE0" w:rsidR="005F17AA" w:rsidRPr="00D66DA1" w:rsidRDefault="005F17AA" w:rsidP="00C80769">
            <w:pPr>
              <w:ind w:right="-211"/>
              <w:jc w:val="both"/>
              <w:rPr>
                <w:rFonts w:ascii="Sylfaen" w:hAnsi="Sylfaen"/>
                <w:noProof/>
                <w:sz w:val="24"/>
                <w:szCs w:val="24"/>
                <w:lang w:val="ka-GE"/>
              </w:rPr>
            </w:pPr>
            <w:r w:rsidRPr="00D66DA1">
              <w:rPr>
                <w:rFonts w:ascii="Sylfaen" w:hAnsi="Sylfaen"/>
                <w:noProof/>
                <w:sz w:val="24"/>
                <w:szCs w:val="24"/>
                <w:lang w:val="ka-GE"/>
              </w:rPr>
              <w:t>არახშირი</w:t>
            </w:r>
          </w:p>
        </w:tc>
        <w:tc>
          <w:tcPr>
            <w:tcW w:w="5040" w:type="dxa"/>
          </w:tcPr>
          <w:p w14:paraId="5290E89A" w14:textId="246645CC" w:rsidR="005F17AA" w:rsidRPr="00D66DA1" w:rsidRDefault="005F17AA" w:rsidP="00C80769">
            <w:pPr>
              <w:ind w:right="-18"/>
              <w:jc w:val="both"/>
              <w:rPr>
                <w:rFonts w:ascii="Sylfaen" w:hAnsi="Sylfaen"/>
                <w:noProof/>
                <w:sz w:val="24"/>
                <w:szCs w:val="24"/>
                <w:lang w:val="ka-GE"/>
              </w:rPr>
            </w:pPr>
            <w:r w:rsidRPr="00D66DA1">
              <w:rPr>
                <w:rFonts w:ascii="Sylfaen" w:hAnsi="Sylfaen"/>
                <w:noProof/>
                <w:sz w:val="24"/>
                <w:szCs w:val="24"/>
                <w:lang w:val="ka-GE"/>
              </w:rPr>
              <w:t>გასტროინტესტინალური ჰემორაგიები (მათ შორის, რექტალური სისხლდენა)</w:t>
            </w:r>
          </w:p>
        </w:tc>
      </w:tr>
      <w:tr w:rsidR="00821E81" w:rsidRPr="00D66DA1" w14:paraId="0A0581A9" w14:textId="77777777" w:rsidTr="007F26A1">
        <w:tc>
          <w:tcPr>
            <w:tcW w:w="3870" w:type="dxa"/>
          </w:tcPr>
          <w:p w14:paraId="26D8AD55" w14:textId="7D01F155" w:rsidR="00821E81" w:rsidRPr="00D66DA1" w:rsidRDefault="00821E81" w:rsidP="00C80769">
            <w:pPr>
              <w:ind w:right="-71"/>
              <w:jc w:val="both"/>
              <w:rPr>
                <w:rFonts w:ascii="Sylfaen" w:hAnsi="Sylfaen"/>
                <w:noProof/>
                <w:sz w:val="24"/>
                <w:szCs w:val="24"/>
                <w:lang w:val="ka-GE"/>
              </w:rPr>
            </w:pPr>
            <w:r w:rsidRPr="00D66DA1">
              <w:rPr>
                <w:rFonts w:ascii="Sylfaen" w:hAnsi="Sylfaen"/>
                <w:noProof/>
                <w:sz w:val="24"/>
                <w:szCs w:val="24"/>
                <w:lang w:val="ka-GE"/>
              </w:rPr>
              <w:t>ჰეპატობილიარული დარღვევები</w:t>
            </w:r>
          </w:p>
        </w:tc>
        <w:tc>
          <w:tcPr>
            <w:tcW w:w="1800" w:type="dxa"/>
          </w:tcPr>
          <w:p w14:paraId="617E5784" w14:textId="266405F6" w:rsidR="00821E81" w:rsidRPr="00D66DA1" w:rsidRDefault="005F17AA" w:rsidP="00C80769">
            <w:pPr>
              <w:ind w:right="-211"/>
              <w:jc w:val="both"/>
              <w:rPr>
                <w:rFonts w:ascii="Sylfaen" w:hAnsi="Sylfaen"/>
                <w:noProof/>
                <w:sz w:val="24"/>
                <w:szCs w:val="24"/>
                <w:lang w:val="ka-GE"/>
              </w:rPr>
            </w:pPr>
            <w:r w:rsidRPr="00D66DA1">
              <w:rPr>
                <w:rFonts w:ascii="Sylfaen" w:hAnsi="Sylfaen"/>
                <w:noProof/>
                <w:sz w:val="24"/>
                <w:szCs w:val="24"/>
                <w:lang w:val="ka-GE"/>
              </w:rPr>
              <w:t>უცნობი</w:t>
            </w:r>
          </w:p>
        </w:tc>
        <w:tc>
          <w:tcPr>
            <w:tcW w:w="5040" w:type="dxa"/>
          </w:tcPr>
          <w:p w14:paraId="46F0414A" w14:textId="0569B22B" w:rsidR="00821E81" w:rsidRPr="00D66DA1" w:rsidRDefault="005F17AA" w:rsidP="00C80769">
            <w:pPr>
              <w:ind w:right="-18"/>
              <w:jc w:val="both"/>
              <w:rPr>
                <w:rFonts w:ascii="Sylfaen" w:hAnsi="Sylfaen"/>
                <w:noProof/>
                <w:sz w:val="24"/>
                <w:szCs w:val="24"/>
                <w:lang w:val="ka-GE"/>
              </w:rPr>
            </w:pPr>
            <w:r w:rsidRPr="00D66DA1">
              <w:rPr>
                <w:rFonts w:ascii="Sylfaen" w:hAnsi="Sylfaen"/>
                <w:noProof/>
                <w:sz w:val="24"/>
                <w:szCs w:val="24"/>
                <w:lang w:val="ka-GE"/>
              </w:rPr>
              <w:t>ჰეპატიტი, ღვიძლის ფუნქციის მაჩვენებლების ნორმიდან გადახრა</w:t>
            </w:r>
          </w:p>
        </w:tc>
      </w:tr>
      <w:tr w:rsidR="005F17AA" w:rsidRPr="00D66DA1" w14:paraId="61E77A1F" w14:textId="77777777" w:rsidTr="007F26A1">
        <w:tc>
          <w:tcPr>
            <w:tcW w:w="3870" w:type="dxa"/>
            <w:vMerge w:val="restart"/>
          </w:tcPr>
          <w:p w14:paraId="0005AAA4" w14:textId="77777777" w:rsidR="00A76524" w:rsidRPr="00D66DA1" w:rsidRDefault="00A76524" w:rsidP="00C80769">
            <w:pPr>
              <w:ind w:right="-71"/>
              <w:jc w:val="both"/>
              <w:rPr>
                <w:rFonts w:ascii="Sylfaen" w:hAnsi="Sylfaen"/>
                <w:noProof/>
                <w:sz w:val="24"/>
                <w:szCs w:val="24"/>
                <w:lang w:val="ka-GE"/>
              </w:rPr>
            </w:pPr>
          </w:p>
          <w:p w14:paraId="3BEB316D" w14:textId="0A307503" w:rsidR="005F17AA" w:rsidRPr="00D66DA1" w:rsidRDefault="005F17AA" w:rsidP="00C80769">
            <w:pPr>
              <w:ind w:right="-71"/>
              <w:jc w:val="both"/>
              <w:rPr>
                <w:rFonts w:ascii="Sylfaen" w:hAnsi="Sylfaen"/>
                <w:noProof/>
                <w:sz w:val="24"/>
                <w:szCs w:val="24"/>
                <w:lang w:val="ka-GE"/>
              </w:rPr>
            </w:pPr>
            <w:r w:rsidRPr="00D66DA1">
              <w:rPr>
                <w:rFonts w:ascii="Sylfaen" w:hAnsi="Sylfaen"/>
                <w:noProof/>
                <w:sz w:val="24"/>
                <w:szCs w:val="24"/>
                <w:lang w:val="ka-GE"/>
              </w:rPr>
              <w:lastRenderedPageBreak/>
              <w:t>კანისა და კანქვეშა ქსოვილის დარღვევები</w:t>
            </w:r>
          </w:p>
        </w:tc>
        <w:tc>
          <w:tcPr>
            <w:tcW w:w="1800" w:type="dxa"/>
          </w:tcPr>
          <w:p w14:paraId="48D3FB8A" w14:textId="3F3BE384" w:rsidR="005F17AA" w:rsidRPr="00D66DA1" w:rsidRDefault="005F17AA" w:rsidP="00C80769">
            <w:pPr>
              <w:ind w:right="-211"/>
              <w:jc w:val="both"/>
              <w:rPr>
                <w:rFonts w:ascii="Sylfaen" w:hAnsi="Sylfaen"/>
                <w:noProof/>
                <w:sz w:val="24"/>
                <w:szCs w:val="24"/>
                <w:lang w:val="ka-GE"/>
              </w:rPr>
            </w:pPr>
            <w:r w:rsidRPr="00D66DA1">
              <w:rPr>
                <w:rFonts w:ascii="Sylfaen" w:hAnsi="Sylfaen"/>
                <w:noProof/>
                <w:sz w:val="24"/>
                <w:szCs w:val="24"/>
                <w:lang w:val="ka-GE"/>
              </w:rPr>
              <w:lastRenderedPageBreak/>
              <w:t>ხშირი</w:t>
            </w:r>
          </w:p>
        </w:tc>
        <w:tc>
          <w:tcPr>
            <w:tcW w:w="5040" w:type="dxa"/>
          </w:tcPr>
          <w:p w14:paraId="0765A7EA" w14:textId="6521AC97" w:rsidR="005F17AA" w:rsidRPr="00D66DA1" w:rsidRDefault="005F17AA" w:rsidP="00C80769">
            <w:pPr>
              <w:ind w:right="-18"/>
              <w:jc w:val="both"/>
              <w:rPr>
                <w:rFonts w:ascii="Sylfaen" w:hAnsi="Sylfaen"/>
                <w:noProof/>
                <w:sz w:val="24"/>
                <w:szCs w:val="24"/>
                <w:lang w:val="ka-GE"/>
              </w:rPr>
            </w:pPr>
            <w:r w:rsidRPr="00D66DA1">
              <w:rPr>
                <w:rFonts w:ascii="Sylfaen" w:hAnsi="Sylfaen"/>
                <w:noProof/>
                <w:sz w:val="24"/>
                <w:szCs w:val="24"/>
                <w:lang w:val="ka-GE"/>
              </w:rPr>
              <w:t>ოფლიანობის მატება</w:t>
            </w:r>
          </w:p>
        </w:tc>
      </w:tr>
      <w:tr w:rsidR="005F17AA" w:rsidRPr="00D66DA1" w14:paraId="42F61FC8" w14:textId="77777777" w:rsidTr="007F26A1">
        <w:tc>
          <w:tcPr>
            <w:tcW w:w="3870" w:type="dxa"/>
            <w:vMerge/>
          </w:tcPr>
          <w:p w14:paraId="67D16056" w14:textId="77777777" w:rsidR="005F17AA" w:rsidRPr="00D66DA1" w:rsidRDefault="005F17AA" w:rsidP="00C80769">
            <w:pPr>
              <w:ind w:right="-71"/>
              <w:jc w:val="both"/>
              <w:rPr>
                <w:rFonts w:ascii="Sylfaen" w:hAnsi="Sylfaen"/>
                <w:noProof/>
                <w:sz w:val="24"/>
                <w:szCs w:val="24"/>
                <w:lang w:val="ka-GE"/>
              </w:rPr>
            </w:pPr>
          </w:p>
        </w:tc>
        <w:tc>
          <w:tcPr>
            <w:tcW w:w="1800" w:type="dxa"/>
          </w:tcPr>
          <w:p w14:paraId="6669B834" w14:textId="7456E11D" w:rsidR="005F17AA" w:rsidRPr="00D66DA1" w:rsidRDefault="005F17AA" w:rsidP="00C80769">
            <w:pPr>
              <w:ind w:right="-211"/>
              <w:jc w:val="both"/>
              <w:rPr>
                <w:rFonts w:ascii="Sylfaen" w:hAnsi="Sylfaen"/>
                <w:noProof/>
                <w:sz w:val="24"/>
                <w:szCs w:val="24"/>
                <w:lang w:val="ka-GE"/>
              </w:rPr>
            </w:pPr>
            <w:r w:rsidRPr="00D66DA1">
              <w:rPr>
                <w:rFonts w:ascii="Sylfaen" w:hAnsi="Sylfaen"/>
                <w:noProof/>
                <w:sz w:val="24"/>
                <w:szCs w:val="24"/>
                <w:lang w:val="ka-GE"/>
              </w:rPr>
              <w:t>არახშირი</w:t>
            </w:r>
          </w:p>
        </w:tc>
        <w:tc>
          <w:tcPr>
            <w:tcW w:w="5040" w:type="dxa"/>
          </w:tcPr>
          <w:p w14:paraId="00CC917D" w14:textId="2FAAAAEC" w:rsidR="005F17AA" w:rsidRPr="00D66DA1" w:rsidRDefault="005F17AA" w:rsidP="00C80769">
            <w:pPr>
              <w:ind w:right="-18"/>
              <w:jc w:val="both"/>
              <w:rPr>
                <w:rFonts w:ascii="Sylfaen" w:hAnsi="Sylfaen"/>
                <w:noProof/>
                <w:sz w:val="24"/>
                <w:szCs w:val="24"/>
                <w:lang w:val="ka-GE"/>
              </w:rPr>
            </w:pPr>
            <w:r w:rsidRPr="00D66DA1">
              <w:rPr>
                <w:rFonts w:ascii="Sylfaen" w:hAnsi="Sylfaen"/>
                <w:noProof/>
                <w:sz w:val="24"/>
                <w:szCs w:val="24"/>
                <w:lang w:val="ka-GE"/>
              </w:rPr>
              <w:t>ჭინჭრის ციება,  ალოპეცია, გამონაყარი, ქავილი</w:t>
            </w:r>
          </w:p>
        </w:tc>
      </w:tr>
      <w:tr w:rsidR="005F17AA" w:rsidRPr="00D66DA1" w14:paraId="73638920" w14:textId="77777777" w:rsidTr="007F26A1">
        <w:tc>
          <w:tcPr>
            <w:tcW w:w="3870" w:type="dxa"/>
            <w:vMerge/>
          </w:tcPr>
          <w:p w14:paraId="1E5F2D3F" w14:textId="77777777" w:rsidR="005F17AA" w:rsidRPr="00D66DA1" w:rsidRDefault="005F17AA" w:rsidP="00C80769">
            <w:pPr>
              <w:ind w:right="-71"/>
              <w:jc w:val="both"/>
              <w:rPr>
                <w:rFonts w:ascii="Sylfaen" w:hAnsi="Sylfaen"/>
                <w:noProof/>
                <w:sz w:val="24"/>
                <w:szCs w:val="24"/>
                <w:lang w:val="ka-GE"/>
              </w:rPr>
            </w:pPr>
          </w:p>
        </w:tc>
        <w:tc>
          <w:tcPr>
            <w:tcW w:w="1800" w:type="dxa"/>
          </w:tcPr>
          <w:p w14:paraId="44577DE3" w14:textId="445733DE" w:rsidR="005F17AA" w:rsidRPr="00D66DA1" w:rsidRDefault="005F17AA" w:rsidP="00C80769">
            <w:pPr>
              <w:ind w:right="-211"/>
              <w:jc w:val="both"/>
              <w:rPr>
                <w:rFonts w:ascii="Sylfaen" w:hAnsi="Sylfaen"/>
                <w:noProof/>
                <w:sz w:val="24"/>
                <w:szCs w:val="24"/>
                <w:lang w:val="ka-GE"/>
              </w:rPr>
            </w:pPr>
            <w:r w:rsidRPr="00D66DA1">
              <w:rPr>
                <w:rFonts w:ascii="Sylfaen" w:hAnsi="Sylfaen"/>
                <w:noProof/>
                <w:sz w:val="24"/>
                <w:szCs w:val="24"/>
                <w:lang w:val="ka-GE"/>
              </w:rPr>
              <w:t>უცნობი</w:t>
            </w:r>
          </w:p>
        </w:tc>
        <w:tc>
          <w:tcPr>
            <w:tcW w:w="5040" w:type="dxa"/>
          </w:tcPr>
          <w:p w14:paraId="6B85498D" w14:textId="4F6D58A6" w:rsidR="005F17AA" w:rsidRPr="00D66DA1" w:rsidRDefault="005F17AA" w:rsidP="00C80769">
            <w:pPr>
              <w:ind w:right="-18"/>
              <w:jc w:val="both"/>
              <w:rPr>
                <w:rFonts w:ascii="Sylfaen" w:hAnsi="Sylfaen"/>
                <w:noProof/>
                <w:sz w:val="24"/>
                <w:szCs w:val="24"/>
                <w:lang w:val="ka-GE"/>
              </w:rPr>
            </w:pPr>
            <w:r w:rsidRPr="00D66DA1">
              <w:rPr>
                <w:rFonts w:ascii="Sylfaen" w:hAnsi="Sylfaen"/>
                <w:noProof/>
                <w:sz w:val="24"/>
                <w:szCs w:val="24"/>
                <w:lang w:val="ka-GE"/>
              </w:rPr>
              <w:t>ეკქიმოზი, ანგიოშეშუპება</w:t>
            </w:r>
          </w:p>
        </w:tc>
      </w:tr>
      <w:tr w:rsidR="00821E81" w:rsidRPr="00D66DA1" w14:paraId="66429A29" w14:textId="77777777" w:rsidTr="007F26A1">
        <w:tc>
          <w:tcPr>
            <w:tcW w:w="3870" w:type="dxa"/>
          </w:tcPr>
          <w:p w14:paraId="5C3B1602" w14:textId="078408C9" w:rsidR="00821E81" w:rsidRPr="00D66DA1" w:rsidRDefault="00821E81" w:rsidP="00C80769">
            <w:pPr>
              <w:ind w:right="-71"/>
              <w:jc w:val="both"/>
              <w:rPr>
                <w:rFonts w:ascii="Sylfaen" w:hAnsi="Sylfaen"/>
                <w:noProof/>
                <w:sz w:val="24"/>
                <w:szCs w:val="24"/>
                <w:lang w:val="ka-GE"/>
              </w:rPr>
            </w:pPr>
            <w:r w:rsidRPr="00D66DA1">
              <w:rPr>
                <w:rFonts w:ascii="Sylfaen" w:hAnsi="Sylfaen"/>
                <w:noProof/>
                <w:sz w:val="24"/>
                <w:szCs w:val="24"/>
                <w:lang w:val="ka-GE"/>
              </w:rPr>
              <w:t>ძვალ-კუნთოვანი და შემაერთებელი</w:t>
            </w:r>
            <w:r w:rsidR="00D75F87" w:rsidRPr="00D66DA1">
              <w:rPr>
                <w:rFonts w:ascii="Sylfaen" w:hAnsi="Sylfaen"/>
                <w:noProof/>
                <w:sz w:val="24"/>
                <w:szCs w:val="24"/>
                <w:lang w:val="ka-GE"/>
              </w:rPr>
              <w:t xml:space="preserve"> </w:t>
            </w:r>
            <w:r w:rsidRPr="00D66DA1">
              <w:rPr>
                <w:rFonts w:ascii="Sylfaen" w:hAnsi="Sylfaen"/>
                <w:noProof/>
                <w:sz w:val="24"/>
                <w:szCs w:val="24"/>
                <w:lang w:val="ka-GE"/>
              </w:rPr>
              <w:t xml:space="preserve">ქსოვილის დარღვევები </w:t>
            </w:r>
          </w:p>
        </w:tc>
        <w:tc>
          <w:tcPr>
            <w:tcW w:w="1800" w:type="dxa"/>
          </w:tcPr>
          <w:p w14:paraId="61C82DDB" w14:textId="20BA867A" w:rsidR="00821E81" w:rsidRPr="00D66DA1" w:rsidRDefault="005F17AA" w:rsidP="00C80769">
            <w:pPr>
              <w:ind w:right="-211"/>
              <w:jc w:val="both"/>
              <w:rPr>
                <w:rFonts w:ascii="Sylfaen" w:hAnsi="Sylfaen"/>
                <w:noProof/>
                <w:sz w:val="24"/>
                <w:szCs w:val="24"/>
                <w:lang w:val="ka-GE"/>
              </w:rPr>
            </w:pPr>
            <w:r w:rsidRPr="00D66DA1">
              <w:rPr>
                <w:rFonts w:ascii="Sylfaen" w:hAnsi="Sylfaen"/>
                <w:noProof/>
                <w:sz w:val="24"/>
                <w:szCs w:val="24"/>
                <w:lang w:val="ka-GE"/>
              </w:rPr>
              <w:t>ხშირი</w:t>
            </w:r>
          </w:p>
        </w:tc>
        <w:tc>
          <w:tcPr>
            <w:tcW w:w="5040" w:type="dxa"/>
          </w:tcPr>
          <w:p w14:paraId="5794104F" w14:textId="76DA2886" w:rsidR="00821E81" w:rsidRPr="00D66DA1" w:rsidRDefault="005F17AA" w:rsidP="00C80769">
            <w:pPr>
              <w:ind w:right="-18"/>
              <w:jc w:val="both"/>
              <w:rPr>
                <w:rFonts w:ascii="Sylfaen" w:hAnsi="Sylfaen"/>
                <w:noProof/>
                <w:sz w:val="24"/>
                <w:szCs w:val="24"/>
                <w:lang w:val="ka-GE"/>
              </w:rPr>
            </w:pPr>
            <w:r w:rsidRPr="00D66DA1">
              <w:rPr>
                <w:rFonts w:ascii="Sylfaen" w:hAnsi="Sylfaen"/>
                <w:noProof/>
                <w:sz w:val="24"/>
                <w:szCs w:val="24"/>
                <w:lang w:val="ka-GE"/>
              </w:rPr>
              <w:t>ართრალგია, მიალგია</w:t>
            </w:r>
          </w:p>
        </w:tc>
      </w:tr>
      <w:tr w:rsidR="00821E81" w:rsidRPr="00D66DA1" w14:paraId="3F08DA9C" w14:textId="77777777" w:rsidTr="007F26A1">
        <w:tc>
          <w:tcPr>
            <w:tcW w:w="3870" w:type="dxa"/>
          </w:tcPr>
          <w:p w14:paraId="5CA309F5" w14:textId="3F83B4EA" w:rsidR="00821E81" w:rsidRPr="00D66DA1" w:rsidRDefault="00821E81" w:rsidP="00C80769">
            <w:pPr>
              <w:ind w:right="-71"/>
              <w:jc w:val="both"/>
              <w:rPr>
                <w:rFonts w:ascii="Sylfaen" w:hAnsi="Sylfaen"/>
                <w:noProof/>
                <w:sz w:val="24"/>
                <w:szCs w:val="24"/>
                <w:lang w:val="ka-GE"/>
              </w:rPr>
            </w:pPr>
            <w:r w:rsidRPr="00D66DA1">
              <w:rPr>
                <w:rFonts w:ascii="Sylfaen" w:hAnsi="Sylfaen"/>
                <w:noProof/>
                <w:sz w:val="24"/>
                <w:szCs w:val="24"/>
                <w:lang w:val="ka-GE"/>
              </w:rPr>
              <w:t xml:space="preserve">დარღვევები თირკმლებისა და შარდგამომყოფი სისტემის მხრივ </w:t>
            </w:r>
          </w:p>
        </w:tc>
        <w:tc>
          <w:tcPr>
            <w:tcW w:w="1800" w:type="dxa"/>
          </w:tcPr>
          <w:p w14:paraId="75C1E713" w14:textId="2B8EE1C5" w:rsidR="00821E81" w:rsidRPr="00D66DA1" w:rsidRDefault="00D75F87" w:rsidP="00C80769">
            <w:pPr>
              <w:ind w:right="-211"/>
              <w:jc w:val="both"/>
              <w:rPr>
                <w:rFonts w:ascii="Sylfaen" w:hAnsi="Sylfaen"/>
                <w:noProof/>
                <w:sz w:val="24"/>
                <w:szCs w:val="24"/>
                <w:lang w:val="ka-GE"/>
              </w:rPr>
            </w:pPr>
            <w:r w:rsidRPr="00D66DA1">
              <w:rPr>
                <w:rFonts w:ascii="Sylfaen" w:hAnsi="Sylfaen"/>
                <w:noProof/>
                <w:sz w:val="24"/>
                <w:szCs w:val="24"/>
                <w:lang w:val="ka-GE"/>
              </w:rPr>
              <w:t>უცნობი</w:t>
            </w:r>
          </w:p>
        </w:tc>
        <w:tc>
          <w:tcPr>
            <w:tcW w:w="5040" w:type="dxa"/>
          </w:tcPr>
          <w:p w14:paraId="2ACABEDC" w14:textId="2FC3778A" w:rsidR="00821E81" w:rsidRPr="00D66DA1" w:rsidRDefault="00D75F87" w:rsidP="00C80769">
            <w:pPr>
              <w:ind w:right="-18"/>
              <w:jc w:val="both"/>
              <w:rPr>
                <w:rFonts w:ascii="Sylfaen" w:hAnsi="Sylfaen"/>
                <w:noProof/>
                <w:sz w:val="24"/>
                <w:szCs w:val="24"/>
                <w:lang w:val="ka-GE"/>
              </w:rPr>
            </w:pPr>
            <w:r w:rsidRPr="00D66DA1">
              <w:rPr>
                <w:rFonts w:ascii="Sylfaen" w:hAnsi="Sylfaen"/>
                <w:noProof/>
                <w:sz w:val="24"/>
                <w:szCs w:val="24"/>
                <w:lang w:val="ka-GE"/>
              </w:rPr>
              <w:t>შარდის შეკავება</w:t>
            </w:r>
          </w:p>
        </w:tc>
      </w:tr>
      <w:tr w:rsidR="00D75F87" w:rsidRPr="00D66DA1" w14:paraId="6464749F" w14:textId="77777777" w:rsidTr="007F26A1">
        <w:tc>
          <w:tcPr>
            <w:tcW w:w="3870" w:type="dxa"/>
            <w:vMerge w:val="restart"/>
          </w:tcPr>
          <w:p w14:paraId="6CE8E161" w14:textId="7470120B" w:rsidR="00D75F87" w:rsidRPr="00D66DA1" w:rsidRDefault="00D75F87" w:rsidP="00C80769">
            <w:pPr>
              <w:ind w:right="-71"/>
              <w:jc w:val="both"/>
              <w:rPr>
                <w:rFonts w:ascii="Sylfaen" w:hAnsi="Sylfaen"/>
                <w:noProof/>
                <w:sz w:val="24"/>
                <w:szCs w:val="24"/>
                <w:lang w:val="ka-GE"/>
              </w:rPr>
            </w:pPr>
            <w:r w:rsidRPr="00D66DA1">
              <w:rPr>
                <w:rFonts w:ascii="Sylfaen" w:hAnsi="Sylfaen"/>
                <w:noProof/>
                <w:sz w:val="24"/>
                <w:szCs w:val="24"/>
                <w:lang w:val="ka-GE"/>
              </w:rPr>
              <w:t>დარღვევები რეპროდუქციული სისტემის და სარძევე ჯირკვლების მხრივ</w:t>
            </w:r>
          </w:p>
        </w:tc>
        <w:tc>
          <w:tcPr>
            <w:tcW w:w="1800" w:type="dxa"/>
          </w:tcPr>
          <w:p w14:paraId="3D1B31B0" w14:textId="436EC1EE" w:rsidR="00D75F87" w:rsidRPr="00D66DA1" w:rsidRDefault="00D75F87" w:rsidP="00C80769">
            <w:pPr>
              <w:ind w:right="-211"/>
              <w:jc w:val="both"/>
              <w:rPr>
                <w:rFonts w:ascii="Sylfaen" w:hAnsi="Sylfaen"/>
                <w:noProof/>
                <w:sz w:val="24"/>
                <w:szCs w:val="24"/>
                <w:lang w:val="ka-GE"/>
              </w:rPr>
            </w:pPr>
            <w:r w:rsidRPr="00D66DA1">
              <w:rPr>
                <w:rFonts w:ascii="Sylfaen" w:hAnsi="Sylfaen"/>
                <w:noProof/>
                <w:sz w:val="24"/>
                <w:szCs w:val="24"/>
                <w:lang w:val="ka-GE"/>
              </w:rPr>
              <w:t>ხშირი</w:t>
            </w:r>
          </w:p>
        </w:tc>
        <w:tc>
          <w:tcPr>
            <w:tcW w:w="5040" w:type="dxa"/>
          </w:tcPr>
          <w:p w14:paraId="574DF2B2" w14:textId="232D06B9" w:rsidR="00D75F87" w:rsidRPr="00D66DA1" w:rsidRDefault="00711880" w:rsidP="00C80769">
            <w:pPr>
              <w:ind w:right="-18"/>
              <w:jc w:val="both"/>
              <w:rPr>
                <w:rFonts w:ascii="Sylfaen" w:hAnsi="Sylfaen"/>
                <w:noProof/>
                <w:sz w:val="24"/>
                <w:szCs w:val="24"/>
                <w:lang w:val="ka-GE"/>
              </w:rPr>
            </w:pPr>
            <w:r w:rsidRPr="00D66DA1">
              <w:rPr>
                <w:rFonts w:ascii="Sylfaen" w:hAnsi="Sylfaen"/>
                <w:noProof/>
                <w:sz w:val="24"/>
                <w:szCs w:val="24"/>
                <w:lang w:val="ka-GE"/>
              </w:rPr>
              <w:t>კაცებში: ეაკულაციის დარღვევა, იმპოტენცია</w:t>
            </w:r>
          </w:p>
        </w:tc>
      </w:tr>
      <w:tr w:rsidR="00D75F87" w:rsidRPr="00D66DA1" w14:paraId="60DD2A38" w14:textId="77777777" w:rsidTr="007F26A1">
        <w:tc>
          <w:tcPr>
            <w:tcW w:w="3870" w:type="dxa"/>
            <w:vMerge/>
          </w:tcPr>
          <w:p w14:paraId="1EB4F105" w14:textId="77777777" w:rsidR="00D75F87" w:rsidRPr="00D66DA1" w:rsidRDefault="00D75F87" w:rsidP="00C80769">
            <w:pPr>
              <w:ind w:right="-71"/>
              <w:jc w:val="both"/>
              <w:rPr>
                <w:rFonts w:ascii="Sylfaen" w:hAnsi="Sylfaen"/>
                <w:noProof/>
                <w:sz w:val="24"/>
                <w:szCs w:val="24"/>
                <w:lang w:val="ka-GE"/>
              </w:rPr>
            </w:pPr>
          </w:p>
        </w:tc>
        <w:tc>
          <w:tcPr>
            <w:tcW w:w="1800" w:type="dxa"/>
          </w:tcPr>
          <w:p w14:paraId="1E8F0A43" w14:textId="5FE63242" w:rsidR="00D75F87" w:rsidRPr="00D66DA1" w:rsidRDefault="00D75F87" w:rsidP="00C80769">
            <w:pPr>
              <w:ind w:right="-211"/>
              <w:jc w:val="both"/>
              <w:rPr>
                <w:rFonts w:ascii="Sylfaen" w:hAnsi="Sylfaen"/>
                <w:noProof/>
                <w:sz w:val="24"/>
                <w:szCs w:val="24"/>
                <w:lang w:val="ka-GE"/>
              </w:rPr>
            </w:pPr>
            <w:r w:rsidRPr="00D66DA1">
              <w:rPr>
                <w:rFonts w:ascii="Sylfaen" w:hAnsi="Sylfaen"/>
                <w:noProof/>
                <w:sz w:val="24"/>
                <w:szCs w:val="24"/>
                <w:lang w:val="ka-GE"/>
              </w:rPr>
              <w:t>არახშირი</w:t>
            </w:r>
          </w:p>
        </w:tc>
        <w:tc>
          <w:tcPr>
            <w:tcW w:w="5040" w:type="dxa"/>
          </w:tcPr>
          <w:p w14:paraId="70895DB7" w14:textId="116830E2" w:rsidR="00D75F87" w:rsidRPr="00D66DA1" w:rsidRDefault="00711880" w:rsidP="00C80769">
            <w:pPr>
              <w:ind w:right="-18"/>
              <w:jc w:val="both"/>
              <w:rPr>
                <w:rFonts w:ascii="Sylfaen" w:hAnsi="Sylfaen"/>
                <w:noProof/>
                <w:sz w:val="24"/>
                <w:szCs w:val="24"/>
                <w:lang w:val="ka-GE"/>
              </w:rPr>
            </w:pPr>
            <w:r w:rsidRPr="00D66DA1">
              <w:rPr>
                <w:rFonts w:ascii="Sylfaen" w:hAnsi="Sylfaen"/>
                <w:noProof/>
                <w:sz w:val="24"/>
                <w:szCs w:val="24"/>
                <w:lang w:val="ka-GE"/>
              </w:rPr>
              <w:t>ქალებში: მეტრორაგია, მენორაგია</w:t>
            </w:r>
          </w:p>
        </w:tc>
      </w:tr>
      <w:tr w:rsidR="00D75F87" w:rsidRPr="00D66DA1" w14:paraId="1920C217" w14:textId="77777777" w:rsidTr="007F26A1">
        <w:tc>
          <w:tcPr>
            <w:tcW w:w="3870" w:type="dxa"/>
            <w:vMerge/>
          </w:tcPr>
          <w:p w14:paraId="6A28E724" w14:textId="77777777" w:rsidR="00D75F87" w:rsidRPr="00D66DA1" w:rsidRDefault="00D75F87" w:rsidP="00C80769">
            <w:pPr>
              <w:ind w:right="-71"/>
              <w:jc w:val="both"/>
              <w:rPr>
                <w:rFonts w:ascii="Sylfaen" w:hAnsi="Sylfaen"/>
                <w:noProof/>
                <w:sz w:val="24"/>
                <w:szCs w:val="24"/>
                <w:lang w:val="ka-GE"/>
              </w:rPr>
            </w:pPr>
          </w:p>
        </w:tc>
        <w:tc>
          <w:tcPr>
            <w:tcW w:w="1800" w:type="dxa"/>
          </w:tcPr>
          <w:p w14:paraId="3E384797" w14:textId="2BD9AD5F" w:rsidR="00D75F87" w:rsidRPr="00D66DA1" w:rsidRDefault="00D75F87" w:rsidP="00C80769">
            <w:pPr>
              <w:ind w:right="-211"/>
              <w:jc w:val="both"/>
              <w:rPr>
                <w:rFonts w:ascii="Sylfaen" w:hAnsi="Sylfaen"/>
                <w:noProof/>
                <w:sz w:val="24"/>
                <w:szCs w:val="24"/>
                <w:lang w:val="ka-GE"/>
              </w:rPr>
            </w:pPr>
            <w:r w:rsidRPr="00D66DA1">
              <w:rPr>
                <w:rFonts w:ascii="Sylfaen" w:hAnsi="Sylfaen"/>
                <w:noProof/>
                <w:sz w:val="24"/>
                <w:szCs w:val="24"/>
                <w:lang w:val="ka-GE"/>
              </w:rPr>
              <w:t>უცნობი</w:t>
            </w:r>
          </w:p>
        </w:tc>
        <w:tc>
          <w:tcPr>
            <w:tcW w:w="5040" w:type="dxa"/>
          </w:tcPr>
          <w:p w14:paraId="101F3AD5" w14:textId="76BE3911" w:rsidR="00D75F87" w:rsidRPr="00D66DA1" w:rsidRDefault="00711880" w:rsidP="00C80769">
            <w:pPr>
              <w:ind w:right="-18"/>
              <w:jc w:val="both"/>
              <w:rPr>
                <w:rFonts w:ascii="Sylfaen" w:hAnsi="Sylfaen"/>
                <w:noProof/>
                <w:sz w:val="24"/>
                <w:szCs w:val="24"/>
                <w:lang w:val="ka-GE"/>
              </w:rPr>
            </w:pPr>
            <w:r w:rsidRPr="00D66DA1">
              <w:rPr>
                <w:rFonts w:ascii="Sylfaen" w:hAnsi="Sylfaen"/>
                <w:noProof/>
                <w:sz w:val="24"/>
                <w:szCs w:val="24"/>
                <w:lang w:val="ka-GE"/>
              </w:rPr>
              <w:t>გალაქტორეა</w:t>
            </w:r>
            <w:r w:rsidR="00A76524" w:rsidRPr="00D66DA1">
              <w:rPr>
                <w:rFonts w:ascii="Sylfaen" w:hAnsi="Sylfaen"/>
                <w:noProof/>
                <w:sz w:val="24"/>
                <w:szCs w:val="24"/>
                <w:lang w:val="ka-GE"/>
              </w:rPr>
              <w:t xml:space="preserve">, </w:t>
            </w:r>
            <w:r w:rsidRPr="00D66DA1">
              <w:rPr>
                <w:rFonts w:ascii="Sylfaen" w:hAnsi="Sylfaen"/>
                <w:noProof/>
                <w:sz w:val="24"/>
                <w:szCs w:val="24"/>
                <w:lang w:val="ka-GE"/>
              </w:rPr>
              <w:t>კაცებში: პრიაპიზმი</w:t>
            </w:r>
          </w:p>
        </w:tc>
      </w:tr>
      <w:tr w:rsidR="00711880" w:rsidRPr="00D66DA1" w14:paraId="528FD116" w14:textId="77777777" w:rsidTr="007F26A1">
        <w:tc>
          <w:tcPr>
            <w:tcW w:w="3870" w:type="dxa"/>
            <w:vMerge w:val="restart"/>
          </w:tcPr>
          <w:p w14:paraId="590E8D60" w14:textId="7255105B" w:rsidR="00711880" w:rsidRPr="00D66DA1" w:rsidRDefault="00711880" w:rsidP="00C80769">
            <w:pPr>
              <w:ind w:right="-71"/>
              <w:jc w:val="both"/>
              <w:rPr>
                <w:rFonts w:ascii="Sylfaen" w:hAnsi="Sylfaen"/>
                <w:noProof/>
                <w:sz w:val="24"/>
                <w:szCs w:val="24"/>
                <w:lang w:val="ka-GE"/>
              </w:rPr>
            </w:pPr>
            <w:r w:rsidRPr="00D66DA1">
              <w:rPr>
                <w:rFonts w:ascii="Sylfaen" w:hAnsi="Sylfaen"/>
                <w:noProof/>
                <w:sz w:val="24"/>
                <w:szCs w:val="24"/>
                <w:lang w:val="ka-GE"/>
              </w:rPr>
              <w:t>ზოგადი  დარღვევები და ადგილობრივი რეაქციები</w:t>
            </w:r>
          </w:p>
        </w:tc>
        <w:tc>
          <w:tcPr>
            <w:tcW w:w="1800" w:type="dxa"/>
          </w:tcPr>
          <w:p w14:paraId="1E526FDF" w14:textId="26D13AF8" w:rsidR="00711880" w:rsidRPr="00D66DA1" w:rsidRDefault="00711880" w:rsidP="00C80769">
            <w:pPr>
              <w:ind w:right="-211"/>
              <w:jc w:val="both"/>
              <w:rPr>
                <w:rFonts w:ascii="Sylfaen" w:hAnsi="Sylfaen"/>
                <w:noProof/>
                <w:sz w:val="24"/>
                <w:szCs w:val="24"/>
                <w:lang w:val="ka-GE"/>
              </w:rPr>
            </w:pPr>
            <w:r w:rsidRPr="00D66DA1">
              <w:rPr>
                <w:rFonts w:ascii="Sylfaen" w:hAnsi="Sylfaen"/>
                <w:noProof/>
                <w:sz w:val="24"/>
                <w:szCs w:val="24"/>
                <w:lang w:val="ka-GE"/>
              </w:rPr>
              <w:t>ხშირი</w:t>
            </w:r>
          </w:p>
        </w:tc>
        <w:tc>
          <w:tcPr>
            <w:tcW w:w="5040" w:type="dxa"/>
          </w:tcPr>
          <w:p w14:paraId="5B9A893D" w14:textId="6D1026F3" w:rsidR="00711880" w:rsidRPr="00D66DA1" w:rsidRDefault="00711880" w:rsidP="00C80769">
            <w:pPr>
              <w:ind w:right="-18"/>
              <w:jc w:val="both"/>
              <w:rPr>
                <w:rFonts w:ascii="Sylfaen" w:hAnsi="Sylfaen"/>
                <w:noProof/>
                <w:sz w:val="24"/>
                <w:szCs w:val="24"/>
                <w:lang w:val="ka-GE"/>
              </w:rPr>
            </w:pPr>
            <w:r w:rsidRPr="00D66DA1">
              <w:rPr>
                <w:rFonts w:ascii="Sylfaen" w:hAnsi="Sylfaen"/>
                <w:noProof/>
                <w:sz w:val="24"/>
                <w:szCs w:val="24"/>
                <w:lang w:val="ka-GE"/>
              </w:rPr>
              <w:t>დაღლილობა, პირექსია</w:t>
            </w:r>
          </w:p>
        </w:tc>
      </w:tr>
      <w:tr w:rsidR="00711880" w:rsidRPr="00D66DA1" w14:paraId="0D7E2DC9" w14:textId="77777777" w:rsidTr="007F26A1">
        <w:tc>
          <w:tcPr>
            <w:tcW w:w="3870" w:type="dxa"/>
            <w:vMerge/>
          </w:tcPr>
          <w:p w14:paraId="17BE23A1" w14:textId="77777777" w:rsidR="00711880" w:rsidRPr="00D66DA1" w:rsidRDefault="00711880" w:rsidP="00C80769">
            <w:pPr>
              <w:ind w:right="-71"/>
              <w:jc w:val="both"/>
              <w:rPr>
                <w:rFonts w:ascii="Sylfaen" w:hAnsi="Sylfaen"/>
                <w:noProof/>
                <w:sz w:val="24"/>
                <w:szCs w:val="24"/>
                <w:lang w:val="ka-GE"/>
              </w:rPr>
            </w:pPr>
          </w:p>
        </w:tc>
        <w:tc>
          <w:tcPr>
            <w:tcW w:w="1800" w:type="dxa"/>
          </w:tcPr>
          <w:p w14:paraId="74699FA4" w14:textId="52938BF0" w:rsidR="00711880" w:rsidRPr="00D66DA1" w:rsidRDefault="00711880" w:rsidP="00C80769">
            <w:pPr>
              <w:ind w:right="-211"/>
              <w:jc w:val="both"/>
              <w:rPr>
                <w:rFonts w:ascii="Sylfaen" w:hAnsi="Sylfaen"/>
                <w:noProof/>
                <w:sz w:val="24"/>
                <w:szCs w:val="24"/>
                <w:lang w:val="ka-GE"/>
              </w:rPr>
            </w:pPr>
            <w:r w:rsidRPr="00D66DA1">
              <w:rPr>
                <w:rFonts w:ascii="Sylfaen" w:hAnsi="Sylfaen"/>
                <w:noProof/>
                <w:sz w:val="24"/>
                <w:szCs w:val="24"/>
                <w:lang w:val="ka-GE"/>
              </w:rPr>
              <w:t>არახშირი</w:t>
            </w:r>
          </w:p>
        </w:tc>
        <w:tc>
          <w:tcPr>
            <w:tcW w:w="5040" w:type="dxa"/>
          </w:tcPr>
          <w:p w14:paraId="131E53B6" w14:textId="1D1E9901" w:rsidR="00711880" w:rsidRPr="00D66DA1" w:rsidRDefault="00711880" w:rsidP="00C80769">
            <w:pPr>
              <w:ind w:right="-18"/>
              <w:jc w:val="both"/>
              <w:rPr>
                <w:rFonts w:ascii="Sylfaen" w:hAnsi="Sylfaen"/>
                <w:noProof/>
                <w:sz w:val="24"/>
                <w:szCs w:val="24"/>
                <w:lang w:val="ka-GE"/>
              </w:rPr>
            </w:pPr>
            <w:r w:rsidRPr="00D66DA1">
              <w:rPr>
                <w:rFonts w:ascii="Sylfaen" w:hAnsi="Sylfaen"/>
                <w:noProof/>
                <w:sz w:val="24"/>
                <w:szCs w:val="24"/>
                <w:lang w:val="ka-GE"/>
              </w:rPr>
              <w:t>შეშუპება</w:t>
            </w:r>
          </w:p>
        </w:tc>
      </w:tr>
    </w:tbl>
    <w:p w14:paraId="59ED8069" w14:textId="597C4B61" w:rsidR="00821E81" w:rsidRPr="00D66DA1" w:rsidRDefault="007F26A1" w:rsidP="00280B65">
      <w:pPr>
        <w:pStyle w:val="ListParagraph"/>
        <w:numPr>
          <w:ilvl w:val="0"/>
          <w:numId w:val="39"/>
        </w:numPr>
        <w:spacing w:after="0" w:line="360" w:lineRule="auto"/>
        <w:ind w:right="-211"/>
        <w:jc w:val="both"/>
        <w:rPr>
          <w:rFonts w:ascii="Sylfaen" w:hAnsi="Sylfaen"/>
          <w:noProof/>
          <w:sz w:val="24"/>
          <w:szCs w:val="24"/>
          <w:lang w:val="ka-GE"/>
        </w:rPr>
      </w:pPr>
      <w:r w:rsidRPr="00D66DA1">
        <w:rPr>
          <w:rFonts w:ascii="Sylfaen" w:hAnsi="Sylfaen"/>
          <w:noProof/>
          <w:sz w:val="24"/>
          <w:szCs w:val="24"/>
          <w:lang w:val="ka-GE"/>
        </w:rPr>
        <w:t>სუიციდური აზრებისა და ქცევის შემთხვევები დაფიქსირდა  ესციტალოპრამით თერაპიისას ან მკურნალობის შეწყვეტიდან მალევე (იხ. პუნქტი 4.4).</w:t>
      </w:r>
    </w:p>
    <w:p w14:paraId="1064AF45" w14:textId="11B729AF" w:rsidR="007F26A1" w:rsidRPr="00D66DA1" w:rsidRDefault="007F26A1" w:rsidP="00280B65">
      <w:pPr>
        <w:pStyle w:val="ListParagraph"/>
        <w:numPr>
          <w:ilvl w:val="0"/>
          <w:numId w:val="39"/>
        </w:numPr>
        <w:spacing w:after="0" w:line="360" w:lineRule="auto"/>
        <w:ind w:right="-211"/>
        <w:jc w:val="both"/>
        <w:rPr>
          <w:rFonts w:ascii="Sylfaen" w:hAnsi="Sylfaen"/>
          <w:noProof/>
          <w:sz w:val="24"/>
          <w:szCs w:val="24"/>
          <w:lang w:val="ka-GE"/>
        </w:rPr>
      </w:pPr>
      <w:r w:rsidRPr="00D66DA1">
        <w:rPr>
          <w:rFonts w:ascii="Sylfaen" w:hAnsi="Sylfaen"/>
          <w:noProof/>
          <w:sz w:val="24"/>
          <w:szCs w:val="24"/>
          <w:lang w:val="ka-GE"/>
        </w:rPr>
        <w:t>ეს მოვლენები დაფიქსირდა  SSRI-ების თერაპიული კლასის გამოყენების შემთხვევაში.</w:t>
      </w:r>
    </w:p>
    <w:p w14:paraId="62BE0DF7" w14:textId="0E383D68" w:rsidR="00E56170" w:rsidRPr="00D66DA1" w:rsidRDefault="00C66394" w:rsidP="00280B65">
      <w:pPr>
        <w:spacing w:after="0" w:line="360" w:lineRule="auto"/>
        <w:ind w:left="-810" w:right="-211"/>
        <w:jc w:val="both"/>
        <w:rPr>
          <w:rFonts w:ascii="Sylfaen" w:hAnsi="Sylfaen"/>
          <w:noProof/>
          <w:sz w:val="24"/>
          <w:szCs w:val="24"/>
          <w:u w:val="single"/>
          <w:lang w:val="ka-GE"/>
        </w:rPr>
      </w:pPr>
      <w:r w:rsidRPr="00D66DA1">
        <w:rPr>
          <w:rFonts w:ascii="Sylfaen" w:hAnsi="Sylfaen"/>
          <w:noProof/>
          <w:sz w:val="24"/>
          <w:szCs w:val="24"/>
          <w:u w:val="single"/>
          <w:lang w:val="ka-GE"/>
        </w:rPr>
        <w:t>QT ინტერვალის გახანგრძლივება</w:t>
      </w:r>
    </w:p>
    <w:p w14:paraId="653F44D8" w14:textId="7F228F53" w:rsidR="00FE2331" w:rsidRPr="00D66DA1" w:rsidRDefault="00FE2331" w:rsidP="00280B65">
      <w:pPr>
        <w:spacing w:after="0" w:line="360" w:lineRule="auto"/>
        <w:ind w:left="-810" w:right="-211"/>
        <w:jc w:val="both"/>
        <w:rPr>
          <w:rFonts w:ascii="Sylfaen" w:hAnsi="Sylfaen" w:cs="Sylfaen"/>
          <w:bCs/>
          <w:noProof/>
          <w:sz w:val="24"/>
          <w:szCs w:val="24"/>
          <w:lang w:val="ka-GE"/>
        </w:rPr>
      </w:pPr>
      <w:r w:rsidRPr="00D66DA1">
        <w:rPr>
          <w:rFonts w:ascii="Sylfaen" w:hAnsi="Sylfaen"/>
          <w:noProof/>
          <w:sz w:val="24"/>
          <w:szCs w:val="24"/>
          <w:lang w:val="ka-GE"/>
        </w:rPr>
        <w:t xml:space="preserve">QT ინტერვალის გახანგრძლივებისა და </w:t>
      </w:r>
      <w:r w:rsidRPr="00D66DA1">
        <w:rPr>
          <w:rFonts w:ascii="Sylfaen" w:hAnsi="Sylfaen" w:cs="Sylfaen"/>
          <w:bCs/>
          <w:noProof/>
          <w:sz w:val="24"/>
          <w:szCs w:val="24"/>
          <w:lang w:val="ka-GE"/>
        </w:rPr>
        <w:t>პარკუჭოვანი არითმიების, მათ შორის პარკუჭოვანი ტაქიკარდიის (torsade de pointes) შემთხვევები დაფიქსირდა პოსტ-მარკეტინგულ პერიოდში, ძირითადად ქალებში, ჰიპოკალიემიით, ან უკვე არსებული გახანგრძლივებული</w:t>
      </w:r>
      <w:r w:rsidRPr="00D66DA1">
        <w:rPr>
          <w:rFonts w:ascii="Sylfaen" w:hAnsi="Sylfaen" w:cs="Sylfaen"/>
          <w:bCs/>
          <w:i/>
          <w:iCs/>
          <w:noProof/>
          <w:sz w:val="24"/>
          <w:szCs w:val="24"/>
          <w:lang w:val="ka-GE"/>
        </w:rPr>
        <w:t xml:space="preserve"> </w:t>
      </w:r>
      <w:r w:rsidRPr="00D66DA1">
        <w:rPr>
          <w:rFonts w:ascii="Sylfaen" w:hAnsi="Sylfaen" w:cs="Sylfaen"/>
          <w:bCs/>
          <w:noProof/>
          <w:sz w:val="24"/>
          <w:szCs w:val="24"/>
          <w:lang w:val="ka-GE"/>
        </w:rPr>
        <w:t>QT  ინტერვალით ან სხვა გულის დაავადებებით ანამნეზში (იხილეთ პუნქტები 4.3, 4.4, 4.5, 4.9 და 5.1).</w:t>
      </w:r>
    </w:p>
    <w:p w14:paraId="59E723BE" w14:textId="7859FF28" w:rsidR="00E953ED" w:rsidRPr="00D66DA1" w:rsidRDefault="00E953ED" w:rsidP="00280B65">
      <w:pPr>
        <w:spacing w:after="0" w:line="360" w:lineRule="auto"/>
        <w:ind w:left="-810" w:right="-211"/>
        <w:jc w:val="both"/>
        <w:rPr>
          <w:rFonts w:ascii="Sylfaen" w:hAnsi="Sylfaen" w:cs="Sylfaen"/>
          <w:bCs/>
          <w:i/>
          <w:iCs/>
          <w:noProof/>
          <w:sz w:val="24"/>
          <w:szCs w:val="24"/>
          <w:u w:val="single"/>
          <w:lang w:val="ka-GE"/>
        </w:rPr>
      </w:pPr>
      <w:r w:rsidRPr="00D66DA1">
        <w:rPr>
          <w:rFonts w:ascii="Sylfaen" w:hAnsi="Sylfaen" w:cs="Sylfaen"/>
          <w:bCs/>
          <w:i/>
          <w:iCs/>
          <w:noProof/>
          <w:sz w:val="24"/>
          <w:szCs w:val="24"/>
          <w:u w:val="single"/>
          <w:lang w:val="ka-GE"/>
        </w:rPr>
        <w:t>კლასის ეფექტები</w:t>
      </w:r>
    </w:p>
    <w:p w14:paraId="6BE153B1" w14:textId="7D125C4B" w:rsidR="00E953ED" w:rsidRPr="00D66DA1" w:rsidRDefault="00E953ED"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 xml:space="preserve">ეპიდემიოლოგიურმა კვლევებმა, ჩატარებულმა ძირითადად 50 წლის და ზემოთ ასაკის პაციენტებში, აჩვენა ძვლის მოტეხილობების ზრდის რისკი </w:t>
      </w:r>
      <w:r w:rsidR="00972223" w:rsidRPr="00D66DA1">
        <w:rPr>
          <w:rFonts w:ascii="Sylfaen" w:hAnsi="Sylfaen" w:cs="Sylfaen"/>
          <w:bCs/>
          <w:noProof/>
          <w:sz w:val="24"/>
          <w:szCs w:val="24"/>
          <w:lang w:val="ka-GE"/>
        </w:rPr>
        <w:t>SSRI</w:t>
      </w:r>
      <w:r w:rsidRPr="00D66DA1">
        <w:rPr>
          <w:rFonts w:ascii="Sylfaen" w:hAnsi="Sylfaen" w:cs="Sylfaen"/>
          <w:bCs/>
          <w:noProof/>
          <w:sz w:val="24"/>
          <w:szCs w:val="24"/>
          <w:lang w:val="ka-GE"/>
        </w:rPr>
        <w:t xml:space="preserve"> და </w:t>
      </w:r>
      <w:r w:rsidR="00972223" w:rsidRPr="00D66DA1">
        <w:rPr>
          <w:rFonts w:ascii="Sylfaen" w:hAnsi="Sylfaen" w:cs="Sylfaen"/>
          <w:bCs/>
          <w:noProof/>
          <w:sz w:val="24"/>
          <w:szCs w:val="24"/>
          <w:lang w:val="ka-GE"/>
        </w:rPr>
        <w:t>TCA</w:t>
      </w:r>
      <w:r w:rsidRPr="00D66DA1">
        <w:rPr>
          <w:rFonts w:ascii="Sylfaen" w:hAnsi="Sylfaen" w:cs="Sylfaen"/>
          <w:bCs/>
          <w:noProof/>
          <w:sz w:val="24"/>
          <w:szCs w:val="24"/>
          <w:lang w:val="ka-GE"/>
        </w:rPr>
        <w:t xml:space="preserve"> მიღების შემთხვევაში. რისკის ზრდის მექანიზმი უცნობია.</w:t>
      </w:r>
    </w:p>
    <w:p w14:paraId="713C535A" w14:textId="77777777" w:rsidR="00F42B6F" w:rsidRPr="00D66DA1" w:rsidRDefault="00F42B6F"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მკურნალობის შეწყვეტისას გამოვლენილი სიმპტომები</w:t>
      </w:r>
    </w:p>
    <w:p w14:paraId="33209AB4" w14:textId="77777777" w:rsidR="00B91B17" w:rsidRPr="00D66DA1" w:rsidRDefault="00CA5462"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 xml:space="preserve">SSRI/SNRI-ის შეწყვეტა (განსაკუთრებით, როდესაც ეს ხდება ერთბაშად) ხშირად იწვევს სხვადასხვა სიმტომებს. </w:t>
      </w:r>
      <w:r w:rsidR="00F42B6F" w:rsidRPr="00D66DA1">
        <w:rPr>
          <w:rFonts w:ascii="Sylfaen" w:hAnsi="Sylfaen" w:cs="Sylfaen"/>
          <w:bCs/>
          <w:noProof/>
          <w:sz w:val="24"/>
          <w:szCs w:val="24"/>
          <w:lang w:val="ka-GE"/>
        </w:rPr>
        <w:t xml:space="preserve">ყველაზე ხშირად ვლინდება თავბრუსხვევა, სენსორული დარღვევები (მათ შორის პარესთეზია და ელექტროშოკის შეგრძნებები), ძილის დარღვევები (მათ შორის უძილობა და მძაფრი სიზმრები), აჯიტაცია, შფოთვა, გულისრევა და/ან პირღებინება, ტრემორი, გონების არევა, ოფლიანობა, თავის ტკივილი, დიარეა, გულისცემის გახშირება, ემოციური არასტაბილურობა, გაღიზიანება და მხედველობის დარღვევები. ზოგადად, აღნიშნული სიმპტომები მსუბუქი ან საშუალო ხასიათისაა, თუმცა ზოგიერთ პაციენტში შეიძლება </w:t>
      </w:r>
      <w:r w:rsidR="00B91B17" w:rsidRPr="00D66DA1">
        <w:rPr>
          <w:rFonts w:ascii="Sylfaen" w:hAnsi="Sylfaen" w:cs="Sylfaen"/>
          <w:bCs/>
          <w:noProof/>
          <w:sz w:val="24"/>
          <w:szCs w:val="24"/>
          <w:lang w:val="ka-GE"/>
        </w:rPr>
        <w:t xml:space="preserve">მწვავე </w:t>
      </w:r>
      <w:r w:rsidR="00B91B17" w:rsidRPr="00D66DA1">
        <w:rPr>
          <w:rFonts w:ascii="Sylfaen" w:hAnsi="Sylfaen" w:cs="Sylfaen"/>
          <w:bCs/>
          <w:noProof/>
          <w:sz w:val="24"/>
          <w:szCs w:val="24"/>
          <w:lang w:val="ka-GE"/>
        </w:rPr>
        <w:lastRenderedPageBreak/>
        <w:t xml:space="preserve">და/ან გახანგრძლივებული </w:t>
      </w:r>
      <w:r w:rsidR="00F42B6F" w:rsidRPr="00D66DA1">
        <w:rPr>
          <w:rFonts w:ascii="Sylfaen" w:hAnsi="Sylfaen" w:cs="Sylfaen"/>
          <w:bCs/>
          <w:noProof/>
          <w:sz w:val="24"/>
          <w:szCs w:val="24"/>
          <w:lang w:val="ka-GE"/>
        </w:rPr>
        <w:t>ფორმით გამოვლინდეს.</w:t>
      </w:r>
      <w:r w:rsidR="00B91B17" w:rsidRPr="00D66DA1">
        <w:rPr>
          <w:rFonts w:ascii="Sylfaen" w:hAnsi="Sylfaen" w:cs="Sylfaen"/>
          <w:bCs/>
          <w:noProof/>
          <w:sz w:val="24"/>
          <w:szCs w:val="24"/>
          <w:lang w:val="ka-GE"/>
        </w:rPr>
        <w:t xml:space="preserve"> ამიტომ, სასურველია ესციტალოპრამით მკურნალობის შეწყვეტა მოხდეს თანდათან, დოზის შემცირებით (იხილეთ პუნქტები 4.2 და 4.4).</w:t>
      </w:r>
    </w:p>
    <w:p w14:paraId="161941C0" w14:textId="77777777" w:rsidR="00B91B17" w:rsidRPr="00D66DA1" w:rsidRDefault="00B91B17"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noProof/>
          <w:sz w:val="24"/>
          <w:szCs w:val="24"/>
          <w:u w:val="single"/>
          <w:lang w:val="ka-GE"/>
        </w:rPr>
        <w:t>შეტყობინება საეჭვო გვერდითი მოვლენების შესახებ </w:t>
      </w:r>
    </w:p>
    <w:p w14:paraId="23358880" w14:textId="77777777" w:rsidR="00F9451C" w:rsidRPr="00D66DA1" w:rsidRDefault="00B91B17" w:rsidP="00F9451C">
      <w:pPr>
        <w:spacing w:after="0" w:line="360" w:lineRule="auto"/>
        <w:ind w:left="-810" w:right="-211"/>
        <w:jc w:val="both"/>
        <w:rPr>
          <w:rFonts w:ascii="Sylfaen" w:hAnsi="Sylfaen" w:cs="Sylfaen"/>
          <w:noProof/>
          <w:sz w:val="24"/>
          <w:szCs w:val="24"/>
          <w:lang w:val="ka-GE"/>
        </w:rPr>
      </w:pPr>
      <w:r w:rsidRPr="00D66DA1">
        <w:rPr>
          <w:rFonts w:ascii="Sylfaen" w:hAnsi="Sylfaen" w:cs="Sylfaen"/>
          <w:noProof/>
          <w:sz w:val="24"/>
          <w:szCs w:val="24"/>
          <w:lang w:val="ka-GE"/>
        </w:rPr>
        <w:t xml:space="preserve">სამედიცინო პროდუქტის ავტორიზაციის შემდეგ შეტყობინებას საეჭვო უკურეაქციების შესახებ დიდი მნიშვნელობა ენიჭება. მისი მეშვეობით შესაძლებელია სამედიცინო პროდუქტის სარგებლის/რისკის ბალანსის უწყვეტი მონიტორინგი. ჯანდაცვის სპეციალისტებს ვთხოვთ, მოგვაწოდონ ინფორმაცია საეჭვო უკურეაქციების შესახებ </w:t>
      </w:r>
      <w:r w:rsidRPr="00D66DA1">
        <w:rPr>
          <w:rFonts w:ascii="Sylfaen" w:hAnsi="Sylfaen" w:cs="Sylfaen"/>
          <w:i/>
          <w:iCs/>
          <w:noProof/>
          <w:sz w:val="24"/>
          <w:szCs w:val="24"/>
          <w:lang w:val="ka-GE"/>
        </w:rPr>
        <w:t>&lt;to be completed nationally</w:t>
      </w:r>
      <w:r w:rsidRPr="00D66DA1">
        <w:rPr>
          <w:rFonts w:ascii="Sylfaen" w:hAnsi="Sylfaen" w:cs="Sylfaen"/>
          <w:noProof/>
          <w:sz w:val="24"/>
          <w:szCs w:val="24"/>
          <w:lang w:val="ka-GE"/>
        </w:rPr>
        <w:t>&gt;-ის მეშვეობით.</w:t>
      </w:r>
    </w:p>
    <w:p w14:paraId="0B0B5C3D" w14:textId="45D34E0A" w:rsidR="00F9451C" w:rsidRPr="00D66DA1" w:rsidRDefault="00F9451C" w:rsidP="00F9451C">
      <w:pPr>
        <w:pStyle w:val="ListParagraph"/>
        <w:numPr>
          <w:ilvl w:val="1"/>
          <w:numId w:val="11"/>
        </w:numPr>
        <w:spacing w:after="0" w:line="360" w:lineRule="auto"/>
        <w:ind w:right="-211"/>
        <w:jc w:val="both"/>
        <w:rPr>
          <w:rFonts w:ascii="Sylfaen" w:hAnsi="Sylfaen" w:cs="Sylfaen"/>
          <w:noProof/>
          <w:sz w:val="24"/>
          <w:szCs w:val="24"/>
          <w:lang w:val="ka-GE"/>
        </w:rPr>
      </w:pPr>
      <w:r w:rsidRPr="00D66DA1">
        <w:rPr>
          <w:rFonts w:ascii="Sylfaen" w:hAnsi="Sylfaen" w:cs="Sylfaen"/>
          <w:b/>
          <w:noProof/>
          <w:sz w:val="24"/>
          <w:szCs w:val="24"/>
          <w:lang w:val="ka-GE"/>
        </w:rPr>
        <w:t>დოზის  გადაჭარბება</w:t>
      </w:r>
    </w:p>
    <w:p w14:paraId="6485DA47" w14:textId="4C85CCA7" w:rsidR="00F9451C" w:rsidRPr="00D66DA1" w:rsidRDefault="00002863" w:rsidP="00280B65">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ტოქსიკურობა</w:t>
      </w:r>
    </w:p>
    <w:p w14:paraId="446BA8ED" w14:textId="1190066C" w:rsidR="00F42B6F" w:rsidRPr="00D66DA1" w:rsidRDefault="00002863" w:rsidP="00280B65">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კლინიკური მონაცემები ესციტალოპრამის ჭარბი დოზის</w:t>
      </w:r>
      <w:r w:rsidR="00D52502" w:rsidRPr="00D66DA1">
        <w:rPr>
          <w:rFonts w:ascii="Sylfaen" w:hAnsi="Sylfaen" w:cs="Sylfaen"/>
          <w:bCs/>
          <w:noProof/>
          <w:sz w:val="24"/>
          <w:szCs w:val="24"/>
          <w:lang w:val="ka-GE"/>
        </w:rPr>
        <w:t xml:space="preserve"> მიღების</w:t>
      </w:r>
      <w:r w:rsidRPr="00D66DA1">
        <w:rPr>
          <w:rFonts w:ascii="Sylfaen" w:hAnsi="Sylfaen" w:cs="Sylfaen"/>
          <w:bCs/>
          <w:noProof/>
          <w:sz w:val="24"/>
          <w:szCs w:val="24"/>
          <w:lang w:val="ka-GE"/>
        </w:rPr>
        <w:t xml:space="preserve"> შესახებ შეზღუდულია და ხშირ შემთხვევებში მოიცავს სხვა პრეპარატებით იმავდროულ ზედოზირებას. შემთხვევათა უმრავლესობაში, გამოვლენილი სიმპტომები </w:t>
      </w:r>
      <w:r w:rsidR="00075794" w:rsidRPr="00D66DA1">
        <w:rPr>
          <w:rFonts w:ascii="Sylfaen" w:hAnsi="Sylfaen" w:cs="Sylfaen"/>
          <w:bCs/>
          <w:noProof/>
          <w:sz w:val="24"/>
          <w:szCs w:val="24"/>
          <w:lang w:val="ka-GE"/>
        </w:rPr>
        <w:t>მსუბუქი</w:t>
      </w:r>
      <w:r w:rsidRPr="00D66DA1">
        <w:rPr>
          <w:rFonts w:ascii="Sylfaen" w:hAnsi="Sylfaen" w:cs="Sylfaen"/>
          <w:bCs/>
          <w:noProof/>
          <w:sz w:val="24"/>
          <w:szCs w:val="24"/>
          <w:lang w:val="ka-GE"/>
        </w:rPr>
        <w:t xml:space="preserve"> ან საშუალო </w:t>
      </w:r>
      <w:r w:rsidR="00075794" w:rsidRPr="00D66DA1">
        <w:rPr>
          <w:rFonts w:ascii="Sylfaen" w:hAnsi="Sylfaen" w:cs="Sylfaen"/>
          <w:bCs/>
          <w:noProof/>
          <w:sz w:val="24"/>
          <w:szCs w:val="24"/>
          <w:lang w:val="ka-GE"/>
        </w:rPr>
        <w:t>სიმძიმისაა.</w:t>
      </w:r>
      <w:r w:rsidRPr="00D66DA1">
        <w:rPr>
          <w:rFonts w:ascii="Sylfaen" w:hAnsi="Sylfaen" w:cs="Sylfaen"/>
          <w:bCs/>
          <w:noProof/>
          <w:sz w:val="24"/>
          <w:szCs w:val="24"/>
          <w:lang w:val="ka-GE"/>
        </w:rPr>
        <w:t xml:space="preserve"> ესციტალოპრამის ჭარბი დოზის მიღებისას მხოლოდ ესციტალოპრამით გამოწვეული ფატალური შემთხვევები იშვიათად გამოვლინდა. მხოლოდ 400-800 მგ ესციტალოპრამის მიღებისას სერიოზული სიმპტომები არ აღინიშნება.</w:t>
      </w:r>
    </w:p>
    <w:p w14:paraId="33B46731" w14:textId="77777777" w:rsidR="00075794" w:rsidRPr="00D66DA1" w:rsidRDefault="00075794" w:rsidP="00075794">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სიმპტომები</w:t>
      </w:r>
    </w:p>
    <w:p w14:paraId="3329520F" w14:textId="40488BBD" w:rsidR="00075794" w:rsidRPr="00D66DA1" w:rsidRDefault="00075794" w:rsidP="00075794">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ესციტალოპრამის ჭარბი დოზის მიღებისას გამოვლენილი სიმპტომების უმეტესობა უკავშირდება ცენტრალურ ნერვულ სისტემას (და მოიცავს თავბრუსხვევას, ტრემორს</w:t>
      </w:r>
      <w:r w:rsidR="00D52502" w:rsidRPr="00D66DA1">
        <w:rPr>
          <w:rFonts w:ascii="Sylfaen" w:hAnsi="Sylfaen" w:cs="Sylfaen"/>
          <w:bCs/>
          <w:noProof/>
          <w:sz w:val="24"/>
          <w:szCs w:val="24"/>
          <w:lang w:val="ka-GE"/>
        </w:rPr>
        <w:t>,</w:t>
      </w:r>
      <w:r w:rsidRPr="00D66DA1">
        <w:rPr>
          <w:rFonts w:ascii="Sylfaen" w:hAnsi="Sylfaen" w:cs="Sylfaen"/>
          <w:bCs/>
          <w:noProof/>
          <w:sz w:val="24"/>
          <w:szCs w:val="24"/>
          <w:lang w:val="ka-GE"/>
        </w:rPr>
        <w:t xml:space="preserve"> </w:t>
      </w:r>
      <w:r w:rsidR="00D52502" w:rsidRPr="00D66DA1">
        <w:rPr>
          <w:rFonts w:ascii="Sylfaen" w:hAnsi="Sylfaen" w:cs="Sylfaen"/>
          <w:bCs/>
          <w:noProof/>
          <w:sz w:val="24"/>
          <w:szCs w:val="24"/>
          <w:lang w:val="ka-GE"/>
        </w:rPr>
        <w:t xml:space="preserve">აჯტაციას, </w:t>
      </w:r>
      <w:r w:rsidRPr="00D66DA1">
        <w:rPr>
          <w:rFonts w:ascii="Sylfaen" w:hAnsi="Sylfaen" w:cs="Sylfaen"/>
          <w:bCs/>
          <w:noProof/>
          <w:sz w:val="24"/>
          <w:szCs w:val="24"/>
          <w:lang w:val="ka-GE"/>
        </w:rPr>
        <w:t>სეროტონინის სინდრომის იშვიათ შემთხვევებ</w:t>
      </w:r>
      <w:r w:rsidR="00D52502" w:rsidRPr="00D66DA1">
        <w:rPr>
          <w:rFonts w:ascii="Sylfaen" w:hAnsi="Sylfaen" w:cs="Sylfaen"/>
          <w:bCs/>
          <w:noProof/>
          <w:sz w:val="24"/>
          <w:szCs w:val="24"/>
          <w:lang w:val="ka-GE"/>
        </w:rPr>
        <w:t>ს</w:t>
      </w:r>
      <w:r w:rsidRPr="00D66DA1">
        <w:rPr>
          <w:rFonts w:ascii="Sylfaen" w:hAnsi="Sylfaen" w:cs="Sylfaen"/>
          <w:bCs/>
          <w:noProof/>
          <w:sz w:val="24"/>
          <w:szCs w:val="24"/>
          <w:lang w:val="ka-GE"/>
        </w:rPr>
        <w:t xml:space="preserve">, ასევე კრუნჩხვებსა და კომას), კუჭ-ნაწლავის სისტემას (გულისრევა/პირღებინება) და კარდიოვასკულარულ სისტემას (ჰიპოტენზია, ტაქიკარდია, </w:t>
      </w:r>
      <w:r w:rsidR="00D52502" w:rsidRPr="00D66DA1">
        <w:rPr>
          <w:rFonts w:ascii="Sylfaen" w:hAnsi="Sylfaen" w:cs="Sylfaen"/>
          <w:bCs/>
          <w:noProof/>
          <w:sz w:val="24"/>
          <w:szCs w:val="24"/>
          <w:lang w:val="ka-GE"/>
        </w:rPr>
        <w:t>QT ინტერვალის</w:t>
      </w:r>
      <w:r w:rsidRPr="00D66DA1">
        <w:rPr>
          <w:rFonts w:ascii="Sylfaen" w:hAnsi="Sylfaen" w:cs="Sylfaen"/>
          <w:bCs/>
          <w:noProof/>
          <w:sz w:val="24"/>
          <w:szCs w:val="24"/>
          <w:lang w:val="ka-GE"/>
        </w:rPr>
        <w:t xml:space="preserve"> გახანგრძლივება და არითმია) და ელექტროლიტების/სითხის ბალანსის მდგომარეობებს (ჰიპოკალემია, ჰიპონატრიემია).</w:t>
      </w:r>
    </w:p>
    <w:p w14:paraId="4FEC0587" w14:textId="77777777" w:rsidR="00BD6CE3" w:rsidRPr="00D66DA1" w:rsidRDefault="00BD6CE3" w:rsidP="00BD6CE3">
      <w:pPr>
        <w:spacing w:after="0" w:line="360" w:lineRule="auto"/>
        <w:ind w:left="-810" w:right="-211"/>
        <w:jc w:val="both"/>
        <w:rPr>
          <w:rFonts w:ascii="Sylfaen" w:hAnsi="Sylfaen" w:cs="Sylfaen"/>
          <w:bCs/>
          <w:i/>
          <w:iCs/>
          <w:noProof/>
          <w:sz w:val="24"/>
          <w:szCs w:val="24"/>
          <w:lang w:val="ka-GE"/>
        </w:rPr>
      </w:pPr>
      <w:r w:rsidRPr="00D66DA1">
        <w:rPr>
          <w:rFonts w:ascii="Sylfaen" w:hAnsi="Sylfaen" w:cs="Sylfaen"/>
          <w:bCs/>
          <w:i/>
          <w:iCs/>
          <w:noProof/>
          <w:sz w:val="24"/>
          <w:szCs w:val="24"/>
          <w:lang w:val="ka-GE"/>
        </w:rPr>
        <w:t>მართვა</w:t>
      </w:r>
    </w:p>
    <w:p w14:paraId="3A259CBD" w14:textId="2866FC40" w:rsidR="00BD6CE3" w:rsidRPr="00D66DA1" w:rsidRDefault="00BD6CE3" w:rsidP="00BD6CE3">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t xml:space="preserve">სპეციფიკური ანტიდოტი არ არსებობს. საჭიროა საჰაერო გზების მართვა. უზრუნველყოფილი უნდა იყოს ადეკვატური ოქსიგენაცია და რესპირატორული ფუნქცია. გათვალისწინებული უნდა იყოს კუჭის ამორეცხვა და აქტივირებული ნახშირის გამოყენება. კუჭის ამორეცხვა უნდა ჩატარდეს პერორალური მიღებიდან რაც შეიძლება მალე. ზოგად სიმპტომატურ დამხმარე ზომებთან ერთად რეკომენდებულია გულისა და სასიცოცხლო ნიშნების მონიტორინგი. </w:t>
      </w:r>
    </w:p>
    <w:p w14:paraId="048650CF" w14:textId="77777777" w:rsidR="00433410" w:rsidRPr="00D66DA1" w:rsidRDefault="00BD6CE3" w:rsidP="00433410">
      <w:pPr>
        <w:spacing w:after="0" w:line="360" w:lineRule="auto"/>
        <w:ind w:left="-810" w:right="-211"/>
        <w:jc w:val="both"/>
        <w:rPr>
          <w:rFonts w:ascii="Sylfaen" w:hAnsi="Sylfaen" w:cs="Sylfaen"/>
          <w:bCs/>
          <w:noProof/>
          <w:sz w:val="24"/>
          <w:szCs w:val="24"/>
          <w:lang w:val="ka-GE"/>
        </w:rPr>
      </w:pPr>
      <w:r w:rsidRPr="00D66DA1">
        <w:rPr>
          <w:rFonts w:ascii="Sylfaen" w:hAnsi="Sylfaen" w:cs="Sylfaen"/>
          <w:bCs/>
          <w:noProof/>
          <w:sz w:val="24"/>
          <w:szCs w:val="24"/>
          <w:lang w:val="ka-GE"/>
        </w:rPr>
        <w:lastRenderedPageBreak/>
        <w:t>ეკგ მონიტორინგი რეკომენდირებულია ჭარბი დოზირებისას პაციენტებში, რომლებსაც აღენიშნებათ გულის შეგუბებითი უკმარისობა/ბრადიარითმია, პაციენტებში, რომლებიც პრეპარატთან ერთად იღებენ სამკურნალო საშუალებებს, რომლებიც ახანგრძლივებენ QT ინტერვალს, ან პაციენტებში შეცვლილი მეტაბოლიზმით, მაგ. ღვიძლის უკმარისობით.</w:t>
      </w:r>
    </w:p>
    <w:p w14:paraId="734DBD1E" w14:textId="77777777" w:rsidR="00433410" w:rsidRPr="00D66DA1" w:rsidRDefault="00433410" w:rsidP="00433410">
      <w:pPr>
        <w:pStyle w:val="ListParagraph"/>
        <w:numPr>
          <w:ilvl w:val="0"/>
          <w:numId w:val="11"/>
        </w:numPr>
        <w:spacing w:after="0" w:line="360" w:lineRule="auto"/>
        <w:ind w:right="-211"/>
        <w:jc w:val="both"/>
        <w:rPr>
          <w:rFonts w:ascii="Sylfaen" w:hAnsi="Sylfaen" w:cs="Sylfaen"/>
          <w:bCs/>
          <w:noProof/>
          <w:sz w:val="24"/>
          <w:szCs w:val="24"/>
          <w:lang w:val="ka-GE"/>
        </w:rPr>
      </w:pPr>
      <w:r w:rsidRPr="00D66DA1">
        <w:rPr>
          <w:rFonts w:ascii="Sylfaen" w:hAnsi="Sylfaen" w:cs="Sylfaen"/>
          <w:b/>
          <w:noProof/>
          <w:sz w:val="24"/>
          <w:szCs w:val="24"/>
          <w:lang w:val="ka-GE"/>
        </w:rPr>
        <w:t>ფარმაკოლოგიური თვისებები</w:t>
      </w:r>
    </w:p>
    <w:p w14:paraId="7DB7F916" w14:textId="77777777" w:rsidR="00433410" w:rsidRPr="00D66DA1" w:rsidRDefault="00433410" w:rsidP="00433410">
      <w:pPr>
        <w:pStyle w:val="ListParagraph"/>
        <w:numPr>
          <w:ilvl w:val="1"/>
          <w:numId w:val="11"/>
        </w:numPr>
        <w:spacing w:after="0" w:line="360" w:lineRule="auto"/>
        <w:ind w:right="-211"/>
        <w:jc w:val="both"/>
        <w:rPr>
          <w:rFonts w:ascii="Sylfaen" w:hAnsi="Sylfaen" w:cs="Sylfaen"/>
          <w:bCs/>
          <w:noProof/>
          <w:sz w:val="24"/>
          <w:szCs w:val="24"/>
          <w:lang w:val="ka-GE"/>
        </w:rPr>
      </w:pPr>
      <w:r w:rsidRPr="00D66DA1">
        <w:rPr>
          <w:rFonts w:ascii="Sylfaen" w:hAnsi="Sylfaen" w:cs="Sylfaen"/>
          <w:b/>
          <w:noProof/>
          <w:sz w:val="24"/>
          <w:szCs w:val="24"/>
          <w:lang w:val="ka-GE"/>
        </w:rPr>
        <w:t>ფარმაკოდინამიური თვისებები</w:t>
      </w:r>
    </w:p>
    <w:p w14:paraId="2B2D7E0E" w14:textId="77777777" w:rsidR="00433410" w:rsidRPr="00D66DA1" w:rsidRDefault="00433410" w:rsidP="00433410">
      <w:pPr>
        <w:spacing w:after="0" w:line="360" w:lineRule="auto"/>
        <w:ind w:left="-810" w:right="-211"/>
        <w:jc w:val="both"/>
        <w:rPr>
          <w:rFonts w:ascii="Sylfaen" w:hAnsi="Sylfaen" w:cs="Sylfaen"/>
          <w:bCs/>
          <w:noProof/>
          <w:sz w:val="24"/>
          <w:szCs w:val="24"/>
          <w:lang w:val="ka-GE"/>
        </w:rPr>
      </w:pPr>
      <w:r w:rsidRPr="00D66DA1">
        <w:rPr>
          <w:rFonts w:ascii="Sylfaen" w:hAnsi="Sylfaen" w:cs="Sylfaen"/>
          <w:noProof/>
          <w:sz w:val="24"/>
          <w:szCs w:val="24"/>
          <w:lang w:val="ka-GE"/>
        </w:rPr>
        <w:t>ფარმაკოთერაპიული ჯგუფი: ანტიდეპრესანტები, სეროტონინის უკუმიტაცების შერჩევითი ინჰიბიტორები</w:t>
      </w:r>
    </w:p>
    <w:p w14:paraId="7FC4F4F2" w14:textId="77777777" w:rsidR="00433410" w:rsidRPr="00D66DA1" w:rsidRDefault="00433410" w:rsidP="00433410">
      <w:pPr>
        <w:spacing w:after="0" w:line="360" w:lineRule="auto"/>
        <w:ind w:left="-810" w:right="-211"/>
        <w:jc w:val="both"/>
        <w:rPr>
          <w:rFonts w:ascii="Sylfaen" w:hAnsi="Sylfaen" w:cs="Sylfaen"/>
          <w:bCs/>
          <w:noProof/>
          <w:sz w:val="24"/>
          <w:szCs w:val="24"/>
          <w:lang w:val="ka-GE"/>
        </w:rPr>
      </w:pPr>
      <w:r w:rsidRPr="00D66DA1">
        <w:rPr>
          <w:rFonts w:ascii="Sylfaen" w:hAnsi="Sylfaen" w:cs="Sylfaen"/>
          <w:noProof/>
          <w:sz w:val="24"/>
          <w:szCs w:val="24"/>
          <w:lang w:val="ka-GE"/>
        </w:rPr>
        <w:t>ათქ კოდი: N 06 AB 10</w:t>
      </w:r>
    </w:p>
    <w:p w14:paraId="37BF5A29" w14:textId="722B3CB6" w:rsidR="00433410" w:rsidRPr="00D66DA1" w:rsidRDefault="00433410" w:rsidP="00433410">
      <w:pPr>
        <w:spacing w:after="0" w:line="360" w:lineRule="auto"/>
        <w:ind w:left="-810" w:right="-211"/>
        <w:jc w:val="both"/>
        <w:rPr>
          <w:rFonts w:ascii="Sylfaen" w:hAnsi="Sylfaen" w:cs="Sylfaen"/>
          <w:bCs/>
          <w:noProof/>
          <w:sz w:val="24"/>
          <w:szCs w:val="24"/>
          <w:lang w:val="ka-GE"/>
        </w:rPr>
      </w:pPr>
      <w:r w:rsidRPr="00D66DA1">
        <w:rPr>
          <w:rFonts w:ascii="Sylfaen" w:hAnsi="Sylfaen" w:cs="Sylfaen"/>
          <w:i/>
          <w:iCs/>
          <w:noProof/>
          <w:sz w:val="24"/>
          <w:szCs w:val="24"/>
          <w:lang w:val="ka-GE"/>
        </w:rPr>
        <w:t>მოქმედების მექანიზმი</w:t>
      </w:r>
    </w:p>
    <w:p w14:paraId="43BF6A49" w14:textId="198EA34A" w:rsidR="00FE2331" w:rsidRPr="00D66DA1" w:rsidRDefault="005A291F" w:rsidP="008313FC">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 xml:space="preserve">ესციტალოპრამი არის სეროტონინის (5-HT) </w:t>
      </w:r>
      <w:r w:rsidRPr="00D66DA1">
        <w:rPr>
          <w:rFonts w:ascii="Sylfaen" w:hAnsi="Sylfaen" w:cs="Sylfaen"/>
          <w:noProof/>
          <w:sz w:val="24"/>
          <w:szCs w:val="24"/>
          <w:lang w:val="ka-GE"/>
        </w:rPr>
        <w:t xml:space="preserve">უკუმიტაცების </w:t>
      </w:r>
      <w:r w:rsidRPr="00D66DA1">
        <w:rPr>
          <w:rFonts w:ascii="Sylfaen" w:hAnsi="Sylfaen"/>
          <w:noProof/>
          <w:sz w:val="24"/>
          <w:szCs w:val="24"/>
          <w:lang w:val="ka-GE"/>
        </w:rPr>
        <w:t>შერჩევითი ინჰიბიტორი, რომელსაც მაღალი აფინურობა გააჩნია პირველადი შეკავშირების ადგილთან. ასევე უკავშირდება ალოსტერის ადგილს სეროტონინის გადამტანზე</w:t>
      </w:r>
      <w:r w:rsidR="00FE30D8" w:rsidRPr="00D66DA1">
        <w:rPr>
          <w:rFonts w:ascii="Sylfaen" w:hAnsi="Sylfaen"/>
          <w:noProof/>
          <w:sz w:val="24"/>
          <w:szCs w:val="24"/>
          <w:lang w:val="ka-GE"/>
        </w:rPr>
        <w:t>,</w:t>
      </w:r>
      <w:r w:rsidRPr="00D66DA1">
        <w:rPr>
          <w:rFonts w:ascii="Sylfaen" w:hAnsi="Sylfaen"/>
          <w:noProof/>
          <w:sz w:val="24"/>
          <w:szCs w:val="24"/>
          <w:lang w:val="ka-GE"/>
        </w:rPr>
        <w:t xml:space="preserve"> 1000-ჯერ ნაკლები აფინურობით. ესციტალოპრამს არ გააჩნია ან გააჩნია დაბალი აფინურობა რამდენიმე რეცეპტორთან, მათ შორის 5-HT1A, 5-HT2, DA D1 და D2 რეცეპტორებთან, α1-, α2-, β-ადრენორეცეპტორებთან, ჰისტამინის H1-რეცეპტორებთან, მუსკარინის ქოლინერგული რეცეპტორებთან, </w:t>
      </w:r>
      <w:r w:rsidR="008313FC" w:rsidRPr="00D66DA1">
        <w:rPr>
          <w:rFonts w:ascii="Sylfaen" w:hAnsi="Sylfaen"/>
          <w:noProof/>
          <w:sz w:val="24"/>
          <w:szCs w:val="24"/>
          <w:lang w:val="ka-GE"/>
        </w:rPr>
        <w:t>ბენზოდიაზეპინურ და ოპიოიდურ რეცეპტორებთან</w:t>
      </w:r>
      <w:r w:rsidRPr="00D66DA1">
        <w:rPr>
          <w:rFonts w:ascii="Sylfaen" w:hAnsi="Sylfaen"/>
          <w:noProof/>
          <w:sz w:val="24"/>
          <w:szCs w:val="24"/>
          <w:lang w:val="ka-GE"/>
        </w:rPr>
        <w:t>.</w:t>
      </w:r>
      <w:r w:rsidR="008313FC" w:rsidRPr="00D66DA1">
        <w:rPr>
          <w:rFonts w:ascii="Sylfaen" w:hAnsi="Sylfaen"/>
          <w:noProof/>
          <w:sz w:val="24"/>
          <w:szCs w:val="24"/>
          <w:lang w:val="ka-GE"/>
        </w:rPr>
        <w:t xml:space="preserve"> </w:t>
      </w:r>
      <w:r w:rsidRPr="00D66DA1">
        <w:rPr>
          <w:rFonts w:ascii="Sylfaen" w:hAnsi="Sylfaen"/>
          <w:noProof/>
          <w:sz w:val="24"/>
          <w:szCs w:val="24"/>
          <w:lang w:val="ka-GE"/>
        </w:rPr>
        <w:t xml:space="preserve">5-HT </w:t>
      </w:r>
      <w:r w:rsidR="008313FC" w:rsidRPr="00D66DA1">
        <w:rPr>
          <w:rFonts w:ascii="Sylfaen" w:hAnsi="Sylfaen"/>
          <w:noProof/>
          <w:sz w:val="24"/>
          <w:szCs w:val="24"/>
          <w:lang w:val="ka-GE"/>
        </w:rPr>
        <w:t>უკუმიტაცების</w:t>
      </w:r>
      <w:r w:rsidRPr="00D66DA1">
        <w:rPr>
          <w:rFonts w:ascii="Sylfaen" w:hAnsi="Sylfaen"/>
          <w:noProof/>
          <w:sz w:val="24"/>
          <w:szCs w:val="24"/>
          <w:lang w:val="ka-GE"/>
        </w:rPr>
        <w:t xml:space="preserve"> ინჰიბირება არის ერთადერთი სავარაუდო მოქმედების მექანიზმი, რომელიც ხსნის ესციტალოპრამის ფარმაკოლოგიურ და კლინიკურ ეფექტებს.</w:t>
      </w:r>
    </w:p>
    <w:p w14:paraId="29A9736D" w14:textId="49E3FD38" w:rsidR="008313FC" w:rsidRPr="00D66DA1" w:rsidRDefault="008313FC" w:rsidP="008313FC">
      <w:pPr>
        <w:spacing w:after="0" w:line="360" w:lineRule="auto"/>
        <w:ind w:left="-810" w:right="-211"/>
        <w:jc w:val="both"/>
        <w:rPr>
          <w:rFonts w:ascii="Sylfaen" w:hAnsi="Sylfaen"/>
          <w:i/>
          <w:iCs/>
          <w:noProof/>
          <w:sz w:val="24"/>
          <w:szCs w:val="24"/>
          <w:lang w:val="ka-GE"/>
        </w:rPr>
      </w:pPr>
      <w:r w:rsidRPr="00D66DA1">
        <w:rPr>
          <w:rFonts w:ascii="Sylfaen" w:hAnsi="Sylfaen"/>
          <w:i/>
          <w:iCs/>
          <w:noProof/>
          <w:sz w:val="24"/>
          <w:szCs w:val="24"/>
          <w:lang w:val="ka-GE"/>
        </w:rPr>
        <w:t>ფარმაკოდინამიკური ეფექტურობა</w:t>
      </w:r>
    </w:p>
    <w:p w14:paraId="767CBAE3" w14:textId="3EC81235" w:rsidR="008313FC" w:rsidRPr="00D66DA1" w:rsidRDefault="008313FC" w:rsidP="008313FC">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ორმაგ-ბრმა, პლაცებო-კონტროლირებადი ეკგ კვლევისას ჯანმრთელ სუბიექტებში, QTc ცვლილება საწყისთან შედარებით (Fridericia კორექცია) იყო 4.3 მწმ (90 % CI: 2.2, 6.4) 10 მგ/დღეში დოზით და 10.7 მწმ (90 % CI: 8.6, 12.8) 30 მგ/დღეში სუპერთერაპიული დოზით (იხ. პუნქტები 4.3, 4.4, 4.5, 4.8 და 4.9).</w:t>
      </w:r>
    </w:p>
    <w:p w14:paraId="4D434087" w14:textId="77777777" w:rsidR="00734CB4" w:rsidRPr="00D66DA1" w:rsidRDefault="00A41866" w:rsidP="00734CB4">
      <w:pPr>
        <w:spacing w:after="0" w:line="360" w:lineRule="auto"/>
        <w:ind w:left="-810" w:right="-211"/>
        <w:jc w:val="both"/>
        <w:rPr>
          <w:rFonts w:ascii="Sylfaen" w:hAnsi="Sylfaen"/>
          <w:b/>
          <w:bCs/>
          <w:noProof/>
          <w:sz w:val="24"/>
          <w:szCs w:val="24"/>
          <w:lang w:val="ka-GE"/>
        </w:rPr>
      </w:pPr>
      <w:r w:rsidRPr="00D66DA1">
        <w:rPr>
          <w:rFonts w:ascii="Sylfaen" w:hAnsi="Sylfaen"/>
          <w:b/>
          <w:bCs/>
          <w:noProof/>
          <w:sz w:val="24"/>
          <w:szCs w:val="24"/>
          <w:lang w:val="ka-GE"/>
        </w:rPr>
        <w:t>კლინიკური ეფექტურობა და უსაფრთხოება</w:t>
      </w:r>
    </w:p>
    <w:p w14:paraId="38FF2E6B" w14:textId="280F4F0A" w:rsidR="00C84ED8" w:rsidRPr="00D66DA1" w:rsidRDefault="00C84ED8" w:rsidP="00734CB4">
      <w:pPr>
        <w:spacing w:after="0" w:line="360" w:lineRule="auto"/>
        <w:ind w:left="-810" w:right="-211"/>
        <w:jc w:val="both"/>
        <w:rPr>
          <w:rFonts w:ascii="Sylfaen" w:hAnsi="Sylfaen"/>
          <w:i/>
          <w:iCs/>
          <w:noProof/>
          <w:sz w:val="24"/>
          <w:szCs w:val="24"/>
          <w:lang w:val="ka-GE"/>
        </w:rPr>
      </w:pPr>
      <w:r w:rsidRPr="00D66DA1">
        <w:rPr>
          <w:rFonts w:ascii="Sylfaen" w:hAnsi="Sylfaen"/>
          <w:i/>
          <w:iCs/>
          <w:noProof/>
          <w:sz w:val="24"/>
          <w:szCs w:val="24"/>
          <w:lang w:val="ka-GE"/>
        </w:rPr>
        <w:t>მძიმე  დეპრესიული ეპიზოდები</w:t>
      </w:r>
    </w:p>
    <w:p w14:paraId="20EB8A45" w14:textId="3698A73A" w:rsidR="00431C47" w:rsidRPr="00D66DA1" w:rsidRDefault="00F70753" w:rsidP="00431C47">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 xml:space="preserve">ოთხიდან სამ ორმაგ-ბრმა პლაცებოკონტროლირებულ მოკლევადიან (8-კვირიანი) კვლევაში ესციტალოპრამი ეფექტური აღმოჩნდა მძიმე დეპრესიული ეპიზოდების სამკურნალოდ. რეციდივის პრევენციის გრძელვადიან კვლევაში, </w:t>
      </w:r>
      <w:r w:rsidR="00734CB4" w:rsidRPr="00D66DA1">
        <w:rPr>
          <w:rFonts w:ascii="Sylfaen" w:hAnsi="Sylfaen"/>
          <w:noProof/>
          <w:sz w:val="24"/>
          <w:szCs w:val="24"/>
          <w:lang w:val="ka-GE"/>
        </w:rPr>
        <w:t xml:space="preserve">274 პაციენტმა, </w:t>
      </w:r>
      <w:r w:rsidR="000A5262" w:rsidRPr="00D66DA1">
        <w:rPr>
          <w:rFonts w:ascii="Sylfaen" w:hAnsi="Sylfaen"/>
          <w:noProof/>
          <w:sz w:val="24"/>
          <w:szCs w:val="24"/>
          <w:lang w:val="ka-GE"/>
        </w:rPr>
        <w:t>რომელმაც</w:t>
      </w:r>
      <w:r w:rsidR="00734CB4" w:rsidRPr="00D66DA1">
        <w:rPr>
          <w:rFonts w:ascii="Sylfaen" w:hAnsi="Sylfaen"/>
          <w:noProof/>
          <w:sz w:val="24"/>
          <w:szCs w:val="24"/>
          <w:lang w:val="ka-GE"/>
        </w:rPr>
        <w:t xml:space="preserve"> გამოავლინ</w:t>
      </w:r>
      <w:r w:rsidR="000A5262" w:rsidRPr="00D66DA1">
        <w:rPr>
          <w:rFonts w:ascii="Sylfaen" w:hAnsi="Sylfaen"/>
          <w:noProof/>
          <w:sz w:val="24"/>
          <w:szCs w:val="24"/>
          <w:lang w:val="ka-GE"/>
        </w:rPr>
        <w:t>ა</w:t>
      </w:r>
      <w:r w:rsidR="00734CB4" w:rsidRPr="00D66DA1">
        <w:rPr>
          <w:rFonts w:ascii="Sylfaen" w:hAnsi="Sylfaen"/>
          <w:noProof/>
          <w:sz w:val="24"/>
          <w:szCs w:val="24"/>
          <w:lang w:val="ka-GE"/>
        </w:rPr>
        <w:t xml:space="preserve"> რეაქცია </w:t>
      </w:r>
      <w:r w:rsidR="00431C47" w:rsidRPr="00D66DA1">
        <w:rPr>
          <w:rFonts w:ascii="Sylfaen" w:hAnsi="Sylfaen"/>
          <w:noProof/>
          <w:sz w:val="24"/>
          <w:szCs w:val="24"/>
          <w:lang w:val="ka-GE"/>
        </w:rPr>
        <w:t xml:space="preserve"> ესციტალოპრამის 10 ან 20 მგ/დღეში მკურნალობის საწყის 8-კვირიანი ღია ფაზის დროს, </w:t>
      </w:r>
      <w:r w:rsidR="00431C47" w:rsidRPr="00D66DA1">
        <w:rPr>
          <w:rFonts w:ascii="Sylfaen" w:hAnsi="Sylfaen"/>
          <w:noProof/>
          <w:sz w:val="24"/>
          <w:szCs w:val="24"/>
          <w:lang w:val="ka-GE"/>
        </w:rPr>
        <w:lastRenderedPageBreak/>
        <w:t xml:space="preserve">რანდომიზირებულად </w:t>
      </w:r>
      <w:r w:rsidR="00734CB4" w:rsidRPr="00D66DA1">
        <w:rPr>
          <w:rFonts w:ascii="Sylfaen" w:hAnsi="Sylfaen"/>
          <w:noProof/>
          <w:sz w:val="24"/>
          <w:szCs w:val="24"/>
          <w:lang w:val="ka-GE"/>
        </w:rPr>
        <w:t>გააგრძელ</w:t>
      </w:r>
      <w:r w:rsidR="000A5262" w:rsidRPr="00D66DA1">
        <w:rPr>
          <w:rFonts w:ascii="Sylfaen" w:hAnsi="Sylfaen"/>
          <w:noProof/>
          <w:sz w:val="24"/>
          <w:szCs w:val="24"/>
          <w:lang w:val="ka-GE"/>
        </w:rPr>
        <w:t>ა</w:t>
      </w:r>
      <w:r w:rsidR="00734CB4" w:rsidRPr="00D66DA1">
        <w:rPr>
          <w:rFonts w:ascii="Sylfaen" w:hAnsi="Sylfaen"/>
          <w:noProof/>
          <w:sz w:val="24"/>
          <w:szCs w:val="24"/>
          <w:lang w:val="ka-GE"/>
        </w:rPr>
        <w:t xml:space="preserve"> ესციტალოპრამის მიღება იმავე დოზით ან იღებდ</w:t>
      </w:r>
      <w:r w:rsidR="000A5262" w:rsidRPr="00D66DA1">
        <w:rPr>
          <w:rFonts w:ascii="Sylfaen" w:hAnsi="Sylfaen"/>
          <w:noProof/>
          <w:sz w:val="24"/>
          <w:szCs w:val="24"/>
          <w:lang w:val="ka-GE"/>
        </w:rPr>
        <w:t>ა</w:t>
      </w:r>
      <w:r w:rsidR="00734CB4" w:rsidRPr="00D66DA1">
        <w:rPr>
          <w:rFonts w:ascii="Sylfaen" w:hAnsi="Sylfaen"/>
          <w:noProof/>
          <w:sz w:val="24"/>
          <w:szCs w:val="24"/>
          <w:lang w:val="ka-GE"/>
        </w:rPr>
        <w:t xml:space="preserve"> პლაცებოს 36 კვირამდე პერიოდით. </w:t>
      </w:r>
      <w:r w:rsidR="00431C47" w:rsidRPr="00D66DA1">
        <w:rPr>
          <w:rFonts w:ascii="Sylfaen" w:hAnsi="Sylfaen"/>
          <w:noProof/>
          <w:sz w:val="24"/>
          <w:szCs w:val="24"/>
          <w:lang w:val="ka-GE"/>
        </w:rPr>
        <w:t xml:space="preserve">ამ კვლევაში, </w:t>
      </w:r>
      <w:r w:rsidR="00734CB4" w:rsidRPr="00D66DA1">
        <w:rPr>
          <w:rFonts w:ascii="Sylfaen" w:hAnsi="Sylfaen"/>
          <w:noProof/>
          <w:sz w:val="24"/>
          <w:szCs w:val="24"/>
          <w:lang w:val="ka-GE"/>
        </w:rPr>
        <w:t>იმ პაციენტებში, რომლებიც იღებდნენ ესციტალოპრამს, შემდგომი 36 კვირიანი მკურნალობის შემდეგ, მნიშვნელოვნად უფრო დიდი დროის შემდეგ აღინიშნა რეციდივი, ვიდრე პლაცებოს მიმღებ პაციენტებში.</w:t>
      </w:r>
    </w:p>
    <w:p w14:paraId="34415E46" w14:textId="4711B6D5" w:rsidR="00C84ED8" w:rsidRPr="00D66DA1" w:rsidRDefault="00C84ED8" w:rsidP="00431C47">
      <w:pPr>
        <w:spacing w:after="0" w:line="360" w:lineRule="auto"/>
        <w:ind w:left="-810" w:right="-211"/>
        <w:jc w:val="both"/>
        <w:rPr>
          <w:rFonts w:ascii="Sylfaen" w:hAnsi="Sylfaen"/>
          <w:i/>
          <w:iCs/>
          <w:noProof/>
          <w:sz w:val="24"/>
          <w:szCs w:val="24"/>
          <w:lang w:val="ka-GE"/>
        </w:rPr>
      </w:pPr>
      <w:r w:rsidRPr="00D66DA1">
        <w:rPr>
          <w:rFonts w:ascii="Sylfaen" w:hAnsi="Sylfaen"/>
          <w:i/>
          <w:iCs/>
          <w:noProof/>
          <w:sz w:val="24"/>
          <w:szCs w:val="24"/>
          <w:lang w:val="ka-GE"/>
        </w:rPr>
        <w:t xml:space="preserve">სოციალური შფოთვითი აშლილობა </w:t>
      </w:r>
    </w:p>
    <w:p w14:paraId="063187F6" w14:textId="77777777" w:rsidR="00C32FDD" w:rsidRPr="00D66DA1" w:rsidRDefault="00431C47" w:rsidP="00C32FDD">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 xml:space="preserve">ესციტალოპრამი ეფექტური იყო როგორც სამ მოკლევადიან (12 კვირიან) კვლევაში, ასევე მონაწილეებში სოციალური შფოთვითი აშლილობის რეციდივის პრევენციის 6-თვიან კვლევაში. </w:t>
      </w:r>
      <w:r w:rsidR="00377C5F" w:rsidRPr="00D66DA1">
        <w:rPr>
          <w:rFonts w:ascii="Sylfaen" w:hAnsi="Sylfaen"/>
          <w:noProof/>
          <w:sz w:val="24"/>
          <w:szCs w:val="24"/>
          <w:lang w:val="ka-GE"/>
        </w:rPr>
        <w:t xml:space="preserve">24-კვირიანმა კვლევამ აჩვენა </w:t>
      </w:r>
      <w:r w:rsidR="00C32FDD" w:rsidRPr="00D66DA1">
        <w:rPr>
          <w:rFonts w:ascii="Sylfaen" w:hAnsi="Sylfaen"/>
          <w:noProof/>
          <w:sz w:val="24"/>
          <w:szCs w:val="24"/>
          <w:lang w:val="ka-GE"/>
        </w:rPr>
        <w:t>5, 10 და 20 მგ ესციტალოპრამის ეფექტურობა.</w:t>
      </w:r>
    </w:p>
    <w:p w14:paraId="4ACA7E05" w14:textId="1BE61E84" w:rsidR="00C84ED8" w:rsidRPr="00D66DA1" w:rsidRDefault="00C84ED8" w:rsidP="00C32FDD">
      <w:pPr>
        <w:spacing w:after="0" w:line="360" w:lineRule="auto"/>
        <w:ind w:left="-810" w:right="-211"/>
        <w:jc w:val="both"/>
        <w:rPr>
          <w:rFonts w:ascii="Sylfaen" w:hAnsi="Sylfaen"/>
          <w:i/>
          <w:iCs/>
          <w:noProof/>
          <w:sz w:val="24"/>
          <w:szCs w:val="24"/>
          <w:lang w:val="ka-GE"/>
        </w:rPr>
      </w:pPr>
      <w:r w:rsidRPr="00D66DA1">
        <w:rPr>
          <w:rFonts w:ascii="Sylfaen" w:hAnsi="Sylfaen"/>
          <w:i/>
          <w:iCs/>
          <w:noProof/>
          <w:sz w:val="24"/>
          <w:szCs w:val="24"/>
          <w:lang w:val="ka-GE"/>
        </w:rPr>
        <w:t>გენერალიზებული შფოთვითი აშლილობა</w:t>
      </w:r>
    </w:p>
    <w:p w14:paraId="760032FF" w14:textId="7C14E50E" w:rsidR="003B32DB" w:rsidRPr="00D66DA1" w:rsidRDefault="003B32DB" w:rsidP="003B32DB">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 xml:space="preserve">ესციტალოპრამი </w:t>
      </w:r>
      <w:r w:rsidR="00ED0AAE" w:rsidRPr="00D66DA1">
        <w:rPr>
          <w:rFonts w:ascii="Sylfaen" w:hAnsi="Sylfaen"/>
          <w:noProof/>
          <w:sz w:val="24"/>
          <w:szCs w:val="24"/>
          <w:lang w:val="ka-GE"/>
        </w:rPr>
        <w:t xml:space="preserve">დღეში </w:t>
      </w:r>
      <w:r w:rsidRPr="00D66DA1">
        <w:rPr>
          <w:rFonts w:ascii="Sylfaen" w:hAnsi="Sylfaen"/>
          <w:noProof/>
          <w:sz w:val="24"/>
          <w:szCs w:val="24"/>
          <w:lang w:val="ka-GE"/>
        </w:rPr>
        <w:t>10 და 20მგ</w:t>
      </w:r>
      <w:r w:rsidR="00ED0AAE" w:rsidRPr="00D66DA1">
        <w:rPr>
          <w:rFonts w:ascii="Sylfaen" w:hAnsi="Sylfaen"/>
          <w:noProof/>
          <w:sz w:val="24"/>
          <w:szCs w:val="24"/>
          <w:lang w:val="ka-GE"/>
        </w:rPr>
        <w:t xml:space="preserve"> დოზებით</w:t>
      </w:r>
      <w:r w:rsidRPr="00D66DA1">
        <w:rPr>
          <w:rFonts w:ascii="Sylfaen" w:hAnsi="Sylfaen"/>
          <w:noProof/>
          <w:sz w:val="24"/>
          <w:szCs w:val="24"/>
          <w:lang w:val="ka-GE"/>
        </w:rPr>
        <w:t xml:space="preserve"> ეფექტური იყო ოთხივე პლაცებო</w:t>
      </w:r>
      <w:r w:rsidR="00ED0AAE" w:rsidRPr="00D66DA1">
        <w:rPr>
          <w:rFonts w:ascii="Sylfaen" w:hAnsi="Sylfaen"/>
          <w:noProof/>
          <w:sz w:val="24"/>
          <w:szCs w:val="24"/>
          <w:lang w:val="ka-GE"/>
        </w:rPr>
        <w:t>-</w:t>
      </w:r>
      <w:r w:rsidRPr="00D66DA1">
        <w:rPr>
          <w:rFonts w:ascii="Sylfaen" w:hAnsi="Sylfaen"/>
          <w:noProof/>
          <w:sz w:val="24"/>
          <w:szCs w:val="24"/>
          <w:lang w:val="ka-GE"/>
        </w:rPr>
        <w:t>კონტროლირებულ კვლევაში.</w:t>
      </w:r>
    </w:p>
    <w:p w14:paraId="662D5CEE" w14:textId="48A44531" w:rsidR="003B32DB" w:rsidRPr="00D66DA1" w:rsidRDefault="003B32DB" w:rsidP="002558B3">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 xml:space="preserve">სამი კვლევის მონაცემებით, </w:t>
      </w:r>
      <w:r w:rsidR="002558B3" w:rsidRPr="00D66DA1">
        <w:rPr>
          <w:rFonts w:ascii="Sylfaen" w:hAnsi="Sylfaen"/>
          <w:noProof/>
          <w:sz w:val="24"/>
          <w:szCs w:val="24"/>
          <w:lang w:val="ka-GE"/>
        </w:rPr>
        <w:t>რომლის ფარგლებშიც</w:t>
      </w:r>
      <w:r w:rsidRPr="00D66DA1">
        <w:rPr>
          <w:rFonts w:ascii="Sylfaen" w:hAnsi="Sylfaen"/>
          <w:noProof/>
          <w:sz w:val="24"/>
          <w:szCs w:val="24"/>
          <w:lang w:val="ka-GE"/>
        </w:rPr>
        <w:t xml:space="preserve"> 421 </w:t>
      </w:r>
      <w:r w:rsidR="002558B3" w:rsidRPr="00D66DA1">
        <w:rPr>
          <w:rFonts w:ascii="Sylfaen" w:hAnsi="Sylfaen"/>
          <w:noProof/>
          <w:sz w:val="24"/>
          <w:szCs w:val="24"/>
          <w:lang w:val="ka-GE"/>
        </w:rPr>
        <w:t xml:space="preserve">პაციენტი მკურნალობდა </w:t>
      </w:r>
      <w:r w:rsidRPr="00D66DA1">
        <w:rPr>
          <w:rFonts w:ascii="Sylfaen" w:hAnsi="Sylfaen"/>
          <w:noProof/>
          <w:sz w:val="24"/>
          <w:szCs w:val="24"/>
          <w:lang w:val="ka-GE"/>
        </w:rPr>
        <w:t>ესციტალოპრამით</w:t>
      </w:r>
      <w:r w:rsidR="002558B3" w:rsidRPr="00D66DA1">
        <w:rPr>
          <w:rFonts w:ascii="Sylfaen" w:hAnsi="Sylfaen"/>
          <w:noProof/>
          <w:sz w:val="24"/>
          <w:szCs w:val="24"/>
          <w:lang w:val="ka-GE"/>
        </w:rPr>
        <w:t>,</w:t>
      </w:r>
      <w:r w:rsidRPr="00D66DA1">
        <w:rPr>
          <w:rFonts w:ascii="Sylfaen" w:hAnsi="Sylfaen"/>
          <w:noProof/>
          <w:sz w:val="24"/>
          <w:szCs w:val="24"/>
          <w:lang w:val="ka-GE"/>
        </w:rPr>
        <w:t xml:space="preserve"> </w:t>
      </w:r>
      <w:r w:rsidR="002558B3" w:rsidRPr="00D66DA1">
        <w:rPr>
          <w:rFonts w:ascii="Sylfaen" w:hAnsi="Sylfaen"/>
          <w:noProof/>
          <w:sz w:val="24"/>
          <w:szCs w:val="24"/>
          <w:lang w:val="ka-GE"/>
        </w:rPr>
        <w:t>ხოლო</w:t>
      </w:r>
      <w:r w:rsidRPr="00D66DA1">
        <w:rPr>
          <w:rFonts w:ascii="Sylfaen" w:hAnsi="Sylfaen"/>
          <w:noProof/>
          <w:sz w:val="24"/>
          <w:szCs w:val="24"/>
          <w:lang w:val="ka-GE"/>
        </w:rPr>
        <w:t xml:space="preserve"> 419 </w:t>
      </w:r>
      <w:r w:rsidR="002558B3" w:rsidRPr="00D66DA1">
        <w:rPr>
          <w:rFonts w:ascii="Sylfaen" w:hAnsi="Sylfaen"/>
          <w:noProof/>
          <w:sz w:val="24"/>
          <w:szCs w:val="24"/>
          <w:lang w:val="ka-GE"/>
        </w:rPr>
        <w:t xml:space="preserve">პაციენტი ღებულობდა </w:t>
      </w:r>
      <w:r w:rsidRPr="00D66DA1">
        <w:rPr>
          <w:rFonts w:ascii="Sylfaen" w:hAnsi="Sylfaen"/>
          <w:noProof/>
          <w:sz w:val="24"/>
          <w:szCs w:val="24"/>
          <w:lang w:val="ka-GE"/>
        </w:rPr>
        <w:t>პლაცებო</w:t>
      </w:r>
      <w:r w:rsidR="002558B3" w:rsidRPr="00D66DA1">
        <w:rPr>
          <w:rFonts w:ascii="Sylfaen" w:hAnsi="Sylfaen"/>
          <w:noProof/>
          <w:sz w:val="24"/>
          <w:szCs w:val="24"/>
          <w:lang w:val="ka-GE"/>
        </w:rPr>
        <w:t>ს</w:t>
      </w:r>
      <w:r w:rsidRPr="00D66DA1">
        <w:rPr>
          <w:rFonts w:ascii="Sylfaen" w:hAnsi="Sylfaen"/>
          <w:noProof/>
          <w:sz w:val="24"/>
          <w:szCs w:val="24"/>
          <w:lang w:val="ka-GE"/>
        </w:rPr>
        <w:t xml:space="preserve">, </w:t>
      </w:r>
      <w:r w:rsidR="002558B3" w:rsidRPr="00D66DA1">
        <w:rPr>
          <w:rFonts w:ascii="Sylfaen" w:hAnsi="Sylfaen"/>
          <w:noProof/>
          <w:sz w:val="24"/>
          <w:szCs w:val="24"/>
          <w:lang w:val="ka-GE"/>
        </w:rPr>
        <w:t>დაფიქსირდა 47.5% და 28.9% რეაგირების სიხშირე, შესაბამისად, და 37.1% და 20.8% რემისიის სიხშირე. მდგრადი ეფექტი დაფიქსირდა პირველი კვირიდან.</w:t>
      </w:r>
    </w:p>
    <w:p w14:paraId="14DD63C8" w14:textId="60FF536C" w:rsidR="002558B3" w:rsidRPr="00D66DA1" w:rsidRDefault="002558B3" w:rsidP="002558B3">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დღეში 20მგ ესციტალოპრამის ეფექტურობის შენარჩუნება დაფიქსირდა ეფექტურობის შენარჩუნების რანდომიზებულ 24-76-კვირიან კვლევაში, რომელშიც მონაწილეობდა 373 პაციენტი, რომლებმაც რეაგირება მოახდინეს საწყისი 12-კვირიანი ღია მკურნალობის დროს.</w:t>
      </w:r>
    </w:p>
    <w:p w14:paraId="55515072" w14:textId="76256D42" w:rsidR="00C84ED8" w:rsidRPr="00D66DA1" w:rsidRDefault="00C84ED8" w:rsidP="002558B3">
      <w:pPr>
        <w:spacing w:after="0" w:line="360" w:lineRule="auto"/>
        <w:ind w:left="-810" w:right="-211"/>
        <w:jc w:val="both"/>
        <w:rPr>
          <w:rFonts w:ascii="Sylfaen" w:hAnsi="Sylfaen"/>
          <w:i/>
          <w:iCs/>
          <w:noProof/>
          <w:sz w:val="24"/>
          <w:szCs w:val="24"/>
          <w:lang w:val="ka-GE"/>
        </w:rPr>
      </w:pPr>
      <w:r w:rsidRPr="00D66DA1">
        <w:rPr>
          <w:rFonts w:ascii="Sylfaen" w:hAnsi="Sylfaen"/>
          <w:i/>
          <w:iCs/>
          <w:noProof/>
          <w:sz w:val="24"/>
          <w:szCs w:val="24"/>
          <w:lang w:val="ka-GE"/>
        </w:rPr>
        <w:t>ობსესიურ-კომპულსური აშლილობა</w:t>
      </w:r>
    </w:p>
    <w:p w14:paraId="0CBE200A" w14:textId="3B8AEFEA" w:rsidR="00CE0CB0" w:rsidRPr="00D66DA1" w:rsidRDefault="00270C47" w:rsidP="008313FC">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რანდომიზებული, ორმაგ-ბრმა კლინიკური კვლევისას დღეში 20 მგ ესციტალოპრამი გამოცალკევებული იყო პლაცებოსგან Y-BOCS საერთო ქულიდან 12 კვირის შემდეგ. 24 კვირის შემდეგ, დღეში 10 და 20 მგ ესციტალოპრამს დიდი უპირატესობა ჰქონდა პლაცებოსთან შედარებით.</w:t>
      </w:r>
    </w:p>
    <w:p w14:paraId="5F570B7B" w14:textId="77777777" w:rsidR="00CF0B97" w:rsidRPr="00D66DA1" w:rsidRDefault="00270C47" w:rsidP="00CF0B97">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რეციდივის პრევენცია გამოვლინდა დღეში 10 და 20 მგ ესციტალოპრამის გამოყენებისას იმ პაციენტებში, რომლებიც რეაგირებდნენ ესციტალოპრამზე 16-კვირიან ღია სამკურნალო პერიოდში და რომლებიც ჩაერთნენ 24 –კვირიან, რანდომიზებულ, ორმაგ- ბრმა, პლაცებო-კონტროლირებულ კვლევაში.</w:t>
      </w:r>
    </w:p>
    <w:p w14:paraId="5CD58D9F" w14:textId="77777777" w:rsidR="00CF0B97" w:rsidRPr="00D66DA1" w:rsidRDefault="00CF0B97" w:rsidP="00CF0B97">
      <w:pPr>
        <w:pStyle w:val="ListParagraph"/>
        <w:numPr>
          <w:ilvl w:val="1"/>
          <w:numId w:val="11"/>
        </w:numPr>
        <w:spacing w:after="0" w:line="360" w:lineRule="auto"/>
        <w:ind w:right="-211"/>
        <w:jc w:val="both"/>
        <w:rPr>
          <w:rFonts w:ascii="Sylfaen" w:hAnsi="Sylfaen"/>
          <w:noProof/>
          <w:sz w:val="24"/>
          <w:szCs w:val="24"/>
          <w:lang w:val="ka-GE"/>
        </w:rPr>
      </w:pPr>
      <w:r w:rsidRPr="00D66DA1">
        <w:rPr>
          <w:rFonts w:ascii="Sylfaen" w:hAnsi="Sylfaen" w:cs="Sylfaen"/>
          <w:b/>
          <w:noProof/>
          <w:sz w:val="24"/>
          <w:szCs w:val="24"/>
          <w:lang w:val="ka-GE"/>
        </w:rPr>
        <w:t>ფარმაკოკინეტიკური თვისებები</w:t>
      </w:r>
    </w:p>
    <w:p w14:paraId="51013A92" w14:textId="62B1DF6F" w:rsidR="00CF0B97" w:rsidRPr="00D66DA1" w:rsidRDefault="00CF0B97" w:rsidP="00CF0B97">
      <w:pPr>
        <w:spacing w:after="0" w:line="360" w:lineRule="auto"/>
        <w:ind w:left="-810" w:right="-211"/>
        <w:jc w:val="both"/>
        <w:rPr>
          <w:rFonts w:ascii="Sylfaen" w:hAnsi="Sylfaen"/>
          <w:i/>
          <w:iCs/>
          <w:noProof/>
          <w:sz w:val="24"/>
          <w:szCs w:val="24"/>
          <w:lang w:val="ka-GE"/>
        </w:rPr>
      </w:pPr>
      <w:r w:rsidRPr="00D66DA1">
        <w:rPr>
          <w:rFonts w:ascii="Sylfaen" w:hAnsi="Sylfaen" w:cs="Sylfaen"/>
          <w:i/>
          <w:iCs/>
          <w:noProof/>
          <w:sz w:val="24"/>
          <w:szCs w:val="24"/>
          <w:lang w:val="ka-GE"/>
        </w:rPr>
        <w:t xml:space="preserve">აბსორბცია </w:t>
      </w:r>
    </w:p>
    <w:p w14:paraId="10FC1311" w14:textId="0BB5BC0C" w:rsidR="00CF0B97" w:rsidRPr="00D66DA1" w:rsidRDefault="004B3A62" w:rsidP="008313FC">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lastRenderedPageBreak/>
        <w:t xml:space="preserve">აბსორბცია თითქმის სრულია და არ არის </w:t>
      </w:r>
      <w:r w:rsidR="002B57C5" w:rsidRPr="00D66DA1">
        <w:rPr>
          <w:rFonts w:ascii="Sylfaen" w:hAnsi="Sylfaen"/>
          <w:noProof/>
          <w:sz w:val="24"/>
          <w:szCs w:val="24"/>
          <w:lang w:val="ka-GE"/>
        </w:rPr>
        <w:t xml:space="preserve">დამოკიდებული </w:t>
      </w:r>
      <w:r w:rsidRPr="00D66DA1">
        <w:rPr>
          <w:rFonts w:ascii="Sylfaen" w:hAnsi="Sylfaen"/>
          <w:noProof/>
          <w:sz w:val="24"/>
          <w:szCs w:val="24"/>
          <w:lang w:val="ka-GE"/>
        </w:rPr>
        <w:t>საკვების მიღებაზე. (მაქსიმალური კონცენტრაციის მიღწევის საშუალო დრო (საშუალო Tmax) შეადგენს 4 საათს მრავალჯერადი დოზის მიღებიდან). როგორც რაცემიული ციტალოპრამის შემთხვევაში, ესციტალოპრამის აბსოლუტური ბიოშეღწევადობა შეადგენს დაახლოებით 80%</w:t>
      </w:r>
      <w:r w:rsidR="002D4971" w:rsidRPr="00D66DA1">
        <w:rPr>
          <w:rFonts w:ascii="Sylfaen" w:hAnsi="Sylfaen"/>
          <w:noProof/>
          <w:sz w:val="24"/>
          <w:szCs w:val="24"/>
          <w:lang w:val="ka-GE"/>
        </w:rPr>
        <w:t>-ს</w:t>
      </w:r>
      <w:r w:rsidRPr="00D66DA1">
        <w:rPr>
          <w:rFonts w:ascii="Sylfaen" w:hAnsi="Sylfaen"/>
          <w:noProof/>
          <w:sz w:val="24"/>
          <w:szCs w:val="24"/>
          <w:lang w:val="ka-GE"/>
        </w:rPr>
        <w:t>.</w:t>
      </w:r>
    </w:p>
    <w:p w14:paraId="115EAC58" w14:textId="287F9EF7" w:rsidR="003E3727" w:rsidRPr="00D66DA1" w:rsidRDefault="003E3727" w:rsidP="003E3727">
      <w:pPr>
        <w:spacing w:after="0" w:line="360" w:lineRule="auto"/>
        <w:ind w:left="-810" w:right="-211"/>
        <w:jc w:val="both"/>
        <w:rPr>
          <w:rFonts w:ascii="Sylfaen" w:hAnsi="Sylfaen"/>
          <w:i/>
          <w:iCs/>
          <w:noProof/>
          <w:sz w:val="24"/>
          <w:szCs w:val="24"/>
          <w:lang w:val="ka-GE"/>
        </w:rPr>
      </w:pPr>
      <w:r w:rsidRPr="00D66DA1">
        <w:rPr>
          <w:rFonts w:ascii="Sylfaen" w:hAnsi="Sylfaen"/>
          <w:i/>
          <w:iCs/>
          <w:noProof/>
          <w:sz w:val="24"/>
          <w:szCs w:val="24"/>
          <w:lang w:val="ka-GE"/>
        </w:rPr>
        <w:t>განაწილება</w:t>
      </w:r>
    </w:p>
    <w:p w14:paraId="1F6DD544" w14:textId="77777777" w:rsidR="003E3727" w:rsidRPr="00D66DA1" w:rsidRDefault="003E3727" w:rsidP="003E3727">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პერორალური მიღების შემდეგ განაწილების აშკარა მოცულობა (Vd,β/F) არის დაახლოებით 12-26 ლ/კგ. ესციტალოპრამის და მისი ძირითადი მეტაბოლიტების დაკავშირება პლაზმის ცილებთან 80%-ზე ნაკლებია.</w:t>
      </w:r>
    </w:p>
    <w:p w14:paraId="083B6EAD" w14:textId="1E618D13" w:rsidR="003E3727" w:rsidRPr="00D66DA1" w:rsidRDefault="003E3727" w:rsidP="003E3727">
      <w:pPr>
        <w:spacing w:after="0" w:line="360" w:lineRule="auto"/>
        <w:ind w:left="-810" w:right="-211"/>
        <w:jc w:val="both"/>
        <w:rPr>
          <w:rFonts w:ascii="Sylfaen" w:hAnsi="Sylfaen"/>
          <w:noProof/>
          <w:sz w:val="24"/>
          <w:szCs w:val="24"/>
          <w:lang w:val="ka-GE"/>
        </w:rPr>
      </w:pPr>
      <w:r w:rsidRPr="00D66DA1">
        <w:rPr>
          <w:rFonts w:ascii="Sylfaen" w:hAnsi="Sylfaen" w:cs="Sylfaen"/>
          <w:i/>
          <w:iCs/>
          <w:noProof/>
          <w:sz w:val="24"/>
          <w:szCs w:val="24"/>
          <w:lang w:val="ka-GE"/>
        </w:rPr>
        <w:t>ბიოტრანსფორმაცია</w:t>
      </w:r>
    </w:p>
    <w:p w14:paraId="4AF49C5C" w14:textId="16946EF8" w:rsidR="00CE0CB0" w:rsidRPr="00D66DA1" w:rsidRDefault="003E3727" w:rsidP="008313FC">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 xml:space="preserve">ესციტალოპრამი მეტაბოლიზდება ღვიძლში დემეთილირებულ და დიდემეთილირებულ მეტაბოლიტებად. ორივე მათგანი ფარმაკოლოგიურად აქტიურია. ალტერნატიულად, შეიძლება მოხდეს აზოტის ოქსიდირება N-ოქსიდის მეტაბოლიტის წარმოქმნით. როგორც ძირითადი ნივთიერება, ასევე მეტაბოლიტები ნაწილობრივ გამოიყოფა ორგანიზმიდან გლუკურონიდების სახით. მრავალჯერადი დოზების მიღების შემდეგ დემეთილისა და დიდემეთილის მეტაბოლიტების საშუალო კონცენტრაციები ჩვეულებრივ შეადგენს ესციტალოპრამის კონცენტრაციის 28-31% და &lt;5%-ს, შესაბამისად. ესციტალოპრამის ბიოტრანსფორმაცია დემეთილირებულ მეტაბოლიტად უპირატესად განპირობებულია </w:t>
      </w:r>
      <w:r w:rsidR="00FC7268" w:rsidRPr="00D66DA1">
        <w:rPr>
          <w:rFonts w:ascii="Sylfaen" w:hAnsi="Sylfaen"/>
          <w:noProof/>
          <w:sz w:val="24"/>
          <w:szCs w:val="24"/>
          <w:lang w:val="ka-GE"/>
        </w:rPr>
        <w:t>CYP2C19</w:t>
      </w:r>
      <w:r w:rsidRPr="00D66DA1">
        <w:rPr>
          <w:rFonts w:ascii="Sylfaen" w:hAnsi="Sylfaen"/>
          <w:noProof/>
          <w:sz w:val="24"/>
          <w:szCs w:val="24"/>
          <w:lang w:val="ka-GE"/>
        </w:rPr>
        <w:t xml:space="preserve">-ით. შესაძლებელია </w:t>
      </w:r>
      <w:r w:rsidR="00FC7268" w:rsidRPr="00D66DA1">
        <w:rPr>
          <w:rFonts w:ascii="Sylfaen" w:hAnsi="Sylfaen"/>
          <w:noProof/>
          <w:sz w:val="24"/>
          <w:szCs w:val="24"/>
          <w:lang w:val="ka-GE"/>
        </w:rPr>
        <w:t xml:space="preserve">CYP3A4 და CYP2D6 </w:t>
      </w:r>
      <w:r w:rsidRPr="00D66DA1">
        <w:rPr>
          <w:rFonts w:ascii="Sylfaen" w:hAnsi="Sylfaen"/>
          <w:noProof/>
          <w:sz w:val="24"/>
          <w:szCs w:val="24"/>
          <w:lang w:val="ka-GE"/>
        </w:rPr>
        <w:t>ფერმენტების მონაწილეობაც.</w:t>
      </w:r>
    </w:p>
    <w:p w14:paraId="44787731" w14:textId="6B7109EA" w:rsidR="00FC7268" w:rsidRPr="00D66DA1" w:rsidRDefault="00FC7268" w:rsidP="00FC7268">
      <w:pPr>
        <w:spacing w:after="0" w:line="360" w:lineRule="auto"/>
        <w:ind w:left="-810" w:right="-211"/>
        <w:jc w:val="both"/>
        <w:rPr>
          <w:rFonts w:ascii="Sylfaen" w:hAnsi="Sylfaen"/>
          <w:i/>
          <w:iCs/>
          <w:noProof/>
          <w:sz w:val="24"/>
          <w:szCs w:val="24"/>
          <w:lang w:val="ka-GE"/>
        </w:rPr>
      </w:pPr>
      <w:r w:rsidRPr="00D66DA1">
        <w:rPr>
          <w:rFonts w:ascii="Sylfaen" w:hAnsi="Sylfaen"/>
          <w:i/>
          <w:iCs/>
          <w:noProof/>
          <w:sz w:val="24"/>
          <w:szCs w:val="24"/>
          <w:lang w:val="ka-GE"/>
        </w:rPr>
        <w:t>ელიმინაცია</w:t>
      </w:r>
    </w:p>
    <w:p w14:paraId="5771E5DA" w14:textId="2889CB0C" w:rsidR="00FC7268" w:rsidRPr="00D66DA1" w:rsidRDefault="00FC7268" w:rsidP="00FC7268">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 xml:space="preserve">მრავალჯერადი დოზების მიღების შემდეგ ნახევარგამოყოფის პერიოდი </w:t>
      </w:r>
      <w:r w:rsidR="00207236" w:rsidRPr="00D66DA1">
        <w:rPr>
          <w:rFonts w:ascii="Sylfaen" w:hAnsi="Sylfaen"/>
          <w:noProof/>
          <w:sz w:val="24"/>
          <w:szCs w:val="24"/>
          <w:lang w:val="ka-GE"/>
        </w:rPr>
        <w:t xml:space="preserve">(t½ β) </w:t>
      </w:r>
      <w:r w:rsidRPr="00D66DA1">
        <w:rPr>
          <w:rFonts w:ascii="Sylfaen" w:hAnsi="Sylfaen"/>
          <w:noProof/>
          <w:sz w:val="24"/>
          <w:szCs w:val="24"/>
          <w:lang w:val="ka-GE"/>
        </w:rPr>
        <w:t xml:space="preserve">არის დაახლოებით 30 საათი, ხოლო პერორალური პლაზმური კლირენსი </w:t>
      </w:r>
      <w:r w:rsidR="00207236" w:rsidRPr="00D66DA1">
        <w:rPr>
          <w:rFonts w:ascii="Sylfaen" w:hAnsi="Sylfaen"/>
          <w:noProof/>
          <w:sz w:val="24"/>
          <w:szCs w:val="24"/>
          <w:lang w:val="ka-GE"/>
        </w:rPr>
        <w:t>(Cloral)</w:t>
      </w:r>
      <w:r w:rsidRPr="00D66DA1">
        <w:rPr>
          <w:rFonts w:ascii="Sylfaen" w:hAnsi="Sylfaen"/>
          <w:noProof/>
          <w:sz w:val="24"/>
          <w:szCs w:val="24"/>
          <w:lang w:val="ka-GE"/>
        </w:rPr>
        <w:t xml:space="preserve"> – დაახლოებით 0.6 ლ/წთ. ძირითადი მეტაბოლიტების ნახევარგამოყოფის პერიოდი მნიშვნელოვნად უფრო ხანგრძლივია.</w:t>
      </w:r>
    </w:p>
    <w:p w14:paraId="493F4CB3" w14:textId="3BE1B5FA" w:rsidR="008F01AB" w:rsidRPr="00D66DA1" w:rsidRDefault="008F01AB" w:rsidP="00FC7268">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 xml:space="preserve">ესციტალოპრამი და მისი ძირითადი მეტაბოლიტები სავარაუდოდ </w:t>
      </w:r>
      <w:r w:rsidRPr="00D66DA1">
        <w:rPr>
          <w:rFonts w:ascii="Sylfaen" w:hAnsi="Sylfaen" w:cs="Sylfaen"/>
          <w:noProof/>
          <w:sz w:val="24"/>
          <w:szCs w:val="24"/>
          <w:lang w:val="ka-GE"/>
        </w:rPr>
        <w:t xml:space="preserve">გამოიყოფა </w:t>
      </w:r>
      <w:r w:rsidRPr="00D66DA1">
        <w:rPr>
          <w:rFonts w:ascii="Sylfaen" w:hAnsi="Sylfaen"/>
          <w:noProof/>
          <w:sz w:val="24"/>
          <w:szCs w:val="24"/>
          <w:lang w:val="ka-GE"/>
        </w:rPr>
        <w:t xml:space="preserve">ღვიძლის (მეტაბოლური) და თირკმლების </w:t>
      </w:r>
      <w:r w:rsidRPr="00D66DA1">
        <w:rPr>
          <w:rFonts w:ascii="Sylfaen" w:hAnsi="Sylfaen" w:cs="Sylfaen"/>
          <w:noProof/>
          <w:sz w:val="24"/>
          <w:szCs w:val="24"/>
          <w:lang w:val="ka-GE"/>
        </w:rPr>
        <w:t>საშუალებით</w:t>
      </w:r>
      <w:r w:rsidRPr="00D66DA1">
        <w:rPr>
          <w:rFonts w:ascii="Sylfaen" w:hAnsi="Sylfaen"/>
          <w:noProof/>
          <w:sz w:val="24"/>
          <w:szCs w:val="24"/>
          <w:lang w:val="ka-GE"/>
        </w:rPr>
        <w:t>, დოზის ძირითადი ნაწილი ექსკრეტირდება მეტაბოლიტების სახით შარდით.</w:t>
      </w:r>
    </w:p>
    <w:p w14:paraId="38222BF2" w14:textId="75538CAD" w:rsidR="00C43BB7" w:rsidRPr="00D66DA1" w:rsidRDefault="008F01AB" w:rsidP="00C43BB7">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ფარმაკოკინეტიკა ხაზოვანია.  წონასწორული პლაზმური კონცენტრაცია მი</w:t>
      </w:r>
      <w:r w:rsidR="00FC576F" w:rsidRPr="00D66DA1">
        <w:rPr>
          <w:rFonts w:ascii="Sylfaen" w:hAnsi="Sylfaen"/>
          <w:noProof/>
          <w:sz w:val="24"/>
          <w:szCs w:val="24"/>
          <w:lang w:val="ka-GE"/>
        </w:rPr>
        <w:t>ი</w:t>
      </w:r>
      <w:r w:rsidRPr="00D66DA1">
        <w:rPr>
          <w:rFonts w:ascii="Sylfaen" w:hAnsi="Sylfaen"/>
          <w:noProof/>
          <w:sz w:val="24"/>
          <w:szCs w:val="24"/>
          <w:lang w:val="ka-GE"/>
        </w:rPr>
        <w:t>ღწევა დაახლოებით 1 კვირაში. 50 ნმოლ/ლ საშუალო წონასწორული კონცენტრაციები  (20-125 ნმოლ/ლ) მიიღწევა სადღეღამისო 10 მგ დოზის მიღებისას.</w:t>
      </w:r>
    </w:p>
    <w:p w14:paraId="46D365AA" w14:textId="31F5A75B" w:rsidR="00C43BB7" w:rsidRPr="00D66DA1" w:rsidRDefault="00C43BB7" w:rsidP="00C43BB7">
      <w:pPr>
        <w:spacing w:after="0" w:line="360" w:lineRule="auto"/>
        <w:ind w:left="-810" w:right="-211"/>
        <w:jc w:val="both"/>
        <w:rPr>
          <w:rFonts w:ascii="Sylfaen" w:hAnsi="Sylfaen"/>
          <w:noProof/>
          <w:sz w:val="24"/>
          <w:szCs w:val="24"/>
          <w:lang w:val="ka-GE"/>
        </w:rPr>
      </w:pPr>
      <w:r w:rsidRPr="00D66DA1">
        <w:rPr>
          <w:rFonts w:ascii="Sylfaen" w:hAnsi="Sylfaen" w:cs="Sylfaen"/>
          <w:bCs/>
          <w:i/>
          <w:iCs/>
          <w:noProof/>
          <w:sz w:val="24"/>
          <w:szCs w:val="24"/>
          <w:lang w:val="ka-GE"/>
        </w:rPr>
        <w:t>ხანდაზმული პაციენტები (65 წლის ზემოთ)</w:t>
      </w:r>
    </w:p>
    <w:p w14:paraId="3CF71199" w14:textId="7AAE9E0A" w:rsidR="00CE0CB0" w:rsidRPr="00D66DA1" w:rsidRDefault="00C43BB7" w:rsidP="008313FC">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lastRenderedPageBreak/>
        <w:t>ესციტალოპრამის გამოყოფა უფრო ნელია ხანდაზმულ პაციენტებში, ვიდრე ახალგაზრდებში. სისტემური ზემოქმედება (AUC) დაახლოებით 50%-ით უფრო მაღალია ხანდაზმულებში ახალგაზრდა ჯანმრთელ მოხალისეებთან შედარებით (იხ. პუნქტი 4.2).</w:t>
      </w:r>
    </w:p>
    <w:p w14:paraId="17F1D966" w14:textId="528CD06D" w:rsidR="00C43BB7" w:rsidRPr="00D66DA1" w:rsidRDefault="00C43BB7" w:rsidP="008313FC">
      <w:pPr>
        <w:spacing w:after="0" w:line="360" w:lineRule="auto"/>
        <w:ind w:left="-810" w:right="-211"/>
        <w:jc w:val="both"/>
        <w:rPr>
          <w:rFonts w:ascii="Sylfaen" w:hAnsi="Sylfaen"/>
          <w:i/>
          <w:iCs/>
          <w:noProof/>
          <w:sz w:val="24"/>
          <w:szCs w:val="24"/>
          <w:lang w:val="ka-GE"/>
        </w:rPr>
      </w:pPr>
      <w:r w:rsidRPr="00D66DA1">
        <w:rPr>
          <w:rFonts w:ascii="Sylfaen" w:hAnsi="Sylfaen"/>
          <w:i/>
          <w:iCs/>
          <w:noProof/>
          <w:sz w:val="24"/>
          <w:szCs w:val="24"/>
          <w:lang w:val="ka-GE"/>
        </w:rPr>
        <w:t>ღვიძლის ფუნქციის დარღვევა</w:t>
      </w:r>
    </w:p>
    <w:p w14:paraId="7F24CFB1" w14:textId="2AA69CBD" w:rsidR="00C43BB7" w:rsidRPr="00D66DA1" w:rsidRDefault="00C43BB7" w:rsidP="008313FC">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ღვიძლის ფუნქციის მსუბუქი და საშუალო სიმძიმის დარღვევების (Child-Pugh Criteria A და B) მქონე პაციენტებში ესციტალოპრამის ნახევარგამოყოფის პერიოდი დაახლოებით ორჯერ მეტი იყო, ხოლო ზემოქმედება - დაახლოებით 60%-ით უფრო მაღალი, ღვიძლის ნორმალური ფუნქციის მქონე სუბიექტებთან შედარებით (იხ. პუნქტი 4.2).</w:t>
      </w:r>
    </w:p>
    <w:p w14:paraId="2B6AF7CC" w14:textId="0FB2A8B5" w:rsidR="00C43BB7" w:rsidRPr="00D66DA1" w:rsidRDefault="00C43BB7" w:rsidP="00C43BB7">
      <w:pPr>
        <w:spacing w:after="0" w:line="360" w:lineRule="auto"/>
        <w:ind w:left="-810" w:right="-211"/>
        <w:jc w:val="both"/>
        <w:rPr>
          <w:rFonts w:ascii="Sylfaen" w:hAnsi="Sylfaen"/>
          <w:i/>
          <w:iCs/>
          <w:noProof/>
          <w:sz w:val="24"/>
          <w:szCs w:val="24"/>
          <w:lang w:val="ka-GE"/>
        </w:rPr>
      </w:pPr>
      <w:r w:rsidRPr="00D66DA1">
        <w:rPr>
          <w:rFonts w:ascii="Sylfaen" w:hAnsi="Sylfaen"/>
          <w:i/>
          <w:iCs/>
          <w:noProof/>
          <w:sz w:val="24"/>
          <w:szCs w:val="24"/>
          <w:lang w:val="ka-GE"/>
        </w:rPr>
        <w:t>თირკმლის ფუნქციის დარღვევა</w:t>
      </w:r>
    </w:p>
    <w:p w14:paraId="54D7D919" w14:textId="2148D02C" w:rsidR="00C43BB7" w:rsidRPr="00D66DA1" w:rsidRDefault="00C43BB7" w:rsidP="008313FC">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რაცემიული ციტალოპრამის შემთხვევაში, თირკმლის ფუნქციის დარღვევის მქონე პაციენტებში დაფიქსირდა უფრო ხანგრძლივი ნახევარგამოყოფის პერიოდი და ზემოქმედების უმნიშვნელო ზრდა (CLcr 10-53 მლ/წთ). მეტაბოლიტების პლაზმური კონცენტრაციები შესწავლილი არ ყოფილა, თუმცა შეიძლება აღინიშნოს მათი მომატება (იხ. პუნქტი  4.2).</w:t>
      </w:r>
    </w:p>
    <w:p w14:paraId="7F1C2CBF" w14:textId="0B86E781" w:rsidR="0067557C" w:rsidRPr="00D66DA1" w:rsidRDefault="0067557C" w:rsidP="008313FC">
      <w:pPr>
        <w:spacing w:after="0" w:line="360" w:lineRule="auto"/>
        <w:ind w:left="-810" w:right="-211"/>
        <w:jc w:val="both"/>
        <w:rPr>
          <w:rFonts w:ascii="Sylfaen" w:hAnsi="Sylfaen"/>
          <w:i/>
          <w:iCs/>
          <w:noProof/>
          <w:sz w:val="24"/>
          <w:szCs w:val="24"/>
          <w:lang w:val="ka-GE"/>
        </w:rPr>
      </w:pPr>
      <w:r w:rsidRPr="00D66DA1">
        <w:rPr>
          <w:rFonts w:ascii="Sylfaen" w:hAnsi="Sylfaen"/>
          <w:i/>
          <w:iCs/>
          <w:noProof/>
          <w:sz w:val="24"/>
          <w:szCs w:val="24"/>
          <w:lang w:val="ka-GE"/>
        </w:rPr>
        <w:t>პოლიმორფიზმი</w:t>
      </w:r>
    </w:p>
    <w:p w14:paraId="12B41D56" w14:textId="77777777" w:rsidR="00C76361" w:rsidRPr="00D66DA1" w:rsidRDefault="00C76361" w:rsidP="00C76361">
      <w:pPr>
        <w:spacing w:after="0" w:line="360" w:lineRule="auto"/>
        <w:ind w:left="-810" w:right="-211"/>
        <w:jc w:val="both"/>
        <w:rPr>
          <w:rFonts w:ascii="Sylfaen" w:hAnsi="Sylfaen"/>
          <w:noProof/>
          <w:sz w:val="24"/>
          <w:szCs w:val="24"/>
          <w:lang w:val="ka-GE"/>
        </w:rPr>
      </w:pPr>
      <w:r w:rsidRPr="00D66DA1">
        <w:rPr>
          <w:rFonts w:ascii="Sylfaen" w:hAnsi="Sylfaen"/>
          <w:noProof/>
          <w:sz w:val="24"/>
          <w:szCs w:val="24"/>
          <w:lang w:val="ka-GE"/>
        </w:rPr>
        <w:t>CYP2C19-ის სუსტი მეტაბოლიზატორების შემთხვევაში ესციტალოპრამის პლაზმური კონცენტრაცია ორჯერ მეტია, ძლიერ მეტაბოლიზატორებთან შედარებით. CYP2D6-ის სუსტ მეტაბოლიზატორებში ზემოქმედების მნიშვნელოვანი ცვლილებები არ გამოვლენილა (იხ. პუნქტი 4.2).</w:t>
      </w:r>
    </w:p>
    <w:p w14:paraId="42DE7085" w14:textId="54FBA326" w:rsidR="00D95163" w:rsidRPr="00D66DA1" w:rsidRDefault="00D95163" w:rsidP="00C76361">
      <w:pPr>
        <w:pStyle w:val="ListParagraph"/>
        <w:numPr>
          <w:ilvl w:val="1"/>
          <w:numId w:val="11"/>
        </w:numPr>
        <w:spacing w:after="0" w:line="360" w:lineRule="auto"/>
        <w:ind w:right="-211"/>
        <w:jc w:val="both"/>
        <w:rPr>
          <w:rFonts w:ascii="Sylfaen" w:hAnsi="Sylfaen"/>
          <w:noProof/>
          <w:sz w:val="24"/>
          <w:szCs w:val="24"/>
          <w:lang w:val="ka-GE"/>
        </w:rPr>
      </w:pPr>
      <w:r w:rsidRPr="00D66DA1">
        <w:rPr>
          <w:rFonts w:ascii="Sylfaen" w:hAnsi="Sylfaen" w:cs="Sylfaen"/>
          <w:b/>
          <w:noProof/>
          <w:sz w:val="24"/>
          <w:szCs w:val="24"/>
          <w:lang w:val="ka-GE"/>
        </w:rPr>
        <w:t>პრეკლინიკური უსაფრთხოების მონაცემები</w:t>
      </w:r>
    </w:p>
    <w:p w14:paraId="5CF21D79" w14:textId="09EE4FD5" w:rsidR="001A78A4" w:rsidRPr="00D66DA1" w:rsidRDefault="006D05DE" w:rsidP="00280B65">
      <w:pPr>
        <w:spacing w:after="0" w:line="360" w:lineRule="auto"/>
        <w:ind w:left="-810" w:right="-211"/>
        <w:jc w:val="both"/>
        <w:rPr>
          <w:rFonts w:ascii="Sylfaen" w:hAnsi="Sylfaen" w:cs="Sylfaen"/>
          <w:noProof/>
          <w:sz w:val="24"/>
          <w:szCs w:val="24"/>
          <w:lang w:val="ka-GE"/>
        </w:rPr>
      </w:pPr>
      <w:r w:rsidRPr="00D66DA1">
        <w:rPr>
          <w:rFonts w:ascii="Sylfaen" w:hAnsi="Sylfaen" w:cs="Sylfaen"/>
          <w:noProof/>
          <w:sz w:val="24"/>
          <w:szCs w:val="24"/>
          <w:lang w:val="ka-GE"/>
        </w:rPr>
        <w:t>ესციტალოპრამთან დაკავშირებით სრული ტრადიციული პრეკლინიკური კვლევები არ ჩატარებულა, ვინაიდან ესციტალოპრამისა და ციტალოპრამის გამოყენებით ვირთაგვებში ჩატარებულმა ტოქსიკოკინეტიკურმა და ტოქსიკოლოგიურმა კვლევებმა აჩვენა მსგავსი შედეგები. ამრიგად, ციტალოპრამის შესახებ ყველა ინფორმაცია შეიძლება ექსტრაპოლირებულ იქნეს ესციტალოპრამთან მიმართებით.</w:t>
      </w:r>
    </w:p>
    <w:p w14:paraId="167949C4" w14:textId="01E5A1DB" w:rsidR="006D05DE" w:rsidRPr="00D66DA1" w:rsidRDefault="00CD2E54" w:rsidP="00D82C74">
      <w:pPr>
        <w:spacing w:after="0" w:line="360" w:lineRule="auto"/>
        <w:ind w:left="-810" w:right="-211"/>
        <w:jc w:val="both"/>
        <w:rPr>
          <w:rFonts w:ascii="Sylfaen" w:hAnsi="Sylfaen" w:cs="Sylfaen"/>
          <w:noProof/>
          <w:sz w:val="24"/>
          <w:szCs w:val="24"/>
          <w:lang w:val="ka-GE"/>
        </w:rPr>
      </w:pPr>
      <w:r w:rsidRPr="00D66DA1">
        <w:rPr>
          <w:rFonts w:ascii="Sylfaen" w:hAnsi="Sylfaen" w:cs="Sylfaen"/>
          <w:noProof/>
          <w:sz w:val="24"/>
          <w:szCs w:val="24"/>
          <w:lang w:val="ka-GE"/>
        </w:rPr>
        <w:t xml:space="preserve">ვირთაგვებში ჩატარებულ შედარებით ტოქსიკოლოგიურ კვლევებში, ესციტალოპრამმა და ციტალოპრამმა გამოიწვია </w:t>
      </w:r>
      <w:r w:rsidR="0040720C" w:rsidRPr="00D66DA1">
        <w:rPr>
          <w:rFonts w:ascii="Sylfaen" w:hAnsi="Sylfaen" w:cs="Sylfaen"/>
          <w:noProof/>
          <w:sz w:val="24"/>
          <w:szCs w:val="24"/>
          <w:lang w:val="ka-GE"/>
        </w:rPr>
        <w:t>კარდიოტოქსიკურობა</w:t>
      </w:r>
      <w:r w:rsidRPr="00D66DA1">
        <w:rPr>
          <w:rFonts w:ascii="Sylfaen" w:hAnsi="Sylfaen" w:cs="Sylfaen"/>
          <w:noProof/>
          <w:sz w:val="24"/>
          <w:szCs w:val="24"/>
          <w:lang w:val="ka-GE"/>
        </w:rPr>
        <w:t xml:space="preserve">, მათ შორის გულის შეგუბებითი უკმარისობა, რამდენიმე კვირიანი მკურნალობის შემდეგ, ზოგადი ტოქსიკურობის გამომწვევი დოზების გამოყენებისას. კარდიოტოქსიკურობა, როგორც ჩანს, კორელაციაშია პიკურ პლაზმურ კონცენტრაციებთან, და არა სისტემურ </w:t>
      </w:r>
      <w:r w:rsidR="0040720C" w:rsidRPr="00D66DA1">
        <w:rPr>
          <w:rFonts w:ascii="Sylfaen" w:hAnsi="Sylfaen" w:cs="Sylfaen"/>
          <w:noProof/>
          <w:sz w:val="24"/>
          <w:szCs w:val="24"/>
          <w:lang w:val="ka-GE"/>
        </w:rPr>
        <w:t>ზემოქმედებასთან</w:t>
      </w:r>
      <w:r w:rsidRPr="00D66DA1">
        <w:rPr>
          <w:rFonts w:ascii="Sylfaen" w:hAnsi="Sylfaen" w:cs="Sylfaen"/>
          <w:noProof/>
          <w:sz w:val="24"/>
          <w:szCs w:val="24"/>
          <w:lang w:val="ka-GE"/>
        </w:rPr>
        <w:t xml:space="preserve"> (AUC). პიკური პლაზმური კონცენტრაციები ეფექტების არარსებობისას იყო ჭარბი (8-ჯერ), ვიდრე მიიღწეოდა კლინიკური </w:t>
      </w:r>
      <w:r w:rsidRPr="00D66DA1">
        <w:rPr>
          <w:rFonts w:ascii="Sylfaen" w:hAnsi="Sylfaen" w:cs="Sylfaen"/>
          <w:noProof/>
          <w:sz w:val="24"/>
          <w:szCs w:val="24"/>
          <w:lang w:val="ka-GE"/>
        </w:rPr>
        <w:lastRenderedPageBreak/>
        <w:t xml:space="preserve">გამოყენებისას, ხოლო ესციტალოპრამის AUC იყო მხოლოდ 3-4-ჯერ უფრო მაღალი ვიდრე კლინიკური გამოყენებისას მიღწეული </w:t>
      </w:r>
      <w:r w:rsidR="0040720C" w:rsidRPr="00D66DA1">
        <w:rPr>
          <w:rFonts w:ascii="Sylfaen" w:hAnsi="Sylfaen" w:cs="Sylfaen"/>
          <w:noProof/>
          <w:sz w:val="24"/>
          <w:szCs w:val="24"/>
          <w:lang w:val="ka-GE"/>
        </w:rPr>
        <w:t>ზემოქმედება</w:t>
      </w:r>
      <w:r w:rsidRPr="00D66DA1">
        <w:rPr>
          <w:rFonts w:ascii="Sylfaen" w:hAnsi="Sylfaen" w:cs="Sylfaen"/>
          <w:noProof/>
          <w:sz w:val="24"/>
          <w:szCs w:val="24"/>
          <w:lang w:val="ka-GE"/>
        </w:rPr>
        <w:t>.</w:t>
      </w:r>
      <w:r w:rsidR="00D82C74" w:rsidRPr="00D66DA1">
        <w:rPr>
          <w:rFonts w:ascii="Sylfaen" w:hAnsi="Sylfaen" w:cs="Sylfaen"/>
          <w:noProof/>
          <w:sz w:val="24"/>
          <w:szCs w:val="24"/>
          <w:lang w:val="ka-GE"/>
        </w:rPr>
        <w:t xml:space="preserve"> ციტალოპრამის S-ენანტიომერის AUC მნიშვნელობები იყო 6-7-ჯერ უფრო მაღალი</w:t>
      </w:r>
      <w:r w:rsidR="0040720C" w:rsidRPr="00D66DA1">
        <w:rPr>
          <w:rFonts w:ascii="Sylfaen" w:hAnsi="Sylfaen" w:cs="Sylfaen"/>
          <w:noProof/>
          <w:sz w:val="24"/>
          <w:szCs w:val="24"/>
          <w:lang w:val="ka-GE"/>
        </w:rPr>
        <w:t xml:space="preserve"> </w:t>
      </w:r>
      <w:r w:rsidR="00D82C74" w:rsidRPr="00D66DA1">
        <w:rPr>
          <w:rFonts w:ascii="Sylfaen" w:hAnsi="Sylfaen" w:cs="Sylfaen"/>
          <w:noProof/>
          <w:sz w:val="24"/>
          <w:szCs w:val="24"/>
          <w:lang w:val="ka-GE"/>
        </w:rPr>
        <w:t>კლინიკური გამოყენებისას მიღწეულ</w:t>
      </w:r>
      <w:r w:rsidR="0040720C" w:rsidRPr="00D66DA1">
        <w:rPr>
          <w:rFonts w:ascii="Sylfaen" w:hAnsi="Sylfaen" w:cs="Sylfaen"/>
          <w:noProof/>
          <w:sz w:val="24"/>
          <w:szCs w:val="24"/>
          <w:lang w:val="ka-GE"/>
        </w:rPr>
        <w:t>თან შედარებით</w:t>
      </w:r>
      <w:r w:rsidR="00D82C74" w:rsidRPr="00D66DA1">
        <w:rPr>
          <w:rFonts w:ascii="Sylfaen" w:hAnsi="Sylfaen" w:cs="Sylfaen"/>
          <w:noProof/>
          <w:sz w:val="24"/>
          <w:szCs w:val="24"/>
          <w:lang w:val="ka-GE"/>
        </w:rPr>
        <w:t>. მიღებული შედეგები სავარაუდოდ დაკავშირებულია ბიოგენურ ამინებზე გადაჭარბებულ ზემოქმედებასთან, ანუ მეორადია პირველადი ფარმაკოლოგიური ეფექტების მიმართ, რაც იწვევს ჰემოდინამიკურ ეფექტებს (კორონარული ნაკადის შემცირება) და იშემიას. თუმცა, ვირთაგვებში კარდიოტოქსიკურობის ზუსტი მექანიზმი გაურკვეველია. ციტალოპრამის გამოყენების კლინიკური გამოცდილება და ესციტალოპრამის კლინიკური კვლევების გამოცდილება არ მიუთითებს ამ აღმოჩენების კლინიკურ კორელაციაზე.</w:t>
      </w:r>
    </w:p>
    <w:p w14:paraId="47488C09" w14:textId="6D5FF9FC" w:rsidR="00424485" w:rsidRPr="00D66DA1" w:rsidRDefault="00424485" w:rsidP="00424485">
      <w:pPr>
        <w:spacing w:after="0" w:line="360" w:lineRule="auto"/>
        <w:ind w:left="-810" w:right="-211"/>
        <w:jc w:val="both"/>
        <w:rPr>
          <w:rFonts w:ascii="Sylfaen" w:hAnsi="Sylfaen" w:cs="Sylfaen"/>
          <w:noProof/>
          <w:sz w:val="24"/>
          <w:szCs w:val="24"/>
          <w:lang w:val="ka-GE"/>
        </w:rPr>
      </w:pPr>
      <w:r w:rsidRPr="00D66DA1">
        <w:rPr>
          <w:rFonts w:ascii="Sylfaen" w:hAnsi="Sylfaen" w:cs="Sylfaen"/>
          <w:noProof/>
          <w:sz w:val="24"/>
          <w:szCs w:val="24"/>
          <w:lang w:val="ka-GE"/>
        </w:rPr>
        <w:t>ვირთაგვებში ესციტალოპრამითა და ციტალოპრამით ხანგრძლივი მკურნალობის შემდეგ ფოსფოლიპიდების მომატებული შემცველობა დაფიქსირდა ზოგიერთ ქსოვილში, მაგ., ფილტვებში, ეპიდიდიმისსა და ღვიძლში. ეპიდიდიმისსა და ღვიძლში განვითარებული მოვლენები მსგავსია ადამიანებში დაფიქსირებული შედეგებისა. ეფექტი შექცევადია მკურნალობის შეწყვეტის შემდეგ. ცხოველებში ფოსფოლიპიდების აკუმულაცია (ფოსფოლიპიდოზი) დაფიქსირდა ბევრ კათიონურ ამფიფილურ მედიკამენტთან დაკავშირებით. უცნობია</w:t>
      </w:r>
      <w:r w:rsidR="0040720C" w:rsidRPr="00D66DA1">
        <w:rPr>
          <w:rFonts w:ascii="Sylfaen" w:hAnsi="Sylfaen" w:cs="Sylfaen"/>
          <w:noProof/>
          <w:sz w:val="24"/>
          <w:szCs w:val="24"/>
          <w:lang w:val="ka-GE"/>
        </w:rPr>
        <w:t xml:space="preserve"> რამდენად</w:t>
      </w:r>
      <w:r w:rsidRPr="00D66DA1">
        <w:rPr>
          <w:rFonts w:ascii="Sylfaen" w:hAnsi="Sylfaen" w:cs="Sylfaen"/>
          <w:noProof/>
          <w:sz w:val="24"/>
          <w:szCs w:val="24"/>
          <w:lang w:val="ka-GE"/>
        </w:rPr>
        <w:t xml:space="preserve"> მნიშვნელოვანია ეს მოვლენა ადამიანის</w:t>
      </w:r>
      <w:r w:rsidR="0040720C" w:rsidRPr="00D66DA1">
        <w:rPr>
          <w:rFonts w:ascii="Sylfaen" w:hAnsi="Sylfaen" w:cs="Sylfaen"/>
          <w:noProof/>
          <w:sz w:val="24"/>
          <w:szCs w:val="24"/>
          <w:lang w:val="ka-GE"/>
        </w:rPr>
        <w:t xml:space="preserve"> შემთხვევაში</w:t>
      </w:r>
      <w:r w:rsidRPr="00D66DA1">
        <w:rPr>
          <w:rFonts w:ascii="Sylfaen" w:hAnsi="Sylfaen" w:cs="Sylfaen"/>
          <w:noProof/>
          <w:sz w:val="24"/>
          <w:szCs w:val="24"/>
          <w:lang w:val="ka-GE"/>
        </w:rPr>
        <w:t>.</w:t>
      </w:r>
    </w:p>
    <w:p w14:paraId="1ECC207D" w14:textId="341353E8" w:rsidR="000551F5" w:rsidRPr="00D66DA1" w:rsidRDefault="000551F5" w:rsidP="000551F5">
      <w:pPr>
        <w:spacing w:after="0" w:line="360" w:lineRule="auto"/>
        <w:ind w:left="-810" w:right="-211"/>
        <w:jc w:val="both"/>
        <w:rPr>
          <w:rFonts w:ascii="Sylfaen" w:hAnsi="Sylfaen" w:cs="Sylfaen"/>
          <w:noProof/>
          <w:sz w:val="24"/>
          <w:szCs w:val="24"/>
          <w:lang w:val="ka-GE"/>
        </w:rPr>
      </w:pPr>
      <w:r w:rsidRPr="00D66DA1">
        <w:rPr>
          <w:rFonts w:ascii="Sylfaen" w:hAnsi="Sylfaen" w:cs="Sylfaen"/>
          <w:noProof/>
          <w:sz w:val="24"/>
          <w:szCs w:val="24"/>
          <w:lang w:val="ka-GE"/>
        </w:rPr>
        <w:t>ვირთაგვებში ტოქსიკურობის განვითარების კვლევების დროს, ემბრიოტოქსიკური ეფექტები (ნაყოფის დაბალი წონა და ოსიფიკაციის შექცევადი შეფერხება) დაფიქსირდა თერაპიული დოზების გადაჭარბებისას (AUC-ისგათვალისწინებით). მალფორმაციების შემთხვევების ზრდა არ დაფიქსირებულა. პრე– და პოსტნატალურმა კვლევამ აჩვენა გადარჩენის შემცირება ლაქტაციის პერიოდში ექსპოზიციების დროს AUC-ის გათვალისწინებით, რომელიც აღემატება კლინიკური გამოყენებისას მიღწეულ ექსპოზიციას.</w:t>
      </w:r>
    </w:p>
    <w:p w14:paraId="6486AAE5" w14:textId="772442DB" w:rsidR="000551F5" w:rsidRPr="00D66DA1" w:rsidRDefault="000551F5" w:rsidP="000551F5">
      <w:pPr>
        <w:spacing w:after="0" w:line="360" w:lineRule="auto"/>
        <w:ind w:left="-810" w:right="-211"/>
        <w:jc w:val="both"/>
        <w:rPr>
          <w:rFonts w:ascii="Sylfaen" w:hAnsi="Sylfaen" w:cs="Sylfaen"/>
          <w:noProof/>
          <w:sz w:val="24"/>
          <w:szCs w:val="24"/>
          <w:lang w:val="ka-GE"/>
        </w:rPr>
      </w:pPr>
      <w:r w:rsidRPr="00D66DA1">
        <w:rPr>
          <w:rFonts w:ascii="Sylfaen" w:hAnsi="Sylfaen" w:cs="Sylfaen"/>
          <w:noProof/>
          <w:sz w:val="24"/>
          <w:szCs w:val="24"/>
          <w:lang w:val="ka-GE"/>
        </w:rPr>
        <w:t>ცხოველების მონაცემებმა აჩვენა, რომ ციტალოპრამი იწვევს ფერტილობის ინდექსისა და ორსულობის ინდექსის შემცირებას და პათოლოგიური სპერმატოზოიდების რაოდენობის და იმპლანტაციების შემცირებას ადამიანის ზემოქმედებაზე მნიშვნელოვნად მაღალი ექსპოზიციის დროს.</w:t>
      </w:r>
    </w:p>
    <w:p w14:paraId="58941381" w14:textId="77777777" w:rsidR="000551F5" w:rsidRPr="00D66DA1" w:rsidRDefault="000551F5" w:rsidP="000551F5">
      <w:pPr>
        <w:spacing w:after="0" w:line="360" w:lineRule="auto"/>
        <w:ind w:left="-810" w:right="-211"/>
        <w:jc w:val="both"/>
        <w:rPr>
          <w:rFonts w:ascii="Sylfaen" w:hAnsi="Sylfaen" w:cs="Sylfaen"/>
          <w:noProof/>
          <w:sz w:val="24"/>
          <w:szCs w:val="24"/>
          <w:lang w:val="ka-GE"/>
        </w:rPr>
      </w:pPr>
      <w:r w:rsidRPr="00D66DA1">
        <w:rPr>
          <w:rFonts w:ascii="Sylfaen" w:hAnsi="Sylfaen" w:cs="Sylfaen"/>
          <w:noProof/>
          <w:sz w:val="24"/>
          <w:szCs w:val="24"/>
          <w:lang w:val="ka-GE"/>
        </w:rPr>
        <w:t>ესციტალოპრამთან დაკავშირებით ცხოველთა მონაცემები ამ მდგომარეობასთან მიმართებაში არ არის ხელმისაწვდომი.</w:t>
      </w:r>
    </w:p>
    <w:p w14:paraId="78610D3B" w14:textId="77777777" w:rsidR="000551F5" w:rsidRPr="00D66DA1" w:rsidRDefault="000551F5" w:rsidP="000551F5">
      <w:pPr>
        <w:pStyle w:val="ListParagraph"/>
        <w:numPr>
          <w:ilvl w:val="0"/>
          <w:numId w:val="11"/>
        </w:numPr>
        <w:spacing w:after="0" w:line="360" w:lineRule="auto"/>
        <w:ind w:right="-211"/>
        <w:jc w:val="both"/>
        <w:rPr>
          <w:rFonts w:ascii="Sylfaen" w:hAnsi="Sylfaen" w:cs="Sylfaen"/>
          <w:noProof/>
          <w:sz w:val="24"/>
          <w:szCs w:val="24"/>
          <w:lang w:val="ka-GE"/>
        </w:rPr>
      </w:pPr>
      <w:r w:rsidRPr="00D66DA1">
        <w:rPr>
          <w:rFonts w:ascii="Sylfaen" w:hAnsi="Sylfaen" w:cs="Sylfaen"/>
          <w:b/>
          <w:noProof/>
          <w:sz w:val="24"/>
          <w:szCs w:val="24"/>
          <w:lang w:val="ka-GE"/>
        </w:rPr>
        <w:t>ფარმაცევტული მონაცემები</w:t>
      </w:r>
    </w:p>
    <w:p w14:paraId="6250A724" w14:textId="77777777" w:rsidR="005F33A1" w:rsidRPr="00D66DA1" w:rsidRDefault="000551F5" w:rsidP="005F33A1">
      <w:pPr>
        <w:pStyle w:val="ListParagraph"/>
        <w:numPr>
          <w:ilvl w:val="1"/>
          <w:numId w:val="11"/>
        </w:numPr>
        <w:spacing w:after="0" w:line="360" w:lineRule="auto"/>
        <w:ind w:right="-211"/>
        <w:jc w:val="both"/>
        <w:rPr>
          <w:rFonts w:ascii="Sylfaen" w:hAnsi="Sylfaen" w:cs="Sylfaen"/>
          <w:noProof/>
          <w:sz w:val="24"/>
          <w:szCs w:val="24"/>
          <w:lang w:val="ka-GE"/>
        </w:rPr>
      </w:pPr>
      <w:r w:rsidRPr="00D66DA1">
        <w:rPr>
          <w:rFonts w:ascii="Sylfaen" w:hAnsi="Sylfaen" w:cs="Sylfaen"/>
          <w:b/>
          <w:noProof/>
          <w:sz w:val="24"/>
          <w:szCs w:val="24"/>
          <w:lang w:val="ka-GE"/>
        </w:rPr>
        <w:t>შემავსებლების ჩამონათვალი</w:t>
      </w:r>
    </w:p>
    <w:p w14:paraId="21C71B74" w14:textId="77777777" w:rsidR="00DB0CB6" w:rsidRPr="00D66DA1" w:rsidRDefault="005F33A1" w:rsidP="00DB0CB6">
      <w:pPr>
        <w:spacing w:after="0" w:line="360" w:lineRule="auto"/>
        <w:ind w:left="-810" w:right="-211"/>
        <w:jc w:val="both"/>
        <w:rPr>
          <w:rFonts w:ascii="Sylfaen" w:hAnsi="Sylfaen" w:cs="Sylfaen"/>
          <w:i/>
          <w:iCs/>
          <w:noProof/>
          <w:sz w:val="24"/>
          <w:szCs w:val="24"/>
          <w:lang w:val="ka-GE"/>
        </w:rPr>
      </w:pPr>
      <w:r w:rsidRPr="00D66DA1">
        <w:rPr>
          <w:rFonts w:ascii="Sylfaen" w:hAnsi="Sylfaen" w:cs="Sylfaen"/>
          <w:i/>
          <w:iCs/>
          <w:noProof/>
          <w:sz w:val="24"/>
          <w:szCs w:val="24"/>
          <w:lang w:val="ka-GE"/>
        </w:rPr>
        <w:lastRenderedPageBreak/>
        <w:t xml:space="preserve">ტაბლეტის  ბირთვი:  </w:t>
      </w:r>
      <w:r w:rsidRPr="00D66DA1">
        <w:rPr>
          <w:rFonts w:ascii="Sylfaen" w:hAnsi="Sylfaen" w:cs="Sylfaen"/>
          <w:noProof/>
          <w:sz w:val="24"/>
          <w:szCs w:val="24"/>
          <w:lang w:val="ka-GE"/>
        </w:rPr>
        <w:t>მიკროკრისტალური ცელულოზა</w:t>
      </w:r>
      <w:r w:rsidR="00DB0CB6" w:rsidRPr="00D66DA1">
        <w:rPr>
          <w:rFonts w:ascii="Sylfaen" w:hAnsi="Sylfaen" w:cs="Sylfaen"/>
          <w:i/>
          <w:iCs/>
          <w:noProof/>
          <w:sz w:val="24"/>
          <w:szCs w:val="24"/>
          <w:lang w:val="ka-GE"/>
        </w:rPr>
        <w:t xml:space="preserve">, </w:t>
      </w:r>
      <w:r w:rsidRPr="00D66DA1">
        <w:rPr>
          <w:rFonts w:ascii="Sylfaen" w:hAnsi="Sylfaen" w:cs="Sylfaen"/>
          <w:noProof/>
          <w:sz w:val="24"/>
          <w:szCs w:val="24"/>
          <w:lang w:val="ka-GE"/>
        </w:rPr>
        <w:t>კოლოიდური უწყლო სილიციუმი</w:t>
      </w:r>
      <w:r w:rsidR="00DB0CB6" w:rsidRPr="00D66DA1">
        <w:rPr>
          <w:rFonts w:ascii="Sylfaen" w:hAnsi="Sylfaen" w:cs="Sylfaen"/>
          <w:i/>
          <w:iCs/>
          <w:noProof/>
          <w:sz w:val="24"/>
          <w:szCs w:val="24"/>
          <w:lang w:val="ka-GE"/>
        </w:rPr>
        <w:t xml:space="preserve">, </w:t>
      </w:r>
      <w:r w:rsidRPr="00D66DA1">
        <w:rPr>
          <w:rFonts w:ascii="Sylfaen" w:hAnsi="Sylfaen" w:cs="Sylfaen"/>
          <w:noProof/>
          <w:sz w:val="24"/>
          <w:szCs w:val="24"/>
          <w:lang w:val="ka-GE"/>
        </w:rPr>
        <w:t>ნატრიუმის კროსკარმელოზა</w:t>
      </w:r>
      <w:r w:rsidR="00DB0CB6" w:rsidRPr="00D66DA1">
        <w:rPr>
          <w:rFonts w:ascii="Sylfaen" w:hAnsi="Sylfaen" w:cs="Sylfaen"/>
          <w:i/>
          <w:iCs/>
          <w:noProof/>
          <w:sz w:val="24"/>
          <w:szCs w:val="24"/>
          <w:lang w:val="ka-GE"/>
        </w:rPr>
        <w:t xml:space="preserve">, </w:t>
      </w:r>
      <w:r w:rsidRPr="00D66DA1">
        <w:rPr>
          <w:rFonts w:ascii="Sylfaen" w:hAnsi="Sylfaen" w:cs="Sylfaen"/>
          <w:noProof/>
          <w:sz w:val="24"/>
          <w:szCs w:val="24"/>
          <w:lang w:val="ka-GE"/>
        </w:rPr>
        <w:t>ტალკი</w:t>
      </w:r>
      <w:r w:rsidR="00DB0CB6" w:rsidRPr="00D66DA1">
        <w:rPr>
          <w:rFonts w:ascii="Sylfaen" w:hAnsi="Sylfaen" w:cs="Sylfaen"/>
          <w:i/>
          <w:iCs/>
          <w:noProof/>
          <w:sz w:val="24"/>
          <w:szCs w:val="24"/>
          <w:lang w:val="ka-GE"/>
        </w:rPr>
        <w:t xml:space="preserve">, </w:t>
      </w:r>
      <w:r w:rsidRPr="00D66DA1">
        <w:rPr>
          <w:rFonts w:ascii="Sylfaen" w:hAnsi="Sylfaen" w:cs="Sylfaen"/>
          <w:noProof/>
          <w:sz w:val="24"/>
          <w:szCs w:val="24"/>
          <w:lang w:val="ka-GE"/>
        </w:rPr>
        <w:t>მაგნიუმის სტეარატი</w:t>
      </w:r>
    </w:p>
    <w:p w14:paraId="5DFD06E2" w14:textId="4069469F" w:rsidR="005F33A1" w:rsidRPr="00D66DA1" w:rsidRDefault="005F33A1" w:rsidP="00DB0CB6">
      <w:pPr>
        <w:spacing w:after="0" w:line="360" w:lineRule="auto"/>
        <w:ind w:left="-810" w:right="-211"/>
        <w:jc w:val="both"/>
        <w:rPr>
          <w:rFonts w:ascii="Sylfaen" w:hAnsi="Sylfaen" w:cs="Sylfaen"/>
          <w:i/>
          <w:iCs/>
          <w:noProof/>
          <w:sz w:val="24"/>
          <w:szCs w:val="24"/>
          <w:lang w:val="ka-GE"/>
        </w:rPr>
      </w:pPr>
      <w:r w:rsidRPr="00D66DA1">
        <w:rPr>
          <w:rFonts w:ascii="Sylfaen" w:hAnsi="Sylfaen" w:cs="Sylfaen"/>
          <w:i/>
          <w:iCs/>
          <w:noProof/>
          <w:sz w:val="24"/>
          <w:szCs w:val="24"/>
          <w:lang w:val="ka-GE"/>
        </w:rPr>
        <w:t>გარსი:</w:t>
      </w:r>
      <w:r w:rsidRPr="00D66DA1">
        <w:rPr>
          <w:rFonts w:ascii="Sylfaen" w:hAnsi="Sylfaen" w:cs="Sylfaen"/>
          <w:noProof/>
          <w:sz w:val="24"/>
          <w:szCs w:val="24"/>
          <w:lang w:val="ka-GE"/>
        </w:rPr>
        <w:t xml:space="preserve"> ჰიპრომელოზა 6cP</w:t>
      </w:r>
      <w:r w:rsidR="00DB0CB6" w:rsidRPr="00D66DA1">
        <w:rPr>
          <w:rFonts w:ascii="Sylfaen" w:hAnsi="Sylfaen" w:cs="Sylfaen"/>
          <w:noProof/>
          <w:sz w:val="24"/>
          <w:szCs w:val="24"/>
          <w:lang w:val="ka-GE"/>
        </w:rPr>
        <w:t>,</w:t>
      </w:r>
      <w:r w:rsidRPr="00D66DA1">
        <w:rPr>
          <w:rFonts w:ascii="Sylfaen" w:hAnsi="Sylfaen" w:cs="Sylfaen"/>
          <w:noProof/>
          <w:sz w:val="24"/>
          <w:szCs w:val="24"/>
          <w:lang w:val="ka-GE"/>
        </w:rPr>
        <w:t xml:space="preserve"> ტიტანის დიოქსიდი (E 171) მაკროგოლი 6000 </w:t>
      </w:r>
    </w:p>
    <w:p w14:paraId="55C36504" w14:textId="55F74BBD" w:rsidR="00F572FD" w:rsidRPr="00D66DA1" w:rsidRDefault="00F572FD" w:rsidP="0040720C">
      <w:pPr>
        <w:pStyle w:val="ListParagraph"/>
        <w:numPr>
          <w:ilvl w:val="1"/>
          <w:numId w:val="11"/>
        </w:numPr>
        <w:spacing w:after="0" w:line="360" w:lineRule="auto"/>
        <w:ind w:right="-211"/>
        <w:jc w:val="both"/>
        <w:rPr>
          <w:rFonts w:ascii="Sylfaen" w:hAnsi="Sylfaen" w:cs="Sylfaen"/>
          <w:b/>
          <w:noProof/>
          <w:sz w:val="24"/>
          <w:szCs w:val="24"/>
          <w:lang w:val="ka-GE"/>
        </w:rPr>
      </w:pPr>
      <w:r w:rsidRPr="00D66DA1">
        <w:rPr>
          <w:rFonts w:ascii="Sylfaen" w:hAnsi="Sylfaen" w:cs="Sylfaen"/>
          <w:b/>
          <w:noProof/>
          <w:sz w:val="24"/>
          <w:szCs w:val="24"/>
          <w:lang w:val="ka-GE"/>
        </w:rPr>
        <w:t>შეუთავსებლობა</w:t>
      </w:r>
      <w:r w:rsidR="0040720C" w:rsidRPr="00D66DA1">
        <w:rPr>
          <w:rFonts w:ascii="Sylfaen" w:hAnsi="Sylfaen" w:cs="Sylfaen"/>
          <w:b/>
          <w:noProof/>
          <w:sz w:val="24"/>
          <w:szCs w:val="24"/>
          <w:lang w:val="ka-GE"/>
        </w:rPr>
        <w:t xml:space="preserve">   </w:t>
      </w:r>
      <w:r w:rsidRPr="00D66DA1">
        <w:rPr>
          <w:rFonts w:ascii="Sylfaen" w:hAnsi="Sylfaen" w:cs="Sylfaen"/>
          <w:noProof/>
          <w:sz w:val="24"/>
          <w:szCs w:val="24"/>
          <w:lang w:val="ka-GE"/>
        </w:rPr>
        <w:t>არ გამოიყენება</w:t>
      </w:r>
    </w:p>
    <w:p w14:paraId="7D5E3E88" w14:textId="77777777" w:rsidR="00F572FD" w:rsidRPr="00D66DA1" w:rsidRDefault="00F572FD" w:rsidP="00F572FD">
      <w:pPr>
        <w:pStyle w:val="ListParagraph"/>
        <w:numPr>
          <w:ilvl w:val="1"/>
          <w:numId w:val="11"/>
        </w:numPr>
        <w:spacing w:after="0" w:line="360" w:lineRule="auto"/>
        <w:ind w:right="-211"/>
        <w:jc w:val="both"/>
        <w:rPr>
          <w:rFonts w:ascii="Sylfaen" w:hAnsi="Sylfaen" w:cs="Sylfaen"/>
          <w:b/>
          <w:noProof/>
          <w:sz w:val="24"/>
          <w:szCs w:val="24"/>
          <w:lang w:val="ka-GE"/>
        </w:rPr>
      </w:pPr>
      <w:r w:rsidRPr="00D66DA1">
        <w:rPr>
          <w:rFonts w:ascii="Sylfaen" w:hAnsi="Sylfaen" w:cs="Sylfaen"/>
          <w:b/>
          <w:noProof/>
          <w:sz w:val="24"/>
          <w:szCs w:val="24"/>
          <w:lang w:val="ka-GE"/>
        </w:rPr>
        <w:t>ვარგისიანობის ვადა</w:t>
      </w:r>
    </w:p>
    <w:p w14:paraId="17B9AD57" w14:textId="77777777" w:rsidR="00F572FD" w:rsidRPr="00D66DA1" w:rsidRDefault="00F572FD" w:rsidP="00F572FD">
      <w:pPr>
        <w:spacing w:after="0" w:line="360" w:lineRule="auto"/>
        <w:ind w:left="-810" w:right="-211"/>
        <w:jc w:val="both"/>
        <w:rPr>
          <w:rFonts w:ascii="Sylfaen" w:hAnsi="Sylfaen" w:cs="Sylfaen"/>
          <w:noProof/>
          <w:sz w:val="24"/>
          <w:szCs w:val="24"/>
          <w:lang w:val="ka-GE"/>
        </w:rPr>
      </w:pPr>
      <w:r w:rsidRPr="00D66DA1">
        <w:rPr>
          <w:rFonts w:ascii="Sylfaen" w:hAnsi="Sylfaen" w:cs="Sylfaen"/>
          <w:noProof/>
          <w:sz w:val="24"/>
          <w:szCs w:val="24"/>
          <w:lang w:val="ka-GE"/>
        </w:rPr>
        <w:t>PVC/PVDC/ალუმინის ბლისტერი: 3 წელი</w:t>
      </w:r>
    </w:p>
    <w:p w14:paraId="7BC128B4" w14:textId="77777777" w:rsidR="00F572FD" w:rsidRPr="00D66DA1" w:rsidRDefault="00F572FD" w:rsidP="00F572FD">
      <w:pPr>
        <w:pStyle w:val="ListParagraph"/>
        <w:numPr>
          <w:ilvl w:val="1"/>
          <w:numId w:val="11"/>
        </w:numPr>
        <w:spacing w:after="0" w:line="360" w:lineRule="auto"/>
        <w:ind w:right="-211"/>
        <w:jc w:val="both"/>
        <w:rPr>
          <w:rFonts w:ascii="Sylfaen" w:hAnsi="Sylfaen" w:cs="Sylfaen"/>
          <w:b/>
          <w:noProof/>
          <w:sz w:val="24"/>
          <w:szCs w:val="24"/>
          <w:lang w:val="ka-GE"/>
        </w:rPr>
      </w:pPr>
      <w:r w:rsidRPr="00D66DA1">
        <w:rPr>
          <w:rFonts w:ascii="Sylfaen" w:hAnsi="Sylfaen" w:cs="Sylfaen"/>
          <w:b/>
          <w:noProof/>
          <w:sz w:val="24"/>
          <w:szCs w:val="24"/>
          <w:lang w:val="ka-GE"/>
        </w:rPr>
        <w:t xml:space="preserve">შენახვის  განსაკუთრებული პირობები </w:t>
      </w:r>
    </w:p>
    <w:p w14:paraId="7FA51FA5" w14:textId="3F113060" w:rsidR="00F572FD" w:rsidRPr="00D66DA1" w:rsidRDefault="00F572FD" w:rsidP="00F572FD">
      <w:pPr>
        <w:spacing w:after="0" w:line="360" w:lineRule="auto"/>
        <w:ind w:left="-810" w:right="-211"/>
        <w:jc w:val="both"/>
        <w:rPr>
          <w:rFonts w:ascii="Sylfaen" w:hAnsi="Sylfaen" w:cs="Sylfaen"/>
          <w:b/>
          <w:noProof/>
          <w:sz w:val="24"/>
          <w:szCs w:val="24"/>
          <w:lang w:val="ka-GE"/>
        </w:rPr>
      </w:pPr>
      <w:r w:rsidRPr="00D66DA1">
        <w:rPr>
          <w:rFonts w:ascii="Sylfaen" w:hAnsi="Sylfaen" w:cs="Sylfaen"/>
          <w:noProof/>
          <w:sz w:val="24"/>
          <w:szCs w:val="24"/>
          <w:lang w:val="ka-GE"/>
        </w:rPr>
        <w:t xml:space="preserve">PVC/PVDC/ალუმინის ბლისტერი: </w:t>
      </w:r>
      <w:r w:rsidRPr="00D66DA1">
        <w:rPr>
          <w:rFonts w:ascii="Sylfaen" w:hAnsi="Sylfaen"/>
          <w:bCs/>
          <w:noProof/>
          <w:sz w:val="24"/>
          <w:szCs w:val="24"/>
          <w:lang w:val="ka-GE"/>
        </w:rPr>
        <w:t xml:space="preserve">ინახება არაუმეტეს </w:t>
      </w:r>
      <w:r w:rsidR="004C2CFE" w:rsidRPr="00D66DA1">
        <w:rPr>
          <w:rFonts w:ascii="Sylfaen" w:hAnsi="Sylfaen"/>
          <w:noProof/>
          <w:sz w:val="24"/>
          <w:szCs w:val="24"/>
          <w:lang w:val="ka-GE"/>
        </w:rPr>
        <w:t>30</w:t>
      </w:r>
      <w:r w:rsidRPr="00D66DA1">
        <w:rPr>
          <w:rFonts w:ascii="Sylfaen" w:hAnsi="Sylfaen"/>
          <w:noProof/>
          <w:sz w:val="24"/>
          <w:szCs w:val="24"/>
          <w:vertAlign w:val="superscript"/>
          <w:lang w:val="ka-GE"/>
        </w:rPr>
        <w:t>0</w:t>
      </w:r>
      <w:r w:rsidRPr="00D66DA1">
        <w:rPr>
          <w:rFonts w:ascii="Sylfaen" w:hAnsi="Sylfaen"/>
          <w:noProof/>
          <w:sz w:val="24"/>
          <w:szCs w:val="24"/>
          <w:lang w:val="ka-GE"/>
        </w:rPr>
        <w:t>C ტემპერატურაზე.</w:t>
      </w:r>
    </w:p>
    <w:p w14:paraId="259C768B" w14:textId="77777777" w:rsidR="00F572FD" w:rsidRPr="00D66DA1" w:rsidRDefault="00F572FD" w:rsidP="00F572FD">
      <w:pPr>
        <w:pStyle w:val="ListParagraph"/>
        <w:numPr>
          <w:ilvl w:val="1"/>
          <w:numId w:val="11"/>
        </w:numPr>
        <w:spacing w:after="0" w:line="360" w:lineRule="auto"/>
        <w:ind w:right="-211"/>
        <w:jc w:val="both"/>
        <w:rPr>
          <w:rFonts w:ascii="Sylfaen" w:hAnsi="Sylfaen" w:cs="Sylfaen"/>
          <w:b/>
          <w:noProof/>
          <w:sz w:val="24"/>
          <w:szCs w:val="24"/>
          <w:lang w:val="ka-GE"/>
        </w:rPr>
      </w:pPr>
      <w:r w:rsidRPr="00D66DA1">
        <w:rPr>
          <w:rFonts w:ascii="Sylfaen" w:hAnsi="Sylfaen" w:cs="Sylfaen"/>
          <w:b/>
          <w:noProof/>
          <w:sz w:val="24"/>
          <w:szCs w:val="24"/>
          <w:lang w:val="ka-GE"/>
        </w:rPr>
        <w:t>შეფუთვა</w:t>
      </w:r>
    </w:p>
    <w:p w14:paraId="63417BD2" w14:textId="4B00C72C" w:rsidR="00F572FD" w:rsidRPr="00D66DA1" w:rsidRDefault="00F572FD" w:rsidP="00F572FD">
      <w:pPr>
        <w:spacing w:after="0" w:line="360" w:lineRule="auto"/>
        <w:ind w:left="-810" w:right="-211"/>
        <w:jc w:val="both"/>
        <w:rPr>
          <w:rFonts w:ascii="Sylfaen" w:hAnsi="Sylfaen" w:cs="Sylfaen"/>
          <w:noProof/>
          <w:sz w:val="24"/>
          <w:szCs w:val="24"/>
          <w:lang w:val="ka-GE"/>
        </w:rPr>
      </w:pPr>
      <w:r w:rsidRPr="00D66DA1">
        <w:rPr>
          <w:rFonts w:ascii="Sylfaen" w:hAnsi="Sylfaen" w:cs="Sylfaen"/>
          <w:noProof/>
          <w:sz w:val="24"/>
          <w:szCs w:val="24"/>
          <w:lang w:val="ka-GE"/>
        </w:rPr>
        <w:t xml:space="preserve">PVC/PVDC/ალუმინის ბლისტერი: </w:t>
      </w:r>
      <w:r w:rsidR="007E2D93" w:rsidRPr="00D66DA1">
        <w:rPr>
          <w:rFonts w:ascii="Sylfaen" w:hAnsi="Sylfaen" w:cs="Sylfaen"/>
          <w:noProof/>
          <w:sz w:val="24"/>
          <w:szCs w:val="24"/>
          <w:lang w:val="ka-GE"/>
        </w:rPr>
        <w:t xml:space="preserve"> 30  </w:t>
      </w:r>
      <w:r w:rsidRPr="00D66DA1">
        <w:rPr>
          <w:rFonts w:ascii="Sylfaen" w:hAnsi="Sylfaen" w:cs="Sylfaen"/>
          <w:noProof/>
          <w:sz w:val="24"/>
          <w:szCs w:val="24"/>
          <w:lang w:val="ka-GE"/>
        </w:rPr>
        <w:t>ტაბლეტით</w:t>
      </w:r>
      <w:r w:rsidR="007E2D93" w:rsidRPr="00D66DA1">
        <w:rPr>
          <w:rFonts w:ascii="Sylfaen" w:hAnsi="Sylfaen" w:cs="Sylfaen"/>
          <w:noProof/>
          <w:sz w:val="24"/>
          <w:szCs w:val="24"/>
          <w:lang w:val="ka-GE"/>
        </w:rPr>
        <w:t xml:space="preserve"> (10 და </w:t>
      </w:r>
      <w:r w:rsidRPr="00D66DA1">
        <w:rPr>
          <w:rFonts w:ascii="Sylfaen" w:hAnsi="Sylfaen" w:cs="Sylfaen"/>
          <w:noProof/>
          <w:sz w:val="24"/>
          <w:szCs w:val="24"/>
          <w:lang w:val="ka-GE"/>
        </w:rPr>
        <w:t>20 მგ)</w:t>
      </w:r>
    </w:p>
    <w:p w14:paraId="1586EEFB" w14:textId="116E864A" w:rsidR="00F572FD" w:rsidRPr="00D66DA1" w:rsidRDefault="00E663D5" w:rsidP="00F572FD">
      <w:pPr>
        <w:spacing w:after="0" w:line="360" w:lineRule="auto"/>
        <w:ind w:left="-810" w:right="-211"/>
        <w:jc w:val="both"/>
        <w:rPr>
          <w:rFonts w:ascii="Sylfaen" w:hAnsi="Sylfaen" w:cs="Sylfaen"/>
          <w:noProof/>
          <w:sz w:val="24"/>
          <w:szCs w:val="24"/>
          <w:lang w:val="ka-GE"/>
        </w:rPr>
      </w:pPr>
      <w:r w:rsidRPr="00D66DA1">
        <w:rPr>
          <w:rFonts w:ascii="Sylfaen" w:hAnsi="Sylfaen" w:cs="Sylfaen"/>
          <w:noProof/>
          <w:sz w:val="24"/>
          <w:szCs w:val="24"/>
          <w:lang w:val="ka-GE"/>
        </w:rPr>
        <w:t>ყველა ზომის შეფუთვა შეიძლება არ იყოს ხელმისაწვდომი ბაზარზე.</w:t>
      </w:r>
    </w:p>
    <w:p w14:paraId="6C84D651" w14:textId="12309181" w:rsidR="0002147F" w:rsidRPr="00D66DA1" w:rsidRDefault="00E663D5" w:rsidP="0040720C">
      <w:pPr>
        <w:pStyle w:val="ListParagraph"/>
        <w:numPr>
          <w:ilvl w:val="1"/>
          <w:numId w:val="11"/>
        </w:numPr>
        <w:spacing w:after="0" w:line="360" w:lineRule="auto"/>
        <w:ind w:right="-211"/>
        <w:jc w:val="both"/>
        <w:rPr>
          <w:rFonts w:ascii="Sylfaen" w:hAnsi="Sylfaen" w:cs="Sylfaen"/>
          <w:b/>
          <w:noProof/>
          <w:sz w:val="24"/>
          <w:szCs w:val="24"/>
          <w:lang w:val="ka-GE"/>
        </w:rPr>
      </w:pPr>
      <w:r w:rsidRPr="00D66DA1">
        <w:rPr>
          <w:rFonts w:ascii="Sylfaen" w:hAnsi="Sylfaen" w:cs="Sylfaen"/>
          <w:b/>
          <w:noProof/>
          <w:sz w:val="24"/>
          <w:szCs w:val="24"/>
          <w:lang w:val="ka-GE"/>
        </w:rPr>
        <w:t>ნარჩენების განკარგვა</w:t>
      </w:r>
      <w:r w:rsidR="0040720C" w:rsidRPr="00D66DA1">
        <w:rPr>
          <w:rFonts w:ascii="Sylfaen" w:hAnsi="Sylfaen" w:cs="Sylfaen"/>
          <w:b/>
          <w:noProof/>
          <w:sz w:val="24"/>
          <w:szCs w:val="24"/>
          <w:lang w:val="ka-GE"/>
        </w:rPr>
        <w:t xml:space="preserve"> </w:t>
      </w:r>
      <w:r w:rsidRPr="00D66DA1">
        <w:rPr>
          <w:rFonts w:ascii="Sylfaen" w:hAnsi="Sylfaen" w:cs="Sylfaen"/>
          <w:bCs/>
          <w:noProof/>
          <w:sz w:val="24"/>
          <w:szCs w:val="24"/>
          <w:lang w:val="ka-GE"/>
        </w:rPr>
        <w:t>არანაირი განსაკუთრებული მოთხოვნები.</w:t>
      </w:r>
      <w:bookmarkStart w:id="0" w:name="_Hlk122469826"/>
    </w:p>
    <w:p w14:paraId="58BDD845" w14:textId="6E016293" w:rsidR="00E663D5" w:rsidRPr="00D66DA1" w:rsidRDefault="00E663D5" w:rsidP="0002147F">
      <w:pPr>
        <w:pStyle w:val="ListParagraph"/>
        <w:numPr>
          <w:ilvl w:val="0"/>
          <w:numId w:val="11"/>
        </w:numPr>
        <w:spacing w:after="0" w:line="360" w:lineRule="auto"/>
        <w:ind w:right="-211"/>
        <w:jc w:val="both"/>
        <w:rPr>
          <w:rFonts w:ascii="Sylfaen" w:hAnsi="Sylfaen" w:cs="Sylfaen"/>
          <w:bCs/>
          <w:noProof/>
          <w:sz w:val="24"/>
          <w:szCs w:val="24"/>
          <w:lang w:val="ka-GE"/>
        </w:rPr>
      </w:pPr>
      <w:r w:rsidRPr="00D66DA1">
        <w:rPr>
          <w:rFonts w:ascii="Sylfaen" w:hAnsi="Sylfaen" w:cs="Sylfaen"/>
          <w:b/>
          <w:noProof/>
          <w:sz w:val="24"/>
          <w:szCs w:val="24"/>
          <w:lang w:val="ka-GE"/>
        </w:rPr>
        <w:t>სავაჭრო ლიცენზიის მფლობელი</w:t>
      </w:r>
    </w:p>
    <w:p w14:paraId="6E14DD1D" w14:textId="51C75A7B" w:rsidR="00E663D5" w:rsidRPr="00D66DA1" w:rsidRDefault="00E663D5" w:rsidP="00E663D5">
      <w:pPr>
        <w:spacing w:after="0" w:line="360" w:lineRule="auto"/>
        <w:ind w:left="-810" w:right="-211"/>
        <w:jc w:val="both"/>
        <w:rPr>
          <w:rFonts w:ascii="Sylfaen" w:hAnsi="Sylfaen" w:cs="Sylfaen"/>
          <w:b/>
          <w:noProof/>
          <w:sz w:val="24"/>
          <w:szCs w:val="24"/>
          <w:lang w:val="ka-GE"/>
        </w:rPr>
      </w:pPr>
      <w:r w:rsidRPr="00D66DA1">
        <w:rPr>
          <w:rFonts w:ascii="Sylfaen" w:hAnsi="Sylfaen"/>
          <w:noProof/>
          <w:sz w:val="24"/>
          <w:szCs w:val="24"/>
          <w:lang w:val="ka-GE"/>
        </w:rPr>
        <w:t>შპს „ნიუ ფარმ</w:t>
      </w:r>
      <w:r w:rsidR="00CF19A8" w:rsidRPr="00D66DA1">
        <w:rPr>
          <w:rFonts w:ascii="Sylfaen" w:hAnsi="Sylfaen"/>
          <w:noProof/>
          <w:sz w:val="24"/>
          <w:szCs w:val="24"/>
          <w:lang w:val="ka-GE"/>
        </w:rPr>
        <w:t xml:space="preserve"> </w:t>
      </w:r>
      <w:r w:rsidR="00F67130" w:rsidRPr="00D66DA1">
        <w:rPr>
          <w:rFonts w:ascii="Sylfaen" w:hAnsi="Sylfaen"/>
          <w:noProof/>
          <w:sz w:val="24"/>
          <w:szCs w:val="24"/>
          <w:lang w:val="ka-GE"/>
        </w:rPr>
        <w:t>გრუპი</w:t>
      </w:r>
      <w:r w:rsidRPr="00D66DA1">
        <w:rPr>
          <w:rFonts w:ascii="Sylfaen" w:hAnsi="Sylfaen"/>
          <w:noProof/>
          <w:sz w:val="24"/>
          <w:szCs w:val="24"/>
          <w:lang w:val="ka-GE"/>
        </w:rPr>
        <w:t>“</w:t>
      </w:r>
      <w:r w:rsidRPr="00D66DA1">
        <w:rPr>
          <w:rFonts w:ascii="Sylfaen" w:hAnsi="Sylfaen" w:cs="Sylfaen"/>
          <w:b/>
          <w:noProof/>
          <w:sz w:val="24"/>
          <w:szCs w:val="24"/>
          <w:lang w:val="ka-GE"/>
        </w:rPr>
        <w:t xml:space="preserve">, </w:t>
      </w:r>
      <w:r w:rsidRPr="00D66DA1">
        <w:rPr>
          <w:rFonts w:ascii="Sylfaen" w:hAnsi="Sylfaen"/>
          <w:noProof/>
          <w:sz w:val="24"/>
          <w:szCs w:val="24"/>
          <w:lang w:val="ka-GE"/>
        </w:rPr>
        <w:t>საქართველო, თბილისი,  01</w:t>
      </w:r>
      <w:r w:rsidR="00CF19A8" w:rsidRPr="00D66DA1">
        <w:rPr>
          <w:rFonts w:ascii="Sylfaen" w:hAnsi="Sylfaen"/>
          <w:noProof/>
          <w:sz w:val="24"/>
          <w:szCs w:val="24"/>
          <w:lang w:val="ka-GE"/>
        </w:rPr>
        <w:t>19</w:t>
      </w:r>
      <w:r w:rsidRPr="00D66DA1">
        <w:rPr>
          <w:rFonts w:ascii="Sylfaen" w:hAnsi="Sylfaen"/>
          <w:noProof/>
          <w:sz w:val="24"/>
          <w:szCs w:val="24"/>
          <w:lang w:val="ka-GE"/>
        </w:rPr>
        <w:t>, იროდიონ ევდოშვილის ქ. #18</w:t>
      </w:r>
    </w:p>
    <w:bookmarkEnd w:id="0"/>
    <w:p w14:paraId="3E80AA62" w14:textId="77777777" w:rsidR="001E1EE4" w:rsidRPr="00D66DA1" w:rsidRDefault="00E663D5" w:rsidP="001E1EE4">
      <w:pPr>
        <w:pStyle w:val="ListParagraph"/>
        <w:numPr>
          <w:ilvl w:val="0"/>
          <w:numId w:val="11"/>
        </w:numPr>
        <w:spacing w:after="0" w:line="360" w:lineRule="auto"/>
        <w:ind w:right="-211"/>
        <w:jc w:val="both"/>
        <w:rPr>
          <w:rFonts w:ascii="Sylfaen" w:hAnsi="Sylfaen" w:cs="Sylfaen"/>
          <w:b/>
          <w:noProof/>
          <w:sz w:val="24"/>
          <w:szCs w:val="24"/>
          <w:lang w:val="ka-GE"/>
        </w:rPr>
      </w:pPr>
      <w:r w:rsidRPr="00D66DA1">
        <w:rPr>
          <w:rFonts w:ascii="Sylfaen" w:hAnsi="Sylfaen" w:cs="Sylfaen"/>
          <w:b/>
          <w:noProof/>
          <w:sz w:val="24"/>
          <w:szCs w:val="24"/>
          <w:lang w:val="ka-GE"/>
        </w:rPr>
        <w:t>სავაჭრო ლიცენზიის ნომერი</w:t>
      </w:r>
    </w:p>
    <w:p w14:paraId="723D3A63" w14:textId="77777777" w:rsidR="001E1EE4" w:rsidRPr="00D66DA1" w:rsidRDefault="0002147F" w:rsidP="001E1EE4">
      <w:pPr>
        <w:pStyle w:val="ListParagraph"/>
        <w:numPr>
          <w:ilvl w:val="0"/>
          <w:numId w:val="11"/>
        </w:numPr>
        <w:spacing w:after="0" w:line="360" w:lineRule="auto"/>
        <w:ind w:right="-211"/>
        <w:jc w:val="both"/>
        <w:rPr>
          <w:rFonts w:ascii="Sylfaen" w:hAnsi="Sylfaen" w:cs="Sylfaen"/>
          <w:b/>
          <w:noProof/>
          <w:sz w:val="24"/>
          <w:szCs w:val="24"/>
          <w:lang w:val="ka-GE"/>
        </w:rPr>
      </w:pPr>
      <w:r w:rsidRPr="00D66DA1">
        <w:rPr>
          <w:rFonts w:ascii="Sylfaen" w:hAnsi="Sylfaen" w:cs="Sylfaen"/>
          <w:b/>
          <w:noProof/>
          <w:sz w:val="24"/>
          <w:szCs w:val="24"/>
          <w:lang w:val="ka-GE"/>
        </w:rPr>
        <w:t>პირველი ავტორიზაციის/ავტორიზაციის განახლების თარიღი</w:t>
      </w:r>
      <w:r w:rsidR="001E1EE4" w:rsidRPr="00D66DA1">
        <w:rPr>
          <w:rFonts w:ascii="Sylfaen" w:hAnsi="Sylfaen" w:cs="Sylfaen"/>
          <w:b/>
          <w:noProof/>
          <w:sz w:val="24"/>
          <w:szCs w:val="24"/>
          <w:lang w:val="ka-GE"/>
        </w:rPr>
        <w:t xml:space="preserve">  </w:t>
      </w:r>
    </w:p>
    <w:p w14:paraId="530A9CDF" w14:textId="67EFB69B" w:rsidR="0002147F" w:rsidRPr="00D66DA1" w:rsidRDefault="001E1EE4" w:rsidP="001E1EE4">
      <w:pPr>
        <w:pStyle w:val="ListParagraph"/>
        <w:spacing w:after="0" w:line="360" w:lineRule="auto"/>
        <w:ind w:left="-450" w:right="-211"/>
        <w:jc w:val="both"/>
        <w:rPr>
          <w:rFonts w:ascii="Sylfaen" w:hAnsi="Sylfaen" w:cs="Sylfaen"/>
          <w:b/>
          <w:noProof/>
          <w:sz w:val="24"/>
          <w:szCs w:val="24"/>
          <w:lang w:val="ka-GE"/>
        </w:rPr>
      </w:pPr>
      <w:r w:rsidRPr="00D66DA1">
        <w:rPr>
          <w:rFonts w:ascii="Sylfaen" w:hAnsi="Sylfaen" w:cs="Sylfaen"/>
          <w:noProof/>
          <w:sz w:val="24"/>
          <w:szCs w:val="24"/>
          <w:lang w:val="ka-GE"/>
        </w:rPr>
        <w:t xml:space="preserve"> 09/07/2020</w:t>
      </w:r>
    </w:p>
    <w:p w14:paraId="770DD724" w14:textId="26998B34" w:rsidR="00D82C74" w:rsidRPr="00D66DA1" w:rsidRDefault="00E663D5" w:rsidP="00A63C20">
      <w:pPr>
        <w:pStyle w:val="ListParagraph"/>
        <w:numPr>
          <w:ilvl w:val="0"/>
          <w:numId w:val="11"/>
        </w:numPr>
        <w:spacing w:after="0" w:line="360" w:lineRule="auto"/>
        <w:ind w:right="-211"/>
        <w:jc w:val="both"/>
        <w:rPr>
          <w:rFonts w:ascii="Sylfaen" w:hAnsi="Sylfaen" w:cs="Sylfaen"/>
          <w:b/>
          <w:noProof/>
          <w:sz w:val="24"/>
          <w:szCs w:val="24"/>
          <w:lang w:val="ka-GE"/>
        </w:rPr>
      </w:pPr>
      <w:r w:rsidRPr="00D66DA1">
        <w:rPr>
          <w:rFonts w:ascii="Sylfaen" w:hAnsi="Sylfaen" w:cs="Sylfaen"/>
          <w:b/>
          <w:noProof/>
          <w:sz w:val="24"/>
          <w:szCs w:val="24"/>
          <w:lang w:val="ka-GE"/>
        </w:rPr>
        <w:t xml:space="preserve">ტექსტის გადახედვის თარიღი: </w:t>
      </w:r>
      <w:r w:rsidR="007F67A4" w:rsidRPr="00D66DA1">
        <w:rPr>
          <w:rFonts w:ascii="Sylfaen" w:hAnsi="Sylfaen" w:cs="Sylfaen"/>
          <w:noProof/>
          <w:sz w:val="24"/>
          <w:szCs w:val="24"/>
          <w:lang w:val="ka-GE"/>
        </w:rPr>
        <w:t>09/2023</w:t>
      </w:r>
    </w:p>
    <w:p w14:paraId="0478C6A8" w14:textId="77777777" w:rsidR="005821C5" w:rsidRPr="00D66DA1" w:rsidRDefault="005821C5" w:rsidP="005821C5">
      <w:pPr>
        <w:pStyle w:val="ListParagraph"/>
        <w:spacing w:before="120" w:after="120" w:line="240" w:lineRule="auto"/>
        <w:ind w:left="-450"/>
        <w:jc w:val="both"/>
        <w:rPr>
          <w:rFonts w:ascii="Sylfaen" w:eastAsia="SimSun" w:hAnsi="Sylfaen"/>
          <w:b/>
          <w:bCs/>
          <w:noProof/>
          <w:lang w:val="ka-GE"/>
        </w:rPr>
      </w:pPr>
    </w:p>
    <w:p w14:paraId="29542A6A" w14:textId="12E55EF6" w:rsidR="005821C5" w:rsidRPr="00D66DA1" w:rsidRDefault="005821C5" w:rsidP="005821C5">
      <w:pPr>
        <w:pStyle w:val="ListParagraph"/>
        <w:spacing w:before="120" w:after="120" w:line="240" w:lineRule="auto"/>
        <w:ind w:left="-450"/>
        <w:jc w:val="both"/>
        <w:rPr>
          <w:rFonts w:ascii="Sylfaen" w:eastAsia="SimSun" w:hAnsi="Sylfaen"/>
          <w:b/>
          <w:bCs/>
          <w:noProof/>
          <w:lang w:val="ka-GE"/>
        </w:rPr>
      </w:pPr>
      <w:r w:rsidRPr="00D66DA1">
        <w:rPr>
          <w:rFonts w:ascii="Sylfaen" w:eastAsia="SimSun" w:hAnsi="Sylfaen"/>
          <w:b/>
          <w:bCs/>
          <w:noProof/>
          <w:lang w:val="ka-GE"/>
        </w:rPr>
        <w:t>გაცემის წესი:</w:t>
      </w:r>
    </w:p>
    <w:p w14:paraId="1CEBFFD9" w14:textId="77777777" w:rsidR="005821C5" w:rsidRPr="00D66DA1" w:rsidRDefault="005821C5" w:rsidP="005821C5">
      <w:pPr>
        <w:pStyle w:val="ListParagraph"/>
        <w:spacing w:before="120" w:after="120" w:line="240" w:lineRule="auto"/>
        <w:ind w:left="-450"/>
        <w:jc w:val="both"/>
        <w:rPr>
          <w:rFonts w:ascii="Sylfaen" w:eastAsia="SimSun" w:hAnsi="Sylfaen"/>
          <w:b/>
          <w:bCs/>
          <w:noProof/>
          <w:lang w:val="ka-GE"/>
        </w:rPr>
      </w:pPr>
      <w:r w:rsidRPr="00D66DA1">
        <w:rPr>
          <w:rFonts w:ascii="Sylfaen" w:eastAsia="SimSun" w:hAnsi="Sylfaen"/>
          <w:b/>
          <w:bCs/>
          <w:noProof/>
          <w:lang w:val="ka-GE"/>
        </w:rPr>
        <w:t xml:space="preserve">ფარმაცევტული პროდუქტის ჯგუფი </w:t>
      </w:r>
      <w:r w:rsidRPr="00D66DA1">
        <w:rPr>
          <w:rFonts w:ascii="Sylfaen" w:hAnsi="Sylfaen"/>
          <w:b/>
          <w:noProof/>
          <w:lang w:val="ka-GE"/>
        </w:rPr>
        <w:t xml:space="preserve">II, </w:t>
      </w:r>
      <w:r w:rsidRPr="00D66DA1">
        <w:rPr>
          <w:rFonts w:ascii="Sylfaen" w:hAnsi="Sylfaen" w:cs="Sylfaen"/>
          <w:b/>
          <w:noProof/>
          <w:lang w:val="ka-GE"/>
        </w:rPr>
        <w:t>გაიცემა</w:t>
      </w:r>
      <w:r w:rsidRPr="00D66DA1">
        <w:rPr>
          <w:rFonts w:ascii="Sylfaen" w:hAnsi="Sylfaen"/>
          <w:b/>
          <w:noProof/>
          <w:lang w:val="ka-GE"/>
        </w:rPr>
        <w:t xml:space="preserve"> </w:t>
      </w:r>
      <w:r w:rsidRPr="00D66DA1">
        <w:rPr>
          <w:rFonts w:ascii="Sylfaen" w:hAnsi="Sylfaen" w:cs="Sylfaen"/>
          <w:b/>
          <w:noProof/>
          <w:lang w:val="ka-GE"/>
        </w:rPr>
        <w:t>ფორმა</w:t>
      </w:r>
      <w:r w:rsidRPr="00D66DA1">
        <w:rPr>
          <w:rFonts w:ascii="Sylfaen" w:hAnsi="Sylfaen"/>
          <w:b/>
          <w:noProof/>
          <w:lang w:val="ka-GE"/>
        </w:rPr>
        <w:t xml:space="preserve"> №3 </w:t>
      </w:r>
      <w:r w:rsidRPr="00D66DA1">
        <w:rPr>
          <w:rFonts w:ascii="Sylfaen" w:hAnsi="Sylfaen" w:cs="Sylfaen"/>
          <w:b/>
          <w:noProof/>
          <w:lang w:val="ka-GE"/>
        </w:rPr>
        <w:t>რეცეპტით</w:t>
      </w:r>
    </w:p>
    <w:p w14:paraId="380754B6" w14:textId="77777777" w:rsidR="00B6612F" w:rsidRPr="00D66DA1" w:rsidRDefault="00B6612F" w:rsidP="00A63C20">
      <w:pPr>
        <w:spacing w:after="0" w:line="360" w:lineRule="auto"/>
        <w:ind w:right="-301"/>
        <w:jc w:val="both"/>
        <w:rPr>
          <w:rFonts w:ascii="Sylfaen" w:hAnsi="Sylfaen" w:cs="Sylfaen"/>
          <w:noProof/>
          <w:sz w:val="24"/>
          <w:szCs w:val="24"/>
          <w:lang w:val="ka-GE"/>
        </w:rPr>
      </w:pPr>
    </w:p>
    <w:sectPr w:rsidR="00B6612F" w:rsidRPr="00D66DA1" w:rsidSect="0040720C">
      <w:footerReference w:type="default" r:id="rId8"/>
      <w:pgSz w:w="12240" w:h="15840"/>
      <w:pgMar w:top="360" w:right="850" w:bottom="5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27C3A" w14:textId="77777777" w:rsidR="00B53A65" w:rsidRDefault="00B53A65" w:rsidP="005821C5">
      <w:pPr>
        <w:spacing w:after="0" w:line="240" w:lineRule="auto"/>
      </w:pPr>
      <w:r>
        <w:separator/>
      </w:r>
    </w:p>
  </w:endnote>
  <w:endnote w:type="continuationSeparator" w:id="0">
    <w:p w14:paraId="2477CC89" w14:textId="77777777" w:rsidR="00B53A65" w:rsidRDefault="00B53A65" w:rsidP="00582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2835882"/>
      <w:docPartObj>
        <w:docPartGallery w:val="Page Numbers (Bottom of Page)"/>
        <w:docPartUnique/>
      </w:docPartObj>
    </w:sdtPr>
    <w:sdtEndPr>
      <w:rPr>
        <w:noProof/>
      </w:rPr>
    </w:sdtEndPr>
    <w:sdtContent>
      <w:p w14:paraId="5FE7B5DE" w14:textId="6CB666D8" w:rsidR="005821C5" w:rsidRDefault="005821C5">
        <w:pPr>
          <w:pStyle w:val="Footer"/>
          <w:jc w:val="center"/>
        </w:pPr>
        <w:r>
          <w:fldChar w:fldCharType="begin"/>
        </w:r>
        <w:r>
          <w:instrText xml:space="preserve"> PAGE   \* MERGEFORMAT </w:instrText>
        </w:r>
        <w:r>
          <w:fldChar w:fldCharType="separate"/>
        </w:r>
        <w:r w:rsidR="004C2CFE">
          <w:rPr>
            <w:noProof/>
          </w:rPr>
          <w:t>22</w:t>
        </w:r>
        <w:r>
          <w:rPr>
            <w:noProof/>
          </w:rPr>
          <w:fldChar w:fldCharType="end"/>
        </w:r>
      </w:p>
    </w:sdtContent>
  </w:sdt>
  <w:p w14:paraId="46A0A095" w14:textId="77777777" w:rsidR="005821C5" w:rsidRDefault="005821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00849" w14:textId="77777777" w:rsidR="00B53A65" w:rsidRDefault="00B53A65" w:rsidP="005821C5">
      <w:pPr>
        <w:spacing w:after="0" w:line="240" w:lineRule="auto"/>
      </w:pPr>
      <w:r>
        <w:separator/>
      </w:r>
    </w:p>
  </w:footnote>
  <w:footnote w:type="continuationSeparator" w:id="0">
    <w:p w14:paraId="2B8DD02A" w14:textId="77777777" w:rsidR="00B53A65" w:rsidRDefault="00B53A65" w:rsidP="005821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B6607"/>
    <w:multiLevelType w:val="multilevel"/>
    <w:tmpl w:val="CF4C21CA"/>
    <w:lvl w:ilvl="0">
      <w:start w:val="1"/>
      <w:numFmt w:val="decimal"/>
      <w:lvlText w:val="%1."/>
      <w:lvlJc w:val="left"/>
      <w:pPr>
        <w:ind w:left="-207" w:hanging="360"/>
      </w:pPr>
      <w:rPr>
        <w:rFonts w:hint="default"/>
      </w:rPr>
    </w:lvl>
    <w:lvl w:ilvl="1">
      <w:start w:val="1"/>
      <w:numFmt w:val="decimal"/>
      <w:isLgl/>
      <w:lvlText w:val="%1.%2."/>
      <w:lvlJc w:val="left"/>
      <w:pPr>
        <w:ind w:left="-162" w:hanging="405"/>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153" w:hanging="72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873" w:hanging="144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1233" w:hanging="1800"/>
      </w:pPr>
      <w:rPr>
        <w:rFonts w:hint="default"/>
      </w:rPr>
    </w:lvl>
    <w:lvl w:ilvl="8">
      <w:start w:val="1"/>
      <w:numFmt w:val="decimal"/>
      <w:isLgl/>
      <w:lvlText w:val="%1.%2.%3.%4.%5.%6.%7.%8.%9."/>
      <w:lvlJc w:val="left"/>
      <w:pPr>
        <w:ind w:left="1233" w:hanging="1800"/>
      </w:pPr>
      <w:rPr>
        <w:rFonts w:hint="default"/>
      </w:rPr>
    </w:lvl>
  </w:abstractNum>
  <w:abstractNum w:abstractNumId="1" w15:restartNumberingAfterBreak="0">
    <w:nsid w:val="09C62B4A"/>
    <w:multiLevelType w:val="hybridMultilevel"/>
    <w:tmpl w:val="AE100D04"/>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 w15:restartNumberingAfterBreak="0">
    <w:nsid w:val="09F52B22"/>
    <w:multiLevelType w:val="hybridMultilevel"/>
    <w:tmpl w:val="E08C0FC4"/>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3" w15:restartNumberingAfterBreak="0">
    <w:nsid w:val="0A3B3867"/>
    <w:multiLevelType w:val="hybridMultilevel"/>
    <w:tmpl w:val="360E1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6D429A"/>
    <w:multiLevelType w:val="hybridMultilevel"/>
    <w:tmpl w:val="A56CCF6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5" w15:restartNumberingAfterBreak="0">
    <w:nsid w:val="11AB0D01"/>
    <w:multiLevelType w:val="hybridMultilevel"/>
    <w:tmpl w:val="462EE26E"/>
    <w:lvl w:ilvl="0" w:tplc="DBE0E198">
      <w:start w:val="24"/>
      <w:numFmt w:val="decimal"/>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6" w15:restartNumberingAfterBreak="0">
    <w:nsid w:val="130A219C"/>
    <w:multiLevelType w:val="hybridMultilevel"/>
    <w:tmpl w:val="22C2C49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7" w15:restartNumberingAfterBreak="0">
    <w:nsid w:val="15CB4BA9"/>
    <w:multiLevelType w:val="hybridMultilevel"/>
    <w:tmpl w:val="ABDC9DD4"/>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8" w15:restartNumberingAfterBreak="0">
    <w:nsid w:val="1F6C283F"/>
    <w:multiLevelType w:val="hybridMultilevel"/>
    <w:tmpl w:val="818EBAEA"/>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9" w15:restartNumberingAfterBreak="0">
    <w:nsid w:val="21C119F4"/>
    <w:multiLevelType w:val="hybridMultilevel"/>
    <w:tmpl w:val="0840F310"/>
    <w:lvl w:ilvl="0" w:tplc="2480AFD4">
      <w:start w:val="20"/>
      <w:numFmt w:val="decimal"/>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10" w15:restartNumberingAfterBreak="0">
    <w:nsid w:val="23E417C9"/>
    <w:multiLevelType w:val="hybridMultilevel"/>
    <w:tmpl w:val="D49C0A62"/>
    <w:lvl w:ilvl="0" w:tplc="C1AC63A2">
      <w:numFmt w:val="bullet"/>
      <w:lvlText w:val="-"/>
      <w:lvlJc w:val="left"/>
      <w:pPr>
        <w:ind w:left="-450" w:hanging="360"/>
      </w:pPr>
      <w:rPr>
        <w:rFonts w:ascii="Sylfaen" w:eastAsiaTheme="minorEastAsia" w:hAnsi="Sylfaen" w:cstheme="minorBidi" w:hint="default"/>
      </w:rPr>
    </w:lvl>
    <w:lvl w:ilvl="1" w:tplc="04090003">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11" w15:restartNumberingAfterBreak="0">
    <w:nsid w:val="2ABB762B"/>
    <w:multiLevelType w:val="hybridMultilevel"/>
    <w:tmpl w:val="465CAF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33271C16"/>
    <w:multiLevelType w:val="hybridMultilevel"/>
    <w:tmpl w:val="3F7ABEDA"/>
    <w:lvl w:ilvl="0" w:tplc="50F07620">
      <w:start w:val="10"/>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621ADD"/>
    <w:multiLevelType w:val="hybridMultilevel"/>
    <w:tmpl w:val="234450D0"/>
    <w:lvl w:ilvl="0" w:tplc="43EADC9E">
      <w:start w:val="1"/>
      <w:numFmt w:val="decimal"/>
      <w:lvlText w:val="%1."/>
      <w:lvlJc w:val="left"/>
      <w:pPr>
        <w:ind w:left="-66" w:hanging="360"/>
      </w:pPr>
      <w:rPr>
        <w:rFonts w:hint="default"/>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14" w15:restartNumberingAfterBreak="0">
    <w:nsid w:val="3AC25688"/>
    <w:multiLevelType w:val="hybridMultilevel"/>
    <w:tmpl w:val="E12C0150"/>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5" w15:restartNumberingAfterBreak="0">
    <w:nsid w:val="3EF042E1"/>
    <w:multiLevelType w:val="hybridMultilevel"/>
    <w:tmpl w:val="E132BE3A"/>
    <w:lvl w:ilvl="0" w:tplc="58089520">
      <w:start w:val="1"/>
      <w:numFmt w:val="decimal"/>
      <w:lvlText w:val="%1."/>
      <w:lvlJc w:val="left"/>
      <w:pPr>
        <w:ind w:left="654" w:hanging="360"/>
      </w:pPr>
      <w:rPr>
        <w:rFonts w:ascii="Sylfaen" w:eastAsiaTheme="minorEastAsia" w:hAnsi="Sylfaen" w:cstheme="minorBidi"/>
      </w:rPr>
    </w:lvl>
    <w:lvl w:ilvl="1" w:tplc="04090019" w:tentative="1">
      <w:start w:val="1"/>
      <w:numFmt w:val="lowerLetter"/>
      <w:lvlText w:val="%2."/>
      <w:lvlJc w:val="left"/>
      <w:pPr>
        <w:ind w:left="1374" w:hanging="360"/>
      </w:pPr>
    </w:lvl>
    <w:lvl w:ilvl="2" w:tplc="0409001B" w:tentative="1">
      <w:start w:val="1"/>
      <w:numFmt w:val="lowerRoman"/>
      <w:lvlText w:val="%3."/>
      <w:lvlJc w:val="right"/>
      <w:pPr>
        <w:ind w:left="2094" w:hanging="180"/>
      </w:pPr>
    </w:lvl>
    <w:lvl w:ilvl="3" w:tplc="0409000F" w:tentative="1">
      <w:start w:val="1"/>
      <w:numFmt w:val="decimal"/>
      <w:lvlText w:val="%4."/>
      <w:lvlJc w:val="left"/>
      <w:pPr>
        <w:ind w:left="2814" w:hanging="360"/>
      </w:pPr>
    </w:lvl>
    <w:lvl w:ilvl="4" w:tplc="04090019" w:tentative="1">
      <w:start w:val="1"/>
      <w:numFmt w:val="lowerLetter"/>
      <w:lvlText w:val="%5."/>
      <w:lvlJc w:val="left"/>
      <w:pPr>
        <w:ind w:left="3534" w:hanging="360"/>
      </w:pPr>
    </w:lvl>
    <w:lvl w:ilvl="5" w:tplc="0409001B" w:tentative="1">
      <w:start w:val="1"/>
      <w:numFmt w:val="lowerRoman"/>
      <w:lvlText w:val="%6."/>
      <w:lvlJc w:val="right"/>
      <w:pPr>
        <w:ind w:left="4254" w:hanging="180"/>
      </w:pPr>
    </w:lvl>
    <w:lvl w:ilvl="6" w:tplc="0409000F" w:tentative="1">
      <w:start w:val="1"/>
      <w:numFmt w:val="decimal"/>
      <w:lvlText w:val="%7."/>
      <w:lvlJc w:val="left"/>
      <w:pPr>
        <w:ind w:left="4974" w:hanging="360"/>
      </w:pPr>
    </w:lvl>
    <w:lvl w:ilvl="7" w:tplc="04090019" w:tentative="1">
      <w:start w:val="1"/>
      <w:numFmt w:val="lowerLetter"/>
      <w:lvlText w:val="%8."/>
      <w:lvlJc w:val="left"/>
      <w:pPr>
        <w:ind w:left="5694" w:hanging="360"/>
      </w:pPr>
    </w:lvl>
    <w:lvl w:ilvl="8" w:tplc="0409001B" w:tentative="1">
      <w:start w:val="1"/>
      <w:numFmt w:val="lowerRoman"/>
      <w:lvlText w:val="%9."/>
      <w:lvlJc w:val="right"/>
      <w:pPr>
        <w:ind w:left="6414" w:hanging="180"/>
      </w:pPr>
    </w:lvl>
  </w:abstractNum>
  <w:abstractNum w:abstractNumId="16" w15:restartNumberingAfterBreak="0">
    <w:nsid w:val="3F210A9B"/>
    <w:multiLevelType w:val="hybridMultilevel"/>
    <w:tmpl w:val="FF0272B6"/>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7" w15:restartNumberingAfterBreak="0">
    <w:nsid w:val="3F5D184A"/>
    <w:multiLevelType w:val="multilevel"/>
    <w:tmpl w:val="24B6B0FA"/>
    <w:lvl w:ilvl="0">
      <w:start w:val="5"/>
      <w:numFmt w:val="decimal"/>
      <w:lvlText w:val="%1."/>
      <w:lvlJc w:val="left"/>
      <w:pPr>
        <w:ind w:left="405" w:hanging="405"/>
      </w:pPr>
      <w:rPr>
        <w:rFonts w:hint="default"/>
        <w:b/>
      </w:rPr>
    </w:lvl>
    <w:lvl w:ilvl="1">
      <w:start w:val="2"/>
      <w:numFmt w:val="decimal"/>
      <w:lvlText w:val="%1.%2."/>
      <w:lvlJc w:val="left"/>
      <w:pPr>
        <w:ind w:left="0" w:hanging="405"/>
      </w:pPr>
      <w:rPr>
        <w:rFonts w:hint="default"/>
        <w:b/>
      </w:rPr>
    </w:lvl>
    <w:lvl w:ilvl="2">
      <w:start w:val="1"/>
      <w:numFmt w:val="decimal"/>
      <w:lvlText w:val="%1.%2.%3."/>
      <w:lvlJc w:val="left"/>
      <w:pPr>
        <w:ind w:left="-90" w:hanging="720"/>
      </w:pPr>
      <w:rPr>
        <w:rFonts w:hint="default"/>
        <w:b/>
      </w:rPr>
    </w:lvl>
    <w:lvl w:ilvl="3">
      <w:start w:val="1"/>
      <w:numFmt w:val="decimal"/>
      <w:lvlText w:val="%1.%2.%3.%4."/>
      <w:lvlJc w:val="left"/>
      <w:pPr>
        <w:ind w:left="-495" w:hanging="720"/>
      </w:pPr>
      <w:rPr>
        <w:rFonts w:hint="default"/>
        <w:b/>
      </w:rPr>
    </w:lvl>
    <w:lvl w:ilvl="4">
      <w:start w:val="1"/>
      <w:numFmt w:val="decimal"/>
      <w:lvlText w:val="%1.%2.%3.%4.%5."/>
      <w:lvlJc w:val="left"/>
      <w:pPr>
        <w:ind w:left="-540" w:hanging="1080"/>
      </w:pPr>
      <w:rPr>
        <w:rFonts w:hint="default"/>
        <w:b/>
      </w:rPr>
    </w:lvl>
    <w:lvl w:ilvl="5">
      <w:start w:val="1"/>
      <w:numFmt w:val="decimal"/>
      <w:lvlText w:val="%1.%2.%3.%4.%5.%6."/>
      <w:lvlJc w:val="left"/>
      <w:pPr>
        <w:ind w:left="-945" w:hanging="1080"/>
      </w:pPr>
      <w:rPr>
        <w:rFonts w:hint="default"/>
        <w:b/>
      </w:rPr>
    </w:lvl>
    <w:lvl w:ilvl="6">
      <w:start w:val="1"/>
      <w:numFmt w:val="decimal"/>
      <w:lvlText w:val="%1.%2.%3.%4.%5.%6.%7."/>
      <w:lvlJc w:val="left"/>
      <w:pPr>
        <w:ind w:left="-990" w:hanging="1440"/>
      </w:pPr>
      <w:rPr>
        <w:rFonts w:hint="default"/>
        <w:b/>
      </w:rPr>
    </w:lvl>
    <w:lvl w:ilvl="7">
      <w:start w:val="1"/>
      <w:numFmt w:val="decimal"/>
      <w:lvlText w:val="%1.%2.%3.%4.%5.%6.%7.%8."/>
      <w:lvlJc w:val="left"/>
      <w:pPr>
        <w:ind w:left="-1395" w:hanging="1440"/>
      </w:pPr>
      <w:rPr>
        <w:rFonts w:hint="default"/>
        <w:b/>
      </w:rPr>
    </w:lvl>
    <w:lvl w:ilvl="8">
      <w:start w:val="1"/>
      <w:numFmt w:val="decimal"/>
      <w:lvlText w:val="%1.%2.%3.%4.%5.%6.%7.%8.%9."/>
      <w:lvlJc w:val="left"/>
      <w:pPr>
        <w:ind w:left="-1440" w:hanging="1800"/>
      </w:pPr>
      <w:rPr>
        <w:rFonts w:hint="default"/>
        <w:b/>
      </w:rPr>
    </w:lvl>
  </w:abstractNum>
  <w:abstractNum w:abstractNumId="18" w15:restartNumberingAfterBreak="0">
    <w:nsid w:val="430F6B45"/>
    <w:multiLevelType w:val="hybridMultilevel"/>
    <w:tmpl w:val="1D3ABB10"/>
    <w:lvl w:ilvl="0" w:tplc="7112236C">
      <w:start w:val="1"/>
      <w:numFmt w:val="bullet"/>
      <w:lvlText w:val="-"/>
      <w:lvlJc w:val="left"/>
      <w:pPr>
        <w:ind w:left="-31" w:hanging="360"/>
      </w:pPr>
      <w:rPr>
        <w:rFonts w:ascii="Sylfaen" w:eastAsiaTheme="minorHAnsi" w:hAnsi="Sylfaen" w:cs="Sylfaen"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9" w15:restartNumberingAfterBreak="0">
    <w:nsid w:val="440B2139"/>
    <w:multiLevelType w:val="hybridMultilevel"/>
    <w:tmpl w:val="7422DE78"/>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0" w15:restartNumberingAfterBreak="0">
    <w:nsid w:val="44676E56"/>
    <w:multiLevelType w:val="hybridMultilevel"/>
    <w:tmpl w:val="3AE8528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21" w15:restartNumberingAfterBreak="0">
    <w:nsid w:val="472527BE"/>
    <w:multiLevelType w:val="hybridMultilevel"/>
    <w:tmpl w:val="5FB283AE"/>
    <w:lvl w:ilvl="0" w:tplc="7112236C">
      <w:start w:val="1"/>
      <w:numFmt w:val="bullet"/>
      <w:lvlText w:val="-"/>
      <w:lvlJc w:val="left"/>
      <w:pPr>
        <w:ind w:left="820" w:hanging="360"/>
      </w:pPr>
      <w:rPr>
        <w:rFonts w:ascii="Sylfaen" w:eastAsiaTheme="minorHAnsi" w:hAnsi="Sylfaen" w:cs="Sylfaen"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2" w15:restartNumberingAfterBreak="0">
    <w:nsid w:val="47500419"/>
    <w:multiLevelType w:val="hybridMultilevel"/>
    <w:tmpl w:val="AA063008"/>
    <w:lvl w:ilvl="0" w:tplc="B0ECDE9C">
      <w:start w:val="3"/>
      <w:numFmt w:val="decimal"/>
      <w:lvlText w:val="%1"/>
      <w:lvlJc w:val="left"/>
      <w:pPr>
        <w:ind w:left="-207" w:hanging="360"/>
      </w:pPr>
      <w:rPr>
        <w:rFonts w:hint="default"/>
        <w:b w:val="0"/>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23" w15:restartNumberingAfterBreak="0">
    <w:nsid w:val="4F512DF9"/>
    <w:multiLevelType w:val="hybridMultilevel"/>
    <w:tmpl w:val="B1E2A544"/>
    <w:lvl w:ilvl="0" w:tplc="492ED22E">
      <w:start w:val="1"/>
      <w:numFmt w:val="lowerLetter"/>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24" w15:restartNumberingAfterBreak="0">
    <w:nsid w:val="4F6105B9"/>
    <w:multiLevelType w:val="hybridMultilevel"/>
    <w:tmpl w:val="6BD08F7A"/>
    <w:lvl w:ilvl="0" w:tplc="C0CCCDFA">
      <w:start w:val="1"/>
      <w:numFmt w:val="decimal"/>
      <w:lvlText w:val="%1."/>
      <w:lvlJc w:val="left"/>
      <w:pPr>
        <w:ind w:left="-491" w:hanging="360"/>
      </w:pPr>
      <w:rPr>
        <w:rFonts w:hint="default"/>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abstractNum w:abstractNumId="25" w15:restartNumberingAfterBreak="0">
    <w:nsid w:val="532741B9"/>
    <w:multiLevelType w:val="hybridMultilevel"/>
    <w:tmpl w:val="0FA80E44"/>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6" w15:restartNumberingAfterBreak="0">
    <w:nsid w:val="58810A3D"/>
    <w:multiLevelType w:val="hybridMultilevel"/>
    <w:tmpl w:val="56C65910"/>
    <w:lvl w:ilvl="0" w:tplc="18C81950">
      <w:start w:val="1"/>
      <w:numFmt w:val="bullet"/>
      <w:lvlText w:val="-"/>
      <w:lvlJc w:val="left"/>
      <w:pPr>
        <w:ind w:left="-450" w:hanging="360"/>
      </w:pPr>
      <w:rPr>
        <w:rFonts w:ascii="Sylfaen" w:eastAsiaTheme="minorEastAsia" w:hAnsi="Sylfaen" w:cstheme="minorBidi"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27" w15:restartNumberingAfterBreak="0">
    <w:nsid w:val="62174A94"/>
    <w:multiLevelType w:val="hybridMultilevel"/>
    <w:tmpl w:val="B180F946"/>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8" w15:restartNumberingAfterBreak="0">
    <w:nsid w:val="63A32CC1"/>
    <w:multiLevelType w:val="hybridMultilevel"/>
    <w:tmpl w:val="52E20ED4"/>
    <w:lvl w:ilvl="0" w:tplc="7C4A93D2">
      <w:start w:val="1"/>
      <w:numFmt w:val="decimal"/>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29" w15:restartNumberingAfterBreak="0">
    <w:nsid w:val="67B732D7"/>
    <w:multiLevelType w:val="multilevel"/>
    <w:tmpl w:val="68D2AB6A"/>
    <w:lvl w:ilvl="0">
      <w:start w:val="1"/>
      <w:numFmt w:val="decimal"/>
      <w:lvlText w:val="%1."/>
      <w:lvlJc w:val="left"/>
      <w:pPr>
        <w:ind w:left="-360" w:hanging="360"/>
      </w:pPr>
      <w:rPr>
        <w:rFonts w:hint="default"/>
        <w:b/>
        <w:bCs/>
      </w:rPr>
    </w:lvl>
    <w:lvl w:ilvl="1">
      <w:start w:val="1"/>
      <w:numFmt w:val="decimal"/>
      <w:isLgl/>
      <w:lvlText w:val="%1.%2."/>
      <w:lvlJc w:val="left"/>
      <w:pPr>
        <w:ind w:left="-315" w:hanging="405"/>
      </w:pPr>
      <w:rPr>
        <w:rFonts w:hint="default"/>
        <w:b/>
        <w:bCs/>
        <w:i w:val="0"/>
        <w:iCs w:val="0"/>
      </w:rPr>
    </w:lvl>
    <w:lvl w:ilvl="2">
      <w:start w:val="1"/>
      <w:numFmt w:val="decimal"/>
      <w:isLgl/>
      <w:lvlText w:val="%1.%2.%3."/>
      <w:lvlJc w:val="left"/>
      <w:pPr>
        <w:ind w:left="0" w:hanging="720"/>
      </w:pPr>
      <w:rPr>
        <w:rFonts w:hint="default"/>
      </w:rPr>
    </w:lvl>
    <w:lvl w:ilvl="3">
      <w:start w:val="1"/>
      <w:numFmt w:val="decimal"/>
      <w:isLgl/>
      <w:lvlText w:val="%1.%2.%3.%4."/>
      <w:lvlJc w:val="left"/>
      <w:pPr>
        <w:ind w:left="0" w:hanging="720"/>
      </w:pPr>
      <w:rPr>
        <w:rFonts w:hint="default"/>
      </w:rPr>
    </w:lvl>
    <w:lvl w:ilvl="4">
      <w:start w:val="1"/>
      <w:numFmt w:val="decimal"/>
      <w:isLgl/>
      <w:lvlText w:val="%1.%2.%3.%4.%5."/>
      <w:lvlJc w:val="left"/>
      <w:pPr>
        <w:ind w:left="360" w:hanging="1080"/>
      </w:pPr>
      <w:rPr>
        <w:rFonts w:hint="default"/>
      </w:rPr>
    </w:lvl>
    <w:lvl w:ilvl="5">
      <w:start w:val="1"/>
      <w:numFmt w:val="decimal"/>
      <w:isLgl/>
      <w:lvlText w:val="%1.%2.%3.%4.%5.%6."/>
      <w:lvlJc w:val="left"/>
      <w:pPr>
        <w:ind w:left="720" w:hanging="1440"/>
      </w:pPr>
      <w:rPr>
        <w:rFonts w:hint="default"/>
      </w:rPr>
    </w:lvl>
    <w:lvl w:ilvl="6">
      <w:start w:val="1"/>
      <w:numFmt w:val="decimal"/>
      <w:isLgl/>
      <w:lvlText w:val="%1.%2.%3.%4.%5.%6.%7."/>
      <w:lvlJc w:val="left"/>
      <w:pPr>
        <w:ind w:left="720" w:hanging="1440"/>
      </w:pPr>
      <w:rPr>
        <w:rFonts w:hint="default"/>
      </w:rPr>
    </w:lvl>
    <w:lvl w:ilvl="7">
      <w:start w:val="1"/>
      <w:numFmt w:val="decimal"/>
      <w:isLgl/>
      <w:lvlText w:val="%1.%2.%3.%4.%5.%6.%7.%8."/>
      <w:lvlJc w:val="left"/>
      <w:pPr>
        <w:ind w:left="1080" w:hanging="1800"/>
      </w:pPr>
      <w:rPr>
        <w:rFonts w:hint="default"/>
      </w:rPr>
    </w:lvl>
    <w:lvl w:ilvl="8">
      <w:start w:val="1"/>
      <w:numFmt w:val="decimal"/>
      <w:isLgl/>
      <w:lvlText w:val="%1.%2.%3.%4.%5.%6.%7.%8.%9."/>
      <w:lvlJc w:val="left"/>
      <w:pPr>
        <w:ind w:left="1080" w:hanging="1800"/>
      </w:pPr>
      <w:rPr>
        <w:rFonts w:hint="default"/>
      </w:rPr>
    </w:lvl>
  </w:abstractNum>
  <w:abstractNum w:abstractNumId="30" w15:restartNumberingAfterBreak="0">
    <w:nsid w:val="67C548E0"/>
    <w:multiLevelType w:val="hybridMultilevel"/>
    <w:tmpl w:val="183AC502"/>
    <w:lvl w:ilvl="0" w:tplc="1D5EF43A">
      <w:start w:val="21"/>
      <w:numFmt w:val="bullet"/>
      <w:lvlText w:val=""/>
      <w:lvlJc w:val="left"/>
      <w:pPr>
        <w:ind w:left="-207" w:hanging="360"/>
      </w:pPr>
      <w:rPr>
        <w:rFonts w:ascii="Symbol" w:eastAsiaTheme="minorEastAsia" w:hAnsi="Symbol" w:cs="Sylfaen" w:hint="default"/>
        <w:b/>
        <w:sz w:val="20"/>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31" w15:restartNumberingAfterBreak="0">
    <w:nsid w:val="69B34E1E"/>
    <w:multiLevelType w:val="hybridMultilevel"/>
    <w:tmpl w:val="4A96CDA2"/>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2" w15:restartNumberingAfterBreak="0">
    <w:nsid w:val="6C012D27"/>
    <w:multiLevelType w:val="hybridMultilevel"/>
    <w:tmpl w:val="FA3A3550"/>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33" w15:restartNumberingAfterBreak="0">
    <w:nsid w:val="6F5F6DC3"/>
    <w:multiLevelType w:val="hybridMultilevel"/>
    <w:tmpl w:val="23AE326E"/>
    <w:lvl w:ilvl="0" w:tplc="04090011">
      <w:start w:val="1"/>
      <w:numFmt w:val="decimal"/>
      <w:lvlText w:val="%1)"/>
      <w:lvlJc w:val="left"/>
      <w:pPr>
        <w:ind w:left="294" w:hanging="360"/>
      </w:p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34" w15:restartNumberingAfterBreak="0">
    <w:nsid w:val="74082DD6"/>
    <w:multiLevelType w:val="multilevel"/>
    <w:tmpl w:val="B70A7558"/>
    <w:lvl w:ilvl="0">
      <w:start w:val="1"/>
      <w:numFmt w:val="decimal"/>
      <w:lvlText w:val="%1."/>
      <w:lvlJc w:val="left"/>
      <w:pPr>
        <w:ind w:left="-450" w:hanging="360"/>
      </w:pPr>
      <w:rPr>
        <w:rFonts w:hint="default"/>
        <w:b/>
        <w:bCs/>
      </w:rPr>
    </w:lvl>
    <w:lvl w:ilvl="1">
      <w:start w:val="1"/>
      <w:numFmt w:val="decimal"/>
      <w:isLgl/>
      <w:lvlText w:val="%1.%2."/>
      <w:lvlJc w:val="left"/>
      <w:pPr>
        <w:ind w:left="-405" w:hanging="405"/>
      </w:pPr>
      <w:rPr>
        <w:rFonts w:hint="default"/>
        <w:b/>
        <w:bCs/>
        <w:i w:val="0"/>
        <w:iCs w:val="0"/>
      </w:rPr>
    </w:lvl>
    <w:lvl w:ilvl="2">
      <w:start w:val="1"/>
      <w:numFmt w:val="decimal"/>
      <w:isLgl/>
      <w:lvlText w:val="%1.%2.%3."/>
      <w:lvlJc w:val="left"/>
      <w:pPr>
        <w:ind w:left="-90" w:hanging="720"/>
      </w:pPr>
      <w:rPr>
        <w:rFonts w:hint="default"/>
      </w:rPr>
    </w:lvl>
    <w:lvl w:ilvl="3">
      <w:start w:val="1"/>
      <w:numFmt w:val="decimal"/>
      <w:isLgl/>
      <w:lvlText w:val="%1.%2.%3.%4."/>
      <w:lvlJc w:val="left"/>
      <w:pPr>
        <w:ind w:left="-90" w:hanging="720"/>
      </w:pPr>
      <w:rPr>
        <w:rFonts w:hint="default"/>
      </w:rPr>
    </w:lvl>
    <w:lvl w:ilvl="4">
      <w:start w:val="1"/>
      <w:numFmt w:val="decimal"/>
      <w:isLgl/>
      <w:lvlText w:val="%1.%2.%3.%4.%5."/>
      <w:lvlJc w:val="left"/>
      <w:pPr>
        <w:ind w:left="270" w:hanging="1080"/>
      </w:pPr>
      <w:rPr>
        <w:rFonts w:hint="default"/>
      </w:rPr>
    </w:lvl>
    <w:lvl w:ilvl="5">
      <w:start w:val="1"/>
      <w:numFmt w:val="decimal"/>
      <w:isLgl/>
      <w:lvlText w:val="%1.%2.%3.%4.%5.%6."/>
      <w:lvlJc w:val="left"/>
      <w:pPr>
        <w:ind w:left="630" w:hanging="1440"/>
      </w:pPr>
      <w:rPr>
        <w:rFonts w:hint="default"/>
      </w:rPr>
    </w:lvl>
    <w:lvl w:ilvl="6">
      <w:start w:val="1"/>
      <w:numFmt w:val="decimal"/>
      <w:isLgl/>
      <w:lvlText w:val="%1.%2.%3.%4.%5.%6.%7."/>
      <w:lvlJc w:val="left"/>
      <w:pPr>
        <w:ind w:left="630" w:hanging="1440"/>
      </w:pPr>
      <w:rPr>
        <w:rFonts w:hint="default"/>
      </w:rPr>
    </w:lvl>
    <w:lvl w:ilvl="7">
      <w:start w:val="1"/>
      <w:numFmt w:val="decimal"/>
      <w:isLgl/>
      <w:lvlText w:val="%1.%2.%3.%4.%5.%6.%7.%8."/>
      <w:lvlJc w:val="left"/>
      <w:pPr>
        <w:ind w:left="990" w:hanging="1800"/>
      </w:pPr>
      <w:rPr>
        <w:rFonts w:hint="default"/>
      </w:rPr>
    </w:lvl>
    <w:lvl w:ilvl="8">
      <w:start w:val="1"/>
      <w:numFmt w:val="decimal"/>
      <w:isLgl/>
      <w:lvlText w:val="%1.%2.%3.%4.%5.%6.%7.%8.%9."/>
      <w:lvlJc w:val="left"/>
      <w:pPr>
        <w:ind w:left="990" w:hanging="1800"/>
      </w:pPr>
      <w:rPr>
        <w:rFonts w:hint="default"/>
      </w:rPr>
    </w:lvl>
  </w:abstractNum>
  <w:abstractNum w:abstractNumId="35" w15:restartNumberingAfterBreak="0">
    <w:nsid w:val="75D54063"/>
    <w:multiLevelType w:val="hybridMultilevel"/>
    <w:tmpl w:val="FE72F34E"/>
    <w:lvl w:ilvl="0" w:tplc="F294DBF0">
      <w:start w:val="1"/>
      <w:numFmt w:val="decimal"/>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36" w15:restartNumberingAfterBreak="0">
    <w:nsid w:val="771E7AD0"/>
    <w:multiLevelType w:val="hybridMultilevel"/>
    <w:tmpl w:val="8E8AC158"/>
    <w:lvl w:ilvl="0" w:tplc="D696CF2E">
      <w:numFmt w:val="bullet"/>
      <w:lvlText w:val="-"/>
      <w:lvlJc w:val="left"/>
      <w:pPr>
        <w:ind w:left="-207" w:hanging="360"/>
      </w:pPr>
      <w:rPr>
        <w:rFonts w:ascii="Sylfaen" w:eastAsiaTheme="minorEastAsia" w:hAnsi="Sylfaen" w:cs="Sylfaen"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37" w15:restartNumberingAfterBreak="0">
    <w:nsid w:val="77C51F2E"/>
    <w:multiLevelType w:val="hybridMultilevel"/>
    <w:tmpl w:val="B8D43E0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8" w15:restartNumberingAfterBreak="0">
    <w:nsid w:val="7ED46A4D"/>
    <w:multiLevelType w:val="hybridMultilevel"/>
    <w:tmpl w:val="63D439FC"/>
    <w:lvl w:ilvl="0" w:tplc="928455BC">
      <w:start w:val="1"/>
      <w:numFmt w:val="decimal"/>
      <w:lvlText w:val="%1."/>
      <w:lvlJc w:val="left"/>
      <w:pPr>
        <w:ind w:left="-450" w:hanging="360"/>
      </w:pPr>
      <w:rPr>
        <w:rFonts w:hint="default"/>
        <w:i w:val="0"/>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num w:numId="1" w16cid:durableId="1741250436">
    <w:abstractNumId w:val="31"/>
  </w:num>
  <w:num w:numId="2" w16cid:durableId="365763798">
    <w:abstractNumId w:val="37"/>
  </w:num>
  <w:num w:numId="3" w16cid:durableId="976034891">
    <w:abstractNumId w:val="6"/>
  </w:num>
  <w:num w:numId="4" w16cid:durableId="1153256514">
    <w:abstractNumId w:val="0"/>
  </w:num>
  <w:num w:numId="5" w16cid:durableId="1478181153">
    <w:abstractNumId w:val="22"/>
  </w:num>
  <w:num w:numId="6" w16cid:durableId="1269657121">
    <w:abstractNumId w:val="36"/>
  </w:num>
  <w:num w:numId="7" w16cid:durableId="806779842">
    <w:abstractNumId w:val="30"/>
  </w:num>
  <w:num w:numId="8" w16cid:durableId="443964853">
    <w:abstractNumId w:val="8"/>
  </w:num>
  <w:num w:numId="9" w16cid:durableId="1533306620">
    <w:abstractNumId w:val="27"/>
  </w:num>
  <w:num w:numId="10" w16cid:durableId="1047920860">
    <w:abstractNumId w:val="3"/>
  </w:num>
  <w:num w:numId="11" w16cid:durableId="256181229">
    <w:abstractNumId w:val="34"/>
  </w:num>
  <w:num w:numId="12" w16cid:durableId="1480266964">
    <w:abstractNumId w:val="11"/>
  </w:num>
  <w:num w:numId="13" w16cid:durableId="1495804165">
    <w:abstractNumId w:val="19"/>
  </w:num>
  <w:num w:numId="14" w16cid:durableId="2019768350">
    <w:abstractNumId w:val="7"/>
  </w:num>
  <w:num w:numId="15" w16cid:durableId="2108118490">
    <w:abstractNumId w:val="16"/>
  </w:num>
  <w:num w:numId="16" w16cid:durableId="1856189879">
    <w:abstractNumId w:val="2"/>
  </w:num>
  <w:num w:numId="17" w16cid:durableId="375084525">
    <w:abstractNumId w:val="14"/>
  </w:num>
  <w:num w:numId="18" w16cid:durableId="345639915">
    <w:abstractNumId w:val="20"/>
  </w:num>
  <w:num w:numId="19" w16cid:durableId="257444812">
    <w:abstractNumId w:val="4"/>
  </w:num>
  <w:num w:numId="20" w16cid:durableId="160438018">
    <w:abstractNumId w:val="17"/>
  </w:num>
  <w:num w:numId="21" w16cid:durableId="1220896889">
    <w:abstractNumId w:val="13"/>
  </w:num>
  <w:num w:numId="22" w16cid:durableId="914971033">
    <w:abstractNumId w:val="15"/>
  </w:num>
  <w:num w:numId="23" w16cid:durableId="1689403360">
    <w:abstractNumId w:val="33"/>
  </w:num>
  <w:num w:numId="24" w16cid:durableId="1304967473">
    <w:abstractNumId w:val="38"/>
  </w:num>
  <w:num w:numId="25" w16cid:durableId="1876691713">
    <w:abstractNumId w:val="26"/>
  </w:num>
  <w:num w:numId="26" w16cid:durableId="1961034727">
    <w:abstractNumId w:val="23"/>
  </w:num>
  <w:num w:numId="27" w16cid:durableId="1670479345">
    <w:abstractNumId w:val="32"/>
  </w:num>
  <w:num w:numId="28" w16cid:durableId="1410929485">
    <w:abstractNumId w:val="5"/>
  </w:num>
  <w:num w:numId="29" w16cid:durableId="844517586">
    <w:abstractNumId w:val="28"/>
  </w:num>
  <w:num w:numId="30" w16cid:durableId="782768765">
    <w:abstractNumId w:val="21"/>
  </w:num>
  <w:num w:numId="31" w16cid:durableId="1036583004">
    <w:abstractNumId w:val="25"/>
  </w:num>
  <w:num w:numId="32" w16cid:durableId="1721589251">
    <w:abstractNumId w:val="18"/>
  </w:num>
  <w:num w:numId="33" w16cid:durableId="761607821">
    <w:abstractNumId w:val="1"/>
  </w:num>
  <w:num w:numId="34" w16cid:durableId="1702898995">
    <w:abstractNumId w:val="12"/>
  </w:num>
  <w:num w:numId="35" w16cid:durableId="1276600501">
    <w:abstractNumId w:val="24"/>
  </w:num>
  <w:num w:numId="36" w16cid:durableId="2140995741">
    <w:abstractNumId w:val="10"/>
  </w:num>
  <w:num w:numId="37" w16cid:durableId="2057775100">
    <w:abstractNumId w:val="29"/>
  </w:num>
  <w:num w:numId="38" w16cid:durableId="330179915">
    <w:abstractNumId w:val="9"/>
  </w:num>
  <w:num w:numId="39" w16cid:durableId="171311452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C0C8E"/>
    <w:rsid w:val="0000096E"/>
    <w:rsid w:val="00001D6C"/>
    <w:rsid w:val="00001FB7"/>
    <w:rsid w:val="00002863"/>
    <w:rsid w:val="00003FDB"/>
    <w:rsid w:val="0000460D"/>
    <w:rsid w:val="00012F88"/>
    <w:rsid w:val="000133C0"/>
    <w:rsid w:val="000168A2"/>
    <w:rsid w:val="0002042F"/>
    <w:rsid w:val="0002049E"/>
    <w:rsid w:val="000204D9"/>
    <w:rsid w:val="0002147F"/>
    <w:rsid w:val="00022553"/>
    <w:rsid w:val="00025908"/>
    <w:rsid w:val="00026EF4"/>
    <w:rsid w:val="000310D5"/>
    <w:rsid w:val="00032285"/>
    <w:rsid w:val="000341C3"/>
    <w:rsid w:val="00036621"/>
    <w:rsid w:val="00046300"/>
    <w:rsid w:val="000467AB"/>
    <w:rsid w:val="00046945"/>
    <w:rsid w:val="00046C84"/>
    <w:rsid w:val="00047F7D"/>
    <w:rsid w:val="00050420"/>
    <w:rsid w:val="00051514"/>
    <w:rsid w:val="00053BCA"/>
    <w:rsid w:val="000541CE"/>
    <w:rsid w:val="000551F5"/>
    <w:rsid w:val="00055F2E"/>
    <w:rsid w:val="00056CEA"/>
    <w:rsid w:val="00057CDB"/>
    <w:rsid w:val="00057DAA"/>
    <w:rsid w:val="00057FBE"/>
    <w:rsid w:val="00060317"/>
    <w:rsid w:val="00060792"/>
    <w:rsid w:val="0006147E"/>
    <w:rsid w:val="00062C15"/>
    <w:rsid w:val="000639C4"/>
    <w:rsid w:val="00063AE8"/>
    <w:rsid w:val="0006409E"/>
    <w:rsid w:val="000648AB"/>
    <w:rsid w:val="0006530F"/>
    <w:rsid w:val="0006709B"/>
    <w:rsid w:val="0007067A"/>
    <w:rsid w:val="00071FB8"/>
    <w:rsid w:val="00072315"/>
    <w:rsid w:val="00072F6F"/>
    <w:rsid w:val="000746C6"/>
    <w:rsid w:val="00074AED"/>
    <w:rsid w:val="00075794"/>
    <w:rsid w:val="0007677A"/>
    <w:rsid w:val="00077834"/>
    <w:rsid w:val="000779B1"/>
    <w:rsid w:val="00080398"/>
    <w:rsid w:val="0008305D"/>
    <w:rsid w:val="00083723"/>
    <w:rsid w:val="000858C4"/>
    <w:rsid w:val="00085947"/>
    <w:rsid w:val="000908B4"/>
    <w:rsid w:val="000908EE"/>
    <w:rsid w:val="000914A6"/>
    <w:rsid w:val="00092A17"/>
    <w:rsid w:val="00092ECA"/>
    <w:rsid w:val="00094707"/>
    <w:rsid w:val="00094AA9"/>
    <w:rsid w:val="00095308"/>
    <w:rsid w:val="0009635E"/>
    <w:rsid w:val="000964F3"/>
    <w:rsid w:val="00096C86"/>
    <w:rsid w:val="00097565"/>
    <w:rsid w:val="000A08DC"/>
    <w:rsid w:val="000A0D52"/>
    <w:rsid w:val="000A13A2"/>
    <w:rsid w:val="000A21AA"/>
    <w:rsid w:val="000A2AF6"/>
    <w:rsid w:val="000A337A"/>
    <w:rsid w:val="000A3B48"/>
    <w:rsid w:val="000A5039"/>
    <w:rsid w:val="000A5262"/>
    <w:rsid w:val="000A590A"/>
    <w:rsid w:val="000B04FE"/>
    <w:rsid w:val="000B1ED2"/>
    <w:rsid w:val="000B3F16"/>
    <w:rsid w:val="000B4B66"/>
    <w:rsid w:val="000B50B1"/>
    <w:rsid w:val="000B7227"/>
    <w:rsid w:val="000B7723"/>
    <w:rsid w:val="000B7DD7"/>
    <w:rsid w:val="000C0727"/>
    <w:rsid w:val="000C2550"/>
    <w:rsid w:val="000C2651"/>
    <w:rsid w:val="000C46C8"/>
    <w:rsid w:val="000C54B2"/>
    <w:rsid w:val="000C6BAA"/>
    <w:rsid w:val="000D1763"/>
    <w:rsid w:val="000D27B9"/>
    <w:rsid w:val="000D3041"/>
    <w:rsid w:val="000D33AF"/>
    <w:rsid w:val="000D39BD"/>
    <w:rsid w:val="000D4731"/>
    <w:rsid w:val="000D4D70"/>
    <w:rsid w:val="000D5112"/>
    <w:rsid w:val="000D5952"/>
    <w:rsid w:val="000D5EA0"/>
    <w:rsid w:val="000D6BBE"/>
    <w:rsid w:val="000D7808"/>
    <w:rsid w:val="000E0423"/>
    <w:rsid w:val="000E1158"/>
    <w:rsid w:val="000E2907"/>
    <w:rsid w:val="000E4BC3"/>
    <w:rsid w:val="000E62C7"/>
    <w:rsid w:val="000E64E1"/>
    <w:rsid w:val="000E6610"/>
    <w:rsid w:val="000E6698"/>
    <w:rsid w:val="000E66B1"/>
    <w:rsid w:val="000E6CAA"/>
    <w:rsid w:val="000E6D01"/>
    <w:rsid w:val="000F031A"/>
    <w:rsid w:val="000F0A24"/>
    <w:rsid w:val="000F0E24"/>
    <w:rsid w:val="000F1409"/>
    <w:rsid w:val="000F23B8"/>
    <w:rsid w:val="000F31AA"/>
    <w:rsid w:val="000F6CC6"/>
    <w:rsid w:val="000F6E3B"/>
    <w:rsid w:val="000F6E6E"/>
    <w:rsid w:val="000F726E"/>
    <w:rsid w:val="000F7AA9"/>
    <w:rsid w:val="00101879"/>
    <w:rsid w:val="00102BE1"/>
    <w:rsid w:val="0010314F"/>
    <w:rsid w:val="00103759"/>
    <w:rsid w:val="00103E33"/>
    <w:rsid w:val="001058D9"/>
    <w:rsid w:val="00105AE3"/>
    <w:rsid w:val="00105B8C"/>
    <w:rsid w:val="00105DFF"/>
    <w:rsid w:val="0011047D"/>
    <w:rsid w:val="00111EC1"/>
    <w:rsid w:val="0011303E"/>
    <w:rsid w:val="00113B14"/>
    <w:rsid w:val="00113B84"/>
    <w:rsid w:val="00114048"/>
    <w:rsid w:val="00115247"/>
    <w:rsid w:val="00116D09"/>
    <w:rsid w:val="00120EBF"/>
    <w:rsid w:val="00125952"/>
    <w:rsid w:val="00126A50"/>
    <w:rsid w:val="001270DC"/>
    <w:rsid w:val="00130233"/>
    <w:rsid w:val="00130F94"/>
    <w:rsid w:val="00131444"/>
    <w:rsid w:val="00132427"/>
    <w:rsid w:val="00132771"/>
    <w:rsid w:val="00132CAC"/>
    <w:rsid w:val="001349EB"/>
    <w:rsid w:val="00137EEC"/>
    <w:rsid w:val="0014278A"/>
    <w:rsid w:val="001450DB"/>
    <w:rsid w:val="00145214"/>
    <w:rsid w:val="0014635E"/>
    <w:rsid w:val="001476AB"/>
    <w:rsid w:val="001504F2"/>
    <w:rsid w:val="00151309"/>
    <w:rsid w:val="00152D28"/>
    <w:rsid w:val="001542C0"/>
    <w:rsid w:val="00154383"/>
    <w:rsid w:val="00154C89"/>
    <w:rsid w:val="00155168"/>
    <w:rsid w:val="00156BCA"/>
    <w:rsid w:val="00157B99"/>
    <w:rsid w:val="00160040"/>
    <w:rsid w:val="0016089C"/>
    <w:rsid w:val="00160CCA"/>
    <w:rsid w:val="00161A5A"/>
    <w:rsid w:val="00161D9F"/>
    <w:rsid w:val="00163586"/>
    <w:rsid w:val="00163CD6"/>
    <w:rsid w:val="00163F46"/>
    <w:rsid w:val="00166261"/>
    <w:rsid w:val="0016652D"/>
    <w:rsid w:val="00166BDF"/>
    <w:rsid w:val="00167D59"/>
    <w:rsid w:val="001726C9"/>
    <w:rsid w:val="00175240"/>
    <w:rsid w:val="00177F35"/>
    <w:rsid w:val="001801E9"/>
    <w:rsid w:val="0018271D"/>
    <w:rsid w:val="001848AB"/>
    <w:rsid w:val="00186E33"/>
    <w:rsid w:val="00191331"/>
    <w:rsid w:val="001919C5"/>
    <w:rsid w:val="001920B8"/>
    <w:rsid w:val="00192271"/>
    <w:rsid w:val="001949CF"/>
    <w:rsid w:val="00194D0B"/>
    <w:rsid w:val="0019573E"/>
    <w:rsid w:val="00196583"/>
    <w:rsid w:val="0019708B"/>
    <w:rsid w:val="001979DB"/>
    <w:rsid w:val="00197A4F"/>
    <w:rsid w:val="001A146E"/>
    <w:rsid w:val="001A3270"/>
    <w:rsid w:val="001A3FB8"/>
    <w:rsid w:val="001A4664"/>
    <w:rsid w:val="001A495F"/>
    <w:rsid w:val="001A5AC1"/>
    <w:rsid w:val="001A6108"/>
    <w:rsid w:val="001A65DF"/>
    <w:rsid w:val="001A78A4"/>
    <w:rsid w:val="001A7A3B"/>
    <w:rsid w:val="001A7C0B"/>
    <w:rsid w:val="001B146D"/>
    <w:rsid w:val="001B16ED"/>
    <w:rsid w:val="001B23D3"/>
    <w:rsid w:val="001B2F68"/>
    <w:rsid w:val="001B471A"/>
    <w:rsid w:val="001B5CB1"/>
    <w:rsid w:val="001B6EAB"/>
    <w:rsid w:val="001C0432"/>
    <w:rsid w:val="001C0476"/>
    <w:rsid w:val="001C062B"/>
    <w:rsid w:val="001C08F1"/>
    <w:rsid w:val="001C2A2D"/>
    <w:rsid w:val="001C2B79"/>
    <w:rsid w:val="001C4B16"/>
    <w:rsid w:val="001C5986"/>
    <w:rsid w:val="001C5BE4"/>
    <w:rsid w:val="001C6950"/>
    <w:rsid w:val="001C6AFF"/>
    <w:rsid w:val="001C7A3F"/>
    <w:rsid w:val="001D0063"/>
    <w:rsid w:val="001D0BF4"/>
    <w:rsid w:val="001D1ADF"/>
    <w:rsid w:val="001D54F7"/>
    <w:rsid w:val="001D5663"/>
    <w:rsid w:val="001D5C06"/>
    <w:rsid w:val="001D63D4"/>
    <w:rsid w:val="001D63E3"/>
    <w:rsid w:val="001D66D7"/>
    <w:rsid w:val="001D7157"/>
    <w:rsid w:val="001E1DC9"/>
    <w:rsid w:val="001E1EE4"/>
    <w:rsid w:val="001E587C"/>
    <w:rsid w:val="001F2CCD"/>
    <w:rsid w:val="001F317D"/>
    <w:rsid w:val="001F34C1"/>
    <w:rsid w:val="001F3CCE"/>
    <w:rsid w:val="001F3E57"/>
    <w:rsid w:val="001F605E"/>
    <w:rsid w:val="001F61CE"/>
    <w:rsid w:val="001F7F35"/>
    <w:rsid w:val="00200018"/>
    <w:rsid w:val="002001F7"/>
    <w:rsid w:val="002041A7"/>
    <w:rsid w:val="00204256"/>
    <w:rsid w:val="00204710"/>
    <w:rsid w:val="002058DE"/>
    <w:rsid w:val="00206961"/>
    <w:rsid w:val="00207236"/>
    <w:rsid w:val="0020746C"/>
    <w:rsid w:val="00207552"/>
    <w:rsid w:val="002108A3"/>
    <w:rsid w:val="00210AF6"/>
    <w:rsid w:val="00210EF5"/>
    <w:rsid w:val="0021238D"/>
    <w:rsid w:val="00212705"/>
    <w:rsid w:val="00214D62"/>
    <w:rsid w:val="00215C58"/>
    <w:rsid w:val="002200B9"/>
    <w:rsid w:val="002206B0"/>
    <w:rsid w:val="00220D08"/>
    <w:rsid w:val="00222018"/>
    <w:rsid w:val="002220BC"/>
    <w:rsid w:val="00223347"/>
    <w:rsid w:val="0022381F"/>
    <w:rsid w:val="00223A22"/>
    <w:rsid w:val="00224275"/>
    <w:rsid w:val="002243C9"/>
    <w:rsid w:val="002269F6"/>
    <w:rsid w:val="00226F4D"/>
    <w:rsid w:val="00227586"/>
    <w:rsid w:val="00227DC8"/>
    <w:rsid w:val="00227F5D"/>
    <w:rsid w:val="00232C4C"/>
    <w:rsid w:val="0023417F"/>
    <w:rsid w:val="002358CE"/>
    <w:rsid w:val="00235BE6"/>
    <w:rsid w:val="00236201"/>
    <w:rsid w:val="002414AF"/>
    <w:rsid w:val="002414CA"/>
    <w:rsid w:val="00243172"/>
    <w:rsid w:val="002435E3"/>
    <w:rsid w:val="00244859"/>
    <w:rsid w:val="0024543E"/>
    <w:rsid w:val="00245B54"/>
    <w:rsid w:val="00247DA2"/>
    <w:rsid w:val="00254000"/>
    <w:rsid w:val="00254E7B"/>
    <w:rsid w:val="002558B3"/>
    <w:rsid w:val="00256215"/>
    <w:rsid w:val="00257A07"/>
    <w:rsid w:val="00260025"/>
    <w:rsid w:val="002659EE"/>
    <w:rsid w:val="00266541"/>
    <w:rsid w:val="00266D13"/>
    <w:rsid w:val="00270C47"/>
    <w:rsid w:val="00270E19"/>
    <w:rsid w:val="00272C35"/>
    <w:rsid w:val="00273120"/>
    <w:rsid w:val="002736FA"/>
    <w:rsid w:val="00275279"/>
    <w:rsid w:val="002756D8"/>
    <w:rsid w:val="00276498"/>
    <w:rsid w:val="00280B65"/>
    <w:rsid w:val="00280FFC"/>
    <w:rsid w:val="00283D45"/>
    <w:rsid w:val="0028488C"/>
    <w:rsid w:val="00287304"/>
    <w:rsid w:val="0028777B"/>
    <w:rsid w:val="00290466"/>
    <w:rsid w:val="002923AB"/>
    <w:rsid w:val="00292B9A"/>
    <w:rsid w:val="00295122"/>
    <w:rsid w:val="002961C8"/>
    <w:rsid w:val="002967A3"/>
    <w:rsid w:val="00296AA2"/>
    <w:rsid w:val="002A1B53"/>
    <w:rsid w:val="002A3981"/>
    <w:rsid w:val="002A3EF5"/>
    <w:rsid w:val="002A463A"/>
    <w:rsid w:val="002A53C0"/>
    <w:rsid w:val="002A5744"/>
    <w:rsid w:val="002A58C3"/>
    <w:rsid w:val="002A5E10"/>
    <w:rsid w:val="002A6A3F"/>
    <w:rsid w:val="002A71ED"/>
    <w:rsid w:val="002B0EF0"/>
    <w:rsid w:val="002B0F6A"/>
    <w:rsid w:val="002B135A"/>
    <w:rsid w:val="002B145F"/>
    <w:rsid w:val="002B24F9"/>
    <w:rsid w:val="002B3C94"/>
    <w:rsid w:val="002B458B"/>
    <w:rsid w:val="002B4DFB"/>
    <w:rsid w:val="002B57C5"/>
    <w:rsid w:val="002B6704"/>
    <w:rsid w:val="002B6EF5"/>
    <w:rsid w:val="002B7DB7"/>
    <w:rsid w:val="002C030E"/>
    <w:rsid w:val="002C131C"/>
    <w:rsid w:val="002C2168"/>
    <w:rsid w:val="002C278D"/>
    <w:rsid w:val="002C315A"/>
    <w:rsid w:val="002C5001"/>
    <w:rsid w:val="002C5CA6"/>
    <w:rsid w:val="002C7995"/>
    <w:rsid w:val="002C7E0D"/>
    <w:rsid w:val="002D03B3"/>
    <w:rsid w:val="002D23A1"/>
    <w:rsid w:val="002D4971"/>
    <w:rsid w:val="002D55B8"/>
    <w:rsid w:val="002D671C"/>
    <w:rsid w:val="002D6AAE"/>
    <w:rsid w:val="002D7F13"/>
    <w:rsid w:val="002E14BA"/>
    <w:rsid w:val="002E1A17"/>
    <w:rsid w:val="002E4080"/>
    <w:rsid w:val="002E4705"/>
    <w:rsid w:val="002E4D9E"/>
    <w:rsid w:val="002E51DD"/>
    <w:rsid w:val="002F063D"/>
    <w:rsid w:val="002F0C23"/>
    <w:rsid w:val="002F20AD"/>
    <w:rsid w:val="002F503F"/>
    <w:rsid w:val="002F595A"/>
    <w:rsid w:val="002F64BA"/>
    <w:rsid w:val="002F77D3"/>
    <w:rsid w:val="002F78BB"/>
    <w:rsid w:val="002F7ADA"/>
    <w:rsid w:val="00300B04"/>
    <w:rsid w:val="00300CB4"/>
    <w:rsid w:val="00301D84"/>
    <w:rsid w:val="00302D29"/>
    <w:rsid w:val="00304826"/>
    <w:rsid w:val="00305374"/>
    <w:rsid w:val="00305CD4"/>
    <w:rsid w:val="003061B9"/>
    <w:rsid w:val="00307207"/>
    <w:rsid w:val="0031046B"/>
    <w:rsid w:val="003110D4"/>
    <w:rsid w:val="00312B46"/>
    <w:rsid w:val="00312DEE"/>
    <w:rsid w:val="0031588B"/>
    <w:rsid w:val="00315FDF"/>
    <w:rsid w:val="00316DFD"/>
    <w:rsid w:val="003171E4"/>
    <w:rsid w:val="003173FE"/>
    <w:rsid w:val="00322057"/>
    <w:rsid w:val="00322440"/>
    <w:rsid w:val="00322D83"/>
    <w:rsid w:val="00323413"/>
    <w:rsid w:val="00324712"/>
    <w:rsid w:val="00324995"/>
    <w:rsid w:val="0032609C"/>
    <w:rsid w:val="003269B9"/>
    <w:rsid w:val="00326A9C"/>
    <w:rsid w:val="00326E2B"/>
    <w:rsid w:val="00327760"/>
    <w:rsid w:val="0033068D"/>
    <w:rsid w:val="00330BEC"/>
    <w:rsid w:val="0033253A"/>
    <w:rsid w:val="00332AA8"/>
    <w:rsid w:val="003356CC"/>
    <w:rsid w:val="003369BF"/>
    <w:rsid w:val="00336F3A"/>
    <w:rsid w:val="00337D3E"/>
    <w:rsid w:val="0034121F"/>
    <w:rsid w:val="0034138D"/>
    <w:rsid w:val="0034172C"/>
    <w:rsid w:val="003421DA"/>
    <w:rsid w:val="00342999"/>
    <w:rsid w:val="00342F26"/>
    <w:rsid w:val="003439CA"/>
    <w:rsid w:val="00343BCC"/>
    <w:rsid w:val="003451A5"/>
    <w:rsid w:val="003451EA"/>
    <w:rsid w:val="00350DBF"/>
    <w:rsid w:val="003523C2"/>
    <w:rsid w:val="00352F7A"/>
    <w:rsid w:val="00354906"/>
    <w:rsid w:val="00354D92"/>
    <w:rsid w:val="00354EDD"/>
    <w:rsid w:val="00356380"/>
    <w:rsid w:val="00362214"/>
    <w:rsid w:val="003630BA"/>
    <w:rsid w:val="00363537"/>
    <w:rsid w:val="003636C8"/>
    <w:rsid w:val="00366954"/>
    <w:rsid w:val="00366CD6"/>
    <w:rsid w:val="00366FB0"/>
    <w:rsid w:val="0037085C"/>
    <w:rsid w:val="003723E0"/>
    <w:rsid w:val="00372E0D"/>
    <w:rsid w:val="00374E6C"/>
    <w:rsid w:val="0037592D"/>
    <w:rsid w:val="00375EA7"/>
    <w:rsid w:val="0037666C"/>
    <w:rsid w:val="00376F81"/>
    <w:rsid w:val="00377C5F"/>
    <w:rsid w:val="00380178"/>
    <w:rsid w:val="00381F5C"/>
    <w:rsid w:val="003822C5"/>
    <w:rsid w:val="00382AEF"/>
    <w:rsid w:val="00384328"/>
    <w:rsid w:val="00384CD2"/>
    <w:rsid w:val="00384E09"/>
    <w:rsid w:val="00384E26"/>
    <w:rsid w:val="003865E3"/>
    <w:rsid w:val="00387388"/>
    <w:rsid w:val="00387F8A"/>
    <w:rsid w:val="00391883"/>
    <w:rsid w:val="00391D1E"/>
    <w:rsid w:val="00391FEE"/>
    <w:rsid w:val="00392C2A"/>
    <w:rsid w:val="003940F1"/>
    <w:rsid w:val="00395478"/>
    <w:rsid w:val="003961D1"/>
    <w:rsid w:val="003969D2"/>
    <w:rsid w:val="003A0E72"/>
    <w:rsid w:val="003A0EC5"/>
    <w:rsid w:val="003A2670"/>
    <w:rsid w:val="003A2686"/>
    <w:rsid w:val="003A2EDE"/>
    <w:rsid w:val="003A35A8"/>
    <w:rsid w:val="003A4CFC"/>
    <w:rsid w:val="003A4E98"/>
    <w:rsid w:val="003A5495"/>
    <w:rsid w:val="003A65F9"/>
    <w:rsid w:val="003B072F"/>
    <w:rsid w:val="003B1DCB"/>
    <w:rsid w:val="003B32DB"/>
    <w:rsid w:val="003B3CC1"/>
    <w:rsid w:val="003B631C"/>
    <w:rsid w:val="003B74F0"/>
    <w:rsid w:val="003B7BAA"/>
    <w:rsid w:val="003C0639"/>
    <w:rsid w:val="003C2F11"/>
    <w:rsid w:val="003C34C6"/>
    <w:rsid w:val="003C5524"/>
    <w:rsid w:val="003C6EED"/>
    <w:rsid w:val="003C7B82"/>
    <w:rsid w:val="003D0C82"/>
    <w:rsid w:val="003D10D2"/>
    <w:rsid w:val="003D144B"/>
    <w:rsid w:val="003D14ED"/>
    <w:rsid w:val="003D1ADF"/>
    <w:rsid w:val="003D27FA"/>
    <w:rsid w:val="003D3B45"/>
    <w:rsid w:val="003D46CE"/>
    <w:rsid w:val="003D5CA4"/>
    <w:rsid w:val="003D7A7A"/>
    <w:rsid w:val="003E0F86"/>
    <w:rsid w:val="003E2010"/>
    <w:rsid w:val="003E2E90"/>
    <w:rsid w:val="003E3727"/>
    <w:rsid w:val="003E5127"/>
    <w:rsid w:val="003E5B1E"/>
    <w:rsid w:val="003E7EE0"/>
    <w:rsid w:val="003F02AC"/>
    <w:rsid w:val="003F2553"/>
    <w:rsid w:val="003F4440"/>
    <w:rsid w:val="003F60B7"/>
    <w:rsid w:val="00400FA6"/>
    <w:rsid w:val="0040275D"/>
    <w:rsid w:val="00403B9B"/>
    <w:rsid w:val="00407017"/>
    <w:rsid w:val="0040720C"/>
    <w:rsid w:val="00407322"/>
    <w:rsid w:val="004112F7"/>
    <w:rsid w:val="00414E98"/>
    <w:rsid w:val="00415D7E"/>
    <w:rsid w:val="004165CA"/>
    <w:rsid w:val="00417C83"/>
    <w:rsid w:val="0042002E"/>
    <w:rsid w:val="004200BC"/>
    <w:rsid w:val="004211FF"/>
    <w:rsid w:val="00422A3F"/>
    <w:rsid w:val="00424485"/>
    <w:rsid w:val="004261AC"/>
    <w:rsid w:val="00430BF9"/>
    <w:rsid w:val="00431C47"/>
    <w:rsid w:val="00433410"/>
    <w:rsid w:val="00434584"/>
    <w:rsid w:val="00434B01"/>
    <w:rsid w:val="00434D00"/>
    <w:rsid w:val="004367F1"/>
    <w:rsid w:val="00440029"/>
    <w:rsid w:val="004418C8"/>
    <w:rsid w:val="00441C7C"/>
    <w:rsid w:val="00441E91"/>
    <w:rsid w:val="00442661"/>
    <w:rsid w:val="00442C77"/>
    <w:rsid w:val="0044369F"/>
    <w:rsid w:val="0044472B"/>
    <w:rsid w:val="00445EFB"/>
    <w:rsid w:val="004508CD"/>
    <w:rsid w:val="00450F0E"/>
    <w:rsid w:val="00450FFE"/>
    <w:rsid w:val="0045264F"/>
    <w:rsid w:val="00452890"/>
    <w:rsid w:val="004536B9"/>
    <w:rsid w:val="00453955"/>
    <w:rsid w:val="00453BB5"/>
    <w:rsid w:val="00453D5C"/>
    <w:rsid w:val="00454ED9"/>
    <w:rsid w:val="0045657F"/>
    <w:rsid w:val="004602A6"/>
    <w:rsid w:val="004606D0"/>
    <w:rsid w:val="00463582"/>
    <w:rsid w:val="00464C97"/>
    <w:rsid w:val="00464E32"/>
    <w:rsid w:val="004657C5"/>
    <w:rsid w:val="004660D4"/>
    <w:rsid w:val="00466279"/>
    <w:rsid w:val="00470FA3"/>
    <w:rsid w:val="0047197E"/>
    <w:rsid w:val="004739B2"/>
    <w:rsid w:val="00475814"/>
    <w:rsid w:val="00476467"/>
    <w:rsid w:val="004765EA"/>
    <w:rsid w:val="00480307"/>
    <w:rsid w:val="00480357"/>
    <w:rsid w:val="004805F3"/>
    <w:rsid w:val="00480F2D"/>
    <w:rsid w:val="00482729"/>
    <w:rsid w:val="00484448"/>
    <w:rsid w:val="00484AA4"/>
    <w:rsid w:val="00484B25"/>
    <w:rsid w:val="00487B64"/>
    <w:rsid w:val="00490A5B"/>
    <w:rsid w:val="00490A72"/>
    <w:rsid w:val="004918A5"/>
    <w:rsid w:val="00493471"/>
    <w:rsid w:val="00493A46"/>
    <w:rsid w:val="00493DAC"/>
    <w:rsid w:val="00493DBF"/>
    <w:rsid w:val="00494AEF"/>
    <w:rsid w:val="00494EAB"/>
    <w:rsid w:val="004964DA"/>
    <w:rsid w:val="00496E40"/>
    <w:rsid w:val="0049798E"/>
    <w:rsid w:val="00497ACF"/>
    <w:rsid w:val="004A1368"/>
    <w:rsid w:val="004A1723"/>
    <w:rsid w:val="004A1DEB"/>
    <w:rsid w:val="004A4CB5"/>
    <w:rsid w:val="004A5048"/>
    <w:rsid w:val="004A5214"/>
    <w:rsid w:val="004B3977"/>
    <w:rsid w:val="004B3A62"/>
    <w:rsid w:val="004B4F92"/>
    <w:rsid w:val="004B508F"/>
    <w:rsid w:val="004B5538"/>
    <w:rsid w:val="004B578B"/>
    <w:rsid w:val="004B75AB"/>
    <w:rsid w:val="004C1C11"/>
    <w:rsid w:val="004C2CFE"/>
    <w:rsid w:val="004C35BF"/>
    <w:rsid w:val="004C35CC"/>
    <w:rsid w:val="004C53D6"/>
    <w:rsid w:val="004C6B29"/>
    <w:rsid w:val="004C7087"/>
    <w:rsid w:val="004C7265"/>
    <w:rsid w:val="004D026F"/>
    <w:rsid w:val="004D2BF9"/>
    <w:rsid w:val="004D3C24"/>
    <w:rsid w:val="004E0C2F"/>
    <w:rsid w:val="004E11FC"/>
    <w:rsid w:val="004E4646"/>
    <w:rsid w:val="004F1802"/>
    <w:rsid w:val="004F2857"/>
    <w:rsid w:val="004F2E7E"/>
    <w:rsid w:val="004F31AD"/>
    <w:rsid w:val="004F61F6"/>
    <w:rsid w:val="004F7896"/>
    <w:rsid w:val="005014E7"/>
    <w:rsid w:val="005040AA"/>
    <w:rsid w:val="0050526B"/>
    <w:rsid w:val="00505347"/>
    <w:rsid w:val="005073DA"/>
    <w:rsid w:val="005110CF"/>
    <w:rsid w:val="005154EA"/>
    <w:rsid w:val="00520679"/>
    <w:rsid w:val="00521FEE"/>
    <w:rsid w:val="00522428"/>
    <w:rsid w:val="005248B4"/>
    <w:rsid w:val="00524F40"/>
    <w:rsid w:val="005254D9"/>
    <w:rsid w:val="00525829"/>
    <w:rsid w:val="0052626C"/>
    <w:rsid w:val="00527AEA"/>
    <w:rsid w:val="00527E5F"/>
    <w:rsid w:val="005301EF"/>
    <w:rsid w:val="00531ADE"/>
    <w:rsid w:val="005328A9"/>
    <w:rsid w:val="00533535"/>
    <w:rsid w:val="00534441"/>
    <w:rsid w:val="0053448E"/>
    <w:rsid w:val="0053739B"/>
    <w:rsid w:val="00537661"/>
    <w:rsid w:val="00540388"/>
    <w:rsid w:val="00540CF0"/>
    <w:rsid w:val="00540DB3"/>
    <w:rsid w:val="00540E4A"/>
    <w:rsid w:val="00541C1A"/>
    <w:rsid w:val="00543A3C"/>
    <w:rsid w:val="005442D4"/>
    <w:rsid w:val="005446FE"/>
    <w:rsid w:val="00545D82"/>
    <w:rsid w:val="00546FFE"/>
    <w:rsid w:val="00547A1D"/>
    <w:rsid w:val="00547B5D"/>
    <w:rsid w:val="00550333"/>
    <w:rsid w:val="00551FAC"/>
    <w:rsid w:val="005530E7"/>
    <w:rsid w:val="00553210"/>
    <w:rsid w:val="005542E7"/>
    <w:rsid w:val="0055558B"/>
    <w:rsid w:val="00556620"/>
    <w:rsid w:val="00556B33"/>
    <w:rsid w:val="00557051"/>
    <w:rsid w:val="00560092"/>
    <w:rsid w:val="005634F5"/>
    <w:rsid w:val="00564FDE"/>
    <w:rsid w:val="005651B4"/>
    <w:rsid w:val="0056660A"/>
    <w:rsid w:val="00567E0B"/>
    <w:rsid w:val="00571A14"/>
    <w:rsid w:val="00572A4A"/>
    <w:rsid w:val="005735F2"/>
    <w:rsid w:val="00574758"/>
    <w:rsid w:val="00574BBA"/>
    <w:rsid w:val="00574C9F"/>
    <w:rsid w:val="00574F0F"/>
    <w:rsid w:val="005754D0"/>
    <w:rsid w:val="00575EA5"/>
    <w:rsid w:val="005769D0"/>
    <w:rsid w:val="00577A32"/>
    <w:rsid w:val="00577E47"/>
    <w:rsid w:val="00577E6A"/>
    <w:rsid w:val="00580498"/>
    <w:rsid w:val="00581CEC"/>
    <w:rsid w:val="00581F1A"/>
    <w:rsid w:val="005821C5"/>
    <w:rsid w:val="005823EE"/>
    <w:rsid w:val="00583D5B"/>
    <w:rsid w:val="00584583"/>
    <w:rsid w:val="00584C6F"/>
    <w:rsid w:val="00585955"/>
    <w:rsid w:val="005866CB"/>
    <w:rsid w:val="005915DB"/>
    <w:rsid w:val="00591FF5"/>
    <w:rsid w:val="0059241D"/>
    <w:rsid w:val="0059281A"/>
    <w:rsid w:val="00592DFA"/>
    <w:rsid w:val="00593E31"/>
    <w:rsid w:val="00594E30"/>
    <w:rsid w:val="0059508E"/>
    <w:rsid w:val="005956EB"/>
    <w:rsid w:val="00596097"/>
    <w:rsid w:val="0059657A"/>
    <w:rsid w:val="00597904"/>
    <w:rsid w:val="005A08CD"/>
    <w:rsid w:val="005A0D41"/>
    <w:rsid w:val="005A16E5"/>
    <w:rsid w:val="005A1B4F"/>
    <w:rsid w:val="005A291F"/>
    <w:rsid w:val="005A3207"/>
    <w:rsid w:val="005A5A72"/>
    <w:rsid w:val="005A7A47"/>
    <w:rsid w:val="005B0FA5"/>
    <w:rsid w:val="005B136E"/>
    <w:rsid w:val="005B17C0"/>
    <w:rsid w:val="005B1978"/>
    <w:rsid w:val="005B1FCF"/>
    <w:rsid w:val="005B382D"/>
    <w:rsid w:val="005B5A45"/>
    <w:rsid w:val="005B60A1"/>
    <w:rsid w:val="005B6DE8"/>
    <w:rsid w:val="005B7B38"/>
    <w:rsid w:val="005C0018"/>
    <w:rsid w:val="005C143B"/>
    <w:rsid w:val="005C230D"/>
    <w:rsid w:val="005C2BE8"/>
    <w:rsid w:val="005C2ECA"/>
    <w:rsid w:val="005C3483"/>
    <w:rsid w:val="005C3C4A"/>
    <w:rsid w:val="005D070A"/>
    <w:rsid w:val="005D0856"/>
    <w:rsid w:val="005D0B30"/>
    <w:rsid w:val="005D1C1B"/>
    <w:rsid w:val="005D1D55"/>
    <w:rsid w:val="005D22FF"/>
    <w:rsid w:val="005D2C66"/>
    <w:rsid w:val="005D33D7"/>
    <w:rsid w:val="005D474B"/>
    <w:rsid w:val="005D4CCD"/>
    <w:rsid w:val="005D5240"/>
    <w:rsid w:val="005D5956"/>
    <w:rsid w:val="005D7DBD"/>
    <w:rsid w:val="005E0FCC"/>
    <w:rsid w:val="005E1058"/>
    <w:rsid w:val="005E34A0"/>
    <w:rsid w:val="005E37F0"/>
    <w:rsid w:val="005E66C6"/>
    <w:rsid w:val="005F006F"/>
    <w:rsid w:val="005F07FB"/>
    <w:rsid w:val="005F17AA"/>
    <w:rsid w:val="005F2184"/>
    <w:rsid w:val="005F2676"/>
    <w:rsid w:val="005F26EE"/>
    <w:rsid w:val="005F33A1"/>
    <w:rsid w:val="005F4078"/>
    <w:rsid w:val="005F5769"/>
    <w:rsid w:val="005F6498"/>
    <w:rsid w:val="005F6747"/>
    <w:rsid w:val="005F6BF6"/>
    <w:rsid w:val="006002D1"/>
    <w:rsid w:val="00601919"/>
    <w:rsid w:val="00602B86"/>
    <w:rsid w:val="00602BB0"/>
    <w:rsid w:val="0060328E"/>
    <w:rsid w:val="006037C4"/>
    <w:rsid w:val="00604378"/>
    <w:rsid w:val="00605964"/>
    <w:rsid w:val="00606671"/>
    <w:rsid w:val="00606832"/>
    <w:rsid w:val="00607909"/>
    <w:rsid w:val="00607C64"/>
    <w:rsid w:val="0061014C"/>
    <w:rsid w:val="00610E92"/>
    <w:rsid w:val="00611BBD"/>
    <w:rsid w:val="00611FFE"/>
    <w:rsid w:val="0061365B"/>
    <w:rsid w:val="00613664"/>
    <w:rsid w:val="006147D7"/>
    <w:rsid w:val="00614A96"/>
    <w:rsid w:val="0061540C"/>
    <w:rsid w:val="00621F3A"/>
    <w:rsid w:val="006234D2"/>
    <w:rsid w:val="00624049"/>
    <w:rsid w:val="00624358"/>
    <w:rsid w:val="0062469F"/>
    <w:rsid w:val="00625277"/>
    <w:rsid w:val="006254F0"/>
    <w:rsid w:val="00626AB8"/>
    <w:rsid w:val="00626CA6"/>
    <w:rsid w:val="00631471"/>
    <w:rsid w:val="006338F4"/>
    <w:rsid w:val="00634DEB"/>
    <w:rsid w:val="00634F39"/>
    <w:rsid w:val="0064013D"/>
    <w:rsid w:val="006402E8"/>
    <w:rsid w:val="00640BC2"/>
    <w:rsid w:val="006412D3"/>
    <w:rsid w:val="00642586"/>
    <w:rsid w:val="0064333D"/>
    <w:rsid w:val="00643F26"/>
    <w:rsid w:val="0064409E"/>
    <w:rsid w:val="00644D2F"/>
    <w:rsid w:val="00644F12"/>
    <w:rsid w:val="00647F8F"/>
    <w:rsid w:val="006524B0"/>
    <w:rsid w:val="0065544D"/>
    <w:rsid w:val="006557F8"/>
    <w:rsid w:val="0065650E"/>
    <w:rsid w:val="00656D04"/>
    <w:rsid w:val="00656D98"/>
    <w:rsid w:val="00657CBB"/>
    <w:rsid w:val="00660FBF"/>
    <w:rsid w:val="00661BE5"/>
    <w:rsid w:val="00663B6F"/>
    <w:rsid w:val="00664056"/>
    <w:rsid w:val="00667E6D"/>
    <w:rsid w:val="00670825"/>
    <w:rsid w:val="00670C3C"/>
    <w:rsid w:val="00672205"/>
    <w:rsid w:val="0067288A"/>
    <w:rsid w:val="00674D3A"/>
    <w:rsid w:val="006754E2"/>
    <w:rsid w:val="0067557C"/>
    <w:rsid w:val="00676F70"/>
    <w:rsid w:val="00677EF3"/>
    <w:rsid w:val="006813E6"/>
    <w:rsid w:val="00682F03"/>
    <w:rsid w:val="006831A7"/>
    <w:rsid w:val="006838C5"/>
    <w:rsid w:val="00683989"/>
    <w:rsid w:val="006839A8"/>
    <w:rsid w:val="00683C92"/>
    <w:rsid w:val="00683D38"/>
    <w:rsid w:val="00684C9E"/>
    <w:rsid w:val="0068576C"/>
    <w:rsid w:val="00690167"/>
    <w:rsid w:val="00690B0B"/>
    <w:rsid w:val="006929B7"/>
    <w:rsid w:val="006944B6"/>
    <w:rsid w:val="00695855"/>
    <w:rsid w:val="00695CAC"/>
    <w:rsid w:val="00697505"/>
    <w:rsid w:val="00697C93"/>
    <w:rsid w:val="006A042E"/>
    <w:rsid w:val="006A089D"/>
    <w:rsid w:val="006A0B17"/>
    <w:rsid w:val="006A187D"/>
    <w:rsid w:val="006A1D1E"/>
    <w:rsid w:val="006A37CE"/>
    <w:rsid w:val="006A55D1"/>
    <w:rsid w:val="006A65A8"/>
    <w:rsid w:val="006A6ABF"/>
    <w:rsid w:val="006B07B6"/>
    <w:rsid w:val="006B170A"/>
    <w:rsid w:val="006B1ED1"/>
    <w:rsid w:val="006B2CEA"/>
    <w:rsid w:val="006B4AD1"/>
    <w:rsid w:val="006B5D11"/>
    <w:rsid w:val="006B6C1B"/>
    <w:rsid w:val="006B6C33"/>
    <w:rsid w:val="006B6F2C"/>
    <w:rsid w:val="006C0C8E"/>
    <w:rsid w:val="006C2D88"/>
    <w:rsid w:val="006C3C0D"/>
    <w:rsid w:val="006C41F7"/>
    <w:rsid w:val="006C425E"/>
    <w:rsid w:val="006C47CF"/>
    <w:rsid w:val="006C68F2"/>
    <w:rsid w:val="006D05DE"/>
    <w:rsid w:val="006D1877"/>
    <w:rsid w:val="006D1EB4"/>
    <w:rsid w:val="006D2615"/>
    <w:rsid w:val="006D4C91"/>
    <w:rsid w:val="006D6665"/>
    <w:rsid w:val="006D6B8A"/>
    <w:rsid w:val="006D7839"/>
    <w:rsid w:val="006E0B69"/>
    <w:rsid w:val="006E34C7"/>
    <w:rsid w:val="006E3544"/>
    <w:rsid w:val="006E3754"/>
    <w:rsid w:val="006E3B15"/>
    <w:rsid w:val="006E3F83"/>
    <w:rsid w:val="006E4052"/>
    <w:rsid w:val="006E474C"/>
    <w:rsid w:val="006E4F10"/>
    <w:rsid w:val="006E533D"/>
    <w:rsid w:val="006E6A65"/>
    <w:rsid w:val="006E7060"/>
    <w:rsid w:val="006E7551"/>
    <w:rsid w:val="006E7954"/>
    <w:rsid w:val="006F0A28"/>
    <w:rsid w:val="006F1EDA"/>
    <w:rsid w:val="006F263D"/>
    <w:rsid w:val="006F3D34"/>
    <w:rsid w:val="006F4F99"/>
    <w:rsid w:val="006F5092"/>
    <w:rsid w:val="006F5566"/>
    <w:rsid w:val="006F6AC8"/>
    <w:rsid w:val="007005C4"/>
    <w:rsid w:val="00700E21"/>
    <w:rsid w:val="00702DC1"/>
    <w:rsid w:val="00704955"/>
    <w:rsid w:val="007061C7"/>
    <w:rsid w:val="007068BE"/>
    <w:rsid w:val="00711880"/>
    <w:rsid w:val="00712E1F"/>
    <w:rsid w:val="00713D4D"/>
    <w:rsid w:val="0071768A"/>
    <w:rsid w:val="0071782E"/>
    <w:rsid w:val="0072256F"/>
    <w:rsid w:val="007235FD"/>
    <w:rsid w:val="00723E1A"/>
    <w:rsid w:val="007249A7"/>
    <w:rsid w:val="007256AF"/>
    <w:rsid w:val="00725B85"/>
    <w:rsid w:val="00725EFB"/>
    <w:rsid w:val="00726260"/>
    <w:rsid w:val="00726C9E"/>
    <w:rsid w:val="00726D19"/>
    <w:rsid w:val="0072721C"/>
    <w:rsid w:val="00731F26"/>
    <w:rsid w:val="00734419"/>
    <w:rsid w:val="00734CB4"/>
    <w:rsid w:val="00734EA0"/>
    <w:rsid w:val="0073664B"/>
    <w:rsid w:val="00736E6A"/>
    <w:rsid w:val="00736F72"/>
    <w:rsid w:val="00741F4D"/>
    <w:rsid w:val="0074252C"/>
    <w:rsid w:val="00742EEA"/>
    <w:rsid w:val="00742F0A"/>
    <w:rsid w:val="00745802"/>
    <w:rsid w:val="0075010E"/>
    <w:rsid w:val="007504BF"/>
    <w:rsid w:val="0075272D"/>
    <w:rsid w:val="00752743"/>
    <w:rsid w:val="00754206"/>
    <w:rsid w:val="007546EB"/>
    <w:rsid w:val="00754D33"/>
    <w:rsid w:val="00755BE2"/>
    <w:rsid w:val="007569AE"/>
    <w:rsid w:val="007578A6"/>
    <w:rsid w:val="007578F9"/>
    <w:rsid w:val="00760F33"/>
    <w:rsid w:val="0076223D"/>
    <w:rsid w:val="00763B76"/>
    <w:rsid w:val="00766D9C"/>
    <w:rsid w:val="00767FED"/>
    <w:rsid w:val="0077025D"/>
    <w:rsid w:val="00771300"/>
    <w:rsid w:val="007806A8"/>
    <w:rsid w:val="00780EEC"/>
    <w:rsid w:val="007811BC"/>
    <w:rsid w:val="00781989"/>
    <w:rsid w:val="007837CD"/>
    <w:rsid w:val="007852DD"/>
    <w:rsid w:val="00790429"/>
    <w:rsid w:val="007915EA"/>
    <w:rsid w:val="00791D1C"/>
    <w:rsid w:val="00792743"/>
    <w:rsid w:val="007928D7"/>
    <w:rsid w:val="00794E2C"/>
    <w:rsid w:val="00795039"/>
    <w:rsid w:val="00795681"/>
    <w:rsid w:val="00796902"/>
    <w:rsid w:val="007979D5"/>
    <w:rsid w:val="007A3031"/>
    <w:rsid w:val="007A409F"/>
    <w:rsid w:val="007A7768"/>
    <w:rsid w:val="007B0BC8"/>
    <w:rsid w:val="007B0CC4"/>
    <w:rsid w:val="007B3BF1"/>
    <w:rsid w:val="007B3E6D"/>
    <w:rsid w:val="007B4C48"/>
    <w:rsid w:val="007B5967"/>
    <w:rsid w:val="007B5D55"/>
    <w:rsid w:val="007B765B"/>
    <w:rsid w:val="007C11B3"/>
    <w:rsid w:val="007C26E3"/>
    <w:rsid w:val="007C2F6B"/>
    <w:rsid w:val="007C4A0E"/>
    <w:rsid w:val="007C4DC2"/>
    <w:rsid w:val="007C5A3A"/>
    <w:rsid w:val="007C6056"/>
    <w:rsid w:val="007C64A6"/>
    <w:rsid w:val="007C6936"/>
    <w:rsid w:val="007C7219"/>
    <w:rsid w:val="007C7271"/>
    <w:rsid w:val="007C7DE1"/>
    <w:rsid w:val="007D2E46"/>
    <w:rsid w:val="007D3709"/>
    <w:rsid w:val="007D3AE5"/>
    <w:rsid w:val="007D3FA9"/>
    <w:rsid w:val="007D4363"/>
    <w:rsid w:val="007D579B"/>
    <w:rsid w:val="007D5A7D"/>
    <w:rsid w:val="007D6B06"/>
    <w:rsid w:val="007D6C36"/>
    <w:rsid w:val="007E096C"/>
    <w:rsid w:val="007E1B01"/>
    <w:rsid w:val="007E2D93"/>
    <w:rsid w:val="007E2F76"/>
    <w:rsid w:val="007E38CF"/>
    <w:rsid w:val="007E53F4"/>
    <w:rsid w:val="007E56B2"/>
    <w:rsid w:val="007E56CA"/>
    <w:rsid w:val="007E5767"/>
    <w:rsid w:val="007E7007"/>
    <w:rsid w:val="007E721C"/>
    <w:rsid w:val="007F09AB"/>
    <w:rsid w:val="007F264D"/>
    <w:rsid w:val="007F26A1"/>
    <w:rsid w:val="007F2EB9"/>
    <w:rsid w:val="007F2FA3"/>
    <w:rsid w:val="007F534B"/>
    <w:rsid w:val="007F53BD"/>
    <w:rsid w:val="007F5562"/>
    <w:rsid w:val="007F5D72"/>
    <w:rsid w:val="007F5E3A"/>
    <w:rsid w:val="007F6395"/>
    <w:rsid w:val="007F67A4"/>
    <w:rsid w:val="007F7C0D"/>
    <w:rsid w:val="0080111A"/>
    <w:rsid w:val="008029D0"/>
    <w:rsid w:val="008045CE"/>
    <w:rsid w:val="00804B33"/>
    <w:rsid w:val="00804F19"/>
    <w:rsid w:val="00805E0B"/>
    <w:rsid w:val="008067B4"/>
    <w:rsid w:val="00812F49"/>
    <w:rsid w:val="0081357D"/>
    <w:rsid w:val="008136A2"/>
    <w:rsid w:val="008136FF"/>
    <w:rsid w:val="00813A33"/>
    <w:rsid w:val="00813FCC"/>
    <w:rsid w:val="0081410B"/>
    <w:rsid w:val="00814426"/>
    <w:rsid w:val="00814CAA"/>
    <w:rsid w:val="0081518D"/>
    <w:rsid w:val="008155FC"/>
    <w:rsid w:val="00815B6D"/>
    <w:rsid w:val="00815B73"/>
    <w:rsid w:val="0082039F"/>
    <w:rsid w:val="00820C10"/>
    <w:rsid w:val="00821830"/>
    <w:rsid w:val="00821E81"/>
    <w:rsid w:val="0082225A"/>
    <w:rsid w:val="008240B0"/>
    <w:rsid w:val="00824A1A"/>
    <w:rsid w:val="00824C0E"/>
    <w:rsid w:val="008251B5"/>
    <w:rsid w:val="00825F48"/>
    <w:rsid w:val="008268BC"/>
    <w:rsid w:val="008300A1"/>
    <w:rsid w:val="0083017E"/>
    <w:rsid w:val="00830241"/>
    <w:rsid w:val="008307B8"/>
    <w:rsid w:val="008313FC"/>
    <w:rsid w:val="00834333"/>
    <w:rsid w:val="00835188"/>
    <w:rsid w:val="008351F9"/>
    <w:rsid w:val="00837117"/>
    <w:rsid w:val="00837487"/>
    <w:rsid w:val="0083781D"/>
    <w:rsid w:val="00840312"/>
    <w:rsid w:val="00840E50"/>
    <w:rsid w:val="008416A3"/>
    <w:rsid w:val="00841F03"/>
    <w:rsid w:val="00842E34"/>
    <w:rsid w:val="00843468"/>
    <w:rsid w:val="00844033"/>
    <w:rsid w:val="008442D9"/>
    <w:rsid w:val="00845B66"/>
    <w:rsid w:val="00846A7C"/>
    <w:rsid w:val="00847C56"/>
    <w:rsid w:val="00852C29"/>
    <w:rsid w:val="008539FF"/>
    <w:rsid w:val="00854358"/>
    <w:rsid w:val="00861D95"/>
    <w:rsid w:val="00861E9C"/>
    <w:rsid w:val="008629B7"/>
    <w:rsid w:val="00863A69"/>
    <w:rsid w:val="00864750"/>
    <w:rsid w:val="0086523A"/>
    <w:rsid w:val="00865AF4"/>
    <w:rsid w:val="00867BA0"/>
    <w:rsid w:val="00867E69"/>
    <w:rsid w:val="00867EBA"/>
    <w:rsid w:val="008705D2"/>
    <w:rsid w:val="0087130A"/>
    <w:rsid w:val="00873149"/>
    <w:rsid w:val="00873F70"/>
    <w:rsid w:val="00873F7B"/>
    <w:rsid w:val="0087532A"/>
    <w:rsid w:val="008755DB"/>
    <w:rsid w:val="008756E5"/>
    <w:rsid w:val="00876C59"/>
    <w:rsid w:val="00882195"/>
    <w:rsid w:val="00884943"/>
    <w:rsid w:val="00884A93"/>
    <w:rsid w:val="00885483"/>
    <w:rsid w:val="008864F5"/>
    <w:rsid w:val="0089043A"/>
    <w:rsid w:val="00890B52"/>
    <w:rsid w:val="00892534"/>
    <w:rsid w:val="0089313C"/>
    <w:rsid w:val="00894CB9"/>
    <w:rsid w:val="00896A09"/>
    <w:rsid w:val="00897806"/>
    <w:rsid w:val="008A029E"/>
    <w:rsid w:val="008A0B6C"/>
    <w:rsid w:val="008A0D75"/>
    <w:rsid w:val="008A20BC"/>
    <w:rsid w:val="008A4B85"/>
    <w:rsid w:val="008A7ADF"/>
    <w:rsid w:val="008A7E9A"/>
    <w:rsid w:val="008B012F"/>
    <w:rsid w:val="008B1685"/>
    <w:rsid w:val="008B266C"/>
    <w:rsid w:val="008B5993"/>
    <w:rsid w:val="008B5BD0"/>
    <w:rsid w:val="008B7ECF"/>
    <w:rsid w:val="008C066D"/>
    <w:rsid w:val="008C15C3"/>
    <w:rsid w:val="008C1D80"/>
    <w:rsid w:val="008C2C01"/>
    <w:rsid w:val="008C3B47"/>
    <w:rsid w:val="008C49E3"/>
    <w:rsid w:val="008C4B2E"/>
    <w:rsid w:val="008C55BA"/>
    <w:rsid w:val="008C70C6"/>
    <w:rsid w:val="008D0492"/>
    <w:rsid w:val="008D1635"/>
    <w:rsid w:val="008D16E8"/>
    <w:rsid w:val="008D199A"/>
    <w:rsid w:val="008D2689"/>
    <w:rsid w:val="008D35F7"/>
    <w:rsid w:val="008D37EE"/>
    <w:rsid w:val="008D435C"/>
    <w:rsid w:val="008D725D"/>
    <w:rsid w:val="008D78B6"/>
    <w:rsid w:val="008E03F7"/>
    <w:rsid w:val="008E0909"/>
    <w:rsid w:val="008E11F7"/>
    <w:rsid w:val="008E14F7"/>
    <w:rsid w:val="008E2769"/>
    <w:rsid w:val="008E2AA9"/>
    <w:rsid w:val="008E35DD"/>
    <w:rsid w:val="008E3996"/>
    <w:rsid w:val="008E4758"/>
    <w:rsid w:val="008E4F77"/>
    <w:rsid w:val="008F01AB"/>
    <w:rsid w:val="008F120A"/>
    <w:rsid w:val="008F1512"/>
    <w:rsid w:val="008F239D"/>
    <w:rsid w:val="008F35DB"/>
    <w:rsid w:val="008F3602"/>
    <w:rsid w:val="008F37AE"/>
    <w:rsid w:val="008F3971"/>
    <w:rsid w:val="008F3AC3"/>
    <w:rsid w:val="008F3D8C"/>
    <w:rsid w:val="008F49D6"/>
    <w:rsid w:val="008F53CA"/>
    <w:rsid w:val="008F5A67"/>
    <w:rsid w:val="008F67CD"/>
    <w:rsid w:val="008F69D3"/>
    <w:rsid w:val="008F7549"/>
    <w:rsid w:val="008F7E1D"/>
    <w:rsid w:val="00900EBB"/>
    <w:rsid w:val="00902632"/>
    <w:rsid w:val="0090374D"/>
    <w:rsid w:val="00905495"/>
    <w:rsid w:val="009054DD"/>
    <w:rsid w:val="00905DDC"/>
    <w:rsid w:val="0090699B"/>
    <w:rsid w:val="00906CC9"/>
    <w:rsid w:val="00906E21"/>
    <w:rsid w:val="00910DB7"/>
    <w:rsid w:val="0091127E"/>
    <w:rsid w:val="00911750"/>
    <w:rsid w:val="00912FAD"/>
    <w:rsid w:val="0091334A"/>
    <w:rsid w:val="009160A3"/>
    <w:rsid w:val="00917541"/>
    <w:rsid w:val="00927656"/>
    <w:rsid w:val="00927882"/>
    <w:rsid w:val="009279A6"/>
    <w:rsid w:val="0093080E"/>
    <w:rsid w:val="00930FC6"/>
    <w:rsid w:val="009313F6"/>
    <w:rsid w:val="00931EFC"/>
    <w:rsid w:val="009337D9"/>
    <w:rsid w:val="00933DC7"/>
    <w:rsid w:val="0093471E"/>
    <w:rsid w:val="00935DB3"/>
    <w:rsid w:val="00936D8F"/>
    <w:rsid w:val="00936FCE"/>
    <w:rsid w:val="0093716B"/>
    <w:rsid w:val="00944C75"/>
    <w:rsid w:val="00944CDC"/>
    <w:rsid w:val="00947C9E"/>
    <w:rsid w:val="00952362"/>
    <w:rsid w:val="00952DDB"/>
    <w:rsid w:val="0095358A"/>
    <w:rsid w:val="009537CD"/>
    <w:rsid w:val="00956F33"/>
    <w:rsid w:val="00960DB6"/>
    <w:rsid w:val="00961CC7"/>
    <w:rsid w:val="00961F6D"/>
    <w:rsid w:val="00962B7E"/>
    <w:rsid w:val="00965E2E"/>
    <w:rsid w:val="009702EB"/>
    <w:rsid w:val="00971124"/>
    <w:rsid w:val="009719AB"/>
    <w:rsid w:val="00972223"/>
    <w:rsid w:val="0097230C"/>
    <w:rsid w:val="0097236D"/>
    <w:rsid w:val="00972BE7"/>
    <w:rsid w:val="0097395E"/>
    <w:rsid w:val="009739F1"/>
    <w:rsid w:val="00974234"/>
    <w:rsid w:val="009752DA"/>
    <w:rsid w:val="00976082"/>
    <w:rsid w:val="009764B9"/>
    <w:rsid w:val="00977E28"/>
    <w:rsid w:val="009823E5"/>
    <w:rsid w:val="00983A3D"/>
    <w:rsid w:val="00984B68"/>
    <w:rsid w:val="00985429"/>
    <w:rsid w:val="009876CB"/>
    <w:rsid w:val="00990E3E"/>
    <w:rsid w:val="00991275"/>
    <w:rsid w:val="00992A45"/>
    <w:rsid w:val="0099300A"/>
    <w:rsid w:val="00993FF9"/>
    <w:rsid w:val="00995447"/>
    <w:rsid w:val="00995C91"/>
    <w:rsid w:val="00996722"/>
    <w:rsid w:val="009A0A9A"/>
    <w:rsid w:val="009A10EA"/>
    <w:rsid w:val="009A1FCE"/>
    <w:rsid w:val="009A56EF"/>
    <w:rsid w:val="009A575E"/>
    <w:rsid w:val="009A6E8F"/>
    <w:rsid w:val="009A770F"/>
    <w:rsid w:val="009B1560"/>
    <w:rsid w:val="009B2E0A"/>
    <w:rsid w:val="009B4090"/>
    <w:rsid w:val="009B503F"/>
    <w:rsid w:val="009B56AF"/>
    <w:rsid w:val="009B7C86"/>
    <w:rsid w:val="009C09C8"/>
    <w:rsid w:val="009C10D2"/>
    <w:rsid w:val="009C1698"/>
    <w:rsid w:val="009C1BC8"/>
    <w:rsid w:val="009C2616"/>
    <w:rsid w:val="009C2B33"/>
    <w:rsid w:val="009C3A80"/>
    <w:rsid w:val="009C3BCD"/>
    <w:rsid w:val="009C45B1"/>
    <w:rsid w:val="009C7E2E"/>
    <w:rsid w:val="009D1063"/>
    <w:rsid w:val="009D26DC"/>
    <w:rsid w:val="009D352C"/>
    <w:rsid w:val="009D35C3"/>
    <w:rsid w:val="009D374E"/>
    <w:rsid w:val="009D64F5"/>
    <w:rsid w:val="009E1E08"/>
    <w:rsid w:val="009E2276"/>
    <w:rsid w:val="009E295F"/>
    <w:rsid w:val="009E3292"/>
    <w:rsid w:val="009E3E7C"/>
    <w:rsid w:val="009E5284"/>
    <w:rsid w:val="009E5E44"/>
    <w:rsid w:val="009E764D"/>
    <w:rsid w:val="009F0B02"/>
    <w:rsid w:val="009F1588"/>
    <w:rsid w:val="009F18AE"/>
    <w:rsid w:val="009F2F26"/>
    <w:rsid w:val="009F406B"/>
    <w:rsid w:val="009F6182"/>
    <w:rsid w:val="009F629E"/>
    <w:rsid w:val="009F6443"/>
    <w:rsid w:val="00A00C67"/>
    <w:rsid w:val="00A01E16"/>
    <w:rsid w:val="00A01F96"/>
    <w:rsid w:val="00A0261D"/>
    <w:rsid w:val="00A03D13"/>
    <w:rsid w:val="00A048E9"/>
    <w:rsid w:val="00A049B5"/>
    <w:rsid w:val="00A04BD4"/>
    <w:rsid w:val="00A05BBB"/>
    <w:rsid w:val="00A06EC3"/>
    <w:rsid w:val="00A071AE"/>
    <w:rsid w:val="00A10B5B"/>
    <w:rsid w:val="00A11C23"/>
    <w:rsid w:val="00A121AA"/>
    <w:rsid w:val="00A12DF2"/>
    <w:rsid w:val="00A134C1"/>
    <w:rsid w:val="00A13BAC"/>
    <w:rsid w:val="00A15388"/>
    <w:rsid w:val="00A1624B"/>
    <w:rsid w:val="00A22091"/>
    <w:rsid w:val="00A2747E"/>
    <w:rsid w:val="00A277EC"/>
    <w:rsid w:val="00A27D3D"/>
    <w:rsid w:val="00A30E5C"/>
    <w:rsid w:val="00A339BE"/>
    <w:rsid w:val="00A35240"/>
    <w:rsid w:val="00A35910"/>
    <w:rsid w:val="00A36E49"/>
    <w:rsid w:val="00A3781F"/>
    <w:rsid w:val="00A37B26"/>
    <w:rsid w:val="00A40B10"/>
    <w:rsid w:val="00A41584"/>
    <w:rsid w:val="00A41866"/>
    <w:rsid w:val="00A418AF"/>
    <w:rsid w:val="00A42133"/>
    <w:rsid w:val="00A4226B"/>
    <w:rsid w:val="00A43132"/>
    <w:rsid w:val="00A43799"/>
    <w:rsid w:val="00A440AE"/>
    <w:rsid w:val="00A50E85"/>
    <w:rsid w:val="00A532CA"/>
    <w:rsid w:val="00A53604"/>
    <w:rsid w:val="00A54051"/>
    <w:rsid w:val="00A54121"/>
    <w:rsid w:val="00A54E6D"/>
    <w:rsid w:val="00A63C20"/>
    <w:rsid w:val="00A6674A"/>
    <w:rsid w:val="00A6686A"/>
    <w:rsid w:val="00A668F9"/>
    <w:rsid w:val="00A66AD7"/>
    <w:rsid w:val="00A66ECA"/>
    <w:rsid w:val="00A6721A"/>
    <w:rsid w:val="00A707F4"/>
    <w:rsid w:val="00A70C15"/>
    <w:rsid w:val="00A732C6"/>
    <w:rsid w:val="00A744E8"/>
    <w:rsid w:val="00A75003"/>
    <w:rsid w:val="00A7522F"/>
    <w:rsid w:val="00A76524"/>
    <w:rsid w:val="00A76A03"/>
    <w:rsid w:val="00A7796F"/>
    <w:rsid w:val="00A81DFB"/>
    <w:rsid w:val="00A83035"/>
    <w:rsid w:val="00A843AF"/>
    <w:rsid w:val="00A853C3"/>
    <w:rsid w:val="00A87705"/>
    <w:rsid w:val="00A943E8"/>
    <w:rsid w:val="00A94AE4"/>
    <w:rsid w:val="00A94D7A"/>
    <w:rsid w:val="00A9733F"/>
    <w:rsid w:val="00AA1635"/>
    <w:rsid w:val="00AA1BBA"/>
    <w:rsid w:val="00AA1C4C"/>
    <w:rsid w:val="00AA3396"/>
    <w:rsid w:val="00AA3DE7"/>
    <w:rsid w:val="00AA62D4"/>
    <w:rsid w:val="00AA6DC4"/>
    <w:rsid w:val="00AA7BD7"/>
    <w:rsid w:val="00AA7EC4"/>
    <w:rsid w:val="00AB1E3A"/>
    <w:rsid w:val="00AB2AFC"/>
    <w:rsid w:val="00AB3F60"/>
    <w:rsid w:val="00AB5351"/>
    <w:rsid w:val="00AC06C7"/>
    <w:rsid w:val="00AC109D"/>
    <w:rsid w:val="00AC6838"/>
    <w:rsid w:val="00AC6F38"/>
    <w:rsid w:val="00AC781A"/>
    <w:rsid w:val="00AD0D07"/>
    <w:rsid w:val="00AD2EE6"/>
    <w:rsid w:val="00AD31B2"/>
    <w:rsid w:val="00AD39A7"/>
    <w:rsid w:val="00AD3F5F"/>
    <w:rsid w:val="00AE03E3"/>
    <w:rsid w:val="00AE1833"/>
    <w:rsid w:val="00AE19B8"/>
    <w:rsid w:val="00AE1E94"/>
    <w:rsid w:val="00AE2E83"/>
    <w:rsid w:val="00AE3BC1"/>
    <w:rsid w:val="00AE3BD2"/>
    <w:rsid w:val="00AE428D"/>
    <w:rsid w:val="00AE60D4"/>
    <w:rsid w:val="00AE6769"/>
    <w:rsid w:val="00AE74EB"/>
    <w:rsid w:val="00AF13D7"/>
    <w:rsid w:val="00AF1EAC"/>
    <w:rsid w:val="00AF4275"/>
    <w:rsid w:val="00AF4946"/>
    <w:rsid w:val="00AF50F1"/>
    <w:rsid w:val="00AF628C"/>
    <w:rsid w:val="00AF66C0"/>
    <w:rsid w:val="00AF68C3"/>
    <w:rsid w:val="00B015BF"/>
    <w:rsid w:val="00B03B55"/>
    <w:rsid w:val="00B0421D"/>
    <w:rsid w:val="00B04C2B"/>
    <w:rsid w:val="00B0531C"/>
    <w:rsid w:val="00B06CB6"/>
    <w:rsid w:val="00B07654"/>
    <w:rsid w:val="00B07711"/>
    <w:rsid w:val="00B07786"/>
    <w:rsid w:val="00B07A62"/>
    <w:rsid w:val="00B118AE"/>
    <w:rsid w:val="00B118F8"/>
    <w:rsid w:val="00B13A88"/>
    <w:rsid w:val="00B13B8C"/>
    <w:rsid w:val="00B1501A"/>
    <w:rsid w:val="00B15F38"/>
    <w:rsid w:val="00B1667B"/>
    <w:rsid w:val="00B201B6"/>
    <w:rsid w:val="00B20A9A"/>
    <w:rsid w:val="00B2342A"/>
    <w:rsid w:val="00B23FA4"/>
    <w:rsid w:val="00B2516D"/>
    <w:rsid w:val="00B25F48"/>
    <w:rsid w:val="00B26691"/>
    <w:rsid w:val="00B26A42"/>
    <w:rsid w:val="00B26B10"/>
    <w:rsid w:val="00B26B7C"/>
    <w:rsid w:val="00B27037"/>
    <w:rsid w:val="00B27E61"/>
    <w:rsid w:val="00B3039E"/>
    <w:rsid w:val="00B306A3"/>
    <w:rsid w:val="00B31AE5"/>
    <w:rsid w:val="00B31B72"/>
    <w:rsid w:val="00B31B7A"/>
    <w:rsid w:val="00B32090"/>
    <w:rsid w:val="00B33689"/>
    <w:rsid w:val="00B3397B"/>
    <w:rsid w:val="00B33C38"/>
    <w:rsid w:val="00B342BA"/>
    <w:rsid w:val="00B34525"/>
    <w:rsid w:val="00B3493E"/>
    <w:rsid w:val="00B41CF7"/>
    <w:rsid w:val="00B42FAD"/>
    <w:rsid w:val="00B445AE"/>
    <w:rsid w:val="00B446BF"/>
    <w:rsid w:val="00B47014"/>
    <w:rsid w:val="00B53084"/>
    <w:rsid w:val="00B53A65"/>
    <w:rsid w:val="00B54262"/>
    <w:rsid w:val="00B54636"/>
    <w:rsid w:val="00B5464B"/>
    <w:rsid w:val="00B549E7"/>
    <w:rsid w:val="00B54A76"/>
    <w:rsid w:val="00B54D2C"/>
    <w:rsid w:val="00B55B26"/>
    <w:rsid w:val="00B56AC6"/>
    <w:rsid w:val="00B62E99"/>
    <w:rsid w:val="00B62FB4"/>
    <w:rsid w:val="00B63732"/>
    <w:rsid w:val="00B64B8A"/>
    <w:rsid w:val="00B6612F"/>
    <w:rsid w:val="00B6735F"/>
    <w:rsid w:val="00B67DA5"/>
    <w:rsid w:val="00B74131"/>
    <w:rsid w:val="00B742CC"/>
    <w:rsid w:val="00B742F3"/>
    <w:rsid w:val="00B74C17"/>
    <w:rsid w:val="00B75700"/>
    <w:rsid w:val="00B80527"/>
    <w:rsid w:val="00B81198"/>
    <w:rsid w:val="00B8604C"/>
    <w:rsid w:val="00B868BE"/>
    <w:rsid w:val="00B868C0"/>
    <w:rsid w:val="00B86D61"/>
    <w:rsid w:val="00B87701"/>
    <w:rsid w:val="00B90BC7"/>
    <w:rsid w:val="00B9161B"/>
    <w:rsid w:val="00B919E1"/>
    <w:rsid w:val="00B91AD3"/>
    <w:rsid w:val="00B91B17"/>
    <w:rsid w:val="00B91DB1"/>
    <w:rsid w:val="00B921CD"/>
    <w:rsid w:val="00B958B1"/>
    <w:rsid w:val="00B96FF4"/>
    <w:rsid w:val="00B9765F"/>
    <w:rsid w:val="00BA27F9"/>
    <w:rsid w:val="00BA61BA"/>
    <w:rsid w:val="00BA6FA0"/>
    <w:rsid w:val="00BA76EB"/>
    <w:rsid w:val="00BA7852"/>
    <w:rsid w:val="00BB21A8"/>
    <w:rsid w:val="00BB47B3"/>
    <w:rsid w:val="00BB4CAF"/>
    <w:rsid w:val="00BB4CB6"/>
    <w:rsid w:val="00BB55CE"/>
    <w:rsid w:val="00BB571E"/>
    <w:rsid w:val="00BB78F6"/>
    <w:rsid w:val="00BB7C5B"/>
    <w:rsid w:val="00BC0AFE"/>
    <w:rsid w:val="00BC16C4"/>
    <w:rsid w:val="00BC383C"/>
    <w:rsid w:val="00BC3B0A"/>
    <w:rsid w:val="00BC3E33"/>
    <w:rsid w:val="00BC4DFF"/>
    <w:rsid w:val="00BC6281"/>
    <w:rsid w:val="00BD17DB"/>
    <w:rsid w:val="00BD2A29"/>
    <w:rsid w:val="00BD2CC0"/>
    <w:rsid w:val="00BD413A"/>
    <w:rsid w:val="00BD6CE3"/>
    <w:rsid w:val="00BD70AF"/>
    <w:rsid w:val="00BD7E08"/>
    <w:rsid w:val="00BE0F3C"/>
    <w:rsid w:val="00BE252F"/>
    <w:rsid w:val="00BE256A"/>
    <w:rsid w:val="00BE2BEF"/>
    <w:rsid w:val="00BE3129"/>
    <w:rsid w:val="00BE35E6"/>
    <w:rsid w:val="00BE4AA8"/>
    <w:rsid w:val="00BE58B4"/>
    <w:rsid w:val="00BE6BD4"/>
    <w:rsid w:val="00BE7681"/>
    <w:rsid w:val="00BF08A4"/>
    <w:rsid w:val="00BF0A68"/>
    <w:rsid w:val="00BF2177"/>
    <w:rsid w:val="00BF26DB"/>
    <w:rsid w:val="00BF40B5"/>
    <w:rsid w:val="00BF4CBE"/>
    <w:rsid w:val="00BF53AC"/>
    <w:rsid w:val="00BF55A7"/>
    <w:rsid w:val="00BF5FC1"/>
    <w:rsid w:val="00BF64F7"/>
    <w:rsid w:val="00C00397"/>
    <w:rsid w:val="00C02320"/>
    <w:rsid w:val="00C02624"/>
    <w:rsid w:val="00C03D34"/>
    <w:rsid w:val="00C04226"/>
    <w:rsid w:val="00C1288C"/>
    <w:rsid w:val="00C13CB7"/>
    <w:rsid w:val="00C13E19"/>
    <w:rsid w:val="00C21E6B"/>
    <w:rsid w:val="00C22296"/>
    <w:rsid w:val="00C223CF"/>
    <w:rsid w:val="00C2278F"/>
    <w:rsid w:val="00C241B1"/>
    <w:rsid w:val="00C31807"/>
    <w:rsid w:val="00C31A42"/>
    <w:rsid w:val="00C32FDD"/>
    <w:rsid w:val="00C34053"/>
    <w:rsid w:val="00C34BA3"/>
    <w:rsid w:val="00C35901"/>
    <w:rsid w:val="00C35BD8"/>
    <w:rsid w:val="00C35E58"/>
    <w:rsid w:val="00C36230"/>
    <w:rsid w:val="00C37464"/>
    <w:rsid w:val="00C377C0"/>
    <w:rsid w:val="00C4296F"/>
    <w:rsid w:val="00C42A6E"/>
    <w:rsid w:val="00C43BB7"/>
    <w:rsid w:val="00C43F84"/>
    <w:rsid w:val="00C44BDD"/>
    <w:rsid w:val="00C44F55"/>
    <w:rsid w:val="00C455C8"/>
    <w:rsid w:val="00C45B87"/>
    <w:rsid w:val="00C5026D"/>
    <w:rsid w:val="00C51214"/>
    <w:rsid w:val="00C51A43"/>
    <w:rsid w:val="00C52908"/>
    <w:rsid w:val="00C53B21"/>
    <w:rsid w:val="00C54D5E"/>
    <w:rsid w:val="00C55089"/>
    <w:rsid w:val="00C5520F"/>
    <w:rsid w:val="00C564B5"/>
    <w:rsid w:val="00C56848"/>
    <w:rsid w:val="00C653C9"/>
    <w:rsid w:val="00C65968"/>
    <w:rsid w:val="00C65A4C"/>
    <w:rsid w:val="00C66394"/>
    <w:rsid w:val="00C674D0"/>
    <w:rsid w:val="00C67BC0"/>
    <w:rsid w:val="00C70DDF"/>
    <w:rsid w:val="00C729CD"/>
    <w:rsid w:val="00C7418D"/>
    <w:rsid w:val="00C74855"/>
    <w:rsid w:val="00C758A9"/>
    <w:rsid w:val="00C76361"/>
    <w:rsid w:val="00C80037"/>
    <w:rsid w:val="00C80769"/>
    <w:rsid w:val="00C83512"/>
    <w:rsid w:val="00C84ED8"/>
    <w:rsid w:val="00C84F8A"/>
    <w:rsid w:val="00C85CA1"/>
    <w:rsid w:val="00C8673E"/>
    <w:rsid w:val="00C914A1"/>
    <w:rsid w:val="00C925DB"/>
    <w:rsid w:val="00C92FB1"/>
    <w:rsid w:val="00C935E9"/>
    <w:rsid w:val="00C9432E"/>
    <w:rsid w:val="00C94EB9"/>
    <w:rsid w:val="00C96692"/>
    <w:rsid w:val="00C96EDD"/>
    <w:rsid w:val="00C97D28"/>
    <w:rsid w:val="00C97E7A"/>
    <w:rsid w:val="00C97FB9"/>
    <w:rsid w:val="00CA0196"/>
    <w:rsid w:val="00CA0F74"/>
    <w:rsid w:val="00CA3A20"/>
    <w:rsid w:val="00CA45B0"/>
    <w:rsid w:val="00CA5462"/>
    <w:rsid w:val="00CA56AE"/>
    <w:rsid w:val="00CA5C7C"/>
    <w:rsid w:val="00CA6486"/>
    <w:rsid w:val="00CA71D3"/>
    <w:rsid w:val="00CB0D83"/>
    <w:rsid w:val="00CB2CCB"/>
    <w:rsid w:val="00CB2F43"/>
    <w:rsid w:val="00CB3DCB"/>
    <w:rsid w:val="00CB4816"/>
    <w:rsid w:val="00CB5469"/>
    <w:rsid w:val="00CB5A5D"/>
    <w:rsid w:val="00CB6975"/>
    <w:rsid w:val="00CB722C"/>
    <w:rsid w:val="00CB7333"/>
    <w:rsid w:val="00CB7875"/>
    <w:rsid w:val="00CB7B6E"/>
    <w:rsid w:val="00CC25E5"/>
    <w:rsid w:val="00CC5986"/>
    <w:rsid w:val="00CC6170"/>
    <w:rsid w:val="00CC7638"/>
    <w:rsid w:val="00CD09E8"/>
    <w:rsid w:val="00CD0A47"/>
    <w:rsid w:val="00CD153C"/>
    <w:rsid w:val="00CD2E54"/>
    <w:rsid w:val="00CD3824"/>
    <w:rsid w:val="00CD4495"/>
    <w:rsid w:val="00CD64FB"/>
    <w:rsid w:val="00CD739D"/>
    <w:rsid w:val="00CD7EBA"/>
    <w:rsid w:val="00CE0853"/>
    <w:rsid w:val="00CE0B4E"/>
    <w:rsid w:val="00CE0CB0"/>
    <w:rsid w:val="00CE0DED"/>
    <w:rsid w:val="00CE132B"/>
    <w:rsid w:val="00CE220D"/>
    <w:rsid w:val="00CE25AF"/>
    <w:rsid w:val="00CE2DA5"/>
    <w:rsid w:val="00CE4AB6"/>
    <w:rsid w:val="00CE6791"/>
    <w:rsid w:val="00CE7176"/>
    <w:rsid w:val="00CF00F4"/>
    <w:rsid w:val="00CF0347"/>
    <w:rsid w:val="00CF0B97"/>
    <w:rsid w:val="00CF19A8"/>
    <w:rsid w:val="00CF29C6"/>
    <w:rsid w:val="00CF2B62"/>
    <w:rsid w:val="00CF43AF"/>
    <w:rsid w:val="00CF5BC1"/>
    <w:rsid w:val="00CF5E7F"/>
    <w:rsid w:val="00CF6372"/>
    <w:rsid w:val="00CF79AA"/>
    <w:rsid w:val="00D03A9E"/>
    <w:rsid w:val="00D04B95"/>
    <w:rsid w:val="00D06B31"/>
    <w:rsid w:val="00D06B65"/>
    <w:rsid w:val="00D07178"/>
    <w:rsid w:val="00D10E6C"/>
    <w:rsid w:val="00D13C42"/>
    <w:rsid w:val="00D14B3A"/>
    <w:rsid w:val="00D15F8C"/>
    <w:rsid w:val="00D16D85"/>
    <w:rsid w:val="00D17317"/>
    <w:rsid w:val="00D1780E"/>
    <w:rsid w:val="00D179C8"/>
    <w:rsid w:val="00D22FF1"/>
    <w:rsid w:val="00D23392"/>
    <w:rsid w:val="00D24188"/>
    <w:rsid w:val="00D24913"/>
    <w:rsid w:val="00D26664"/>
    <w:rsid w:val="00D27605"/>
    <w:rsid w:val="00D308D6"/>
    <w:rsid w:val="00D314E5"/>
    <w:rsid w:val="00D31E79"/>
    <w:rsid w:val="00D33878"/>
    <w:rsid w:val="00D360A4"/>
    <w:rsid w:val="00D40A6B"/>
    <w:rsid w:val="00D41A5A"/>
    <w:rsid w:val="00D43258"/>
    <w:rsid w:val="00D4453C"/>
    <w:rsid w:val="00D453D5"/>
    <w:rsid w:val="00D456AE"/>
    <w:rsid w:val="00D45EED"/>
    <w:rsid w:val="00D4622C"/>
    <w:rsid w:val="00D50DD9"/>
    <w:rsid w:val="00D51341"/>
    <w:rsid w:val="00D5173B"/>
    <w:rsid w:val="00D51D4E"/>
    <w:rsid w:val="00D52502"/>
    <w:rsid w:val="00D52F59"/>
    <w:rsid w:val="00D532DE"/>
    <w:rsid w:val="00D54FAB"/>
    <w:rsid w:val="00D6008D"/>
    <w:rsid w:val="00D60368"/>
    <w:rsid w:val="00D61464"/>
    <w:rsid w:val="00D62962"/>
    <w:rsid w:val="00D63969"/>
    <w:rsid w:val="00D63A16"/>
    <w:rsid w:val="00D64575"/>
    <w:rsid w:val="00D64C93"/>
    <w:rsid w:val="00D66DA1"/>
    <w:rsid w:val="00D66FCA"/>
    <w:rsid w:val="00D67969"/>
    <w:rsid w:val="00D72357"/>
    <w:rsid w:val="00D7276B"/>
    <w:rsid w:val="00D732EA"/>
    <w:rsid w:val="00D739D6"/>
    <w:rsid w:val="00D73D4C"/>
    <w:rsid w:val="00D75F87"/>
    <w:rsid w:val="00D77D4B"/>
    <w:rsid w:val="00D80A74"/>
    <w:rsid w:val="00D8187D"/>
    <w:rsid w:val="00D820F8"/>
    <w:rsid w:val="00D82460"/>
    <w:rsid w:val="00D8286C"/>
    <w:rsid w:val="00D82A33"/>
    <w:rsid w:val="00D82C74"/>
    <w:rsid w:val="00D84485"/>
    <w:rsid w:val="00D84569"/>
    <w:rsid w:val="00D902D2"/>
    <w:rsid w:val="00D903FE"/>
    <w:rsid w:val="00D932D2"/>
    <w:rsid w:val="00D93C14"/>
    <w:rsid w:val="00D93C7B"/>
    <w:rsid w:val="00D94B68"/>
    <w:rsid w:val="00D95163"/>
    <w:rsid w:val="00D95301"/>
    <w:rsid w:val="00D95551"/>
    <w:rsid w:val="00D96772"/>
    <w:rsid w:val="00D96903"/>
    <w:rsid w:val="00DA0775"/>
    <w:rsid w:val="00DA0CD6"/>
    <w:rsid w:val="00DA0E53"/>
    <w:rsid w:val="00DA132B"/>
    <w:rsid w:val="00DA2B55"/>
    <w:rsid w:val="00DA3C1A"/>
    <w:rsid w:val="00DB0265"/>
    <w:rsid w:val="00DB0CB6"/>
    <w:rsid w:val="00DB334B"/>
    <w:rsid w:val="00DB4FE4"/>
    <w:rsid w:val="00DB5FA3"/>
    <w:rsid w:val="00DC0D72"/>
    <w:rsid w:val="00DC22A6"/>
    <w:rsid w:val="00DC2991"/>
    <w:rsid w:val="00DC634B"/>
    <w:rsid w:val="00DD1E0F"/>
    <w:rsid w:val="00DD1EF6"/>
    <w:rsid w:val="00DD2BE6"/>
    <w:rsid w:val="00DD3245"/>
    <w:rsid w:val="00DD3DCD"/>
    <w:rsid w:val="00DD4C14"/>
    <w:rsid w:val="00DD64BC"/>
    <w:rsid w:val="00DD721B"/>
    <w:rsid w:val="00DD7BE2"/>
    <w:rsid w:val="00DE0786"/>
    <w:rsid w:val="00DE1E54"/>
    <w:rsid w:val="00DE1F75"/>
    <w:rsid w:val="00DE2CC8"/>
    <w:rsid w:val="00DE321A"/>
    <w:rsid w:val="00DE4B98"/>
    <w:rsid w:val="00DE5DA4"/>
    <w:rsid w:val="00DE5F8C"/>
    <w:rsid w:val="00DE640E"/>
    <w:rsid w:val="00DF15D5"/>
    <w:rsid w:val="00DF1D0F"/>
    <w:rsid w:val="00DF2086"/>
    <w:rsid w:val="00DF29C1"/>
    <w:rsid w:val="00DF2BAD"/>
    <w:rsid w:val="00DF2FF2"/>
    <w:rsid w:val="00DF38C4"/>
    <w:rsid w:val="00DF5186"/>
    <w:rsid w:val="00DF5260"/>
    <w:rsid w:val="00DF56E0"/>
    <w:rsid w:val="00DF5853"/>
    <w:rsid w:val="00DF5FCB"/>
    <w:rsid w:val="00DF7440"/>
    <w:rsid w:val="00E013D2"/>
    <w:rsid w:val="00E01B55"/>
    <w:rsid w:val="00E02860"/>
    <w:rsid w:val="00E03C78"/>
    <w:rsid w:val="00E049DA"/>
    <w:rsid w:val="00E04BBF"/>
    <w:rsid w:val="00E04C2C"/>
    <w:rsid w:val="00E05DB9"/>
    <w:rsid w:val="00E07306"/>
    <w:rsid w:val="00E075C5"/>
    <w:rsid w:val="00E134AF"/>
    <w:rsid w:val="00E1562C"/>
    <w:rsid w:val="00E15989"/>
    <w:rsid w:val="00E15B6B"/>
    <w:rsid w:val="00E20771"/>
    <w:rsid w:val="00E20BFF"/>
    <w:rsid w:val="00E21EF8"/>
    <w:rsid w:val="00E242DC"/>
    <w:rsid w:val="00E24CB6"/>
    <w:rsid w:val="00E2638E"/>
    <w:rsid w:val="00E27D94"/>
    <w:rsid w:val="00E30690"/>
    <w:rsid w:val="00E30D64"/>
    <w:rsid w:val="00E318BC"/>
    <w:rsid w:val="00E35141"/>
    <w:rsid w:val="00E41E4E"/>
    <w:rsid w:val="00E43CFB"/>
    <w:rsid w:val="00E43D70"/>
    <w:rsid w:val="00E44082"/>
    <w:rsid w:val="00E44205"/>
    <w:rsid w:val="00E45079"/>
    <w:rsid w:val="00E453E2"/>
    <w:rsid w:val="00E45820"/>
    <w:rsid w:val="00E47713"/>
    <w:rsid w:val="00E5023B"/>
    <w:rsid w:val="00E50C5E"/>
    <w:rsid w:val="00E51F05"/>
    <w:rsid w:val="00E5280B"/>
    <w:rsid w:val="00E52B3C"/>
    <w:rsid w:val="00E55216"/>
    <w:rsid w:val="00E555F4"/>
    <w:rsid w:val="00E55A81"/>
    <w:rsid w:val="00E56129"/>
    <w:rsid w:val="00E56170"/>
    <w:rsid w:val="00E564B1"/>
    <w:rsid w:val="00E56C96"/>
    <w:rsid w:val="00E61701"/>
    <w:rsid w:val="00E625CB"/>
    <w:rsid w:val="00E63384"/>
    <w:rsid w:val="00E636FE"/>
    <w:rsid w:val="00E645FE"/>
    <w:rsid w:val="00E65D49"/>
    <w:rsid w:val="00E663D5"/>
    <w:rsid w:val="00E674CC"/>
    <w:rsid w:val="00E70759"/>
    <w:rsid w:val="00E7135F"/>
    <w:rsid w:val="00E74954"/>
    <w:rsid w:val="00E75629"/>
    <w:rsid w:val="00E75D25"/>
    <w:rsid w:val="00E76A3C"/>
    <w:rsid w:val="00E7734B"/>
    <w:rsid w:val="00E77CEF"/>
    <w:rsid w:val="00E814E1"/>
    <w:rsid w:val="00E83A6E"/>
    <w:rsid w:val="00E84BE2"/>
    <w:rsid w:val="00E86277"/>
    <w:rsid w:val="00E86479"/>
    <w:rsid w:val="00E8711B"/>
    <w:rsid w:val="00E92E9D"/>
    <w:rsid w:val="00E93D77"/>
    <w:rsid w:val="00E93F3D"/>
    <w:rsid w:val="00E95127"/>
    <w:rsid w:val="00E953ED"/>
    <w:rsid w:val="00E95B44"/>
    <w:rsid w:val="00E96FF7"/>
    <w:rsid w:val="00E97F51"/>
    <w:rsid w:val="00EA23F4"/>
    <w:rsid w:val="00EA441A"/>
    <w:rsid w:val="00EA485B"/>
    <w:rsid w:val="00EA4D02"/>
    <w:rsid w:val="00EA59A4"/>
    <w:rsid w:val="00EA611C"/>
    <w:rsid w:val="00EA67CC"/>
    <w:rsid w:val="00EB102F"/>
    <w:rsid w:val="00EB25FF"/>
    <w:rsid w:val="00EB3C21"/>
    <w:rsid w:val="00EB4F86"/>
    <w:rsid w:val="00EB51AE"/>
    <w:rsid w:val="00EB6C00"/>
    <w:rsid w:val="00EB7A78"/>
    <w:rsid w:val="00EC092F"/>
    <w:rsid w:val="00EC2A3C"/>
    <w:rsid w:val="00EC3024"/>
    <w:rsid w:val="00EC5584"/>
    <w:rsid w:val="00EC6221"/>
    <w:rsid w:val="00EC6D42"/>
    <w:rsid w:val="00EC75E3"/>
    <w:rsid w:val="00ED0AAE"/>
    <w:rsid w:val="00ED1157"/>
    <w:rsid w:val="00ED30EF"/>
    <w:rsid w:val="00ED52DF"/>
    <w:rsid w:val="00ED6FCE"/>
    <w:rsid w:val="00ED70BF"/>
    <w:rsid w:val="00ED7409"/>
    <w:rsid w:val="00ED7F1D"/>
    <w:rsid w:val="00EE0018"/>
    <w:rsid w:val="00EE182F"/>
    <w:rsid w:val="00EE22E6"/>
    <w:rsid w:val="00EE2CD3"/>
    <w:rsid w:val="00EE2CF1"/>
    <w:rsid w:val="00EE2D2A"/>
    <w:rsid w:val="00EE331C"/>
    <w:rsid w:val="00EE4750"/>
    <w:rsid w:val="00EE4962"/>
    <w:rsid w:val="00EE4DEF"/>
    <w:rsid w:val="00EE7D81"/>
    <w:rsid w:val="00EF1DBF"/>
    <w:rsid w:val="00EF2F89"/>
    <w:rsid w:val="00EF55C5"/>
    <w:rsid w:val="00EF6D9B"/>
    <w:rsid w:val="00EF6E3E"/>
    <w:rsid w:val="00EF7F21"/>
    <w:rsid w:val="00F01C9F"/>
    <w:rsid w:val="00F046A0"/>
    <w:rsid w:val="00F04AFA"/>
    <w:rsid w:val="00F04C89"/>
    <w:rsid w:val="00F05638"/>
    <w:rsid w:val="00F068C9"/>
    <w:rsid w:val="00F07033"/>
    <w:rsid w:val="00F10738"/>
    <w:rsid w:val="00F10902"/>
    <w:rsid w:val="00F11B40"/>
    <w:rsid w:val="00F11F60"/>
    <w:rsid w:val="00F12798"/>
    <w:rsid w:val="00F132D8"/>
    <w:rsid w:val="00F14F1C"/>
    <w:rsid w:val="00F16792"/>
    <w:rsid w:val="00F16AC1"/>
    <w:rsid w:val="00F16ED1"/>
    <w:rsid w:val="00F20707"/>
    <w:rsid w:val="00F20B69"/>
    <w:rsid w:val="00F20CBE"/>
    <w:rsid w:val="00F222E2"/>
    <w:rsid w:val="00F22C06"/>
    <w:rsid w:val="00F23438"/>
    <w:rsid w:val="00F23726"/>
    <w:rsid w:val="00F24FB0"/>
    <w:rsid w:val="00F26B4E"/>
    <w:rsid w:val="00F32B3D"/>
    <w:rsid w:val="00F33DF1"/>
    <w:rsid w:val="00F368CC"/>
    <w:rsid w:val="00F42B6F"/>
    <w:rsid w:val="00F438BB"/>
    <w:rsid w:val="00F43A3D"/>
    <w:rsid w:val="00F45083"/>
    <w:rsid w:val="00F46D10"/>
    <w:rsid w:val="00F51981"/>
    <w:rsid w:val="00F51FDF"/>
    <w:rsid w:val="00F54414"/>
    <w:rsid w:val="00F54C7E"/>
    <w:rsid w:val="00F572FD"/>
    <w:rsid w:val="00F6085A"/>
    <w:rsid w:val="00F60AF9"/>
    <w:rsid w:val="00F61B0C"/>
    <w:rsid w:val="00F6313A"/>
    <w:rsid w:val="00F636D5"/>
    <w:rsid w:val="00F6548F"/>
    <w:rsid w:val="00F66483"/>
    <w:rsid w:val="00F67130"/>
    <w:rsid w:val="00F673F9"/>
    <w:rsid w:val="00F70247"/>
    <w:rsid w:val="00F70753"/>
    <w:rsid w:val="00F71580"/>
    <w:rsid w:val="00F720A4"/>
    <w:rsid w:val="00F74F0A"/>
    <w:rsid w:val="00F775B1"/>
    <w:rsid w:val="00F778A3"/>
    <w:rsid w:val="00F77DFD"/>
    <w:rsid w:val="00F824F1"/>
    <w:rsid w:val="00F836DD"/>
    <w:rsid w:val="00F85DB0"/>
    <w:rsid w:val="00F86D42"/>
    <w:rsid w:val="00F8775D"/>
    <w:rsid w:val="00F90555"/>
    <w:rsid w:val="00F910E1"/>
    <w:rsid w:val="00F91FD8"/>
    <w:rsid w:val="00F925CC"/>
    <w:rsid w:val="00F92930"/>
    <w:rsid w:val="00F937FE"/>
    <w:rsid w:val="00F93976"/>
    <w:rsid w:val="00F93E72"/>
    <w:rsid w:val="00F9451C"/>
    <w:rsid w:val="00F94B3A"/>
    <w:rsid w:val="00F94B46"/>
    <w:rsid w:val="00F95864"/>
    <w:rsid w:val="00F95946"/>
    <w:rsid w:val="00F9595A"/>
    <w:rsid w:val="00F95D43"/>
    <w:rsid w:val="00F97290"/>
    <w:rsid w:val="00F9736B"/>
    <w:rsid w:val="00F97DBF"/>
    <w:rsid w:val="00FA006C"/>
    <w:rsid w:val="00FA013D"/>
    <w:rsid w:val="00FA018B"/>
    <w:rsid w:val="00FA05E1"/>
    <w:rsid w:val="00FA0CF1"/>
    <w:rsid w:val="00FA38AC"/>
    <w:rsid w:val="00FA414A"/>
    <w:rsid w:val="00FA7BE6"/>
    <w:rsid w:val="00FB0A38"/>
    <w:rsid w:val="00FB12E1"/>
    <w:rsid w:val="00FB273B"/>
    <w:rsid w:val="00FB2F70"/>
    <w:rsid w:val="00FB74B9"/>
    <w:rsid w:val="00FB7B4D"/>
    <w:rsid w:val="00FC0A79"/>
    <w:rsid w:val="00FC0F1A"/>
    <w:rsid w:val="00FC1A5B"/>
    <w:rsid w:val="00FC38C8"/>
    <w:rsid w:val="00FC3F91"/>
    <w:rsid w:val="00FC4036"/>
    <w:rsid w:val="00FC40B0"/>
    <w:rsid w:val="00FC4468"/>
    <w:rsid w:val="00FC4AA0"/>
    <w:rsid w:val="00FC576F"/>
    <w:rsid w:val="00FC5929"/>
    <w:rsid w:val="00FC7268"/>
    <w:rsid w:val="00FC7ED7"/>
    <w:rsid w:val="00FD1FAA"/>
    <w:rsid w:val="00FD2ECC"/>
    <w:rsid w:val="00FD3583"/>
    <w:rsid w:val="00FD5F8D"/>
    <w:rsid w:val="00FD7B56"/>
    <w:rsid w:val="00FE003D"/>
    <w:rsid w:val="00FE09AB"/>
    <w:rsid w:val="00FE1A17"/>
    <w:rsid w:val="00FE2331"/>
    <w:rsid w:val="00FE30D8"/>
    <w:rsid w:val="00FE3C61"/>
    <w:rsid w:val="00FE442D"/>
    <w:rsid w:val="00FE4FB1"/>
    <w:rsid w:val="00FE54C2"/>
    <w:rsid w:val="00FE6603"/>
    <w:rsid w:val="00FF036F"/>
    <w:rsid w:val="00FF0A9C"/>
    <w:rsid w:val="00FF1085"/>
    <w:rsid w:val="00FF117D"/>
    <w:rsid w:val="00FF14B9"/>
    <w:rsid w:val="00FF2337"/>
    <w:rsid w:val="00FF2397"/>
    <w:rsid w:val="00FF356C"/>
    <w:rsid w:val="00FF3C85"/>
    <w:rsid w:val="00FF6DEF"/>
    <w:rsid w:val="00FF7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7568B"/>
  <w15:docId w15:val="{FD147EA3-E173-4793-B36F-FDC66CBA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2A"/>
  </w:style>
  <w:style w:type="paragraph" w:styleId="Heading4">
    <w:name w:val="heading 4"/>
    <w:basedOn w:val="Normal"/>
    <w:link w:val="Heading4Char"/>
    <w:uiPriority w:val="9"/>
    <w:qFormat/>
    <w:rsid w:val="0006031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C0C8E"/>
    <w:rPr>
      <w:b/>
      <w:bCs/>
    </w:rPr>
  </w:style>
  <w:style w:type="character" w:styleId="Emphasis">
    <w:name w:val="Emphasis"/>
    <w:basedOn w:val="DefaultParagraphFont"/>
    <w:uiPriority w:val="20"/>
    <w:qFormat/>
    <w:rsid w:val="006C0C8E"/>
    <w:rPr>
      <w:i/>
      <w:iCs/>
    </w:rPr>
  </w:style>
  <w:style w:type="character" w:customStyle="1" w:styleId="apple-converted-space">
    <w:name w:val="apple-converted-space"/>
    <w:basedOn w:val="DefaultParagraphFont"/>
    <w:rsid w:val="006C0C8E"/>
  </w:style>
  <w:style w:type="paragraph" w:styleId="ListParagraph">
    <w:name w:val="List Paragraph"/>
    <w:basedOn w:val="Normal"/>
    <w:link w:val="ListParagraphChar"/>
    <w:uiPriority w:val="34"/>
    <w:qFormat/>
    <w:rsid w:val="00480F2D"/>
    <w:pPr>
      <w:ind w:left="720"/>
      <w:contextualSpacing/>
    </w:pPr>
  </w:style>
  <w:style w:type="paragraph" w:styleId="NormalWeb">
    <w:name w:val="Normal (Web)"/>
    <w:basedOn w:val="Normal"/>
    <w:uiPriority w:val="99"/>
    <w:semiHidden/>
    <w:unhideWhenUsed/>
    <w:rsid w:val="00BE312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AA1C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ranslation">
    <w:name w:val="translation"/>
    <w:basedOn w:val="DefaultParagraphFont"/>
    <w:rsid w:val="00F20707"/>
  </w:style>
  <w:style w:type="character" w:customStyle="1" w:styleId="Heading4Char">
    <w:name w:val="Heading 4 Char"/>
    <w:basedOn w:val="DefaultParagraphFont"/>
    <w:link w:val="Heading4"/>
    <w:uiPriority w:val="9"/>
    <w:rsid w:val="00060317"/>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D80A74"/>
    <w:rPr>
      <w:color w:val="0000FF" w:themeColor="hyperlink"/>
      <w:u w:val="single"/>
    </w:rPr>
  </w:style>
  <w:style w:type="character" w:customStyle="1" w:styleId="ListParagraphChar">
    <w:name w:val="List Paragraph Char"/>
    <w:basedOn w:val="DefaultParagraphFont"/>
    <w:link w:val="ListParagraph"/>
    <w:uiPriority w:val="34"/>
    <w:locked/>
    <w:rsid w:val="00B90BC7"/>
  </w:style>
  <w:style w:type="character" w:customStyle="1" w:styleId="UnresolvedMention1">
    <w:name w:val="Unresolved Mention1"/>
    <w:basedOn w:val="DefaultParagraphFont"/>
    <w:uiPriority w:val="99"/>
    <w:semiHidden/>
    <w:unhideWhenUsed/>
    <w:rsid w:val="00EB3C21"/>
    <w:rPr>
      <w:color w:val="605E5C"/>
      <w:shd w:val="clear" w:color="auto" w:fill="E1DFDD"/>
    </w:rPr>
  </w:style>
  <w:style w:type="paragraph" w:styleId="BodyText">
    <w:name w:val="Body Text"/>
    <w:basedOn w:val="Normal"/>
    <w:link w:val="BodyTextChar"/>
    <w:uiPriority w:val="1"/>
    <w:qFormat/>
    <w:rsid w:val="001E1EE4"/>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1E1EE4"/>
    <w:rPr>
      <w:rFonts w:ascii="Times New Roman" w:eastAsia="Times New Roman" w:hAnsi="Times New Roman" w:cs="Times New Roman"/>
    </w:rPr>
  </w:style>
  <w:style w:type="paragraph" w:styleId="Header">
    <w:name w:val="header"/>
    <w:basedOn w:val="Normal"/>
    <w:link w:val="HeaderChar"/>
    <w:uiPriority w:val="99"/>
    <w:unhideWhenUsed/>
    <w:rsid w:val="005821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1C5"/>
  </w:style>
  <w:style w:type="paragraph" w:styleId="Footer">
    <w:name w:val="footer"/>
    <w:basedOn w:val="Normal"/>
    <w:link w:val="FooterChar"/>
    <w:uiPriority w:val="99"/>
    <w:unhideWhenUsed/>
    <w:rsid w:val="005821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1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13942">
      <w:bodyDiv w:val="1"/>
      <w:marLeft w:val="0"/>
      <w:marRight w:val="0"/>
      <w:marTop w:val="0"/>
      <w:marBottom w:val="0"/>
      <w:divBdr>
        <w:top w:val="none" w:sz="0" w:space="0" w:color="auto"/>
        <w:left w:val="none" w:sz="0" w:space="0" w:color="auto"/>
        <w:bottom w:val="none" w:sz="0" w:space="0" w:color="auto"/>
        <w:right w:val="none" w:sz="0" w:space="0" w:color="auto"/>
      </w:divBdr>
    </w:div>
    <w:div w:id="176696561">
      <w:bodyDiv w:val="1"/>
      <w:marLeft w:val="0"/>
      <w:marRight w:val="0"/>
      <w:marTop w:val="0"/>
      <w:marBottom w:val="0"/>
      <w:divBdr>
        <w:top w:val="none" w:sz="0" w:space="0" w:color="auto"/>
        <w:left w:val="none" w:sz="0" w:space="0" w:color="auto"/>
        <w:bottom w:val="none" w:sz="0" w:space="0" w:color="auto"/>
        <w:right w:val="none" w:sz="0" w:space="0" w:color="auto"/>
      </w:divBdr>
    </w:div>
    <w:div w:id="274295746">
      <w:bodyDiv w:val="1"/>
      <w:marLeft w:val="0"/>
      <w:marRight w:val="0"/>
      <w:marTop w:val="0"/>
      <w:marBottom w:val="0"/>
      <w:divBdr>
        <w:top w:val="none" w:sz="0" w:space="0" w:color="auto"/>
        <w:left w:val="none" w:sz="0" w:space="0" w:color="auto"/>
        <w:bottom w:val="none" w:sz="0" w:space="0" w:color="auto"/>
        <w:right w:val="none" w:sz="0" w:space="0" w:color="auto"/>
      </w:divBdr>
    </w:div>
    <w:div w:id="306130301">
      <w:bodyDiv w:val="1"/>
      <w:marLeft w:val="0"/>
      <w:marRight w:val="0"/>
      <w:marTop w:val="0"/>
      <w:marBottom w:val="0"/>
      <w:divBdr>
        <w:top w:val="none" w:sz="0" w:space="0" w:color="auto"/>
        <w:left w:val="none" w:sz="0" w:space="0" w:color="auto"/>
        <w:bottom w:val="none" w:sz="0" w:space="0" w:color="auto"/>
        <w:right w:val="none" w:sz="0" w:space="0" w:color="auto"/>
      </w:divBdr>
    </w:div>
    <w:div w:id="328556436">
      <w:bodyDiv w:val="1"/>
      <w:marLeft w:val="0"/>
      <w:marRight w:val="0"/>
      <w:marTop w:val="0"/>
      <w:marBottom w:val="0"/>
      <w:divBdr>
        <w:top w:val="none" w:sz="0" w:space="0" w:color="auto"/>
        <w:left w:val="none" w:sz="0" w:space="0" w:color="auto"/>
        <w:bottom w:val="none" w:sz="0" w:space="0" w:color="auto"/>
        <w:right w:val="none" w:sz="0" w:space="0" w:color="auto"/>
      </w:divBdr>
    </w:div>
    <w:div w:id="408162153">
      <w:bodyDiv w:val="1"/>
      <w:marLeft w:val="0"/>
      <w:marRight w:val="0"/>
      <w:marTop w:val="0"/>
      <w:marBottom w:val="0"/>
      <w:divBdr>
        <w:top w:val="none" w:sz="0" w:space="0" w:color="auto"/>
        <w:left w:val="none" w:sz="0" w:space="0" w:color="auto"/>
        <w:bottom w:val="none" w:sz="0" w:space="0" w:color="auto"/>
        <w:right w:val="none" w:sz="0" w:space="0" w:color="auto"/>
      </w:divBdr>
    </w:div>
    <w:div w:id="411894084">
      <w:bodyDiv w:val="1"/>
      <w:marLeft w:val="0"/>
      <w:marRight w:val="0"/>
      <w:marTop w:val="0"/>
      <w:marBottom w:val="0"/>
      <w:divBdr>
        <w:top w:val="none" w:sz="0" w:space="0" w:color="auto"/>
        <w:left w:val="none" w:sz="0" w:space="0" w:color="auto"/>
        <w:bottom w:val="none" w:sz="0" w:space="0" w:color="auto"/>
        <w:right w:val="none" w:sz="0" w:space="0" w:color="auto"/>
      </w:divBdr>
    </w:div>
    <w:div w:id="824203884">
      <w:bodyDiv w:val="1"/>
      <w:marLeft w:val="0"/>
      <w:marRight w:val="0"/>
      <w:marTop w:val="0"/>
      <w:marBottom w:val="0"/>
      <w:divBdr>
        <w:top w:val="none" w:sz="0" w:space="0" w:color="auto"/>
        <w:left w:val="none" w:sz="0" w:space="0" w:color="auto"/>
        <w:bottom w:val="none" w:sz="0" w:space="0" w:color="auto"/>
        <w:right w:val="none" w:sz="0" w:space="0" w:color="auto"/>
      </w:divBdr>
    </w:div>
    <w:div w:id="825171908">
      <w:bodyDiv w:val="1"/>
      <w:marLeft w:val="0"/>
      <w:marRight w:val="0"/>
      <w:marTop w:val="0"/>
      <w:marBottom w:val="0"/>
      <w:divBdr>
        <w:top w:val="none" w:sz="0" w:space="0" w:color="auto"/>
        <w:left w:val="none" w:sz="0" w:space="0" w:color="auto"/>
        <w:bottom w:val="none" w:sz="0" w:space="0" w:color="auto"/>
        <w:right w:val="none" w:sz="0" w:space="0" w:color="auto"/>
      </w:divBdr>
    </w:div>
    <w:div w:id="1002393529">
      <w:bodyDiv w:val="1"/>
      <w:marLeft w:val="0"/>
      <w:marRight w:val="0"/>
      <w:marTop w:val="0"/>
      <w:marBottom w:val="0"/>
      <w:divBdr>
        <w:top w:val="none" w:sz="0" w:space="0" w:color="auto"/>
        <w:left w:val="none" w:sz="0" w:space="0" w:color="auto"/>
        <w:bottom w:val="none" w:sz="0" w:space="0" w:color="auto"/>
        <w:right w:val="none" w:sz="0" w:space="0" w:color="auto"/>
      </w:divBdr>
    </w:div>
    <w:div w:id="1126850677">
      <w:bodyDiv w:val="1"/>
      <w:marLeft w:val="0"/>
      <w:marRight w:val="0"/>
      <w:marTop w:val="0"/>
      <w:marBottom w:val="0"/>
      <w:divBdr>
        <w:top w:val="none" w:sz="0" w:space="0" w:color="auto"/>
        <w:left w:val="none" w:sz="0" w:space="0" w:color="auto"/>
        <w:bottom w:val="none" w:sz="0" w:space="0" w:color="auto"/>
        <w:right w:val="none" w:sz="0" w:space="0" w:color="auto"/>
      </w:divBdr>
    </w:div>
    <w:div w:id="1218321864">
      <w:bodyDiv w:val="1"/>
      <w:marLeft w:val="0"/>
      <w:marRight w:val="0"/>
      <w:marTop w:val="0"/>
      <w:marBottom w:val="0"/>
      <w:divBdr>
        <w:top w:val="none" w:sz="0" w:space="0" w:color="auto"/>
        <w:left w:val="none" w:sz="0" w:space="0" w:color="auto"/>
        <w:bottom w:val="none" w:sz="0" w:space="0" w:color="auto"/>
        <w:right w:val="none" w:sz="0" w:space="0" w:color="auto"/>
      </w:divBdr>
    </w:div>
    <w:div w:id="1223255305">
      <w:bodyDiv w:val="1"/>
      <w:marLeft w:val="0"/>
      <w:marRight w:val="0"/>
      <w:marTop w:val="0"/>
      <w:marBottom w:val="0"/>
      <w:divBdr>
        <w:top w:val="none" w:sz="0" w:space="0" w:color="auto"/>
        <w:left w:val="none" w:sz="0" w:space="0" w:color="auto"/>
        <w:bottom w:val="none" w:sz="0" w:space="0" w:color="auto"/>
        <w:right w:val="none" w:sz="0" w:space="0" w:color="auto"/>
      </w:divBdr>
    </w:div>
    <w:div w:id="1268349929">
      <w:bodyDiv w:val="1"/>
      <w:marLeft w:val="0"/>
      <w:marRight w:val="0"/>
      <w:marTop w:val="0"/>
      <w:marBottom w:val="0"/>
      <w:divBdr>
        <w:top w:val="none" w:sz="0" w:space="0" w:color="auto"/>
        <w:left w:val="none" w:sz="0" w:space="0" w:color="auto"/>
        <w:bottom w:val="none" w:sz="0" w:space="0" w:color="auto"/>
        <w:right w:val="none" w:sz="0" w:space="0" w:color="auto"/>
      </w:divBdr>
    </w:div>
    <w:div w:id="1318877502">
      <w:bodyDiv w:val="1"/>
      <w:marLeft w:val="0"/>
      <w:marRight w:val="0"/>
      <w:marTop w:val="0"/>
      <w:marBottom w:val="0"/>
      <w:divBdr>
        <w:top w:val="none" w:sz="0" w:space="0" w:color="auto"/>
        <w:left w:val="none" w:sz="0" w:space="0" w:color="auto"/>
        <w:bottom w:val="none" w:sz="0" w:space="0" w:color="auto"/>
        <w:right w:val="none" w:sz="0" w:space="0" w:color="auto"/>
      </w:divBdr>
    </w:div>
    <w:div w:id="1380662607">
      <w:bodyDiv w:val="1"/>
      <w:marLeft w:val="0"/>
      <w:marRight w:val="0"/>
      <w:marTop w:val="0"/>
      <w:marBottom w:val="0"/>
      <w:divBdr>
        <w:top w:val="none" w:sz="0" w:space="0" w:color="auto"/>
        <w:left w:val="none" w:sz="0" w:space="0" w:color="auto"/>
        <w:bottom w:val="none" w:sz="0" w:space="0" w:color="auto"/>
        <w:right w:val="none" w:sz="0" w:space="0" w:color="auto"/>
      </w:divBdr>
    </w:div>
    <w:div w:id="1522818062">
      <w:bodyDiv w:val="1"/>
      <w:marLeft w:val="0"/>
      <w:marRight w:val="0"/>
      <w:marTop w:val="0"/>
      <w:marBottom w:val="0"/>
      <w:divBdr>
        <w:top w:val="none" w:sz="0" w:space="0" w:color="auto"/>
        <w:left w:val="none" w:sz="0" w:space="0" w:color="auto"/>
        <w:bottom w:val="none" w:sz="0" w:space="0" w:color="auto"/>
        <w:right w:val="none" w:sz="0" w:space="0" w:color="auto"/>
      </w:divBdr>
    </w:div>
    <w:div w:id="1531986982">
      <w:bodyDiv w:val="1"/>
      <w:marLeft w:val="0"/>
      <w:marRight w:val="0"/>
      <w:marTop w:val="0"/>
      <w:marBottom w:val="0"/>
      <w:divBdr>
        <w:top w:val="none" w:sz="0" w:space="0" w:color="auto"/>
        <w:left w:val="none" w:sz="0" w:space="0" w:color="auto"/>
        <w:bottom w:val="none" w:sz="0" w:space="0" w:color="auto"/>
        <w:right w:val="none" w:sz="0" w:space="0" w:color="auto"/>
      </w:divBdr>
    </w:div>
    <w:div w:id="1560745861">
      <w:bodyDiv w:val="1"/>
      <w:marLeft w:val="0"/>
      <w:marRight w:val="0"/>
      <w:marTop w:val="0"/>
      <w:marBottom w:val="0"/>
      <w:divBdr>
        <w:top w:val="none" w:sz="0" w:space="0" w:color="auto"/>
        <w:left w:val="none" w:sz="0" w:space="0" w:color="auto"/>
        <w:bottom w:val="none" w:sz="0" w:space="0" w:color="auto"/>
        <w:right w:val="none" w:sz="0" w:space="0" w:color="auto"/>
      </w:divBdr>
    </w:div>
    <w:div w:id="1592154135">
      <w:bodyDiv w:val="1"/>
      <w:marLeft w:val="0"/>
      <w:marRight w:val="0"/>
      <w:marTop w:val="0"/>
      <w:marBottom w:val="0"/>
      <w:divBdr>
        <w:top w:val="none" w:sz="0" w:space="0" w:color="auto"/>
        <w:left w:val="none" w:sz="0" w:space="0" w:color="auto"/>
        <w:bottom w:val="none" w:sz="0" w:space="0" w:color="auto"/>
        <w:right w:val="none" w:sz="0" w:space="0" w:color="auto"/>
      </w:divBdr>
    </w:div>
    <w:div w:id="1611930019">
      <w:bodyDiv w:val="1"/>
      <w:marLeft w:val="0"/>
      <w:marRight w:val="0"/>
      <w:marTop w:val="0"/>
      <w:marBottom w:val="0"/>
      <w:divBdr>
        <w:top w:val="none" w:sz="0" w:space="0" w:color="auto"/>
        <w:left w:val="none" w:sz="0" w:space="0" w:color="auto"/>
        <w:bottom w:val="none" w:sz="0" w:space="0" w:color="auto"/>
        <w:right w:val="none" w:sz="0" w:space="0" w:color="auto"/>
      </w:divBdr>
    </w:div>
    <w:div w:id="1636985431">
      <w:bodyDiv w:val="1"/>
      <w:marLeft w:val="0"/>
      <w:marRight w:val="0"/>
      <w:marTop w:val="0"/>
      <w:marBottom w:val="0"/>
      <w:divBdr>
        <w:top w:val="none" w:sz="0" w:space="0" w:color="auto"/>
        <w:left w:val="none" w:sz="0" w:space="0" w:color="auto"/>
        <w:bottom w:val="none" w:sz="0" w:space="0" w:color="auto"/>
        <w:right w:val="none" w:sz="0" w:space="0" w:color="auto"/>
      </w:divBdr>
    </w:div>
    <w:div w:id="1702974483">
      <w:bodyDiv w:val="1"/>
      <w:marLeft w:val="0"/>
      <w:marRight w:val="0"/>
      <w:marTop w:val="0"/>
      <w:marBottom w:val="0"/>
      <w:divBdr>
        <w:top w:val="none" w:sz="0" w:space="0" w:color="auto"/>
        <w:left w:val="none" w:sz="0" w:space="0" w:color="auto"/>
        <w:bottom w:val="none" w:sz="0" w:space="0" w:color="auto"/>
        <w:right w:val="none" w:sz="0" w:space="0" w:color="auto"/>
      </w:divBdr>
    </w:div>
    <w:div w:id="1859346133">
      <w:bodyDiv w:val="1"/>
      <w:marLeft w:val="0"/>
      <w:marRight w:val="0"/>
      <w:marTop w:val="0"/>
      <w:marBottom w:val="0"/>
      <w:divBdr>
        <w:top w:val="none" w:sz="0" w:space="0" w:color="auto"/>
        <w:left w:val="none" w:sz="0" w:space="0" w:color="auto"/>
        <w:bottom w:val="none" w:sz="0" w:space="0" w:color="auto"/>
        <w:right w:val="none" w:sz="0" w:space="0" w:color="auto"/>
      </w:divBdr>
    </w:div>
    <w:div w:id="1878546908">
      <w:bodyDiv w:val="1"/>
      <w:marLeft w:val="0"/>
      <w:marRight w:val="0"/>
      <w:marTop w:val="0"/>
      <w:marBottom w:val="0"/>
      <w:divBdr>
        <w:top w:val="none" w:sz="0" w:space="0" w:color="auto"/>
        <w:left w:val="none" w:sz="0" w:space="0" w:color="auto"/>
        <w:bottom w:val="none" w:sz="0" w:space="0" w:color="auto"/>
        <w:right w:val="none" w:sz="0" w:space="0" w:color="auto"/>
      </w:divBdr>
    </w:div>
    <w:div w:id="1915696165">
      <w:bodyDiv w:val="1"/>
      <w:marLeft w:val="0"/>
      <w:marRight w:val="0"/>
      <w:marTop w:val="0"/>
      <w:marBottom w:val="0"/>
      <w:divBdr>
        <w:top w:val="none" w:sz="0" w:space="0" w:color="auto"/>
        <w:left w:val="none" w:sz="0" w:space="0" w:color="auto"/>
        <w:bottom w:val="none" w:sz="0" w:space="0" w:color="auto"/>
        <w:right w:val="none" w:sz="0" w:space="0" w:color="auto"/>
      </w:divBdr>
    </w:div>
    <w:div w:id="212503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C0DD5-9F93-4265-96E6-3CE65F1E8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9843</TotalTime>
  <Pages>1</Pages>
  <Words>6219</Words>
  <Characters>35453</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Nanuli Janiashvili</cp:lastModifiedBy>
  <cp:revision>1220</cp:revision>
  <dcterms:created xsi:type="dcterms:W3CDTF">2018-04-14T10:25:00Z</dcterms:created>
  <dcterms:modified xsi:type="dcterms:W3CDTF">2026-08-03T06:22:00Z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104643b8fa56ef09469c85cc76c596029c9f62d66f92d45b5e1081c658c77d7d</vt:lpwstr>
  </property>
</Properties>
</file>