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72DA0" w14:textId="77777777" w:rsidR="00654CEB" w:rsidRPr="00485554" w:rsidRDefault="00AE2F98">
      <w:pPr>
        <w:pStyle w:val="P68B1DB1-Normal1"/>
        <w:jc w:val="center"/>
        <w:rPr>
          <w:noProof/>
          <w:lang w:val="ka-GE"/>
        </w:rPr>
      </w:pPr>
      <w:r w:rsidRPr="00485554">
        <w:rPr>
          <w:noProof/>
          <w:lang w:val="ka-GE"/>
        </w:rPr>
        <w:t>სამკურნალო პრეპარატის</w:t>
      </w:r>
    </w:p>
    <w:p w14:paraId="7CDE294A" w14:textId="77777777" w:rsidR="00654CEB" w:rsidRPr="00485554" w:rsidRDefault="00AE2F98">
      <w:pPr>
        <w:pStyle w:val="P68B1DB1-Normal1"/>
        <w:jc w:val="center"/>
        <w:rPr>
          <w:noProof/>
          <w:lang w:val="ka-GE"/>
        </w:rPr>
      </w:pPr>
      <w:r w:rsidRPr="00485554">
        <w:rPr>
          <w:noProof/>
          <w:lang w:val="ka-GE"/>
        </w:rPr>
        <w:t>სამედიცინო გამოყენების ინსტრუქცია</w:t>
      </w:r>
    </w:p>
    <w:p w14:paraId="71E2F7BD" w14:textId="77777777" w:rsidR="00654CEB" w:rsidRPr="00485554" w:rsidRDefault="00654CEB">
      <w:pPr>
        <w:jc w:val="center"/>
        <w:rPr>
          <w:rFonts w:ascii="Sylfaen" w:hAnsi="Sylfaen"/>
          <w:noProof/>
          <w:lang w:val="ka-GE"/>
        </w:rPr>
      </w:pPr>
    </w:p>
    <w:p w14:paraId="2B46F13E" w14:textId="77777777" w:rsidR="00654CEB" w:rsidRPr="00485554" w:rsidRDefault="00AE2F98">
      <w:pPr>
        <w:pStyle w:val="P68B1DB1-Normal2"/>
        <w:jc w:val="center"/>
        <w:rPr>
          <w:noProof/>
          <w:lang w:val="ka-GE"/>
        </w:rPr>
      </w:pPr>
      <w:r w:rsidRPr="00485554">
        <w:rPr>
          <w:noProof/>
          <w:lang w:val="ka-GE"/>
        </w:rPr>
        <w:t>პაფესანი</w:t>
      </w:r>
    </w:p>
    <w:p w14:paraId="5BA19A6F" w14:textId="77777777" w:rsidR="00654CEB" w:rsidRPr="00485554" w:rsidRDefault="00654CEB">
      <w:pPr>
        <w:jc w:val="both"/>
        <w:rPr>
          <w:rFonts w:ascii="Sylfaen" w:hAnsi="Sylfaen"/>
          <w:noProof/>
          <w:lang w:val="ka-GE"/>
        </w:rPr>
      </w:pPr>
    </w:p>
    <w:p w14:paraId="61AE7607" w14:textId="77F802E5" w:rsidR="00654CEB" w:rsidRPr="00485554" w:rsidRDefault="00C44147">
      <w:pPr>
        <w:pStyle w:val="P68B1DB1-Normal3"/>
        <w:jc w:val="both"/>
        <w:rPr>
          <w:noProof/>
          <w:lang w:val="ka-GE"/>
        </w:rPr>
      </w:pPr>
      <w:r w:rsidRPr="00485554">
        <w:rPr>
          <w:noProof/>
          <w:lang w:val="ka-GE"/>
        </w:rPr>
        <w:t>სამკურნალო პრეპარატის</w:t>
      </w:r>
      <w:r w:rsidR="00AE2F98" w:rsidRPr="00485554">
        <w:rPr>
          <w:noProof/>
          <w:lang w:val="ka-GE"/>
        </w:rPr>
        <w:t xml:space="preserve"> დასახელება</w:t>
      </w:r>
    </w:p>
    <w:p w14:paraId="7CF2E559" w14:textId="77777777" w:rsidR="00654CEB" w:rsidRPr="00485554" w:rsidRDefault="00AE2F98">
      <w:pPr>
        <w:pStyle w:val="P68B1DB1-Normal4"/>
        <w:jc w:val="both"/>
        <w:rPr>
          <w:noProof/>
          <w:lang w:val="ka-GE"/>
        </w:rPr>
      </w:pPr>
      <w:r w:rsidRPr="00485554">
        <w:rPr>
          <w:noProof/>
          <w:lang w:val="ka-GE"/>
        </w:rPr>
        <w:t>პაფესანი, Pafesan</w:t>
      </w:r>
    </w:p>
    <w:p w14:paraId="0D557C60" w14:textId="77777777" w:rsidR="00654CEB" w:rsidRPr="00485554" w:rsidRDefault="00654CEB">
      <w:pPr>
        <w:jc w:val="both"/>
        <w:rPr>
          <w:rFonts w:ascii="Sylfaen" w:hAnsi="Sylfaen"/>
          <w:noProof/>
          <w:lang w:val="ka-GE"/>
        </w:rPr>
      </w:pPr>
    </w:p>
    <w:p w14:paraId="239117DD" w14:textId="77777777" w:rsidR="00654CEB" w:rsidRPr="00485554" w:rsidRDefault="00AE2F98">
      <w:pPr>
        <w:pStyle w:val="P68B1DB1-Normal3"/>
        <w:jc w:val="both"/>
        <w:rPr>
          <w:noProof/>
          <w:lang w:val="ka-GE"/>
        </w:rPr>
      </w:pPr>
      <w:r w:rsidRPr="00485554">
        <w:rPr>
          <w:noProof/>
          <w:lang w:val="ka-GE"/>
        </w:rPr>
        <w:t>საერთაშორისო არაპატენტირებული ან ჯგუფური დასახელება</w:t>
      </w:r>
    </w:p>
    <w:p w14:paraId="104D3A7A" w14:textId="77777777" w:rsidR="00654CEB" w:rsidRPr="00485554" w:rsidRDefault="00AE2F98">
      <w:pPr>
        <w:pStyle w:val="P68B1DB1-Normal4"/>
        <w:jc w:val="both"/>
        <w:rPr>
          <w:noProof/>
          <w:lang w:val="ka-GE"/>
        </w:rPr>
      </w:pPr>
      <w:r w:rsidRPr="00485554">
        <w:rPr>
          <w:noProof/>
          <w:lang w:val="ka-GE"/>
        </w:rPr>
        <w:t>ქლორჰექსიდინი + ლიდოკაინი</w:t>
      </w:r>
    </w:p>
    <w:p w14:paraId="7DC90ED7" w14:textId="77777777" w:rsidR="00654CEB" w:rsidRPr="00485554" w:rsidRDefault="00AE2F98">
      <w:pPr>
        <w:pStyle w:val="P68B1DB1-Normal4"/>
        <w:jc w:val="both"/>
        <w:rPr>
          <w:noProof/>
          <w:lang w:val="ka-GE"/>
        </w:rPr>
      </w:pPr>
      <w:r w:rsidRPr="00485554">
        <w:rPr>
          <w:noProof/>
          <w:lang w:val="ka-GE"/>
        </w:rPr>
        <w:t>Chlorhexidine + Lidocaine</w:t>
      </w:r>
    </w:p>
    <w:p w14:paraId="254B5AF9" w14:textId="48DCB086" w:rsidR="00654CEB" w:rsidRPr="00485554" w:rsidRDefault="00654CEB">
      <w:pPr>
        <w:jc w:val="both"/>
        <w:rPr>
          <w:rFonts w:ascii="Sylfaen" w:hAnsi="Sylfaen"/>
          <w:noProof/>
          <w:lang w:val="ka-GE"/>
        </w:rPr>
      </w:pPr>
    </w:p>
    <w:p w14:paraId="4CBB44D3" w14:textId="77777777" w:rsidR="00BF2E7C" w:rsidRPr="00485554" w:rsidRDefault="00BF2E7C" w:rsidP="00BF2E7C">
      <w:pPr>
        <w:pStyle w:val="P68B1DB1-Normal3"/>
        <w:jc w:val="both"/>
        <w:rPr>
          <w:noProof/>
          <w:lang w:val="ka-GE"/>
        </w:rPr>
      </w:pPr>
      <w:r w:rsidRPr="00485554">
        <w:rPr>
          <w:noProof/>
          <w:lang w:val="ka-GE"/>
        </w:rPr>
        <w:t>შემადგენლობა</w:t>
      </w:r>
    </w:p>
    <w:p w14:paraId="474C2D51" w14:textId="77777777" w:rsidR="00BF2E7C" w:rsidRPr="00485554" w:rsidRDefault="00BF2E7C" w:rsidP="00BF2E7C">
      <w:pPr>
        <w:pStyle w:val="P68B1DB1-Normal3"/>
        <w:jc w:val="both"/>
        <w:rPr>
          <w:noProof/>
          <w:lang w:val="ka-GE"/>
        </w:rPr>
      </w:pPr>
      <w:r w:rsidRPr="00485554">
        <w:rPr>
          <w:b/>
          <w:noProof/>
          <w:lang w:val="ka-GE"/>
        </w:rPr>
        <w:t>პაფესანი</w:t>
      </w:r>
      <w:r w:rsidRPr="00485554">
        <w:rPr>
          <w:noProof/>
          <w:lang w:val="ka-GE"/>
        </w:rPr>
        <w:t xml:space="preserve"> (ლიმონის გემოთი)</w:t>
      </w:r>
    </w:p>
    <w:p w14:paraId="50734E06" w14:textId="46C0B721" w:rsidR="00BF2E7C" w:rsidRPr="00485554" w:rsidRDefault="00BF2E7C" w:rsidP="00BF2E7C">
      <w:pPr>
        <w:pStyle w:val="P68B1DB1-Normal4"/>
        <w:jc w:val="both"/>
        <w:rPr>
          <w:noProof/>
          <w:lang w:val="ka-GE"/>
        </w:rPr>
      </w:pPr>
      <w:r w:rsidRPr="00485554">
        <w:rPr>
          <w:noProof/>
          <w:lang w:val="ka-GE"/>
        </w:rPr>
        <w:t>სპრეი</w:t>
      </w:r>
      <w:r w:rsidR="00C44147" w:rsidRPr="00485554">
        <w:rPr>
          <w:noProof/>
          <w:lang w:val="ka-GE"/>
        </w:rPr>
        <w:t xml:space="preserve">ს 1 მლ </w:t>
      </w:r>
      <w:r w:rsidRPr="00485554">
        <w:rPr>
          <w:noProof/>
          <w:lang w:val="ka-GE"/>
        </w:rPr>
        <w:t xml:space="preserve"> შეიცავს</w:t>
      </w:r>
    </w:p>
    <w:p w14:paraId="72850E99" w14:textId="0FD3DA50" w:rsidR="00BF2E7C" w:rsidRPr="00485554" w:rsidRDefault="00BF2E7C" w:rsidP="00BF2E7C">
      <w:pPr>
        <w:pStyle w:val="P68B1DB1-Normal4"/>
        <w:jc w:val="both"/>
        <w:rPr>
          <w:noProof/>
          <w:lang w:val="ka-GE"/>
        </w:rPr>
      </w:pPr>
      <w:r w:rsidRPr="00485554">
        <w:rPr>
          <w:i/>
          <w:noProof/>
          <w:lang w:val="ka-GE"/>
        </w:rPr>
        <w:t>აქტიური ნივთიერებები:</w:t>
      </w:r>
      <w:r w:rsidRPr="00485554">
        <w:rPr>
          <w:noProof/>
          <w:lang w:val="ka-GE"/>
        </w:rPr>
        <w:t xml:space="preserve"> ქლორჰექსიდინის გლუკონატი (ქლორჰექსიდინის ბიგლუკონატის ხსნარის ფორმით)</w:t>
      </w:r>
      <w:r w:rsidR="00C44147" w:rsidRPr="00485554">
        <w:rPr>
          <w:noProof/>
          <w:lang w:val="ka-GE"/>
        </w:rPr>
        <w:t xml:space="preserve"> 2 მგ</w:t>
      </w:r>
      <w:r w:rsidRPr="00485554">
        <w:rPr>
          <w:noProof/>
          <w:lang w:val="ka-GE"/>
        </w:rPr>
        <w:t>, ლიდოკაინის ჰიდროქლორიდი</w:t>
      </w:r>
      <w:r w:rsidR="00C44147" w:rsidRPr="00485554">
        <w:rPr>
          <w:noProof/>
          <w:lang w:val="ka-GE"/>
        </w:rPr>
        <w:t xml:space="preserve"> 0,5 მგ</w:t>
      </w:r>
      <w:r w:rsidRPr="00485554">
        <w:rPr>
          <w:noProof/>
          <w:lang w:val="ka-GE"/>
        </w:rPr>
        <w:t>.</w:t>
      </w:r>
    </w:p>
    <w:p w14:paraId="758DFC4A" w14:textId="0BAD0936" w:rsidR="00BF2E7C" w:rsidRPr="00485554" w:rsidRDefault="00BF2E7C" w:rsidP="00BF2E7C">
      <w:pPr>
        <w:pStyle w:val="P68B1DB1-Normal4"/>
        <w:jc w:val="both"/>
        <w:rPr>
          <w:noProof/>
          <w:lang w:val="ka-GE"/>
        </w:rPr>
      </w:pPr>
      <w:r w:rsidRPr="00485554">
        <w:rPr>
          <w:i/>
          <w:noProof/>
          <w:lang w:val="ka-GE"/>
        </w:rPr>
        <w:t>დამხმარე ნივთიერებები:</w:t>
      </w:r>
      <w:r w:rsidRPr="00485554">
        <w:rPr>
          <w:noProof/>
          <w:lang w:val="ka-GE"/>
        </w:rPr>
        <w:t xml:space="preserve"> გლიცერინი, უწყლო ეთანოლი, სუკრალოზა, ლიმონმჟავას მონოჰიდრატი, არომატიზატორი </w:t>
      </w:r>
      <w:r w:rsidR="008241DA" w:rsidRPr="00485554">
        <w:rPr>
          <w:noProof/>
          <w:lang w:val="ka-GE"/>
        </w:rPr>
        <w:t>„</w:t>
      </w:r>
      <w:r w:rsidRPr="00485554">
        <w:rPr>
          <w:noProof/>
          <w:lang w:val="ka-GE"/>
        </w:rPr>
        <w:t>ლიმონი</w:t>
      </w:r>
      <w:r w:rsidR="008241DA" w:rsidRPr="00485554">
        <w:rPr>
          <w:noProof/>
          <w:lang w:val="ka-GE"/>
        </w:rPr>
        <w:t>“</w:t>
      </w:r>
      <w:r w:rsidRPr="00485554">
        <w:rPr>
          <w:noProof/>
          <w:lang w:val="ka-GE"/>
        </w:rPr>
        <w:t>, გასუფთავებული წყალი.</w:t>
      </w:r>
    </w:p>
    <w:p w14:paraId="631494B2" w14:textId="77777777" w:rsidR="00BF2E7C" w:rsidRPr="00485554" w:rsidRDefault="00BF2E7C" w:rsidP="00BF2E7C">
      <w:pPr>
        <w:jc w:val="both"/>
        <w:rPr>
          <w:rFonts w:ascii="Sylfaen" w:hAnsi="Sylfaen"/>
          <w:noProof/>
          <w:lang w:val="ka-GE"/>
        </w:rPr>
      </w:pPr>
    </w:p>
    <w:p w14:paraId="27996D92" w14:textId="77777777" w:rsidR="00BF2E7C" w:rsidRPr="00485554" w:rsidRDefault="00BF2E7C" w:rsidP="00BF2E7C">
      <w:pPr>
        <w:pStyle w:val="P68B1DB1-Normal3"/>
        <w:jc w:val="both"/>
        <w:rPr>
          <w:noProof/>
          <w:lang w:val="ka-GE"/>
        </w:rPr>
      </w:pPr>
      <w:r w:rsidRPr="00485554">
        <w:rPr>
          <w:b/>
          <w:noProof/>
          <w:lang w:val="ka-GE"/>
        </w:rPr>
        <w:t>პაფესანი</w:t>
      </w:r>
      <w:r w:rsidRPr="00485554">
        <w:rPr>
          <w:noProof/>
          <w:lang w:val="ka-GE"/>
        </w:rPr>
        <w:t xml:space="preserve"> (მენთოლით)</w:t>
      </w:r>
    </w:p>
    <w:p w14:paraId="440D4C03" w14:textId="55285D3B" w:rsidR="00BF2E7C" w:rsidRPr="00485554" w:rsidRDefault="00BF2E7C" w:rsidP="00BF2E7C">
      <w:pPr>
        <w:pStyle w:val="P68B1DB1-Normal4"/>
        <w:jc w:val="both"/>
        <w:rPr>
          <w:noProof/>
          <w:lang w:val="ka-GE"/>
        </w:rPr>
      </w:pPr>
      <w:r w:rsidRPr="00485554">
        <w:rPr>
          <w:noProof/>
          <w:lang w:val="ka-GE"/>
        </w:rPr>
        <w:t>სპრეი</w:t>
      </w:r>
      <w:r w:rsidR="008241DA" w:rsidRPr="00485554">
        <w:rPr>
          <w:noProof/>
          <w:lang w:val="ka-GE"/>
        </w:rPr>
        <w:t xml:space="preserve">ს 1 მლ </w:t>
      </w:r>
      <w:r w:rsidRPr="00485554">
        <w:rPr>
          <w:noProof/>
          <w:lang w:val="ka-GE"/>
        </w:rPr>
        <w:t xml:space="preserve"> შეიცავს</w:t>
      </w:r>
    </w:p>
    <w:p w14:paraId="4D29DDFD" w14:textId="3FD04E56" w:rsidR="00BF2E7C" w:rsidRPr="00485554" w:rsidRDefault="00BF2E7C" w:rsidP="00BF2E7C">
      <w:pPr>
        <w:pStyle w:val="P68B1DB1-Normal4"/>
        <w:jc w:val="both"/>
        <w:rPr>
          <w:noProof/>
          <w:lang w:val="ka-GE"/>
        </w:rPr>
      </w:pPr>
      <w:r w:rsidRPr="00485554">
        <w:rPr>
          <w:i/>
          <w:noProof/>
          <w:lang w:val="ka-GE"/>
        </w:rPr>
        <w:t>აქტიური ნივთიერებები:</w:t>
      </w:r>
      <w:r w:rsidRPr="00485554">
        <w:rPr>
          <w:noProof/>
          <w:lang w:val="ka-GE"/>
        </w:rPr>
        <w:t xml:space="preserve"> ქლორჰექსიდინის გლუკონატი (ქლორჰექსიდინის ბიგლუკონატის ხსნარის ფორმით)</w:t>
      </w:r>
      <w:r w:rsidR="008241DA" w:rsidRPr="00485554">
        <w:rPr>
          <w:noProof/>
          <w:lang w:val="ka-GE"/>
        </w:rPr>
        <w:t xml:space="preserve"> 2 მგ</w:t>
      </w:r>
      <w:r w:rsidRPr="00485554">
        <w:rPr>
          <w:noProof/>
          <w:lang w:val="ka-GE"/>
        </w:rPr>
        <w:t>, ლიდოკაინის ჰიდროქლორიდი</w:t>
      </w:r>
      <w:r w:rsidR="008241DA" w:rsidRPr="00485554">
        <w:rPr>
          <w:noProof/>
          <w:lang w:val="ka-GE"/>
        </w:rPr>
        <w:t xml:space="preserve"> 0,5 მგ</w:t>
      </w:r>
      <w:r w:rsidRPr="00485554">
        <w:rPr>
          <w:noProof/>
          <w:lang w:val="ka-GE"/>
        </w:rPr>
        <w:t>.</w:t>
      </w:r>
    </w:p>
    <w:p w14:paraId="5A361703" w14:textId="77777777" w:rsidR="00BF2E7C" w:rsidRPr="00485554" w:rsidRDefault="00BF2E7C" w:rsidP="00BF2E7C">
      <w:pPr>
        <w:pStyle w:val="P68B1DB1-Normal4"/>
        <w:jc w:val="both"/>
        <w:rPr>
          <w:noProof/>
          <w:lang w:val="ka-GE"/>
        </w:rPr>
      </w:pPr>
      <w:r w:rsidRPr="00485554">
        <w:rPr>
          <w:i/>
          <w:noProof/>
          <w:lang w:val="ka-GE"/>
        </w:rPr>
        <w:t>დამხმარე ნივთიერებები:</w:t>
      </w:r>
      <w:r w:rsidRPr="00485554">
        <w:rPr>
          <w:noProof/>
          <w:lang w:val="ka-GE"/>
        </w:rPr>
        <w:t xml:space="preserve"> გლიცერინი, უწყლო ეთანოლი, სუკრალოზა, ლიმონმჟავას მონოჰიდრატი, ევკალიპტის ზეთი, ლევომენთოლი, გასუფთავებული წყალი.</w:t>
      </w:r>
    </w:p>
    <w:p w14:paraId="556CDF31" w14:textId="77777777" w:rsidR="00BF2E7C" w:rsidRPr="00485554" w:rsidRDefault="00BF2E7C">
      <w:pPr>
        <w:jc w:val="both"/>
        <w:rPr>
          <w:rFonts w:ascii="Sylfaen" w:hAnsi="Sylfaen"/>
          <w:noProof/>
          <w:lang w:val="ka-GE"/>
        </w:rPr>
      </w:pPr>
    </w:p>
    <w:p w14:paraId="56EDC884" w14:textId="77777777" w:rsidR="00654CEB" w:rsidRPr="00485554" w:rsidRDefault="00AE2F98">
      <w:pPr>
        <w:pStyle w:val="P68B1DB1-Normal3"/>
        <w:jc w:val="both"/>
        <w:rPr>
          <w:noProof/>
          <w:lang w:val="ka-GE"/>
        </w:rPr>
      </w:pPr>
      <w:r w:rsidRPr="00485554">
        <w:rPr>
          <w:noProof/>
          <w:lang w:val="ka-GE"/>
        </w:rPr>
        <w:t>სამკურნალწამლო ფორმა</w:t>
      </w:r>
    </w:p>
    <w:p w14:paraId="7B32436C" w14:textId="77777777" w:rsidR="00654CEB" w:rsidRPr="00485554" w:rsidRDefault="00AE2F98">
      <w:pPr>
        <w:pStyle w:val="P68B1DB1-Normal4"/>
        <w:jc w:val="both"/>
        <w:rPr>
          <w:noProof/>
          <w:lang w:val="ka-GE"/>
        </w:rPr>
      </w:pPr>
      <w:r w:rsidRPr="00485554">
        <w:rPr>
          <w:noProof/>
          <w:lang w:val="ka-GE"/>
        </w:rPr>
        <w:t>სპრეი ყელისთვის.</w:t>
      </w:r>
    </w:p>
    <w:p w14:paraId="52516D69" w14:textId="77777777" w:rsidR="00654CEB" w:rsidRPr="00485554" w:rsidRDefault="00AE2F98">
      <w:pPr>
        <w:pStyle w:val="P68B1DB1-Normal3"/>
        <w:jc w:val="both"/>
        <w:rPr>
          <w:noProof/>
          <w:lang w:val="ka-GE"/>
        </w:rPr>
      </w:pPr>
      <w:r w:rsidRPr="00485554">
        <w:rPr>
          <w:noProof/>
          <w:lang w:val="ka-GE"/>
        </w:rPr>
        <w:t>აღწერა:</w:t>
      </w:r>
    </w:p>
    <w:p w14:paraId="18DF33A2" w14:textId="77777777" w:rsidR="00654CEB" w:rsidRPr="00485554" w:rsidRDefault="00AE2F98">
      <w:pPr>
        <w:pStyle w:val="P68B1DB1-Normal4"/>
        <w:jc w:val="both"/>
        <w:rPr>
          <w:noProof/>
          <w:lang w:val="ka-GE"/>
        </w:rPr>
      </w:pPr>
      <w:r w:rsidRPr="00485554">
        <w:rPr>
          <w:b/>
          <w:i/>
          <w:noProof/>
          <w:lang w:val="ka-GE"/>
        </w:rPr>
        <w:t>პაფესანი</w:t>
      </w:r>
      <w:r w:rsidRPr="00485554">
        <w:rPr>
          <w:i/>
          <w:noProof/>
          <w:lang w:val="ka-GE"/>
        </w:rPr>
        <w:t xml:space="preserve"> (ლიმონის გემოთი): </w:t>
      </w:r>
      <w:r w:rsidRPr="00485554">
        <w:rPr>
          <w:noProof/>
          <w:lang w:val="ka-GE"/>
        </w:rPr>
        <w:t>ერთგვაროვანი, გამჭვირვალე, უფერო, ტკბილი ხსნარი ლიმონის გემოთი და სპირტის არომატით.</w:t>
      </w:r>
    </w:p>
    <w:p w14:paraId="45CC8333" w14:textId="06F19878" w:rsidR="00654CEB" w:rsidRPr="00485554" w:rsidRDefault="00AE2F98">
      <w:pPr>
        <w:pStyle w:val="P68B1DB1-Normal4"/>
        <w:jc w:val="both"/>
        <w:rPr>
          <w:i/>
          <w:noProof/>
          <w:lang w:val="ka-GE"/>
        </w:rPr>
      </w:pPr>
      <w:r w:rsidRPr="00485554">
        <w:rPr>
          <w:b/>
          <w:i/>
          <w:noProof/>
          <w:lang w:val="ka-GE"/>
        </w:rPr>
        <w:t>პაფესანი</w:t>
      </w:r>
      <w:r w:rsidR="0009310A" w:rsidRPr="00485554">
        <w:rPr>
          <w:i/>
          <w:noProof/>
          <w:lang w:val="ka-GE"/>
        </w:rPr>
        <w:t xml:space="preserve"> </w:t>
      </w:r>
      <w:r w:rsidRPr="00485554">
        <w:rPr>
          <w:i/>
          <w:noProof/>
          <w:lang w:val="ka-GE"/>
        </w:rPr>
        <w:t xml:space="preserve">(მენთოლით): </w:t>
      </w:r>
      <w:r w:rsidRPr="00485554">
        <w:rPr>
          <w:noProof/>
          <w:lang w:val="ka-GE"/>
        </w:rPr>
        <w:t>ერთგვაროვანი, გამჭვირვალე, უფერო, ტკბილი ხსნარი მენთოლის, ევკალიპტის და სპირტის არომატით.</w:t>
      </w:r>
    </w:p>
    <w:p w14:paraId="5EFDB8BD" w14:textId="4CB85133" w:rsidR="00654CEB" w:rsidRPr="00485554" w:rsidRDefault="00654CEB">
      <w:pPr>
        <w:jc w:val="both"/>
        <w:rPr>
          <w:rFonts w:ascii="Sylfaen" w:hAnsi="Sylfaen"/>
          <w:noProof/>
          <w:lang w:val="ka-GE"/>
        </w:rPr>
      </w:pPr>
    </w:p>
    <w:p w14:paraId="46A50792" w14:textId="77777777" w:rsidR="00654CEB" w:rsidRPr="00485554" w:rsidRDefault="00AE2F98">
      <w:pPr>
        <w:pStyle w:val="P68B1DB1-Normal3"/>
        <w:jc w:val="both"/>
        <w:rPr>
          <w:noProof/>
          <w:lang w:val="ka-GE"/>
        </w:rPr>
      </w:pPr>
      <w:r w:rsidRPr="00485554">
        <w:rPr>
          <w:noProof/>
          <w:lang w:val="ka-GE"/>
        </w:rPr>
        <w:t>გამოყენების ჩვენებები</w:t>
      </w:r>
    </w:p>
    <w:p w14:paraId="44204EDF" w14:textId="77777777" w:rsidR="00654CEB" w:rsidRPr="00485554" w:rsidRDefault="00AE2F98">
      <w:pPr>
        <w:pStyle w:val="P68B1DB1-Normal7"/>
        <w:jc w:val="both"/>
        <w:rPr>
          <w:noProof/>
          <w:lang w:val="ka-GE"/>
        </w:rPr>
      </w:pPr>
      <w:r w:rsidRPr="00485554">
        <w:rPr>
          <w:b/>
          <w:noProof/>
          <w:lang w:val="ka-GE"/>
        </w:rPr>
        <w:t>პაფესანი</w:t>
      </w:r>
      <w:r w:rsidRPr="00485554">
        <w:rPr>
          <w:noProof/>
          <w:lang w:val="ka-GE"/>
        </w:rPr>
        <w:t xml:space="preserve"> ნაჩვენებია პირის ღრუს და ხახის ლორწოვანი გარსის ინფექციურ-ანთებითი დაავადებების, რომლებსაც თან ახლავს ტკივილი და გაღიზიანება ყელში, ადგილობრივი სიმპტომური მკურნალობისათვის.</w:t>
      </w:r>
    </w:p>
    <w:p w14:paraId="267E8AE5" w14:textId="35851669" w:rsidR="00654CEB" w:rsidRPr="00485554" w:rsidRDefault="00AE2F98">
      <w:pPr>
        <w:pStyle w:val="P68B1DB1-Normal7"/>
        <w:jc w:val="both"/>
        <w:rPr>
          <w:b/>
          <w:noProof/>
          <w:lang w:val="ka-GE"/>
        </w:rPr>
      </w:pPr>
      <w:r w:rsidRPr="00485554">
        <w:rPr>
          <w:noProof/>
          <w:lang w:val="ka-GE"/>
        </w:rPr>
        <w:t>ბაქტერიული ინფექციის ზოგადი ნიშნების განვითარების და სხეულის ტემპერატურის მატების დროს, აუცილებელია დამატებითი მკურნალობის გათვალისწინება.</w:t>
      </w:r>
    </w:p>
    <w:p w14:paraId="5FA32A69" w14:textId="77777777" w:rsidR="00654CEB" w:rsidRPr="00485554" w:rsidRDefault="00654CEB">
      <w:pPr>
        <w:jc w:val="both"/>
        <w:rPr>
          <w:rFonts w:ascii="Sylfaen" w:hAnsi="Sylfaen"/>
          <w:noProof/>
          <w:lang w:val="ka-GE"/>
        </w:rPr>
      </w:pPr>
    </w:p>
    <w:p w14:paraId="119EF954" w14:textId="77777777" w:rsidR="00654CEB" w:rsidRPr="00485554" w:rsidRDefault="00AE2F98">
      <w:pPr>
        <w:pStyle w:val="P68B1DB1-Normal3"/>
        <w:jc w:val="both"/>
        <w:rPr>
          <w:noProof/>
          <w:lang w:val="ka-GE"/>
        </w:rPr>
      </w:pPr>
      <w:r w:rsidRPr="00485554">
        <w:rPr>
          <w:noProof/>
          <w:lang w:val="ka-GE"/>
        </w:rPr>
        <w:t>გამოყენების წესი და დოზები</w:t>
      </w:r>
    </w:p>
    <w:p w14:paraId="1ACFD6AC" w14:textId="77777777" w:rsidR="00654CEB" w:rsidRPr="00485554" w:rsidRDefault="00AE2F98">
      <w:pPr>
        <w:pStyle w:val="P68B1DB1-Normal4"/>
        <w:jc w:val="both"/>
        <w:rPr>
          <w:i/>
          <w:noProof/>
          <w:lang w:val="ka-GE"/>
        </w:rPr>
      </w:pPr>
      <w:r w:rsidRPr="00485554">
        <w:rPr>
          <w:b/>
          <w:noProof/>
          <w:lang w:val="ka-GE"/>
        </w:rPr>
        <w:t>პაფესანი</w:t>
      </w:r>
      <w:r w:rsidRPr="00485554">
        <w:rPr>
          <w:noProof/>
          <w:lang w:val="ka-GE"/>
        </w:rPr>
        <w:t xml:space="preserve"> განკუთვნილია მხოლოდ ადგილობრივი გამოყენებისათვის</w:t>
      </w:r>
      <w:r w:rsidRPr="00485554">
        <w:rPr>
          <w:i/>
          <w:noProof/>
          <w:lang w:val="ka-GE"/>
        </w:rPr>
        <w:t>.</w:t>
      </w:r>
    </w:p>
    <w:p w14:paraId="326B3F14" w14:textId="77777777" w:rsidR="00654CEB" w:rsidRPr="00485554" w:rsidRDefault="00AE2F98">
      <w:pPr>
        <w:pStyle w:val="P68B1DB1-Normal3"/>
        <w:jc w:val="both"/>
        <w:rPr>
          <w:noProof/>
          <w:lang w:val="ka-GE"/>
        </w:rPr>
      </w:pPr>
      <w:r w:rsidRPr="00485554">
        <w:rPr>
          <w:noProof/>
          <w:lang w:val="ka-GE"/>
        </w:rPr>
        <w:t>მოზრდილები და 12 წელზე უფროსი ასაკის ბავშვები</w:t>
      </w:r>
    </w:p>
    <w:p w14:paraId="575FBDC1" w14:textId="77777777" w:rsidR="00654CEB" w:rsidRPr="00485554" w:rsidRDefault="00AE2F98">
      <w:pPr>
        <w:pStyle w:val="P68B1DB1-Normal4"/>
        <w:jc w:val="both"/>
        <w:rPr>
          <w:noProof/>
          <w:lang w:val="ka-GE"/>
        </w:rPr>
      </w:pPr>
      <w:r w:rsidRPr="00485554">
        <w:rPr>
          <w:noProof/>
          <w:lang w:val="ka-GE"/>
        </w:rPr>
        <w:t xml:space="preserve">დოზა შეადგენს ზედიზედ 3-5 შესხურებას, </w:t>
      </w:r>
      <w:r w:rsidRPr="00485554">
        <w:rPr>
          <w:noProof/>
          <w:color w:val="000000"/>
          <w:lang w:val="ka-GE"/>
        </w:rPr>
        <w:t>დღე-ღამეში 6-10-ჯერ.</w:t>
      </w:r>
    </w:p>
    <w:p w14:paraId="0EFF66A3" w14:textId="77777777" w:rsidR="00654CEB" w:rsidRPr="00485554" w:rsidRDefault="00AE2F98">
      <w:pPr>
        <w:pStyle w:val="P68B1DB1-Normal3"/>
        <w:jc w:val="both"/>
        <w:rPr>
          <w:noProof/>
          <w:lang w:val="ka-GE"/>
        </w:rPr>
      </w:pPr>
      <w:r w:rsidRPr="00485554">
        <w:rPr>
          <w:noProof/>
          <w:lang w:val="ka-GE"/>
        </w:rPr>
        <w:t>12 წლამდე ასაკის ბავშვები</w:t>
      </w:r>
    </w:p>
    <w:p w14:paraId="771146AA" w14:textId="77777777" w:rsidR="00654CEB" w:rsidRPr="00485554" w:rsidRDefault="00AE2F98">
      <w:pPr>
        <w:pStyle w:val="P68B1DB1-Normal4"/>
        <w:jc w:val="both"/>
        <w:rPr>
          <w:noProof/>
          <w:lang w:val="ka-GE"/>
        </w:rPr>
      </w:pPr>
      <w:r w:rsidRPr="00485554">
        <w:rPr>
          <w:noProof/>
          <w:lang w:val="ka-GE"/>
        </w:rPr>
        <w:t>ამ ასაკობრივ ჯგუფში პრეპარატის გამოყენება რეკომენდებული არ არის.</w:t>
      </w:r>
    </w:p>
    <w:p w14:paraId="6CD0E496" w14:textId="77777777" w:rsidR="00654CEB" w:rsidRPr="00485554" w:rsidRDefault="00AE2F98">
      <w:pPr>
        <w:pStyle w:val="P68B1DB1-Normal4"/>
        <w:jc w:val="both"/>
        <w:rPr>
          <w:noProof/>
          <w:lang w:val="ka-GE"/>
        </w:rPr>
      </w:pPr>
      <w:r w:rsidRPr="00485554">
        <w:rPr>
          <w:noProof/>
          <w:lang w:val="ka-GE"/>
        </w:rPr>
        <w:lastRenderedPageBreak/>
        <w:t>პრეპარატი არ შეიცავს საქაროზას, ამიტომ მისი გამოყენება შესაძლებელია შაქრიანი დიაბეტის მქონე პაციენტებში.</w:t>
      </w:r>
    </w:p>
    <w:p w14:paraId="24DE4003" w14:textId="77777777" w:rsidR="00654CEB" w:rsidRPr="00485554" w:rsidRDefault="00654CEB">
      <w:pPr>
        <w:jc w:val="both"/>
        <w:rPr>
          <w:rFonts w:ascii="Sylfaen" w:hAnsi="Sylfaen"/>
          <w:noProof/>
          <w:lang w:val="ka-GE"/>
        </w:rPr>
      </w:pPr>
    </w:p>
    <w:p w14:paraId="7D4A6DC1" w14:textId="77777777" w:rsidR="00654CEB" w:rsidRPr="00485554" w:rsidRDefault="00AE2F98">
      <w:pPr>
        <w:pStyle w:val="P68B1DB1-Normal3"/>
        <w:jc w:val="both"/>
        <w:rPr>
          <w:noProof/>
          <w:lang w:val="ka-GE"/>
        </w:rPr>
      </w:pPr>
      <w:r w:rsidRPr="00485554">
        <w:rPr>
          <w:noProof/>
          <w:lang w:val="ka-GE"/>
        </w:rPr>
        <w:t>უკუჩვენებები</w:t>
      </w:r>
    </w:p>
    <w:p w14:paraId="2B618DEF" w14:textId="77777777" w:rsidR="00654CEB" w:rsidRPr="00485554" w:rsidRDefault="00AE2F98">
      <w:pPr>
        <w:pStyle w:val="P68B1DB1-Normal4"/>
        <w:jc w:val="both"/>
        <w:rPr>
          <w:noProof/>
          <w:lang w:val="ka-GE"/>
        </w:rPr>
      </w:pPr>
      <w:r w:rsidRPr="00485554">
        <w:rPr>
          <w:noProof/>
          <w:lang w:val="ka-GE"/>
        </w:rPr>
        <w:t>- ჰიპერმგრძნობელობა პრეპარატის აქტიური ნივთიერებების ან რომელიმე დამხმარე ნივთიერების მიმართ, განსაკუთრებით ანამნეზში ალერგიული რეაქციების არსებობის შემთხვევაში, რაც შეიძლება უკავშირდებოდეს ქლორჰექსიდინის გამოყენებას;</w:t>
      </w:r>
    </w:p>
    <w:p w14:paraId="7AE957A3" w14:textId="02F1787D" w:rsidR="00654CEB" w:rsidRPr="00485554" w:rsidRDefault="00AE2F98">
      <w:pPr>
        <w:pStyle w:val="P68B1DB1-Normal4"/>
        <w:jc w:val="both"/>
        <w:rPr>
          <w:noProof/>
          <w:lang w:val="ka-GE"/>
        </w:rPr>
      </w:pPr>
      <w:r w:rsidRPr="00485554">
        <w:rPr>
          <w:noProof/>
          <w:lang w:val="ka-GE"/>
        </w:rPr>
        <w:t>- ბავშვთა ასაკი 12 წლამდე.</w:t>
      </w:r>
    </w:p>
    <w:p w14:paraId="1B6C86B0" w14:textId="723A4BF4" w:rsidR="00654CEB" w:rsidRPr="00485554" w:rsidRDefault="00654CEB">
      <w:pPr>
        <w:jc w:val="both"/>
        <w:rPr>
          <w:rFonts w:ascii="Sylfaen" w:hAnsi="Sylfaen"/>
          <w:noProof/>
          <w:lang w:val="ka-GE"/>
        </w:rPr>
      </w:pPr>
    </w:p>
    <w:p w14:paraId="2D77E0F6" w14:textId="3FEC23E7" w:rsidR="00654CEB" w:rsidRPr="00485554" w:rsidRDefault="00AE2F98">
      <w:pPr>
        <w:pStyle w:val="P68B1DB1-Normal3"/>
        <w:jc w:val="both"/>
        <w:rPr>
          <w:noProof/>
          <w:lang w:val="ka-GE"/>
        </w:rPr>
      </w:pPr>
      <w:r w:rsidRPr="00485554">
        <w:rPr>
          <w:noProof/>
          <w:lang w:val="ka-GE"/>
        </w:rPr>
        <w:t>განსაკუთრებული</w:t>
      </w:r>
      <w:r w:rsidR="008241DA" w:rsidRPr="00485554">
        <w:rPr>
          <w:noProof/>
          <w:lang w:val="ka-GE"/>
        </w:rPr>
        <w:t xml:space="preserve"> გაფრთხილებები და სიფრთხილის ზომები გამოყენებისას</w:t>
      </w:r>
    </w:p>
    <w:p w14:paraId="6AFDFABB" w14:textId="77777777" w:rsidR="00654CEB" w:rsidRPr="00485554" w:rsidRDefault="00AE2F98">
      <w:pPr>
        <w:pStyle w:val="P68B1DB1-NormalWeb8"/>
        <w:spacing w:before="0" w:beforeAutospacing="0" w:after="0" w:afterAutospacing="0"/>
        <w:jc w:val="both"/>
        <w:rPr>
          <w:noProof/>
          <w:lang w:val="ka-GE"/>
        </w:rPr>
      </w:pPr>
      <w:r w:rsidRPr="00485554">
        <w:rPr>
          <w:noProof/>
          <w:lang w:val="ka-GE"/>
        </w:rPr>
        <w:t xml:space="preserve">ყელის ტკივილის და გაღიზიანების სიმპტომური მკურნალობისათვის </w:t>
      </w:r>
      <w:r w:rsidRPr="00485554">
        <w:rPr>
          <w:b/>
          <w:noProof/>
          <w:lang w:val="ka-GE"/>
        </w:rPr>
        <w:t>პაფესანის</w:t>
      </w:r>
      <w:r w:rsidRPr="00485554">
        <w:rPr>
          <w:noProof/>
          <w:lang w:val="ka-GE"/>
        </w:rPr>
        <w:t xml:space="preserve"> გამოყენება უნდა მოხდეს მხოლოდ აუცილებლობის შემთხვევაში. პრეპარატის გამოყენება არ უნდა მოხდეს ხანგრძლივი დროის განმავლობაში და რეკომენდებულზე უფრო მაღალი სიხშირით.</w:t>
      </w:r>
    </w:p>
    <w:p w14:paraId="2C88CF12" w14:textId="77777777" w:rsidR="00654CEB" w:rsidRPr="00485554" w:rsidRDefault="00AE2F98">
      <w:pPr>
        <w:pStyle w:val="P68B1DB1-NormalWeb8"/>
        <w:spacing w:before="0" w:beforeAutospacing="0" w:after="0" w:afterAutospacing="0"/>
        <w:jc w:val="both"/>
        <w:rPr>
          <w:noProof/>
          <w:lang w:val="ka-GE"/>
        </w:rPr>
      </w:pPr>
      <w:r w:rsidRPr="00485554">
        <w:rPr>
          <w:b/>
          <w:noProof/>
          <w:lang w:val="ka-GE"/>
        </w:rPr>
        <w:t>პაფესანი</w:t>
      </w:r>
      <w:r w:rsidRPr="00485554">
        <w:rPr>
          <w:noProof/>
          <w:lang w:val="ka-GE"/>
        </w:rPr>
        <w:t xml:space="preserve"> შეიცავს ქლორჰექსიდინს, რომლის გამოყენების დროს შეიძლება განვითარდეს ჰიპერმგრძნობელობის რეაქციები, მათ შორის გენერალიზებული ალერგიული რეაქციები და ანაფილაქსიური შოკი. ჰიპერმგრძნობელობის რეაქციების განვითარების სიხშირე უცნობია; ლიტერატურული მონაცემების საფუძველზე, ვარაუდობენ, რომ ასეთი რეაქციები იშვიათად ვითარდება. </w:t>
      </w:r>
      <w:r w:rsidRPr="00485554">
        <w:rPr>
          <w:b/>
          <w:noProof/>
          <w:lang w:val="ka-GE"/>
        </w:rPr>
        <w:t>პაფესანის</w:t>
      </w:r>
      <w:r w:rsidRPr="00485554">
        <w:rPr>
          <w:noProof/>
          <w:lang w:val="ka-GE"/>
        </w:rPr>
        <w:t xml:space="preserve"> გამოყენება არ უნდა მოხდეს იმ პაციენტებში, რომლებსაც ანამნეზში აქვთ ალერგიული რეაქციები, რომლებიც შეიძლება უკავშირდებოდეს ქლორჰექსიდინის შემცველი პრეპარატების გამოყენებას.</w:t>
      </w:r>
    </w:p>
    <w:p w14:paraId="177CB830" w14:textId="77777777" w:rsidR="00654CEB" w:rsidRPr="00485554" w:rsidRDefault="00AE2F98">
      <w:pPr>
        <w:pStyle w:val="P68B1DB1-Normal4"/>
        <w:jc w:val="both"/>
        <w:rPr>
          <w:noProof/>
          <w:color w:val="000000"/>
          <w:lang w:val="ka-GE"/>
        </w:rPr>
      </w:pPr>
      <w:r w:rsidRPr="00485554">
        <w:rPr>
          <w:b/>
          <w:noProof/>
          <w:lang w:val="ka-GE"/>
        </w:rPr>
        <w:t>პაფესანის</w:t>
      </w:r>
      <w:r w:rsidRPr="00485554">
        <w:rPr>
          <w:noProof/>
          <w:color w:val="000000"/>
          <w:lang w:val="ka-GE"/>
        </w:rPr>
        <w:t xml:space="preserve"> გამოყენება არ უნდა მოხდეს ყლაპვის გართულების დროს, </w:t>
      </w:r>
      <w:r w:rsidRPr="00485554">
        <w:rPr>
          <w:noProof/>
          <w:lang w:val="ka-GE"/>
        </w:rPr>
        <w:t xml:space="preserve">ამ შემთხვევაში, აუცილებელია მიმართოთ თქვენს ექიმს. პრეპარატის გამოყენება არ უნდა მოხდეს თუ ყელის ტკივილი ატარებს გამოხატულ ხასიათს ან აღინიშნება ორ დღეზე უფრო მეტ ხნის განმავლობაში ან თან ახლავს მაღალი ტემპერატურა, თავის ტკივილი, ღებინება </w:t>
      </w:r>
      <w:r w:rsidRPr="00485554">
        <w:rPr>
          <w:noProof/>
          <w:color w:val="000000"/>
          <w:lang w:val="ka-GE"/>
        </w:rPr>
        <w:t>და გულისრევა.</w:t>
      </w:r>
    </w:p>
    <w:p w14:paraId="26B2CA54" w14:textId="612A19A0" w:rsidR="00654CEB" w:rsidRPr="00485554" w:rsidRDefault="00AE2F98" w:rsidP="00D8630E">
      <w:pPr>
        <w:pStyle w:val="P68B1DB1-Normal5"/>
        <w:jc w:val="both"/>
        <w:rPr>
          <w:noProof/>
          <w:lang w:val="ka-GE"/>
        </w:rPr>
      </w:pPr>
      <w:r w:rsidRPr="00485554">
        <w:rPr>
          <w:noProof/>
          <w:lang w:val="ka-GE"/>
        </w:rPr>
        <w:t>მოერიდეთ პრეპარატის თვალებში მოხვედრას.</w:t>
      </w:r>
    </w:p>
    <w:p w14:paraId="55E38483" w14:textId="28D23695" w:rsidR="008241DA" w:rsidRPr="00485554" w:rsidRDefault="00D8630E" w:rsidP="00D8630E">
      <w:pPr>
        <w:jc w:val="both"/>
        <w:rPr>
          <w:noProof/>
          <w:szCs w:val="24"/>
          <w:lang w:val="ka-GE"/>
        </w:rPr>
      </w:pPr>
      <w:r w:rsidRPr="00485554">
        <w:rPr>
          <w:rFonts w:ascii="Sylfaen" w:hAnsi="Sylfaen" w:cs="Sylfaen"/>
          <w:noProof/>
          <w:szCs w:val="24"/>
          <w:lang w:val="ka-GE"/>
        </w:rPr>
        <w:t>არის შეტყობინებები, ქლორჰექსიდინის</w:t>
      </w:r>
      <w:r w:rsidRPr="00485554">
        <w:rPr>
          <w:noProof/>
          <w:szCs w:val="24"/>
          <w:lang w:val="ka-GE"/>
        </w:rPr>
        <w:t xml:space="preserve"> </w:t>
      </w:r>
      <w:r w:rsidRPr="00485554">
        <w:rPr>
          <w:rFonts w:ascii="Sylfaen" w:hAnsi="Sylfaen" w:cs="Sylfaen"/>
          <w:noProof/>
          <w:szCs w:val="24"/>
          <w:lang w:val="ka-GE"/>
        </w:rPr>
        <w:t>შემცველი</w:t>
      </w:r>
      <w:r w:rsidRPr="00485554">
        <w:rPr>
          <w:noProof/>
          <w:szCs w:val="24"/>
          <w:lang w:val="ka-GE"/>
        </w:rPr>
        <w:t xml:space="preserve"> </w:t>
      </w:r>
      <w:r w:rsidRPr="00485554">
        <w:rPr>
          <w:rFonts w:ascii="Sylfaen" w:hAnsi="Sylfaen" w:cs="Sylfaen"/>
          <w:noProof/>
          <w:szCs w:val="24"/>
          <w:lang w:val="ka-GE"/>
        </w:rPr>
        <w:t>სამკურნალო</w:t>
      </w:r>
      <w:r w:rsidRPr="00485554">
        <w:rPr>
          <w:noProof/>
          <w:szCs w:val="24"/>
          <w:lang w:val="ka-GE"/>
        </w:rPr>
        <w:t xml:space="preserve"> </w:t>
      </w:r>
      <w:r w:rsidRPr="00485554">
        <w:rPr>
          <w:rFonts w:ascii="Sylfaen" w:hAnsi="Sylfaen" w:cs="Sylfaen"/>
          <w:noProof/>
          <w:szCs w:val="24"/>
          <w:lang w:val="ka-GE"/>
        </w:rPr>
        <w:t>საშუალებების</w:t>
      </w:r>
      <w:r w:rsidRPr="00485554">
        <w:rPr>
          <w:noProof/>
          <w:szCs w:val="24"/>
          <w:lang w:val="ka-GE"/>
        </w:rPr>
        <w:t xml:space="preserve"> </w:t>
      </w:r>
      <w:r w:rsidRPr="00485554">
        <w:rPr>
          <w:rFonts w:ascii="Sylfaen" w:hAnsi="Sylfaen" w:cs="Sylfaen"/>
          <w:noProof/>
          <w:szCs w:val="24"/>
          <w:lang w:val="ka-GE"/>
        </w:rPr>
        <w:t>თვალში</w:t>
      </w:r>
      <w:r w:rsidRPr="00485554">
        <w:rPr>
          <w:noProof/>
          <w:szCs w:val="24"/>
          <w:lang w:val="ka-GE"/>
        </w:rPr>
        <w:t xml:space="preserve"> </w:t>
      </w:r>
      <w:r w:rsidRPr="00485554">
        <w:rPr>
          <w:rFonts w:ascii="Sylfaen" w:hAnsi="Sylfaen" w:cs="Sylfaen"/>
          <w:noProof/>
          <w:szCs w:val="24"/>
          <w:lang w:val="ka-GE"/>
        </w:rPr>
        <w:t>შემთხვევითი</w:t>
      </w:r>
      <w:r w:rsidRPr="00485554">
        <w:rPr>
          <w:noProof/>
          <w:szCs w:val="24"/>
          <w:lang w:val="ka-GE"/>
        </w:rPr>
        <w:t xml:space="preserve"> </w:t>
      </w:r>
      <w:r w:rsidRPr="00485554">
        <w:rPr>
          <w:rFonts w:ascii="Sylfaen" w:hAnsi="Sylfaen" w:cs="Sylfaen"/>
          <w:noProof/>
          <w:szCs w:val="24"/>
          <w:lang w:val="ka-GE"/>
        </w:rPr>
        <w:t>მოხვედრის</w:t>
      </w:r>
      <w:r w:rsidRPr="00485554">
        <w:rPr>
          <w:noProof/>
          <w:szCs w:val="24"/>
          <w:lang w:val="ka-GE"/>
        </w:rPr>
        <w:t xml:space="preserve"> </w:t>
      </w:r>
      <w:r w:rsidRPr="00485554">
        <w:rPr>
          <w:rFonts w:ascii="Sylfaen" w:hAnsi="Sylfaen" w:cs="Sylfaen"/>
          <w:noProof/>
          <w:szCs w:val="24"/>
          <w:lang w:val="ka-GE"/>
        </w:rPr>
        <w:t>შემდეგ</w:t>
      </w:r>
      <w:r w:rsidRPr="00485554">
        <w:rPr>
          <w:rFonts w:asciiTheme="minorHAnsi" w:hAnsiTheme="minorHAnsi"/>
          <w:noProof/>
          <w:szCs w:val="24"/>
          <w:lang w:val="ka-GE"/>
        </w:rPr>
        <w:t>,</w:t>
      </w:r>
      <w:r w:rsidRPr="00485554">
        <w:rPr>
          <w:noProof/>
          <w:szCs w:val="24"/>
          <w:lang w:val="ka-GE"/>
        </w:rPr>
        <w:t xml:space="preserve"> </w:t>
      </w:r>
      <w:r w:rsidR="008241DA" w:rsidRPr="00485554">
        <w:rPr>
          <w:noProof/>
          <w:szCs w:val="24"/>
          <w:lang w:val="ka-GE"/>
        </w:rPr>
        <w:t xml:space="preserve"> </w:t>
      </w:r>
      <w:r w:rsidR="008241DA" w:rsidRPr="00485554">
        <w:rPr>
          <w:rFonts w:ascii="Sylfaen" w:hAnsi="Sylfaen" w:cs="Sylfaen"/>
          <w:noProof/>
          <w:szCs w:val="24"/>
          <w:lang w:val="ka-GE"/>
        </w:rPr>
        <w:t>რქოვანას</w:t>
      </w:r>
      <w:r w:rsidR="008241DA" w:rsidRPr="00485554">
        <w:rPr>
          <w:noProof/>
          <w:szCs w:val="24"/>
          <w:lang w:val="ka-GE"/>
        </w:rPr>
        <w:t xml:space="preserve"> </w:t>
      </w:r>
      <w:r w:rsidR="008241DA" w:rsidRPr="00485554">
        <w:rPr>
          <w:rFonts w:ascii="Sylfaen" w:hAnsi="Sylfaen" w:cs="Sylfaen"/>
          <w:noProof/>
          <w:szCs w:val="24"/>
          <w:lang w:val="ka-GE"/>
        </w:rPr>
        <w:t>შეუქცევადი</w:t>
      </w:r>
      <w:r w:rsidR="008241DA" w:rsidRPr="00485554">
        <w:rPr>
          <w:noProof/>
          <w:szCs w:val="24"/>
          <w:lang w:val="ka-GE"/>
        </w:rPr>
        <w:t xml:space="preserve"> </w:t>
      </w:r>
      <w:r w:rsidRPr="00485554">
        <w:rPr>
          <w:rFonts w:ascii="Sylfaen" w:hAnsi="Sylfaen"/>
          <w:noProof/>
          <w:szCs w:val="24"/>
          <w:lang w:val="ka-GE"/>
        </w:rPr>
        <w:t xml:space="preserve">სერიოზული </w:t>
      </w:r>
      <w:r w:rsidR="008241DA" w:rsidRPr="00485554">
        <w:rPr>
          <w:rFonts w:ascii="Sylfaen" w:hAnsi="Sylfaen" w:cs="Sylfaen"/>
          <w:noProof/>
          <w:szCs w:val="24"/>
          <w:lang w:val="ka-GE"/>
        </w:rPr>
        <w:t>დაზიანების</w:t>
      </w:r>
      <w:r w:rsidR="008241DA" w:rsidRPr="00485554">
        <w:rPr>
          <w:noProof/>
          <w:szCs w:val="24"/>
          <w:lang w:val="ka-GE"/>
        </w:rPr>
        <w:t xml:space="preserve"> </w:t>
      </w:r>
      <w:r w:rsidRPr="00485554">
        <w:rPr>
          <w:rFonts w:ascii="Sylfaen" w:hAnsi="Sylfaen" w:cs="Sylfaen"/>
          <w:noProof/>
          <w:szCs w:val="24"/>
          <w:lang w:val="ka-GE"/>
        </w:rPr>
        <w:t>შესახებ,</w:t>
      </w:r>
      <w:r w:rsidR="008241DA" w:rsidRPr="00485554">
        <w:rPr>
          <w:noProof/>
          <w:szCs w:val="24"/>
          <w:lang w:val="ka-GE"/>
        </w:rPr>
        <w:t xml:space="preserve"> </w:t>
      </w:r>
      <w:r w:rsidR="008241DA" w:rsidRPr="00485554">
        <w:rPr>
          <w:rFonts w:ascii="Sylfaen" w:hAnsi="Sylfaen" w:cs="Sylfaen"/>
          <w:noProof/>
          <w:szCs w:val="24"/>
          <w:lang w:val="ka-GE"/>
        </w:rPr>
        <w:t>რომლებიც</w:t>
      </w:r>
      <w:r w:rsidR="008241DA" w:rsidRPr="00485554">
        <w:rPr>
          <w:noProof/>
          <w:szCs w:val="24"/>
          <w:lang w:val="ka-GE"/>
        </w:rPr>
        <w:t xml:space="preserve"> </w:t>
      </w:r>
      <w:r w:rsidR="008241DA" w:rsidRPr="00485554">
        <w:rPr>
          <w:rFonts w:ascii="Sylfaen" w:hAnsi="Sylfaen" w:cs="Sylfaen"/>
          <w:noProof/>
          <w:szCs w:val="24"/>
          <w:lang w:val="ka-GE"/>
        </w:rPr>
        <w:t>საჭიროებდ</w:t>
      </w:r>
      <w:r w:rsidRPr="00485554">
        <w:rPr>
          <w:rFonts w:ascii="Sylfaen" w:hAnsi="Sylfaen" w:cs="Sylfaen"/>
          <w:noProof/>
          <w:szCs w:val="24"/>
          <w:lang w:val="ka-GE"/>
        </w:rPr>
        <w:t>ნენ</w:t>
      </w:r>
      <w:r w:rsidR="008241DA" w:rsidRPr="00485554">
        <w:rPr>
          <w:noProof/>
          <w:szCs w:val="24"/>
          <w:lang w:val="ka-GE"/>
        </w:rPr>
        <w:t xml:space="preserve"> </w:t>
      </w:r>
      <w:r w:rsidR="008241DA" w:rsidRPr="00485554">
        <w:rPr>
          <w:rFonts w:ascii="Sylfaen" w:hAnsi="Sylfaen" w:cs="Sylfaen"/>
          <w:noProof/>
          <w:szCs w:val="24"/>
          <w:lang w:val="ka-GE"/>
        </w:rPr>
        <w:t>რქოვანას</w:t>
      </w:r>
      <w:r w:rsidR="008241DA" w:rsidRPr="00485554">
        <w:rPr>
          <w:noProof/>
          <w:szCs w:val="24"/>
          <w:lang w:val="ka-GE"/>
        </w:rPr>
        <w:t xml:space="preserve"> </w:t>
      </w:r>
      <w:r w:rsidR="008241DA" w:rsidRPr="00485554">
        <w:rPr>
          <w:rFonts w:ascii="Sylfaen" w:hAnsi="Sylfaen" w:cs="Sylfaen"/>
          <w:noProof/>
          <w:szCs w:val="24"/>
          <w:lang w:val="ka-GE"/>
        </w:rPr>
        <w:t>ტრანსპლანტაციას</w:t>
      </w:r>
      <w:r w:rsidRPr="00485554">
        <w:rPr>
          <w:rFonts w:asciiTheme="minorHAnsi" w:hAnsiTheme="minorHAnsi"/>
          <w:noProof/>
          <w:szCs w:val="24"/>
          <w:lang w:val="ka-GE"/>
        </w:rPr>
        <w:t>.</w:t>
      </w:r>
      <w:r w:rsidR="008241DA" w:rsidRPr="00485554">
        <w:rPr>
          <w:noProof/>
          <w:szCs w:val="24"/>
          <w:lang w:val="ka-GE"/>
        </w:rPr>
        <w:t xml:space="preserve"> </w:t>
      </w:r>
      <w:r w:rsidR="008241DA" w:rsidRPr="00485554">
        <w:rPr>
          <w:rFonts w:ascii="Sylfaen" w:hAnsi="Sylfaen" w:cs="Sylfaen"/>
          <w:noProof/>
          <w:szCs w:val="24"/>
          <w:lang w:val="ka-GE"/>
        </w:rPr>
        <w:t>პრეპარატის</w:t>
      </w:r>
      <w:r w:rsidR="008241DA" w:rsidRPr="00485554">
        <w:rPr>
          <w:noProof/>
          <w:szCs w:val="24"/>
          <w:lang w:val="ka-GE"/>
        </w:rPr>
        <w:t xml:space="preserve"> </w:t>
      </w:r>
      <w:r w:rsidR="008241DA" w:rsidRPr="00485554">
        <w:rPr>
          <w:rFonts w:ascii="Sylfaen" w:hAnsi="Sylfaen" w:cs="Sylfaen"/>
          <w:noProof/>
          <w:szCs w:val="24"/>
          <w:lang w:val="ka-GE"/>
        </w:rPr>
        <w:t>გამოყენებისას</w:t>
      </w:r>
      <w:r w:rsidR="008241DA" w:rsidRPr="00485554">
        <w:rPr>
          <w:noProof/>
          <w:szCs w:val="24"/>
          <w:lang w:val="ka-GE"/>
        </w:rPr>
        <w:t xml:space="preserve"> </w:t>
      </w:r>
      <w:r w:rsidR="008241DA" w:rsidRPr="00485554">
        <w:rPr>
          <w:rFonts w:ascii="Sylfaen" w:hAnsi="Sylfaen" w:cs="Sylfaen"/>
          <w:noProof/>
          <w:szCs w:val="24"/>
          <w:lang w:val="ka-GE"/>
        </w:rPr>
        <w:t>განსაკუთრებული</w:t>
      </w:r>
      <w:r w:rsidR="008241DA" w:rsidRPr="00485554">
        <w:rPr>
          <w:noProof/>
          <w:szCs w:val="24"/>
          <w:lang w:val="ka-GE"/>
        </w:rPr>
        <w:t xml:space="preserve"> </w:t>
      </w:r>
      <w:r w:rsidR="008241DA" w:rsidRPr="00485554">
        <w:rPr>
          <w:rFonts w:ascii="Sylfaen" w:hAnsi="Sylfaen" w:cs="Sylfaen"/>
          <w:noProof/>
          <w:szCs w:val="24"/>
          <w:lang w:val="ka-GE"/>
        </w:rPr>
        <w:t>სიფრთხილეა</w:t>
      </w:r>
      <w:r w:rsidR="008241DA" w:rsidRPr="00485554">
        <w:rPr>
          <w:noProof/>
          <w:szCs w:val="24"/>
          <w:lang w:val="ka-GE"/>
        </w:rPr>
        <w:t xml:space="preserve"> </w:t>
      </w:r>
      <w:r w:rsidR="008241DA" w:rsidRPr="00485554">
        <w:rPr>
          <w:rFonts w:ascii="Sylfaen" w:hAnsi="Sylfaen" w:cs="Sylfaen"/>
          <w:noProof/>
          <w:szCs w:val="24"/>
          <w:lang w:val="ka-GE"/>
        </w:rPr>
        <w:t>საჭირო</w:t>
      </w:r>
      <w:r w:rsidR="008241DA" w:rsidRPr="00485554">
        <w:rPr>
          <w:noProof/>
          <w:szCs w:val="24"/>
          <w:lang w:val="ka-GE"/>
        </w:rPr>
        <w:t xml:space="preserve">, </w:t>
      </w:r>
      <w:r w:rsidR="008241DA" w:rsidRPr="00485554">
        <w:rPr>
          <w:rFonts w:ascii="Sylfaen" w:hAnsi="Sylfaen" w:cs="Sylfaen"/>
          <w:noProof/>
          <w:szCs w:val="24"/>
          <w:lang w:val="ka-GE"/>
        </w:rPr>
        <w:t>რათა</w:t>
      </w:r>
      <w:r w:rsidR="008241DA" w:rsidRPr="00485554">
        <w:rPr>
          <w:noProof/>
          <w:szCs w:val="24"/>
          <w:lang w:val="ka-GE"/>
        </w:rPr>
        <w:t xml:space="preserve"> </w:t>
      </w:r>
      <w:r w:rsidR="008241DA" w:rsidRPr="00485554">
        <w:rPr>
          <w:rFonts w:ascii="Sylfaen" w:hAnsi="Sylfaen" w:cs="Sylfaen"/>
          <w:b/>
          <w:bCs/>
          <w:noProof/>
          <w:szCs w:val="24"/>
          <w:lang w:val="ka-GE"/>
        </w:rPr>
        <w:t>პაფესანი</w:t>
      </w:r>
      <w:r w:rsidR="008241DA" w:rsidRPr="00485554">
        <w:rPr>
          <w:b/>
          <w:bCs/>
          <w:noProof/>
          <w:szCs w:val="24"/>
          <w:lang w:val="ka-GE"/>
        </w:rPr>
        <w:t xml:space="preserve"> </w:t>
      </w:r>
      <w:r w:rsidR="008241DA" w:rsidRPr="00485554">
        <w:rPr>
          <w:rFonts w:ascii="Sylfaen" w:hAnsi="Sylfaen" w:cs="Sylfaen"/>
          <w:noProof/>
          <w:szCs w:val="24"/>
          <w:lang w:val="ka-GE"/>
        </w:rPr>
        <w:t>არ</w:t>
      </w:r>
      <w:r w:rsidR="008241DA" w:rsidRPr="00485554">
        <w:rPr>
          <w:noProof/>
          <w:szCs w:val="24"/>
          <w:lang w:val="ka-GE"/>
        </w:rPr>
        <w:t xml:space="preserve"> </w:t>
      </w:r>
      <w:r w:rsidR="008241DA" w:rsidRPr="00485554">
        <w:rPr>
          <w:rFonts w:ascii="Sylfaen" w:hAnsi="Sylfaen" w:cs="Sylfaen"/>
          <w:noProof/>
          <w:szCs w:val="24"/>
          <w:lang w:val="ka-GE"/>
        </w:rPr>
        <w:t>მოხვდეს</w:t>
      </w:r>
      <w:r w:rsidR="008241DA" w:rsidRPr="00485554">
        <w:rPr>
          <w:noProof/>
          <w:szCs w:val="24"/>
          <w:lang w:val="ka-GE"/>
        </w:rPr>
        <w:t xml:space="preserve"> </w:t>
      </w:r>
      <w:r w:rsidR="008241DA" w:rsidRPr="00485554">
        <w:rPr>
          <w:rFonts w:ascii="Sylfaen" w:hAnsi="Sylfaen" w:cs="Sylfaen"/>
          <w:noProof/>
          <w:szCs w:val="24"/>
          <w:lang w:val="ka-GE"/>
        </w:rPr>
        <w:t>გამოყენების</w:t>
      </w:r>
      <w:r w:rsidR="008241DA" w:rsidRPr="00485554">
        <w:rPr>
          <w:noProof/>
          <w:szCs w:val="24"/>
          <w:lang w:val="ka-GE"/>
        </w:rPr>
        <w:t xml:space="preserve"> </w:t>
      </w:r>
      <w:r w:rsidR="008241DA" w:rsidRPr="00485554">
        <w:rPr>
          <w:rFonts w:ascii="Sylfaen" w:hAnsi="Sylfaen" w:cs="Sylfaen"/>
          <w:noProof/>
          <w:szCs w:val="24"/>
          <w:lang w:val="ka-GE"/>
        </w:rPr>
        <w:t>განკუთვნილი</w:t>
      </w:r>
      <w:r w:rsidR="008241DA" w:rsidRPr="00485554">
        <w:rPr>
          <w:noProof/>
          <w:szCs w:val="24"/>
          <w:lang w:val="ka-GE"/>
        </w:rPr>
        <w:t xml:space="preserve"> </w:t>
      </w:r>
      <w:r w:rsidR="008241DA" w:rsidRPr="00485554">
        <w:rPr>
          <w:rFonts w:ascii="Sylfaen" w:hAnsi="Sylfaen" w:cs="Sylfaen"/>
          <w:noProof/>
          <w:szCs w:val="24"/>
          <w:lang w:val="ka-GE"/>
        </w:rPr>
        <w:t>ადგილის</w:t>
      </w:r>
      <w:r w:rsidR="008241DA" w:rsidRPr="00485554">
        <w:rPr>
          <w:noProof/>
          <w:szCs w:val="24"/>
          <w:lang w:val="ka-GE"/>
        </w:rPr>
        <w:t xml:space="preserve"> </w:t>
      </w:r>
      <w:r w:rsidR="008241DA" w:rsidRPr="00485554">
        <w:rPr>
          <w:rFonts w:ascii="Sylfaen" w:hAnsi="Sylfaen" w:cs="Sylfaen"/>
          <w:noProof/>
          <w:szCs w:val="24"/>
          <w:lang w:val="ka-GE"/>
        </w:rPr>
        <w:t>ფარგლებს</w:t>
      </w:r>
      <w:r w:rsidR="008241DA" w:rsidRPr="00485554">
        <w:rPr>
          <w:noProof/>
          <w:szCs w:val="24"/>
          <w:lang w:val="ka-GE"/>
        </w:rPr>
        <w:t xml:space="preserve"> </w:t>
      </w:r>
      <w:r w:rsidR="008241DA" w:rsidRPr="00485554">
        <w:rPr>
          <w:rFonts w:ascii="Sylfaen" w:hAnsi="Sylfaen" w:cs="Sylfaen"/>
          <w:noProof/>
          <w:szCs w:val="24"/>
          <w:lang w:val="ka-GE"/>
        </w:rPr>
        <w:t>გარეთ</w:t>
      </w:r>
      <w:r w:rsidR="008241DA" w:rsidRPr="00485554">
        <w:rPr>
          <w:noProof/>
          <w:szCs w:val="24"/>
          <w:lang w:val="ka-GE"/>
        </w:rPr>
        <w:t xml:space="preserve"> </w:t>
      </w:r>
      <w:r w:rsidR="008241DA" w:rsidRPr="00485554">
        <w:rPr>
          <w:rFonts w:ascii="Sylfaen" w:hAnsi="Sylfaen" w:cs="Sylfaen"/>
          <w:noProof/>
          <w:szCs w:val="24"/>
          <w:lang w:val="ka-GE"/>
        </w:rPr>
        <w:t>და</w:t>
      </w:r>
      <w:r w:rsidR="008241DA" w:rsidRPr="00485554">
        <w:rPr>
          <w:noProof/>
          <w:szCs w:val="24"/>
          <w:lang w:val="ka-GE"/>
        </w:rPr>
        <w:t xml:space="preserve"> </w:t>
      </w:r>
      <w:r w:rsidR="008241DA" w:rsidRPr="00485554">
        <w:rPr>
          <w:rFonts w:ascii="Sylfaen" w:hAnsi="Sylfaen" w:cs="Sylfaen"/>
          <w:noProof/>
          <w:szCs w:val="24"/>
          <w:lang w:val="ka-GE"/>
        </w:rPr>
        <w:t>არ</w:t>
      </w:r>
      <w:r w:rsidR="008241DA" w:rsidRPr="00485554">
        <w:rPr>
          <w:noProof/>
          <w:szCs w:val="24"/>
          <w:lang w:val="ka-GE"/>
        </w:rPr>
        <w:t xml:space="preserve"> </w:t>
      </w:r>
      <w:r w:rsidR="008241DA" w:rsidRPr="00485554">
        <w:rPr>
          <w:rFonts w:ascii="Sylfaen" w:hAnsi="Sylfaen" w:cs="Sylfaen"/>
          <w:noProof/>
          <w:szCs w:val="24"/>
          <w:lang w:val="ka-GE"/>
        </w:rPr>
        <w:t>შეეხოს</w:t>
      </w:r>
      <w:r w:rsidR="008241DA" w:rsidRPr="00485554">
        <w:rPr>
          <w:noProof/>
          <w:szCs w:val="24"/>
          <w:lang w:val="ka-GE"/>
        </w:rPr>
        <w:t xml:space="preserve"> </w:t>
      </w:r>
      <w:r w:rsidR="008241DA" w:rsidRPr="00485554">
        <w:rPr>
          <w:rFonts w:ascii="Sylfaen" w:hAnsi="Sylfaen" w:cs="Sylfaen"/>
          <w:noProof/>
          <w:szCs w:val="24"/>
          <w:lang w:val="ka-GE"/>
        </w:rPr>
        <w:t>თვალის</w:t>
      </w:r>
      <w:r w:rsidR="008241DA" w:rsidRPr="00485554">
        <w:rPr>
          <w:noProof/>
          <w:szCs w:val="24"/>
          <w:lang w:val="ka-GE"/>
        </w:rPr>
        <w:t xml:space="preserve"> </w:t>
      </w:r>
      <w:r w:rsidR="008241DA" w:rsidRPr="00485554">
        <w:rPr>
          <w:rFonts w:ascii="Sylfaen" w:hAnsi="Sylfaen" w:cs="Sylfaen"/>
          <w:noProof/>
          <w:szCs w:val="24"/>
          <w:lang w:val="ka-GE"/>
        </w:rPr>
        <w:t>ლორწოვან</w:t>
      </w:r>
      <w:r w:rsidR="008241DA" w:rsidRPr="00485554">
        <w:rPr>
          <w:noProof/>
          <w:szCs w:val="24"/>
          <w:lang w:val="ka-GE"/>
        </w:rPr>
        <w:t xml:space="preserve"> </w:t>
      </w:r>
      <w:r w:rsidR="008241DA" w:rsidRPr="00485554">
        <w:rPr>
          <w:rFonts w:ascii="Sylfaen" w:hAnsi="Sylfaen" w:cs="Sylfaen"/>
          <w:noProof/>
          <w:szCs w:val="24"/>
          <w:lang w:val="ka-GE"/>
        </w:rPr>
        <w:t>გარსს</w:t>
      </w:r>
      <w:r w:rsidR="008241DA" w:rsidRPr="00485554">
        <w:rPr>
          <w:noProof/>
          <w:szCs w:val="24"/>
          <w:lang w:val="ka-GE"/>
        </w:rPr>
        <w:t>.</w:t>
      </w:r>
    </w:p>
    <w:p w14:paraId="305D5C36" w14:textId="7D5DD33E" w:rsidR="008241DA" w:rsidRPr="00485554" w:rsidRDefault="008241DA" w:rsidP="00D8630E">
      <w:pPr>
        <w:jc w:val="both"/>
        <w:rPr>
          <w:noProof/>
          <w:szCs w:val="24"/>
          <w:lang w:val="ka-GE"/>
        </w:rPr>
      </w:pPr>
      <w:r w:rsidRPr="00485554">
        <w:rPr>
          <w:rFonts w:ascii="Sylfaen" w:hAnsi="Sylfaen" w:cs="Sylfaen"/>
          <w:noProof/>
          <w:szCs w:val="24"/>
          <w:lang w:val="ka-GE"/>
        </w:rPr>
        <w:t>თუ</w:t>
      </w:r>
      <w:r w:rsidRPr="00485554">
        <w:rPr>
          <w:noProof/>
          <w:szCs w:val="24"/>
          <w:lang w:val="ka-GE"/>
        </w:rPr>
        <w:t xml:space="preserve"> </w:t>
      </w:r>
      <w:r w:rsidRPr="00485554">
        <w:rPr>
          <w:rFonts w:ascii="Sylfaen" w:hAnsi="Sylfaen" w:cs="Sylfaen"/>
          <w:b/>
          <w:bCs/>
          <w:noProof/>
          <w:szCs w:val="24"/>
          <w:lang w:val="ka-GE"/>
        </w:rPr>
        <w:t>პაფესანი</w:t>
      </w:r>
      <w:r w:rsidRPr="00485554">
        <w:rPr>
          <w:noProof/>
          <w:szCs w:val="24"/>
          <w:lang w:val="ka-GE"/>
        </w:rPr>
        <w:t xml:space="preserve"> </w:t>
      </w:r>
      <w:r w:rsidRPr="00485554">
        <w:rPr>
          <w:rFonts w:ascii="Sylfaen" w:hAnsi="Sylfaen" w:cs="Sylfaen"/>
          <w:noProof/>
          <w:szCs w:val="24"/>
          <w:lang w:val="ka-GE"/>
        </w:rPr>
        <w:t>თვალში</w:t>
      </w:r>
      <w:r w:rsidRPr="00485554">
        <w:rPr>
          <w:noProof/>
          <w:szCs w:val="24"/>
          <w:lang w:val="ka-GE"/>
        </w:rPr>
        <w:t xml:space="preserve"> </w:t>
      </w:r>
      <w:r w:rsidRPr="00485554">
        <w:rPr>
          <w:rFonts w:ascii="Sylfaen" w:hAnsi="Sylfaen" w:cs="Sylfaen"/>
          <w:noProof/>
          <w:szCs w:val="24"/>
          <w:lang w:val="ka-GE"/>
        </w:rPr>
        <w:t>მოხვდა</w:t>
      </w:r>
      <w:r w:rsidRPr="00485554">
        <w:rPr>
          <w:noProof/>
          <w:szCs w:val="24"/>
          <w:lang w:val="ka-GE"/>
        </w:rPr>
        <w:t xml:space="preserve">, </w:t>
      </w:r>
      <w:r w:rsidRPr="00485554">
        <w:rPr>
          <w:rFonts w:ascii="Sylfaen" w:hAnsi="Sylfaen" w:cs="Sylfaen"/>
          <w:noProof/>
          <w:szCs w:val="24"/>
          <w:lang w:val="ka-GE"/>
        </w:rPr>
        <w:t>დაუყოვნებლივ</w:t>
      </w:r>
      <w:r w:rsidRPr="00485554">
        <w:rPr>
          <w:noProof/>
          <w:szCs w:val="24"/>
          <w:lang w:val="ka-GE"/>
        </w:rPr>
        <w:t xml:space="preserve"> </w:t>
      </w:r>
      <w:r w:rsidRPr="00485554">
        <w:rPr>
          <w:rFonts w:ascii="Sylfaen" w:hAnsi="Sylfaen" w:cs="Sylfaen"/>
          <w:noProof/>
          <w:szCs w:val="24"/>
          <w:lang w:val="ka-GE"/>
        </w:rPr>
        <w:t>და</w:t>
      </w:r>
      <w:r w:rsidRPr="00485554">
        <w:rPr>
          <w:noProof/>
          <w:szCs w:val="24"/>
          <w:lang w:val="ka-GE"/>
        </w:rPr>
        <w:t xml:space="preserve"> </w:t>
      </w:r>
      <w:r w:rsidRPr="00485554">
        <w:rPr>
          <w:rFonts w:ascii="Sylfaen" w:hAnsi="Sylfaen" w:cs="Sylfaen"/>
          <w:noProof/>
          <w:szCs w:val="24"/>
          <w:lang w:val="ka-GE"/>
        </w:rPr>
        <w:t>საფუძვლიანად</w:t>
      </w:r>
      <w:r w:rsidRPr="00485554">
        <w:rPr>
          <w:noProof/>
          <w:szCs w:val="24"/>
          <w:lang w:val="ka-GE"/>
        </w:rPr>
        <w:t xml:space="preserve"> </w:t>
      </w:r>
      <w:r w:rsidRPr="00485554">
        <w:rPr>
          <w:rFonts w:ascii="Sylfaen" w:hAnsi="Sylfaen" w:cs="Sylfaen"/>
          <w:noProof/>
          <w:szCs w:val="24"/>
          <w:lang w:val="ka-GE"/>
        </w:rPr>
        <w:t>უნდა</w:t>
      </w:r>
      <w:r w:rsidRPr="00485554">
        <w:rPr>
          <w:noProof/>
          <w:szCs w:val="24"/>
          <w:lang w:val="ka-GE"/>
        </w:rPr>
        <w:t xml:space="preserve"> </w:t>
      </w:r>
      <w:r w:rsidRPr="00485554">
        <w:rPr>
          <w:rFonts w:ascii="Sylfaen" w:hAnsi="Sylfaen" w:cs="Sylfaen"/>
          <w:noProof/>
          <w:szCs w:val="24"/>
          <w:lang w:val="ka-GE"/>
        </w:rPr>
        <w:t>გამოირეცხოს</w:t>
      </w:r>
      <w:r w:rsidRPr="00485554">
        <w:rPr>
          <w:noProof/>
          <w:szCs w:val="24"/>
          <w:lang w:val="ka-GE"/>
        </w:rPr>
        <w:t xml:space="preserve"> </w:t>
      </w:r>
      <w:r w:rsidRPr="00485554">
        <w:rPr>
          <w:rFonts w:ascii="Sylfaen" w:hAnsi="Sylfaen" w:cs="Sylfaen"/>
          <w:noProof/>
          <w:szCs w:val="24"/>
          <w:lang w:val="ka-GE"/>
        </w:rPr>
        <w:t>წყლით</w:t>
      </w:r>
      <w:r w:rsidRPr="00485554">
        <w:rPr>
          <w:noProof/>
          <w:szCs w:val="24"/>
          <w:lang w:val="ka-GE"/>
        </w:rPr>
        <w:t xml:space="preserve">. </w:t>
      </w:r>
      <w:r w:rsidRPr="00485554">
        <w:rPr>
          <w:rFonts w:ascii="Sylfaen" w:hAnsi="Sylfaen" w:cs="Sylfaen"/>
          <w:noProof/>
          <w:szCs w:val="24"/>
          <w:lang w:val="ka-GE"/>
        </w:rPr>
        <w:t>ასევე</w:t>
      </w:r>
      <w:r w:rsidRPr="00485554">
        <w:rPr>
          <w:noProof/>
          <w:szCs w:val="24"/>
          <w:lang w:val="ka-GE"/>
        </w:rPr>
        <w:t xml:space="preserve"> </w:t>
      </w:r>
      <w:r w:rsidRPr="00485554">
        <w:rPr>
          <w:rFonts w:ascii="Sylfaen" w:hAnsi="Sylfaen" w:cs="Sylfaen"/>
          <w:noProof/>
          <w:szCs w:val="24"/>
          <w:lang w:val="ka-GE"/>
        </w:rPr>
        <w:t>აუცილებელია</w:t>
      </w:r>
      <w:r w:rsidRPr="00485554">
        <w:rPr>
          <w:noProof/>
          <w:szCs w:val="24"/>
          <w:lang w:val="ka-GE"/>
        </w:rPr>
        <w:t xml:space="preserve"> </w:t>
      </w:r>
      <w:r w:rsidRPr="00485554">
        <w:rPr>
          <w:rFonts w:ascii="Sylfaen" w:hAnsi="Sylfaen" w:cs="Sylfaen"/>
          <w:noProof/>
          <w:szCs w:val="24"/>
          <w:lang w:val="ka-GE"/>
        </w:rPr>
        <w:t>ოფთალმოლოგის</w:t>
      </w:r>
      <w:r w:rsidRPr="00485554">
        <w:rPr>
          <w:noProof/>
          <w:szCs w:val="24"/>
          <w:lang w:val="ka-GE"/>
        </w:rPr>
        <w:t xml:space="preserve"> </w:t>
      </w:r>
      <w:r w:rsidRPr="00485554">
        <w:rPr>
          <w:rFonts w:ascii="Sylfaen" w:hAnsi="Sylfaen" w:cs="Sylfaen"/>
          <w:noProof/>
          <w:szCs w:val="24"/>
          <w:lang w:val="ka-GE"/>
        </w:rPr>
        <w:t>კონსულტაცია</w:t>
      </w:r>
      <w:r w:rsidRPr="00485554">
        <w:rPr>
          <w:noProof/>
          <w:szCs w:val="24"/>
          <w:lang w:val="ka-GE"/>
        </w:rPr>
        <w:t>.</w:t>
      </w:r>
    </w:p>
    <w:p w14:paraId="3408B788" w14:textId="77777777" w:rsidR="00654CEB" w:rsidRPr="00485554" w:rsidRDefault="00AE2F98">
      <w:pPr>
        <w:pStyle w:val="P68B1DB1-Normal3"/>
        <w:jc w:val="both"/>
        <w:rPr>
          <w:noProof/>
          <w:lang w:val="ka-GE"/>
        </w:rPr>
      </w:pPr>
      <w:r w:rsidRPr="00485554">
        <w:rPr>
          <w:noProof/>
          <w:lang w:val="ka-GE"/>
        </w:rPr>
        <w:t>დამხმარე ნივთიერებები</w:t>
      </w:r>
    </w:p>
    <w:p w14:paraId="4D75AD07" w14:textId="2384B32B" w:rsidR="00654CEB" w:rsidRPr="00485554" w:rsidRDefault="00AE2F98">
      <w:pPr>
        <w:pStyle w:val="P68B1DB1-Normal4"/>
        <w:jc w:val="both"/>
        <w:rPr>
          <w:noProof/>
          <w:color w:val="000000" w:themeColor="text1"/>
          <w:lang w:val="ka-GE"/>
        </w:rPr>
      </w:pPr>
      <w:r w:rsidRPr="00485554">
        <w:rPr>
          <w:b/>
          <w:noProof/>
          <w:color w:val="000000" w:themeColor="text1"/>
          <w:lang w:val="ka-GE"/>
        </w:rPr>
        <w:t>პაფესანი</w:t>
      </w:r>
      <w:r w:rsidRPr="00485554">
        <w:rPr>
          <w:noProof/>
          <w:color w:val="000000" w:themeColor="text1"/>
          <w:lang w:val="ka-GE"/>
        </w:rPr>
        <w:t xml:space="preserve"> შეიცავს 36,71 მოც.</w:t>
      </w:r>
      <w:r w:rsidR="00B35E82" w:rsidRPr="00485554">
        <w:rPr>
          <w:noProof/>
          <w:color w:val="000000" w:themeColor="text1"/>
          <w:lang w:val="ka-GE"/>
        </w:rPr>
        <w:t xml:space="preserve"> </w:t>
      </w:r>
      <w:r w:rsidRPr="00485554">
        <w:rPr>
          <w:noProof/>
          <w:color w:val="000000" w:themeColor="text1"/>
          <w:lang w:val="ka-GE"/>
        </w:rPr>
        <w:t xml:space="preserve">% ეთანოლს, ე.ი. 36,71 მკლ 1 სპრეიში, რაც შეესაბამება 7,342 მლ ლუდს ან 3,059 მლ ღვინოს, ამიტომ, მას შეუძლია ალკოჰოლიზმით დაავადებულ პაციენტებზე უარყოფითი გავლენის მოხდენა; ამის გათვალისწინება ასევე უნდა მოხდეს პრეპარატის გამოყენების დროს ორსულობის ან ლაქტაციის პერიოდში მყოფ ქალებში, ბავშვებში და პაციენტებში მაღალი რისკის ჯგუფიდან, მაგალითად, ღვიძლის დაავადების ან ეპილეფსიის მქონე. </w:t>
      </w:r>
      <w:r w:rsidRPr="00485554">
        <w:rPr>
          <w:b/>
          <w:noProof/>
          <w:color w:val="000000" w:themeColor="text1"/>
          <w:lang w:val="ka-GE"/>
        </w:rPr>
        <w:t>პაფესანი</w:t>
      </w:r>
      <w:r w:rsidRPr="00485554">
        <w:rPr>
          <w:noProof/>
          <w:lang w:val="ka-GE"/>
        </w:rPr>
        <w:t xml:space="preserve"> შეიცავს </w:t>
      </w:r>
      <w:r w:rsidRPr="00485554">
        <w:rPr>
          <w:noProof/>
          <w:color w:val="000000" w:themeColor="text1"/>
          <w:lang w:val="ka-GE"/>
        </w:rPr>
        <w:t>2,9 გ ეთანოლს 10 მლ-ში.</w:t>
      </w:r>
    </w:p>
    <w:p w14:paraId="34DA4593" w14:textId="134D5FD4" w:rsidR="00D8630E" w:rsidRPr="00485554" w:rsidRDefault="00D8630E">
      <w:pPr>
        <w:pStyle w:val="P68B1DB1-Normal4"/>
        <w:jc w:val="both"/>
        <w:rPr>
          <w:i/>
          <w:iCs/>
          <w:noProof/>
          <w:color w:val="000000" w:themeColor="text1"/>
          <w:lang w:val="ka-GE"/>
        </w:rPr>
      </w:pPr>
      <w:r w:rsidRPr="00485554">
        <w:rPr>
          <w:i/>
          <w:iCs/>
          <w:noProof/>
          <w:color w:val="000000" w:themeColor="text1"/>
          <w:lang w:val="ka-GE"/>
        </w:rPr>
        <w:t xml:space="preserve">შეუთავსებლობა </w:t>
      </w:r>
    </w:p>
    <w:p w14:paraId="1A61F86C" w14:textId="7B4F5869" w:rsidR="00D8630E" w:rsidRPr="00485554" w:rsidRDefault="00D8630E">
      <w:pPr>
        <w:pStyle w:val="P68B1DB1-Normal4"/>
        <w:jc w:val="both"/>
        <w:rPr>
          <w:noProof/>
          <w:color w:val="000000" w:themeColor="text1"/>
          <w:lang w:val="ka-GE"/>
        </w:rPr>
      </w:pPr>
      <w:r w:rsidRPr="00485554">
        <w:rPr>
          <w:noProof/>
          <w:color w:val="000000" w:themeColor="text1"/>
          <w:lang w:val="ka-GE"/>
        </w:rPr>
        <w:t>არ გამოიყენება.</w:t>
      </w:r>
    </w:p>
    <w:p w14:paraId="05C9622F" w14:textId="4A76FCE6" w:rsidR="00BF2E7C" w:rsidRPr="00485554" w:rsidRDefault="00BF2E7C">
      <w:pPr>
        <w:jc w:val="both"/>
        <w:rPr>
          <w:rFonts w:ascii="Sylfaen" w:hAnsi="Sylfaen"/>
          <w:noProof/>
          <w:lang w:val="ka-GE"/>
        </w:rPr>
      </w:pPr>
    </w:p>
    <w:p w14:paraId="54A1FF2C" w14:textId="6E597EB9" w:rsidR="00BF2E7C" w:rsidRPr="00485554" w:rsidRDefault="00BF2E7C" w:rsidP="00BF2E7C">
      <w:pPr>
        <w:pStyle w:val="P68B1DB1-Normal3"/>
        <w:jc w:val="both"/>
        <w:rPr>
          <w:noProof/>
          <w:lang w:val="ka-GE"/>
        </w:rPr>
      </w:pPr>
      <w:r w:rsidRPr="00485554">
        <w:rPr>
          <w:noProof/>
          <w:lang w:val="ka-GE"/>
        </w:rPr>
        <w:t>ურთიერთქმედება სხვა სამკურნალო საშუალებებთან</w:t>
      </w:r>
      <w:r w:rsidR="00556512" w:rsidRPr="00485554">
        <w:rPr>
          <w:noProof/>
          <w:lang w:val="ka-GE"/>
        </w:rPr>
        <w:t xml:space="preserve"> და ურთიერთქმედების სხვა ფორმები</w:t>
      </w:r>
    </w:p>
    <w:p w14:paraId="65C727B4" w14:textId="77777777" w:rsidR="00BF2E7C" w:rsidRPr="00485554" w:rsidRDefault="00BF2E7C" w:rsidP="00BF2E7C">
      <w:pPr>
        <w:pStyle w:val="P68B1DB1-Normal4"/>
        <w:jc w:val="both"/>
        <w:rPr>
          <w:noProof/>
          <w:lang w:val="ka-GE"/>
        </w:rPr>
      </w:pPr>
      <w:r w:rsidRPr="00485554">
        <w:rPr>
          <w:noProof/>
          <w:lang w:val="ka-GE"/>
        </w:rPr>
        <w:t>არ არის ცნობილი, ურთიერთქმედებს თუ არა ქლორჰექსიდინი სხვა სამკურნალო საშუალებებთან.</w:t>
      </w:r>
    </w:p>
    <w:p w14:paraId="244B13BC" w14:textId="77777777" w:rsidR="00BF2E7C" w:rsidRPr="00485554" w:rsidRDefault="00BF2E7C" w:rsidP="00BF2E7C">
      <w:pPr>
        <w:pStyle w:val="P68B1DB1-Normal4"/>
        <w:jc w:val="both"/>
        <w:rPr>
          <w:noProof/>
          <w:lang w:val="ka-GE"/>
        </w:rPr>
      </w:pPr>
      <w:r w:rsidRPr="00485554">
        <w:rPr>
          <w:noProof/>
          <w:lang w:val="ka-GE"/>
        </w:rPr>
        <w:t xml:space="preserve">მიუხედავად იმისა, რომ თეორიულად ლიდოკაინს შეუძლია ურთიერთქმედებაში შევიდეს სხვა სამკურნალო საშუალებებთან, ვარაუდობენ, რომ მათ არ ექნებათ კლინიკური მნიშვნელობა </w:t>
      </w:r>
      <w:r w:rsidRPr="00485554">
        <w:rPr>
          <w:b/>
          <w:noProof/>
          <w:color w:val="000000" w:themeColor="text1"/>
          <w:lang w:val="ka-GE"/>
        </w:rPr>
        <w:t>პაფესანის</w:t>
      </w:r>
      <w:r w:rsidRPr="00485554">
        <w:rPr>
          <w:noProof/>
          <w:color w:val="000000" w:themeColor="text1"/>
          <w:lang w:val="ka-GE"/>
        </w:rPr>
        <w:t xml:space="preserve"> შემადგენლობაში შემავალი ლიდოკაინის ადგილობრივი </w:t>
      </w:r>
      <w:r w:rsidRPr="00485554">
        <w:rPr>
          <w:noProof/>
          <w:color w:val="000000" w:themeColor="text1"/>
          <w:lang w:val="ka-GE"/>
        </w:rPr>
        <w:lastRenderedPageBreak/>
        <w:t xml:space="preserve">გამოყენების დროს. იმ სამკურნალო საშუალებებთან ერთად გამოყენების დროს, რომლებიც ამცირებენ ღვიძლში სისხლის მიმოქცევას (მაგალითად, პროპრანოლოლი, ციმეტიდინი), ლიდოკაინის კლირენსი შეიძლება შემცირდეს. იმ სამკურნალო საშუალებებთან ერთად ხანგრძლივად გამოყენების დროს, რომლებიც აინდუცირებენ სამკურნალო საშუალებების მეტაბოლიზმში მონაწილე ღვიძლის მიკროსომალურ ფერმენტებს (მაგალითად, ფენიტოინი, ბარბიტურატები), შეიძლება აუცილებელი გახდეს ლიდოკაინის დოზის გაზრდა. β-ადრენობლოკატორებთან ან სხვა ანტიარითმიულ სამკურნალო საშუალებებთან (მაგალითად, მექსილეტინი) ლიდოკაინის კომბინირებული გამოყენების დროს, აღინიშნება ადიტიური მოქმედება </w:t>
      </w:r>
      <w:r w:rsidRPr="00485554">
        <w:rPr>
          <w:noProof/>
          <w:lang w:val="ka-GE"/>
        </w:rPr>
        <w:t>გულის აქტივობის</w:t>
      </w:r>
      <w:r w:rsidRPr="00485554">
        <w:rPr>
          <w:noProof/>
          <w:color w:val="000000" w:themeColor="text1"/>
          <w:lang w:val="ka-GE"/>
        </w:rPr>
        <w:t xml:space="preserve"> დათრგუნვასთან მიმართებაში. ლიდოკაინი არის ფსევდოქოლინესთერაზას სუსტი ინჰიბიტორი და შეუძლია სუქსამეთონიუმის მოქმედების ხანგრძლივობის გაზრდა. ლიდოკაინის მოქმედება შეიძლება შემცირდეს აცეტაზოლამიდის, მარყუჟოვანი ან თიაზიდური შარდმდენების გამოყენებასთან დაკავშირებული ჰიპოკალიემიის დროს.</w:t>
      </w:r>
    </w:p>
    <w:p w14:paraId="51D0DC58" w14:textId="77777777" w:rsidR="00BF2E7C" w:rsidRPr="00485554" w:rsidRDefault="00BF2E7C">
      <w:pPr>
        <w:jc w:val="both"/>
        <w:rPr>
          <w:rFonts w:ascii="Sylfaen" w:hAnsi="Sylfaen"/>
          <w:noProof/>
          <w:lang w:val="ka-GE"/>
        </w:rPr>
      </w:pPr>
    </w:p>
    <w:p w14:paraId="19DBCBD7" w14:textId="1E647551" w:rsidR="00654CEB" w:rsidRPr="00485554" w:rsidRDefault="00556512">
      <w:pPr>
        <w:pStyle w:val="P68B1DB1-Normal3"/>
        <w:jc w:val="both"/>
        <w:rPr>
          <w:noProof/>
          <w:lang w:val="ka-GE"/>
        </w:rPr>
      </w:pPr>
      <w:r w:rsidRPr="00485554">
        <w:rPr>
          <w:noProof/>
          <w:lang w:val="ka-GE"/>
        </w:rPr>
        <w:t>ორსულობა და ლაქტაცია</w:t>
      </w:r>
    </w:p>
    <w:p w14:paraId="2027B167" w14:textId="77777777" w:rsidR="00654CEB" w:rsidRPr="00485554" w:rsidRDefault="00AE2F98">
      <w:pPr>
        <w:pStyle w:val="P68B1DB1-Normal4"/>
        <w:jc w:val="both"/>
        <w:rPr>
          <w:noProof/>
          <w:lang w:val="ka-GE"/>
        </w:rPr>
      </w:pPr>
      <w:r w:rsidRPr="00485554">
        <w:rPr>
          <w:noProof/>
          <w:lang w:val="ka-GE"/>
        </w:rPr>
        <w:t xml:space="preserve">არ არსებობს სათანადო მონაცემები, რომლებიც მოწმობს ორსულობის პერიოდში ქალებში ლიდოკაინის და ქლორჰექსიდინის გამოყენების უსაფრთხოებას; თუმცა, ზემოხსენებული სამკურნალო საშუალებები ფართოდ გამოიყენება დიდი ხნის განმავლობაში და ამასთან ერთად, მნიშვნელოვანი არასასურველი რეაქციები არ აღინიშნებოდა. ორსულობისა და ლაქტაციის პერიოდში </w:t>
      </w:r>
      <w:r w:rsidRPr="00485554">
        <w:rPr>
          <w:b/>
          <w:noProof/>
          <w:lang w:val="ka-GE"/>
        </w:rPr>
        <w:t>პაფესანის</w:t>
      </w:r>
      <w:r w:rsidRPr="00485554">
        <w:rPr>
          <w:noProof/>
          <w:lang w:val="ka-GE"/>
        </w:rPr>
        <w:t xml:space="preserve"> გამოყენება უნდა მოხდეს მხოლოდ ექიმის მეთვალყურეობის ქვეშ.</w:t>
      </w:r>
    </w:p>
    <w:p w14:paraId="2DCD7C09" w14:textId="7CEA3EF6" w:rsidR="00654CEB" w:rsidRPr="00485554" w:rsidRDefault="00AE2F98">
      <w:pPr>
        <w:pStyle w:val="P68B1DB1-Normal4"/>
        <w:jc w:val="both"/>
        <w:rPr>
          <w:noProof/>
          <w:lang w:val="ka-GE"/>
        </w:rPr>
      </w:pPr>
      <w:r w:rsidRPr="00485554">
        <w:rPr>
          <w:noProof/>
          <w:lang w:val="ka-GE"/>
        </w:rPr>
        <w:t>უმნიშვნელო რაოდენობით ლიდოკაინი გამოიყოფა ადამი</w:t>
      </w:r>
      <w:r w:rsidR="00F56D54" w:rsidRPr="00485554">
        <w:rPr>
          <w:noProof/>
          <w:lang w:val="ka-GE"/>
        </w:rPr>
        <w:t>ა</w:t>
      </w:r>
      <w:r w:rsidRPr="00485554">
        <w:rPr>
          <w:noProof/>
          <w:lang w:val="ka-GE"/>
        </w:rPr>
        <w:t>ნის დედის რძესთან ერთად; სამკურნალო საშუალების თერაპიულ დოზებში გამოყენების დროს, როგორც წესი, ბავშვისთვის რისკი არ არსებობს.</w:t>
      </w:r>
    </w:p>
    <w:p w14:paraId="3F1C20EA" w14:textId="0F8DD07B" w:rsidR="00654CEB" w:rsidRPr="00485554" w:rsidRDefault="00654CEB">
      <w:pPr>
        <w:jc w:val="both"/>
        <w:rPr>
          <w:rFonts w:ascii="Sylfaen" w:hAnsi="Sylfaen"/>
          <w:noProof/>
          <w:lang w:val="ka-GE"/>
        </w:rPr>
      </w:pPr>
    </w:p>
    <w:p w14:paraId="2F170C65" w14:textId="77777777" w:rsidR="00BF2E7C" w:rsidRPr="00485554" w:rsidRDefault="00BF2E7C" w:rsidP="00BF2E7C">
      <w:pPr>
        <w:pStyle w:val="P68B1DB1-Normal3"/>
        <w:jc w:val="both"/>
        <w:rPr>
          <w:noProof/>
          <w:lang w:val="ka-GE"/>
        </w:rPr>
      </w:pPr>
      <w:r w:rsidRPr="00485554">
        <w:rPr>
          <w:noProof/>
          <w:lang w:val="ka-GE"/>
        </w:rPr>
        <w:t>ზემოქმედება ავტოტრანსპორტის და მექანიზმების მართვის უნარზე</w:t>
      </w:r>
    </w:p>
    <w:p w14:paraId="22433B03" w14:textId="77777777" w:rsidR="00BF2E7C" w:rsidRPr="00485554" w:rsidRDefault="00BF2E7C" w:rsidP="00BF2E7C">
      <w:pPr>
        <w:pStyle w:val="P68B1DB1-Normal4"/>
        <w:jc w:val="both"/>
        <w:rPr>
          <w:noProof/>
          <w:lang w:val="ka-GE"/>
        </w:rPr>
      </w:pPr>
      <w:r w:rsidRPr="00485554">
        <w:rPr>
          <w:noProof/>
          <w:lang w:val="ka-GE"/>
        </w:rPr>
        <w:t>არ არსებობს ცნობები ავტოტრანსპორტის და მექანიზმების მართვის უნარზე პრეპარატის მნიშვნელოვანი ზემოქმედების შესახებ.</w:t>
      </w:r>
    </w:p>
    <w:p w14:paraId="083B9E09" w14:textId="77777777" w:rsidR="00BF2E7C" w:rsidRPr="00485554" w:rsidRDefault="00BF2E7C" w:rsidP="00BF2E7C">
      <w:pPr>
        <w:jc w:val="both"/>
        <w:rPr>
          <w:rFonts w:ascii="Sylfaen" w:hAnsi="Sylfaen"/>
          <w:noProof/>
          <w:lang w:val="ka-GE"/>
        </w:rPr>
      </w:pPr>
    </w:p>
    <w:p w14:paraId="722A7EBB" w14:textId="77777777" w:rsidR="00BF2E7C" w:rsidRPr="00485554" w:rsidRDefault="00BF2E7C" w:rsidP="00BF2E7C">
      <w:pPr>
        <w:pStyle w:val="P68B1DB1-Normal3"/>
        <w:jc w:val="both"/>
        <w:rPr>
          <w:noProof/>
          <w:lang w:val="ka-GE"/>
        </w:rPr>
      </w:pPr>
      <w:r w:rsidRPr="00485554">
        <w:rPr>
          <w:noProof/>
          <w:lang w:val="ka-GE"/>
        </w:rPr>
        <w:t>გვერდითი რეაქციები</w:t>
      </w:r>
    </w:p>
    <w:p w14:paraId="634CC65D" w14:textId="77777777" w:rsidR="00BF2E7C" w:rsidRPr="00485554" w:rsidRDefault="00BF2E7C" w:rsidP="00BF2E7C">
      <w:pPr>
        <w:pStyle w:val="P68B1DB1-Normal4"/>
        <w:jc w:val="both"/>
        <w:rPr>
          <w:noProof/>
          <w:lang w:val="ka-GE"/>
        </w:rPr>
      </w:pPr>
      <w:r w:rsidRPr="00485554">
        <w:rPr>
          <w:noProof/>
          <w:lang w:val="ka-GE"/>
        </w:rPr>
        <w:t>ხანმოკლე ადგილობრივი გამოყენების შემთხვევაში, როგორც წესი, ქლორჰექსიდინი და ლიდოკაინი კარგად აიტანება, ასეთ დროს გვერდითი რეაქციების განვითარების შემთხვევები არ აღინიშნებოდა.</w:t>
      </w:r>
    </w:p>
    <w:p w14:paraId="1362D67F" w14:textId="77777777" w:rsidR="00BF2E7C" w:rsidRPr="00485554" w:rsidRDefault="00BF2E7C" w:rsidP="00BF2E7C">
      <w:pPr>
        <w:pStyle w:val="P68B1DB1-Normal4"/>
        <w:jc w:val="both"/>
        <w:rPr>
          <w:noProof/>
          <w:lang w:val="ka-GE"/>
        </w:rPr>
      </w:pPr>
      <w:r w:rsidRPr="00485554">
        <w:rPr>
          <w:noProof/>
          <w:lang w:val="ka-GE"/>
        </w:rPr>
        <w:t>ადგილობრივი საანესთეზიო საშუალებების გამოყენების დროს, ძალიან იშვიათ შემთხვევებში იყო შეტყობინებები ალერგიული რეაქციების განვითარების შესახებ. ლიდოკაინის ჰიდროქლორიდის ადგილობრივი გამოყენების დროს აღინიშნა ჰიპერმგრძნობელობის ისეთი რეაქციები, როგორებიც არის ადგილობრივი შეშუპება სუნთქვის უმნიშვნელო გაძნელებით ან გენერალიზებული გამონაყარი.</w:t>
      </w:r>
    </w:p>
    <w:p w14:paraId="51CB9184" w14:textId="00E918A6" w:rsidR="00BF2E7C" w:rsidRPr="00485554" w:rsidRDefault="00BF2E7C" w:rsidP="00BF2E7C">
      <w:pPr>
        <w:pStyle w:val="P68B1DB1-Normal4"/>
        <w:jc w:val="both"/>
        <w:rPr>
          <w:noProof/>
          <w:lang w:val="ka-GE"/>
        </w:rPr>
      </w:pPr>
      <w:r w:rsidRPr="00485554">
        <w:rPr>
          <w:noProof/>
          <w:lang w:val="ka-GE"/>
        </w:rPr>
        <w:t>ქლორჰექსიდინის გამოყენების დროს შეიძლება შეიცვალოს კბილებისა და ენის ფერი, ეს ცვლილებები ატარებს ტრანზიტორულ ხასიათს და ქრება ქლორჰექსიდინის გამოყენების შეწყვეტის შემდეგ, ზოგჯერ შეიძლება საჭირო გახდეს ნადების მოშორება და კბილების გაპრიალება. იშვიათ შემთხვევებში, ქლორჰექსიდინის გამოყენების დროს აღინიშნებოდა კანის ჰიპერმგრძნობელობის რეაქციები, ასევე მისი ადგილობრივად გამოყენების შემთხვევაში, იყო შეტყობინებები ჰიპერმგრძნობელობის მძიმე რეაქციების, მათ შორის ანაფილაქსიური შოკის განვითარების შესახებ. ქლორჰექსიდინის გამოყენების დროს შეიძლება აღინიშნოს გემოს ტრანზიტორული დარღვევები, ენის წვის შეგრძნება და იშვიათ შემთხვევებში ყბაყურა სანერწყვე ჯირკვლის შეშუპება.</w:t>
      </w:r>
    </w:p>
    <w:p w14:paraId="4292AC30" w14:textId="77777777" w:rsidR="00556512" w:rsidRPr="00485554" w:rsidRDefault="00556512" w:rsidP="00556512">
      <w:pPr>
        <w:rPr>
          <w:noProof/>
          <w:szCs w:val="24"/>
          <w:lang w:val="ka-GE"/>
        </w:rPr>
      </w:pPr>
      <w:r w:rsidRPr="00485554">
        <w:rPr>
          <w:rFonts w:ascii="Sylfaen" w:hAnsi="Sylfaen" w:cs="Sylfaen"/>
          <w:noProof/>
          <w:szCs w:val="24"/>
          <w:lang w:val="ka-GE"/>
        </w:rPr>
        <w:t>პოსტმარკეტინგული</w:t>
      </w:r>
      <w:r w:rsidRPr="00485554">
        <w:rPr>
          <w:noProof/>
          <w:szCs w:val="24"/>
          <w:lang w:val="ka-GE"/>
        </w:rPr>
        <w:t xml:space="preserve"> </w:t>
      </w:r>
      <w:r w:rsidRPr="00485554">
        <w:rPr>
          <w:rFonts w:ascii="Sylfaen" w:hAnsi="Sylfaen" w:cs="Sylfaen"/>
          <w:noProof/>
          <w:szCs w:val="24"/>
          <w:lang w:val="ka-GE"/>
        </w:rPr>
        <w:t>დაკვირვების</w:t>
      </w:r>
      <w:r w:rsidRPr="00485554">
        <w:rPr>
          <w:noProof/>
          <w:szCs w:val="24"/>
          <w:lang w:val="ka-GE"/>
        </w:rPr>
        <w:t xml:space="preserve"> </w:t>
      </w:r>
      <w:r w:rsidRPr="00485554">
        <w:rPr>
          <w:rFonts w:ascii="Sylfaen" w:hAnsi="Sylfaen" w:cs="Sylfaen"/>
          <w:noProof/>
          <w:szCs w:val="24"/>
          <w:lang w:val="ka-GE"/>
        </w:rPr>
        <w:t>პერიოდში</w:t>
      </w:r>
      <w:r w:rsidRPr="00485554">
        <w:rPr>
          <w:noProof/>
          <w:szCs w:val="24"/>
          <w:lang w:val="ka-GE"/>
        </w:rPr>
        <w:t xml:space="preserve"> </w:t>
      </w:r>
      <w:r w:rsidRPr="00485554">
        <w:rPr>
          <w:rFonts w:ascii="Sylfaen" w:hAnsi="Sylfaen" w:cs="Sylfaen"/>
          <w:noProof/>
          <w:szCs w:val="24"/>
          <w:lang w:val="ka-GE"/>
        </w:rPr>
        <w:t>დაფიქსირდა</w:t>
      </w:r>
      <w:r w:rsidRPr="00485554">
        <w:rPr>
          <w:noProof/>
          <w:szCs w:val="24"/>
          <w:lang w:val="ka-GE"/>
        </w:rPr>
        <w:t xml:space="preserve"> </w:t>
      </w:r>
      <w:r w:rsidRPr="00485554">
        <w:rPr>
          <w:rFonts w:ascii="Sylfaen" w:hAnsi="Sylfaen" w:cs="Sylfaen"/>
          <w:noProof/>
          <w:szCs w:val="24"/>
          <w:lang w:val="ka-GE"/>
        </w:rPr>
        <w:t>რქოვანას</w:t>
      </w:r>
      <w:r w:rsidRPr="00485554">
        <w:rPr>
          <w:noProof/>
          <w:szCs w:val="24"/>
          <w:lang w:val="ka-GE"/>
        </w:rPr>
        <w:t xml:space="preserve"> </w:t>
      </w:r>
      <w:r w:rsidRPr="00485554">
        <w:rPr>
          <w:rFonts w:ascii="Sylfaen" w:hAnsi="Sylfaen" w:cs="Sylfaen"/>
          <w:noProof/>
          <w:szCs w:val="24"/>
          <w:lang w:val="ka-GE"/>
        </w:rPr>
        <w:t>ეროზიის</w:t>
      </w:r>
      <w:r w:rsidRPr="00485554">
        <w:rPr>
          <w:noProof/>
          <w:szCs w:val="24"/>
          <w:lang w:val="ka-GE"/>
        </w:rPr>
        <w:t xml:space="preserve">, </w:t>
      </w:r>
      <w:r w:rsidRPr="00485554">
        <w:rPr>
          <w:rFonts w:ascii="Sylfaen" w:hAnsi="Sylfaen" w:cs="Sylfaen"/>
          <w:noProof/>
          <w:szCs w:val="24"/>
          <w:lang w:val="ka-GE"/>
        </w:rPr>
        <w:t>რქოვანას</w:t>
      </w:r>
      <w:r w:rsidRPr="00485554">
        <w:rPr>
          <w:noProof/>
          <w:szCs w:val="24"/>
          <w:lang w:val="ka-GE"/>
        </w:rPr>
        <w:t xml:space="preserve"> </w:t>
      </w:r>
      <w:r w:rsidRPr="00485554">
        <w:rPr>
          <w:rFonts w:ascii="Sylfaen" w:hAnsi="Sylfaen" w:cs="Sylfaen"/>
          <w:noProof/>
          <w:szCs w:val="24"/>
          <w:lang w:val="ka-GE"/>
        </w:rPr>
        <w:t>ეპითელიუმის</w:t>
      </w:r>
      <w:r w:rsidRPr="00485554">
        <w:rPr>
          <w:noProof/>
          <w:szCs w:val="24"/>
          <w:lang w:val="ka-GE"/>
        </w:rPr>
        <w:t xml:space="preserve"> </w:t>
      </w:r>
      <w:r w:rsidRPr="00485554">
        <w:rPr>
          <w:rFonts w:ascii="Sylfaen" w:hAnsi="Sylfaen" w:cs="Sylfaen"/>
          <w:noProof/>
          <w:szCs w:val="24"/>
          <w:lang w:val="ka-GE"/>
        </w:rPr>
        <w:t>დეფექტის</w:t>
      </w:r>
      <w:r w:rsidRPr="00485554">
        <w:rPr>
          <w:noProof/>
          <w:szCs w:val="24"/>
          <w:lang w:val="ka-GE"/>
        </w:rPr>
        <w:t>/</w:t>
      </w:r>
      <w:r w:rsidRPr="00485554">
        <w:rPr>
          <w:rFonts w:ascii="Sylfaen" w:hAnsi="Sylfaen" w:cs="Sylfaen"/>
          <w:noProof/>
          <w:szCs w:val="24"/>
          <w:lang w:val="ka-GE"/>
        </w:rPr>
        <w:t>დაზიანების</w:t>
      </w:r>
      <w:r w:rsidRPr="00485554">
        <w:rPr>
          <w:noProof/>
          <w:szCs w:val="24"/>
          <w:lang w:val="ka-GE"/>
        </w:rPr>
        <w:t xml:space="preserve"> </w:t>
      </w:r>
      <w:r w:rsidRPr="00485554">
        <w:rPr>
          <w:rFonts w:ascii="Sylfaen" w:hAnsi="Sylfaen" w:cs="Sylfaen"/>
          <w:noProof/>
          <w:szCs w:val="24"/>
          <w:lang w:val="ka-GE"/>
        </w:rPr>
        <w:t>და</w:t>
      </w:r>
      <w:r w:rsidRPr="00485554">
        <w:rPr>
          <w:noProof/>
          <w:szCs w:val="24"/>
          <w:lang w:val="ka-GE"/>
        </w:rPr>
        <w:t xml:space="preserve"> </w:t>
      </w:r>
      <w:r w:rsidRPr="00485554">
        <w:rPr>
          <w:rFonts w:ascii="Sylfaen" w:hAnsi="Sylfaen" w:cs="Sylfaen"/>
          <w:noProof/>
          <w:szCs w:val="24"/>
          <w:lang w:val="ka-GE"/>
        </w:rPr>
        <w:t>მხედველობის</w:t>
      </w:r>
      <w:r w:rsidRPr="00485554">
        <w:rPr>
          <w:noProof/>
          <w:szCs w:val="24"/>
          <w:lang w:val="ka-GE"/>
        </w:rPr>
        <w:t xml:space="preserve"> </w:t>
      </w:r>
      <w:r w:rsidRPr="00485554">
        <w:rPr>
          <w:rFonts w:ascii="Sylfaen" w:hAnsi="Sylfaen" w:cs="Sylfaen"/>
          <w:noProof/>
          <w:szCs w:val="24"/>
          <w:lang w:val="ka-GE"/>
        </w:rPr>
        <w:t>მნიშვნელოვანი</w:t>
      </w:r>
      <w:r w:rsidRPr="00485554">
        <w:rPr>
          <w:noProof/>
          <w:szCs w:val="24"/>
          <w:lang w:val="ka-GE"/>
        </w:rPr>
        <w:t xml:space="preserve"> </w:t>
      </w:r>
      <w:r w:rsidRPr="00485554">
        <w:rPr>
          <w:rFonts w:ascii="Sylfaen" w:hAnsi="Sylfaen" w:cs="Sylfaen"/>
          <w:noProof/>
          <w:szCs w:val="24"/>
          <w:lang w:val="ka-GE"/>
        </w:rPr>
        <w:t>შეუქცევადი</w:t>
      </w:r>
      <w:r w:rsidRPr="00485554">
        <w:rPr>
          <w:noProof/>
          <w:szCs w:val="24"/>
          <w:lang w:val="ka-GE"/>
        </w:rPr>
        <w:t xml:space="preserve"> </w:t>
      </w:r>
      <w:r w:rsidRPr="00485554">
        <w:rPr>
          <w:rFonts w:ascii="Sylfaen" w:hAnsi="Sylfaen" w:cs="Sylfaen"/>
          <w:noProof/>
          <w:szCs w:val="24"/>
          <w:lang w:val="ka-GE"/>
        </w:rPr>
        <w:lastRenderedPageBreak/>
        <w:t>დარღვევების</w:t>
      </w:r>
      <w:r w:rsidRPr="00485554">
        <w:rPr>
          <w:noProof/>
          <w:szCs w:val="24"/>
          <w:lang w:val="ka-GE"/>
        </w:rPr>
        <w:t xml:space="preserve"> </w:t>
      </w:r>
      <w:r w:rsidRPr="00485554">
        <w:rPr>
          <w:rFonts w:ascii="Sylfaen" w:hAnsi="Sylfaen" w:cs="Sylfaen"/>
          <w:noProof/>
          <w:szCs w:val="24"/>
          <w:lang w:val="ka-GE"/>
        </w:rPr>
        <w:t>შემთხვევები</w:t>
      </w:r>
      <w:r w:rsidRPr="00485554">
        <w:rPr>
          <w:noProof/>
          <w:szCs w:val="24"/>
          <w:lang w:val="ka-GE"/>
        </w:rPr>
        <w:t xml:space="preserve">, </w:t>
      </w:r>
      <w:r w:rsidRPr="00485554">
        <w:rPr>
          <w:rFonts w:ascii="Sylfaen" w:hAnsi="Sylfaen" w:cs="Sylfaen"/>
          <w:noProof/>
          <w:szCs w:val="24"/>
          <w:lang w:val="ka-GE"/>
        </w:rPr>
        <w:t>რომლებიც</w:t>
      </w:r>
      <w:r w:rsidRPr="00485554">
        <w:rPr>
          <w:noProof/>
          <w:szCs w:val="24"/>
          <w:lang w:val="ka-GE"/>
        </w:rPr>
        <w:t xml:space="preserve"> </w:t>
      </w:r>
      <w:r w:rsidRPr="00485554">
        <w:rPr>
          <w:rFonts w:ascii="Sylfaen" w:hAnsi="Sylfaen" w:cs="Sylfaen"/>
          <w:noProof/>
          <w:szCs w:val="24"/>
          <w:lang w:val="ka-GE"/>
        </w:rPr>
        <w:t>გამოწვეული</w:t>
      </w:r>
      <w:r w:rsidRPr="00485554">
        <w:rPr>
          <w:noProof/>
          <w:szCs w:val="24"/>
          <w:lang w:val="ka-GE"/>
        </w:rPr>
        <w:t xml:space="preserve"> </w:t>
      </w:r>
      <w:r w:rsidRPr="00485554">
        <w:rPr>
          <w:rFonts w:ascii="Sylfaen" w:hAnsi="Sylfaen" w:cs="Sylfaen"/>
          <w:noProof/>
          <w:szCs w:val="24"/>
          <w:lang w:val="ka-GE"/>
        </w:rPr>
        <w:t>იყო</w:t>
      </w:r>
      <w:r w:rsidRPr="00485554">
        <w:rPr>
          <w:noProof/>
          <w:szCs w:val="24"/>
          <w:lang w:val="ka-GE"/>
        </w:rPr>
        <w:t xml:space="preserve"> </w:t>
      </w:r>
      <w:r w:rsidRPr="00485554">
        <w:rPr>
          <w:rFonts w:ascii="Sylfaen" w:hAnsi="Sylfaen" w:cs="Sylfaen"/>
          <w:noProof/>
          <w:szCs w:val="24"/>
          <w:lang w:val="ka-GE"/>
        </w:rPr>
        <w:t>ქლორჰექსიდინის</w:t>
      </w:r>
      <w:r w:rsidRPr="00485554">
        <w:rPr>
          <w:noProof/>
          <w:szCs w:val="24"/>
          <w:lang w:val="ka-GE"/>
        </w:rPr>
        <w:t xml:space="preserve"> </w:t>
      </w:r>
      <w:r w:rsidRPr="00485554">
        <w:rPr>
          <w:rFonts w:ascii="Sylfaen" w:hAnsi="Sylfaen" w:cs="Sylfaen"/>
          <w:noProof/>
          <w:szCs w:val="24"/>
          <w:lang w:val="ka-GE"/>
        </w:rPr>
        <w:t>თვალის</w:t>
      </w:r>
      <w:r w:rsidRPr="00485554">
        <w:rPr>
          <w:noProof/>
          <w:szCs w:val="24"/>
          <w:lang w:val="ka-GE"/>
        </w:rPr>
        <w:t xml:space="preserve"> </w:t>
      </w:r>
      <w:r w:rsidRPr="00485554">
        <w:rPr>
          <w:rFonts w:ascii="Sylfaen" w:hAnsi="Sylfaen" w:cs="Sylfaen"/>
          <w:noProof/>
          <w:szCs w:val="24"/>
          <w:lang w:val="ka-GE"/>
        </w:rPr>
        <w:t>ლორწოვან</w:t>
      </w:r>
      <w:r w:rsidRPr="00485554">
        <w:rPr>
          <w:noProof/>
          <w:szCs w:val="24"/>
          <w:lang w:val="ka-GE"/>
        </w:rPr>
        <w:t xml:space="preserve"> </w:t>
      </w:r>
      <w:r w:rsidRPr="00485554">
        <w:rPr>
          <w:rFonts w:ascii="Sylfaen" w:hAnsi="Sylfaen" w:cs="Sylfaen"/>
          <w:noProof/>
          <w:szCs w:val="24"/>
          <w:lang w:val="ka-GE"/>
        </w:rPr>
        <w:t>გარსთან</w:t>
      </w:r>
      <w:r w:rsidRPr="00485554">
        <w:rPr>
          <w:noProof/>
          <w:szCs w:val="24"/>
          <w:lang w:val="ka-GE"/>
        </w:rPr>
        <w:t xml:space="preserve"> </w:t>
      </w:r>
      <w:r w:rsidRPr="00485554">
        <w:rPr>
          <w:rFonts w:ascii="Sylfaen" w:hAnsi="Sylfaen" w:cs="Sylfaen"/>
          <w:noProof/>
          <w:szCs w:val="24"/>
          <w:lang w:val="ka-GE"/>
        </w:rPr>
        <w:t>უნებლიე</w:t>
      </w:r>
      <w:r w:rsidRPr="00485554">
        <w:rPr>
          <w:noProof/>
          <w:szCs w:val="24"/>
          <w:lang w:val="ka-GE"/>
        </w:rPr>
        <w:t xml:space="preserve"> </w:t>
      </w:r>
      <w:r w:rsidRPr="00485554">
        <w:rPr>
          <w:rFonts w:ascii="Sylfaen" w:hAnsi="Sylfaen" w:cs="Sylfaen"/>
          <w:noProof/>
          <w:szCs w:val="24"/>
          <w:lang w:val="ka-GE"/>
        </w:rPr>
        <w:t>კონტაქტით</w:t>
      </w:r>
      <w:r w:rsidRPr="00485554">
        <w:rPr>
          <w:noProof/>
          <w:szCs w:val="24"/>
          <w:lang w:val="ka-GE"/>
        </w:rPr>
        <w:t>.</w:t>
      </w:r>
    </w:p>
    <w:p w14:paraId="0963421E" w14:textId="633A7D7B" w:rsidR="00556512" w:rsidRPr="00485554" w:rsidRDefault="00556512" w:rsidP="00556512">
      <w:pPr>
        <w:rPr>
          <w:noProof/>
          <w:szCs w:val="24"/>
          <w:lang w:val="ka-GE"/>
        </w:rPr>
      </w:pPr>
      <w:r w:rsidRPr="00485554">
        <w:rPr>
          <w:rFonts w:ascii="Sylfaen" w:hAnsi="Sylfaen" w:cs="Sylfaen"/>
          <w:noProof/>
          <w:szCs w:val="24"/>
          <w:lang w:val="ka-GE"/>
        </w:rPr>
        <w:t>რქოვანას</w:t>
      </w:r>
      <w:r w:rsidRPr="00485554">
        <w:rPr>
          <w:noProof/>
          <w:szCs w:val="24"/>
          <w:lang w:val="ka-GE"/>
        </w:rPr>
        <w:t xml:space="preserve"> </w:t>
      </w:r>
      <w:r w:rsidRPr="00485554">
        <w:rPr>
          <w:rFonts w:ascii="Sylfaen" w:hAnsi="Sylfaen" w:cs="Sylfaen"/>
          <w:noProof/>
          <w:szCs w:val="24"/>
          <w:lang w:val="ka-GE"/>
        </w:rPr>
        <w:t>მძიმე</w:t>
      </w:r>
      <w:r w:rsidRPr="00485554">
        <w:rPr>
          <w:noProof/>
          <w:szCs w:val="24"/>
          <w:lang w:val="ka-GE"/>
        </w:rPr>
        <w:t xml:space="preserve"> </w:t>
      </w:r>
      <w:r w:rsidRPr="00485554">
        <w:rPr>
          <w:rFonts w:ascii="Sylfaen" w:hAnsi="Sylfaen" w:cs="Sylfaen"/>
          <w:noProof/>
          <w:szCs w:val="24"/>
          <w:lang w:val="ka-GE"/>
        </w:rPr>
        <w:t>ეროზიისა</w:t>
      </w:r>
      <w:r w:rsidRPr="00485554">
        <w:rPr>
          <w:noProof/>
          <w:szCs w:val="24"/>
          <w:lang w:val="ka-GE"/>
        </w:rPr>
        <w:t xml:space="preserve"> </w:t>
      </w:r>
      <w:r w:rsidRPr="00485554">
        <w:rPr>
          <w:rFonts w:ascii="Sylfaen" w:hAnsi="Sylfaen" w:cs="Sylfaen"/>
          <w:noProof/>
          <w:szCs w:val="24"/>
          <w:lang w:val="ka-GE"/>
        </w:rPr>
        <w:t>და</w:t>
      </w:r>
      <w:r w:rsidRPr="00485554">
        <w:rPr>
          <w:noProof/>
          <w:szCs w:val="24"/>
          <w:lang w:val="ka-GE"/>
        </w:rPr>
        <w:t xml:space="preserve"> </w:t>
      </w:r>
      <w:r w:rsidRPr="00485554">
        <w:rPr>
          <w:rFonts w:ascii="Sylfaen" w:hAnsi="Sylfaen" w:cs="Sylfaen"/>
          <w:noProof/>
          <w:szCs w:val="24"/>
          <w:lang w:val="ka-GE"/>
        </w:rPr>
        <w:t>მხედველობის</w:t>
      </w:r>
      <w:r w:rsidRPr="00485554">
        <w:rPr>
          <w:noProof/>
          <w:szCs w:val="24"/>
          <w:lang w:val="ka-GE"/>
        </w:rPr>
        <w:t xml:space="preserve"> </w:t>
      </w:r>
      <w:r w:rsidRPr="00485554">
        <w:rPr>
          <w:rFonts w:ascii="Sylfaen" w:hAnsi="Sylfaen" w:cs="Sylfaen"/>
          <w:noProof/>
          <w:szCs w:val="24"/>
          <w:lang w:val="ka-GE"/>
        </w:rPr>
        <w:t>გამოხატული</w:t>
      </w:r>
      <w:r w:rsidRPr="00485554">
        <w:rPr>
          <w:noProof/>
          <w:szCs w:val="24"/>
          <w:lang w:val="ka-GE"/>
        </w:rPr>
        <w:t xml:space="preserve"> </w:t>
      </w:r>
      <w:r w:rsidRPr="00485554">
        <w:rPr>
          <w:rFonts w:ascii="Sylfaen" w:hAnsi="Sylfaen" w:cs="Sylfaen"/>
          <w:noProof/>
          <w:szCs w:val="24"/>
          <w:lang w:val="ka-GE"/>
        </w:rPr>
        <w:t>შეუქცევადი</w:t>
      </w:r>
      <w:r w:rsidRPr="00485554">
        <w:rPr>
          <w:noProof/>
          <w:szCs w:val="24"/>
          <w:lang w:val="ka-GE"/>
        </w:rPr>
        <w:t xml:space="preserve"> </w:t>
      </w:r>
      <w:r w:rsidRPr="00485554">
        <w:rPr>
          <w:rFonts w:ascii="Sylfaen" w:hAnsi="Sylfaen" w:cs="Sylfaen"/>
          <w:noProof/>
          <w:szCs w:val="24"/>
          <w:lang w:val="ka-GE"/>
        </w:rPr>
        <w:t>დარღვევების</w:t>
      </w:r>
      <w:r w:rsidRPr="00485554">
        <w:rPr>
          <w:noProof/>
          <w:szCs w:val="24"/>
          <w:lang w:val="ka-GE"/>
        </w:rPr>
        <w:t xml:space="preserve"> </w:t>
      </w:r>
      <w:r w:rsidRPr="00485554">
        <w:rPr>
          <w:rFonts w:ascii="Sylfaen" w:hAnsi="Sylfaen" w:cs="Sylfaen"/>
          <w:noProof/>
          <w:szCs w:val="24"/>
          <w:lang w:val="ka-GE"/>
        </w:rPr>
        <w:t>შემთხვევებში</w:t>
      </w:r>
      <w:r w:rsidRPr="00485554">
        <w:rPr>
          <w:noProof/>
          <w:szCs w:val="24"/>
          <w:lang w:val="ka-GE"/>
        </w:rPr>
        <w:t xml:space="preserve"> </w:t>
      </w:r>
      <w:r w:rsidRPr="00485554">
        <w:rPr>
          <w:rFonts w:ascii="Sylfaen" w:hAnsi="Sylfaen" w:cs="Sylfaen"/>
          <w:noProof/>
          <w:szCs w:val="24"/>
          <w:lang w:val="ka-GE"/>
        </w:rPr>
        <w:t>ზოგიერთ</w:t>
      </w:r>
      <w:r w:rsidRPr="00485554">
        <w:rPr>
          <w:noProof/>
          <w:szCs w:val="24"/>
          <w:lang w:val="ka-GE"/>
        </w:rPr>
        <w:t xml:space="preserve"> </w:t>
      </w:r>
      <w:r w:rsidRPr="00485554">
        <w:rPr>
          <w:rFonts w:ascii="Sylfaen" w:hAnsi="Sylfaen" w:cs="Sylfaen"/>
          <w:noProof/>
          <w:szCs w:val="24"/>
          <w:lang w:val="ka-GE"/>
        </w:rPr>
        <w:t>პაციენტს</w:t>
      </w:r>
      <w:r w:rsidRPr="00485554">
        <w:rPr>
          <w:noProof/>
          <w:szCs w:val="24"/>
          <w:lang w:val="ka-GE"/>
        </w:rPr>
        <w:t xml:space="preserve"> </w:t>
      </w:r>
      <w:r w:rsidRPr="00485554">
        <w:rPr>
          <w:rFonts w:ascii="Sylfaen" w:hAnsi="Sylfaen" w:cs="Sylfaen"/>
          <w:noProof/>
          <w:szCs w:val="24"/>
          <w:lang w:val="ka-GE"/>
        </w:rPr>
        <w:t>შეიძლება</w:t>
      </w:r>
      <w:r w:rsidRPr="00485554">
        <w:rPr>
          <w:noProof/>
          <w:szCs w:val="24"/>
          <w:lang w:val="ka-GE"/>
        </w:rPr>
        <w:t xml:space="preserve"> </w:t>
      </w:r>
      <w:r w:rsidRPr="00485554">
        <w:rPr>
          <w:rFonts w:ascii="Sylfaen" w:hAnsi="Sylfaen" w:cs="Sylfaen"/>
          <w:noProof/>
          <w:szCs w:val="24"/>
          <w:lang w:val="ka-GE"/>
        </w:rPr>
        <w:t>დასჭირდეს</w:t>
      </w:r>
      <w:r w:rsidRPr="00485554">
        <w:rPr>
          <w:noProof/>
          <w:szCs w:val="24"/>
          <w:lang w:val="ka-GE"/>
        </w:rPr>
        <w:t xml:space="preserve"> </w:t>
      </w:r>
      <w:r w:rsidRPr="00485554">
        <w:rPr>
          <w:rFonts w:ascii="Sylfaen" w:hAnsi="Sylfaen" w:cs="Sylfaen"/>
          <w:noProof/>
          <w:szCs w:val="24"/>
          <w:lang w:val="ka-GE"/>
        </w:rPr>
        <w:t>რქოვანას</w:t>
      </w:r>
      <w:r w:rsidRPr="00485554">
        <w:rPr>
          <w:noProof/>
          <w:szCs w:val="24"/>
          <w:lang w:val="ka-GE"/>
        </w:rPr>
        <w:t xml:space="preserve"> </w:t>
      </w:r>
      <w:r w:rsidRPr="00485554">
        <w:rPr>
          <w:rFonts w:ascii="Sylfaen" w:hAnsi="Sylfaen" w:cs="Sylfaen"/>
          <w:noProof/>
          <w:szCs w:val="24"/>
          <w:lang w:val="ka-GE"/>
        </w:rPr>
        <w:t>ტრანსპლანტაცია</w:t>
      </w:r>
      <w:r w:rsidRPr="00485554">
        <w:rPr>
          <w:noProof/>
          <w:szCs w:val="24"/>
          <w:lang w:val="ka-GE"/>
        </w:rPr>
        <w:t>.</w:t>
      </w:r>
    </w:p>
    <w:p w14:paraId="099A4475" w14:textId="3DB1F2B2" w:rsidR="00BF2E7C" w:rsidRPr="00485554" w:rsidRDefault="00BF2E7C" w:rsidP="00556512">
      <w:pPr>
        <w:pStyle w:val="P68B1DB1-Normal4"/>
        <w:jc w:val="both"/>
        <w:rPr>
          <w:noProof/>
          <w:lang w:val="ka-GE"/>
        </w:rPr>
      </w:pPr>
      <w:r w:rsidRPr="00485554">
        <w:rPr>
          <w:noProof/>
          <w:lang w:val="ka-GE"/>
        </w:rPr>
        <w:t>ქვემოთ გვერდითი რეაქციები ჩამოთვლილია ქვემოთ MedDRA-ს სისტემურ-ორგანოთა კლასების მიხედვით. გვერდითი რეაქციების სიხშირის პარამეტრები განისაზღვრება შემდეგნაირად: ძალიან ხშირად (≥1/10); ხშირად (≥1/100, მაგრამ &lt;1/10); არახშირად (≥1/1000, მაგრამ &lt;1/100); იშვიათად (≥1/10000, მაგრამ &lt;1/1000); ძალიან იშვიათად (&lt;1/10000), სიხშირე უცნობია (არსებული მონაცემებით შეფასება შეუძლებელია).</w:t>
      </w:r>
    </w:p>
    <w:p w14:paraId="6EB8784B" w14:textId="73DDC993" w:rsidR="00A20CDC" w:rsidRPr="00485554" w:rsidRDefault="00A20CDC" w:rsidP="00556512">
      <w:pPr>
        <w:pStyle w:val="P68B1DB1-Normal4"/>
        <w:jc w:val="both"/>
        <w:rPr>
          <w:noProof/>
          <w:lang w:val="ka-GE"/>
        </w:rPr>
      </w:pPr>
      <w:r w:rsidRPr="00485554">
        <w:rPr>
          <w:noProof/>
          <w:lang w:val="ka-GE"/>
        </w:rPr>
        <w:t>ნერვული სისტემის მხრივ: ხშირად - პირის ღრუს პარესთეზია/ჰიპერსთეზია.</w:t>
      </w:r>
    </w:p>
    <w:p w14:paraId="7E40E543" w14:textId="77777777" w:rsidR="00BF2E7C" w:rsidRPr="00485554" w:rsidRDefault="00BF2E7C" w:rsidP="00BF2E7C">
      <w:pPr>
        <w:pStyle w:val="P68B1DB1-Normal4"/>
        <w:shd w:val="clear" w:color="auto" w:fill="FFFFFF"/>
        <w:jc w:val="both"/>
        <w:rPr>
          <w:i/>
          <w:noProof/>
          <w:lang w:val="ka-GE"/>
        </w:rPr>
      </w:pPr>
      <w:r w:rsidRPr="00485554">
        <w:rPr>
          <w:i/>
          <w:noProof/>
          <w:lang w:val="ka-GE"/>
        </w:rPr>
        <w:t>კანისა და კანქვეშა ქსოვილების მხრივ:</w:t>
      </w:r>
      <w:r w:rsidRPr="00485554">
        <w:rPr>
          <w:noProof/>
          <w:lang w:val="ka-GE"/>
        </w:rPr>
        <w:t xml:space="preserve"> სიხშირე უცნობია - კანის ალერგიული რეაქციები, როგორიც არის დერმატიტი, ქავილი, ერითემა, ეგზემა, გამონაყარი, ჭინჭრის ციება, კანის გაღიზიანება და ბუშტუკები.</w:t>
      </w:r>
    </w:p>
    <w:p w14:paraId="1AA8345A" w14:textId="77777777" w:rsidR="00BF2E7C" w:rsidRPr="00485554" w:rsidRDefault="00BF2E7C" w:rsidP="00BF2E7C">
      <w:pPr>
        <w:pStyle w:val="P68B1DB1-Normal4"/>
        <w:shd w:val="clear" w:color="auto" w:fill="FFFFFF"/>
        <w:jc w:val="both"/>
        <w:rPr>
          <w:i/>
          <w:noProof/>
          <w:color w:val="000000"/>
          <w:lang w:val="ka-GE"/>
        </w:rPr>
      </w:pPr>
      <w:r w:rsidRPr="00485554">
        <w:rPr>
          <w:i/>
          <w:noProof/>
          <w:color w:val="000000"/>
          <w:lang w:val="ka-GE"/>
        </w:rPr>
        <w:t xml:space="preserve">იმუნური სისტემის მხრივ: </w:t>
      </w:r>
      <w:r w:rsidRPr="00485554">
        <w:rPr>
          <w:noProof/>
          <w:lang w:val="ka-GE"/>
        </w:rPr>
        <w:t>სიხშირე უცნობია - ჰიპერმგრძნობელობა, მათ შორის ანაფილაქსიური შოკი.</w:t>
      </w:r>
    </w:p>
    <w:p w14:paraId="41ED21A9" w14:textId="77777777" w:rsidR="00BF2E7C" w:rsidRPr="00485554" w:rsidRDefault="00BF2E7C" w:rsidP="00BF2E7C">
      <w:pPr>
        <w:pStyle w:val="P68B1DB1-Normal2"/>
        <w:jc w:val="both"/>
        <w:rPr>
          <w:rFonts w:eastAsiaTheme="minorHAnsi"/>
          <w:noProof/>
          <w:lang w:val="ka-GE"/>
        </w:rPr>
      </w:pPr>
      <w:r w:rsidRPr="00485554">
        <w:rPr>
          <w:noProof/>
          <w:lang w:val="ka-GE"/>
        </w:rPr>
        <w:t>შეტყობინება საეჭვო გვერდითი რეაქციების შესახებ</w:t>
      </w:r>
    </w:p>
    <w:p w14:paraId="41311661" w14:textId="77777777" w:rsidR="00BF2E7C" w:rsidRPr="00485554" w:rsidRDefault="00BF2E7C" w:rsidP="00BF2E7C">
      <w:pPr>
        <w:pStyle w:val="P68B1DB1-Normal4"/>
        <w:jc w:val="both"/>
        <w:rPr>
          <w:noProof/>
          <w:lang w:val="ka-GE"/>
        </w:rPr>
      </w:pPr>
      <w:r w:rsidRPr="00485554">
        <w:rPr>
          <w:noProof/>
          <w:lang w:val="ka-GE"/>
        </w:rPr>
        <w:t>სამკურნალო საშუალების რეგისტრაციის შემდეგ, მნიშვნელოვანია შეტყობინება საეჭვო გვერდითი რეაქციების შესახებ. სამკურნალო საშუალების მიმართ სერიოზული გვერდითი რეაქციის განვითარების ან ისეთი ახალი გვერდითი რეაქციის განვითარების შემთხვევაში, რომელიც ამ პუნქტში აღწერილი არ არის, გთხოვთ, ინფორმაცია მიაწოდოთ ეროვნული ფარმაკოზედამხედველობის სისტემის შესაბამისად.</w:t>
      </w:r>
    </w:p>
    <w:p w14:paraId="26150EDB" w14:textId="77777777" w:rsidR="00654CEB" w:rsidRPr="00485554" w:rsidRDefault="00654CEB">
      <w:pPr>
        <w:jc w:val="both"/>
        <w:rPr>
          <w:rFonts w:ascii="Sylfaen" w:hAnsi="Sylfaen"/>
          <w:noProof/>
          <w:lang w:val="ka-GE"/>
        </w:rPr>
      </w:pPr>
    </w:p>
    <w:p w14:paraId="10E79EA2" w14:textId="6B1F21C6" w:rsidR="00654CEB" w:rsidRPr="00485554" w:rsidRDefault="004F0BC5">
      <w:pPr>
        <w:pStyle w:val="P68B1DB1-Normal3"/>
        <w:jc w:val="both"/>
        <w:rPr>
          <w:noProof/>
          <w:lang w:val="ka-GE"/>
        </w:rPr>
      </w:pPr>
      <w:r w:rsidRPr="00485554">
        <w:rPr>
          <w:noProof/>
          <w:lang w:val="ka-GE"/>
        </w:rPr>
        <w:t>ჭარბი დოზირება</w:t>
      </w:r>
    </w:p>
    <w:p w14:paraId="20BD73BC" w14:textId="77777777" w:rsidR="00654CEB" w:rsidRPr="00485554" w:rsidRDefault="00AE2F98">
      <w:pPr>
        <w:pStyle w:val="P68B1DB1-Normal5"/>
        <w:jc w:val="both"/>
        <w:rPr>
          <w:noProof/>
          <w:lang w:val="ka-GE"/>
        </w:rPr>
      </w:pPr>
      <w:r w:rsidRPr="00485554">
        <w:rPr>
          <w:noProof/>
          <w:lang w:val="ka-GE"/>
        </w:rPr>
        <w:t xml:space="preserve">პირის ღრუს ლორწოვან გარსზე ადგილობრივი საანესთეზიო საშუალებების გამოყენების დროს, შეიძლება დაირღვეს ყლაპვის პროცესი, ამ დროს სასუნთქ გზებში საკვების მოხვედრის რისკი იზრდება. </w:t>
      </w:r>
      <w:r w:rsidRPr="00485554">
        <w:rPr>
          <w:b/>
          <w:noProof/>
          <w:lang w:val="ka-GE"/>
        </w:rPr>
        <w:t xml:space="preserve">პაფესანის </w:t>
      </w:r>
      <w:r w:rsidRPr="00485554">
        <w:rPr>
          <w:noProof/>
          <w:lang w:val="ka-GE"/>
        </w:rPr>
        <w:t xml:space="preserve"> დოზის გადაჭარბების შემთხვევაში (გამოყენებული მოცულობა დღე-ღამეში 10 მლ ან მეტი), შეიძლება უმნიშვნელოდ გაიზარდოს ხმის ნაპრალის არეში ადგილობრივი საანესთეზიო მოქმედების გაძლიერების რისკი, რამაც შეიძლება გამოიწვიოს ყლაპვის რეფლექსის შემცირება.</w:t>
      </w:r>
    </w:p>
    <w:p w14:paraId="1F0DC6B2" w14:textId="77777777" w:rsidR="00654CEB" w:rsidRPr="00485554" w:rsidRDefault="00AE2F98">
      <w:pPr>
        <w:pStyle w:val="P68B1DB1-Normal5"/>
        <w:jc w:val="both"/>
        <w:rPr>
          <w:noProof/>
          <w:lang w:val="ka-GE"/>
        </w:rPr>
      </w:pPr>
      <w:r w:rsidRPr="00485554">
        <w:rPr>
          <w:noProof/>
          <w:lang w:val="ka-GE"/>
        </w:rPr>
        <w:t>სისხლის პლაზმაში ლიდოკაინის ძალიან მაღალი კონცენტრაციის დროს, შეიძლება აღინიშნოს გვერდითი რეაქციები ცენტრალური ნერვული სისტემის (ცნს) და/ან გულ-სისხლძარღვთა სისტემის მხრივ. ცნს-ის მხრივ ადრეულ გვერდით რეაქციებს მიეკუთვნება: ნევროზულობა, თავბრუსხვევა, ხმაური ყურებში, ნისტაგმი, შფოთვა, აგზნება, პარესთეზია, მხედველობის სიმკვეთრის დარღვევა, გულისრევა, ღებინება და ტრემორი; შემდგომში შეიძლება განვითარდეს ტონური და კლონური კრუნჩხვები და აღინიშნოს მოგრძო ტვინის სასიცოცხლოდ მნიშვნელოვანი ცენტრების ფუნქციონირების დათრგუნვა. გვერდითი რეაქციები გულ-სისხლძარღვთა სისტემის მხრივ დაკავშირებულია ლიდოკაინის მაინჰიბირებელ მოქმედებასთან, ეს შეიძლება მოიცავდეს არტერიულ ჰიპოტენზიას, მიოკარდიუმის კუმშვადობის დაქვეითებას, ბრადიკარდიას და შესაძლოა გულის გაჩერებას.</w:t>
      </w:r>
    </w:p>
    <w:p w14:paraId="6E8C5482" w14:textId="77777777" w:rsidR="00654CEB" w:rsidRPr="00485554" w:rsidRDefault="00AE2F98">
      <w:pPr>
        <w:pStyle w:val="P68B1DB1-Normal5"/>
        <w:jc w:val="both"/>
        <w:rPr>
          <w:noProof/>
          <w:lang w:val="ka-GE"/>
        </w:rPr>
      </w:pPr>
      <w:r w:rsidRPr="00485554">
        <w:rPr>
          <w:noProof/>
          <w:lang w:val="ka-GE"/>
        </w:rPr>
        <w:t>მიუხედავად იმისა, რომ პერორალურად მიღების დროს ლიდოკაინის ბიოშეღწევადობა დაბალია, სამკურნალო საშუალების გადაყლაპვის შემთხვევაში შეიძლება აღინიშნოს მნიშვნელოვანი ტოქსიკური მოქმედება; რამე თუ იყო შეტყობინებები ადგილობრივი გამოყენების პრეპარატების გადაყლაპვის დროს ცენტრალურ ნერვულ სისტემაზე ტოქსიკური ზემოქმედების, კრუნჩხვების და ლეტალური შედეგის შესახებ. იმისათვის, რომ განვითარდეს ლიდოკაინის ტოქსიკური ეფექტები, რომლებიც ძირითადად აღინიშნება სამკურნალო საშუალების 0,5 გ ან უფრო მეტი დოზით მიღების დროს, საჭიროა 1 ლიტრზე მეტი პრეპარატის გადაყლაპვა.</w:t>
      </w:r>
    </w:p>
    <w:p w14:paraId="1892E1C3" w14:textId="77777777" w:rsidR="00654CEB" w:rsidRPr="00485554" w:rsidRDefault="00AE2F98">
      <w:pPr>
        <w:pStyle w:val="P68B1DB1-Normal5"/>
        <w:jc w:val="both"/>
        <w:rPr>
          <w:noProof/>
          <w:lang w:val="ka-GE"/>
        </w:rPr>
      </w:pPr>
      <w:r w:rsidRPr="00485554">
        <w:rPr>
          <w:noProof/>
          <w:lang w:val="ka-GE"/>
        </w:rPr>
        <w:t xml:space="preserve">ქლორჰექსიდინის გამოყენების დროს სისტემური ტოქსიკურობის განვითარების შემთხვევების შესახებ შეტყობინებები იშვიათი იყო. სამკურნალო საშუალების გადაყლაპვის </w:t>
      </w:r>
      <w:r w:rsidRPr="00485554">
        <w:rPr>
          <w:noProof/>
          <w:lang w:val="ka-GE"/>
        </w:rPr>
        <w:lastRenderedPageBreak/>
        <w:t>დროს, ძირითადად აღინიშნა ისეთი გვერდითი რეაქცია, როგორიც არის ლორწოვანი გარსების გაღიზიანება.</w:t>
      </w:r>
    </w:p>
    <w:p w14:paraId="55EBA3EB" w14:textId="77777777" w:rsidR="00654CEB" w:rsidRPr="00485554" w:rsidRDefault="00AE2F98">
      <w:pPr>
        <w:pStyle w:val="P68B1DB1-Normal5"/>
        <w:jc w:val="both"/>
        <w:rPr>
          <w:noProof/>
          <w:lang w:val="ka-GE"/>
        </w:rPr>
      </w:pPr>
      <w:r w:rsidRPr="00485554">
        <w:rPr>
          <w:noProof/>
          <w:lang w:val="ka-GE"/>
        </w:rPr>
        <w:t>ლიდოკაინის დოზის გადაჭარბების მკურნალობა მოიცავს ფილტვების ვენტილაციის სათანადო დონის შენარჩუნებას (ჟანგბადის მიწოდება, ფილტვების დამხმარე ან კონტროლირებული ვენტილაცია) და კრუნჩხვების კუპირებას (თიოპენტონის, დიაზეპამის ან სუქცინილქოლინის შეყვანა). რადგან სუქცინილქოლინის გამოყენებამ შეიძლება გამოიწვიოს სუნთქვის გაჩერება, მისი გამოყენება უნდა მოხდეს მხოლოდ იმ შემთხვევაში, როდესაც ექიმი ფლობს ტრაქეის ინტუბაციის და მთლიანად პარალიზებულ მდგომარეობაში მყოფი პაციენტების თერაპიის უნარს. პარკუჭების ფიბრილაციის ან გულის გაჩერების დროს აუცილებელია გულ-ფილტვის რეანიმაციის ჩატარება, ასევე, აუცილებლობის შემთხვევაში, სასწრაფოდ უნდა მოხდეს ადრენალინის და ნატრიუმის ბიკარბონატის შეყვანა.</w:t>
      </w:r>
    </w:p>
    <w:p w14:paraId="3E2F4B04" w14:textId="7EDDAB82" w:rsidR="00BF2E7C" w:rsidRPr="00485554" w:rsidRDefault="00BF2E7C">
      <w:pPr>
        <w:pStyle w:val="P68B1DB1-Normal4"/>
        <w:jc w:val="both"/>
        <w:rPr>
          <w:noProof/>
          <w:lang w:val="ka-GE"/>
        </w:rPr>
      </w:pPr>
    </w:p>
    <w:p w14:paraId="21875380" w14:textId="77777777" w:rsidR="00C7780A" w:rsidRPr="00485554" w:rsidRDefault="00C7780A" w:rsidP="00C7780A">
      <w:pPr>
        <w:pStyle w:val="P68B1DB1-Normal3"/>
        <w:jc w:val="both"/>
        <w:rPr>
          <w:noProof/>
          <w:lang w:val="ka-GE"/>
        </w:rPr>
      </w:pPr>
      <w:r w:rsidRPr="00485554">
        <w:rPr>
          <w:noProof/>
          <w:lang w:val="ka-GE"/>
        </w:rPr>
        <w:t>ფარმაკოლოგიური თვისებები</w:t>
      </w:r>
    </w:p>
    <w:p w14:paraId="5F9B0E98" w14:textId="317DFED0" w:rsidR="00C7780A" w:rsidRPr="00485554" w:rsidRDefault="00C7780A" w:rsidP="00C7780A">
      <w:pPr>
        <w:pStyle w:val="P68B1DB1-Normal3"/>
        <w:jc w:val="both"/>
        <w:rPr>
          <w:noProof/>
          <w:lang w:val="ka-GE"/>
        </w:rPr>
      </w:pPr>
      <w:r w:rsidRPr="00485554">
        <w:rPr>
          <w:noProof/>
          <w:lang w:val="ka-GE"/>
        </w:rPr>
        <w:t>ფარმაკოდინამიკური თვისებები</w:t>
      </w:r>
    </w:p>
    <w:p w14:paraId="28581914" w14:textId="23763498" w:rsidR="00BF2E7C" w:rsidRPr="00485554" w:rsidRDefault="00C7780A" w:rsidP="00C252B2">
      <w:pPr>
        <w:pStyle w:val="P68B1DB1-Normal3"/>
        <w:jc w:val="both"/>
        <w:rPr>
          <w:i w:val="0"/>
          <w:iCs/>
          <w:noProof/>
          <w:lang w:val="ka-GE"/>
        </w:rPr>
      </w:pPr>
      <w:r w:rsidRPr="00485554">
        <w:rPr>
          <w:i w:val="0"/>
          <w:iCs/>
          <w:noProof/>
          <w:lang w:val="ka-GE"/>
        </w:rPr>
        <w:t xml:space="preserve">ფარმაკოთერაპიული ჯგუფი: </w:t>
      </w:r>
      <w:r w:rsidRPr="00485554">
        <w:rPr>
          <w:i w:val="0"/>
          <w:iCs/>
          <w:noProof/>
          <w:color w:val="000000"/>
          <w:lang w:val="ka-GE"/>
        </w:rPr>
        <w:t>პრეპარატები, რომლებიც გამოიყენება ყელის დაავადებების დროს. სხვადასხვა ანტისეპტიკური საშუალებები</w:t>
      </w:r>
      <w:r w:rsidRPr="00485554">
        <w:rPr>
          <w:i w:val="0"/>
          <w:iCs/>
          <w:noProof/>
          <w:lang w:val="ka-GE"/>
        </w:rPr>
        <w:t>.</w:t>
      </w:r>
      <w:r w:rsidR="00C252B2" w:rsidRPr="00485554">
        <w:rPr>
          <w:i w:val="0"/>
          <w:iCs/>
          <w:noProof/>
          <w:lang w:val="ka-GE"/>
        </w:rPr>
        <w:t xml:space="preserve"> </w:t>
      </w:r>
      <w:r w:rsidR="00BF2E7C" w:rsidRPr="00485554">
        <w:rPr>
          <w:i w:val="0"/>
          <w:iCs/>
          <w:noProof/>
          <w:lang w:val="ka-GE"/>
        </w:rPr>
        <w:t>ათქ კოდი     R02AA20</w:t>
      </w:r>
      <w:r w:rsidR="00C252B2" w:rsidRPr="00485554">
        <w:rPr>
          <w:i w:val="0"/>
          <w:iCs/>
          <w:noProof/>
          <w:lang w:val="ka-GE"/>
        </w:rPr>
        <w:t>.</w:t>
      </w:r>
    </w:p>
    <w:p w14:paraId="38FAFD26" w14:textId="77777777" w:rsidR="00BF2E7C" w:rsidRPr="00485554" w:rsidRDefault="00BF2E7C" w:rsidP="00BF2E7C">
      <w:pPr>
        <w:pStyle w:val="P68B1DB1-Normal5"/>
        <w:jc w:val="both"/>
        <w:rPr>
          <w:noProof/>
          <w:lang w:val="ka-GE"/>
        </w:rPr>
      </w:pPr>
      <w:r w:rsidRPr="00485554">
        <w:rPr>
          <w:noProof/>
          <w:lang w:val="ka-GE"/>
        </w:rPr>
        <w:t>ლიდოკაინი არის ადგილობრივი საანესთეზიო საშუალება ამიდების ჯგუფიდან. სხვა ადგილობრივი საანესთეზიო საშუალებების მსგავსად, ლიდოკაინი უჯრედების დეპოლარიზაციის შენელებით არღვევს ნერვული იმპულსების გენერაციის და გატარების პროცესს. ეს ხდება დეპოლარიზაციის საწყის ფაზაში უჯრედული მემბრანების გავლით უჯრედში ნატრიუმის იონების შესვლის პროცესის ინჰიბირების შედეგად. ლიდოკაინი ამცირებს მოსვენებულ მდგომარეობაში ნერვული უჯრედების აქსონების განვლადობას კალიუმის და ნატრიუმის იონებისათვის.</w:t>
      </w:r>
    </w:p>
    <w:p w14:paraId="0FCE7D44" w14:textId="77777777" w:rsidR="00BF2E7C" w:rsidRPr="00485554" w:rsidRDefault="00BF2E7C" w:rsidP="00BF2E7C">
      <w:pPr>
        <w:pStyle w:val="P68B1DB1-Heading16"/>
        <w:shd w:val="clear" w:color="auto" w:fill="FFFFFF"/>
        <w:spacing w:before="0" w:beforeAutospacing="0" w:after="0" w:afterAutospacing="0"/>
        <w:jc w:val="both"/>
        <w:rPr>
          <w:noProof/>
          <w:lang w:val="ka-GE"/>
        </w:rPr>
      </w:pPr>
      <w:r w:rsidRPr="00485554">
        <w:rPr>
          <w:noProof/>
          <w:lang w:val="ka-GE"/>
        </w:rPr>
        <w:t xml:space="preserve">ქლორჰექსიდინი არის ანტისეპტიკური და სადეზინფექციო საშუალება ბიგუანიდების ჯგუფიდან, იგი ფლობს ბაქტერიოციდულ ან ბაქტერიოსტატიკურ მოქმედებას გრამდადებითი და გრამუარყოფითი ბაქტერიების ფართო სპექტრის მიმართ; ქლორჰექსიდინი უფრო აქტიურია გრამდადებითი ბაქტერიების მიმართ. </w:t>
      </w:r>
      <w:r w:rsidRPr="00485554">
        <w:rPr>
          <w:i/>
          <w:noProof/>
          <w:lang w:val="ka-GE"/>
        </w:rPr>
        <w:t>Pseudomonas</w:t>
      </w:r>
      <w:r w:rsidRPr="00485554">
        <w:rPr>
          <w:noProof/>
          <w:lang w:val="ka-GE"/>
        </w:rPr>
        <w:t xml:space="preserve">-ის და </w:t>
      </w:r>
      <w:r w:rsidRPr="00485554">
        <w:rPr>
          <w:i/>
          <w:noProof/>
          <w:lang w:val="ka-GE"/>
        </w:rPr>
        <w:t>Proteus</w:t>
      </w:r>
      <w:r w:rsidRPr="00485554">
        <w:rPr>
          <w:noProof/>
          <w:lang w:val="ka-GE"/>
        </w:rPr>
        <w:t>-ის ზოგიერთ სახეობას გააჩნია დაბალი მგრძნობელობა ქლორჰექსიდინის მიმართ, იგი შედარებით არააქტიურია მიკობაქტერიების მიმართ. ქლორჰექსიდინი აინჰიბირებს ზოგიერთ ვირუსს და აქტიურია სოკოვანი ინფექციების ზოგიერთი გამომწვევის მიმართ.</w:t>
      </w:r>
    </w:p>
    <w:p w14:paraId="7FA840BD" w14:textId="155EE008" w:rsidR="00BF2E7C" w:rsidRPr="00485554" w:rsidRDefault="00BF2E7C" w:rsidP="00BF2E7C">
      <w:pPr>
        <w:pStyle w:val="P68B1DB1-Normal3"/>
        <w:jc w:val="both"/>
        <w:rPr>
          <w:noProof/>
          <w:lang w:val="ka-GE"/>
        </w:rPr>
      </w:pPr>
      <w:r w:rsidRPr="00485554">
        <w:rPr>
          <w:noProof/>
          <w:lang w:val="ka-GE"/>
        </w:rPr>
        <w:t>ფარმაკოკინეტიკ</w:t>
      </w:r>
      <w:r w:rsidR="00C252B2" w:rsidRPr="00485554">
        <w:rPr>
          <w:noProof/>
          <w:lang w:val="ka-GE"/>
        </w:rPr>
        <w:t>ური თვისებები</w:t>
      </w:r>
    </w:p>
    <w:p w14:paraId="74C884D9" w14:textId="77777777" w:rsidR="00BF2E7C" w:rsidRPr="00485554" w:rsidRDefault="00BF2E7C" w:rsidP="00BF2E7C">
      <w:pPr>
        <w:pStyle w:val="P68B1DB1-Normal4"/>
        <w:jc w:val="both"/>
        <w:rPr>
          <w:noProof/>
          <w:lang w:val="ka-GE"/>
        </w:rPr>
      </w:pPr>
      <w:r w:rsidRPr="00485554">
        <w:rPr>
          <w:b/>
          <w:noProof/>
          <w:lang w:val="ka-GE"/>
        </w:rPr>
        <w:t>პაფესანი</w:t>
      </w:r>
      <w:r w:rsidRPr="00485554">
        <w:rPr>
          <w:noProof/>
          <w:lang w:val="ka-GE"/>
        </w:rPr>
        <w:t xml:space="preserve"> ყელის სპრეი ახდენს ადგილობრივ მოქმედებას.</w:t>
      </w:r>
    </w:p>
    <w:p w14:paraId="4B9D7224" w14:textId="77777777" w:rsidR="00BF2E7C" w:rsidRPr="00485554" w:rsidRDefault="00BF2E7C" w:rsidP="00BF2E7C">
      <w:pPr>
        <w:pStyle w:val="P68B1DB1-Normal4"/>
        <w:jc w:val="both"/>
        <w:rPr>
          <w:noProof/>
          <w:lang w:val="ka-GE"/>
        </w:rPr>
      </w:pPr>
      <w:r w:rsidRPr="00485554">
        <w:rPr>
          <w:noProof/>
          <w:lang w:val="ka-GE"/>
        </w:rPr>
        <w:t>გადაყლაპვის დროს, მათ შორის ნერწყვთან ერთად, პრეპარატის უმნიშვნელო რაოდენობამ შეიძლება მიაღწიოს ნაწლავებს, ასევე, შეიძლება მოხდეს მისი უმნიშვნელო რაოდენობით შეწოვა პირის ღრუს და ხახის ლორწოვანი გარსიდან.</w:t>
      </w:r>
    </w:p>
    <w:p w14:paraId="7230ABE9" w14:textId="77777777" w:rsidR="00BF2E7C" w:rsidRPr="00485554" w:rsidRDefault="00BF2E7C" w:rsidP="00BF2E7C">
      <w:pPr>
        <w:pStyle w:val="P68B1DB1-Normal4"/>
        <w:jc w:val="both"/>
        <w:rPr>
          <w:noProof/>
          <w:lang w:val="ka-GE"/>
        </w:rPr>
      </w:pPr>
      <w:r w:rsidRPr="00485554">
        <w:rPr>
          <w:noProof/>
          <w:lang w:val="ka-GE"/>
        </w:rPr>
        <w:t xml:space="preserve">ლიდოკაინი კარგად შეიწოვება პირის ღრუს ლორწოვანი გარსიდან, დაზიანებული კანიდან და კუჭ-ნაწლავის ტრაქტში (კნტ), დაზიანებული კანიდან შეწოვის ხარისხი არის უმნიშვნელო. ლიდოკაინი განიცდის მნიშვნელოვან პრესისტემურ ელიმინაციას; პერორალურად მიღების შემდეგ, მისი ბიოშეღწევადობა 35%-ს შეადგენს. ლიდოკაინი სწრაფად ნაწილდება ორგანიზმის ყველა ქსოვილში; იგი აღწევს პლაცენტასა და ჰემატოენცეფალურ ბარიერში. სისხლის პლაზმის ცილებთან ლიდოკაინის შეკავშირების ხარისხი არის დაახლოებით 65%; პლაზმიდან ნახევარგამოყოფის პერიოდი - 1,6 საათი. ლიდოკაინი მნიშვნელოვანი ხარისხით მეტაბოლიზდება ღვიძლში; ღვიძლის ფუნქციის ან ღვიძლის სისხლის მიმოქცევის ნებისმიერ ცვლილებას მნიშვნელოვანი გავლენის მოხდენა შეუძლია ლიდოკაინის ფარმაკოკინეტიკაზე და მისი დოზირების რეჟიმის მოთხოვნებზე. ღვიძლში ბიოტრანსფორმაციის პროცესი სწრაფად მიმდინარეობს, ლიდოკაინის შეყვანილი დოზის დაახლოებით 90% განიცდის დეალკილირებას და წარმოიქმნება მონოეთილგლიცინექსილიდიდი და გლიცინექსილიდიდი; ორივე მეტაბოლიტს შეუძლია თერაპიული და ტოქსიკური მოქმედების მოხდენა. ლიდოკაინის შეყვანილი დოზის 10%-ზე </w:t>
      </w:r>
      <w:r w:rsidRPr="00485554">
        <w:rPr>
          <w:noProof/>
          <w:lang w:val="ka-GE"/>
        </w:rPr>
        <w:lastRenderedPageBreak/>
        <w:t>ნაკლები უცვლელი სახით, ისევე როგორც მისი მეტაბოლიტები, გამოიყოფა შარდთან ერთად.</w:t>
      </w:r>
    </w:p>
    <w:p w14:paraId="50400BDF" w14:textId="77777777" w:rsidR="00BF2E7C" w:rsidRPr="00485554" w:rsidRDefault="00BF2E7C" w:rsidP="00BF2E7C">
      <w:pPr>
        <w:pStyle w:val="P68B1DB1-Normal4"/>
        <w:jc w:val="both"/>
        <w:rPr>
          <w:noProof/>
          <w:lang w:val="ka-GE"/>
        </w:rPr>
      </w:pPr>
      <w:r w:rsidRPr="00485554">
        <w:rPr>
          <w:noProof/>
          <w:lang w:val="ka-GE"/>
        </w:rPr>
        <w:t>ქლორჰექსიდინი უმნიშვნელო რაოდენობით შეიწოვება ლორწოვანი გარსებიდან, დაუზიანებელი კანიდან და კუჭ-ნაწლავის ტრაქტში. იგი უმნიშვნელო ხარისხით მეტაბოლიზდება ღვიძლში და გამოიყოფა ნაღველთან ერთად; შარდთან ერთად მისი გამოყოფის ხარისხი დაბალია.</w:t>
      </w:r>
    </w:p>
    <w:p w14:paraId="1FEFA008" w14:textId="07F51FC4" w:rsidR="00BF2E7C" w:rsidRPr="00485554" w:rsidRDefault="00BF2E7C">
      <w:pPr>
        <w:pStyle w:val="P68B1DB1-Normal4"/>
        <w:jc w:val="both"/>
        <w:rPr>
          <w:noProof/>
          <w:lang w:val="ka-GE"/>
        </w:rPr>
      </w:pPr>
    </w:p>
    <w:p w14:paraId="0EFB36D4" w14:textId="77777777" w:rsidR="00BF2E7C" w:rsidRPr="00485554" w:rsidRDefault="00BF2E7C" w:rsidP="00BF2E7C">
      <w:pPr>
        <w:pStyle w:val="P68B1DB1-Normal3"/>
        <w:jc w:val="both"/>
        <w:rPr>
          <w:noProof/>
          <w:lang w:val="ka-GE"/>
        </w:rPr>
      </w:pPr>
      <w:r w:rsidRPr="00485554">
        <w:rPr>
          <w:noProof/>
          <w:lang w:val="ka-GE"/>
        </w:rPr>
        <w:t>ვარგისობის ვადა</w:t>
      </w:r>
    </w:p>
    <w:p w14:paraId="567318D0" w14:textId="77777777" w:rsidR="00BF2E7C" w:rsidRPr="00485554" w:rsidRDefault="00BF2E7C" w:rsidP="00BF2E7C">
      <w:pPr>
        <w:pStyle w:val="P68B1DB1-Normal4"/>
        <w:jc w:val="both"/>
        <w:rPr>
          <w:noProof/>
          <w:lang w:val="ka-GE"/>
        </w:rPr>
      </w:pPr>
      <w:r w:rsidRPr="00485554">
        <w:rPr>
          <w:noProof/>
          <w:lang w:val="ka-GE"/>
        </w:rPr>
        <w:t>5 წელი წარმოების თარიღიდან.</w:t>
      </w:r>
    </w:p>
    <w:p w14:paraId="188BCD70" w14:textId="77777777" w:rsidR="00BF2E7C" w:rsidRPr="00485554" w:rsidRDefault="00BF2E7C" w:rsidP="00BF2E7C">
      <w:pPr>
        <w:pStyle w:val="P68B1DB1-Normal4"/>
        <w:jc w:val="both"/>
        <w:rPr>
          <w:noProof/>
          <w:lang w:val="ka-GE"/>
        </w:rPr>
      </w:pPr>
      <w:r w:rsidRPr="00485554">
        <w:rPr>
          <w:noProof/>
          <w:lang w:val="ka-GE"/>
        </w:rPr>
        <w:t>არ გამოიყენოთ ვარგისობის ვადის გასვლის შემდეგ.</w:t>
      </w:r>
    </w:p>
    <w:p w14:paraId="61D04BDD" w14:textId="767269C0" w:rsidR="00BF2E7C" w:rsidRPr="00485554" w:rsidRDefault="00BF2E7C">
      <w:pPr>
        <w:pStyle w:val="P68B1DB1-Normal4"/>
        <w:jc w:val="both"/>
        <w:rPr>
          <w:noProof/>
          <w:lang w:val="ka-GE"/>
        </w:rPr>
      </w:pPr>
    </w:p>
    <w:p w14:paraId="7937D85B" w14:textId="03869A30" w:rsidR="00BF2E7C" w:rsidRPr="00485554" w:rsidRDefault="00DF5F38" w:rsidP="00BF2E7C">
      <w:pPr>
        <w:pStyle w:val="P68B1DB1-Normal3"/>
        <w:jc w:val="both"/>
        <w:rPr>
          <w:noProof/>
          <w:lang w:val="ka-GE"/>
        </w:rPr>
      </w:pPr>
      <w:r w:rsidRPr="00485554">
        <w:rPr>
          <w:noProof/>
          <w:lang w:val="ka-GE"/>
        </w:rPr>
        <w:t>განსაკუთრებული მითითებები შენახვისას</w:t>
      </w:r>
    </w:p>
    <w:p w14:paraId="6E740D66" w14:textId="77777777" w:rsidR="00BF2E7C" w:rsidRPr="00485554" w:rsidRDefault="00BF2E7C" w:rsidP="00BF2E7C">
      <w:pPr>
        <w:pStyle w:val="P68B1DB1-Normal4"/>
        <w:jc w:val="both"/>
        <w:rPr>
          <w:noProof/>
          <w:lang w:val="ka-GE"/>
        </w:rPr>
      </w:pPr>
      <w:r w:rsidRPr="00485554">
        <w:rPr>
          <w:noProof/>
          <w:lang w:val="ka-GE"/>
        </w:rPr>
        <w:t>ინახება არა უმეტეს 25°C ტემპერატურაზე.</w:t>
      </w:r>
    </w:p>
    <w:p w14:paraId="7532E315" w14:textId="77777777" w:rsidR="00BF2E7C" w:rsidRPr="00485554" w:rsidRDefault="00BF2E7C" w:rsidP="00BF2E7C">
      <w:pPr>
        <w:pStyle w:val="P68B1DB1-Normal4"/>
        <w:jc w:val="both"/>
        <w:rPr>
          <w:noProof/>
          <w:lang w:val="ka-GE"/>
        </w:rPr>
      </w:pPr>
      <w:r w:rsidRPr="00485554">
        <w:rPr>
          <w:noProof/>
          <w:lang w:val="ka-GE"/>
        </w:rPr>
        <w:t>ინახება ბავშვებისათვის მიუწვდომელ ადგილას!</w:t>
      </w:r>
    </w:p>
    <w:p w14:paraId="1E4FDF57" w14:textId="77777777" w:rsidR="00BF2E7C" w:rsidRPr="00485554" w:rsidRDefault="00BF2E7C">
      <w:pPr>
        <w:pStyle w:val="P68B1DB1-Normal4"/>
        <w:jc w:val="both"/>
        <w:rPr>
          <w:noProof/>
          <w:lang w:val="ka-GE"/>
        </w:rPr>
      </w:pPr>
    </w:p>
    <w:p w14:paraId="5BD3F892" w14:textId="3F5F298F" w:rsidR="00BF2E7C" w:rsidRPr="00485554" w:rsidRDefault="00DF5F38" w:rsidP="00BF2E7C">
      <w:pPr>
        <w:pStyle w:val="P68B1DB1-Normal3"/>
        <w:jc w:val="both"/>
        <w:rPr>
          <w:noProof/>
          <w:lang w:val="ka-GE"/>
        </w:rPr>
      </w:pPr>
      <w:r w:rsidRPr="00485554">
        <w:rPr>
          <w:noProof/>
          <w:lang w:val="ka-GE"/>
        </w:rPr>
        <w:t>შეფუთვის ტიპი და შიგთავსი</w:t>
      </w:r>
    </w:p>
    <w:p w14:paraId="6DF3D6C6" w14:textId="7CDBAEF7" w:rsidR="00BF2E7C" w:rsidRPr="00485554" w:rsidRDefault="00BF2E7C" w:rsidP="00BF2E7C">
      <w:pPr>
        <w:pStyle w:val="P68B1DB1-19"/>
        <w:spacing w:after="0" w:line="240" w:lineRule="auto"/>
        <w:ind w:left="0"/>
        <w:jc w:val="both"/>
        <w:rPr>
          <w:noProof/>
          <w:lang w:val="ka-GE"/>
        </w:rPr>
      </w:pPr>
      <w:r w:rsidRPr="00485554">
        <w:rPr>
          <w:noProof/>
          <w:lang w:val="ka-GE"/>
        </w:rPr>
        <w:t>სპრეი ყელისათვის, 30 მლ ყვითელი ფერის მინის ფლაკონში მექანიკური გამფრქვევით.</w:t>
      </w:r>
    </w:p>
    <w:p w14:paraId="3E834CB0" w14:textId="77777777" w:rsidR="00BF2E7C" w:rsidRPr="00485554" w:rsidRDefault="00BF2E7C" w:rsidP="00BF2E7C">
      <w:pPr>
        <w:pStyle w:val="P68B1DB1-Normal4"/>
        <w:jc w:val="both"/>
        <w:rPr>
          <w:noProof/>
          <w:lang w:val="ka-GE"/>
        </w:rPr>
      </w:pPr>
      <w:r w:rsidRPr="00485554">
        <w:rPr>
          <w:noProof/>
          <w:lang w:val="ka-GE"/>
        </w:rPr>
        <w:t>1 ფლაკონი სამედიცინო გამოყენების ინსტრუქციასთან ერთად მოთავსებულია მუყაოს კოლოფში.</w:t>
      </w:r>
    </w:p>
    <w:p w14:paraId="513CE8D5" w14:textId="28673C84" w:rsidR="00BF2E7C" w:rsidRPr="00485554" w:rsidRDefault="00BF2E7C" w:rsidP="00BF2E7C">
      <w:pPr>
        <w:jc w:val="both"/>
        <w:rPr>
          <w:rFonts w:ascii="Sylfaen" w:hAnsi="Sylfaen"/>
          <w:noProof/>
          <w:lang w:val="ka-GE"/>
        </w:rPr>
      </w:pPr>
    </w:p>
    <w:p w14:paraId="00B653E6" w14:textId="77777777" w:rsidR="00DF5F38" w:rsidRPr="00485554" w:rsidRDefault="00DF5F38" w:rsidP="00DF5F38">
      <w:pPr>
        <w:jc w:val="both"/>
        <w:rPr>
          <w:rFonts w:ascii="Sylfaen" w:hAnsi="Sylfaen"/>
          <w:i/>
          <w:noProof/>
          <w:szCs w:val="24"/>
          <w:lang w:val="ka-GE"/>
        </w:rPr>
      </w:pPr>
      <w:r w:rsidRPr="00485554">
        <w:rPr>
          <w:rFonts w:ascii="Sylfaen" w:hAnsi="Sylfaen"/>
          <w:i/>
          <w:noProof/>
          <w:szCs w:val="24"/>
          <w:lang w:val="ka-GE"/>
        </w:rPr>
        <w:t>სიფრთხილის განსაკუთრებული ზომები უტილიზაციის და სხვა</w:t>
      </w:r>
      <w:r w:rsidRPr="00485554">
        <w:rPr>
          <w:rFonts w:ascii="Sylfaen" w:hAnsi="Sylfaen"/>
          <w:noProof/>
          <w:szCs w:val="24"/>
          <w:lang w:val="ka-GE"/>
        </w:rPr>
        <w:t xml:space="preserve"> </w:t>
      </w:r>
      <w:r w:rsidRPr="00485554">
        <w:rPr>
          <w:rFonts w:ascii="Sylfaen" w:hAnsi="Sylfaen"/>
          <w:i/>
          <w:noProof/>
          <w:szCs w:val="24"/>
          <w:lang w:val="ka-GE"/>
        </w:rPr>
        <w:t>სამუშაოების შესრულებისას</w:t>
      </w:r>
    </w:p>
    <w:p w14:paraId="6DBD5D9B" w14:textId="6F9A46AB" w:rsidR="00DF5F38" w:rsidRPr="00485554" w:rsidRDefault="00DF5F38" w:rsidP="00DF5F38">
      <w:pPr>
        <w:jc w:val="both"/>
        <w:rPr>
          <w:rFonts w:ascii="Sylfaen" w:hAnsi="Sylfaen"/>
          <w:iCs/>
          <w:noProof/>
          <w:szCs w:val="24"/>
          <w:lang w:val="ka-GE"/>
        </w:rPr>
      </w:pPr>
      <w:r w:rsidRPr="00485554">
        <w:rPr>
          <w:rFonts w:ascii="Sylfaen" w:hAnsi="Sylfaen"/>
          <w:iCs/>
          <w:noProof/>
          <w:szCs w:val="24"/>
          <w:lang w:val="ka-GE"/>
        </w:rPr>
        <w:t>ნებისმიერი გამოუყენებელი პროდუქტის უნდა განადგურდეს ადგილობრივი მოთხოვნების შესაბამისად.</w:t>
      </w:r>
    </w:p>
    <w:p w14:paraId="1B896361" w14:textId="77777777" w:rsidR="00DF5F38" w:rsidRPr="00485554" w:rsidRDefault="00DF5F38" w:rsidP="00BF2E7C">
      <w:pPr>
        <w:jc w:val="both"/>
        <w:rPr>
          <w:rFonts w:ascii="Sylfaen" w:hAnsi="Sylfaen"/>
          <w:noProof/>
          <w:lang w:val="ka-GE"/>
        </w:rPr>
      </w:pPr>
    </w:p>
    <w:p w14:paraId="5D5B6ECF" w14:textId="77777777" w:rsidR="00485554" w:rsidRPr="00485554" w:rsidRDefault="00485554" w:rsidP="00485554">
      <w:pPr>
        <w:jc w:val="both"/>
        <w:rPr>
          <w:rFonts w:ascii="Sylfaen" w:hAnsi="Sylfaen"/>
          <w:i/>
          <w:noProof/>
          <w:lang w:val="ka-GE"/>
        </w:rPr>
      </w:pPr>
      <w:r w:rsidRPr="00485554">
        <w:rPr>
          <w:rFonts w:ascii="Sylfaen" w:hAnsi="Sylfaen"/>
          <w:i/>
          <w:noProof/>
          <w:lang w:val="ka-GE"/>
        </w:rPr>
        <w:t>გაცემის წესი:</w:t>
      </w:r>
      <w:r w:rsidRPr="00485554">
        <w:rPr>
          <w:rFonts w:ascii="Sylfaen" w:hAnsi="Sylfaen"/>
          <w:i/>
          <w:noProof/>
          <w:lang w:val="ka-GE"/>
        </w:rPr>
        <w:tab/>
      </w:r>
      <w:r w:rsidRPr="00485554">
        <w:rPr>
          <w:rFonts w:ascii="Sylfaen" w:hAnsi="Sylfaen"/>
          <w:i/>
          <w:noProof/>
          <w:lang w:val="ka-GE"/>
        </w:rPr>
        <w:tab/>
      </w:r>
      <w:r w:rsidRPr="00485554">
        <w:rPr>
          <w:rFonts w:ascii="Sylfaen" w:hAnsi="Sylfaen"/>
          <w:i/>
          <w:noProof/>
          <w:lang w:val="ka-GE"/>
        </w:rPr>
        <w:tab/>
      </w:r>
    </w:p>
    <w:p w14:paraId="37E4A65E" w14:textId="17B6DD0F" w:rsidR="00BF2E7C" w:rsidRDefault="00485554" w:rsidP="00485554">
      <w:pPr>
        <w:jc w:val="both"/>
        <w:rPr>
          <w:rFonts w:ascii="Sylfaen" w:hAnsi="Sylfaen"/>
          <w:i/>
          <w:noProof/>
          <w:lang w:val="ka-GE"/>
        </w:rPr>
      </w:pPr>
      <w:r w:rsidRPr="00485554">
        <w:rPr>
          <w:rFonts w:ascii="Sylfaen" w:hAnsi="Sylfaen"/>
          <w:i/>
          <w:noProof/>
          <w:lang w:val="ka-GE"/>
        </w:rPr>
        <w:t>ფარმაცევტული პროდუქტის ჯგუფი III, გაიცემა რეცეპტის გარეშე</w:t>
      </w:r>
    </w:p>
    <w:p w14:paraId="2B8E7607" w14:textId="77777777" w:rsidR="00485554" w:rsidRPr="00485554" w:rsidRDefault="00485554" w:rsidP="00485554">
      <w:pPr>
        <w:jc w:val="both"/>
        <w:rPr>
          <w:rFonts w:ascii="Sylfaen" w:hAnsi="Sylfaen"/>
          <w:noProof/>
          <w:lang w:val="ka-GE"/>
        </w:rPr>
      </w:pPr>
    </w:p>
    <w:p w14:paraId="59CF3D16" w14:textId="77777777" w:rsidR="00BF2E7C" w:rsidRPr="00485554" w:rsidRDefault="00BF2E7C" w:rsidP="00BF2E7C">
      <w:pPr>
        <w:pStyle w:val="P68B1DB1-Normal3"/>
        <w:jc w:val="both"/>
        <w:rPr>
          <w:noProof/>
          <w:lang w:val="ka-GE"/>
        </w:rPr>
      </w:pPr>
      <w:r w:rsidRPr="00485554">
        <w:rPr>
          <w:noProof/>
          <w:lang w:val="ka-GE"/>
        </w:rPr>
        <w:t>წარმოებულია</w:t>
      </w:r>
    </w:p>
    <w:p w14:paraId="7E676621" w14:textId="70439F6A" w:rsidR="00BF2E7C" w:rsidRPr="00485554" w:rsidRDefault="00BF2E7C" w:rsidP="00BF2E7C">
      <w:pPr>
        <w:pStyle w:val="P68B1DB1-Normal2"/>
        <w:jc w:val="both"/>
        <w:rPr>
          <w:noProof/>
          <w:lang w:val="ka-GE"/>
        </w:rPr>
      </w:pPr>
      <w:r w:rsidRPr="00485554">
        <w:rPr>
          <w:noProof/>
          <w:lang w:val="ka-GE"/>
        </w:rPr>
        <w:t>,,ვორლდ მედიცინ ილაჩ სან. ვე ტი</w:t>
      </w:r>
      <w:r w:rsidR="00DF5F38" w:rsidRPr="00485554">
        <w:rPr>
          <w:noProof/>
          <w:lang w:val="ka-GE"/>
        </w:rPr>
        <w:t>ჯ</w:t>
      </w:r>
      <w:r w:rsidRPr="00485554">
        <w:rPr>
          <w:noProof/>
          <w:lang w:val="ka-GE"/>
        </w:rPr>
        <w:t>. ა.შ.’’-ს მიერ, თურქეთი</w:t>
      </w:r>
    </w:p>
    <w:p w14:paraId="5FC60AD4" w14:textId="77777777" w:rsidR="00BF2E7C" w:rsidRPr="00485554" w:rsidRDefault="00BF2E7C" w:rsidP="00BF2E7C">
      <w:pPr>
        <w:pStyle w:val="P68B1DB1-Normal4"/>
        <w:jc w:val="both"/>
        <w:rPr>
          <w:noProof/>
          <w:lang w:val="ka-GE"/>
        </w:rPr>
      </w:pPr>
      <w:r w:rsidRPr="00485554">
        <w:rPr>
          <w:noProof/>
          <w:lang w:val="ka-GE"/>
        </w:rPr>
        <w:t>(15 თემუზ მაჰ. ჯამი იოლუ ჯად. №50 გიუნეშლი ბაგჯილარ/სტამბოლი)</w:t>
      </w:r>
    </w:p>
    <w:p w14:paraId="4B9A572F" w14:textId="77777777" w:rsidR="00BF2E7C" w:rsidRPr="00485554" w:rsidRDefault="00BF2E7C" w:rsidP="00BF2E7C">
      <w:pPr>
        <w:pStyle w:val="P68B1DB1-Normal2"/>
        <w:jc w:val="both"/>
        <w:rPr>
          <w:noProof/>
          <w:lang w:val="ka-GE"/>
        </w:rPr>
      </w:pPr>
      <w:r w:rsidRPr="00485554">
        <w:rPr>
          <w:noProof/>
          <w:lang w:val="ka-GE"/>
        </w:rPr>
        <w:t>"WORLD MEDICINE İLAÇ SAN. VE TİC. A.Ş.", TURKEY</w:t>
      </w:r>
    </w:p>
    <w:p w14:paraId="7B0F7CB0" w14:textId="77777777" w:rsidR="00BF2E7C" w:rsidRPr="00485554" w:rsidRDefault="00BF2E7C" w:rsidP="00BF2E7C">
      <w:pPr>
        <w:pStyle w:val="P68B1DB1-Normal4"/>
        <w:jc w:val="both"/>
        <w:rPr>
          <w:noProof/>
          <w:lang w:val="ka-GE"/>
        </w:rPr>
      </w:pPr>
      <w:r w:rsidRPr="00485554">
        <w:rPr>
          <w:noProof/>
          <w:lang w:val="ka-GE"/>
        </w:rPr>
        <w:t>(15 Temmuz Mah. Cami Yolu Cad. No: 50 Güneşli Bağcılar / İstanbul).</w:t>
      </w:r>
    </w:p>
    <w:p w14:paraId="24D35E43" w14:textId="77777777" w:rsidR="00BF2E7C" w:rsidRPr="00485554" w:rsidRDefault="00BF2E7C">
      <w:pPr>
        <w:pStyle w:val="P68B1DB1-Normal4"/>
        <w:jc w:val="both"/>
        <w:rPr>
          <w:noProof/>
          <w:lang w:val="ka-GE"/>
        </w:rPr>
      </w:pPr>
    </w:p>
    <w:sectPr w:rsidR="00BF2E7C" w:rsidRPr="00485554" w:rsidSect="00935CAC">
      <w:pgSz w:w="11906" w:h="16838"/>
      <w:pgMar w:top="720" w:right="656" w:bottom="5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CE0C0" w14:textId="77777777" w:rsidR="00B478A8" w:rsidRDefault="00B478A8">
      <w:r>
        <w:separator/>
      </w:r>
    </w:p>
  </w:endnote>
  <w:endnote w:type="continuationSeparator" w:id="0">
    <w:p w14:paraId="04B93BB3" w14:textId="77777777" w:rsidR="00B478A8" w:rsidRDefault="00B4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EA60D" w14:textId="77777777" w:rsidR="00B478A8" w:rsidRDefault="00B478A8">
      <w:r>
        <w:separator/>
      </w:r>
    </w:p>
  </w:footnote>
  <w:footnote w:type="continuationSeparator" w:id="0">
    <w:p w14:paraId="1F024098" w14:textId="77777777" w:rsidR="00B478A8" w:rsidRDefault="00B478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258B6"/>
    <w:multiLevelType w:val="hybridMultilevel"/>
    <w:tmpl w:val="C21AF2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56D2241"/>
    <w:multiLevelType w:val="hybridMultilevel"/>
    <w:tmpl w:val="AB4E7ED8"/>
    <w:lvl w:ilvl="0" w:tplc="C3BEF4C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25B4FD4"/>
    <w:multiLevelType w:val="hybridMultilevel"/>
    <w:tmpl w:val="8D30ED3A"/>
    <w:lvl w:ilvl="0" w:tplc="C3BEF4C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371423370">
    <w:abstractNumId w:val="1"/>
  </w:num>
  <w:num w:numId="2" w16cid:durableId="1201941988">
    <w:abstractNumId w:val="2"/>
  </w:num>
  <w:num w:numId="3" w16cid:durableId="478158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4BCB"/>
    <w:rsid w:val="0000297A"/>
    <w:rsid w:val="00006C7F"/>
    <w:rsid w:val="00030B64"/>
    <w:rsid w:val="0004481D"/>
    <w:rsid w:val="00053F57"/>
    <w:rsid w:val="00054BF8"/>
    <w:rsid w:val="00060D93"/>
    <w:rsid w:val="000772F5"/>
    <w:rsid w:val="0009310A"/>
    <w:rsid w:val="000A093F"/>
    <w:rsid w:val="000A1293"/>
    <w:rsid w:val="000A37B1"/>
    <w:rsid w:val="000A385A"/>
    <w:rsid w:val="000B5A67"/>
    <w:rsid w:val="000B6A8B"/>
    <w:rsid w:val="000D1328"/>
    <w:rsid w:val="000E6D2C"/>
    <w:rsid w:val="000F0BFE"/>
    <w:rsid w:val="000F3F78"/>
    <w:rsid w:val="000F6E3A"/>
    <w:rsid w:val="00101B04"/>
    <w:rsid w:val="0012175A"/>
    <w:rsid w:val="001349B7"/>
    <w:rsid w:val="001417D6"/>
    <w:rsid w:val="00150283"/>
    <w:rsid w:val="00160A3D"/>
    <w:rsid w:val="001776F1"/>
    <w:rsid w:val="00177C18"/>
    <w:rsid w:val="00180B5D"/>
    <w:rsid w:val="001841A5"/>
    <w:rsid w:val="0019194E"/>
    <w:rsid w:val="00194E56"/>
    <w:rsid w:val="001A1285"/>
    <w:rsid w:val="001A3C08"/>
    <w:rsid w:val="001A5773"/>
    <w:rsid w:val="001A6AA5"/>
    <w:rsid w:val="001B0BC3"/>
    <w:rsid w:val="001C5FF3"/>
    <w:rsid w:val="00226AF7"/>
    <w:rsid w:val="0024154D"/>
    <w:rsid w:val="00274DC3"/>
    <w:rsid w:val="0028327B"/>
    <w:rsid w:val="00294A30"/>
    <w:rsid w:val="002A4E76"/>
    <w:rsid w:val="002B2174"/>
    <w:rsid w:val="002C015E"/>
    <w:rsid w:val="002C5B54"/>
    <w:rsid w:val="002C74DF"/>
    <w:rsid w:val="002F167F"/>
    <w:rsid w:val="0030572B"/>
    <w:rsid w:val="00312C7B"/>
    <w:rsid w:val="00321424"/>
    <w:rsid w:val="00327A38"/>
    <w:rsid w:val="003479A6"/>
    <w:rsid w:val="00372CF7"/>
    <w:rsid w:val="00376E2E"/>
    <w:rsid w:val="0038075A"/>
    <w:rsid w:val="0038438E"/>
    <w:rsid w:val="0039133D"/>
    <w:rsid w:val="00392417"/>
    <w:rsid w:val="00393ED6"/>
    <w:rsid w:val="003B4463"/>
    <w:rsid w:val="003B7415"/>
    <w:rsid w:val="003C0E7A"/>
    <w:rsid w:val="003E2711"/>
    <w:rsid w:val="003E68F9"/>
    <w:rsid w:val="003F070C"/>
    <w:rsid w:val="00410E4E"/>
    <w:rsid w:val="00456D6D"/>
    <w:rsid w:val="0046342B"/>
    <w:rsid w:val="00466C59"/>
    <w:rsid w:val="004757D7"/>
    <w:rsid w:val="004779CF"/>
    <w:rsid w:val="00480952"/>
    <w:rsid w:val="00485554"/>
    <w:rsid w:val="00487896"/>
    <w:rsid w:val="004A3A08"/>
    <w:rsid w:val="004D2A8A"/>
    <w:rsid w:val="004D7C96"/>
    <w:rsid w:val="004F0BC5"/>
    <w:rsid w:val="005148B0"/>
    <w:rsid w:val="00521E3D"/>
    <w:rsid w:val="005261F6"/>
    <w:rsid w:val="00530D7A"/>
    <w:rsid w:val="005341BD"/>
    <w:rsid w:val="00550743"/>
    <w:rsid w:val="00554194"/>
    <w:rsid w:val="00556512"/>
    <w:rsid w:val="00571CEB"/>
    <w:rsid w:val="00576310"/>
    <w:rsid w:val="00584306"/>
    <w:rsid w:val="00590216"/>
    <w:rsid w:val="00590388"/>
    <w:rsid w:val="005F0179"/>
    <w:rsid w:val="00600BA2"/>
    <w:rsid w:val="00612A8F"/>
    <w:rsid w:val="0061376B"/>
    <w:rsid w:val="006354F7"/>
    <w:rsid w:val="006369EB"/>
    <w:rsid w:val="00654CEB"/>
    <w:rsid w:val="0066227E"/>
    <w:rsid w:val="006721AD"/>
    <w:rsid w:val="00682E20"/>
    <w:rsid w:val="00695C51"/>
    <w:rsid w:val="006A421E"/>
    <w:rsid w:val="006C63CA"/>
    <w:rsid w:val="006D3AAE"/>
    <w:rsid w:val="006E252A"/>
    <w:rsid w:val="006F6F5C"/>
    <w:rsid w:val="007028BD"/>
    <w:rsid w:val="0071085D"/>
    <w:rsid w:val="00712831"/>
    <w:rsid w:val="00714E2D"/>
    <w:rsid w:val="00743A5B"/>
    <w:rsid w:val="00743DE8"/>
    <w:rsid w:val="007448B8"/>
    <w:rsid w:val="00752753"/>
    <w:rsid w:val="00752803"/>
    <w:rsid w:val="007666F9"/>
    <w:rsid w:val="00771486"/>
    <w:rsid w:val="00794228"/>
    <w:rsid w:val="00797BA0"/>
    <w:rsid w:val="007A2A74"/>
    <w:rsid w:val="007A6F2A"/>
    <w:rsid w:val="007B52F7"/>
    <w:rsid w:val="007B6CC4"/>
    <w:rsid w:val="007F045A"/>
    <w:rsid w:val="00816D07"/>
    <w:rsid w:val="008241DA"/>
    <w:rsid w:val="008539F6"/>
    <w:rsid w:val="00860B9D"/>
    <w:rsid w:val="00861D53"/>
    <w:rsid w:val="0086560A"/>
    <w:rsid w:val="00865942"/>
    <w:rsid w:val="00865B0D"/>
    <w:rsid w:val="00870579"/>
    <w:rsid w:val="0088648D"/>
    <w:rsid w:val="00892434"/>
    <w:rsid w:val="00892E86"/>
    <w:rsid w:val="00894E37"/>
    <w:rsid w:val="00897BB0"/>
    <w:rsid w:val="008B48CD"/>
    <w:rsid w:val="008C047F"/>
    <w:rsid w:val="008C3311"/>
    <w:rsid w:val="008E4167"/>
    <w:rsid w:val="008E5A8D"/>
    <w:rsid w:val="008F3428"/>
    <w:rsid w:val="008F6AD1"/>
    <w:rsid w:val="00900082"/>
    <w:rsid w:val="00900902"/>
    <w:rsid w:val="0090701F"/>
    <w:rsid w:val="00910521"/>
    <w:rsid w:val="0092339E"/>
    <w:rsid w:val="0092728A"/>
    <w:rsid w:val="00935CAC"/>
    <w:rsid w:val="00945B06"/>
    <w:rsid w:val="00950811"/>
    <w:rsid w:val="009510AA"/>
    <w:rsid w:val="009605DB"/>
    <w:rsid w:val="00960B28"/>
    <w:rsid w:val="00971E5A"/>
    <w:rsid w:val="0097742B"/>
    <w:rsid w:val="00980D7F"/>
    <w:rsid w:val="009817B7"/>
    <w:rsid w:val="009945FE"/>
    <w:rsid w:val="009B224A"/>
    <w:rsid w:val="009C04A0"/>
    <w:rsid w:val="009C1075"/>
    <w:rsid w:val="00A0783D"/>
    <w:rsid w:val="00A10B94"/>
    <w:rsid w:val="00A14E44"/>
    <w:rsid w:val="00A174F3"/>
    <w:rsid w:val="00A20CDC"/>
    <w:rsid w:val="00A22AC6"/>
    <w:rsid w:val="00A25737"/>
    <w:rsid w:val="00A452C5"/>
    <w:rsid w:val="00A517BD"/>
    <w:rsid w:val="00A64DA9"/>
    <w:rsid w:val="00A700E1"/>
    <w:rsid w:val="00A8645C"/>
    <w:rsid w:val="00A9220E"/>
    <w:rsid w:val="00AB442D"/>
    <w:rsid w:val="00AC42B5"/>
    <w:rsid w:val="00AC4774"/>
    <w:rsid w:val="00AD1A8C"/>
    <w:rsid w:val="00AD6683"/>
    <w:rsid w:val="00AE0244"/>
    <w:rsid w:val="00AE2F98"/>
    <w:rsid w:val="00AF1A32"/>
    <w:rsid w:val="00B35E82"/>
    <w:rsid w:val="00B37B78"/>
    <w:rsid w:val="00B4472C"/>
    <w:rsid w:val="00B478A8"/>
    <w:rsid w:val="00B50A7C"/>
    <w:rsid w:val="00B538F9"/>
    <w:rsid w:val="00B56093"/>
    <w:rsid w:val="00B610A4"/>
    <w:rsid w:val="00B62ABC"/>
    <w:rsid w:val="00B647F7"/>
    <w:rsid w:val="00B64AC4"/>
    <w:rsid w:val="00B7319B"/>
    <w:rsid w:val="00B852A0"/>
    <w:rsid w:val="00B9040C"/>
    <w:rsid w:val="00B909D2"/>
    <w:rsid w:val="00BB501A"/>
    <w:rsid w:val="00BB5912"/>
    <w:rsid w:val="00BC4656"/>
    <w:rsid w:val="00BC74AC"/>
    <w:rsid w:val="00BD02F2"/>
    <w:rsid w:val="00BF2E7C"/>
    <w:rsid w:val="00C01CEE"/>
    <w:rsid w:val="00C01DCB"/>
    <w:rsid w:val="00C05739"/>
    <w:rsid w:val="00C10004"/>
    <w:rsid w:val="00C17261"/>
    <w:rsid w:val="00C252B2"/>
    <w:rsid w:val="00C322B8"/>
    <w:rsid w:val="00C40217"/>
    <w:rsid w:val="00C40767"/>
    <w:rsid w:val="00C44147"/>
    <w:rsid w:val="00C6052E"/>
    <w:rsid w:val="00C66DDB"/>
    <w:rsid w:val="00C7780A"/>
    <w:rsid w:val="00C77C03"/>
    <w:rsid w:val="00CB1014"/>
    <w:rsid w:val="00CB757B"/>
    <w:rsid w:val="00CC1468"/>
    <w:rsid w:val="00CC40AE"/>
    <w:rsid w:val="00CD4E79"/>
    <w:rsid w:val="00CD6A43"/>
    <w:rsid w:val="00CE1BE1"/>
    <w:rsid w:val="00CE2AD9"/>
    <w:rsid w:val="00CE7696"/>
    <w:rsid w:val="00CF14EF"/>
    <w:rsid w:val="00D117DF"/>
    <w:rsid w:val="00D205FE"/>
    <w:rsid w:val="00D2400A"/>
    <w:rsid w:val="00D2429D"/>
    <w:rsid w:val="00D25D09"/>
    <w:rsid w:val="00D36C48"/>
    <w:rsid w:val="00D63C79"/>
    <w:rsid w:val="00D8630E"/>
    <w:rsid w:val="00D871DB"/>
    <w:rsid w:val="00DC41C9"/>
    <w:rsid w:val="00DD2A1A"/>
    <w:rsid w:val="00DF5F38"/>
    <w:rsid w:val="00E1166B"/>
    <w:rsid w:val="00E13645"/>
    <w:rsid w:val="00E263E3"/>
    <w:rsid w:val="00E5333B"/>
    <w:rsid w:val="00E5505E"/>
    <w:rsid w:val="00E7068E"/>
    <w:rsid w:val="00E773EE"/>
    <w:rsid w:val="00E84E51"/>
    <w:rsid w:val="00E93C05"/>
    <w:rsid w:val="00E93C28"/>
    <w:rsid w:val="00EB224C"/>
    <w:rsid w:val="00EB49D5"/>
    <w:rsid w:val="00EC2FF9"/>
    <w:rsid w:val="00ED7609"/>
    <w:rsid w:val="00ED7A66"/>
    <w:rsid w:val="00EE07FF"/>
    <w:rsid w:val="00F226CE"/>
    <w:rsid w:val="00F3127E"/>
    <w:rsid w:val="00F453C0"/>
    <w:rsid w:val="00F4614E"/>
    <w:rsid w:val="00F56D54"/>
    <w:rsid w:val="00F72E57"/>
    <w:rsid w:val="00F74BCB"/>
    <w:rsid w:val="00FA7F0F"/>
    <w:rsid w:val="00FB0134"/>
    <w:rsid w:val="00FB2821"/>
    <w:rsid w:val="00FB4A8B"/>
    <w:rsid w:val="00FC1B7E"/>
    <w:rsid w:val="00FC3749"/>
    <w:rsid w:val="00FD66E8"/>
    <w:rsid w:val="00FE12AE"/>
    <w:rsid w:val="00FE23F1"/>
    <w:rsid w:val="00FF0A78"/>
    <w:rsid w:val="00FF3992"/>
    <w:rsid w:val="00FF6E64"/>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B3210"/>
  <w15:docId w15:val="{3970251B-76A3-BA42-9521-DD642A23C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BCB"/>
    <w:pPr>
      <w:spacing w:after="0" w:line="240" w:lineRule="auto"/>
    </w:pPr>
    <w:rPr>
      <w:rFonts w:ascii="Times New Roman" w:eastAsia="Times New Roman" w:hAnsi="Times New Roman" w:cs="Times New Roman"/>
      <w:sz w:val="24"/>
    </w:rPr>
  </w:style>
  <w:style w:type="paragraph" w:styleId="Heading1">
    <w:name w:val="heading 1"/>
    <w:basedOn w:val="Normal"/>
    <w:link w:val="Heading1Char"/>
    <w:uiPriority w:val="9"/>
    <w:qFormat/>
    <w:rsid w:val="00960B28"/>
    <w:pPr>
      <w:spacing w:before="100" w:beforeAutospacing="1" w:after="100" w:afterAutospacing="1"/>
      <w:outlineLvl w:val="0"/>
    </w:pPr>
    <w:rPr>
      <w:b/>
      <w:kern w:val="36"/>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3428"/>
    <w:pPr>
      <w:ind w:left="720"/>
      <w:contextualSpacing/>
    </w:pPr>
  </w:style>
  <w:style w:type="character" w:customStyle="1" w:styleId="ilfuvd">
    <w:name w:val="ilfuvd"/>
    <w:basedOn w:val="DefaultParagraphFont"/>
    <w:rsid w:val="00971E5A"/>
  </w:style>
  <w:style w:type="paragraph" w:styleId="PlainText">
    <w:name w:val="Plain Text"/>
    <w:basedOn w:val="Normal"/>
    <w:link w:val="PlainTextChar"/>
    <w:rsid w:val="00A10B94"/>
    <w:rPr>
      <w:rFonts w:ascii="Courier New" w:hAnsi="Courier New" w:cs="Courier New"/>
      <w:sz w:val="20"/>
    </w:rPr>
  </w:style>
  <w:style w:type="character" w:customStyle="1" w:styleId="PlainTextChar">
    <w:name w:val="Plain Text Char"/>
    <w:basedOn w:val="DefaultParagraphFont"/>
    <w:link w:val="PlainText"/>
    <w:rsid w:val="00A10B94"/>
    <w:rPr>
      <w:rFonts w:ascii="Courier New" w:eastAsia="Times New Roman" w:hAnsi="Courier New" w:cs="Courier New"/>
      <w:sz w:val="20"/>
    </w:rPr>
  </w:style>
  <w:style w:type="table" w:styleId="TableGrid">
    <w:name w:val="Table Grid"/>
    <w:basedOn w:val="TableNormal"/>
    <w:uiPriority w:val="59"/>
    <w:rsid w:val="00D25D09"/>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F72E57"/>
  </w:style>
  <w:style w:type="paragraph" w:styleId="Header">
    <w:name w:val="header"/>
    <w:basedOn w:val="Normal"/>
    <w:link w:val="HeaderChar"/>
    <w:unhideWhenUsed/>
    <w:rsid w:val="002A4E76"/>
    <w:pPr>
      <w:tabs>
        <w:tab w:val="center" w:pos="4677"/>
        <w:tab w:val="right" w:pos="9355"/>
      </w:tabs>
    </w:pPr>
  </w:style>
  <w:style w:type="character" w:customStyle="1" w:styleId="HeaderChar">
    <w:name w:val="Header Char"/>
    <w:basedOn w:val="DefaultParagraphFont"/>
    <w:link w:val="Header"/>
    <w:uiPriority w:val="99"/>
    <w:rsid w:val="002A4E76"/>
    <w:rPr>
      <w:rFonts w:ascii="Times New Roman" w:eastAsia="Times New Roman" w:hAnsi="Times New Roman" w:cs="Times New Roman"/>
      <w:sz w:val="24"/>
    </w:rPr>
  </w:style>
  <w:style w:type="paragraph" w:styleId="Footer">
    <w:name w:val="footer"/>
    <w:basedOn w:val="Normal"/>
    <w:link w:val="FooterChar"/>
    <w:uiPriority w:val="99"/>
    <w:unhideWhenUsed/>
    <w:rsid w:val="002A4E76"/>
    <w:pPr>
      <w:tabs>
        <w:tab w:val="center" w:pos="4677"/>
        <w:tab w:val="right" w:pos="9355"/>
      </w:tabs>
    </w:pPr>
  </w:style>
  <w:style w:type="character" w:customStyle="1" w:styleId="FooterChar">
    <w:name w:val="Footer Char"/>
    <w:basedOn w:val="DefaultParagraphFont"/>
    <w:link w:val="Footer"/>
    <w:uiPriority w:val="99"/>
    <w:rsid w:val="002A4E76"/>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2A4E76"/>
    <w:rPr>
      <w:rFonts w:ascii="Tahoma" w:hAnsi="Tahoma" w:cs="Tahoma"/>
      <w:sz w:val="16"/>
    </w:rPr>
  </w:style>
  <w:style w:type="character" w:customStyle="1" w:styleId="BalloonTextChar">
    <w:name w:val="Balloon Text Char"/>
    <w:basedOn w:val="DefaultParagraphFont"/>
    <w:link w:val="BalloonText"/>
    <w:uiPriority w:val="99"/>
    <w:semiHidden/>
    <w:rsid w:val="002A4E76"/>
    <w:rPr>
      <w:rFonts w:ascii="Tahoma" w:eastAsia="Times New Roman" w:hAnsi="Tahoma" w:cs="Tahoma"/>
      <w:sz w:val="16"/>
    </w:rPr>
  </w:style>
  <w:style w:type="character" w:customStyle="1" w:styleId="Heading1Char">
    <w:name w:val="Heading 1 Char"/>
    <w:basedOn w:val="DefaultParagraphFont"/>
    <w:link w:val="Heading1"/>
    <w:uiPriority w:val="9"/>
    <w:rsid w:val="00960B28"/>
    <w:rPr>
      <w:rFonts w:ascii="Times New Roman" w:eastAsia="Times New Roman" w:hAnsi="Times New Roman" w:cs="Times New Roman"/>
      <w:b/>
      <w:kern w:val="36"/>
      <w:sz w:val="48"/>
    </w:rPr>
  </w:style>
  <w:style w:type="character" w:styleId="Hyperlink">
    <w:name w:val="Hyperlink"/>
    <w:basedOn w:val="DefaultParagraphFont"/>
    <w:uiPriority w:val="99"/>
    <w:semiHidden/>
    <w:unhideWhenUsed/>
    <w:rsid w:val="00960B28"/>
    <w:rPr>
      <w:color w:val="0000FF"/>
      <w:u w:val="single"/>
    </w:rPr>
  </w:style>
  <w:style w:type="character" w:styleId="Emphasis">
    <w:name w:val="Emphasis"/>
    <w:basedOn w:val="DefaultParagraphFont"/>
    <w:uiPriority w:val="20"/>
    <w:qFormat/>
    <w:rsid w:val="007F045A"/>
    <w:rPr>
      <w:i/>
    </w:rPr>
  </w:style>
  <w:style w:type="character" w:customStyle="1" w:styleId="2">
    <w:name w:val="Основной текст (2)_"/>
    <w:link w:val="20"/>
    <w:rsid w:val="007F045A"/>
    <w:rPr>
      <w:rFonts w:ascii="Arial" w:eastAsia="Arial" w:hAnsi="Arial" w:cs="Arial"/>
      <w:sz w:val="11"/>
      <w:shd w:val="clear" w:color="auto" w:fill="FFFFFF"/>
    </w:rPr>
  </w:style>
  <w:style w:type="paragraph" w:customStyle="1" w:styleId="20">
    <w:name w:val="Основной текст (2)"/>
    <w:basedOn w:val="Normal"/>
    <w:link w:val="2"/>
    <w:rsid w:val="007F045A"/>
    <w:pPr>
      <w:widowControl w:val="0"/>
      <w:shd w:val="clear" w:color="auto" w:fill="FFFFFF"/>
      <w:spacing w:line="0" w:lineRule="atLeast"/>
      <w:jc w:val="center"/>
    </w:pPr>
    <w:rPr>
      <w:rFonts w:ascii="Arial" w:eastAsia="Arial" w:hAnsi="Arial" w:cs="Arial"/>
      <w:sz w:val="11"/>
    </w:rPr>
  </w:style>
  <w:style w:type="paragraph" w:styleId="Title">
    <w:name w:val="Title"/>
    <w:basedOn w:val="Normal"/>
    <w:link w:val="TitleChar"/>
    <w:qFormat/>
    <w:rsid w:val="00BB501A"/>
    <w:pPr>
      <w:jc w:val="center"/>
    </w:pPr>
    <w:rPr>
      <w:b/>
      <w:color w:val="000000"/>
      <w:sz w:val="28"/>
    </w:rPr>
  </w:style>
  <w:style w:type="character" w:customStyle="1" w:styleId="TitleChar">
    <w:name w:val="Title Char"/>
    <w:basedOn w:val="DefaultParagraphFont"/>
    <w:link w:val="Title"/>
    <w:rsid w:val="00BB501A"/>
    <w:rPr>
      <w:rFonts w:ascii="Times New Roman" w:eastAsia="Times New Roman" w:hAnsi="Times New Roman" w:cs="Times New Roman"/>
      <w:b/>
      <w:color w:val="000000"/>
      <w:sz w:val="28"/>
    </w:rPr>
  </w:style>
  <w:style w:type="paragraph" w:styleId="NormalWeb">
    <w:name w:val="Normal (Web)"/>
    <w:basedOn w:val="Normal"/>
    <w:uiPriority w:val="99"/>
    <w:unhideWhenUsed/>
    <w:rsid w:val="00BB501A"/>
    <w:pPr>
      <w:spacing w:before="100" w:beforeAutospacing="1" w:after="100" w:afterAutospacing="1"/>
    </w:pPr>
  </w:style>
  <w:style w:type="paragraph" w:customStyle="1" w:styleId="1">
    <w:name w:val="Абзац списка1"/>
    <w:basedOn w:val="Normal"/>
    <w:rsid w:val="00B7319B"/>
    <w:pPr>
      <w:spacing w:after="200" w:line="276" w:lineRule="auto"/>
      <w:ind w:left="720"/>
    </w:pPr>
    <w:rPr>
      <w:rFonts w:ascii="Calibri" w:hAnsi="Calibri" w:cs="Calibri"/>
      <w:sz w:val="22"/>
    </w:rPr>
  </w:style>
  <w:style w:type="paragraph" w:customStyle="1" w:styleId="P68B1DB1-Normal1">
    <w:name w:val="P68B1DB1-Normal1"/>
    <w:basedOn w:val="Normal"/>
    <w:rPr>
      <w:rFonts w:ascii="Sylfaen" w:hAnsi="Sylfaen"/>
      <w:u w:val="single"/>
    </w:rPr>
  </w:style>
  <w:style w:type="paragraph" w:customStyle="1" w:styleId="P68B1DB1-Normal2">
    <w:name w:val="P68B1DB1-Normal2"/>
    <w:basedOn w:val="Normal"/>
    <w:rPr>
      <w:rFonts w:ascii="Sylfaen" w:hAnsi="Sylfaen"/>
      <w:b/>
    </w:rPr>
  </w:style>
  <w:style w:type="paragraph" w:customStyle="1" w:styleId="P68B1DB1-Normal3">
    <w:name w:val="P68B1DB1-Normal3"/>
    <w:basedOn w:val="Normal"/>
    <w:rPr>
      <w:rFonts w:ascii="Sylfaen" w:hAnsi="Sylfaen"/>
      <w:i/>
    </w:rPr>
  </w:style>
  <w:style w:type="paragraph" w:customStyle="1" w:styleId="P68B1DB1-Normal4">
    <w:name w:val="P68B1DB1-Normal4"/>
    <w:basedOn w:val="Normal"/>
    <w:rPr>
      <w:rFonts w:ascii="Sylfaen" w:hAnsi="Sylfaen"/>
    </w:rPr>
  </w:style>
  <w:style w:type="paragraph" w:customStyle="1" w:styleId="P68B1DB1-Normal5">
    <w:name w:val="P68B1DB1-Normal5"/>
    <w:basedOn w:val="Normal"/>
    <w:rPr>
      <w:rFonts w:ascii="Sylfaen" w:hAnsi="Sylfaen"/>
      <w:color w:val="000000"/>
    </w:rPr>
  </w:style>
  <w:style w:type="paragraph" w:customStyle="1" w:styleId="P68B1DB1-Heading16">
    <w:name w:val="P68B1DB1-Heading16"/>
    <w:basedOn w:val="Heading1"/>
    <w:rPr>
      <w:rFonts w:ascii="Sylfaen" w:hAnsi="Sylfaen"/>
      <w:b w:val="0"/>
      <w:sz w:val="24"/>
    </w:rPr>
  </w:style>
  <w:style w:type="paragraph" w:customStyle="1" w:styleId="P68B1DB1-Normal7">
    <w:name w:val="P68B1DB1-Normal7"/>
    <w:basedOn w:val="Normal"/>
    <w:rPr>
      <w:rFonts w:ascii="Sylfaen" w:hAnsi="Sylfaen"/>
      <w:shd w:val="clear" w:color="auto" w:fill="FFFFFF"/>
    </w:rPr>
  </w:style>
  <w:style w:type="paragraph" w:customStyle="1" w:styleId="P68B1DB1-NormalWeb8">
    <w:name w:val="P68B1DB1-NormalWeb8"/>
    <w:basedOn w:val="NormalWeb"/>
    <w:rPr>
      <w:rFonts w:ascii="Sylfaen" w:hAnsi="Sylfaen"/>
    </w:rPr>
  </w:style>
  <w:style w:type="paragraph" w:customStyle="1" w:styleId="P68B1DB1-19">
    <w:name w:val="P68B1DB1-19"/>
    <w:basedOn w:val="1"/>
    <w:rPr>
      <w:rFonts w:ascii="Sylfaen" w:hAnsi="Sylfae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91243">
      <w:bodyDiv w:val="1"/>
      <w:marLeft w:val="0"/>
      <w:marRight w:val="0"/>
      <w:marTop w:val="0"/>
      <w:marBottom w:val="0"/>
      <w:divBdr>
        <w:top w:val="none" w:sz="0" w:space="0" w:color="auto"/>
        <w:left w:val="none" w:sz="0" w:space="0" w:color="auto"/>
        <w:bottom w:val="none" w:sz="0" w:space="0" w:color="auto"/>
        <w:right w:val="none" w:sz="0" w:space="0" w:color="auto"/>
      </w:divBdr>
    </w:div>
    <w:div w:id="133252707">
      <w:bodyDiv w:val="1"/>
      <w:marLeft w:val="0"/>
      <w:marRight w:val="0"/>
      <w:marTop w:val="0"/>
      <w:marBottom w:val="0"/>
      <w:divBdr>
        <w:top w:val="none" w:sz="0" w:space="0" w:color="auto"/>
        <w:left w:val="none" w:sz="0" w:space="0" w:color="auto"/>
        <w:bottom w:val="none" w:sz="0" w:space="0" w:color="auto"/>
        <w:right w:val="none" w:sz="0" w:space="0" w:color="auto"/>
      </w:divBdr>
    </w:div>
    <w:div w:id="136656685">
      <w:bodyDiv w:val="1"/>
      <w:marLeft w:val="0"/>
      <w:marRight w:val="0"/>
      <w:marTop w:val="0"/>
      <w:marBottom w:val="0"/>
      <w:divBdr>
        <w:top w:val="none" w:sz="0" w:space="0" w:color="auto"/>
        <w:left w:val="none" w:sz="0" w:space="0" w:color="auto"/>
        <w:bottom w:val="none" w:sz="0" w:space="0" w:color="auto"/>
        <w:right w:val="none" w:sz="0" w:space="0" w:color="auto"/>
      </w:divBdr>
    </w:div>
    <w:div w:id="183792354">
      <w:bodyDiv w:val="1"/>
      <w:marLeft w:val="0"/>
      <w:marRight w:val="0"/>
      <w:marTop w:val="0"/>
      <w:marBottom w:val="0"/>
      <w:divBdr>
        <w:top w:val="none" w:sz="0" w:space="0" w:color="auto"/>
        <w:left w:val="none" w:sz="0" w:space="0" w:color="auto"/>
        <w:bottom w:val="none" w:sz="0" w:space="0" w:color="auto"/>
        <w:right w:val="none" w:sz="0" w:space="0" w:color="auto"/>
      </w:divBdr>
    </w:div>
    <w:div w:id="192574345">
      <w:bodyDiv w:val="1"/>
      <w:marLeft w:val="0"/>
      <w:marRight w:val="0"/>
      <w:marTop w:val="0"/>
      <w:marBottom w:val="0"/>
      <w:divBdr>
        <w:top w:val="none" w:sz="0" w:space="0" w:color="auto"/>
        <w:left w:val="none" w:sz="0" w:space="0" w:color="auto"/>
        <w:bottom w:val="none" w:sz="0" w:space="0" w:color="auto"/>
        <w:right w:val="none" w:sz="0" w:space="0" w:color="auto"/>
      </w:divBdr>
    </w:div>
    <w:div w:id="216548196">
      <w:bodyDiv w:val="1"/>
      <w:marLeft w:val="0"/>
      <w:marRight w:val="0"/>
      <w:marTop w:val="0"/>
      <w:marBottom w:val="0"/>
      <w:divBdr>
        <w:top w:val="none" w:sz="0" w:space="0" w:color="auto"/>
        <w:left w:val="none" w:sz="0" w:space="0" w:color="auto"/>
        <w:bottom w:val="none" w:sz="0" w:space="0" w:color="auto"/>
        <w:right w:val="none" w:sz="0" w:space="0" w:color="auto"/>
      </w:divBdr>
    </w:div>
    <w:div w:id="246617428">
      <w:bodyDiv w:val="1"/>
      <w:marLeft w:val="0"/>
      <w:marRight w:val="0"/>
      <w:marTop w:val="0"/>
      <w:marBottom w:val="0"/>
      <w:divBdr>
        <w:top w:val="none" w:sz="0" w:space="0" w:color="auto"/>
        <w:left w:val="none" w:sz="0" w:space="0" w:color="auto"/>
        <w:bottom w:val="none" w:sz="0" w:space="0" w:color="auto"/>
        <w:right w:val="none" w:sz="0" w:space="0" w:color="auto"/>
      </w:divBdr>
    </w:div>
    <w:div w:id="294221028">
      <w:bodyDiv w:val="1"/>
      <w:marLeft w:val="0"/>
      <w:marRight w:val="0"/>
      <w:marTop w:val="0"/>
      <w:marBottom w:val="0"/>
      <w:divBdr>
        <w:top w:val="none" w:sz="0" w:space="0" w:color="auto"/>
        <w:left w:val="none" w:sz="0" w:space="0" w:color="auto"/>
        <w:bottom w:val="none" w:sz="0" w:space="0" w:color="auto"/>
        <w:right w:val="none" w:sz="0" w:space="0" w:color="auto"/>
      </w:divBdr>
    </w:div>
    <w:div w:id="304968143">
      <w:bodyDiv w:val="1"/>
      <w:marLeft w:val="0"/>
      <w:marRight w:val="0"/>
      <w:marTop w:val="0"/>
      <w:marBottom w:val="0"/>
      <w:divBdr>
        <w:top w:val="none" w:sz="0" w:space="0" w:color="auto"/>
        <w:left w:val="none" w:sz="0" w:space="0" w:color="auto"/>
        <w:bottom w:val="none" w:sz="0" w:space="0" w:color="auto"/>
        <w:right w:val="none" w:sz="0" w:space="0" w:color="auto"/>
      </w:divBdr>
    </w:div>
    <w:div w:id="310906000">
      <w:bodyDiv w:val="1"/>
      <w:marLeft w:val="0"/>
      <w:marRight w:val="0"/>
      <w:marTop w:val="0"/>
      <w:marBottom w:val="0"/>
      <w:divBdr>
        <w:top w:val="none" w:sz="0" w:space="0" w:color="auto"/>
        <w:left w:val="none" w:sz="0" w:space="0" w:color="auto"/>
        <w:bottom w:val="none" w:sz="0" w:space="0" w:color="auto"/>
        <w:right w:val="none" w:sz="0" w:space="0" w:color="auto"/>
      </w:divBdr>
    </w:div>
    <w:div w:id="363823009">
      <w:bodyDiv w:val="1"/>
      <w:marLeft w:val="0"/>
      <w:marRight w:val="0"/>
      <w:marTop w:val="0"/>
      <w:marBottom w:val="0"/>
      <w:divBdr>
        <w:top w:val="none" w:sz="0" w:space="0" w:color="auto"/>
        <w:left w:val="none" w:sz="0" w:space="0" w:color="auto"/>
        <w:bottom w:val="none" w:sz="0" w:space="0" w:color="auto"/>
        <w:right w:val="none" w:sz="0" w:space="0" w:color="auto"/>
      </w:divBdr>
    </w:div>
    <w:div w:id="394746563">
      <w:bodyDiv w:val="1"/>
      <w:marLeft w:val="0"/>
      <w:marRight w:val="0"/>
      <w:marTop w:val="0"/>
      <w:marBottom w:val="0"/>
      <w:divBdr>
        <w:top w:val="none" w:sz="0" w:space="0" w:color="auto"/>
        <w:left w:val="none" w:sz="0" w:space="0" w:color="auto"/>
        <w:bottom w:val="none" w:sz="0" w:space="0" w:color="auto"/>
        <w:right w:val="none" w:sz="0" w:space="0" w:color="auto"/>
      </w:divBdr>
    </w:div>
    <w:div w:id="414716041">
      <w:bodyDiv w:val="1"/>
      <w:marLeft w:val="0"/>
      <w:marRight w:val="0"/>
      <w:marTop w:val="0"/>
      <w:marBottom w:val="0"/>
      <w:divBdr>
        <w:top w:val="none" w:sz="0" w:space="0" w:color="auto"/>
        <w:left w:val="none" w:sz="0" w:space="0" w:color="auto"/>
        <w:bottom w:val="none" w:sz="0" w:space="0" w:color="auto"/>
        <w:right w:val="none" w:sz="0" w:space="0" w:color="auto"/>
      </w:divBdr>
    </w:div>
    <w:div w:id="457458348">
      <w:bodyDiv w:val="1"/>
      <w:marLeft w:val="0"/>
      <w:marRight w:val="0"/>
      <w:marTop w:val="0"/>
      <w:marBottom w:val="0"/>
      <w:divBdr>
        <w:top w:val="none" w:sz="0" w:space="0" w:color="auto"/>
        <w:left w:val="none" w:sz="0" w:space="0" w:color="auto"/>
        <w:bottom w:val="none" w:sz="0" w:space="0" w:color="auto"/>
        <w:right w:val="none" w:sz="0" w:space="0" w:color="auto"/>
      </w:divBdr>
    </w:div>
    <w:div w:id="463039902">
      <w:bodyDiv w:val="1"/>
      <w:marLeft w:val="0"/>
      <w:marRight w:val="0"/>
      <w:marTop w:val="0"/>
      <w:marBottom w:val="0"/>
      <w:divBdr>
        <w:top w:val="none" w:sz="0" w:space="0" w:color="auto"/>
        <w:left w:val="none" w:sz="0" w:space="0" w:color="auto"/>
        <w:bottom w:val="none" w:sz="0" w:space="0" w:color="auto"/>
        <w:right w:val="none" w:sz="0" w:space="0" w:color="auto"/>
      </w:divBdr>
    </w:div>
    <w:div w:id="543062922">
      <w:bodyDiv w:val="1"/>
      <w:marLeft w:val="0"/>
      <w:marRight w:val="0"/>
      <w:marTop w:val="0"/>
      <w:marBottom w:val="0"/>
      <w:divBdr>
        <w:top w:val="none" w:sz="0" w:space="0" w:color="auto"/>
        <w:left w:val="none" w:sz="0" w:space="0" w:color="auto"/>
        <w:bottom w:val="none" w:sz="0" w:space="0" w:color="auto"/>
        <w:right w:val="none" w:sz="0" w:space="0" w:color="auto"/>
      </w:divBdr>
    </w:div>
    <w:div w:id="599340081">
      <w:bodyDiv w:val="1"/>
      <w:marLeft w:val="0"/>
      <w:marRight w:val="0"/>
      <w:marTop w:val="0"/>
      <w:marBottom w:val="0"/>
      <w:divBdr>
        <w:top w:val="none" w:sz="0" w:space="0" w:color="auto"/>
        <w:left w:val="none" w:sz="0" w:space="0" w:color="auto"/>
        <w:bottom w:val="none" w:sz="0" w:space="0" w:color="auto"/>
        <w:right w:val="none" w:sz="0" w:space="0" w:color="auto"/>
      </w:divBdr>
    </w:div>
    <w:div w:id="608709117">
      <w:bodyDiv w:val="1"/>
      <w:marLeft w:val="0"/>
      <w:marRight w:val="0"/>
      <w:marTop w:val="0"/>
      <w:marBottom w:val="0"/>
      <w:divBdr>
        <w:top w:val="none" w:sz="0" w:space="0" w:color="auto"/>
        <w:left w:val="none" w:sz="0" w:space="0" w:color="auto"/>
        <w:bottom w:val="none" w:sz="0" w:space="0" w:color="auto"/>
        <w:right w:val="none" w:sz="0" w:space="0" w:color="auto"/>
      </w:divBdr>
    </w:div>
    <w:div w:id="637032627">
      <w:bodyDiv w:val="1"/>
      <w:marLeft w:val="0"/>
      <w:marRight w:val="0"/>
      <w:marTop w:val="0"/>
      <w:marBottom w:val="0"/>
      <w:divBdr>
        <w:top w:val="none" w:sz="0" w:space="0" w:color="auto"/>
        <w:left w:val="none" w:sz="0" w:space="0" w:color="auto"/>
        <w:bottom w:val="none" w:sz="0" w:space="0" w:color="auto"/>
        <w:right w:val="none" w:sz="0" w:space="0" w:color="auto"/>
      </w:divBdr>
    </w:div>
    <w:div w:id="653609999">
      <w:bodyDiv w:val="1"/>
      <w:marLeft w:val="0"/>
      <w:marRight w:val="0"/>
      <w:marTop w:val="0"/>
      <w:marBottom w:val="0"/>
      <w:divBdr>
        <w:top w:val="none" w:sz="0" w:space="0" w:color="auto"/>
        <w:left w:val="none" w:sz="0" w:space="0" w:color="auto"/>
        <w:bottom w:val="none" w:sz="0" w:space="0" w:color="auto"/>
        <w:right w:val="none" w:sz="0" w:space="0" w:color="auto"/>
      </w:divBdr>
    </w:div>
    <w:div w:id="725615125">
      <w:bodyDiv w:val="1"/>
      <w:marLeft w:val="0"/>
      <w:marRight w:val="0"/>
      <w:marTop w:val="0"/>
      <w:marBottom w:val="0"/>
      <w:divBdr>
        <w:top w:val="none" w:sz="0" w:space="0" w:color="auto"/>
        <w:left w:val="none" w:sz="0" w:space="0" w:color="auto"/>
        <w:bottom w:val="none" w:sz="0" w:space="0" w:color="auto"/>
        <w:right w:val="none" w:sz="0" w:space="0" w:color="auto"/>
      </w:divBdr>
    </w:div>
    <w:div w:id="769738660">
      <w:bodyDiv w:val="1"/>
      <w:marLeft w:val="0"/>
      <w:marRight w:val="0"/>
      <w:marTop w:val="0"/>
      <w:marBottom w:val="0"/>
      <w:divBdr>
        <w:top w:val="none" w:sz="0" w:space="0" w:color="auto"/>
        <w:left w:val="none" w:sz="0" w:space="0" w:color="auto"/>
        <w:bottom w:val="none" w:sz="0" w:space="0" w:color="auto"/>
        <w:right w:val="none" w:sz="0" w:space="0" w:color="auto"/>
      </w:divBdr>
    </w:div>
    <w:div w:id="787240973">
      <w:bodyDiv w:val="1"/>
      <w:marLeft w:val="0"/>
      <w:marRight w:val="0"/>
      <w:marTop w:val="0"/>
      <w:marBottom w:val="0"/>
      <w:divBdr>
        <w:top w:val="none" w:sz="0" w:space="0" w:color="auto"/>
        <w:left w:val="none" w:sz="0" w:space="0" w:color="auto"/>
        <w:bottom w:val="none" w:sz="0" w:space="0" w:color="auto"/>
        <w:right w:val="none" w:sz="0" w:space="0" w:color="auto"/>
      </w:divBdr>
    </w:div>
    <w:div w:id="870190757">
      <w:bodyDiv w:val="1"/>
      <w:marLeft w:val="0"/>
      <w:marRight w:val="0"/>
      <w:marTop w:val="0"/>
      <w:marBottom w:val="0"/>
      <w:divBdr>
        <w:top w:val="none" w:sz="0" w:space="0" w:color="auto"/>
        <w:left w:val="none" w:sz="0" w:space="0" w:color="auto"/>
        <w:bottom w:val="none" w:sz="0" w:space="0" w:color="auto"/>
        <w:right w:val="none" w:sz="0" w:space="0" w:color="auto"/>
      </w:divBdr>
    </w:div>
    <w:div w:id="903683450">
      <w:bodyDiv w:val="1"/>
      <w:marLeft w:val="0"/>
      <w:marRight w:val="0"/>
      <w:marTop w:val="0"/>
      <w:marBottom w:val="0"/>
      <w:divBdr>
        <w:top w:val="none" w:sz="0" w:space="0" w:color="auto"/>
        <w:left w:val="none" w:sz="0" w:space="0" w:color="auto"/>
        <w:bottom w:val="none" w:sz="0" w:space="0" w:color="auto"/>
        <w:right w:val="none" w:sz="0" w:space="0" w:color="auto"/>
      </w:divBdr>
    </w:div>
    <w:div w:id="922374154">
      <w:bodyDiv w:val="1"/>
      <w:marLeft w:val="0"/>
      <w:marRight w:val="0"/>
      <w:marTop w:val="0"/>
      <w:marBottom w:val="0"/>
      <w:divBdr>
        <w:top w:val="none" w:sz="0" w:space="0" w:color="auto"/>
        <w:left w:val="none" w:sz="0" w:space="0" w:color="auto"/>
        <w:bottom w:val="none" w:sz="0" w:space="0" w:color="auto"/>
        <w:right w:val="none" w:sz="0" w:space="0" w:color="auto"/>
      </w:divBdr>
    </w:div>
    <w:div w:id="932320499">
      <w:bodyDiv w:val="1"/>
      <w:marLeft w:val="0"/>
      <w:marRight w:val="0"/>
      <w:marTop w:val="0"/>
      <w:marBottom w:val="0"/>
      <w:divBdr>
        <w:top w:val="none" w:sz="0" w:space="0" w:color="auto"/>
        <w:left w:val="none" w:sz="0" w:space="0" w:color="auto"/>
        <w:bottom w:val="none" w:sz="0" w:space="0" w:color="auto"/>
        <w:right w:val="none" w:sz="0" w:space="0" w:color="auto"/>
      </w:divBdr>
    </w:div>
    <w:div w:id="951940924">
      <w:bodyDiv w:val="1"/>
      <w:marLeft w:val="0"/>
      <w:marRight w:val="0"/>
      <w:marTop w:val="0"/>
      <w:marBottom w:val="0"/>
      <w:divBdr>
        <w:top w:val="none" w:sz="0" w:space="0" w:color="auto"/>
        <w:left w:val="none" w:sz="0" w:space="0" w:color="auto"/>
        <w:bottom w:val="none" w:sz="0" w:space="0" w:color="auto"/>
        <w:right w:val="none" w:sz="0" w:space="0" w:color="auto"/>
      </w:divBdr>
    </w:div>
    <w:div w:id="962804985">
      <w:bodyDiv w:val="1"/>
      <w:marLeft w:val="0"/>
      <w:marRight w:val="0"/>
      <w:marTop w:val="0"/>
      <w:marBottom w:val="0"/>
      <w:divBdr>
        <w:top w:val="none" w:sz="0" w:space="0" w:color="auto"/>
        <w:left w:val="none" w:sz="0" w:space="0" w:color="auto"/>
        <w:bottom w:val="none" w:sz="0" w:space="0" w:color="auto"/>
        <w:right w:val="none" w:sz="0" w:space="0" w:color="auto"/>
      </w:divBdr>
    </w:div>
    <w:div w:id="988244991">
      <w:bodyDiv w:val="1"/>
      <w:marLeft w:val="0"/>
      <w:marRight w:val="0"/>
      <w:marTop w:val="0"/>
      <w:marBottom w:val="0"/>
      <w:divBdr>
        <w:top w:val="none" w:sz="0" w:space="0" w:color="auto"/>
        <w:left w:val="none" w:sz="0" w:space="0" w:color="auto"/>
        <w:bottom w:val="none" w:sz="0" w:space="0" w:color="auto"/>
        <w:right w:val="none" w:sz="0" w:space="0" w:color="auto"/>
      </w:divBdr>
    </w:div>
    <w:div w:id="1017848570">
      <w:bodyDiv w:val="1"/>
      <w:marLeft w:val="0"/>
      <w:marRight w:val="0"/>
      <w:marTop w:val="0"/>
      <w:marBottom w:val="0"/>
      <w:divBdr>
        <w:top w:val="none" w:sz="0" w:space="0" w:color="auto"/>
        <w:left w:val="none" w:sz="0" w:space="0" w:color="auto"/>
        <w:bottom w:val="none" w:sz="0" w:space="0" w:color="auto"/>
        <w:right w:val="none" w:sz="0" w:space="0" w:color="auto"/>
      </w:divBdr>
    </w:div>
    <w:div w:id="1032876603">
      <w:bodyDiv w:val="1"/>
      <w:marLeft w:val="0"/>
      <w:marRight w:val="0"/>
      <w:marTop w:val="0"/>
      <w:marBottom w:val="0"/>
      <w:divBdr>
        <w:top w:val="none" w:sz="0" w:space="0" w:color="auto"/>
        <w:left w:val="none" w:sz="0" w:space="0" w:color="auto"/>
        <w:bottom w:val="none" w:sz="0" w:space="0" w:color="auto"/>
        <w:right w:val="none" w:sz="0" w:space="0" w:color="auto"/>
      </w:divBdr>
    </w:div>
    <w:div w:id="1150748709">
      <w:bodyDiv w:val="1"/>
      <w:marLeft w:val="0"/>
      <w:marRight w:val="0"/>
      <w:marTop w:val="0"/>
      <w:marBottom w:val="0"/>
      <w:divBdr>
        <w:top w:val="none" w:sz="0" w:space="0" w:color="auto"/>
        <w:left w:val="none" w:sz="0" w:space="0" w:color="auto"/>
        <w:bottom w:val="none" w:sz="0" w:space="0" w:color="auto"/>
        <w:right w:val="none" w:sz="0" w:space="0" w:color="auto"/>
      </w:divBdr>
    </w:div>
    <w:div w:id="1166897944">
      <w:bodyDiv w:val="1"/>
      <w:marLeft w:val="0"/>
      <w:marRight w:val="0"/>
      <w:marTop w:val="0"/>
      <w:marBottom w:val="0"/>
      <w:divBdr>
        <w:top w:val="none" w:sz="0" w:space="0" w:color="auto"/>
        <w:left w:val="none" w:sz="0" w:space="0" w:color="auto"/>
        <w:bottom w:val="none" w:sz="0" w:space="0" w:color="auto"/>
        <w:right w:val="none" w:sz="0" w:space="0" w:color="auto"/>
      </w:divBdr>
    </w:div>
    <w:div w:id="1175533373">
      <w:bodyDiv w:val="1"/>
      <w:marLeft w:val="0"/>
      <w:marRight w:val="0"/>
      <w:marTop w:val="0"/>
      <w:marBottom w:val="0"/>
      <w:divBdr>
        <w:top w:val="none" w:sz="0" w:space="0" w:color="auto"/>
        <w:left w:val="none" w:sz="0" w:space="0" w:color="auto"/>
        <w:bottom w:val="none" w:sz="0" w:space="0" w:color="auto"/>
        <w:right w:val="none" w:sz="0" w:space="0" w:color="auto"/>
      </w:divBdr>
    </w:div>
    <w:div w:id="1181623053">
      <w:bodyDiv w:val="1"/>
      <w:marLeft w:val="0"/>
      <w:marRight w:val="0"/>
      <w:marTop w:val="0"/>
      <w:marBottom w:val="0"/>
      <w:divBdr>
        <w:top w:val="none" w:sz="0" w:space="0" w:color="auto"/>
        <w:left w:val="none" w:sz="0" w:space="0" w:color="auto"/>
        <w:bottom w:val="none" w:sz="0" w:space="0" w:color="auto"/>
        <w:right w:val="none" w:sz="0" w:space="0" w:color="auto"/>
      </w:divBdr>
    </w:div>
    <w:div w:id="1252546867">
      <w:bodyDiv w:val="1"/>
      <w:marLeft w:val="0"/>
      <w:marRight w:val="0"/>
      <w:marTop w:val="0"/>
      <w:marBottom w:val="0"/>
      <w:divBdr>
        <w:top w:val="none" w:sz="0" w:space="0" w:color="auto"/>
        <w:left w:val="none" w:sz="0" w:space="0" w:color="auto"/>
        <w:bottom w:val="none" w:sz="0" w:space="0" w:color="auto"/>
        <w:right w:val="none" w:sz="0" w:space="0" w:color="auto"/>
      </w:divBdr>
    </w:div>
    <w:div w:id="1301420843">
      <w:bodyDiv w:val="1"/>
      <w:marLeft w:val="0"/>
      <w:marRight w:val="0"/>
      <w:marTop w:val="0"/>
      <w:marBottom w:val="0"/>
      <w:divBdr>
        <w:top w:val="none" w:sz="0" w:space="0" w:color="auto"/>
        <w:left w:val="none" w:sz="0" w:space="0" w:color="auto"/>
        <w:bottom w:val="none" w:sz="0" w:space="0" w:color="auto"/>
        <w:right w:val="none" w:sz="0" w:space="0" w:color="auto"/>
      </w:divBdr>
    </w:div>
    <w:div w:id="1319071620">
      <w:bodyDiv w:val="1"/>
      <w:marLeft w:val="0"/>
      <w:marRight w:val="0"/>
      <w:marTop w:val="0"/>
      <w:marBottom w:val="0"/>
      <w:divBdr>
        <w:top w:val="none" w:sz="0" w:space="0" w:color="auto"/>
        <w:left w:val="none" w:sz="0" w:space="0" w:color="auto"/>
        <w:bottom w:val="none" w:sz="0" w:space="0" w:color="auto"/>
        <w:right w:val="none" w:sz="0" w:space="0" w:color="auto"/>
      </w:divBdr>
    </w:div>
    <w:div w:id="1348023993">
      <w:bodyDiv w:val="1"/>
      <w:marLeft w:val="0"/>
      <w:marRight w:val="0"/>
      <w:marTop w:val="0"/>
      <w:marBottom w:val="0"/>
      <w:divBdr>
        <w:top w:val="none" w:sz="0" w:space="0" w:color="auto"/>
        <w:left w:val="none" w:sz="0" w:space="0" w:color="auto"/>
        <w:bottom w:val="none" w:sz="0" w:space="0" w:color="auto"/>
        <w:right w:val="none" w:sz="0" w:space="0" w:color="auto"/>
      </w:divBdr>
    </w:div>
    <w:div w:id="1364137909">
      <w:bodyDiv w:val="1"/>
      <w:marLeft w:val="0"/>
      <w:marRight w:val="0"/>
      <w:marTop w:val="0"/>
      <w:marBottom w:val="0"/>
      <w:divBdr>
        <w:top w:val="none" w:sz="0" w:space="0" w:color="auto"/>
        <w:left w:val="none" w:sz="0" w:space="0" w:color="auto"/>
        <w:bottom w:val="none" w:sz="0" w:space="0" w:color="auto"/>
        <w:right w:val="none" w:sz="0" w:space="0" w:color="auto"/>
      </w:divBdr>
    </w:div>
    <w:div w:id="1373190241">
      <w:bodyDiv w:val="1"/>
      <w:marLeft w:val="0"/>
      <w:marRight w:val="0"/>
      <w:marTop w:val="0"/>
      <w:marBottom w:val="0"/>
      <w:divBdr>
        <w:top w:val="none" w:sz="0" w:space="0" w:color="auto"/>
        <w:left w:val="none" w:sz="0" w:space="0" w:color="auto"/>
        <w:bottom w:val="none" w:sz="0" w:space="0" w:color="auto"/>
        <w:right w:val="none" w:sz="0" w:space="0" w:color="auto"/>
      </w:divBdr>
    </w:div>
    <w:div w:id="1450777087">
      <w:bodyDiv w:val="1"/>
      <w:marLeft w:val="0"/>
      <w:marRight w:val="0"/>
      <w:marTop w:val="0"/>
      <w:marBottom w:val="0"/>
      <w:divBdr>
        <w:top w:val="none" w:sz="0" w:space="0" w:color="auto"/>
        <w:left w:val="none" w:sz="0" w:space="0" w:color="auto"/>
        <w:bottom w:val="none" w:sz="0" w:space="0" w:color="auto"/>
        <w:right w:val="none" w:sz="0" w:space="0" w:color="auto"/>
      </w:divBdr>
    </w:div>
    <w:div w:id="1538930702">
      <w:bodyDiv w:val="1"/>
      <w:marLeft w:val="0"/>
      <w:marRight w:val="0"/>
      <w:marTop w:val="0"/>
      <w:marBottom w:val="0"/>
      <w:divBdr>
        <w:top w:val="none" w:sz="0" w:space="0" w:color="auto"/>
        <w:left w:val="none" w:sz="0" w:space="0" w:color="auto"/>
        <w:bottom w:val="none" w:sz="0" w:space="0" w:color="auto"/>
        <w:right w:val="none" w:sz="0" w:space="0" w:color="auto"/>
      </w:divBdr>
    </w:div>
    <w:div w:id="1565336819">
      <w:bodyDiv w:val="1"/>
      <w:marLeft w:val="0"/>
      <w:marRight w:val="0"/>
      <w:marTop w:val="0"/>
      <w:marBottom w:val="0"/>
      <w:divBdr>
        <w:top w:val="none" w:sz="0" w:space="0" w:color="auto"/>
        <w:left w:val="none" w:sz="0" w:space="0" w:color="auto"/>
        <w:bottom w:val="none" w:sz="0" w:space="0" w:color="auto"/>
        <w:right w:val="none" w:sz="0" w:space="0" w:color="auto"/>
      </w:divBdr>
    </w:div>
    <w:div w:id="1612780877">
      <w:bodyDiv w:val="1"/>
      <w:marLeft w:val="0"/>
      <w:marRight w:val="0"/>
      <w:marTop w:val="0"/>
      <w:marBottom w:val="0"/>
      <w:divBdr>
        <w:top w:val="none" w:sz="0" w:space="0" w:color="auto"/>
        <w:left w:val="none" w:sz="0" w:space="0" w:color="auto"/>
        <w:bottom w:val="none" w:sz="0" w:space="0" w:color="auto"/>
        <w:right w:val="none" w:sz="0" w:space="0" w:color="auto"/>
      </w:divBdr>
    </w:div>
    <w:div w:id="1645741687">
      <w:bodyDiv w:val="1"/>
      <w:marLeft w:val="0"/>
      <w:marRight w:val="0"/>
      <w:marTop w:val="0"/>
      <w:marBottom w:val="0"/>
      <w:divBdr>
        <w:top w:val="none" w:sz="0" w:space="0" w:color="auto"/>
        <w:left w:val="none" w:sz="0" w:space="0" w:color="auto"/>
        <w:bottom w:val="none" w:sz="0" w:space="0" w:color="auto"/>
        <w:right w:val="none" w:sz="0" w:space="0" w:color="auto"/>
      </w:divBdr>
    </w:div>
    <w:div w:id="1778941838">
      <w:bodyDiv w:val="1"/>
      <w:marLeft w:val="0"/>
      <w:marRight w:val="0"/>
      <w:marTop w:val="0"/>
      <w:marBottom w:val="0"/>
      <w:divBdr>
        <w:top w:val="none" w:sz="0" w:space="0" w:color="auto"/>
        <w:left w:val="none" w:sz="0" w:space="0" w:color="auto"/>
        <w:bottom w:val="none" w:sz="0" w:space="0" w:color="auto"/>
        <w:right w:val="none" w:sz="0" w:space="0" w:color="auto"/>
      </w:divBdr>
    </w:div>
    <w:div w:id="1807628583">
      <w:bodyDiv w:val="1"/>
      <w:marLeft w:val="0"/>
      <w:marRight w:val="0"/>
      <w:marTop w:val="0"/>
      <w:marBottom w:val="0"/>
      <w:divBdr>
        <w:top w:val="none" w:sz="0" w:space="0" w:color="auto"/>
        <w:left w:val="none" w:sz="0" w:space="0" w:color="auto"/>
        <w:bottom w:val="none" w:sz="0" w:space="0" w:color="auto"/>
        <w:right w:val="none" w:sz="0" w:space="0" w:color="auto"/>
      </w:divBdr>
    </w:div>
    <w:div w:id="1923755291">
      <w:bodyDiv w:val="1"/>
      <w:marLeft w:val="0"/>
      <w:marRight w:val="0"/>
      <w:marTop w:val="0"/>
      <w:marBottom w:val="0"/>
      <w:divBdr>
        <w:top w:val="none" w:sz="0" w:space="0" w:color="auto"/>
        <w:left w:val="none" w:sz="0" w:space="0" w:color="auto"/>
        <w:bottom w:val="none" w:sz="0" w:space="0" w:color="auto"/>
        <w:right w:val="none" w:sz="0" w:space="0" w:color="auto"/>
      </w:divBdr>
    </w:div>
    <w:div w:id="1971008756">
      <w:bodyDiv w:val="1"/>
      <w:marLeft w:val="0"/>
      <w:marRight w:val="0"/>
      <w:marTop w:val="0"/>
      <w:marBottom w:val="0"/>
      <w:divBdr>
        <w:top w:val="none" w:sz="0" w:space="0" w:color="auto"/>
        <w:left w:val="none" w:sz="0" w:space="0" w:color="auto"/>
        <w:bottom w:val="none" w:sz="0" w:space="0" w:color="auto"/>
        <w:right w:val="none" w:sz="0" w:space="0" w:color="auto"/>
      </w:divBdr>
    </w:div>
    <w:div w:id="1971932744">
      <w:bodyDiv w:val="1"/>
      <w:marLeft w:val="0"/>
      <w:marRight w:val="0"/>
      <w:marTop w:val="0"/>
      <w:marBottom w:val="0"/>
      <w:divBdr>
        <w:top w:val="none" w:sz="0" w:space="0" w:color="auto"/>
        <w:left w:val="none" w:sz="0" w:space="0" w:color="auto"/>
        <w:bottom w:val="none" w:sz="0" w:space="0" w:color="auto"/>
        <w:right w:val="none" w:sz="0" w:space="0" w:color="auto"/>
      </w:divBdr>
    </w:div>
    <w:div w:id="1978954699">
      <w:bodyDiv w:val="1"/>
      <w:marLeft w:val="0"/>
      <w:marRight w:val="0"/>
      <w:marTop w:val="0"/>
      <w:marBottom w:val="0"/>
      <w:divBdr>
        <w:top w:val="none" w:sz="0" w:space="0" w:color="auto"/>
        <w:left w:val="none" w:sz="0" w:space="0" w:color="auto"/>
        <w:bottom w:val="none" w:sz="0" w:space="0" w:color="auto"/>
        <w:right w:val="none" w:sz="0" w:space="0" w:color="auto"/>
      </w:divBdr>
    </w:div>
    <w:div w:id="2076737440">
      <w:bodyDiv w:val="1"/>
      <w:marLeft w:val="0"/>
      <w:marRight w:val="0"/>
      <w:marTop w:val="0"/>
      <w:marBottom w:val="0"/>
      <w:divBdr>
        <w:top w:val="none" w:sz="0" w:space="0" w:color="auto"/>
        <w:left w:val="none" w:sz="0" w:space="0" w:color="auto"/>
        <w:bottom w:val="none" w:sz="0" w:space="0" w:color="auto"/>
        <w:right w:val="none" w:sz="0" w:space="0" w:color="auto"/>
      </w:divBdr>
    </w:div>
    <w:div w:id="2120952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98108A-83EC-4D23-B885-350B9F522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6</Pages>
  <Words>2300</Words>
  <Characters>13116</Characters>
  <Application>Microsoft Office Word</Application>
  <DocSecurity>0</DocSecurity>
  <Lines>109</Lines>
  <Paragraphs>30</Paragraphs>
  <ScaleCrop>false</ScaleCrop>
  <HeadingPairs>
    <vt:vector size="6" baseType="variant">
      <vt:variant>
        <vt:lpstr>Title</vt:lpstr>
      </vt:variant>
      <vt:variant>
        <vt:i4>1</vt:i4>
      </vt:variant>
      <vt:variant>
        <vt:lpstr>Название</vt:lpstr>
      </vt:variant>
      <vt:variant>
        <vt:i4>1</vt:i4>
      </vt:variant>
      <vt:variant>
        <vt:lpstr>Konu Başlığı</vt:lpstr>
      </vt:variant>
      <vt:variant>
        <vt:i4>1</vt:i4>
      </vt:variant>
    </vt:vector>
  </HeadingPairs>
  <TitlesOfParts>
    <vt:vector size="3" baseType="lpstr">
      <vt:lpstr/>
      <vt:lpstr/>
      <vt:lpstr/>
    </vt:vector>
  </TitlesOfParts>
  <Company/>
  <LinksUpToDate>false</LinksUpToDate>
  <CharactersWithSpaces>15386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elena.sharshavina</dc:creator>
  <cp:lastModifiedBy>Temuri Tchumburidze</cp:lastModifiedBy>
  <cp:revision>33</cp:revision>
  <cp:lastPrinted>2019-06-05T19:05:00Z</cp:lastPrinted>
  <dcterms:created xsi:type="dcterms:W3CDTF">2020-02-26T06:36:00Z</dcterms:created>
  <dcterms:modified xsi:type="dcterms:W3CDTF">2026-08-03T11:56:00Z</dcterms:modified>
</cp:coreProperties>
</file>