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EFA64" w14:textId="77777777" w:rsidR="004E0B8D" w:rsidRPr="004F2FED" w:rsidRDefault="004E0B8D" w:rsidP="0060552F">
      <w:pPr>
        <w:spacing w:after="0" w:line="240" w:lineRule="auto"/>
        <w:jc w:val="center"/>
        <w:rPr>
          <w:rFonts w:ascii="Sylfaen" w:hAnsi="Sylfaen" w:cs="Sylfaen"/>
          <w:b/>
          <w:bCs/>
          <w:kern w:val="36"/>
          <w:sz w:val="24"/>
          <w:szCs w:val="24"/>
        </w:rPr>
      </w:pPr>
    </w:p>
    <w:p w14:paraId="4FC9376A" w14:textId="77777777" w:rsidR="004F4A79" w:rsidRPr="004F2FED" w:rsidRDefault="004F4A79" w:rsidP="004F4A79">
      <w:pPr>
        <w:spacing w:after="0" w:line="360" w:lineRule="auto"/>
        <w:jc w:val="center"/>
        <w:rPr>
          <w:rFonts w:ascii="Sylfaen" w:hAnsi="Sylfaen" w:cs="Sylfaen"/>
          <w:b/>
          <w:bCs/>
          <w:kern w:val="36"/>
          <w:sz w:val="24"/>
          <w:szCs w:val="24"/>
        </w:rPr>
      </w:pPr>
      <w:r w:rsidRPr="004F2FED">
        <w:rPr>
          <w:rFonts w:ascii="Sylfaen" w:hAnsi="Sylfaen" w:cs="Sylfaen"/>
          <w:b/>
          <w:bCs/>
          <w:kern w:val="36"/>
          <w:sz w:val="24"/>
          <w:szCs w:val="24"/>
        </w:rPr>
        <w:t>პროდუქტის მახასიათებლების შეჯამება</w:t>
      </w:r>
    </w:p>
    <w:p w14:paraId="2B22815E" w14:textId="298C45CB" w:rsidR="009C44A7" w:rsidRPr="004F2FED" w:rsidRDefault="00273BE9" w:rsidP="004F4A79">
      <w:pPr>
        <w:spacing w:after="0" w:line="360" w:lineRule="auto"/>
        <w:jc w:val="center"/>
        <w:rPr>
          <w:rFonts w:ascii="Sylfaen" w:hAnsi="Sylfaen" w:cs="Sylfaen"/>
          <w:b/>
          <w:bCs/>
          <w:kern w:val="36"/>
          <w:sz w:val="24"/>
          <w:szCs w:val="24"/>
        </w:rPr>
      </w:pPr>
      <w:r w:rsidRPr="004F2FED">
        <w:rPr>
          <w:rFonts w:ascii="Sylfaen" w:hAnsi="Sylfaen" w:cs="Sylfaen"/>
          <w:b/>
          <w:bCs/>
          <w:kern w:val="36"/>
          <w:sz w:val="24"/>
          <w:szCs w:val="24"/>
        </w:rPr>
        <w:t>ZEAGRA</w:t>
      </w:r>
    </w:p>
    <w:p w14:paraId="65C9C62B" w14:textId="055E5338" w:rsidR="009C44A7" w:rsidRPr="004F2FED" w:rsidRDefault="009C44A7" w:rsidP="009C44A7">
      <w:pPr>
        <w:spacing w:after="0" w:line="360" w:lineRule="auto"/>
        <w:jc w:val="center"/>
        <w:rPr>
          <w:rFonts w:ascii="Sylfaen" w:hAnsi="Sylfaen" w:cs="Sylfaen"/>
          <w:b/>
          <w:bCs/>
          <w:kern w:val="36"/>
          <w:sz w:val="24"/>
          <w:szCs w:val="24"/>
        </w:rPr>
      </w:pPr>
      <w:r w:rsidRPr="004F2FED">
        <w:rPr>
          <w:rFonts w:ascii="Sylfaen" w:hAnsi="Sylfaen" w:cs="Sylfaen"/>
          <w:b/>
          <w:bCs/>
          <w:kern w:val="36"/>
          <w:sz w:val="24"/>
          <w:szCs w:val="24"/>
        </w:rPr>
        <w:t>ზიაგრა</w:t>
      </w:r>
    </w:p>
    <w:p w14:paraId="7043B53C" w14:textId="77777777" w:rsidR="00064ED7" w:rsidRPr="004F2FED" w:rsidRDefault="00064ED7" w:rsidP="0060552F">
      <w:pPr>
        <w:spacing w:after="0" w:line="240" w:lineRule="auto"/>
        <w:rPr>
          <w:rFonts w:ascii="Sylfaen" w:hAnsi="Sylfaen" w:cs="Sylfaen"/>
          <w:sz w:val="24"/>
          <w:szCs w:val="24"/>
        </w:rPr>
      </w:pPr>
    </w:p>
    <w:p w14:paraId="708CB4F5" w14:textId="1A9DF54F" w:rsidR="00064ED7" w:rsidRPr="004F2FED" w:rsidRDefault="00064ED7" w:rsidP="0060552F">
      <w:pPr>
        <w:pStyle w:val="ListParagraph"/>
        <w:spacing w:after="0" w:line="240" w:lineRule="auto"/>
        <w:ind w:left="0"/>
        <w:jc w:val="both"/>
        <w:rPr>
          <w:rFonts w:ascii="Sylfaen" w:hAnsi="Sylfaen" w:cs="Sylfaen"/>
          <w:b/>
          <w:bCs/>
          <w:sz w:val="24"/>
          <w:szCs w:val="24"/>
        </w:rPr>
      </w:pPr>
      <w:r w:rsidRPr="004F2FED">
        <w:rPr>
          <w:rFonts w:ascii="Sylfaen" w:hAnsi="Sylfaen" w:cs="Sylfaen"/>
          <w:b/>
          <w:bCs/>
          <w:sz w:val="24"/>
          <w:szCs w:val="24"/>
        </w:rPr>
        <w:t xml:space="preserve">      ფარმაცევტული პროდუქტის დასახელება</w:t>
      </w:r>
      <w:r w:rsidR="004F4A79" w:rsidRPr="004F2FED">
        <w:rPr>
          <w:rFonts w:ascii="Sylfaen" w:hAnsi="Sylfaen" w:cs="Sylfaen"/>
          <w:b/>
          <w:bCs/>
          <w:sz w:val="24"/>
          <w:szCs w:val="24"/>
        </w:rPr>
        <w:t>:</w:t>
      </w:r>
    </w:p>
    <w:p w14:paraId="14475F75" w14:textId="7AA97D8D" w:rsidR="00AA5C79" w:rsidRPr="004F2FED" w:rsidRDefault="00AA5C79" w:rsidP="00AA5C79">
      <w:pPr>
        <w:pStyle w:val="ListParagraph"/>
        <w:spacing w:after="0" w:line="240" w:lineRule="auto"/>
        <w:ind w:left="0" w:firstLine="270"/>
        <w:jc w:val="both"/>
        <w:rPr>
          <w:rFonts w:ascii="Sylfaen" w:hAnsi="Sylfaen" w:cs="Sylfaen"/>
          <w:sz w:val="24"/>
          <w:szCs w:val="24"/>
        </w:rPr>
      </w:pPr>
      <w:r w:rsidRPr="004F2FED">
        <w:rPr>
          <w:rFonts w:ascii="Sylfaen" w:hAnsi="Sylfaen" w:cs="Sylfaen"/>
          <w:sz w:val="24"/>
          <w:szCs w:val="24"/>
        </w:rPr>
        <w:t>ზიაგრა</w:t>
      </w:r>
    </w:p>
    <w:p w14:paraId="3B17CB86" w14:textId="450A50F8" w:rsidR="00A60B78" w:rsidRPr="004F2FED" w:rsidRDefault="00A60B78" w:rsidP="00A60B78">
      <w:pPr>
        <w:spacing w:after="0" w:line="360" w:lineRule="auto"/>
        <w:ind w:left="270"/>
        <w:rPr>
          <w:rFonts w:ascii="Sylfaen" w:hAnsi="Sylfaen" w:cs="Sylfaen"/>
          <w:kern w:val="36"/>
          <w:sz w:val="24"/>
          <w:szCs w:val="24"/>
        </w:rPr>
      </w:pPr>
      <w:r w:rsidRPr="004F2FED">
        <w:rPr>
          <w:rFonts w:ascii="Sylfaen" w:hAnsi="Sylfaen" w:cs="Sylfaen"/>
          <w:sz w:val="24"/>
          <w:szCs w:val="24"/>
        </w:rPr>
        <w:t>(</w:t>
      </w:r>
      <w:r w:rsidR="00273BE9" w:rsidRPr="004F2FED">
        <w:rPr>
          <w:rFonts w:ascii="Sylfaen" w:hAnsi="Sylfaen" w:cs="Sylfaen"/>
          <w:kern w:val="36"/>
          <w:sz w:val="24"/>
          <w:szCs w:val="24"/>
        </w:rPr>
        <w:t>ZEAGRA</w:t>
      </w:r>
      <w:r w:rsidRPr="004F2FED">
        <w:rPr>
          <w:rFonts w:ascii="Sylfaen" w:hAnsi="Sylfaen" w:cs="Sylfaen"/>
          <w:kern w:val="36"/>
          <w:sz w:val="24"/>
          <w:szCs w:val="24"/>
        </w:rPr>
        <w:t>)</w:t>
      </w:r>
    </w:p>
    <w:p w14:paraId="6580F678" w14:textId="77777777" w:rsidR="00064ED7" w:rsidRPr="004F2FED" w:rsidRDefault="00064ED7" w:rsidP="00A60B78">
      <w:pPr>
        <w:pStyle w:val="ListParagraph"/>
        <w:spacing w:after="0" w:line="240" w:lineRule="auto"/>
        <w:ind w:left="0"/>
        <w:jc w:val="both"/>
        <w:rPr>
          <w:rFonts w:ascii="Sylfaen" w:hAnsi="Sylfaen" w:cs="Sylfaen"/>
          <w:b/>
          <w:bCs/>
          <w:sz w:val="24"/>
          <w:szCs w:val="24"/>
        </w:rPr>
      </w:pPr>
    </w:p>
    <w:p w14:paraId="77B1B9E9" w14:textId="77777777" w:rsidR="00A60B78" w:rsidRPr="004F2FED" w:rsidRDefault="00A60B78" w:rsidP="00A60B78">
      <w:pPr>
        <w:pStyle w:val="ListParagraph"/>
        <w:spacing w:after="0" w:line="240" w:lineRule="auto"/>
        <w:ind w:left="0" w:firstLine="270"/>
        <w:jc w:val="both"/>
        <w:rPr>
          <w:rFonts w:ascii="Sylfaen" w:hAnsi="Sylfaen" w:cs="Sylfaen"/>
          <w:b/>
          <w:bCs/>
          <w:sz w:val="24"/>
          <w:szCs w:val="24"/>
        </w:rPr>
      </w:pPr>
      <w:r w:rsidRPr="004F2FED">
        <w:rPr>
          <w:rFonts w:ascii="Sylfaen" w:hAnsi="Sylfaen" w:cs="Sylfaen"/>
          <w:b/>
          <w:bCs/>
          <w:sz w:val="24"/>
          <w:szCs w:val="24"/>
        </w:rPr>
        <w:t>შემადგენლობა:</w:t>
      </w:r>
    </w:p>
    <w:p w14:paraId="7D773C58" w14:textId="77777777" w:rsidR="00064ED7" w:rsidRPr="004F2FED" w:rsidRDefault="00064ED7" w:rsidP="00E13393">
      <w:pPr>
        <w:spacing w:after="0" w:line="240" w:lineRule="auto"/>
        <w:ind w:firstLineChars="150" w:firstLine="360"/>
        <w:rPr>
          <w:rFonts w:ascii="Sylfaen" w:hAnsi="Sylfaen" w:cs="Sylfaen"/>
          <w:sz w:val="24"/>
          <w:szCs w:val="24"/>
        </w:rPr>
      </w:pPr>
      <w:r w:rsidRPr="004F2FED">
        <w:rPr>
          <w:rFonts w:ascii="Sylfaen" w:hAnsi="Sylfaen" w:cs="Sylfaen"/>
          <w:sz w:val="24"/>
          <w:szCs w:val="24"/>
        </w:rPr>
        <w:t xml:space="preserve">აპკიანი გარსით დაფარული ყოველი ტაბლეტი შეიცავს: </w:t>
      </w:r>
    </w:p>
    <w:p w14:paraId="21EC34FA" w14:textId="6505423E" w:rsidR="00064ED7" w:rsidRPr="004F2FED" w:rsidRDefault="00064ED7" w:rsidP="0068258E">
      <w:pPr>
        <w:spacing w:after="0" w:line="240" w:lineRule="auto"/>
        <w:ind w:firstLineChars="150" w:firstLine="360"/>
        <w:rPr>
          <w:rFonts w:ascii="Sylfaen" w:hAnsi="Sylfaen" w:cs="Sylfaen"/>
          <w:sz w:val="24"/>
          <w:szCs w:val="24"/>
        </w:rPr>
      </w:pPr>
      <w:r w:rsidRPr="004F2FED">
        <w:rPr>
          <w:rFonts w:ascii="Sylfaen" w:hAnsi="Sylfaen" w:cs="Sylfaen"/>
          <w:sz w:val="24"/>
          <w:szCs w:val="24"/>
        </w:rPr>
        <w:t xml:space="preserve">სილდენაფილის ციტრატი </w:t>
      </w:r>
      <w:r w:rsidR="00D56B93" w:rsidRPr="004F2FED">
        <w:rPr>
          <w:rFonts w:ascii="Sylfaen" w:hAnsi="Sylfaen" w:cs="Sylfaen"/>
          <w:sz w:val="24"/>
          <w:szCs w:val="24"/>
        </w:rPr>
        <w:t>ექვივალე</w:t>
      </w:r>
      <w:r w:rsidRPr="004F2FED">
        <w:rPr>
          <w:rFonts w:ascii="Sylfaen" w:hAnsi="Sylfaen" w:cs="Sylfaen"/>
          <w:sz w:val="24"/>
          <w:szCs w:val="24"/>
        </w:rPr>
        <w:t xml:space="preserve">ნტური </w:t>
      </w:r>
      <w:r w:rsidR="00A60B78" w:rsidRPr="004F2FED">
        <w:rPr>
          <w:rFonts w:ascii="Sylfaen" w:hAnsi="Sylfaen" w:cs="Sylfaen"/>
          <w:sz w:val="24"/>
          <w:szCs w:val="24"/>
        </w:rPr>
        <w:t xml:space="preserve"> სილდენაფილის</w:t>
      </w:r>
      <w:r w:rsidR="00E13393" w:rsidRPr="004F2FED">
        <w:rPr>
          <w:rFonts w:ascii="Sylfaen" w:hAnsi="Sylfaen" w:cs="Sylfaen"/>
          <w:sz w:val="24"/>
          <w:szCs w:val="24"/>
        </w:rPr>
        <w:t xml:space="preserve"> </w:t>
      </w:r>
      <w:r w:rsidR="00A60B78" w:rsidRPr="004F2FED">
        <w:rPr>
          <w:rFonts w:ascii="Sylfaen" w:hAnsi="Sylfaen" w:cs="Sylfaen"/>
          <w:sz w:val="24"/>
          <w:szCs w:val="24"/>
        </w:rPr>
        <w:t>100 მგ</w:t>
      </w:r>
    </w:p>
    <w:p w14:paraId="7DB91782" w14:textId="282339A2" w:rsidR="00064ED7" w:rsidRPr="004F2FED" w:rsidRDefault="004F4A79" w:rsidP="00E13393">
      <w:pPr>
        <w:spacing w:after="0" w:line="240" w:lineRule="auto"/>
        <w:ind w:firstLineChars="150" w:firstLine="360"/>
        <w:rPr>
          <w:rFonts w:ascii="Sylfaen" w:hAnsi="Sylfaen" w:cs="Sylfaen"/>
          <w:sz w:val="24"/>
          <w:szCs w:val="24"/>
        </w:rPr>
      </w:pPr>
      <w:r w:rsidRPr="004F2FED">
        <w:rPr>
          <w:rFonts w:ascii="Sylfaen" w:hAnsi="Sylfaen" w:cs="Sylfaen"/>
          <w:sz w:val="24"/>
          <w:szCs w:val="24"/>
        </w:rPr>
        <w:t>დამხმარე ნივთიერებები</w:t>
      </w:r>
      <w:r w:rsidR="00A60B78" w:rsidRPr="004F2FED">
        <w:rPr>
          <w:rFonts w:ascii="Sylfaen" w:hAnsi="Sylfaen" w:cs="Sylfaen"/>
          <w:sz w:val="24"/>
          <w:szCs w:val="24"/>
        </w:rPr>
        <w:t>........................................</w:t>
      </w:r>
      <w:r w:rsidR="00064ED7" w:rsidRPr="004F2FED">
        <w:rPr>
          <w:rFonts w:ascii="Sylfaen" w:hAnsi="Sylfaen" w:cs="Sylfaen"/>
          <w:sz w:val="24"/>
          <w:szCs w:val="24"/>
        </w:rPr>
        <w:t>ს.რ.</w:t>
      </w:r>
    </w:p>
    <w:p w14:paraId="40C7DB60" w14:textId="77777777" w:rsidR="00064ED7" w:rsidRPr="004F2FED" w:rsidRDefault="00064ED7" w:rsidP="0068258E">
      <w:pPr>
        <w:spacing w:after="0" w:line="240" w:lineRule="auto"/>
        <w:ind w:firstLineChars="150" w:firstLine="360"/>
        <w:rPr>
          <w:rFonts w:ascii="Sylfaen" w:hAnsi="Sylfaen" w:cs="Sylfaen"/>
          <w:sz w:val="24"/>
          <w:szCs w:val="24"/>
        </w:rPr>
      </w:pPr>
      <w:r w:rsidRPr="004F2FED">
        <w:rPr>
          <w:rFonts w:ascii="Sylfaen" w:hAnsi="Sylfaen" w:cs="Sylfaen"/>
          <w:sz w:val="24"/>
          <w:szCs w:val="24"/>
        </w:rPr>
        <w:t>საღებავი: გამოყენებულია ნებადართული საღებავი</w:t>
      </w:r>
    </w:p>
    <w:p w14:paraId="4E37C32C" w14:textId="77777777" w:rsidR="00064ED7" w:rsidRPr="004F2FED" w:rsidRDefault="00064ED7" w:rsidP="0068258E">
      <w:pPr>
        <w:spacing w:after="0" w:line="240" w:lineRule="auto"/>
        <w:ind w:firstLineChars="150" w:firstLine="360"/>
        <w:rPr>
          <w:rFonts w:ascii="Sylfaen" w:hAnsi="Sylfaen" w:cs="Sylfaen"/>
          <w:sz w:val="24"/>
          <w:szCs w:val="24"/>
        </w:rPr>
      </w:pPr>
    </w:p>
    <w:p w14:paraId="4C474BE5" w14:textId="3F6A3574" w:rsidR="00064ED7" w:rsidRPr="004F2FED" w:rsidRDefault="00064ED7" w:rsidP="0068258E">
      <w:pPr>
        <w:spacing w:after="0" w:line="240" w:lineRule="auto"/>
        <w:ind w:firstLineChars="150" w:firstLine="361"/>
        <w:rPr>
          <w:rFonts w:ascii="Sylfaen" w:hAnsi="Sylfaen" w:cs="Sylfaen"/>
          <w:sz w:val="24"/>
          <w:szCs w:val="24"/>
        </w:rPr>
      </w:pPr>
      <w:r w:rsidRPr="004F2FED">
        <w:rPr>
          <w:rFonts w:ascii="Sylfaen" w:hAnsi="Sylfaen" w:cs="Sylfaen"/>
          <w:b/>
          <w:bCs/>
          <w:sz w:val="24"/>
          <w:szCs w:val="24"/>
        </w:rPr>
        <w:t>ფარმაცევტული ფორმა</w:t>
      </w:r>
      <w:r w:rsidR="00ED4EFB" w:rsidRPr="004F2FED">
        <w:rPr>
          <w:rFonts w:ascii="Sylfaen" w:hAnsi="Sylfaen" w:cs="Sylfaen"/>
          <w:b/>
          <w:bCs/>
          <w:sz w:val="24"/>
          <w:szCs w:val="24"/>
        </w:rPr>
        <w:t>:</w:t>
      </w:r>
    </w:p>
    <w:p w14:paraId="66377305" w14:textId="4C14997D" w:rsidR="00064ED7" w:rsidRPr="004F2FED" w:rsidRDefault="00064ED7" w:rsidP="0068258E">
      <w:pPr>
        <w:spacing w:after="0" w:line="240" w:lineRule="auto"/>
        <w:ind w:firstLineChars="150" w:firstLine="360"/>
        <w:rPr>
          <w:rFonts w:ascii="Sylfaen" w:hAnsi="Sylfaen" w:cs="Sylfaen"/>
          <w:sz w:val="24"/>
          <w:szCs w:val="24"/>
        </w:rPr>
      </w:pPr>
      <w:r w:rsidRPr="004F2FED">
        <w:rPr>
          <w:rFonts w:ascii="Sylfaen" w:hAnsi="Sylfaen" w:cs="Sylfaen"/>
          <w:sz w:val="24"/>
          <w:szCs w:val="24"/>
        </w:rPr>
        <w:t>აპკიანი გარსით დაფარული ტაბლეტები</w:t>
      </w:r>
      <w:r w:rsidR="004F4A79" w:rsidRPr="004F2FED">
        <w:rPr>
          <w:rFonts w:ascii="Sylfaen" w:hAnsi="Sylfaen" w:cs="Sylfaen"/>
          <w:sz w:val="24"/>
          <w:szCs w:val="24"/>
        </w:rPr>
        <w:t>.</w:t>
      </w:r>
    </w:p>
    <w:p w14:paraId="7844770E" w14:textId="77777777" w:rsidR="00064ED7" w:rsidRPr="004F2FED" w:rsidRDefault="00064ED7" w:rsidP="0060552F">
      <w:pPr>
        <w:spacing w:after="0" w:line="240" w:lineRule="auto"/>
        <w:ind w:left="284"/>
        <w:jc w:val="both"/>
        <w:rPr>
          <w:rFonts w:ascii="Sylfaen" w:hAnsi="Sylfaen" w:cs="Sylfaen"/>
          <w:b/>
          <w:bCs/>
          <w:sz w:val="24"/>
          <w:szCs w:val="24"/>
        </w:rPr>
      </w:pPr>
    </w:p>
    <w:p w14:paraId="75985808" w14:textId="77777777"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კლინიკური მონაცემები</w:t>
      </w:r>
    </w:p>
    <w:p w14:paraId="70762629" w14:textId="68916EBE" w:rsidR="00064ED7" w:rsidRPr="004F2FED" w:rsidRDefault="00064ED7" w:rsidP="0060552F">
      <w:pPr>
        <w:shd w:val="clear" w:color="auto" w:fill="FFFFFF"/>
        <w:spacing w:after="0" w:line="240" w:lineRule="auto"/>
        <w:ind w:left="284"/>
        <w:jc w:val="both"/>
        <w:rPr>
          <w:rFonts w:ascii="Sylfaen" w:hAnsi="Sylfaen" w:cs="Sylfaen"/>
          <w:b/>
          <w:bCs/>
          <w:sz w:val="24"/>
          <w:szCs w:val="24"/>
        </w:rPr>
      </w:pPr>
      <w:r w:rsidRPr="004F2FED">
        <w:rPr>
          <w:rFonts w:ascii="Sylfaen" w:hAnsi="Sylfaen" w:cs="Sylfaen"/>
          <w:b/>
          <w:bCs/>
          <w:sz w:val="24"/>
          <w:szCs w:val="24"/>
        </w:rPr>
        <w:t>თერაპიული ჩვენებები</w:t>
      </w:r>
      <w:r w:rsidR="00ED4EFB" w:rsidRPr="004F2FED">
        <w:rPr>
          <w:rFonts w:ascii="Sylfaen" w:hAnsi="Sylfaen" w:cs="Sylfaen"/>
          <w:b/>
          <w:bCs/>
          <w:sz w:val="24"/>
          <w:szCs w:val="24"/>
        </w:rPr>
        <w:t>:</w:t>
      </w:r>
    </w:p>
    <w:p w14:paraId="7FA2EB73" w14:textId="77777777" w:rsidR="00064ED7" w:rsidRPr="004F2FED" w:rsidRDefault="00064ED7" w:rsidP="0060552F">
      <w:pPr>
        <w:pStyle w:val="NoSpacing1"/>
        <w:ind w:left="284"/>
        <w:jc w:val="both"/>
        <w:rPr>
          <w:rFonts w:ascii="Sylfaen" w:hAnsi="Sylfaen" w:cs="Sylfaen"/>
          <w:noProof/>
          <w:sz w:val="24"/>
          <w:szCs w:val="24"/>
          <w:lang w:val="ka-GE"/>
        </w:rPr>
      </w:pPr>
      <w:r w:rsidRPr="004F2FED">
        <w:rPr>
          <w:rFonts w:ascii="Sylfaen" w:hAnsi="Sylfaen" w:cs="Sylfaen"/>
          <w:noProof/>
          <w:sz w:val="24"/>
          <w:szCs w:val="24"/>
          <w:lang w:val="ka-GE"/>
        </w:rPr>
        <w:t>სილდენაფილი გამოიყენება მოზრდილ მამაკაცებში ერექციული დისფუნქციის სამკურნალოდ, როდესაც ვერ ხერხდება ერექციის მიღწევა ან მისი შენარჩუნება, რაც აუციელებელია დამაკმაყოფილებელი სქესობრივი აქტის დასამყარებლად.</w:t>
      </w:r>
    </w:p>
    <w:p w14:paraId="411BC4E6" w14:textId="77777777" w:rsidR="004F4A79" w:rsidRPr="004F2FED" w:rsidRDefault="004F4A79" w:rsidP="00AA5C79">
      <w:pPr>
        <w:pStyle w:val="ListParagraph"/>
        <w:spacing w:after="0" w:line="240" w:lineRule="auto"/>
        <w:ind w:left="0" w:firstLine="270"/>
        <w:jc w:val="both"/>
        <w:rPr>
          <w:rFonts w:ascii="Sylfaen" w:hAnsi="Sylfaen" w:cs="Sylfaen"/>
          <w:sz w:val="24"/>
          <w:szCs w:val="24"/>
        </w:rPr>
      </w:pPr>
    </w:p>
    <w:p w14:paraId="282FA506" w14:textId="63B8AFD6" w:rsidR="00064ED7" w:rsidRPr="004F2FED" w:rsidRDefault="00064ED7" w:rsidP="00AA5C79">
      <w:pPr>
        <w:pStyle w:val="ListParagraph"/>
        <w:spacing w:after="0" w:line="240" w:lineRule="auto"/>
        <w:ind w:left="0" w:firstLine="270"/>
        <w:jc w:val="both"/>
        <w:rPr>
          <w:rFonts w:ascii="Sylfaen" w:hAnsi="Sylfaen" w:cs="Sylfaen"/>
          <w:sz w:val="24"/>
          <w:szCs w:val="24"/>
        </w:rPr>
      </w:pPr>
      <w:r w:rsidRPr="004F2FED">
        <w:rPr>
          <w:rFonts w:ascii="Sylfaen" w:hAnsi="Sylfaen" w:cs="Sylfaen"/>
          <w:sz w:val="24"/>
          <w:szCs w:val="24"/>
        </w:rPr>
        <w:t xml:space="preserve">იმისათვის, რომ </w:t>
      </w:r>
      <w:r w:rsidR="00273BE9" w:rsidRPr="004F2FED">
        <w:rPr>
          <w:rFonts w:ascii="Sylfaen" w:hAnsi="Sylfaen" w:cs="Sylfaen"/>
          <w:sz w:val="24"/>
          <w:szCs w:val="24"/>
        </w:rPr>
        <w:t xml:space="preserve">ზიაგრა </w:t>
      </w:r>
      <w:r w:rsidRPr="004F2FED">
        <w:rPr>
          <w:rFonts w:ascii="Sylfaen" w:hAnsi="Sylfaen" w:cs="Sylfaen"/>
          <w:sz w:val="24"/>
          <w:szCs w:val="24"/>
        </w:rPr>
        <w:t>იყოს ეფექტური, საჭიროა სექსუალური სტიმულაცია.</w:t>
      </w:r>
    </w:p>
    <w:p w14:paraId="46DA8F9A" w14:textId="77777777" w:rsidR="00064ED7" w:rsidRPr="004F2FED" w:rsidRDefault="00064ED7" w:rsidP="0060552F">
      <w:pPr>
        <w:tabs>
          <w:tab w:val="left" w:pos="284"/>
          <w:tab w:val="left" w:pos="709"/>
          <w:tab w:val="left" w:pos="4111"/>
        </w:tabs>
        <w:spacing w:after="0" w:line="240" w:lineRule="auto"/>
        <w:ind w:left="284"/>
        <w:jc w:val="both"/>
        <w:rPr>
          <w:rFonts w:ascii="Sylfaen" w:hAnsi="Sylfaen" w:cs="Sylfaen"/>
          <w:color w:val="000000"/>
          <w:sz w:val="24"/>
          <w:szCs w:val="24"/>
          <w:shd w:val="clear" w:color="auto" w:fill="FFFFFF"/>
        </w:rPr>
      </w:pPr>
    </w:p>
    <w:p w14:paraId="49C3D82B" w14:textId="77777777"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დოზირება და მიღების წესი</w:t>
      </w:r>
    </w:p>
    <w:p w14:paraId="7948BF90" w14:textId="2E52536E" w:rsidR="00064ED7" w:rsidRPr="004F2FED" w:rsidRDefault="00064ED7" w:rsidP="0060552F">
      <w:pPr>
        <w:spacing w:after="0" w:line="240" w:lineRule="auto"/>
        <w:ind w:left="284"/>
        <w:rPr>
          <w:rFonts w:ascii="Sylfaen" w:hAnsi="Sylfaen" w:cs="Sylfaen"/>
          <w:sz w:val="24"/>
          <w:szCs w:val="24"/>
        </w:rPr>
      </w:pPr>
      <w:r w:rsidRPr="004F2FED">
        <w:rPr>
          <w:rFonts w:ascii="Sylfaen" w:hAnsi="Sylfaen" w:cs="Sylfaen"/>
          <w:sz w:val="24"/>
          <w:szCs w:val="24"/>
        </w:rPr>
        <w:t>დოზირება</w:t>
      </w:r>
      <w:r w:rsidR="00ED4EFB" w:rsidRPr="004F2FED">
        <w:rPr>
          <w:rFonts w:ascii="Sylfaen" w:hAnsi="Sylfaen" w:cs="Sylfaen"/>
          <w:sz w:val="24"/>
          <w:szCs w:val="24"/>
        </w:rPr>
        <w:t>:</w:t>
      </w:r>
    </w:p>
    <w:p w14:paraId="76E9DE43" w14:textId="77777777" w:rsidR="00064ED7" w:rsidRPr="004F2FED" w:rsidRDefault="00064ED7" w:rsidP="0060552F">
      <w:pPr>
        <w:shd w:val="clear" w:color="auto" w:fill="FFFFFF"/>
        <w:spacing w:after="0" w:line="240" w:lineRule="auto"/>
        <w:ind w:left="284"/>
        <w:rPr>
          <w:rFonts w:ascii="Sylfaen" w:hAnsi="Sylfaen" w:cs="Sylfaen"/>
          <w:i/>
          <w:iCs/>
          <w:sz w:val="24"/>
          <w:szCs w:val="24"/>
        </w:rPr>
      </w:pPr>
      <w:r w:rsidRPr="004F2FED">
        <w:rPr>
          <w:rFonts w:ascii="Sylfaen" w:hAnsi="Sylfaen" w:cs="Sylfaen"/>
          <w:i/>
          <w:iCs/>
          <w:sz w:val="24"/>
          <w:szCs w:val="24"/>
        </w:rPr>
        <w:t>გამოყენება მოზრდილებში:</w:t>
      </w:r>
    </w:p>
    <w:p w14:paraId="34348229" w14:textId="77777777" w:rsidR="004F4A79" w:rsidRPr="004F2FED" w:rsidRDefault="004F4A79" w:rsidP="0060552F">
      <w:pPr>
        <w:spacing w:after="0" w:line="240" w:lineRule="auto"/>
        <w:ind w:left="284"/>
        <w:jc w:val="both"/>
        <w:rPr>
          <w:rFonts w:ascii="Sylfaen" w:hAnsi="Sylfaen" w:cs="Sylfaen"/>
          <w:sz w:val="24"/>
          <w:szCs w:val="24"/>
        </w:rPr>
      </w:pPr>
    </w:p>
    <w:p w14:paraId="0500A05D" w14:textId="5EE38543"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რეკომენდებული დოზა არის 50 მგ, რომელიც მიიღება სქესობრივ აქტივობამდე დაახლოებით ერთი საათით ადრე. ეფექტიანობისა და ამტანობის მიხედვით, დოზა შეიძლება გაიზარდოს 100 მგ-მდე ან შემცირდეს 25 მგ-მდე. მაქსიმალური რეკომენდებული დოზა არის 100 მგ. დოზის მიღების მაქსიმალური რეკომენდებული სიხშირე არის დღეში ერთხელ. თუ </w:t>
      </w:r>
      <w:r w:rsidR="00273BE9" w:rsidRPr="004F2FED">
        <w:rPr>
          <w:rFonts w:ascii="Sylfaen" w:hAnsi="Sylfaen" w:cs="Sylfaen"/>
          <w:sz w:val="24"/>
          <w:szCs w:val="24"/>
        </w:rPr>
        <w:t xml:space="preserve">ზიაგრა </w:t>
      </w:r>
      <w:r w:rsidRPr="004F2FED">
        <w:rPr>
          <w:rFonts w:ascii="Sylfaen" w:hAnsi="Sylfaen" w:cs="Sylfaen"/>
          <w:sz w:val="24"/>
          <w:szCs w:val="24"/>
        </w:rPr>
        <w:t>მიიღება საკვებთან ერთად, აქტივობის დაწყება შეიძლება დაყოვნდეს, უზმოზე მიღებასთან შედარებით.</w:t>
      </w:r>
    </w:p>
    <w:p w14:paraId="0414B22E" w14:textId="77777777" w:rsidR="00064ED7" w:rsidRPr="004F2FED" w:rsidRDefault="00064ED7" w:rsidP="0060552F">
      <w:pPr>
        <w:spacing w:after="0" w:line="240" w:lineRule="auto"/>
        <w:ind w:left="284"/>
        <w:jc w:val="both"/>
        <w:rPr>
          <w:rFonts w:ascii="Sylfaen" w:hAnsi="Sylfaen" w:cs="Sylfaen"/>
          <w:sz w:val="24"/>
          <w:szCs w:val="24"/>
          <w:u w:val="single"/>
        </w:rPr>
      </w:pPr>
    </w:p>
    <w:p w14:paraId="29045080" w14:textId="4E4E8BAE"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განსაკუთრებული პოპულაციები</w:t>
      </w:r>
      <w:r w:rsidR="00ED4EFB" w:rsidRPr="004F2FED">
        <w:rPr>
          <w:rFonts w:ascii="Sylfaen" w:hAnsi="Sylfaen" w:cs="Sylfaen"/>
          <w:b/>
          <w:bCs/>
          <w:sz w:val="24"/>
          <w:szCs w:val="24"/>
        </w:rPr>
        <w:t>:</w:t>
      </w:r>
    </w:p>
    <w:p w14:paraId="25910469" w14:textId="6F73DB39" w:rsidR="00064ED7" w:rsidRPr="004F2FED" w:rsidRDefault="00064ED7" w:rsidP="0060552F">
      <w:pPr>
        <w:spacing w:after="0" w:line="240" w:lineRule="auto"/>
        <w:ind w:left="284"/>
        <w:jc w:val="both"/>
        <w:rPr>
          <w:rFonts w:ascii="Sylfaen" w:hAnsi="Sylfaen" w:cs="Sylfaen"/>
          <w:i/>
          <w:iCs/>
          <w:sz w:val="24"/>
          <w:szCs w:val="24"/>
        </w:rPr>
      </w:pPr>
      <w:r w:rsidRPr="004F2FED">
        <w:rPr>
          <w:rFonts w:ascii="Sylfaen" w:hAnsi="Sylfaen" w:cs="Sylfaen"/>
          <w:i/>
          <w:iCs/>
          <w:sz w:val="24"/>
          <w:szCs w:val="24"/>
        </w:rPr>
        <w:t>ხანდაზმული პაციენტები</w:t>
      </w:r>
      <w:r w:rsidR="004F4A79" w:rsidRPr="004F2FED">
        <w:rPr>
          <w:rFonts w:ascii="Sylfaen" w:hAnsi="Sylfaen" w:cs="Sylfaen"/>
          <w:i/>
          <w:iCs/>
          <w:sz w:val="24"/>
          <w:szCs w:val="24"/>
        </w:rPr>
        <w:t>:</w:t>
      </w:r>
    </w:p>
    <w:p w14:paraId="4762F5AE"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დოზის კორექცია საჭირო არ არის ხანდაზმულ პაციენტებში (</w:t>
      </w:r>
      <w:r w:rsidRPr="004F2FED">
        <w:rPr>
          <w:rFonts w:ascii="Sylfaen" w:hAnsi="Sylfaen" w:cs="Sylfaen"/>
          <w:sz w:val="24"/>
          <w:szCs w:val="24"/>
          <w:u w:val="single"/>
        </w:rPr>
        <w:t>&gt;</w:t>
      </w:r>
      <w:r w:rsidRPr="004F2FED">
        <w:rPr>
          <w:rFonts w:ascii="Sylfaen" w:hAnsi="Sylfaen" w:cs="Sylfaen"/>
          <w:sz w:val="24"/>
          <w:szCs w:val="24"/>
        </w:rPr>
        <w:t>65 წლის).</w:t>
      </w:r>
    </w:p>
    <w:p w14:paraId="3A77DD44" w14:textId="77777777" w:rsidR="00064ED7" w:rsidRPr="004F2FED" w:rsidRDefault="00064ED7" w:rsidP="0060552F">
      <w:pPr>
        <w:spacing w:after="0" w:line="240" w:lineRule="auto"/>
        <w:ind w:left="284"/>
        <w:jc w:val="both"/>
        <w:rPr>
          <w:rFonts w:ascii="Sylfaen" w:hAnsi="Sylfaen" w:cs="Sylfaen"/>
          <w:sz w:val="24"/>
          <w:szCs w:val="24"/>
        </w:rPr>
      </w:pPr>
    </w:p>
    <w:p w14:paraId="2370575E" w14:textId="4AAE0D2C" w:rsidR="00064ED7" w:rsidRPr="004F2FED" w:rsidRDefault="00064ED7" w:rsidP="0060552F">
      <w:pPr>
        <w:spacing w:after="0" w:line="240" w:lineRule="auto"/>
        <w:ind w:left="284"/>
        <w:jc w:val="both"/>
        <w:rPr>
          <w:rFonts w:ascii="Sylfaen" w:hAnsi="Sylfaen" w:cs="Sylfaen"/>
          <w:i/>
          <w:iCs/>
          <w:sz w:val="24"/>
          <w:szCs w:val="24"/>
        </w:rPr>
      </w:pPr>
      <w:r w:rsidRPr="004F2FED">
        <w:rPr>
          <w:rFonts w:ascii="Sylfaen" w:hAnsi="Sylfaen" w:cs="Sylfaen"/>
          <w:i/>
          <w:iCs/>
          <w:sz w:val="24"/>
          <w:szCs w:val="24"/>
        </w:rPr>
        <w:lastRenderedPageBreak/>
        <w:t>პაციენტები თირკმლის უკმარისობით</w:t>
      </w:r>
      <w:r w:rsidR="004F4A79" w:rsidRPr="004F2FED">
        <w:rPr>
          <w:rFonts w:ascii="Sylfaen" w:hAnsi="Sylfaen" w:cs="Sylfaen"/>
          <w:i/>
          <w:iCs/>
          <w:sz w:val="24"/>
          <w:szCs w:val="24"/>
        </w:rPr>
        <w:t>:</w:t>
      </w:r>
    </w:p>
    <w:p w14:paraId="27D46693"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დოზების შესახებ რეკომენდაციები, რომლებიც მოცემულია პუნქტში „გამოყენება მოზრდილებში“ ვრცელდება თირკმლის მსუბუქი ან საშუალო უკმარისობის მქონე პაციენტებზე (კრეატინინის კლირენსი &lt; 30-80 მლ/წთ).</w:t>
      </w:r>
    </w:p>
    <w:p w14:paraId="1A6FDC70"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რადგან სილდენაფილის კლირენსი შემცირებულია თირკმლის მძიმე უკმარისობის მქონე პაციენტებში (კრეატინინის კლირენსი &lt;30 მლ/წთ), განხილული უნდა იყოს 25 მგ დოზის გამოყენება. ეფექტიანობისა და ამტანობის საფუძველზე, დოზა შეიძლება ეტაპობრივად გაიზარდოს 50-100 მგ-მდე, საჭიროების მიხედვით.</w:t>
      </w:r>
    </w:p>
    <w:p w14:paraId="18365F15" w14:textId="77777777" w:rsidR="00E13393" w:rsidRPr="004F2FED" w:rsidRDefault="00E13393" w:rsidP="0060552F">
      <w:pPr>
        <w:spacing w:after="0" w:line="240" w:lineRule="auto"/>
        <w:ind w:left="284"/>
        <w:jc w:val="both"/>
        <w:rPr>
          <w:rFonts w:ascii="Sylfaen" w:hAnsi="Sylfaen" w:cs="Sylfaen"/>
          <w:i/>
          <w:iCs/>
          <w:sz w:val="24"/>
          <w:szCs w:val="24"/>
        </w:rPr>
      </w:pPr>
    </w:p>
    <w:p w14:paraId="5218A6C4" w14:textId="77777777" w:rsidR="00E13393" w:rsidRPr="004F2FED" w:rsidRDefault="00E13393" w:rsidP="0060552F">
      <w:pPr>
        <w:spacing w:after="0" w:line="240" w:lineRule="auto"/>
        <w:ind w:left="284"/>
        <w:jc w:val="both"/>
        <w:rPr>
          <w:rFonts w:ascii="Sylfaen" w:hAnsi="Sylfaen" w:cs="Sylfaen"/>
          <w:i/>
          <w:iCs/>
          <w:sz w:val="24"/>
          <w:szCs w:val="24"/>
        </w:rPr>
      </w:pPr>
    </w:p>
    <w:p w14:paraId="3E3C9442" w14:textId="77777777" w:rsidR="00E13393" w:rsidRPr="004F2FED" w:rsidRDefault="00E13393" w:rsidP="0060552F">
      <w:pPr>
        <w:spacing w:after="0" w:line="240" w:lineRule="auto"/>
        <w:ind w:left="284"/>
        <w:jc w:val="both"/>
        <w:rPr>
          <w:rFonts w:ascii="Sylfaen" w:hAnsi="Sylfaen" w:cs="Sylfaen"/>
          <w:i/>
          <w:iCs/>
          <w:sz w:val="24"/>
          <w:szCs w:val="24"/>
        </w:rPr>
      </w:pPr>
    </w:p>
    <w:p w14:paraId="5300DB3D" w14:textId="77777777" w:rsidR="00E13393" w:rsidRPr="004F2FED" w:rsidRDefault="00E13393" w:rsidP="0060552F">
      <w:pPr>
        <w:spacing w:after="0" w:line="240" w:lineRule="auto"/>
        <w:ind w:left="284"/>
        <w:jc w:val="both"/>
        <w:rPr>
          <w:rFonts w:ascii="Sylfaen" w:hAnsi="Sylfaen" w:cs="Sylfaen"/>
          <w:i/>
          <w:iCs/>
          <w:sz w:val="24"/>
          <w:szCs w:val="24"/>
        </w:rPr>
      </w:pPr>
    </w:p>
    <w:p w14:paraId="519057FF" w14:textId="35107262" w:rsidR="00064ED7" w:rsidRPr="004F2FED" w:rsidRDefault="00064ED7" w:rsidP="0060552F">
      <w:pPr>
        <w:spacing w:after="0" w:line="240" w:lineRule="auto"/>
        <w:ind w:left="284"/>
        <w:jc w:val="both"/>
        <w:rPr>
          <w:rFonts w:ascii="Sylfaen" w:hAnsi="Sylfaen" w:cs="Sylfaen"/>
          <w:i/>
          <w:iCs/>
          <w:sz w:val="24"/>
          <w:szCs w:val="24"/>
        </w:rPr>
      </w:pPr>
      <w:r w:rsidRPr="004F2FED">
        <w:rPr>
          <w:rFonts w:ascii="Sylfaen" w:hAnsi="Sylfaen" w:cs="Sylfaen"/>
          <w:i/>
          <w:iCs/>
          <w:sz w:val="24"/>
          <w:szCs w:val="24"/>
        </w:rPr>
        <w:t>ღვიძლის უკმარისობა</w:t>
      </w:r>
      <w:r w:rsidR="004F4A79" w:rsidRPr="004F2FED">
        <w:rPr>
          <w:rFonts w:ascii="Sylfaen" w:hAnsi="Sylfaen" w:cs="Sylfaen"/>
          <w:i/>
          <w:iCs/>
          <w:sz w:val="24"/>
          <w:szCs w:val="24"/>
        </w:rPr>
        <w:t>:</w:t>
      </w:r>
    </w:p>
    <w:p w14:paraId="298CB4EB"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რადგან სილდენაფილის კლირენსი შემცირებულია ღვიძლის უკმარისობის (მაგ. ციროზის) მქონე პაციენტებში, განხილული უნდა იყოს 25 მგ დოზის გამოყენება. ეფექტიანობისა და ამტანობის მიხედვით, დოზა შეიძლება ეტაპობრივად გაიზარდოს 50-100 მგ-მდე, საჭიროების მიხედვით.</w:t>
      </w:r>
    </w:p>
    <w:p w14:paraId="160568B3" w14:textId="77777777" w:rsidR="00064ED7" w:rsidRPr="004F2FED" w:rsidRDefault="00064ED7" w:rsidP="0060552F">
      <w:pPr>
        <w:spacing w:after="0" w:line="240" w:lineRule="auto"/>
        <w:jc w:val="both"/>
        <w:rPr>
          <w:rFonts w:ascii="Sylfaen" w:hAnsi="Sylfaen" w:cs="Sylfaen"/>
          <w:sz w:val="24"/>
          <w:szCs w:val="24"/>
          <w:u w:val="single"/>
        </w:rPr>
      </w:pPr>
    </w:p>
    <w:p w14:paraId="688E5FE2" w14:textId="37D62CB7" w:rsidR="00064ED7" w:rsidRPr="004F2FED" w:rsidRDefault="00064ED7" w:rsidP="0060552F">
      <w:pPr>
        <w:spacing w:after="0" w:line="240" w:lineRule="auto"/>
        <w:ind w:firstLine="284"/>
        <w:jc w:val="both"/>
        <w:rPr>
          <w:rFonts w:ascii="Sylfaen" w:hAnsi="Sylfaen" w:cs="Sylfaen"/>
          <w:b/>
          <w:bCs/>
          <w:sz w:val="24"/>
          <w:szCs w:val="24"/>
        </w:rPr>
      </w:pPr>
      <w:r w:rsidRPr="004F2FED">
        <w:rPr>
          <w:rFonts w:ascii="Sylfaen" w:hAnsi="Sylfaen" w:cs="Sylfaen"/>
          <w:b/>
          <w:bCs/>
          <w:sz w:val="24"/>
          <w:szCs w:val="24"/>
        </w:rPr>
        <w:t>პედიატრიული პოპულაცია</w:t>
      </w:r>
      <w:r w:rsidR="00ED4EFB" w:rsidRPr="004F2FED">
        <w:rPr>
          <w:rFonts w:ascii="Sylfaen" w:hAnsi="Sylfaen" w:cs="Sylfaen"/>
          <w:b/>
          <w:bCs/>
          <w:sz w:val="24"/>
          <w:szCs w:val="24"/>
        </w:rPr>
        <w:t>:</w:t>
      </w:r>
    </w:p>
    <w:p w14:paraId="39015E88"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u w:val="single"/>
        </w:rPr>
        <w:t>სილდენაფილი არ გამოიყენება 18 წლამდე ასაკის პირებში.</w:t>
      </w:r>
    </w:p>
    <w:p w14:paraId="049463CC" w14:textId="77777777" w:rsidR="00064ED7" w:rsidRPr="004F2FED" w:rsidRDefault="00064ED7" w:rsidP="0060552F">
      <w:pPr>
        <w:spacing w:after="0" w:line="240" w:lineRule="auto"/>
        <w:ind w:left="284"/>
        <w:jc w:val="both"/>
        <w:rPr>
          <w:rFonts w:ascii="Sylfaen" w:hAnsi="Sylfaen" w:cs="Sylfaen"/>
          <w:sz w:val="24"/>
          <w:szCs w:val="24"/>
          <w:u w:val="single"/>
        </w:rPr>
      </w:pPr>
    </w:p>
    <w:p w14:paraId="4BC53B29"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გამოყენება იმ პაციენტებში, რომლებიც იღებენ სხვა სამკურნალო საშუალებებს:</w:t>
      </w:r>
    </w:p>
    <w:p w14:paraId="687B7A9E"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გარდა რიტონავირისა, რომლის სილდენაფილთან ერთად მიღება სასურველი არ არის, საწყისი 25 მგ დოზის გამოყენება უნდა იყოს განხილული იმ პაციენტებში, რომლებიც იმავდროულად იღებენ CYP3A4 ინჰიბიტორებს.</w:t>
      </w:r>
    </w:p>
    <w:p w14:paraId="641C00B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პოსტურალური ჰიპოტენზიის განვითარების პოტენციალის შემცირების მიზნით, იმ პაციენტებში, რომლებიც მკურნალობენ ალფა-ბლოკატორებით, სილდენაფილით მკურნალობის დაწყებამდე უნდა მოხდეს მათი სტაბილიზება ალფა-ბლოკატორით თერაპიაზე. გარდა ამისა, განხილული უნდა იყოს სილდენაფილის მიღების დაწყება 25 მგ დოზით.</w:t>
      </w:r>
    </w:p>
    <w:p w14:paraId="2154A6AE" w14:textId="77777777" w:rsidR="00064ED7" w:rsidRPr="004F2FED" w:rsidRDefault="00064ED7" w:rsidP="0060552F">
      <w:pPr>
        <w:spacing w:after="0" w:line="240" w:lineRule="auto"/>
        <w:ind w:left="284"/>
        <w:jc w:val="both"/>
        <w:rPr>
          <w:rFonts w:ascii="Sylfaen" w:hAnsi="Sylfaen" w:cs="Sylfaen"/>
          <w:sz w:val="24"/>
          <w:szCs w:val="24"/>
        </w:rPr>
      </w:pPr>
    </w:p>
    <w:p w14:paraId="478B2326" w14:textId="61168416" w:rsidR="00064ED7" w:rsidRPr="004F2FED" w:rsidRDefault="00064ED7" w:rsidP="0060552F">
      <w:pPr>
        <w:spacing w:after="0" w:line="240" w:lineRule="auto"/>
        <w:ind w:firstLine="284"/>
        <w:jc w:val="both"/>
        <w:rPr>
          <w:rFonts w:ascii="Sylfaen" w:hAnsi="Sylfaen" w:cs="Sylfaen"/>
          <w:b/>
          <w:bCs/>
          <w:sz w:val="24"/>
          <w:szCs w:val="24"/>
        </w:rPr>
      </w:pPr>
      <w:r w:rsidRPr="004F2FED">
        <w:rPr>
          <w:rFonts w:ascii="Sylfaen" w:hAnsi="Sylfaen" w:cs="Sylfaen"/>
          <w:b/>
          <w:bCs/>
          <w:sz w:val="24"/>
          <w:szCs w:val="24"/>
        </w:rPr>
        <w:t>მიღების წესი</w:t>
      </w:r>
      <w:r w:rsidR="00ED4EFB" w:rsidRPr="004F2FED">
        <w:rPr>
          <w:rFonts w:ascii="Sylfaen" w:hAnsi="Sylfaen" w:cs="Sylfaen"/>
          <w:b/>
          <w:bCs/>
          <w:sz w:val="24"/>
          <w:szCs w:val="24"/>
        </w:rPr>
        <w:t>:</w:t>
      </w:r>
    </w:p>
    <w:p w14:paraId="3FD03CA6" w14:textId="77777777" w:rsidR="00064ED7" w:rsidRPr="004F2FED" w:rsidRDefault="00064ED7" w:rsidP="0060552F">
      <w:pPr>
        <w:shd w:val="clear" w:color="auto" w:fill="FFFFFF"/>
        <w:spacing w:after="0" w:line="240" w:lineRule="auto"/>
        <w:ind w:left="284" w:right="-63"/>
        <w:jc w:val="both"/>
        <w:rPr>
          <w:rFonts w:ascii="Sylfaen" w:hAnsi="Sylfaen" w:cs="Sylfaen"/>
          <w:sz w:val="24"/>
          <w:szCs w:val="24"/>
        </w:rPr>
      </w:pPr>
      <w:r w:rsidRPr="004F2FED">
        <w:rPr>
          <w:rFonts w:ascii="Sylfaen" w:hAnsi="Sylfaen" w:cs="Sylfaen"/>
          <w:sz w:val="24"/>
          <w:szCs w:val="24"/>
        </w:rPr>
        <w:t xml:space="preserve">მიიღება პერორალურად. </w:t>
      </w:r>
    </w:p>
    <w:p w14:paraId="32B38FF6" w14:textId="77777777" w:rsidR="00064ED7" w:rsidRPr="004F2FED" w:rsidRDefault="00064ED7" w:rsidP="0060552F">
      <w:pPr>
        <w:shd w:val="clear" w:color="auto" w:fill="FFFFFF"/>
        <w:spacing w:after="0" w:line="240" w:lineRule="auto"/>
        <w:ind w:left="284" w:right="-63"/>
        <w:jc w:val="both"/>
        <w:rPr>
          <w:rFonts w:ascii="Sylfaen" w:hAnsi="Sylfaen" w:cs="Sylfaen"/>
          <w:color w:val="000000"/>
          <w:sz w:val="24"/>
          <w:szCs w:val="24"/>
          <w:lang w:eastAsia="tr-TR"/>
        </w:rPr>
      </w:pPr>
    </w:p>
    <w:p w14:paraId="2DA69A2C" w14:textId="4CDC51F7" w:rsidR="00064ED7" w:rsidRPr="004F2FED" w:rsidRDefault="00064ED7" w:rsidP="0060552F">
      <w:pPr>
        <w:tabs>
          <w:tab w:val="left" w:pos="0"/>
        </w:tabs>
        <w:spacing w:after="0" w:line="240" w:lineRule="auto"/>
        <w:ind w:left="284"/>
        <w:jc w:val="both"/>
        <w:rPr>
          <w:rFonts w:ascii="Sylfaen" w:hAnsi="Sylfaen" w:cs="Sylfaen"/>
          <w:b/>
          <w:bCs/>
          <w:sz w:val="24"/>
          <w:szCs w:val="24"/>
        </w:rPr>
      </w:pPr>
      <w:r w:rsidRPr="004F2FED">
        <w:rPr>
          <w:rFonts w:ascii="Sylfaen" w:hAnsi="Sylfaen" w:cs="Sylfaen"/>
          <w:b/>
          <w:bCs/>
          <w:sz w:val="24"/>
          <w:szCs w:val="24"/>
        </w:rPr>
        <w:t>უკუჩვენებები</w:t>
      </w:r>
      <w:r w:rsidR="00ED4EFB" w:rsidRPr="004F2FED">
        <w:rPr>
          <w:rFonts w:ascii="Sylfaen" w:hAnsi="Sylfaen" w:cs="Sylfaen"/>
          <w:b/>
          <w:bCs/>
          <w:sz w:val="24"/>
          <w:szCs w:val="24"/>
        </w:rPr>
        <w:t>:</w:t>
      </w:r>
    </w:p>
    <w:p w14:paraId="6B756099" w14:textId="77777777" w:rsidR="00064ED7" w:rsidRPr="004F2FED" w:rsidRDefault="00064ED7" w:rsidP="0060552F">
      <w:pPr>
        <w:pStyle w:val="ListParagraph"/>
        <w:spacing w:after="0" w:line="240" w:lineRule="auto"/>
        <w:ind w:left="284"/>
        <w:jc w:val="both"/>
        <w:rPr>
          <w:rFonts w:ascii="Sylfaen" w:hAnsi="Sylfaen" w:cs="Sylfaen"/>
          <w:sz w:val="24"/>
          <w:szCs w:val="24"/>
        </w:rPr>
      </w:pPr>
      <w:r w:rsidRPr="004F2FED">
        <w:rPr>
          <w:rFonts w:ascii="Sylfaen" w:hAnsi="Sylfaen" w:cs="Sylfaen"/>
          <w:sz w:val="24"/>
          <w:szCs w:val="24"/>
        </w:rPr>
        <w:t>მომატებული მგრძნობელობა აქტიური სუბსტანციის ან ჩამოთვლილი ექსციპიენტების მიმართ.</w:t>
      </w:r>
    </w:p>
    <w:p w14:paraId="1107CCE3" w14:textId="77777777" w:rsidR="00064ED7" w:rsidRPr="004F2FED" w:rsidRDefault="00064ED7" w:rsidP="0060552F">
      <w:pPr>
        <w:pStyle w:val="ListParagraph"/>
        <w:spacing w:after="0" w:line="240" w:lineRule="auto"/>
        <w:ind w:left="284"/>
        <w:jc w:val="both"/>
        <w:rPr>
          <w:rFonts w:ascii="Sylfaen" w:hAnsi="Sylfaen" w:cs="Sylfaen"/>
          <w:sz w:val="24"/>
          <w:szCs w:val="24"/>
        </w:rPr>
      </w:pPr>
    </w:p>
    <w:p w14:paraId="734BEB51" w14:textId="77777777" w:rsidR="00064ED7" w:rsidRPr="004F2FED" w:rsidRDefault="00064ED7" w:rsidP="0060552F">
      <w:pPr>
        <w:pStyle w:val="ListParagraph"/>
        <w:spacing w:after="0" w:line="240" w:lineRule="auto"/>
        <w:ind w:left="284"/>
        <w:jc w:val="both"/>
        <w:rPr>
          <w:rFonts w:ascii="Sylfaen" w:hAnsi="Sylfaen" w:cs="Sylfaen"/>
          <w:sz w:val="24"/>
          <w:szCs w:val="24"/>
        </w:rPr>
      </w:pPr>
      <w:r w:rsidRPr="004F2FED">
        <w:rPr>
          <w:rFonts w:ascii="Sylfaen" w:hAnsi="Sylfaen" w:cs="Sylfaen"/>
          <w:sz w:val="24"/>
          <w:szCs w:val="24"/>
        </w:rPr>
        <w:t xml:space="preserve">აზოტის ოქსიდის/ციკლური გუანოზინის მონოფოსფატის (cGMP) გზაზე ცნობილი ეფექტების გამო, სილდენაფილმა აჩვენა ნიტრატების ჰიპოტენზიური ეფექტების გაძლიერება და ამიტომ, მისი მიღება უკუნაჩვენებია აზოტის ოქსიდის დონატორებთან (როგორიცაა ამილ ნიტრიტი) ან ნიტრიტებთან  ნებისმიერი ფორმით. </w:t>
      </w:r>
    </w:p>
    <w:p w14:paraId="428F6DE0" w14:textId="77777777" w:rsidR="00064ED7" w:rsidRPr="004F2FED" w:rsidRDefault="00064ED7" w:rsidP="0060552F">
      <w:pPr>
        <w:pStyle w:val="ListParagraph"/>
        <w:spacing w:after="0" w:line="240" w:lineRule="auto"/>
        <w:ind w:left="284"/>
        <w:jc w:val="both"/>
        <w:rPr>
          <w:rFonts w:ascii="Sylfaen" w:hAnsi="Sylfaen" w:cs="Sylfaen"/>
          <w:sz w:val="24"/>
          <w:szCs w:val="24"/>
        </w:rPr>
      </w:pPr>
      <w:r w:rsidRPr="004F2FED">
        <w:rPr>
          <w:rFonts w:ascii="Sylfaen" w:hAnsi="Sylfaen" w:cs="Sylfaen"/>
          <w:sz w:val="24"/>
          <w:szCs w:val="24"/>
        </w:rPr>
        <w:lastRenderedPageBreak/>
        <w:t>PDE5 ინჰიბიტორების, მათ შორის სილდენაფილის მიღება გუანილატის ციკლაზას სტიმულატორებთან ერთად, როგორიცაა რიოციგუატი, უკუნაჩვენებია, რადგან შეიძლება პოტენციურად გამოიწვიოს სიმპტომატური ჰიპოტენზია.</w:t>
      </w:r>
    </w:p>
    <w:p w14:paraId="1376F023" w14:textId="77777777" w:rsidR="00064ED7" w:rsidRPr="004F2FED" w:rsidRDefault="00064ED7" w:rsidP="0060552F">
      <w:pPr>
        <w:pStyle w:val="ListParagraph"/>
        <w:spacing w:after="0" w:line="240" w:lineRule="auto"/>
        <w:ind w:left="284"/>
        <w:jc w:val="both"/>
        <w:rPr>
          <w:rFonts w:ascii="Sylfaen" w:hAnsi="Sylfaen" w:cs="Sylfaen"/>
          <w:sz w:val="24"/>
          <w:szCs w:val="24"/>
        </w:rPr>
      </w:pPr>
      <w:r w:rsidRPr="004F2FED">
        <w:rPr>
          <w:rFonts w:ascii="Sylfaen" w:hAnsi="Sylfaen" w:cs="Sylfaen"/>
          <w:sz w:val="24"/>
          <w:szCs w:val="24"/>
        </w:rPr>
        <w:t>ერექციული დისფუნქციის სამკურნალო საშუალებები, მათ შორის სიდლენაფილი, არ გამოიყენება იმ მამაკაცებში, რომლებისთვისაც რეკომენდებული არ არის სექსუალური აქტივობა (მაგ. პაციენტები, რომლებსაც აქვთ მძიმე კარდიოვასკულარული დარღვევები, როგორიცაა არასტაბილური სტენოკარდია ან გულის მძიმე უკმარისობა).</w:t>
      </w:r>
    </w:p>
    <w:p w14:paraId="54E72650" w14:textId="0CEE78F0" w:rsidR="00064ED7" w:rsidRPr="004F2FED" w:rsidRDefault="00273BE9" w:rsidP="0060552F">
      <w:pPr>
        <w:pStyle w:val="ListParagraph"/>
        <w:spacing w:after="0" w:line="240" w:lineRule="auto"/>
        <w:ind w:left="284"/>
        <w:jc w:val="both"/>
        <w:rPr>
          <w:rFonts w:ascii="Sylfaen" w:hAnsi="Sylfaen" w:cs="Sylfaen"/>
          <w:sz w:val="24"/>
          <w:szCs w:val="24"/>
        </w:rPr>
      </w:pPr>
      <w:r w:rsidRPr="004F2FED">
        <w:rPr>
          <w:rFonts w:ascii="Sylfaen" w:hAnsi="Sylfaen" w:cs="Sylfaen"/>
          <w:sz w:val="24"/>
          <w:szCs w:val="24"/>
        </w:rPr>
        <w:t xml:space="preserve">ზიაგრა </w:t>
      </w:r>
      <w:r w:rsidR="00064ED7" w:rsidRPr="004F2FED">
        <w:rPr>
          <w:rFonts w:ascii="Sylfaen" w:hAnsi="Sylfaen" w:cs="Sylfaen"/>
          <w:sz w:val="24"/>
          <w:szCs w:val="24"/>
        </w:rPr>
        <w:t xml:space="preserve">უკუნაჩვენებია იმ პაციენტებში, რომლებსაც ერთ თვალში დაკარგული აქვთ მხედველობა არაარტერიული იშემიური წინა ოპტიკური ნეიროპათიის გამო (NAION), განურჩევლად იმისა, ეს ეპიზოდი დაკავშირებული იყო თუ არა მანამდე PDE5 ინჰიბიტორების ექსპოზიცისთან. </w:t>
      </w:r>
    </w:p>
    <w:p w14:paraId="42B59C5C" w14:textId="77777777" w:rsidR="00064ED7" w:rsidRPr="004F2FED" w:rsidRDefault="00064ED7" w:rsidP="0060552F">
      <w:pPr>
        <w:pStyle w:val="ListParagraph"/>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უსაფრთხოება შესწავლილი არ არის პაციენტთა შემდეგ ქვე-ჯგუფებში და ამიტომ, მისი გამოყენება უკუნაჩვენებია იმ პაციენტებში, რომლებსაც აქვთ: ღვიძლის მძიმე უკმარისობა, ჰიპოტენზია (არტერიული წნევა &lt;90/50 მმ. ვწყ.სვ.), ცოტა ხნის წინ გადატანილი ინსულტი ან მიოკარდიუმის ინფარქტი და თვალის ბადურის დადასტურებული მემკვიდრეობითი დეგენერაციული დარღვევები, როგორიცაა retinitis pigmentosa (ამ პაციენტთა მცირე რაოდენობას აქვს რეტინალური ფოსფოდიესტერაზას გენეტიკური დარღვევები).</w:t>
      </w:r>
    </w:p>
    <w:p w14:paraId="4C3C5255" w14:textId="77777777" w:rsidR="00064ED7" w:rsidRPr="004F2FED" w:rsidRDefault="00064ED7" w:rsidP="0060552F">
      <w:pPr>
        <w:pStyle w:val="ListParagraph"/>
        <w:spacing w:after="0" w:line="240" w:lineRule="auto"/>
        <w:ind w:left="284"/>
        <w:jc w:val="both"/>
        <w:rPr>
          <w:rFonts w:ascii="Sylfaen" w:hAnsi="Sylfaen" w:cs="Sylfaen"/>
          <w:sz w:val="24"/>
          <w:szCs w:val="24"/>
        </w:rPr>
      </w:pPr>
    </w:p>
    <w:p w14:paraId="412F69B6" w14:textId="77777777"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განსაკუთრებული მითითებები და  სიფრთხილის ზომები გამოყენებისას</w:t>
      </w:r>
    </w:p>
    <w:p w14:paraId="52F734FF"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ფარმაკოლოგიური მკურნალობის განხილვამდე უნდა შეიკრიბოს სამედიცინო ანამნეზი და ჩატარდეს ფიზიკური შემოწმება ერექციული დისფუნქციის დიაგნოსტირებისა და პოტენციური ძირითადი გამომწვევი მიზეზების დადგენის მიზნით.</w:t>
      </w:r>
    </w:p>
    <w:p w14:paraId="70B8F838" w14:textId="77777777" w:rsidR="00064ED7" w:rsidRPr="004F2FED" w:rsidRDefault="00064ED7" w:rsidP="0060552F">
      <w:pPr>
        <w:spacing w:after="0" w:line="240" w:lineRule="auto"/>
        <w:ind w:left="284"/>
        <w:jc w:val="both"/>
        <w:rPr>
          <w:rFonts w:ascii="Sylfaen" w:hAnsi="Sylfaen" w:cs="Sylfaen"/>
          <w:sz w:val="24"/>
          <w:szCs w:val="24"/>
        </w:rPr>
      </w:pPr>
    </w:p>
    <w:p w14:paraId="03177788"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კარდიოვასკულარული რისკ-ფაქტორები</w:t>
      </w:r>
    </w:p>
    <w:p w14:paraId="36514132"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ერექციული დისფუნქციისთვის ნებისმიერი მკურნალობის დაწყებამდე ექიმებმა უნდა შეისწავლონ პაციენტის კარდიოვასკულარული სტატუსი, რადგან არსებობს სქესობრივ აქტივობასთან დაკავშირებით გულის მხრივ რისკის გარკვეული ხარისხი. სილდენაფილს აქვს ვაზოდილატატორული თვისებები, რაც იწვევს არტერიული წნევის მსუბუქ და ტრანზიტორულ შემცირებას. სილდენაფილის დანიშვნამდე ექიმებმა გულდასმით უნდა შეისწავლონ აქვს თუ არა პაციენტს ისეთი ძირითადი დაავადებები, რომლებზეც შეიძლება უარყოფითად იმოქმედოს ამგვარმა ვაზოდილატატორულმა ეფექტებმა, განსაკუთრებით სქესობრივ აქტივობასთან ერთად. ვაზოდილატატორების მიმართ მომატებული მგრძნობელობა აღინიშნება იმ პაციენტებში, რომლებსაც აქვთ მარცხენა პარკუჭიდან გამომავალი ნაკადის ობსტრუქცია (მაგ. აორტის სტენოზი, ჰოპერტროფიული ობსტრუქციული კარდიომიოპათია) ან რომლებსაც აქვთ მრავლობითი სისტემური ატროფიის იშვიათი სინდრომი, რომელიც ვლინდება არტერიული წნევის ავტონომიური კონტროლის სერიოზული დარღვევით.  </w:t>
      </w:r>
    </w:p>
    <w:p w14:paraId="663EFC1F"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 აძლიერებს ნიტრატების ჰიპოტენზიურ მოქმედებას.</w:t>
      </w:r>
    </w:p>
    <w:p w14:paraId="195B23C1"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სილდენაფილის გამოყენებასთან დაკავშირებით პოსტმარკეტინგულ პერიოდში აღინიშნა სერიოზული კარდიოვასკულარული მოვლენები, მათ შორის მიოკარდიუმის ინფარქტი, არასტაბილური სტენოკარდია, უეცარი გულის სიკვდილი, პარკუჭოვანი არითმია, ცერებროვასკულარული ჰემორაგია, ტრანზიტორული იშემიური შეტევა, ჰიპერტენზია და ჰიპოტენზია. ყველა არა, მაგრამ პაციენტთა ამ უმრავლესობას ჰქონდა მანამდე არსებული </w:t>
      </w:r>
      <w:r w:rsidRPr="004F2FED">
        <w:rPr>
          <w:rFonts w:ascii="Sylfaen" w:hAnsi="Sylfaen" w:cs="Sylfaen"/>
          <w:sz w:val="24"/>
          <w:szCs w:val="24"/>
        </w:rPr>
        <w:lastRenderedPageBreak/>
        <w:t>კარდიოვასკულარული რისკ-ფაქტორები. ამ მოვლენების უმრავლესობა ვითარდებოდა სქესობრივი აქტის დროს ან შემდეგ მალევე, რამდენიმე შემთხვევა კი აღინიშნა სილდენაფილის გამოყენების შემდეგ მალევა, სექსუალური აქტივობის გარეშე. შეუძლებელია დადგინდეს ეს მოვლენები პირდაპირ დაკავშირებულია თუ არა ამ ფაქტორებთან თუ სხვა ფაქტორებთან.</w:t>
      </w:r>
    </w:p>
    <w:p w14:paraId="58776B91" w14:textId="77777777" w:rsidR="00064ED7" w:rsidRPr="004F2FED" w:rsidRDefault="00064ED7" w:rsidP="0060552F">
      <w:pPr>
        <w:spacing w:after="0" w:line="240" w:lineRule="auto"/>
        <w:ind w:left="284"/>
        <w:jc w:val="both"/>
        <w:rPr>
          <w:rFonts w:ascii="Sylfaen" w:hAnsi="Sylfaen" w:cs="Sylfaen"/>
          <w:sz w:val="24"/>
          <w:szCs w:val="24"/>
          <w:u w:val="single"/>
        </w:rPr>
      </w:pPr>
    </w:p>
    <w:p w14:paraId="78668C50"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პრიაპიზმი</w:t>
      </w:r>
    </w:p>
    <w:p w14:paraId="1121D5D2"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ერექციული დისფუნქციის სამკურნალო საშუალებები, მათ შორის სილდენაფილი, სიფრთხილით გამოიყენება სასქესო ასოს ანატომიური დეფორმაციის მქონე პაციენტებში (როგორიცაა ანგულაცია, კავერნოზული ფიბროზი ან პეირონის დაავადება) ან იმ პაციენტებში, რომლებსაც აქვთ ისეთი მდგომარეობები, რომლებიც წინასწარ განაწყობენ მათ პრიაპიზმის მიმართ (როგორიცაა ნამგლისებრ-უჯრედოვანი ანემია, მრავლობითი მიელომა ან ლეიკემია). </w:t>
      </w:r>
    </w:p>
    <w:p w14:paraId="5A149D66" w14:textId="77777777" w:rsidR="00064ED7" w:rsidRPr="004F2FED" w:rsidRDefault="00064ED7" w:rsidP="0060552F">
      <w:pPr>
        <w:spacing w:after="0" w:line="240" w:lineRule="auto"/>
        <w:ind w:left="284"/>
        <w:jc w:val="both"/>
        <w:rPr>
          <w:rFonts w:ascii="Sylfaen" w:hAnsi="Sylfaen" w:cs="Sylfaen"/>
          <w:sz w:val="24"/>
          <w:szCs w:val="24"/>
        </w:rPr>
      </w:pPr>
    </w:p>
    <w:p w14:paraId="63E7302A" w14:textId="77777777" w:rsidR="00064ED7" w:rsidRPr="004F2FED" w:rsidRDefault="00064ED7" w:rsidP="00003E8F">
      <w:pPr>
        <w:spacing w:after="0" w:line="240" w:lineRule="auto"/>
        <w:ind w:left="284"/>
        <w:jc w:val="both"/>
        <w:rPr>
          <w:rFonts w:ascii="Sylfaen" w:hAnsi="Sylfaen"/>
          <w:color w:val="000000"/>
          <w:sz w:val="24"/>
          <w:szCs w:val="24"/>
          <w:u w:val="single"/>
        </w:rPr>
      </w:pPr>
      <w:r w:rsidRPr="004F2FED">
        <w:rPr>
          <w:rFonts w:ascii="Sylfaen" w:hAnsi="Sylfaen" w:cs="Sylfaen"/>
          <w:color w:val="000000"/>
          <w:sz w:val="24"/>
          <w:szCs w:val="24"/>
          <w:u w:val="single"/>
        </w:rPr>
        <w:t>ერექციული</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დისფუნქციის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სხვა</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სამკურნალო</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საშუალებებთან</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ერთდროული</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გამოყენება</w:t>
      </w:r>
    </w:p>
    <w:p w14:paraId="372F9A7E" w14:textId="77777777" w:rsidR="00064ED7" w:rsidRPr="004F2FED" w:rsidRDefault="00064ED7" w:rsidP="00003E8F">
      <w:pPr>
        <w:spacing w:after="0" w:line="240" w:lineRule="auto"/>
        <w:ind w:left="284"/>
        <w:jc w:val="both"/>
        <w:rPr>
          <w:rFonts w:ascii="Sylfaen" w:hAnsi="Sylfaen" w:cs="Sylfaen"/>
          <w:color w:val="000000"/>
          <w:sz w:val="24"/>
          <w:szCs w:val="24"/>
          <w:u w:val="single"/>
        </w:rPr>
      </w:pPr>
      <w:r w:rsidRPr="004F2FED">
        <w:rPr>
          <w:rFonts w:ascii="Sylfaen" w:hAnsi="Sylfaen" w:cs="Sylfaen"/>
          <w:color w:val="000000"/>
          <w:sz w:val="24"/>
          <w:szCs w:val="24"/>
          <w:u w:val="single"/>
        </w:rPr>
        <w:t>ერექციული</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დისფუნქციის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სხვა</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სამკურნალო</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საშუალებებთან</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სილდენაფილის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კომბინაციების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უსაფრთხოება</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და</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ეფექტურობა</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შესწავლილი</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არ</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არის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ამიტომ</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ასეთი</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კომბინაციების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გამოყენება</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არ</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არის</w:t>
      </w:r>
      <w:r w:rsidRPr="004F2FED">
        <w:rPr>
          <w:rFonts w:ascii="Sylfaen" w:hAnsi="Sylfaen"/>
          <w:color w:val="000000"/>
          <w:sz w:val="24"/>
          <w:szCs w:val="24"/>
          <w:u w:val="single"/>
        </w:rPr>
        <w:t xml:space="preserve"> </w:t>
      </w:r>
      <w:r w:rsidRPr="004F2FED">
        <w:rPr>
          <w:rFonts w:ascii="Sylfaen" w:hAnsi="Sylfaen" w:cs="Sylfaen"/>
          <w:color w:val="000000"/>
          <w:sz w:val="24"/>
          <w:szCs w:val="24"/>
          <w:u w:val="single"/>
        </w:rPr>
        <w:t>რეკომენდებული</w:t>
      </w:r>
      <w:r w:rsidRPr="004F2FED">
        <w:rPr>
          <w:rFonts w:ascii="Sylfaen" w:hAnsi="Sylfaen"/>
          <w:color w:val="000000"/>
          <w:sz w:val="24"/>
          <w:szCs w:val="24"/>
          <w:u w:val="single"/>
        </w:rPr>
        <w:t>.</w:t>
      </w:r>
    </w:p>
    <w:p w14:paraId="3846A871" w14:textId="77777777" w:rsidR="00064ED7" w:rsidRPr="004F2FED" w:rsidRDefault="00064ED7" w:rsidP="0060552F">
      <w:pPr>
        <w:spacing w:after="0" w:line="240" w:lineRule="auto"/>
        <w:ind w:left="284"/>
        <w:jc w:val="both"/>
        <w:rPr>
          <w:rFonts w:ascii="Sylfaen" w:hAnsi="Sylfaen" w:cs="Sylfaen"/>
          <w:sz w:val="24"/>
          <w:szCs w:val="24"/>
        </w:rPr>
      </w:pPr>
    </w:p>
    <w:p w14:paraId="09B8DAA2"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ეფექტები მხედველობაზე</w:t>
      </w:r>
    </w:p>
    <w:p w14:paraId="13A83BB1"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და სხვა PDE5 ინჰიბიტორების მიღებასთან დაკავშირებით სპონტანურად აღინიშნა მხედველობის დეფექტების შემთხვევები. სპონტანური და ობსერვაციული კვლევისას აღინიშნა იშვიათი მდგომარეობა, როგორიცაა არაარტერიული იშემიური წინა ოპტიკური ნეიროპათია სილდენაფილის და PDE5 ინჰიბიტორების მიღებასთან დაკავშირებით. პაციენტებს უნდა მიეცეთ რჩევა, რომ მხედველობის დეფექტის უეცრად განვითარების შემთხვევაში, სილდენაფილის მიღება უნდა შეწყვიტონ და დაუყოვნებლივ კონსულტაციისთვის დაუყოვნებლივ მიმართონ ექიმს.</w:t>
      </w:r>
    </w:p>
    <w:p w14:paraId="3806A9AD" w14:textId="77777777" w:rsidR="00064ED7" w:rsidRPr="004F2FED" w:rsidRDefault="00064ED7" w:rsidP="0060552F">
      <w:pPr>
        <w:spacing w:after="0" w:line="240" w:lineRule="auto"/>
        <w:ind w:left="284"/>
        <w:jc w:val="both"/>
        <w:rPr>
          <w:rFonts w:ascii="Sylfaen" w:hAnsi="Sylfaen" w:cs="Sylfaen"/>
          <w:sz w:val="24"/>
          <w:szCs w:val="24"/>
        </w:rPr>
      </w:pPr>
    </w:p>
    <w:p w14:paraId="72A82A69"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რიტონავირთან ერთად გამოყენება</w:t>
      </w:r>
    </w:p>
    <w:p w14:paraId="386FF2CF"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გამოყენება რიტონავირთან რეკომენდებული არ არის.</w:t>
      </w:r>
    </w:p>
    <w:p w14:paraId="39C2C1FF" w14:textId="77777777" w:rsidR="00064ED7" w:rsidRPr="004F2FED" w:rsidRDefault="00064ED7" w:rsidP="0060552F">
      <w:pPr>
        <w:spacing w:after="0" w:line="240" w:lineRule="auto"/>
        <w:ind w:left="284"/>
        <w:jc w:val="both"/>
        <w:rPr>
          <w:rFonts w:ascii="Sylfaen" w:hAnsi="Sylfaen" w:cs="Sylfaen"/>
          <w:sz w:val="24"/>
          <w:szCs w:val="24"/>
        </w:rPr>
      </w:pPr>
    </w:p>
    <w:p w14:paraId="7F992275"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ალფა-ბლოკატორებთან ერთად გამოყენება</w:t>
      </w:r>
    </w:p>
    <w:p w14:paraId="30CBE601"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რეკომენდებულია სიფრთხილის გამოჩენა, როდესაც სილდენაფილი მიიღება იმ პაციენტების მიერ, რომლებიც იღებენ ალფა-ბლოკატორებს, რადგან ზოგიერთ მგრძნობიარე პაციენტში ამ პრეპარატების ერთდროულად მიღებამ შეიძლება გამოიწვიოს სიმპტომატური ჰიპოტენზია. რაც ძირითადად ვითარდება სილდენაფილის მიღებიდან 4 საათში. პოსტურალური ჰიპოტენზიის განვითარების პოტენციალის შემცირების მიზნით, სილდენაფილით მკურნალობის დაწყებამდე პაციენტები ჰემოდინამიკურად სტაბილური უნდა იყვნენ ალფა-ბლოკატორებით თერაპიაზე. განხილული უნდა იყოს 25 მგ დოზით სილდენაფილის მიღების დაწყება. გარდა ამისა, ექიმებმა პაციენტებს უნდა მისცენ რჩევა, თუ როგორ უნდა მოიქცნენ, თუ განვითარდა პოსტურალური ჰიპოტენზიის სიმპტომები.</w:t>
      </w:r>
    </w:p>
    <w:p w14:paraId="194385D0" w14:textId="77777777" w:rsidR="00064ED7" w:rsidRPr="004F2FED" w:rsidRDefault="00064ED7" w:rsidP="0060552F">
      <w:pPr>
        <w:spacing w:after="0" w:line="240" w:lineRule="auto"/>
        <w:ind w:left="284"/>
        <w:jc w:val="both"/>
        <w:rPr>
          <w:rFonts w:ascii="Sylfaen" w:hAnsi="Sylfaen" w:cs="Sylfaen"/>
          <w:sz w:val="24"/>
          <w:szCs w:val="24"/>
        </w:rPr>
      </w:pPr>
    </w:p>
    <w:p w14:paraId="4E71410C"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ეფექტები სისხლდენაზე</w:t>
      </w:r>
    </w:p>
    <w:p w14:paraId="69D943F2"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lastRenderedPageBreak/>
        <w:t xml:space="preserve">ადამიანებში თრომბოციტებზე ჩატარებული კვლევები აჩვენებს, რომ სილდენაფილი აძლიერებს in vitro ნატრიუმის ნიტროპრუსიდის ანტიაგრეგაგაციულ ეფექტს. არ არსებობს სილდენაფილის მიღების უსაფრთხოების შესახებ ინფორმაცია იმ პაციენტებში, რომლებსაც აქვთ სისხლდენითი დარღვევები ან აქტიური პეპტიკური წყლული. ამიტომ, სილდენაფილი ამ პაციენტებში გამოიყენება მხოლოდ სარგებლის-რისკის მკაცრი შეფასების შემდეგ. </w:t>
      </w:r>
    </w:p>
    <w:p w14:paraId="4F108BE8" w14:textId="77777777" w:rsidR="00064ED7" w:rsidRPr="004F2FED" w:rsidRDefault="00064ED7" w:rsidP="0060552F">
      <w:pPr>
        <w:spacing w:after="0" w:line="240" w:lineRule="auto"/>
        <w:ind w:left="284"/>
        <w:jc w:val="both"/>
        <w:rPr>
          <w:rFonts w:ascii="Sylfaen" w:hAnsi="Sylfaen" w:cs="Sylfaen"/>
          <w:color w:val="000000"/>
          <w:sz w:val="24"/>
          <w:szCs w:val="24"/>
        </w:rPr>
      </w:pPr>
      <w:r w:rsidRPr="004F2FED">
        <w:rPr>
          <w:rFonts w:ascii="Sylfaen" w:hAnsi="Sylfaen" w:cs="Sylfaen"/>
          <w:color w:val="000000"/>
          <w:sz w:val="24"/>
          <w:szCs w:val="24"/>
        </w:rPr>
        <w:t>სილდენაფილის</w:t>
      </w:r>
      <w:r w:rsidRPr="004F2FED">
        <w:rPr>
          <w:rFonts w:ascii="Sylfaen" w:hAnsi="Sylfaen"/>
          <w:color w:val="000000"/>
          <w:sz w:val="24"/>
          <w:szCs w:val="24"/>
        </w:rPr>
        <w:t xml:space="preserve"> </w:t>
      </w:r>
      <w:r w:rsidRPr="004F2FED">
        <w:rPr>
          <w:rFonts w:ascii="Sylfaen" w:hAnsi="Sylfaen" w:cs="Sylfaen"/>
          <w:color w:val="000000"/>
          <w:sz w:val="24"/>
          <w:szCs w:val="24"/>
        </w:rPr>
        <w:t>გარსით</w:t>
      </w:r>
      <w:r w:rsidRPr="004F2FED">
        <w:rPr>
          <w:rFonts w:ascii="Sylfaen" w:hAnsi="Sylfaen"/>
          <w:color w:val="000000"/>
          <w:sz w:val="24"/>
          <w:szCs w:val="24"/>
        </w:rPr>
        <w:t xml:space="preserve"> </w:t>
      </w:r>
      <w:r w:rsidRPr="004F2FED">
        <w:rPr>
          <w:rFonts w:ascii="Sylfaen" w:hAnsi="Sylfaen" w:cs="Sylfaen"/>
          <w:color w:val="000000"/>
          <w:sz w:val="24"/>
          <w:szCs w:val="24"/>
        </w:rPr>
        <w:t>დაფარული</w:t>
      </w:r>
      <w:r w:rsidRPr="004F2FED">
        <w:rPr>
          <w:rFonts w:ascii="Sylfaen" w:hAnsi="Sylfaen"/>
          <w:color w:val="000000"/>
          <w:sz w:val="24"/>
          <w:szCs w:val="24"/>
        </w:rPr>
        <w:t xml:space="preserve"> </w:t>
      </w:r>
      <w:r w:rsidRPr="004F2FED">
        <w:rPr>
          <w:rFonts w:ascii="Sylfaen" w:hAnsi="Sylfaen" w:cs="Sylfaen"/>
          <w:color w:val="000000"/>
          <w:sz w:val="24"/>
          <w:szCs w:val="24"/>
        </w:rPr>
        <w:t>ტაბლეტის</w:t>
      </w:r>
      <w:r w:rsidRPr="004F2FED">
        <w:rPr>
          <w:rFonts w:ascii="Sylfaen" w:hAnsi="Sylfaen"/>
          <w:color w:val="000000"/>
          <w:sz w:val="24"/>
          <w:szCs w:val="24"/>
        </w:rPr>
        <w:t xml:space="preserve"> </w:t>
      </w:r>
      <w:r w:rsidRPr="004F2FED">
        <w:rPr>
          <w:rFonts w:ascii="Sylfaen" w:hAnsi="Sylfaen" w:cs="Sylfaen"/>
          <w:color w:val="000000"/>
          <w:sz w:val="24"/>
          <w:szCs w:val="24"/>
        </w:rPr>
        <w:t>აპკი</w:t>
      </w:r>
      <w:r w:rsidRPr="004F2FED">
        <w:rPr>
          <w:rFonts w:ascii="Sylfaen" w:hAnsi="Sylfaen"/>
          <w:color w:val="000000"/>
          <w:sz w:val="24"/>
          <w:szCs w:val="24"/>
        </w:rPr>
        <w:t xml:space="preserve"> </w:t>
      </w:r>
      <w:r w:rsidRPr="004F2FED">
        <w:rPr>
          <w:rFonts w:ascii="Sylfaen" w:hAnsi="Sylfaen" w:cs="Sylfaen"/>
          <w:color w:val="000000"/>
          <w:sz w:val="24"/>
          <w:szCs w:val="24"/>
        </w:rPr>
        <w:t>შეიცავს</w:t>
      </w:r>
      <w:r w:rsidRPr="004F2FED">
        <w:rPr>
          <w:rFonts w:ascii="Sylfaen" w:hAnsi="Sylfaen"/>
          <w:color w:val="000000"/>
          <w:sz w:val="24"/>
          <w:szCs w:val="24"/>
        </w:rPr>
        <w:t xml:space="preserve"> </w:t>
      </w:r>
      <w:r w:rsidRPr="004F2FED">
        <w:rPr>
          <w:rFonts w:ascii="Sylfaen" w:hAnsi="Sylfaen" w:cs="Sylfaen"/>
          <w:color w:val="000000"/>
          <w:sz w:val="24"/>
          <w:szCs w:val="24"/>
        </w:rPr>
        <w:t>ლაქტოზას</w:t>
      </w:r>
      <w:r w:rsidRPr="004F2FED">
        <w:rPr>
          <w:rFonts w:ascii="Sylfaen" w:hAnsi="Sylfaen"/>
          <w:color w:val="000000"/>
          <w:sz w:val="24"/>
          <w:szCs w:val="24"/>
        </w:rPr>
        <w:t xml:space="preserve">. </w:t>
      </w:r>
      <w:r w:rsidRPr="004F2FED">
        <w:rPr>
          <w:rFonts w:ascii="Sylfaen" w:hAnsi="Sylfaen" w:cs="Sylfaen"/>
          <w:color w:val="000000"/>
          <w:sz w:val="24"/>
          <w:szCs w:val="24"/>
        </w:rPr>
        <w:t>სილდენაფილი</w:t>
      </w:r>
      <w:r w:rsidRPr="004F2FED">
        <w:rPr>
          <w:rFonts w:ascii="Sylfaen" w:hAnsi="Sylfaen"/>
          <w:color w:val="000000"/>
          <w:sz w:val="24"/>
          <w:szCs w:val="24"/>
        </w:rPr>
        <w:t xml:space="preserve"> </w:t>
      </w:r>
      <w:r w:rsidRPr="004F2FED">
        <w:rPr>
          <w:rFonts w:ascii="Sylfaen" w:hAnsi="Sylfaen" w:cs="Sylfaen"/>
          <w:color w:val="000000"/>
          <w:sz w:val="24"/>
          <w:szCs w:val="24"/>
        </w:rPr>
        <w:t>არ</w:t>
      </w:r>
      <w:r w:rsidRPr="004F2FED">
        <w:rPr>
          <w:rFonts w:ascii="Sylfaen" w:hAnsi="Sylfaen"/>
          <w:color w:val="000000"/>
          <w:sz w:val="24"/>
          <w:szCs w:val="24"/>
        </w:rPr>
        <w:t xml:space="preserve"> </w:t>
      </w:r>
      <w:r w:rsidRPr="004F2FED">
        <w:rPr>
          <w:rFonts w:ascii="Sylfaen" w:hAnsi="Sylfaen" w:cs="Sylfaen"/>
          <w:color w:val="000000"/>
          <w:sz w:val="24"/>
          <w:szCs w:val="24"/>
        </w:rPr>
        <w:t>უნდა</w:t>
      </w:r>
      <w:r w:rsidRPr="004F2FED">
        <w:rPr>
          <w:rFonts w:ascii="Sylfaen" w:hAnsi="Sylfaen"/>
          <w:color w:val="000000"/>
          <w:sz w:val="24"/>
          <w:szCs w:val="24"/>
        </w:rPr>
        <w:t xml:space="preserve"> </w:t>
      </w:r>
      <w:r w:rsidRPr="004F2FED">
        <w:rPr>
          <w:rFonts w:ascii="Sylfaen" w:hAnsi="Sylfaen" w:cs="Sylfaen"/>
          <w:color w:val="000000"/>
          <w:sz w:val="24"/>
          <w:szCs w:val="24"/>
        </w:rPr>
        <w:t>დაინიშნოს</w:t>
      </w:r>
      <w:r w:rsidRPr="004F2FED">
        <w:rPr>
          <w:rFonts w:ascii="Sylfaen" w:hAnsi="Sylfaen"/>
          <w:color w:val="000000"/>
          <w:sz w:val="24"/>
          <w:szCs w:val="24"/>
        </w:rPr>
        <w:t xml:space="preserve"> </w:t>
      </w:r>
      <w:r w:rsidRPr="004F2FED">
        <w:rPr>
          <w:rFonts w:ascii="Sylfaen" w:hAnsi="Sylfaen" w:cs="Sylfaen"/>
          <w:color w:val="000000"/>
          <w:sz w:val="24"/>
          <w:szCs w:val="24"/>
        </w:rPr>
        <w:t>მამაკაცებში</w:t>
      </w:r>
      <w:r w:rsidRPr="004F2FED">
        <w:rPr>
          <w:rFonts w:ascii="Sylfaen" w:hAnsi="Sylfaen"/>
          <w:color w:val="000000"/>
          <w:sz w:val="24"/>
          <w:szCs w:val="24"/>
        </w:rPr>
        <w:t xml:space="preserve"> </w:t>
      </w:r>
      <w:r w:rsidRPr="004F2FED">
        <w:rPr>
          <w:rFonts w:ascii="Sylfaen" w:hAnsi="Sylfaen" w:cs="Sylfaen"/>
          <w:color w:val="000000"/>
          <w:sz w:val="24"/>
          <w:szCs w:val="24"/>
        </w:rPr>
        <w:t>გალაქტოზას</w:t>
      </w:r>
      <w:r w:rsidRPr="004F2FED">
        <w:rPr>
          <w:rFonts w:ascii="Sylfaen" w:hAnsi="Sylfaen"/>
          <w:color w:val="000000"/>
          <w:sz w:val="24"/>
          <w:szCs w:val="24"/>
        </w:rPr>
        <w:t xml:space="preserve"> </w:t>
      </w:r>
      <w:r w:rsidRPr="004F2FED">
        <w:rPr>
          <w:rFonts w:ascii="Sylfaen" w:hAnsi="Sylfaen" w:cs="Sylfaen"/>
          <w:color w:val="000000"/>
          <w:sz w:val="24"/>
          <w:szCs w:val="24"/>
        </w:rPr>
        <w:t>აუტანლობის</w:t>
      </w:r>
      <w:r w:rsidRPr="004F2FED">
        <w:rPr>
          <w:rFonts w:ascii="Sylfaen" w:hAnsi="Sylfaen"/>
          <w:color w:val="000000"/>
          <w:sz w:val="24"/>
          <w:szCs w:val="24"/>
        </w:rPr>
        <w:t xml:space="preserve"> </w:t>
      </w:r>
      <w:r w:rsidRPr="004F2FED">
        <w:rPr>
          <w:rFonts w:ascii="Sylfaen" w:hAnsi="Sylfaen" w:cs="Sylfaen"/>
          <w:color w:val="000000"/>
          <w:sz w:val="24"/>
          <w:szCs w:val="24"/>
        </w:rPr>
        <w:t>იშვიათი</w:t>
      </w:r>
      <w:r w:rsidRPr="004F2FED">
        <w:rPr>
          <w:rFonts w:ascii="Sylfaen" w:hAnsi="Sylfaen"/>
          <w:color w:val="000000"/>
          <w:sz w:val="24"/>
          <w:szCs w:val="24"/>
        </w:rPr>
        <w:t xml:space="preserve"> </w:t>
      </w:r>
      <w:r w:rsidRPr="004F2FED">
        <w:rPr>
          <w:rFonts w:ascii="Sylfaen" w:hAnsi="Sylfaen" w:cs="Sylfaen"/>
          <w:color w:val="000000"/>
          <w:sz w:val="24"/>
          <w:szCs w:val="24"/>
        </w:rPr>
        <w:t>მემკვიდრეობითი</w:t>
      </w:r>
      <w:r w:rsidRPr="004F2FED">
        <w:rPr>
          <w:rFonts w:ascii="Sylfaen" w:hAnsi="Sylfaen"/>
          <w:color w:val="000000"/>
          <w:sz w:val="24"/>
          <w:szCs w:val="24"/>
        </w:rPr>
        <w:t xml:space="preserve"> </w:t>
      </w:r>
      <w:r w:rsidRPr="004F2FED">
        <w:rPr>
          <w:rFonts w:ascii="Sylfaen" w:hAnsi="Sylfaen" w:cs="Sylfaen"/>
          <w:color w:val="000000"/>
          <w:sz w:val="24"/>
          <w:szCs w:val="24"/>
        </w:rPr>
        <w:t>პრობლემებით</w:t>
      </w:r>
      <w:r w:rsidRPr="004F2FED">
        <w:rPr>
          <w:rFonts w:ascii="Sylfaen" w:hAnsi="Sylfaen"/>
          <w:color w:val="000000"/>
          <w:sz w:val="24"/>
          <w:szCs w:val="24"/>
        </w:rPr>
        <w:t xml:space="preserve">, </w:t>
      </w:r>
      <w:r w:rsidRPr="004F2FED">
        <w:rPr>
          <w:rFonts w:ascii="Sylfaen" w:hAnsi="Sylfaen" w:cs="Sylfaen"/>
          <w:color w:val="000000"/>
          <w:sz w:val="24"/>
          <w:szCs w:val="24"/>
        </w:rPr>
        <w:t>ლაპ</w:t>
      </w:r>
      <w:r w:rsidRPr="004F2FED">
        <w:rPr>
          <w:rFonts w:ascii="Sylfaen" w:hAnsi="Sylfaen"/>
          <w:color w:val="000000"/>
          <w:sz w:val="24"/>
          <w:szCs w:val="24"/>
        </w:rPr>
        <w:t xml:space="preserve"> </w:t>
      </w:r>
      <w:r w:rsidRPr="004F2FED">
        <w:rPr>
          <w:rFonts w:ascii="Sylfaen" w:hAnsi="Sylfaen" w:cs="Sylfaen"/>
          <w:color w:val="000000"/>
          <w:sz w:val="24"/>
          <w:szCs w:val="24"/>
        </w:rPr>
        <w:t>ლაქტაზას</w:t>
      </w:r>
      <w:r w:rsidRPr="004F2FED">
        <w:rPr>
          <w:rFonts w:ascii="Sylfaen" w:hAnsi="Sylfaen"/>
          <w:color w:val="000000"/>
          <w:sz w:val="24"/>
          <w:szCs w:val="24"/>
        </w:rPr>
        <w:t xml:space="preserve"> </w:t>
      </w:r>
      <w:r w:rsidRPr="004F2FED">
        <w:rPr>
          <w:rFonts w:ascii="Sylfaen" w:hAnsi="Sylfaen" w:cs="Sylfaen"/>
          <w:color w:val="000000"/>
          <w:sz w:val="24"/>
          <w:szCs w:val="24"/>
        </w:rPr>
        <w:t>დეფიციტით</w:t>
      </w:r>
      <w:r w:rsidRPr="004F2FED">
        <w:rPr>
          <w:rFonts w:ascii="Sylfaen" w:hAnsi="Sylfaen"/>
          <w:color w:val="000000"/>
          <w:sz w:val="24"/>
          <w:szCs w:val="24"/>
        </w:rPr>
        <w:t xml:space="preserve"> </w:t>
      </w:r>
      <w:r w:rsidRPr="004F2FED">
        <w:rPr>
          <w:rFonts w:ascii="Sylfaen" w:hAnsi="Sylfaen" w:cs="Sylfaen"/>
          <w:color w:val="000000"/>
          <w:sz w:val="24"/>
          <w:szCs w:val="24"/>
        </w:rPr>
        <w:t>ან</w:t>
      </w:r>
      <w:r w:rsidRPr="004F2FED">
        <w:rPr>
          <w:rFonts w:ascii="Sylfaen" w:hAnsi="Sylfaen"/>
          <w:color w:val="000000"/>
          <w:sz w:val="24"/>
          <w:szCs w:val="24"/>
        </w:rPr>
        <w:t xml:space="preserve"> </w:t>
      </w:r>
      <w:r w:rsidRPr="004F2FED">
        <w:rPr>
          <w:rFonts w:ascii="Sylfaen" w:hAnsi="Sylfaen" w:cs="Sylfaen"/>
          <w:color w:val="000000"/>
          <w:sz w:val="24"/>
          <w:szCs w:val="24"/>
        </w:rPr>
        <w:t>გლუკოზა</w:t>
      </w:r>
      <w:r w:rsidRPr="004F2FED">
        <w:rPr>
          <w:rFonts w:ascii="Sylfaen" w:hAnsi="Sylfaen"/>
          <w:color w:val="000000"/>
          <w:sz w:val="24"/>
          <w:szCs w:val="24"/>
        </w:rPr>
        <w:t>-</w:t>
      </w:r>
      <w:r w:rsidRPr="004F2FED">
        <w:rPr>
          <w:rFonts w:ascii="Sylfaen" w:hAnsi="Sylfaen" w:cs="Sylfaen"/>
          <w:color w:val="000000"/>
          <w:sz w:val="24"/>
          <w:szCs w:val="24"/>
        </w:rPr>
        <w:t>გალაქტოზას</w:t>
      </w:r>
      <w:r w:rsidRPr="004F2FED">
        <w:rPr>
          <w:rFonts w:ascii="Sylfaen" w:hAnsi="Sylfaen"/>
          <w:color w:val="000000"/>
          <w:sz w:val="24"/>
          <w:szCs w:val="24"/>
        </w:rPr>
        <w:t xml:space="preserve"> </w:t>
      </w:r>
      <w:r w:rsidRPr="004F2FED">
        <w:rPr>
          <w:rFonts w:ascii="Sylfaen" w:hAnsi="Sylfaen" w:cs="Sylfaen"/>
          <w:color w:val="000000"/>
          <w:sz w:val="24"/>
          <w:szCs w:val="24"/>
        </w:rPr>
        <w:t>მალაბსორბციით</w:t>
      </w:r>
      <w:r w:rsidRPr="004F2FED">
        <w:rPr>
          <w:rFonts w:ascii="Sylfaen" w:hAnsi="Sylfaen"/>
          <w:color w:val="000000"/>
          <w:sz w:val="24"/>
          <w:szCs w:val="24"/>
        </w:rPr>
        <w:t>.</w:t>
      </w:r>
    </w:p>
    <w:p w14:paraId="48D419D3" w14:textId="77777777" w:rsidR="00064ED7" w:rsidRPr="004F2FED" w:rsidRDefault="00064ED7" w:rsidP="0060552F">
      <w:pPr>
        <w:spacing w:after="0" w:line="240" w:lineRule="auto"/>
        <w:ind w:left="284"/>
        <w:jc w:val="both"/>
        <w:rPr>
          <w:rFonts w:ascii="Sylfaen" w:hAnsi="Sylfaen" w:cs="Sylfaen"/>
          <w:color w:val="000000"/>
          <w:sz w:val="24"/>
          <w:szCs w:val="24"/>
        </w:rPr>
      </w:pPr>
    </w:p>
    <w:p w14:paraId="0BEF85A1"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ქალები</w:t>
      </w:r>
    </w:p>
    <w:p w14:paraId="7EE61A05" w14:textId="747C7310" w:rsidR="00064ED7" w:rsidRPr="004F2FED" w:rsidRDefault="00273BE9"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ზიაგრა </w:t>
      </w:r>
      <w:r w:rsidR="00064ED7" w:rsidRPr="004F2FED">
        <w:rPr>
          <w:rFonts w:ascii="Sylfaen" w:hAnsi="Sylfaen" w:cs="Sylfaen"/>
          <w:sz w:val="24"/>
          <w:szCs w:val="24"/>
        </w:rPr>
        <w:t>ნაჩვენები არ არის ქალებში გამოსაყენებლად.</w:t>
      </w:r>
    </w:p>
    <w:p w14:paraId="5C813C48" w14:textId="77777777" w:rsidR="00064ED7" w:rsidRPr="004F2FED" w:rsidRDefault="00064ED7" w:rsidP="0060552F">
      <w:pPr>
        <w:spacing w:after="0" w:line="240" w:lineRule="auto"/>
        <w:ind w:left="284"/>
        <w:jc w:val="both"/>
        <w:rPr>
          <w:rFonts w:ascii="Sylfaen" w:hAnsi="Sylfaen" w:cs="Sylfaen"/>
          <w:sz w:val="24"/>
          <w:szCs w:val="24"/>
        </w:rPr>
      </w:pPr>
    </w:p>
    <w:p w14:paraId="64F289C5" w14:textId="7FFF912C" w:rsidR="00064ED7" w:rsidRPr="004F2FED" w:rsidRDefault="00064ED7" w:rsidP="0060552F">
      <w:pPr>
        <w:autoSpaceDE w:val="0"/>
        <w:autoSpaceDN w:val="0"/>
        <w:adjustRightInd w:val="0"/>
        <w:spacing w:after="0" w:line="240" w:lineRule="auto"/>
        <w:ind w:left="284"/>
        <w:rPr>
          <w:rFonts w:ascii="Sylfaen" w:hAnsi="Sylfaen" w:cs="Sylfaen"/>
          <w:b/>
          <w:bCs/>
          <w:sz w:val="24"/>
          <w:szCs w:val="24"/>
        </w:rPr>
      </w:pPr>
      <w:r w:rsidRPr="004F2FED">
        <w:rPr>
          <w:rFonts w:ascii="Sylfaen" w:hAnsi="Sylfaen" w:cs="Sylfaen"/>
          <w:b/>
          <w:bCs/>
          <w:sz w:val="24"/>
          <w:szCs w:val="24"/>
        </w:rPr>
        <w:t>ურთიერთქმედება სხვა სამკურნალო პრეპარატებთან და ურთიერთქმედების სხვა ფორმები</w:t>
      </w:r>
      <w:r w:rsidR="00ED4EFB" w:rsidRPr="004F2FED">
        <w:rPr>
          <w:rFonts w:ascii="Sylfaen" w:hAnsi="Sylfaen" w:cs="Sylfaen"/>
          <w:b/>
          <w:bCs/>
          <w:sz w:val="24"/>
          <w:szCs w:val="24"/>
        </w:rPr>
        <w:t>:</w:t>
      </w:r>
    </w:p>
    <w:p w14:paraId="479C2ED2"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სხვა სამკურნალო საშუალებების ეფექტები სილდენაფილზე</w:t>
      </w:r>
    </w:p>
    <w:p w14:paraId="4DBD097A" w14:textId="77777777" w:rsidR="00064ED7" w:rsidRPr="004F2FED" w:rsidRDefault="00064ED7" w:rsidP="0060552F">
      <w:pPr>
        <w:spacing w:after="0" w:line="240" w:lineRule="auto"/>
        <w:ind w:left="284"/>
        <w:jc w:val="both"/>
        <w:rPr>
          <w:rFonts w:ascii="Sylfaen" w:hAnsi="Sylfaen" w:cs="Sylfaen"/>
          <w:i/>
          <w:iCs/>
          <w:sz w:val="24"/>
          <w:szCs w:val="24"/>
          <w:u w:val="single"/>
        </w:rPr>
      </w:pPr>
      <w:r w:rsidRPr="004F2FED">
        <w:rPr>
          <w:rFonts w:ascii="Sylfaen" w:hAnsi="Sylfaen" w:cs="Sylfaen"/>
          <w:i/>
          <w:iCs/>
          <w:sz w:val="24"/>
          <w:szCs w:val="24"/>
          <w:u w:val="single"/>
        </w:rPr>
        <w:t>In vitro კვლევები</w:t>
      </w:r>
    </w:p>
    <w:p w14:paraId="68216955"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მეტაბოლიზმი ძირითადად განპირობებულია ციტოქრომ P450 (CYP) იზოფორმებით 3A4 (ძირითადი გზა) და 2C9 (მცირე გზა). ამიტომ, ამ იზოფერმენტების ინჰიბიტორებმა შეიძლება შეამცირონ სილდენაფილის კლირენსი..</w:t>
      </w:r>
    </w:p>
    <w:p w14:paraId="64D2BDD0"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i/>
          <w:iCs/>
          <w:sz w:val="24"/>
          <w:szCs w:val="24"/>
          <w:u w:val="single"/>
        </w:rPr>
        <w:t xml:space="preserve">In vivo </w:t>
      </w:r>
      <w:r w:rsidRPr="004F2FED">
        <w:rPr>
          <w:rFonts w:ascii="Sylfaen" w:hAnsi="Sylfaen" w:cs="Sylfaen"/>
          <w:sz w:val="24"/>
          <w:szCs w:val="24"/>
          <w:u w:val="single"/>
        </w:rPr>
        <w:t>კვლევები</w:t>
      </w:r>
    </w:p>
    <w:p w14:paraId="03C8CFE6"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კლინიკური ცდების მონაცემების პოპულაციური ფარმაკოკინეტიკური ანალიზი აჩვენებს, რომ სილდენაფილის კლირენსი მცირდება CYP3A4 ინჰიბიტორებთან (როგორიცაა კეტოკონაზოლი, ერითრომიცინი, ციმეტიდინი) ერთად გამოყენებისას. მიუხედავად იმისა, რომ ამ პაციენტებში არ აღინიშნა უარყოფითი მოვლენების მომატებული შემთხვევები სილდენაფილის CYP3A4 ინჰიბიტორებთან ერთად, განხილული უნდა იყოს 25 მგ საწყისი დოზის გამოყენება. </w:t>
      </w:r>
    </w:p>
    <w:p w14:paraId="49DC5D48" w14:textId="77777777" w:rsidR="00064ED7" w:rsidRPr="004F2FED" w:rsidRDefault="00064ED7" w:rsidP="0060552F">
      <w:pPr>
        <w:spacing w:after="0" w:line="240" w:lineRule="auto"/>
        <w:ind w:left="284"/>
        <w:jc w:val="both"/>
        <w:rPr>
          <w:rFonts w:ascii="Sylfaen" w:hAnsi="Sylfaen" w:cs="Sylfaen"/>
          <w:sz w:val="24"/>
          <w:szCs w:val="24"/>
        </w:rPr>
      </w:pPr>
    </w:p>
    <w:p w14:paraId="25F36BE0"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აივ პროტეაზას ინჰიბიტორის რიტონავირის, რომელიც არის ძალიან ძლიერი P450 ინჰიბიტორი, მყარ მდგომარეობაში (500 მგ დღეში ორჯერ) მიღება სილდენაფილთან (100 მგ ერთჯერადი დოზა) იწვევდა სილდენაფილის Cmax-ის 300%-ით (4-ჯერ) ზრდას და სილდენაფილის პლაზმური AUC-ის 1,000%-ით (11-ჯერ) ზრდას. 24 საათში სილდენაფილის პლაზმური დონეები კვლავ იყო დაახლოებით 200 ნგ/მლ, ხოლო სილდენაფილის ცალკე მიღებისას  - დაახლოებით 5 ნგ/მლ. ეს შეესაბამება რიტონავირის შესამჩნევ ეფექტებს P450 სუბსტრატების ფართო სპექტრზე. სილდენაფილს არ გაანია ეფექტი რიტონავირის ფარმაკოკინეტიკაზე. აღნიშნული ფარმაკოკინეტიკური შედეგების საფუძველზე, რეკომენდებული არ არის სილდენაფილის მიღება რიტონავირთან ერთად და სილდენაფილის მაქსიმალური დოზა, არც ერთ შემთხვევაში, არ უნდა აღემატებოდეს 25 მგ-ს 48 საათში.</w:t>
      </w:r>
    </w:p>
    <w:p w14:paraId="067E2641" w14:textId="77777777" w:rsidR="00064ED7" w:rsidRPr="004F2FED" w:rsidRDefault="00064ED7" w:rsidP="0060552F">
      <w:pPr>
        <w:spacing w:after="0" w:line="240" w:lineRule="auto"/>
        <w:ind w:left="284"/>
        <w:jc w:val="both"/>
        <w:rPr>
          <w:rFonts w:ascii="Sylfaen" w:hAnsi="Sylfaen" w:cs="Sylfaen"/>
          <w:sz w:val="24"/>
          <w:szCs w:val="24"/>
        </w:rPr>
      </w:pPr>
    </w:p>
    <w:p w14:paraId="308E2FBB"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აივ პროტეაზას ინჰიბიტორის საქვინავირის, რომელიც არის CYP3A4 ინჰიბიტორი, მყარ მდგომარეობაში (1200 მგ დღეში სამჯერ) მიღება სილდენაფილთან (100 მგ ერთჯერადი დოზა) იწვევდა სილდენაფილის Cmax-ის 140%-ით ზრდას და სილდენაფილის AUC-ის 210%-ით ზრდას. სილდენაფილს არ გაანია ეფექტი საქვინავირის ფარმაკოკინეტიკაზე. მოსალოდნელია, რომ უფრო ძლიერ CYP3A4 ინჰიბიტორებს, როგორიცაა კეტოკონაზოლი და იტრაკონაზოლი, ექნებათ უფრო დიდი ეფექტები.</w:t>
      </w:r>
    </w:p>
    <w:p w14:paraId="59C9E18A" w14:textId="77777777" w:rsidR="00064ED7" w:rsidRPr="004F2FED" w:rsidRDefault="00064ED7" w:rsidP="0060552F">
      <w:pPr>
        <w:spacing w:after="0" w:line="240" w:lineRule="auto"/>
        <w:ind w:left="284"/>
        <w:jc w:val="both"/>
        <w:rPr>
          <w:rFonts w:ascii="Sylfaen" w:hAnsi="Sylfaen" w:cs="Sylfaen"/>
          <w:sz w:val="24"/>
          <w:szCs w:val="24"/>
        </w:rPr>
      </w:pPr>
    </w:p>
    <w:p w14:paraId="30DE455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lastRenderedPageBreak/>
        <w:t>როდესაც სილდენაფილის ერთჯერადი 100 მგ დოზა მიიღებოდა ერითრომიცინთან, რომელიც არის CYP3A4 სპეციფიკური ინჰიბიტორი, მყარ მდგომარეობაში (500 მგ დღეში ორჯერ 5 დღე), აღინიშნა სილდენაფილის სისტემური ექსპოზიციის (AUC) 182%-ით ზრდა. ნორმალურ ჯანმრთელ მამაკაც მოხალისეებში არ აღინიშნა აზითრომიცინის ეფექტი (500 მგ დღეში 3 დღე) AUC, Cmax, tmax, ელიმინაციის სიჩქარის მუდმივაზე ან სილდენაფილის ან მისი მთავარი მოცირკულირე მეტაბოლიტის შემდგომ ნახევარგამოყოფის პერიოდზე. ციმეტიდინი (800 მგ), ციტოქრომ P450 ინჰიბიტორი და არასპეციფიკური CYP3A4 ინჰიბიტორი იწვევდა პლაზმაში სილდენაფილის კონცენტრაციების 56%-ით ზრდას, როდესაც მიიღებოდა სილდენაფილთან ერთად (50 მგ) ჯანმრთელ მოხალისეებში.</w:t>
      </w:r>
    </w:p>
    <w:p w14:paraId="5A17357B" w14:textId="77777777" w:rsidR="00064ED7" w:rsidRPr="004F2FED" w:rsidRDefault="00064ED7" w:rsidP="0060552F">
      <w:pPr>
        <w:spacing w:after="0" w:line="240" w:lineRule="auto"/>
        <w:ind w:left="284"/>
        <w:jc w:val="both"/>
        <w:rPr>
          <w:rFonts w:ascii="Sylfaen" w:hAnsi="Sylfaen" w:cs="Sylfaen"/>
          <w:sz w:val="24"/>
          <w:szCs w:val="24"/>
        </w:rPr>
      </w:pPr>
    </w:p>
    <w:p w14:paraId="476B9AD5"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გრეიპფრუტის წვენი არის ნაწლავური კედლის მეტაბოლიზმის CYP3A4 სუსტი ინჰიბიტორი და შეიძლება გამოიწვიოს სილდენაფილის პლაზმური დონეების საშუალოდ მომატება. </w:t>
      </w:r>
    </w:p>
    <w:p w14:paraId="061FAD7B" w14:textId="77777777" w:rsidR="00064ED7" w:rsidRPr="004F2FED" w:rsidRDefault="00064ED7" w:rsidP="0060552F">
      <w:pPr>
        <w:spacing w:after="0" w:line="240" w:lineRule="auto"/>
        <w:ind w:left="284"/>
        <w:jc w:val="both"/>
        <w:rPr>
          <w:rFonts w:ascii="Sylfaen" w:hAnsi="Sylfaen" w:cs="Sylfaen"/>
          <w:sz w:val="24"/>
          <w:szCs w:val="24"/>
        </w:rPr>
      </w:pPr>
    </w:p>
    <w:p w14:paraId="084F01D5"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ანტაციდის (მაგნიუმის ჰიდროქსიდი/ალუმინის ჰიდროქსიდი) ერთჯერადი დოზები გავლენას არ ახდენდნენ სილდენაფილის ბიოშეღწევადობაზე. </w:t>
      </w:r>
    </w:p>
    <w:p w14:paraId="5A05FA0E" w14:textId="77777777" w:rsidR="00064ED7" w:rsidRPr="004F2FED" w:rsidRDefault="00064ED7" w:rsidP="0060552F">
      <w:pPr>
        <w:spacing w:after="0" w:line="240" w:lineRule="auto"/>
        <w:ind w:left="284"/>
        <w:jc w:val="both"/>
        <w:rPr>
          <w:rFonts w:ascii="Sylfaen" w:hAnsi="Sylfaen" w:cs="Sylfaen"/>
          <w:sz w:val="24"/>
          <w:szCs w:val="24"/>
        </w:rPr>
      </w:pPr>
    </w:p>
    <w:p w14:paraId="3256D556"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მიუხედავად იმისა, რომ ურთიერთქმედების კვლევები ჩატარებული არ არის ყველა პრეპარატისთვის, პოპულაციის ფარმაკოკინეტიკურმა ანალიზმა არ აჩვენა იმავდროული მკურნალობის ეფექტი სილდენაფილის ფარმაკოკინეტიკაზე, როდესაც პრეპარატები დაჯგუფებული იყო როგორც CYP2C9 ინჰიბიტორები (როგორიცაა ტოლბუტამიდი, ვარფარინი, ფენიტოინი), CYP2D6 ინჰიბიტორები (როგორიცაა სეროტონინის უკუმიტაცების სელექციური ინჰიბიტორები, ტრიციკლური ანტიდეპრესანტები), თიაზიდი და მონათესავე დიურეტუკები, მარყუჟოვანი და კალიუმის დამზოგავი დიურეტიკები, ანგიოტენზინ გარდამქმნელი ფერმენტის ინჰიბიტორები, კალციუმის არხის ბლოკატორები, ბეტა-ადრენორეცეპტორის ანტაგონისტები ან CYP450 მეტაბოლიზმის ინდუქტორები (როგორიცაა რიფამპიცინი, ბარბიტურატები). </w:t>
      </w:r>
    </w:p>
    <w:p w14:paraId="48430D72"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ნიკორანდილი არის კალიუმის არხის აქტივატორი და ნიტრატის ჰიბრიდი. ნიტრატის კომპონენტის გამო, მას აქვს პოტენციალი, რომ გამოიწვიოს სერიოზული ურთიერთქმედება სილდენაფილთან.</w:t>
      </w:r>
    </w:p>
    <w:p w14:paraId="4F67BA03" w14:textId="77777777" w:rsidR="00064ED7" w:rsidRPr="004F2FED" w:rsidRDefault="00064ED7" w:rsidP="0060552F">
      <w:pPr>
        <w:pStyle w:val="NormalWeb"/>
        <w:shd w:val="clear" w:color="auto" w:fill="FFFFFF"/>
        <w:spacing w:before="0" w:beforeAutospacing="0" w:after="0" w:afterAutospacing="0"/>
        <w:jc w:val="both"/>
        <w:rPr>
          <w:rFonts w:ascii="Sylfaen" w:hAnsi="Sylfaen" w:cs="Sylfaen"/>
          <w:lang w:val="ka-GE"/>
        </w:rPr>
      </w:pPr>
    </w:p>
    <w:p w14:paraId="5957D8A2"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სილდენაფილის ეფექტები სხვა სამკურნალო საშუალებებზე</w:t>
      </w:r>
    </w:p>
    <w:p w14:paraId="1A1EAD00" w14:textId="77777777" w:rsidR="00064ED7" w:rsidRPr="004F2FED" w:rsidRDefault="00064ED7" w:rsidP="0060552F">
      <w:pPr>
        <w:spacing w:after="0" w:line="240" w:lineRule="auto"/>
        <w:ind w:left="284"/>
        <w:jc w:val="both"/>
        <w:rPr>
          <w:rFonts w:ascii="Sylfaen" w:hAnsi="Sylfaen" w:cs="Sylfaen"/>
          <w:i/>
          <w:iCs/>
          <w:sz w:val="24"/>
          <w:szCs w:val="24"/>
          <w:u w:val="single"/>
        </w:rPr>
      </w:pPr>
      <w:r w:rsidRPr="004F2FED">
        <w:rPr>
          <w:rFonts w:ascii="Sylfaen" w:hAnsi="Sylfaen" w:cs="Sylfaen"/>
          <w:i/>
          <w:iCs/>
          <w:sz w:val="24"/>
          <w:szCs w:val="24"/>
          <w:u w:val="single"/>
        </w:rPr>
        <w:t>In vitro კვლევები</w:t>
      </w:r>
    </w:p>
    <w:p w14:paraId="25DF8CED"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 არის ციტოქრომ P450 იზოფორმების 1A2, 2C9, 2C19, 2D6, 2E1 და 3A4 სუსტი ინჰიბიტორი (</w:t>
      </w:r>
      <w:bookmarkStart w:id="0" w:name="_Hlk231399157"/>
      <w:r w:rsidRPr="004F2FED">
        <w:rPr>
          <w:rFonts w:ascii="Sylfaen" w:hAnsi="Sylfaen" w:cs="Sylfaen"/>
          <w:sz w:val="24"/>
          <w:szCs w:val="24"/>
        </w:rPr>
        <w:t>IC</w:t>
      </w:r>
      <w:r w:rsidRPr="004F2FED">
        <w:rPr>
          <w:rFonts w:ascii="Sylfaen" w:hAnsi="Sylfaen" w:cs="Sylfaen"/>
          <w:sz w:val="24"/>
          <w:szCs w:val="24"/>
          <w:vertAlign w:val="subscript"/>
        </w:rPr>
        <w:t>50</w:t>
      </w:r>
      <w:r w:rsidRPr="004F2FED">
        <w:rPr>
          <w:rFonts w:ascii="Sylfaen" w:hAnsi="Sylfaen" w:cs="Sylfaen"/>
          <w:sz w:val="24"/>
          <w:szCs w:val="24"/>
        </w:rPr>
        <w:t>&gt;150µM)</w:t>
      </w:r>
      <w:bookmarkEnd w:id="0"/>
      <w:r w:rsidRPr="004F2FED">
        <w:rPr>
          <w:rFonts w:ascii="Sylfaen" w:hAnsi="Sylfaen" w:cs="Sylfaen"/>
          <w:sz w:val="24"/>
          <w:szCs w:val="24"/>
        </w:rPr>
        <w:t xml:space="preserve">. იმის გამო, რომ რეკომენდებული დოზების მიღების შემდეგ სილდენაფილის პიკური პლაზმური კონცენტრაციები არის დაახლოებით </w:t>
      </w:r>
      <w:bookmarkStart w:id="1" w:name="_Hlk231399171"/>
      <w:r w:rsidRPr="004F2FED">
        <w:rPr>
          <w:rFonts w:ascii="Sylfaen" w:hAnsi="Sylfaen" w:cs="Sylfaen"/>
          <w:sz w:val="24"/>
          <w:szCs w:val="24"/>
        </w:rPr>
        <w:t>1 µM</w:t>
      </w:r>
      <w:bookmarkEnd w:id="1"/>
      <w:r w:rsidRPr="004F2FED">
        <w:rPr>
          <w:rFonts w:ascii="Sylfaen" w:hAnsi="Sylfaen" w:cs="Sylfaen"/>
          <w:sz w:val="24"/>
          <w:szCs w:val="24"/>
        </w:rPr>
        <w:t>, მოსალოდნელი არ არის, რომ სილდენაფილი შეცვლის ამ იზოფერმენტების სუბსტრატების კლირენსს.</w:t>
      </w:r>
    </w:p>
    <w:p w14:paraId="0C2E3538" w14:textId="77777777" w:rsidR="00064ED7" w:rsidRPr="004F2FED" w:rsidRDefault="00064ED7" w:rsidP="0060552F">
      <w:pPr>
        <w:spacing w:after="0" w:line="240" w:lineRule="auto"/>
        <w:ind w:left="284"/>
        <w:jc w:val="both"/>
        <w:rPr>
          <w:rFonts w:ascii="Sylfaen" w:hAnsi="Sylfaen" w:cs="Sylfaen"/>
          <w:sz w:val="24"/>
          <w:szCs w:val="24"/>
        </w:rPr>
      </w:pPr>
    </w:p>
    <w:p w14:paraId="63BC6601"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არ არსებობს მონაცემების სილდენაფილსა და არასპეციფიკურ ფოსფოდიესთერაზას ინჰიბიტორების, როგორიცაა თეოფილინი ან დიპირიდამოლი, ურთიერთქმედების შესახებ.</w:t>
      </w:r>
    </w:p>
    <w:p w14:paraId="4DA22B33" w14:textId="77777777" w:rsidR="00064ED7" w:rsidRPr="004F2FED" w:rsidRDefault="00064ED7" w:rsidP="0060552F">
      <w:pPr>
        <w:spacing w:after="0" w:line="240" w:lineRule="auto"/>
        <w:ind w:left="284"/>
        <w:jc w:val="both"/>
        <w:rPr>
          <w:rFonts w:ascii="Sylfaen" w:hAnsi="Sylfaen" w:cs="Sylfaen"/>
          <w:i/>
          <w:iCs/>
          <w:sz w:val="24"/>
          <w:szCs w:val="24"/>
        </w:rPr>
      </w:pPr>
    </w:p>
    <w:p w14:paraId="61602083" w14:textId="77777777" w:rsidR="00064ED7" w:rsidRPr="004F2FED" w:rsidRDefault="00064ED7" w:rsidP="0060552F">
      <w:pPr>
        <w:spacing w:after="0" w:line="240" w:lineRule="auto"/>
        <w:ind w:left="284"/>
        <w:jc w:val="both"/>
        <w:rPr>
          <w:rFonts w:ascii="Sylfaen" w:hAnsi="Sylfaen" w:cs="Sylfaen"/>
          <w:i/>
          <w:iCs/>
          <w:sz w:val="24"/>
          <w:szCs w:val="24"/>
          <w:u w:val="single"/>
        </w:rPr>
      </w:pPr>
      <w:r w:rsidRPr="004F2FED">
        <w:rPr>
          <w:rFonts w:ascii="Sylfaen" w:hAnsi="Sylfaen" w:cs="Sylfaen"/>
          <w:i/>
          <w:iCs/>
          <w:sz w:val="24"/>
          <w:szCs w:val="24"/>
          <w:u w:val="single"/>
        </w:rPr>
        <w:t>In vivo კვლევები</w:t>
      </w:r>
    </w:p>
    <w:p w14:paraId="3FCC2B64"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lastRenderedPageBreak/>
        <w:t>აზოტის ოქსიდის/ციკლური გუანოზინის მონოფოსფატის გზაზე ცნობილი ეფექტების შესაბამისად, სილდენაფილმა გამოავლინა ნიტრატების ჰიპოტენზიური ეფექტების გაძლიერების უნარი და ამიტომ, მისი მიღება უკუნაჩვენებია აზოტის ოქსიდის დონატორებთან ან ნიტრატებთან ნებისმიერი ფორმით.</w:t>
      </w:r>
    </w:p>
    <w:p w14:paraId="16A96117" w14:textId="77777777" w:rsidR="00064ED7" w:rsidRPr="004F2FED" w:rsidRDefault="00064ED7" w:rsidP="0060552F">
      <w:pPr>
        <w:spacing w:after="0" w:line="240" w:lineRule="auto"/>
        <w:ind w:left="284"/>
        <w:rPr>
          <w:rFonts w:ascii="Sylfaen" w:hAnsi="Sylfaen" w:cs="Sylfaen"/>
          <w:sz w:val="24"/>
          <w:szCs w:val="24"/>
        </w:rPr>
      </w:pPr>
    </w:p>
    <w:p w14:paraId="7AFE66F3"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მიღებისას იმ პაციენტებში, რომლებიც იღებენ ალფა-ბლოკატორებს, ზოგიერთ მგრძნობიარე პაციენტში შეიძლება აღინიშნოს სიმპტომატური ჰიპოტენზია. ეს ყველაზე მეტად სავარაუდოა, რომ გამოვლინდეს სილდენაფილის დოზის მიღებიდან 4 საათში. სამი სპეციფიკური წამალთშორისი ურთიერთქმედების კვლევისას ალფა-ბლოკატორი დოქსაზოზინი (4 მგ და 8 მგ) და სილდენაფილი (25 მგ, 50 მგ, ან 100 მგ) გამოიყენებოდა ერთდროულად პროსტატის კეთილთვისებიანი ჰიპერპლაზიის მქონე პაციენტებში, რომლებიც სტაბილიზებული იყვნენ დოქსაზოზინის თერაპიაზე. ამ კვლევისას აღინიშნა ზურგზე წოლის დროს არტერიული წნევის დამატებით შემცირება საშუალოდ 7/7 მმ ვწყ.სვ., 9/5მმ ვწყ.სვ. და 8/4 მმ ვწყ.სვ.-ით და ფეხზე დგომისას არტერიული წნევის დამატებით შემცირება საშუალოდ 6/6მმ ვწყ.სვ., 11/4 მმ ვწყ.სვ. და 4/5 მმ ვწყ.სვ.-ით, შესაბამისად. როდესაც სილდენაფილი და დოქსაზოსინი ერთდროულად მიიღებოდა დოქსაზოსინით თერაპიაზე სტაბილიზებულ პაციენტებში, რამდენიმე პაციენტში აღინიშნა სიმპტომატური პოსტურალური ჰიპოტენზია, რომლის ნიშნები იყო თავბრუსხვევა, მაგრამ არა სინკოპე.</w:t>
      </w:r>
    </w:p>
    <w:p w14:paraId="0CC06FF1"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არ აღინიშნა მნიშვნელოვანი ურთიერთქმედებები, როდესაც სილდენაფილი (50მგ) მიიღებოდა ტოლბუტამიდთან (250 მგ) ან ვარფარინთან (40მგ) ერთად, რომლებიც მეტაბოლიზდება CYP2C9-ით.</w:t>
      </w:r>
    </w:p>
    <w:p w14:paraId="4D93272C"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 (50 მგ) არ იწვევს აცეტილსალიცილის მჟავას (150 მგ) მიერ გამოწვეულ სისხლდენის დროის მატებას. </w:t>
      </w:r>
    </w:p>
    <w:p w14:paraId="2152ACC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 (50 მგ) არ აძლიერებს ალკოჰოლის ჰიპოტენზიურ ეფექტებს ჯანმრთელ მოხალისეებში სისხლში ალკოჰოლის საშუალო მაქსიმალური დონეებით 80 მგ/დლ. </w:t>
      </w:r>
    </w:p>
    <w:p w14:paraId="7BBB60C6"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შემდეგი კლასის ანტიჰიპერტენზიული პრეპარატების მიღებისას არ გამოვლენილა გვერდითი ეფექტის პროფილის სხვაობა იმ პაციენტებში, რომლებიც იღებდნენ სილდენაფილს, პლაცებოსთან შედარებით: დიურეტიკები, ბეტა-ბლოკატორები, აგფ ინჰიბიტორები, ანგიოტენზინ II ანტაგონისტები, ანტიჰიპერტენზიული სამკურნალო საშუალებები (ვაზოდილატატორი და ცენტრალურად მოქმედი), ადრენერგული ნეირონის ბლოკატორები, კალციუმის არხის ბლოკატორები და ალფა-ადრენორეცეპტორის ბლოკატორები. სპეციფიკური ურთიერთქმედების კვლევის დროს, სადაც სილდენაფილი (100 მგ) გამოიყენებოდა ამლოდიპინთან ერთად ჰიპერტენზიულ პაციენტებში, აღინიშნა ზურგზე წოლის დროს სისტოლური არტერიული წნევის დამატებით შემცირება 8 მმ ვწყ.სვ.-ით. ზურგზე წოლის დროს დიასტოლური არტერიული წნევა დამატებით მცირდებოდა 7 მმ ვწყ.სვ.-ით. აღნიშნული არტერიული წნევის დამატებითი შემცირებები ისეთივე მასშტაბის იყო, როგორიც სილდენაფილის ცალკე გამოყენებისას ჯანმრთელ მოხალისეებში.</w:t>
      </w:r>
    </w:p>
    <w:p w14:paraId="5E7C9040"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 (100 მგ) გავლენას არ ახდენდა აივ პროტეაზას ინჰიბიტორების მყარ ფარმაკოკინეტიკაზე, როგორიცაა საქვინავირი და რიტონავირი, რომლებიც CYP3A4-ის სუბსტრატებია. </w:t>
      </w:r>
    </w:p>
    <w:p w14:paraId="6BB6DF0F" w14:textId="77777777" w:rsidR="00064ED7" w:rsidRPr="004F2FED" w:rsidRDefault="00064ED7" w:rsidP="0060552F">
      <w:pPr>
        <w:spacing w:after="0" w:line="240" w:lineRule="auto"/>
        <w:ind w:left="284"/>
        <w:jc w:val="both"/>
        <w:rPr>
          <w:rFonts w:ascii="Sylfaen" w:hAnsi="Sylfaen" w:cs="Sylfaen"/>
          <w:sz w:val="24"/>
          <w:szCs w:val="24"/>
        </w:rPr>
      </w:pPr>
    </w:p>
    <w:p w14:paraId="61982D4C" w14:textId="00B7BEC1"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ორსულობა და ლაქტაცია</w:t>
      </w:r>
      <w:r w:rsidR="006431BE" w:rsidRPr="004F2FED">
        <w:rPr>
          <w:rFonts w:ascii="Sylfaen" w:hAnsi="Sylfaen" w:cs="Sylfaen"/>
          <w:b/>
          <w:bCs/>
          <w:sz w:val="24"/>
          <w:szCs w:val="24"/>
        </w:rPr>
        <w:t>:</w:t>
      </w:r>
    </w:p>
    <w:p w14:paraId="260E9759" w14:textId="5ADFD5C9" w:rsidR="00064ED7" w:rsidRPr="004F2FED" w:rsidRDefault="00273BE9"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ზიაგრა </w:t>
      </w:r>
      <w:r w:rsidR="00064ED7" w:rsidRPr="004F2FED">
        <w:rPr>
          <w:rFonts w:ascii="Sylfaen" w:hAnsi="Sylfaen" w:cs="Sylfaen"/>
          <w:sz w:val="24"/>
          <w:szCs w:val="24"/>
        </w:rPr>
        <w:t>ნაჩვენები არ ინიშნება ქალებში.</w:t>
      </w:r>
    </w:p>
    <w:p w14:paraId="18D109E6"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lastRenderedPageBreak/>
        <w:t xml:space="preserve">შესაბამისი და კარგად კონტროლირებული კვლევები ორსულ ან მეძუძურ ქალებში ჩატარებული არ არის. </w:t>
      </w:r>
    </w:p>
    <w:p w14:paraId="26758ADB"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რელევანტური უარყოფითი ეფექტები არ გამოვლენილა ვირთაგვებში და ბოცვრებში ჩატარებული რეპროდუქციული კვლევებისას სილდენაფილის პერორალურად მიღების შემდეგ.</w:t>
      </w:r>
    </w:p>
    <w:p w14:paraId="065CC649"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ჯანმრთელ მოხალისეებში სილდენაფილის ერთჯერადი 100 მგ პერორალური დოზების მიღების შემდეგ არ აღინიშნა ეფექტი სპერმის მოძრაობაზე ან მორფოლოგიაზე.</w:t>
      </w:r>
    </w:p>
    <w:p w14:paraId="302F8004" w14:textId="77777777" w:rsidR="00064ED7" w:rsidRPr="004F2FED" w:rsidRDefault="00064ED7" w:rsidP="0060552F">
      <w:pPr>
        <w:shd w:val="clear" w:color="auto" w:fill="FFFFFF"/>
        <w:spacing w:after="0" w:line="240" w:lineRule="auto"/>
        <w:jc w:val="both"/>
        <w:rPr>
          <w:rFonts w:ascii="Sylfaen" w:hAnsi="Sylfaen" w:cs="Sylfaen"/>
          <w:sz w:val="24"/>
          <w:szCs w:val="24"/>
          <w:u w:val="single"/>
        </w:rPr>
      </w:pPr>
    </w:p>
    <w:p w14:paraId="294ED459" w14:textId="77777777"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გავლენა ავტომობილის მართვისა და მექანიზმების გამოყენების უნარზე</w:t>
      </w:r>
    </w:p>
    <w:p w14:paraId="50352B54" w14:textId="031E45CC" w:rsidR="00064ED7" w:rsidRPr="004F2FED" w:rsidRDefault="00AA5C79" w:rsidP="0060552F">
      <w:pPr>
        <w:spacing w:after="0" w:line="240" w:lineRule="auto"/>
        <w:ind w:left="284"/>
        <w:jc w:val="both"/>
        <w:rPr>
          <w:rFonts w:ascii="Sylfaen" w:hAnsi="Sylfaen" w:cs="Sylfaen"/>
          <w:sz w:val="24"/>
          <w:szCs w:val="24"/>
        </w:rPr>
      </w:pPr>
      <w:r w:rsidRPr="004F2FED">
        <w:rPr>
          <w:rFonts w:ascii="Sylfaen" w:hAnsi="Sylfaen" w:cs="Sylfaen"/>
          <w:sz w:val="24"/>
          <w:szCs w:val="24"/>
        </w:rPr>
        <w:t>ზიაგრა</w:t>
      </w:r>
      <w:r w:rsidR="00E13393" w:rsidRPr="004F2FED">
        <w:rPr>
          <w:rFonts w:ascii="Sylfaen" w:hAnsi="Sylfaen" w:cs="Sylfaen"/>
          <w:sz w:val="24"/>
          <w:szCs w:val="24"/>
        </w:rPr>
        <w:t>მ</w:t>
      </w:r>
      <w:r w:rsidR="00064ED7" w:rsidRPr="004F2FED">
        <w:rPr>
          <w:rFonts w:ascii="Sylfaen" w:hAnsi="Sylfaen" w:cs="Sylfaen"/>
          <w:sz w:val="24"/>
          <w:szCs w:val="24"/>
        </w:rPr>
        <w:t xml:space="preserve"> შესაძლოა იქონიოს მცირედი გავლენა ავტომობილისა და სხვა მექანიზმების მართვის უნარზე. </w:t>
      </w:r>
    </w:p>
    <w:p w14:paraId="22CC1CEB" w14:textId="52F9BBAF"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ვინაიდან თავბრუსხვევა და მხედველობის დაქვეითება აღწერილი იყო სილდენაფილის კლინიკურ კვლევებში, ავტომობილისა და სხვა მექანიზმების მართვის დაწყებამდე პაციენტმა უნდა იცოდეს, როგორ მოქმედებს მასზე </w:t>
      </w:r>
      <w:r w:rsidR="00AA5C79" w:rsidRPr="004F2FED">
        <w:rPr>
          <w:rFonts w:ascii="Sylfaen" w:hAnsi="Sylfaen" w:cs="Sylfaen"/>
          <w:sz w:val="24"/>
          <w:szCs w:val="24"/>
        </w:rPr>
        <w:t>ზიაგრა</w:t>
      </w:r>
      <w:r w:rsidRPr="004F2FED">
        <w:rPr>
          <w:rFonts w:ascii="Sylfaen" w:hAnsi="Sylfaen" w:cs="Sylfaen"/>
          <w:sz w:val="24"/>
          <w:szCs w:val="24"/>
        </w:rPr>
        <w:t>.</w:t>
      </w:r>
    </w:p>
    <w:p w14:paraId="0B7E3053" w14:textId="77777777" w:rsidR="00064ED7" w:rsidRPr="004F2FED" w:rsidRDefault="00064ED7" w:rsidP="0060552F">
      <w:pPr>
        <w:spacing w:after="0" w:line="240" w:lineRule="auto"/>
        <w:ind w:left="284"/>
        <w:jc w:val="both"/>
        <w:rPr>
          <w:rFonts w:ascii="Sylfaen" w:hAnsi="Sylfaen" w:cs="Sylfaen"/>
          <w:b/>
          <w:bCs/>
          <w:sz w:val="24"/>
          <w:szCs w:val="24"/>
        </w:rPr>
      </w:pPr>
    </w:p>
    <w:p w14:paraId="0310A88A" w14:textId="2D6CD756"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არასასურველი ეფექტები</w:t>
      </w:r>
      <w:r w:rsidR="00F77EA2" w:rsidRPr="004F2FED">
        <w:rPr>
          <w:rFonts w:ascii="Sylfaen" w:hAnsi="Sylfaen" w:cs="Sylfaen"/>
          <w:b/>
          <w:bCs/>
          <w:sz w:val="24"/>
          <w:szCs w:val="24"/>
        </w:rPr>
        <w:t>:</w:t>
      </w:r>
      <w:r w:rsidRPr="004F2FED">
        <w:rPr>
          <w:rFonts w:ascii="Sylfaen" w:hAnsi="Sylfaen" w:cs="Sylfaen"/>
          <w:b/>
          <w:bCs/>
          <w:sz w:val="24"/>
          <w:szCs w:val="24"/>
        </w:rPr>
        <w:t xml:space="preserve"> </w:t>
      </w:r>
    </w:p>
    <w:p w14:paraId="311E5514"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უსაფრთხოების პროფილის შეჯამება</w:t>
      </w:r>
    </w:p>
    <w:p w14:paraId="73B2BAC7"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უსაფრთხოების პროფილი ეფუძნება 9570 პაცინეტზე ჩატარებულ 74 ორმაგ ბრმა პლაცებო–კონტროლირებად კლინიკური კვლევების მონაცემებს. კლინიკურ კვლევებში ყველაზე ხშირად გამოვლენილი უარყოფითი რეაქციები იყო თავის ტკივილი, სისხლის მოწოლა, დისპეფსია, ცხვირში შეგუბება, თავბრუსხვევა, გულისრევა, სიცხის მოწოლა, მხედველობის დარღვევა, ციანოპსია და მხედველობის დაბინდვა.</w:t>
      </w:r>
    </w:p>
    <w:p w14:paraId="2AB46552"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პოსტ-მარკეტინგული ზედამხედველობისას უარყოფითი რეაქციები შეგროვდა &gt;10 წლის პერიოდზე. რადგან ყველა უარყოფითი რეაქციის შესახებ ინფორმაცია არ მიეწოდება სავაჭრო ლიცენზიის მფლობელს და შეტანილი არ არის უსაფრთხოების მონაცემთა ბაზაში, ამ რეაქციების სიხშირეების სარწმუნოდ განსაზღვრა შეუძლებელია.</w:t>
      </w:r>
    </w:p>
    <w:p w14:paraId="659FCC89"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უარყოფითი რეაქციების ცხრილური ჩამონათვალი</w:t>
      </w:r>
    </w:p>
    <w:p w14:paraId="3E768421"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ქვემოთ ცხრილში ყველა სამედიცინო თვალსაზრისით მნიშვნელოვანი უარყოფითი რეაქცია, რომლებიც ვითარდებოდა კლინიკური კვლევების დროს იმაზე მეტი სიხშირით, ვიდრე პლაცებოს შემთხვევაში, ჩამოთვლილია სისტემურ ორგანოთა კლასის და სიხშირის მიხედვით (ძალიან ხშირი </w:t>
      </w:r>
      <w:bookmarkStart w:id="2" w:name="_Hlk231399345"/>
      <w:r w:rsidRPr="004F2FED">
        <w:rPr>
          <w:rFonts w:ascii="Sylfaen" w:hAnsi="Sylfaen" w:cs="Sylfaen"/>
          <w:sz w:val="24"/>
          <w:szCs w:val="24"/>
        </w:rPr>
        <w:t>(</w:t>
      </w:r>
      <w:r w:rsidRPr="004F2FED">
        <w:rPr>
          <w:rFonts w:ascii="Sylfaen" w:hAnsi="Sylfaen" w:cs="Sylfaen"/>
          <w:sz w:val="24"/>
          <w:szCs w:val="24"/>
          <w:u w:val="single"/>
        </w:rPr>
        <w:t>&gt;</w:t>
      </w:r>
      <w:r w:rsidRPr="004F2FED">
        <w:rPr>
          <w:rFonts w:ascii="Sylfaen" w:hAnsi="Sylfaen" w:cs="Sylfaen"/>
          <w:sz w:val="24"/>
          <w:szCs w:val="24"/>
        </w:rPr>
        <w:t>1/10)</w:t>
      </w:r>
      <w:bookmarkEnd w:id="2"/>
      <w:r w:rsidRPr="004F2FED">
        <w:rPr>
          <w:rFonts w:ascii="Sylfaen" w:hAnsi="Sylfaen" w:cs="Sylfaen"/>
          <w:sz w:val="24"/>
          <w:szCs w:val="24"/>
        </w:rPr>
        <w:t xml:space="preserve">, ხშირი </w:t>
      </w:r>
      <w:bookmarkStart w:id="3" w:name="_Hlk231399361"/>
      <w:r w:rsidRPr="004F2FED">
        <w:rPr>
          <w:rFonts w:ascii="Sylfaen" w:hAnsi="Sylfaen" w:cs="Sylfaen"/>
          <w:sz w:val="24"/>
          <w:szCs w:val="24"/>
        </w:rPr>
        <w:t>(</w:t>
      </w:r>
      <w:r w:rsidRPr="004F2FED">
        <w:rPr>
          <w:rFonts w:ascii="Sylfaen" w:hAnsi="Sylfaen" w:cs="Sylfaen"/>
          <w:sz w:val="24"/>
          <w:szCs w:val="24"/>
          <w:u w:val="single"/>
        </w:rPr>
        <w:t>&gt;</w:t>
      </w:r>
      <w:r w:rsidRPr="004F2FED">
        <w:rPr>
          <w:rFonts w:ascii="Sylfaen" w:hAnsi="Sylfaen" w:cs="Sylfaen"/>
          <w:sz w:val="24"/>
          <w:szCs w:val="24"/>
        </w:rPr>
        <w:t>1/100-&lt;1/10),</w:t>
      </w:r>
      <w:bookmarkEnd w:id="3"/>
      <w:r w:rsidRPr="004F2FED">
        <w:rPr>
          <w:rFonts w:ascii="Sylfaen" w:hAnsi="Sylfaen" w:cs="Sylfaen"/>
          <w:sz w:val="24"/>
          <w:szCs w:val="24"/>
        </w:rPr>
        <w:t xml:space="preserve"> არახშირი </w:t>
      </w:r>
      <w:bookmarkStart w:id="4" w:name="_Hlk231399374"/>
      <w:r w:rsidRPr="004F2FED">
        <w:rPr>
          <w:rFonts w:ascii="Sylfaen" w:hAnsi="Sylfaen" w:cs="Sylfaen"/>
          <w:sz w:val="24"/>
          <w:szCs w:val="24"/>
        </w:rPr>
        <w:t>(</w:t>
      </w:r>
      <w:r w:rsidRPr="004F2FED">
        <w:rPr>
          <w:rFonts w:ascii="Sylfaen" w:hAnsi="Sylfaen" w:cs="Sylfaen"/>
          <w:sz w:val="24"/>
          <w:szCs w:val="24"/>
          <w:u w:val="single"/>
        </w:rPr>
        <w:t>&gt;</w:t>
      </w:r>
      <w:r w:rsidRPr="004F2FED">
        <w:rPr>
          <w:rFonts w:ascii="Sylfaen" w:hAnsi="Sylfaen" w:cs="Sylfaen"/>
          <w:sz w:val="24"/>
          <w:szCs w:val="24"/>
        </w:rPr>
        <w:t xml:space="preserve">1/1.000 - &lt;1/100), </w:t>
      </w:r>
      <w:bookmarkEnd w:id="4"/>
      <w:r w:rsidRPr="004F2FED">
        <w:rPr>
          <w:rFonts w:ascii="Sylfaen" w:hAnsi="Sylfaen" w:cs="Sylfaen"/>
          <w:sz w:val="24"/>
          <w:szCs w:val="24"/>
        </w:rPr>
        <w:t xml:space="preserve">იშვიათი </w:t>
      </w:r>
      <w:bookmarkStart w:id="5" w:name="_Hlk231399383"/>
      <w:r w:rsidRPr="004F2FED">
        <w:rPr>
          <w:rFonts w:ascii="Sylfaen" w:hAnsi="Sylfaen" w:cs="Sylfaen"/>
          <w:sz w:val="24"/>
          <w:szCs w:val="24"/>
        </w:rPr>
        <w:t>(</w:t>
      </w:r>
      <w:r w:rsidRPr="004F2FED">
        <w:rPr>
          <w:rFonts w:ascii="Sylfaen" w:hAnsi="Sylfaen" w:cs="Sylfaen"/>
          <w:sz w:val="24"/>
          <w:szCs w:val="24"/>
          <w:u w:val="single"/>
        </w:rPr>
        <w:t>&gt;</w:t>
      </w:r>
      <w:r w:rsidRPr="004F2FED">
        <w:rPr>
          <w:rFonts w:ascii="Sylfaen" w:hAnsi="Sylfaen" w:cs="Sylfaen"/>
          <w:sz w:val="24"/>
          <w:szCs w:val="24"/>
        </w:rPr>
        <w:t>1/10.000 – 1/1.000)</w:t>
      </w:r>
      <w:bookmarkEnd w:id="5"/>
      <w:r w:rsidRPr="004F2FED">
        <w:rPr>
          <w:rFonts w:ascii="Sylfaen" w:hAnsi="Sylfaen" w:cs="Sylfaen"/>
          <w:sz w:val="24"/>
          <w:szCs w:val="24"/>
        </w:rPr>
        <w:t xml:space="preserve">. </w:t>
      </w:r>
    </w:p>
    <w:p w14:paraId="63B7B017"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სიხშირის თითოეულ ჯგუფში, არასასურველი ეფექტები ჩამოთვლილია მათი სიმძიმის ხარისხის კლებადობის მიხედვით.</w:t>
      </w:r>
    </w:p>
    <w:p w14:paraId="18EB54D9" w14:textId="20C73B96" w:rsidR="00064ED7" w:rsidRPr="004F2FED" w:rsidRDefault="00064ED7" w:rsidP="0060552F">
      <w:pPr>
        <w:spacing w:after="0" w:line="240" w:lineRule="auto"/>
        <w:ind w:left="284"/>
        <w:jc w:val="both"/>
        <w:rPr>
          <w:rFonts w:ascii="Sylfaen" w:hAnsi="Sylfaen" w:cs="Sylfaen"/>
          <w:b/>
          <w:bCs/>
          <w:sz w:val="24"/>
          <w:szCs w:val="24"/>
        </w:rPr>
      </w:pPr>
      <w:r w:rsidRPr="004F2FED">
        <w:rPr>
          <w:rFonts w:ascii="Sylfaen" w:hAnsi="Sylfaen" w:cs="Sylfaen"/>
          <w:b/>
          <w:bCs/>
          <w:sz w:val="24"/>
          <w:szCs w:val="24"/>
        </w:rPr>
        <w:t>ცხრილი 1. სამედიცინო თვალსაზრისით მნიშვნელოვანი უარყოფითი რეაქციები, რომლებიც ვითარდებოდა კლინიკური ცდების დროს იმაზე მეტი სიხშირით, ვიდრე პლაცებოს შემთხვევაში და სამედიცინო თვალსაზრისით მნიშვნელოვანი უარყოფითი რეაქციები, რომლებიც ცნობილი გახდა პოსტ-მარკეტინგული ზედამხედველობისას</w:t>
      </w:r>
    </w:p>
    <w:p w14:paraId="1645A3CA" w14:textId="77777777" w:rsidR="000E6EA7" w:rsidRPr="004F2FED" w:rsidRDefault="000E6EA7" w:rsidP="0060552F">
      <w:pPr>
        <w:spacing w:after="0" w:line="240" w:lineRule="auto"/>
        <w:ind w:left="284"/>
        <w:jc w:val="both"/>
        <w:rPr>
          <w:rFonts w:ascii="Sylfaen" w:hAnsi="Sylfaen" w:cs="Sylfaen"/>
          <w:b/>
          <w:bCs/>
          <w:sz w:val="24"/>
          <w:szCs w:val="24"/>
        </w:rPr>
      </w:pPr>
    </w:p>
    <w:tbl>
      <w:tblPr>
        <w:tblW w:w="10784"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10"/>
        <w:gridCol w:w="1980"/>
        <w:gridCol w:w="2070"/>
        <w:gridCol w:w="2700"/>
        <w:gridCol w:w="2324"/>
      </w:tblGrid>
      <w:tr w:rsidR="00064ED7" w:rsidRPr="004F2FED" w14:paraId="4290ABBC" w14:textId="77777777" w:rsidTr="00273BE9">
        <w:tc>
          <w:tcPr>
            <w:tcW w:w="1710" w:type="dxa"/>
          </w:tcPr>
          <w:p w14:paraId="1722D14A"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სისტემურ ორგანოთა კლასი</w:t>
            </w:r>
          </w:p>
        </w:tc>
        <w:tc>
          <w:tcPr>
            <w:tcW w:w="1980" w:type="dxa"/>
          </w:tcPr>
          <w:p w14:paraId="2DC3D029"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ძალიან ხშირი</w:t>
            </w:r>
          </w:p>
          <w:p w14:paraId="4C158B49"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w:t>
            </w:r>
            <w:r w:rsidRPr="004F2FED">
              <w:rPr>
                <w:rFonts w:ascii="Sylfaen" w:hAnsi="Sylfaen" w:cs="Sylfaen"/>
                <w:b/>
                <w:bCs/>
                <w:sz w:val="24"/>
                <w:szCs w:val="24"/>
                <w:u w:val="single"/>
                <w:lang w:eastAsia="en-GB"/>
              </w:rPr>
              <w:t>&gt;</w:t>
            </w:r>
            <w:r w:rsidRPr="004F2FED">
              <w:rPr>
                <w:rFonts w:ascii="Sylfaen" w:hAnsi="Sylfaen" w:cs="Sylfaen"/>
                <w:b/>
                <w:bCs/>
                <w:sz w:val="24"/>
                <w:szCs w:val="24"/>
                <w:lang w:eastAsia="en-GB"/>
              </w:rPr>
              <w:t>1/10)</w:t>
            </w:r>
          </w:p>
        </w:tc>
        <w:tc>
          <w:tcPr>
            <w:tcW w:w="2070" w:type="dxa"/>
          </w:tcPr>
          <w:p w14:paraId="718D59EA"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ხშირი</w:t>
            </w:r>
          </w:p>
          <w:p w14:paraId="56BF6383"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w:t>
            </w:r>
            <w:r w:rsidRPr="004F2FED">
              <w:rPr>
                <w:rFonts w:ascii="Sylfaen" w:hAnsi="Sylfaen" w:cs="Sylfaen"/>
                <w:b/>
                <w:bCs/>
                <w:sz w:val="24"/>
                <w:szCs w:val="24"/>
                <w:u w:val="single"/>
                <w:lang w:eastAsia="en-GB"/>
              </w:rPr>
              <w:t>&gt;</w:t>
            </w:r>
            <w:r w:rsidRPr="004F2FED">
              <w:rPr>
                <w:rFonts w:ascii="Sylfaen" w:hAnsi="Sylfaen" w:cs="Sylfaen"/>
                <w:b/>
                <w:bCs/>
                <w:sz w:val="24"/>
                <w:szCs w:val="24"/>
                <w:lang w:eastAsia="en-GB"/>
              </w:rPr>
              <w:t>1/100 და &lt;1/10)</w:t>
            </w:r>
          </w:p>
        </w:tc>
        <w:tc>
          <w:tcPr>
            <w:tcW w:w="2700" w:type="dxa"/>
          </w:tcPr>
          <w:p w14:paraId="07597C06"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არახშირი</w:t>
            </w:r>
          </w:p>
          <w:p w14:paraId="0EF7A715"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w:t>
            </w:r>
            <w:r w:rsidRPr="004F2FED">
              <w:rPr>
                <w:rFonts w:ascii="Sylfaen" w:hAnsi="Sylfaen" w:cs="Sylfaen"/>
                <w:b/>
                <w:bCs/>
                <w:sz w:val="24"/>
                <w:szCs w:val="24"/>
                <w:u w:val="single"/>
                <w:lang w:eastAsia="en-GB"/>
              </w:rPr>
              <w:t>&gt;</w:t>
            </w:r>
            <w:r w:rsidRPr="004F2FED">
              <w:rPr>
                <w:rFonts w:ascii="Sylfaen" w:hAnsi="Sylfaen" w:cs="Sylfaen"/>
                <w:b/>
                <w:bCs/>
                <w:sz w:val="24"/>
                <w:szCs w:val="24"/>
                <w:lang w:eastAsia="en-GB"/>
              </w:rPr>
              <w:t>1/1.000 და &lt;1/100)</w:t>
            </w:r>
          </w:p>
        </w:tc>
        <w:tc>
          <w:tcPr>
            <w:tcW w:w="2324" w:type="dxa"/>
          </w:tcPr>
          <w:p w14:paraId="4DD18D3F"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 xml:space="preserve">იშვიათი </w:t>
            </w:r>
          </w:p>
          <w:p w14:paraId="7B2481B3" w14:textId="77777777" w:rsidR="00064ED7" w:rsidRPr="004F2FED" w:rsidRDefault="00064ED7" w:rsidP="0060552F">
            <w:pPr>
              <w:spacing w:after="0" w:line="240" w:lineRule="auto"/>
              <w:jc w:val="both"/>
              <w:rPr>
                <w:rFonts w:ascii="Sylfaen" w:hAnsi="Sylfaen" w:cs="Sylfaen"/>
                <w:b/>
                <w:bCs/>
                <w:sz w:val="24"/>
                <w:szCs w:val="24"/>
                <w:lang w:eastAsia="en-GB"/>
              </w:rPr>
            </w:pPr>
            <w:r w:rsidRPr="004F2FED">
              <w:rPr>
                <w:rFonts w:ascii="Sylfaen" w:hAnsi="Sylfaen" w:cs="Sylfaen"/>
                <w:b/>
                <w:bCs/>
                <w:sz w:val="24"/>
                <w:szCs w:val="24"/>
                <w:lang w:eastAsia="en-GB"/>
              </w:rPr>
              <w:t>(</w:t>
            </w:r>
            <w:r w:rsidRPr="004F2FED">
              <w:rPr>
                <w:rFonts w:ascii="Sylfaen" w:hAnsi="Sylfaen" w:cs="Sylfaen"/>
                <w:b/>
                <w:bCs/>
                <w:sz w:val="24"/>
                <w:szCs w:val="24"/>
                <w:u w:val="single"/>
                <w:lang w:eastAsia="en-GB"/>
              </w:rPr>
              <w:t>&gt;</w:t>
            </w:r>
            <w:r w:rsidRPr="004F2FED">
              <w:rPr>
                <w:rFonts w:ascii="Sylfaen" w:hAnsi="Sylfaen" w:cs="Sylfaen"/>
                <w:b/>
                <w:bCs/>
                <w:sz w:val="24"/>
                <w:szCs w:val="24"/>
                <w:lang w:eastAsia="en-GB"/>
              </w:rPr>
              <w:t>1/10.000 და &lt;1/1.000)</w:t>
            </w:r>
          </w:p>
        </w:tc>
      </w:tr>
      <w:tr w:rsidR="00064ED7" w:rsidRPr="004F2FED" w14:paraId="3D5467A6" w14:textId="77777777" w:rsidTr="00273BE9">
        <w:tc>
          <w:tcPr>
            <w:tcW w:w="1710" w:type="dxa"/>
          </w:tcPr>
          <w:p w14:paraId="431920F1"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 xml:space="preserve">ინფექციები </w:t>
            </w:r>
            <w:r w:rsidRPr="004F2FED">
              <w:rPr>
                <w:rFonts w:ascii="Sylfaen" w:hAnsi="Sylfaen" w:cs="Sylfaen"/>
                <w:sz w:val="24"/>
                <w:szCs w:val="24"/>
                <w:lang w:eastAsia="en-GB"/>
              </w:rPr>
              <w:lastRenderedPageBreak/>
              <w:t>და ინვაზიები</w:t>
            </w:r>
          </w:p>
        </w:tc>
        <w:tc>
          <w:tcPr>
            <w:tcW w:w="1980" w:type="dxa"/>
          </w:tcPr>
          <w:p w14:paraId="361188A1"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59B3627A"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51D5C1EE"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რინიტი</w:t>
            </w:r>
          </w:p>
        </w:tc>
        <w:tc>
          <w:tcPr>
            <w:tcW w:w="2324" w:type="dxa"/>
          </w:tcPr>
          <w:p w14:paraId="107D989D" w14:textId="77777777" w:rsidR="00064ED7" w:rsidRPr="004F2FED" w:rsidRDefault="00064ED7" w:rsidP="0060552F">
            <w:pPr>
              <w:spacing w:after="0" w:line="240" w:lineRule="auto"/>
              <w:jc w:val="both"/>
              <w:rPr>
                <w:rFonts w:ascii="Sylfaen" w:hAnsi="Sylfaen" w:cs="Sylfaen"/>
                <w:sz w:val="24"/>
                <w:szCs w:val="24"/>
                <w:lang w:eastAsia="en-GB"/>
              </w:rPr>
            </w:pPr>
          </w:p>
        </w:tc>
      </w:tr>
      <w:tr w:rsidR="00064ED7" w:rsidRPr="004F2FED" w14:paraId="716AD0A4" w14:textId="77777777" w:rsidTr="00273BE9">
        <w:tc>
          <w:tcPr>
            <w:tcW w:w="1710" w:type="dxa"/>
          </w:tcPr>
          <w:p w14:paraId="6A191003"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იმუნური სისტემის მხრივ</w:t>
            </w:r>
          </w:p>
        </w:tc>
        <w:tc>
          <w:tcPr>
            <w:tcW w:w="1980" w:type="dxa"/>
          </w:tcPr>
          <w:p w14:paraId="5E883295"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2A0962C2"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451E8425"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ჰიპერმგრძნობელობა</w:t>
            </w:r>
          </w:p>
        </w:tc>
        <w:tc>
          <w:tcPr>
            <w:tcW w:w="2324" w:type="dxa"/>
          </w:tcPr>
          <w:p w14:paraId="3EC046D9" w14:textId="77777777" w:rsidR="00064ED7" w:rsidRPr="004F2FED" w:rsidRDefault="00064ED7" w:rsidP="0060552F">
            <w:pPr>
              <w:spacing w:after="0" w:line="240" w:lineRule="auto"/>
              <w:jc w:val="both"/>
              <w:rPr>
                <w:rFonts w:ascii="Sylfaen" w:hAnsi="Sylfaen" w:cs="Sylfaen"/>
                <w:sz w:val="24"/>
                <w:szCs w:val="24"/>
                <w:lang w:eastAsia="en-GB"/>
              </w:rPr>
            </w:pPr>
          </w:p>
        </w:tc>
      </w:tr>
      <w:tr w:rsidR="00064ED7" w:rsidRPr="004F2FED" w14:paraId="6CD84477" w14:textId="77777777" w:rsidTr="00273BE9">
        <w:tc>
          <w:tcPr>
            <w:tcW w:w="1710" w:type="dxa"/>
          </w:tcPr>
          <w:p w14:paraId="29D30D4E"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ნერვული სისტემის მხრივ</w:t>
            </w:r>
          </w:p>
        </w:tc>
        <w:tc>
          <w:tcPr>
            <w:tcW w:w="1980" w:type="dxa"/>
          </w:tcPr>
          <w:p w14:paraId="20B22834"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თავის ტკივილი</w:t>
            </w:r>
          </w:p>
        </w:tc>
        <w:tc>
          <w:tcPr>
            <w:tcW w:w="2070" w:type="dxa"/>
          </w:tcPr>
          <w:p w14:paraId="6DBD1593"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თავბრუსხვევა</w:t>
            </w:r>
          </w:p>
        </w:tc>
        <w:tc>
          <w:tcPr>
            <w:tcW w:w="2700" w:type="dxa"/>
          </w:tcPr>
          <w:p w14:paraId="09F19B92"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ძილიანობა, ჰიპოასთეზია</w:t>
            </w:r>
          </w:p>
        </w:tc>
        <w:tc>
          <w:tcPr>
            <w:tcW w:w="2324" w:type="dxa"/>
          </w:tcPr>
          <w:p w14:paraId="14E9EA90"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ცერებროვასკულარული შემთხვევა, ტრანზიტორული იშემიური შეტევა, შეტევა*, შეტევის რეციდივი*, სინკოპე</w:t>
            </w:r>
          </w:p>
        </w:tc>
      </w:tr>
      <w:tr w:rsidR="00064ED7" w:rsidRPr="004F2FED" w14:paraId="3AB7E960" w14:textId="77777777" w:rsidTr="00273BE9">
        <w:tc>
          <w:tcPr>
            <w:tcW w:w="1710" w:type="dxa"/>
          </w:tcPr>
          <w:p w14:paraId="3FC7853D"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თვალის მხრივ</w:t>
            </w:r>
          </w:p>
        </w:tc>
        <w:tc>
          <w:tcPr>
            <w:tcW w:w="1980" w:type="dxa"/>
          </w:tcPr>
          <w:p w14:paraId="644F4050"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4F631E05"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მხედველობის ფერების მოშლა**, მხედველობის დარღვევა, მხედველობის დაბინდვა</w:t>
            </w:r>
          </w:p>
        </w:tc>
        <w:tc>
          <w:tcPr>
            <w:tcW w:w="2700" w:type="dxa"/>
          </w:tcPr>
          <w:p w14:paraId="2883814E"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 xml:space="preserve">ცრემლდენის დარღვევები ***, თვალის ტკივილი, ფოტოფობია, ფოტოფსია, თვალის ჰიპერემია, კაშკაშა მხედველობა, კონიუნქტივიტი </w:t>
            </w:r>
          </w:p>
        </w:tc>
        <w:tc>
          <w:tcPr>
            <w:tcW w:w="2324" w:type="dxa"/>
          </w:tcPr>
          <w:p w14:paraId="58045EDB"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 xml:space="preserve">არაარტერიული წინა იშემიური ოპტიკური ნეიროპათია (NAION)*, თვალის ბადურის ვასკულარული ოკლუზია*, თვალის ბადურის ჰემორაგია, არტერიოსკლეროზული რეტინოპათია, თვალის ბადურის დარღვევა, გლაუკომა, მხედველობის არეალის დეფექტი, დიპლოპია, მხედველობის სიმკვეთღის დაქვეითება, მიოპია, ასთენოპია, მინისებრი სხეულის ცვლილებები, თვალის ფერადი გარსის დარღვევა, მიდრიაზი, </w:t>
            </w:r>
            <w:r w:rsidRPr="004F2FED">
              <w:rPr>
                <w:rFonts w:ascii="Sylfaen" w:hAnsi="Sylfaen" w:cs="Sylfaen"/>
                <w:sz w:val="24"/>
                <w:szCs w:val="24"/>
                <w:lang w:eastAsia="en-GB"/>
              </w:rPr>
              <w:lastRenderedPageBreak/>
              <w:t>ფერადი წრეები მხედველობის არეში,  ჰალო მხედველობა, თვალების შეშუპება, თვალების შესიება, დარღვევები თვალების მხრივ, კონიუნქტივალური ჰიპერემია, თვალის გაღიზიანება, ანომალური შეგრძნება თვალებში, ქუთუთოების შეშუპება, სკლერის ფერის ცვლილება</w:t>
            </w:r>
          </w:p>
        </w:tc>
      </w:tr>
      <w:tr w:rsidR="00064ED7" w:rsidRPr="004F2FED" w14:paraId="413AFC3E" w14:textId="77777777" w:rsidTr="00273BE9">
        <w:tc>
          <w:tcPr>
            <w:tcW w:w="1710" w:type="dxa"/>
          </w:tcPr>
          <w:p w14:paraId="3C80DE58"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lastRenderedPageBreak/>
              <w:t>დარღვევები ყურისა და ლაბირინთის მხრივ</w:t>
            </w:r>
          </w:p>
        </w:tc>
        <w:tc>
          <w:tcPr>
            <w:tcW w:w="1980" w:type="dxa"/>
          </w:tcPr>
          <w:p w14:paraId="36DEA0F9"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15D2437B"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3E73830D"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ვერტიგო</w:t>
            </w:r>
          </w:p>
          <w:p w14:paraId="70775A7E"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ტინიტი</w:t>
            </w:r>
          </w:p>
        </w:tc>
        <w:tc>
          <w:tcPr>
            <w:tcW w:w="2324" w:type="dxa"/>
          </w:tcPr>
          <w:p w14:paraId="2DD78CA2"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სიყრუე</w:t>
            </w:r>
          </w:p>
        </w:tc>
      </w:tr>
      <w:tr w:rsidR="00064ED7" w:rsidRPr="004F2FED" w14:paraId="761D6789" w14:textId="77777777" w:rsidTr="00273BE9">
        <w:tc>
          <w:tcPr>
            <w:tcW w:w="1710" w:type="dxa"/>
          </w:tcPr>
          <w:p w14:paraId="0EEBA4C0"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გულის მხრივ</w:t>
            </w:r>
          </w:p>
        </w:tc>
        <w:tc>
          <w:tcPr>
            <w:tcW w:w="1980" w:type="dxa"/>
          </w:tcPr>
          <w:p w14:paraId="011C2582"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2FD791D8"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7C02C5FC"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ტაქიკარდია,</w:t>
            </w:r>
          </w:p>
          <w:p w14:paraId="11725AEF"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პალპიტაციები</w:t>
            </w:r>
          </w:p>
        </w:tc>
        <w:tc>
          <w:tcPr>
            <w:tcW w:w="2324" w:type="dxa"/>
          </w:tcPr>
          <w:p w14:paraId="6B1740CA" w14:textId="77777777" w:rsidR="00064ED7" w:rsidRPr="004F2FED" w:rsidRDefault="00064ED7" w:rsidP="0060552F">
            <w:pPr>
              <w:tabs>
                <w:tab w:val="left" w:pos="1042"/>
              </w:tabs>
              <w:spacing w:after="0" w:line="240" w:lineRule="auto"/>
              <w:rPr>
                <w:rFonts w:ascii="Sylfaen" w:hAnsi="Sylfaen" w:cs="Sylfaen"/>
                <w:sz w:val="24"/>
                <w:szCs w:val="24"/>
                <w:lang w:eastAsia="en-GB"/>
              </w:rPr>
            </w:pPr>
            <w:r w:rsidRPr="004F2FED">
              <w:rPr>
                <w:rFonts w:ascii="Sylfaen" w:hAnsi="Sylfaen" w:cs="Sylfaen"/>
                <w:sz w:val="24"/>
                <w:szCs w:val="24"/>
                <w:lang w:eastAsia="en-GB"/>
              </w:rPr>
              <w:t>გულის უეცარი სიკვდილი*, მიოკარდიუმის ინფარქტი, პარკუჭოვანი არითმია*, წინა გულის ფიბრილაცია, არასტაბილური სტენოკარდია</w:t>
            </w:r>
          </w:p>
        </w:tc>
      </w:tr>
      <w:tr w:rsidR="00064ED7" w:rsidRPr="004F2FED" w14:paraId="229751D7" w14:textId="77777777" w:rsidTr="00273BE9">
        <w:tc>
          <w:tcPr>
            <w:tcW w:w="1710" w:type="dxa"/>
          </w:tcPr>
          <w:p w14:paraId="6119F12C"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ვასკულარული დარღვევები</w:t>
            </w:r>
          </w:p>
        </w:tc>
        <w:tc>
          <w:tcPr>
            <w:tcW w:w="1980" w:type="dxa"/>
          </w:tcPr>
          <w:p w14:paraId="3B460F4F"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09C619E0"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სისხლის მოწოლა, სიცხის მოწოლა</w:t>
            </w:r>
          </w:p>
        </w:tc>
        <w:tc>
          <w:tcPr>
            <w:tcW w:w="2700" w:type="dxa"/>
          </w:tcPr>
          <w:p w14:paraId="0FDB677E"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ჰიპერტენზია,</w:t>
            </w:r>
          </w:p>
          <w:p w14:paraId="6F1DFA54"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ჰიპოტენზია</w:t>
            </w:r>
          </w:p>
        </w:tc>
        <w:tc>
          <w:tcPr>
            <w:tcW w:w="2324" w:type="dxa"/>
          </w:tcPr>
          <w:p w14:paraId="6C195323" w14:textId="77777777" w:rsidR="00064ED7" w:rsidRPr="004F2FED" w:rsidRDefault="00064ED7" w:rsidP="0060552F">
            <w:pPr>
              <w:spacing w:after="0" w:line="240" w:lineRule="auto"/>
              <w:jc w:val="both"/>
              <w:rPr>
                <w:rFonts w:ascii="Sylfaen" w:hAnsi="Sylfaen" w:cs="Sylfaen"/>
                <w:sz w:val="24"/>
                <w:szCs w:val="24"/>
                <w:lang w:eastAsia="en-GB"/>
              </w:rPr>
            </w:pPr>
          </w:p>
        </w:tc>
      </w:tr>
      <w:tr w:rsidR="00064ED7" w:rsidRPr="004F2FED" w14:paraId="23756F99" w14:textId="77777777" w:rsidTr="00273BE9">
        <w:tc>
          <w:tcPr>
            <w:tcW w:w="1710" w:type="dxa"/>
          </w:tcPr>
          <w:p w14:paraId="222B5CC8"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 xml:space="preserve">დარღვევები  სუნთქვის, გულ-მკერდის ორგანოებისა და შუასაყარის </w:t>
            </w:r>
            <w:r w:rsidRPr="004F2FED">
              <w:rPr>
                <w:rFonts w:ascii="Sylfaen" w:hAnsi="Sylfaen" w:cs="Sylfaen"/>
                <w:sz w:val="24"/>
                <w:szCs w:val="24"/>
                <w:lang w:eastAsia="en-GB"/>
              </w:rPr>
              <w:lastRenderedPageBreak/>
              <w:t>მხრივ</w:t>
            </w:r>
          </w:p>
        </w:tc>
        <w:tc>
          <w:tcPr>
            <w:tcW w:w="1980" w:type="dxa"/>
          </w:tcPr>
          <w:p w14:paraId="7493168E"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49D544BD"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ცხვირში შეგუბება</w:t>
            </w:r>
          </w:p>
        </w:tc>
        <w:tc>
          <w:tcPr>
            <w:tcW w:w="2700" w:type="dxa"/>
          </w:tcPr>
          <w:p w14:paraId="15BAE9F1"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ეპისტაქსი, სინუსების შეგუბება</w:t>
            </w:r>
          </w:p>
        </w:tc>
        <w:tc>
          <w:tcPr>
            <w:tcW w:w="2324" w:type="dxa"/>
          </w:tcPr>
          <w:p w14:paraId="3EAD8FE1"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ყელში მოჭერა, ცხვირში შეშუპება, ცხირის სიმშრალე</w:t>
            </w:r>
          </w:p>
        </w:tc>
      </w:tr>
      <w:tr w:rsidR="00064ED7" w:rsidRPr="004F2FED" w14:paraId="53835FA7" w14:textId="77777777" w:rsidTr="00273BE9">
        <w:tc>
          <w:tcPr>
            <w:tcW w:w="1710" w:type="dxa"/>
          </w:tcPr>
          <w:p w14:paraId="6B4717A5"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კუჭ-ნაწლავის ტრაქტის მხრივ</w:t>
            </w:r>
          </w:p>
        </w:tc>
        <w:tc>
          <w:tcPr>
            <w:tcW w:w="1980" w:type="dxa"/>
          </w:tcPr>
          <w:p w14:paraId="216317B2"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7190B9CA"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გულისრევა, დისპეფსია</w:t>
            </w:r>
          </w:p>
        </w:tc>
        <w:tc>
          <w:tcPr>
            <w:tcW w:w="2700" w:type="dxa"/>
          </w:tcPr>
          <w:p w14:paraId="58346814"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გასტროეზოფაგური რეფლუქს დაავადება, ღებინება, ტკივილი მუცლის ზედა ნაწილში, პირის სიმშრალე</w:t>
            </w:r>
          </w:p>
        </w:tc>
        <w:tc>
          <w:tcPr>
            <w:tcW w:w="2324" w:type="dxa"/>
          </w:tcPr>
          <w:p w14:paraId="6D899E1B"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პერორალური ჰიპოასთეზია</w:t>
            </w:r>
          </w:p>
        </w:tc>
      </w:tr>
      <w:tr w:rsidR="00064ED7" w:rsidRPr="004F2FED" w14:paraId="0C699AA9" w14:textId="77777777" w:rsidTr="00273BE9">
        <w:tc>
          <w:tcPr>
            <w:tcW w:w="1710" w:type="dxa"/>
          </w:tcPr>
          <w:p w14:paraId="71F96E98"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კანისა და კანქვეშა ქსოვილების მხრივ</w:t>
            </w:r>
          </w:p>
        </w:tc>
        <w:tc>
          <w:tcPr>
            <w:tcW w:w="1980" w:type="dxa"/>
          </w:tcPr>
          <w:p w14:paraId="0914B0C3"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79CDDFE9"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6A13DAE3"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გამონაყარი</w:t>
            </w:r>
          </w:p>
        </w:tc>
        <w:tc>
          <w:tcPr>
            <w:tcW w:w="2324" w:type="dxa"/>
          </w:tcPr>
          <w:p w14:paraId="16C13060"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სტივენს-ჯონსონის სინდრომი (SJS)*, ტოქსიკური ეპიდერმული ნეკროლიზი (TEN) *</w:t>
            </w:r>
          </w:p>
        </w:tc>
      </w:tr>
      <w:tr w:rsidR="00064ED7" w:rsidRPr="004F2FED" w14:paraId="6F0970A2" w14:textId="77777777" w:rsidTr="00273BE9">
        <w:tc>
          <w:tcPr>
            <w:tcW w:w="1710" w:type="dxa"/>
          </w:tcPr>
          <w:p w14:paraId="4A5EF952"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ჩონჩხ-კუნთოვანი სისტემისა და შემაერთებელი ქსოვილების მხრივ</w:t>
            </w:r>
          </w:p>
        </w:tc>
        <w:tc>
          <w:tcPr>
            <w:tcW w:w="1980" w:type="dxa"/>
          </w:tcPr>
          <w:p w14:paraId="388F93E9"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772A124E"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240D312D"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მიალგია, კიდურების ტკივილი</w:t>
            </w:r>
          </w:p>
        </w:tc>
        <w:tc>
          <w:tcPr>
            <w:tcW w:w="2324" w:type="dxa"/>
          </w:tcPr>
          <w:p w14:paraId="2924421F" w14:textId="77777777" w:rsidR="00064ED7" w:rsidRPr="004F2FED" w:rsidRDefault="00064ED7" w:rsidP="0060552F">
            <w:pPr>
              <w:spacing w:after="0" w:line="240" w:lineRule="auto"/>
              <w:jc w:val="both"/>
              <w:rPr>
                <w:rFonts w:ascii="Sylfaen" w:hAnsi="Sylfaen" w:cs="Sylfaen"/>
                <w:sz w:val="24"/>
                <w:szCs w:val="24"/>
                <w:lang w:eastAsia="en-GB"/>
              </w:rPr>
            </w:pPr>
          </w:p>
        </w:tc>
      </w:tr>
      <w:tr w:rsidR="00064ED7" w:rsidRPr="004F2FED" w14:paraId="0B21E193" w14:textId="77777777" w:rsidTr="00273BE9">
        <w:tc>
          <w:tcPr>
            <w:tcW w:w="1710" w:type="dxa"/>
          </w:tcPr>
          <w:p w14:paraId="5832DABB"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თირკმლისა და საშარდე სისტემის მხრივ</w:t>
            </w:r>
          </w:p>
        </w:tc>
        <w:tc>
          <w:tcPr>
            <w:tcW w:w="1980" w:type="dxa"/>
          </w:tcPr>
          <w:p w14:paraId="31FE16B8"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7BBA6210"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3850FC1F"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ჰემატურია</w:t>
            </w:r>
          </w:p>
        </w:tc>
        <w:tc>
          <w:tcPr>
            <w:tcW w:w="2324" w:type="dxa"/>
          </w:tcPr>
          <w:p w14:paraId="15E4F1ED" w14:textId="77777777" w:rsidR="00064ED7" w:rsidRPr="004F2FED" w:rsidRDefault="00064ED7" w:rsidP="0060552F">
            <w:pPr>
              <w:spacing w:after="0" w:line="240" w:lineRule="auto"/>
              <w:jc w:val="both"/>
              <w:rPr>
                <w:rFonts w:ascii="Sylfaen" w:hAnsi="Sylfaen" w:cs="Sylfaen"/>
                <w:sz w:val="24"/>
                <w:szCs w:val="24"/>
                <w:lang w:eastAsia="en-GB"/>
              </w:rPr>
            </w:pPr>
          </w:p>
        </w:tc>
      </w:tr>
      <w:tr w:rsidR="00064ED7" w:rsidRPr="004F2FED" w14:paraId="06942674" w14:textId="77777777" w:rsidTr="00273BE9">
        <w:tc>
          <w:tcPr>
            <w:tcW w:w="1710" w:type="dxa"/>
          </w:tcPr>
          <w:p w14:paraId="2DD77B07"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დარღვევები რეპროდუქციული სისტემისა და მკერდის მხრივ</w:t>
            </w:r>
          </w:p>
        </w:tc>
        <w:tc>
          <w:tcPr>
            <w:tcW w:w="1980" w:type="dxa"/>
          </w:tcPr>
          <w:p w14:paraId="3E977EFB"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54EF28F1"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76028382" w14:textId="77777777" w:rsidR="00064ED7" w:rsidRPr="004F2FED" w:rsidRDefault="00064ED7" w:rsidP="0060552F">
            <w:pPr>
              <w:spacing w:after="0" w:line="240" w:lineRule="auto"/>
              <w:jc w:val="both"/>
              <w:rPr>
                <w:rFonts w:ascii="Sylfaen" w:hAnsi="Sylfaen" w:cs="Sylfaen"/>
                <w:sz w:val="24"/>
                <w:szCs w:val="24"/>
                <w:lang w:eastAsia="en-GB"/>
              </w:rPr>
            </w:pPr>
          </w:p>
        </w:tc>
        <w:tc>
          <w:tcPr>
            <w:tcW w:w="2324" w:type="dxa"/>
          </w:tcPr>
          <w:p w14:paraId="597C09E3" w14:textId="77777777" w:rsidR="00064ED7" w:rsidRPr="004F2FED" w:rsidRDefault="00064ED7" w:rsidP="0060552F">
            <w:pPr>
              <w:spacing w:after="0" w:line="240" w:lineRule="auto"/>
              <w:rPr>
                <w:rFonts w:ascii="Sylfaen" w:hAnsi="Sylfaen" w:cs="Sylfaen"/>
                <w:sz w:val="24"/>
                <w:szCs w:val="24"/>
                <w:lang w:eastAsia="en-GB"/>
              </w:rPr>
            </w:pPr>
            <w:r w:rsidRPr="004F2FED">
              <w:rPr>
                <w:rFonts w:ascii="Sylfaen" w:hAnsi="Sylfaen" w:cs="Sylfaen"/>
                <w:sz w:val="24"/>
                <w:szCs w:val="24"/>
                <w:lang w:eastAsia="en-GB"/>
              </w:rPr>
              <w:t>მამაკაცის სასქესო ორგანოს ჰემორაგია, პრიაპიზმი*, ჰემატოსპერმია, ერექციის გაძლიერება</w:t>
            </w:r>
          </w:p>
        </w:tc>
      </w:tr>
      <w:tr w:rsidR="00064ED7" w:rsidRPr="004F2FED" w14:paraId="6139714B" w14:textId="77777777" w:rsidTr="00273BE9">
        <w:tc>
          <w:tcPr>
            <w:tcW w:w="1710" w:type="dxa"/>
          </w:tcPr>
          <w:p w14:paraId="7C93F393"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ზოგადი დარღვევები და მდგომარეობები შეყვანის ადგილას</w:t>
            </w:r>
          </w:p>
        </w:tc>
        <w:tc>
          <w:tcPr>
            <w:tcW w:w="1980" w:type="dxa"/>
          </w:tcPr>
          <w:p w14:paraId="52F43A86"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7E7604B6"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109FB8C0"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გულის ტკივილი, დაღლილობა, სიცხის შეგრძნება</w:t>
            </w:r>
          </w:p>
        </w:tc>
        <w:tc>
          <w:tcPr>
            <w:tcW w:w="2324" w:type="dxa"/>
          </w:tcPr>
          <w:p w14:paraId="5A7F5053"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გაღიზიანება</w:t>
            </w:r>
          </w:p>
        </w:tc>
      </w:tr>
      <w:tr w:rsidR="00064ED7" w:rsidRPr="004F2FED" w14:paraId="72B6A215" w14:textId="77777777" w:rsidTr="00273BE9">
        <w:tc>
          <w:tcPr>
            <w:tcW w:w="1710" w:type="dxa"/>
          </w:tcPr>
          <w:p w14:paraId="73BC2EB9"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კვლევები</w:t>
            </w:r>
          </w:p>
        </w:tc>
        <w:tc>
          <w:tcPr>
            <w:tcW w:w="1980" w:type="dxa"/>
          </w:tcPr>
          <w:p w14:paraId="15595F4D" w14:textId="77777777" w:rsidR="00064ED7" w:rsidRPr="004F2FED" w:rsidRDefault="00064ED7" w:rsidP="0060552F">
            <w:pPr>
              <w:spacing w:after="0" w:line="240" w:lineRule="auto"/>
              <w:jc w:val="both"/>
              <w:rPr>
                <w:rFonts w:ascii="Sylfaen" w:hAnsi="Sylfaen" w:cs="Sylfaen"/>
                <w:sz w:val="24"/>
                <w:szCs w:val="24"/>
                <w:lang w:eastAsia="en-GB"/>
              </w:rPr>
            </w:pPr>
          </w:p>
        </w:tc>
        <w:tc>
          <w:tcPr>
            <w:tcW w:w="2070" w:type="dxa"/>
          </w:tcPr>
          <w:p w14:paraId="20A9DCA0" w14:textId="77777777" w:rsidR="00064ED7" w:rsidRPr="004F2FED" w:rsidRDefault="00064ED7" w:rsidP="0060552F">
            <w:pPr>
              <w:spacing w:after="0" w:line="240" w:lineRule="auto"/>
              <w:jc w:val="both"/>
              <w:rPr>
                <w:rFonts w:ascii="Sylfaen" w:hAnsi="Sylfaen" w:cs="Sylfaen"/>
                <w:sz w:val="24"/>
                <w:szCs w:val="24"/>
                <w:lang w:eastAsia="en-GB"/>
              </w:rPr>
            </w:pPr>
          </w:p>
        </w:tc>
        <w:tc>
          <w:tcPr>
            <w:tcW w:w="2700" w:type="dxa"/>
          </w:tcPr>
          <w:p w14:paraId="2F819CD3" w14:textId="77777777" w:rsidR="00064ED7" w:rsidRPr="004F2FED" w:rsidRDefault="00064ED7" w:rsidP="0060552F">
            <w:pPr>
              <w:spacing w:after="0" w:line="240" w:lineRule="auto"/>
              <w:jc w:val="both"/>
              <w:rPr>
                <w:rFonts w:ascii="Sylfaen" w:hAnsi="Sylfaen" w:cs="Sylfaen"/>
                <w:sz w:val="24"/>
                <w:szCs w:val="24"/>
                <w:lang w:eastAsia="en-GB"/>
              </w:rPr>
            </w:pPr>
            <w:r w:rsidRPr="004F2FED">
              <w:rPr>
                <w:rFonts w:ascii="Sylfaen" w:hAnsi="Sylfaen" w:cs="Sylfaen"/>
                <w:sz w:val="24"/>
                <w:szCs w:val="24"/>
                <w:lang w:eastAsia="en-GB"/>
              </w:rPr>
              <w:t>გულის შეკუმშვების სიხშირის გაზრდა</w:t>
            </w:r>
          </w:p>
        </w:tc>
        <w:tc>
          <w:tcPr>
            <w:tcW w:w="2324" w:type="dxa"/>
          </w:tcPr>
          <w:p w14:paraId="1A6A150F" w14:textId="77777777" w:rsidR="00064ED7" w:rsidRPr="004F2FED" w:rsidRDefault="00064ED7" w:rsidP="0060552F">
            <w:pPr>
              <w:spacing w:after="0" w:line="240" w:lineRule="auto"/>
              <w:jc w:val="both"/>
              <w:rPr>
                <w:rFonts w:ascii="Sylfaen" w:hAnsi="Sylfaen" w:cs="Sylfaen"/>
                <w:sz w:val="24"/>
                <w:szCs w:val="24"/>
                <w:lang w:eastAsia="en-GB"/>
              </w:rPr>
            </w:pPr>
          </w:p>
        </w:tc>
      </w:tr>
    </w:tbl>
    <w:p w14:paraId="63750453" w14:textId="77777777" w:rsidR="00064ED7" w:rsidRPr="004F2FED" w:rsidRDefault="00064ED7" w:rsidP="0060552F">
      <w:pPr>
        <w:spacing w:after="0" w:line="240" w:lineRule="auto"/>
        <w:ind w:left="284"/>
        <w:jc w:val="both"/>
        <w:rPr>
          <w:rFonts w:ascii="Sylfaen" w:hAnsi="Sylfaen" w:cs="Sylfaen"/>
          <w:b/>
          <w:bCs/>
          <w:sz w:val="24"/>
          <w:szCs w:val="24"/>
        </w:rPr>
      </w:pPr>
    </w:p>
    <w:p w14:paraId="1B33D85E" w14:textId="77777777" w:rsidR="00064ED7" w:rsidRPr="004F2FED" w:rsidRDefault="00064ED7" w:rsidP="0060552F">
      <w:pPr>
        <w:spacing w:after="0" w:line="240" w:lineRule="auto"/>
        <w:ind w:left="180"/>
        <w:jc w:val="both"/>
        <w:rPr>
          <w:rFonts w:ascii="Sylfaen" w:hAnsi="Sylfaen" w:cs="Sylfaen"/>
          <w:sz w:val="24"/>
          <w:szCs w:val="24"/>
        </w:rPr>
      </w:pPr>
      <w:r w:rsidRPr="004F2FED">
        <w:rPr>
          <w:rFonts w:ascii="Sylfaen" w:hAnsi="Sylfaen" w:cs="Sylfaen"/>
          <w:sz w:val="24"/>
          <w:szCs w:val="24"/>
        </w:rPr>
        <w:t xml:space="preserve">*ცნობილი გახდა მხოლოდ პოსტმარკეტინგული ზედამხედველობის პერიოდში. </w:t>
      </w:r>
    </w:p>
    <w:p w14:paraId="2F005D6D" w14:textId="77777777" w:rsidR="00064ED7" w:rsidRPr="004F2FED" w:rsidRDefault="00064ED7" w:rsidP="0060552F">
      <w:pPr>
        <w:spacing w:after="0" w:line="240" w:lineRule="auto"/>
        <w:ind w:left="180"/>
        <w:jc w:val="both"/>
        <w:rPr>
          <w:rFonts w:ascii="Sylfaen" w:hAnsi="Sylfaen" w:cs="Sylfaen"/>
          <w:sz w:val="24"/>
          <w:szCs w:val="24"/>
        </w:rPr>
      </w:pPr>
      <w:r w:rsidRPr="004F2FED">
        <w:rPr>
          <w:rFonts w:ascii="Sylfaen" w:hAnsi="Sylfaen" w:cs="Sylfaen"/>
          <w:sz w:val="24"/>
          <w:szCs w:val="24"/>
        </w:rPr>
        <w:t>**ფერების აღქმის მოშლა: ქლოროფსია, ქრომატოფსია, ციანოფსია, ერითროფსია და ქსანტოფსია</w:t>
      </w:r>
    </w:p>
    <w:p w14:paraId="3C0CD8D1" w14:textId="77777777" w:rsidR="00064ED7" w:rsidRPr="004F2FED" w:rsidRDefault="00064ED7" w:rsidP="0060552F">
      <w:pPr>
        <w:spacing w:after="0" w:line="240" w:lineRule="auto"/>
        <w:ind w:left="180"/>
        <w:jc w:val="both"/>
        <w:rPr>
          <w:rFonts w:ascii="Sylfaen" w:hAnsi="Sylfaen" w:cs="Sylfaen"/>
          <w:b/>
          <w:bCs/>
          <w:sz w:val="24"/>
          <w:szCs w:val="24"/>
        </w:rPr>
      </w:pPr>
      <w:r w:rsidRPr="004F2FED">
        <w:rPr>
          <w:rFonts w:ascii="Sylfaen" w:hAnsi="Sylfaen" w:cs="Sylfaen"/>
          <w:sz w:val="24"/>
          <w:szCs w:val="24"/>
        </w:rPr>
        <w:t>***ცრემლდენის მოშლა: თვალის სიმშრალე, ცრემლდენის დარღვევა და მომატებული ცრემლდება</w:t>
      </w:r>
    </w:p>
    <w:p w14:paraId="53E6A8EF" w14:textId="77777777" w:rsidR="00064ED7" w:rsidRPr="004F2FED" w:rsidRDefault="00064ED7" w:rsidP="0060552F">
      <w:pPr>
        <w:spacing w:after="0" w:line="240" w:lineRule="auto"/>
        <w:ind w:left="284"/>
        <w:jc w:val="both"/>
        <w:rPr>
          <w:rFonts w:ascii="Sylfaen" w:hAnsi="Sylfaen" w:cs="Sylfaen"/>
          <w:sz w:val="24"/>
          <w:szCs w:val="24"/>
          <w:u w:val="single"/>
        </w:rPr>
      </w:pPr>
    </w:p>
    <w:p w14:paraId="52EBBEF3" w14:textId="782EA113" w:rsidR="00064ED7" w:rsidRPr="004F2FED" w:rsidRDefault="00064ED7" w:rsidP="0060552F">
      <w:pPr>
        <w:shd w:val="clear" w:color="auto" w:fill="FFFFFF"/>
        <w:spacing w:after="0" w:line="240" w:lineRule="auto"/>
        <w:ind w:left="284"/>
        <w:jc w:val="both"/>
        <w:rPr>
          <w:rFonts w:ascii="Sylfaen" w:hAnsi="Sylfaen" w:cs="Sylfaen"/>
          <w:b/>
          <w:bCs/>
          <w:sz w:val="24"/>
          <w:szCs w:val="24"/>
        </w:rPr>
      </w:pPr>
      <w:r w:rsidRPr="004F2FED">
        <w:rPr>
          <w:rFonts w:ascii="Sylfaen" w:hAnsi="Sylfaen" w:cs="Sylfaen"/>
          <w:b/>
          <w:bCs/>
          <w:sz w:val="24"/>
          <w:szCs w:val="24"/>
        </w:rPr>
        <w:t>ჭარბი დოზირება</w:t>
      </w:r>
      <w:r w:rsidR="006431BE" w:rsidRPr="004F2FED">
        <w:rPr>
          <w:rFonts w:ascii="Sylfaen" w:hAnsi="Sylfaen" w:cs="Sylfaen"/>
          <w:b/>
          <w:bCs/>
          <w:sz w:val="24"/>
          <w:szCs w:val="24"/>
        </w:rPr>
        <w:t>:</w:t>
      </w:r>
    </w:p>
    <w:p w14:paraId="3909603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მოხალისეებში ჩატარებული კვლევებისას 800 მგ-მდე ერთჯერადი დოზებით, უარყოფითი რეაქციები ისეთივე იყო, როგორიც უფრო დაბალი დოზების გამოყენებისას, თუმცა მომატებული იყო ინციდენტობის სიხშირე და სიმძიმე. 200 მგ დოზები არ იწვევდა ეფექტიანობის გაზრდას, მაგრამ მატულობდა  უარყოფითი რეაქციების (თავის ტკივილი, სისხლის მოწოლა, თავბრუსხვევა, დისპეფსია, ცხვირში შეგუბება, მხედველობის ცვლილება) ინციდენტობა. </w:t>
      </w:r>
    </w:p>
    <w:p w14:paraId="37BD2C6C"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ჭარბი დოზის შემთხვევაში, მიიღება სტანდარტული დამხმარე ზომები საჭიროების მიხედვით. მოსალოდნელი არ არის, რომ თირკმლის დიალიზმმა დააჩქაროს კლირენსი, რადგან სილდენაფილის ბმა პლაზმურ ცილებთან მაღალია და არ ელიმინირდება შარდში.</w:t>
      </w:r>
    </w:p>
    <w:p w14:paraId="6F5DEA2C" w14:textId="77777777" w:rsidR="00FB3E82" w:rsidRPr="004F2FED" w:rsidRDefault="00FB3E82" w:rsidP="0060552F">
      <w:pPr>
        <w:spacing w:after="0" w:line="240" w:lineRule="auto"/>
        <w:ind w:left="284"/>
        <w:jc w:val="both"/>
        <w:rPr>
          <w:rFonts w:ascii="Sylfaen" w:hAnsi="Sylfaen" w:cs="Sylfaen"/>
          <w:sz w:val="24"/>
          <w:szCs w:val="24"/>
        </w:rPr>
      </w:pPr>
    </w:p>
    <w:p w14:paraId="00ED8A02" w14:textId="77777777" w:rsidR="00064ED7" w:rsidRPr="004F2FED" w:rsidRDefault="00064ED7" w:rsidP="0060552F">
      <w:pPr>
        <w:shd w:val="clear" w:color="auto" w:fill="FFFFFF"/>
        <w:spacing w:after="0" w:line="240" w:lineRule="auto"/>
        <w:ind w:left="284"/>
        <w:jc w:val="both"/>
        <w:rPr>
          <w:rFonts w:ascii="Sylfaen" w:hAnsi="Sylfaen" w:cs="Sylfaen"/>
          <w:b/>
          <w:bCs/>
          <w:sz w:val="24"/>
          <w:szCs w:val="24"/>
        </w:rPr>
      </w:pPr>
      <w:r w:rsidRPr="004F2FED">
        <w:rPr>
          <w:rFonts w:ascii="Sylfaen" w:hAnsi="Sylfaen" w:cs="Sylfaen"/>
          <w:b/>
          <w:bCs/>
          <w:sz w:val="24"/>
          <w:szCs w:val="24"/>
        </w:rPr>
        <w:t>ფარმაკოლოგიური თვისებები</w:t>
      </w:r>
    </w:p>
    <w:p w14:paraId="33D4111F" w14:textId="2FE65F66" w:rsidR="00064ED7" w:rsidRPr="004F2FED" w:rsidRDefault="00064ED7" w:rsidP="0060552F">
      <w:pPr>
        <w:shd w:val="clear" w:color="auto" w:fill="FFFFFF"/>
        <w:spacing w:after="0" w:line="240" w:lineRule="auto"/>
        <w:ind w:left="284"/>
        <w:jc w:val="both"/>
        <w:rPr>
          <w:rFonts w:ascii="Sylfaen" w:hAnsi="Sylfaen" w:cs="Sylfaen"/>
          <w:b/>
          <w:bCs/>
          <w:sz w:val="24"/>
          <w:szCs w:val="24"/>
        </w:rPr>
      </w:pPr>
      <w:r w:rsidRPr="004F2FED">
        <w:rPr>
          <w:rFonts w:ascii="Sylfaen" w:hAnsi="Sylfaen" w:cs="Sylfaen"/>
          <w:b/>
          <w:bCs/>
          <w:sz w:val="24"/>
          <w:szCs w:val="24"/>
        </w:rPr>
        <w:t>ფარმაკოდინამიკური თვისებები</w:t>
      </w:r>
      <w:r w:rsidR="006431BE" w:rsidRPr="004F2FED">
        <w:rPr>
          <w:rFonts w:ascii="Sylfaen" w:hAnsi="Sylfaen" w:cs="Sylfaen"/>
          <w:b/>
          <w:bCs/>
          <w:sz w:val="24"/>
          <w:szCs w:val="24"/>
        </w:rPr>
        <w:t>:</w:t>
      </w:r>
    </w:p>
    <w:p w14:paraId="69A1940C" w14:textId="77777777" w:rsidR="00064ED7" w:rsidRPr="004F2FED" w:rsidRDefault="00064ED7" w:rsidP="0060552F">
      <w:pPr>
        <w:shd w:val="clear" w:color="auto" w:fill="FFFFFF"/>
        <w:spacing w:after="0" w:line="240" w:lineRule="auto"/>
        <w:ind w:left="284"/>
        <w:jc w:val="both"/>
        <w:rPr>
          <w:rFonts w:ascii="Sylfaen" w:hAnsi="Sylfaen" w:cs="Sylfaen"/>
          <w:color w:val="000000"/>
          <w:sz w:val="24"/>
          <w:szCs w:val="24"/>
          <w:lang w:eastAsia="tr-TR"/>
        </w:rPr>
      </w:pPr>
      <w:r w:rsidRPr="004F2FED">
        <w:rPr>
          <w:rFonts w:ascii="Sylfaen" w:hAnsi="Sylfaen" w:cs="Sylfaen"/>
          <w:color w:val="000000"/>
          <w:sz w:val="24"/>
          <w:szCs w:val="24"/>
          <w:lang w:eastAsia="tr-TR"/>
        </w:rPr>
        <w:t xml:space="preserve">ფარმაკოთერაპიული ჯგუფი: უროლოგიური საშუალებები; ერექტიული დისფუნქციის სამკუნალო პრეპარატები. </w:t>
      </w:r>
    </w:p>
    <w:p w14:paraId="76B98821"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color w:val="000000"/>
          <w:sz w:val="24"/>
          <w:szCs w:val="24"/>
          <w:lang w:eastAsia="tr-TR"/>
        </w:rPr>
        <w:t xml:space="preserve">ათქ კოდი:  </w:t>
      </w:r>
      <w:r w:rsidRPr="004F2FED">
        <w:rPr>
          <w:rFonts w:ascii="Sylfaen" w:hAnsi="Sylfaen" w:cs="Sylfaen"/>
          <w:sz w:val="24"/>
          <w:szCs w:val="24"/>
        </w:rPr>
        <w:t>G04BE03</w:t>
      </w:r>
      <w:r w:rsidRPr="004F2FED">
        <w:rPr>
          <w:rFonts w:ascii="Sylfaen" w:hAnsi="Sylfaen" w:cs="Sylfaen"/>
          <w:color w:val="000000"/>
          <w:sz w:val="24"/>
          <w:szCs w:val="24"/>
          <w:lang w:eastAsia="tr-TR"/>
        </w:rPr>
        <w:t>.</w:t>
      </w:r>
    </w:p>
    <w:p w14:paraId="46A85492" w14:textId="77777777" w:rsidR="00064ED7" w:rsidRPr="004F2FED" w:rsidRDefault="00064ED7" w:rsidP="0060552F">
      <w:pPr>
        <w:spacing w:after="0" w:line="240" w:lineRule="auto"/>
        <w:ind w:left="284"/>
        <w:jc w:val="both"/>
        <w:rPr>
          <w:rFonts w:ascii="Sylfaen" w:hAnsi="Sylfaen" w:cs="Sylfaen"/>
          <w:sz w:val="24"/>
          <w:szCs w:val="24"/>
          <w:u w:val="single"/>
        </w:rPr>
      </w:pPr>
    </w:p>
    <w:p w14:paraId="42C1452C"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მოქმედების მექანიზმი</w:t>
      </w:r>
    </w:p>
    <w:p w14:paraId="0B87848D"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 არის პერორალური თერაპია ერექციული დისფუნქციისთვის. ბუნებრივ პირობებში, ე.ი. სქესობრივი სტიმულაციისას, აღადგენს დაქვეითებულ ერექციულ დისფუნქციას სასქესო ასოში სისხლის ნაკადის გაზრდის გზით.</w:t>
      </w:r>
    </w:p>
    <w:p w14:paraId="68F4C75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სასქესო ასოს ერექციაზე პასუხისმგებელი ფიზიოლოგიური მექანიზმი მოიცავს სქესობრივი სტიმულაციის დროს აზოტის ოქსიდის გამოყოფას მღვიმოვან სხეულებში. ამის შემდეგ აზოტის ოქსიდი ააქტიურებს ფერმენტის გუანილატის ციკლაზას, რომელიც იწვევს ციკლური გუანოზინის მონოფოსფატის დონეების (cGMP) მომატებას, რის შედეგადაც ხდება გლუვი კუნთების მოდუნება მღვივოვან სხეულებში და სისხლის ნაკადის შედინება.</w:t>
      </w:r>
    </w:p>
    <w:p w14:paraId="11908F08"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 არის მღვივოვან სხეულებში ციკლური გუანოზინის მონოფოსფატის სპეციფიკური ფოსფოდიესტერაზას ტიპი 5 (PDE5) ძლიერი და სელექციური ინჰიბიტორი, სადაც  PDE5 პასუხისმგებელია ციკლური გუანოზინის მონოფოსფატის დაშლაზე. სილდენაფილი ახდენს ერექციებზე მოქმედებას პერიფერიულ უბანზე. სილდენაფილს არ გააჩნია პირდაპირი მარელაქსებელი ეფექტი ცალკეულ ადამიანის მღვიმოვან სხეულზე, მაგრამ აძლიერებს ამ ქსოვილზე აზოტის ოქსიდის მარელაქსირებელ მოქმედებას. აზოტის ოქსიდის/ციკლური გუანოზინის მონოფოსფატის გააქტიურების შემდეგ, რაც ხდება სქესობრივი სტიმულაციისას, სილდენაფილის მიერ PDE5-ის ინჰიბირება იწვევს ციკლური გუანოზინის მონოფოსფატის დონეების ზრდას მღვიმოვან სხეულებში. შესაბამისად, საჭიროა სქესობრივი სტიმულაცია იმისათვის, რომ სილდენაფილმა წარმოქმნას გამიზნული სასარგებლო ფარმაკოლოგიური ეფექტები. </w:t>
      </w:r>
    </w:p>
    <w:p w14:paraId="71CBD662" w14:textId="77777777" w:rsidR="002D59FE" w:rsidRPr="004F2FED" w:rsidRDefault="002D59FE" w:rsidP="0060552F">
      <w:pPr>
        <w:spacing w:after="0" w:line="240" w:lineRule="auto"/>
        <w:ind w:left="284"/>
        <w:jc w:val="both"/>
        <w:rPr>
          <w:rFonts w:ascii="Sylfaen" w:hAnsi="Sylfaen" w:cs="Sylfaen"/>
          <w:sz w:val="24"/>
          <w:szCs w:val="24"/>
        </w:rPr>
      </w:pPr>
    </w:p>
    <w:p w14:paraId="33EC5B73"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ფარმაკოდინამიკური ეფექტები</w:t>
      </w:r>
    </w:p>
    <w:p w14:paraId="0D7D0959" w14:textId="77777777" w:rsidR="00064ED7" w:rsidRPr="004F2FED" w:rsidRDefault="00064ED7" w:rsidP="0060552F">
      <w:pPr>
        <w:pStyle w:val="NoSpacing2"/>
        <w:ind w:left="284"/>
        <w:jc w:val="both"/>
        <w:rPr>
          <w:rFonts w:ascii="Sylfaen" w:hAnsi="Sylfaen" w:cs="Sylfaen"/>
          <w:noProof/>
          <w:sz w:val="24"/>
          <w:szCs w:val="24"/>
          <w:lang w:val="ka-GE"/>
        </w:rPr>
      </w:pPr>
      <w:r w:rsidRPr="004F2FED">
        <w:rPr>
          <w:rFonts w:ascii="Sylfaen" w:hAnsi="Sylfaen" w:cs="Sylfaen"/>
          <w:i/>
          <w:iCs/>
          <w:noProof/>
          <w:sz w:val="24"/>
          <w:szCs w:val="24"/>
          <w:lang w:val="ka-GE"/>
        </w:rPr>
        <w:t>In vitro</w:t>
      </w:r>
      <w:r w:rsidRPr="004F2FED">
        <w:rPr>
          <w:rFonts w:ascii="Sylfaen" w:hAnsi="Sylfaen" w:cs="Sylfaen"/>
          <w:noProof/>
          <w:sz w:val="24"/>
          <w:szCs w:val="24"/>
          <w:lang w:val="ka-GE"/>
        </w:rPr>
        <w:t>  კვლევები აჩვენებს, რომ სილდენაფილი არის სელექციური PDE5-ს მიმართ, რომელიც მონაწილეობს ერექციის პროცესში. მისი ეფექტი უფრო ძლიერია PDE5-ის მიმართ, ვიდრე სხვა ცნობილი ფოსფოდიესტერაზას მიმართ. სელექციურობა 10-ჯერ მეტია PDE6-ს მიმართ, რომელიც მონაწილეობს თვალის ბადურაში ფოტოტრანსდუქციის გზაში. მაქსიმალურ რეკომენდებულ დოზებზე სელექციურობა PDE1-მიმართ არის 80-ჯერ მეტი და 700-ჯერ მეტი PDE2, 3, 4, 7, 8, 9, 10 და 11-ს მიმართ. კერძოდ, სილდენაფილია 4.000-ჯერ უფრო მეტად სელექციურია PDE5-ს მიმართ, ვიდრე PDE3-ს მიმართ, cGMP-სპეციფიკური ფოსფოდიესტერაზას იზოფორმა მონაწილეობს გულის შეკუმშვადობის კონტროლში.</w:t>
      </w:r>
    </w:p>
    <w:p w14:paraId="10DC4226" w14:textId="77777777" w:rsidR="00064ED7" w:rsidRPr="004F2FED" w:rsidRDefault="00064ED7" w:rsidP="0060552F">
      <w:pPr>
        <w:pStyle w:val="NoSpacing2"/>
        <w:ind w:left="284"/>
        <w:jc w:val="both"/>
        <w:rPr>
          <w:rFonts w:ascii="Sylfaen" w:hAnsi="Sylfaen" w:cs="Sylfaen"/>
          <w:b/>
          <w:bCs/>
          <w:noProof/>
          <w:sz w:val="24"/>
          <w:szCs w:val="24"/>
          <w:lang w:val="ka-GE"/>
        </w:rPr>
      </w:pPr>
    </w:p>
    <w:p w14:paraId="6CE262BA" w14:textId="77777777" w:rsidR="00064ED7" w:rsidRPr="004F2FED" w:rsidRDefault="00064ED7" w:rsidP="0060552F">
      <w:pPr>
        <w:shd w:val="clear" w:color="auto" w:fill="FFFFFF"/>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კლინიკური ეფექტურობა და უსაფრთხოება</w:t>
      </w:r>
    </w:p>
    <w:p w14:paraId="43F258E1"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ორი კლინიკური კვლევა სპეციალურად შემუშავებული იყო დოზირების შემდეგ დროის ფანჯრის შესაფასებლად, რომლის დროსაც სილდენაფილს შეეძლო ერექცია გამოეწვია სექსუალური სტიმულაციის საპასუხოდ. პენისის პლეტიზმოგრაფიის (RigiScan) კვლევაში, რომელიც ჩატარდა უზმოზე მყოფ პაციენტებში, ერექციის დაწყების საშუალო დრო მათთვის, ვინც მიაღწია 60% სიმკვრივის ერექციას (საკმარისი სქესობრივი აქტისთვის) იყო 25 წუთი (დიაპაზონი 12-37 წუთი) სილდენაფილზე. RigiScan-ის სხვა კვლევაში, სილდენაფილის მიღებამ კვლავ შეძლო ერექციის გამომუშავება სექსუალური სტიმულაციის საპასუხოდ დოზის მიღებიდან 4-5 საათის შემდეგ.</w:t>
      </w:r>
    </w:p>
    <w:p w14:paraId="43488B60"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p>
    <w:p w14:paraId="5117C155"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 იწვევს არტერიული წნევის მსუბუქ და გარდამავალ დაქვეითებას, რაც უმეტეს შემთხვევაში არ ვლინდება კლინიკურად. სისტოლური წნევის მაქსიმალური დაქვეითება მწოლიარე მდგომარეობაში 100 მგ სილდენაფილის მიღებისას შეადგენდა 8,3 მმ ვწყ. სვ., ხოლო დიასტოლური წნევის – 5,3 მმ ვწყ. სვ. არტერიული წნევის ეს დაქვეითება შეესაბამება სილდენაფილის ვაზოდილატაციურ ეფექტს, სავარაუდოდ სისხლძარღვთა გლუვ კუნთებში cGMP დონის გაზრდის გამო. 100 მგ-მდე დოზით სილდენაფილის გამოყენება არ იწვევდა ეკგ-ის კლინიკურად მნიშვნელოვან ცვლილებებს ჯანმრთელ მოხალისეებში. </w:t>
      </w:r>
    </w:p>
    <w:p w14:paraId="1760C375"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p>
    <w:p w14:paraId="7637105B"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გულის მძიმე იშემიური დაავადების (CAD) მქონე 14 პაციენტში (პაციენტების 70%-ზე მეტს ჰქონდა სულ მცირე ერთი კორონარული არტერიის სტენოზი) სილდენაფილის 100 მგ ერთჯერადი დოზის ჰემოდინამიური ეფექტის კვლევაში სისტოლური და დიასტოლური წნევა მოსვენების მდგომარეობაში შესაბამისად შემცირდა 7%-ით და 6%-ით, ხოლო ფილტვის სისტოლური წნევა შემცირდა 9%-ით. სილდენაფილი არ ახდენდა მოქმედებას გულის მუშაობაზე და არ არღვევდა სისხლის მიმოქცევას სტენოზირებულ კორონარულ არტერიებში.</w:t>
      </w:r>
    </w:p>
    <w:p w14:paraId="397B5D62"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p>
    <w:p w14:paraId="4CBA48D9"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 xml:space="preserve">ორმაგ ბრმა პლაცებოკონტროლირებად სტრესს კვლევაში შეფასდა ერექტილური დისფუნქციის და სტაბილური სტენოკარდიის მქონე 144 პაციენტი, რომლებიც იღებდნენ ანტიანგინალურ პრეპარატებს (ნიტრატების გარდა). შედეგებმა არ აჩვენა კლინიკურად მნიშვნელოვანი განსხვავებები სილდენაფილსა და პლაცებოს შორის სტენოკარდიის დროში შემცირების მხრივ. </w:t>
      </w:r>
    </w:p>
    <w:p w14:paraId="21899B47"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p>
    <w:p w14:paraId="3716C298"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color w:val="000000"/>
          <w:sz w:val="24"/>
          <w:szCs w:val="24"/>
          <w:shd w:val="clear" w:color="auto" w:fill="FFFFFF"/>
        </w:rPr>
        <w:lastRenderedPageBreak/>
        <w:t xml:space="preserve">ზოგიერთ პაციენტს პრეპარატის 100 მგ მიღებიდან 1 სთ-ის შემდეგ Farnsworth-Munsell ტესტის საშუალებით უვლინდებოდა ფერების (ლურჯი / მწვანე) ტონების გარჩევის უნარის მსუბუქი და გარდამავალი დარღვევა; 2 საათის შემდეგ ეს დარღვევები აღარ აღინიშნებოდა. ითვლება, რომ ფერების აღქმის დარღვევა განპირობებულია </w:t>
      </w:r>
      <w:r w:rsidRPr="004F2FED">
        <w:rPr>
          <w:rFonts w:ascii="Sylfaen" w:hAnsi="Sylfaen" w:cs="Sylfaen"/>
          <w:sz w:val="24"/>
          <w:szCs w:val="24"/>
        </w:rPr>
        <w:t>PDE</w:t>
      </w:r>
      <w:r w:rsidRPr="004F2FED">
        <w:rPr>
          <w:rFonts w:ascii="Sylfaen" w:hAnsi="Sylfaen" w:cs="Sylfaen"/>
          <w:color w:val="000000"/>
          <w:sz w:val="24"/>
          <w:szCs w:val="24"/>
          <w:shd w:val="clear" w:color="auto" w:fill="FFFFFF"/>
        </w:rPr>
        <w:t xml:space="preserve">6-ის ინჰიბირებით, რომელიც მონაწილეობს ბადურაზე სინათლის გადაცემის პროცესში. სილდენაფილი არ ახდენს გავლენას მხედველობის სიმახვილეზე </w:t>
      </w:r>
      <w:r w:rsidRPr="004F2FED">
        <w:rPr>
          <w:rFonts w:ascii="Sylfaen" w:hAnsi="Sylfaen" w:cs="Sylfaen"/>
          <w:sz w:val="24"/>
          <w:szCs w:val="24"/>
        </w:rPr>
        <w:t>ან კონტრასტული მგრძნობელობაზე. დამტკიცებული ადრეული მაკულარული დეგენერაციის მქონე პაციენტების პლაცებოკონტროლირებად ჯვარედინ კვლევაში (n=9) სილდენაფილის (100 მგ, ერთჯერადი დოზა) მიღებისას არ იყო გამოვლენილი მხედველობის რაიმე კლინიკურად მნიშვნელოვანი ცვლილებები, რომლებიც შეფასდა სპეციალური ვიზუალური ტესტებით (მხედველობის სიმკვეთრე, ამსლერის ბადე,  ფერთა აღქმა, ფერის გავლის მოდელირება, ჰემფრის პერიმეტრი და ფოტოსტრესი).</w:t>
      </w:r>
    </w:p>
    <w:p w14:paraId="7F3405D9"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p>
    <w:p w14:paraId="09D164B9"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ჯანმრთელ მოხალისეებში სილდენაფილის ერთჯერადი 100 მგ პერორალური დოზების მიღების შემდეგ სპერმის მობილურობაზე ან მორფოლოგიაზე არანაირი გავლენა არ აღინიშნებოდა.</w:t>
      </w:r>
    </w:p>
    <w:p w14:paraId="4111CFAB"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p>
    <w:p w14:paraId="6358B161"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i/>
          <w:iCs/>
          <w:sz w:val="24"/>
          <w:szCs w:val="24"/>
        </w:rPr>
        <w:t>დამატებითი ინფორმაცია კლინიკურ კვლევებზე</w:t>
      </w:r>
    </w:p>
    <w:p w14:paraId="5C99C368"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კლინიკურ კვლევებში სილდენაფილი მიიღო 8000-ზე მეტ პაციენტმა, რომელთა ასაკი იყო 19-დან 87 წლამდე. წარმოდგენილი იყო პაციენტების შემდეგი ჯგუფები: ხანდაზმულები (19.9%), პაციენტები ჰიპერტენზიით (30.9%), შაქრიანი დიაბეტი (20.3%), გულის იშემიური დაავადება (5.8%), ჰიპერლიპიდემია (19.8%), ზურგის ტვინის დაზიანება (0.6%), დეპრესია (5.2%), პროსტატის ტრანსურეთრალური რეზექცია (3.7%), რადიკალური პროსტატექტომია (3.3%). შემდეგი ჯგუფები არ იყო სათანადოდ წარმოდგენილი ან იყო გამორიცხული კლინიკური კვლევებიდან: პაციენტები მენჯის ღრუზე გადატანილი ოპერაციით, პაციენტები რადიოთერაპიის შემდგომ პერიოდში, პაციენტები თირკმლის ან ღვიძლის მძიმე უკმარისობით და პაციენტები გარკვეული კარდიოვასკულარული მდგომარეობებით.</w:t>
      </w:r>
    </w:p>
    <w:p w14:paraId="11EA5F93"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ფიქსირებული დოზის კვლევებში, პაციენტების პროპორციები, რომლებიც აცხადებდნენ, რომ სილდენაფილით მკურნალობამ გააუმჯობესა მათი ერექცია იყო 62% (25 მგ), 74% (50 მგ) და 82% (100 მგ) შედარებით პლაცებოსთან 25%. კონტროლირებად კლინიკურ კვლევებში სილდენაფილის გამო მონაწილეობის მიღების შეწყვეტის მაჩვენებელი იყო დაბალი და  პლაცებოს მსგავსი.</w:t>
      </w:r>
    </w:p>
    <w:p w14:paraId="6761485E" w14:textId="77777777" w:rsidR="00064ED7" w:rsidRPr="004F2FED" w:rsidRDefault="00064ED7" w:rsidP="0060552F">
      <w:pPr>
        <w:shd w:val="clear" w:color="auto" w:fill="FFFFFF"/>
        <w:spacing w:after="0" w:line="240" w:lineRule="auto"/>
        <w:ind w:left="284"/>
        <w:jc w:val="both"/>
        <w:rPr>
          <w:rFonts w:ascii="Sylfaen" w:hAnsi="Sylfaen" w:cs="Sylfaen"/>
          <w:sz w:val="24"/>
          <w:szCs w:val="24"/>
        </w:rPr>
      </w:pPr>
      <w:r w:rsidRPr="004F2FED">
        <w:rPr>
          <w:rFonts w:ascii="Sylfaen" w:hAnsi="Sylfaen" w:cs="Sylfaen"/>
          <w:sz w:val="24"/>
          <w:szCs w:val="24"/>
        </w:rPr>
        <w:t>ყველა კვლევაში, პაციენტთა წილი, რომლებმაც აღნიშნეს სილდენაფილის გაუმჯობესება, იყო შემდეგი: ფსიქოგენური ერექციული დისფუნქცია (84%), შერეული ერექციული დისფუნქცია (77%), ორგანული ერექციული დისფუნქცია (68%), ხანდაზმულები (67%), შაქრიანი დიაბეტი (59). %), გულის იშემიური დაავადება (69%), ჰიპერტენზია (68%), პროსტატის ტრანსურეთრალური რეზექცია (61%), რადიკალური პროსტატექტომია (43%), ზურგის ტვინის დაზიანება (83%), დეპრესია (75%). სილდენაფილის უსაფრთხოება და ეფექტურობა შენარჩუნებული იყო გრძელვადიან კვლევებში.</w:t>
      </w:r>
    </w:p>
    <w:p w14:paraId="1A22204F" w14:textId="77777777" w:rsidR="00064ED7" w:rsidRPr="004F2FED" w:rsidRDefault="00064ED7" w:rsidP="0060552F">
      <w:pPr>
        <w:pStyle w:val="NoSpacing2"/>
        <w:ind w:left="284"/>
        <w:jc w:val="both"/>
        <w:rPr>
          <w:rFonts w:ascii="Sylfaen" w:hAnsi="Sylfaen" w:cs="Sylfaen"/>
          <w:noProof/>
          <w:sz w:val="24"/>
          <w:szCs w:val="24"/>
          <w:u w:val="single"/>
          <w:lang w:val="ka-GE"/>
        </w:rPr>
      </w:pPr>
      <w:r w:rsidRPr="004F2FED">
        <w:rPr>
          <w:rFonts w:ascii="Sylfaen" w:hAnsi="Sylfaen" w:cs="Sylfaen"/>
          <w:noProof/>
          <w:sz w:val="24"/>
          <w:szCs w:val="24"/>
          <w:u w:val="single"/>
          <w:lang w:val="ka-GE"/>
        </w:rPr>
        <w:t>პედიატრიული მოსახლეობა</w:t>
      </w:r>
    </w:p>
    <w:p w14:paraId="2A3E283A" w14:textId="77777777" w:rsidR="00064ED7" w:rsidRPr="004F2FED" w:rsidRDefault="00064ED7" w:rsidP="0060552F">
      <w:pPr>
        <w:pStyle w:val="NoSpacing2"/>
        <w:ind w:left="284"/>
        <w:jc w:val="both"/>
        <w:rPr>
          <w:rFonts w:ascii="Sylfaen" w:hAnsi="Sylfaen" w:cs="Sylfaen"/>
          <w:noProof/>
          <w:sz w:val="24"/>
          <w:szCs w:val="24"/>
          <w:lang w:val="ka-GE"/>
        </w:rPr>
      </w:pPr>
      <w:r w:rsidRPr="004F2FED">
        <w:rPr>
          <w:rFonts w:ascii="Sylfaen" w:hAnsi="Sylfaen" w:cs="Sylfaen"/>
          <w:noProof/>
          <w:sz w:val="24"/>
          <w:szCs w:val="24"/>
          <w:lang w:val="ka-GE"/>
        </w:rPr>
        <w:t>ევროპის მედიკამენტების სააგენტომ უარი თქვა ერექციული დისფუნქციის სამკურნალოდ პედიატრიული პოპულაციის ყველა ქვეჯგუფში სილდენაფილის კვლევების შედეგების წარდგენის ვალდებულებაზე.</w:t>
      </w:r>
    </w:p>
    <w:p w14:paraId="2D9A1562" w14:textId="77777777" w:rsidR="00064ED7" w:rsidRPr="004F2FED" w:rsidRDefault="00064ED7" w:rsidP="0060552F">
      <w:pPr>
        <w:pStyle w:val="NoSpacing2"/>
        <w:ind w:left="284"/>
        <w:jc w:val="both"/>
        <w:rPr>
          <w:rFonts w:ascii="Sylfaen" w:hAnsi="Sylfaen" w:cs="Sylfaen"/>
          <w:b/>
          <w:bCs/>
          <w:noProof/>
          <w:sz w:val="24"/>
          <w:szCs w:val="24"/>
          <w:lang w:val="ka-GE"/>
        </w:rPr>
      </w:pPr>
    </w:p>
    <w:p w14:paraId="0B33220D" w14:textId="77777777" w:rsidR="00064ED7" w:rsidRPr="004F2FED" w:rsidRDefault="00064ED7" w:rsidP="0060552F">
      <w:pPr>
        <w:pStyle w:val="NoSpacing2"/>
        <w:ind w:left="284"/>
        <w:jc w:val="both"/>
        <w:rPr>
          <w:rFonts w:ascii="Sylfaen" w:hAnsi="Sylfaen" w:cs="Sylfaen"/>
          <w:b/>
          <w:bCs/>
          <w:noProof/>
          <w:sz w:val="24"/>
          <w:szCs w:val="24"/>
          <w:lang w:val="ka-GE"/>
        </w:rPr>
      </w:pPr>
      <w:r w:rsidRPr="004F2FED">
        <w:rPr>
          <w:rFonts w:ascii="Sylfaen" w:hAnsi="Sylfaen" w:cs="Sylfaen"/>
          <w:b/>
          <w:bCs/>
          <w:noProof/>
          <w:sz w:val="24"/>
          <w:szCs w:val="24"/>
          <w:lang w:val="ka-GE"/>
        </w:rPr>
        <w:lastRenderedPageBreak/>
        <w:t>ფარმაკოკინეტიკური თვისებები</w:t>
      </w:r>
    </w:p>
    <w:p w14:paraId="43AE1135"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აბსორბცია</w:t>
      </w:r>
    </w:p>
    <w:p w14:paraId="07D6F8D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 სწრაფად შეიწოვება. მაქსიმალური პლაზმური კონცენტრაციები მიიღწევა უზმოზე პერორალური დოზის მიღებიდან 30-დან 120 წუთამდე (საშუალოდ 60 წუთი). საშუალო აბსოლუტური პერორალური ბიოშეღწევადობა შეადგენს 41%-ს (25-63%-ის ფარგლებში). სილდენაფილის პერორალური დოზის მიღების შემდეფ AUC და Cmax მატულობს რეკომენდებული დოზების დიაპაზონში (25-100 მგ) დოზის პროპორციულად. </w:t>
      </w:r>
    </w:p>
    <w:p w14:paraId="5D15411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საკვებთან ერთად მიღებისას, აბსორბციის სიჩქარე მცირდება და Tmax-ის საშუალოდ დაყოვნება შეადგენს 60 წუთს, ხოლო Cmax-ის საშუალო შემცირება შეადგენს 29%-ს.</w:t>
      </w:r>
    </w:p>
    <w:p w14:paraId="136F32A1" w14:textId="77777777" w:rsidR="00064ED7" w:rsidRPr="004F2FED" w:rsidRDefault="00064ED7" w:rsidP="0060552F">
      <w:pPr>
        <w:spacing w:after="0" w:line="240" w:lineRule="auto"/>
        <w:ind w:left="284"/>
        <w:jc w:val="both"/>
        <w:rPr>
          <w:rFonts w:ascii="Sylfaen" w:hAnsi="Sylfaen" w:cs="Sylfaen"/>
          <w:sz w:val="24"/>
          <w:szCs w:val="24"/>
          <w:u w:val="single"/>
        </w:rPr>
      </w:pPr>
    </w:p>
    <w:p w14:paraId="2BF5F619"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განაწილება</w:t>
      </w:r>
    </w:p>
    <w:p w14:paraId="15EEEBFC"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განაწილების საშუალო მყარი მოცულობა (Vd) არის 105 ლ, რაც მიუთითებს ქსოვილებში განაწილებაზე. 100 მგ ერთჯერადი პერორალური დოზის მიღების შემდეგ სილდენაფილის საშუალო მაქსიმალური საერთო პლაზმური კონცენტრაცია არის დაახლოებით 440 ნგ/მლ (CV 40%). რადგან სილდენაფილი (და მისი მთავარი მოცირკულირე მეტაბოლიტი  N-დესმეთილი) უკავშირდება პლაზმურ ცილებს, ეს იწვევს სილდენაფილის საშუალო მაქსიმალურ თავისუფალ კონცენტრაციებს 18  ნგ/მლ-ს (38 ნმ) ოდენობით. ცილებთან ბმა დამოკიდებული არ არის პრეპარატის საერთო კონცენტრაციებზე.</w:t>
      </w:r>
    </w:p>
    <w:p w14:paraId="09DFE04B"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ჯანმრთელ მოხალისეებში, რომლებიც იღებენ სილდენაფილს (100 მგ ერთჯერადი დოზა), მიღებული დოზის 0.0002%-ზე ნაკლები (საშუალოდ 188 ნგ) აღინიშნებოდა ეაკულატში დოზის მიღებიდან 90 წუთის განმავლობაში. </w:t>
      </w:r>
    </w:p>
    <w:p w14:paraId="6CAC4422" w14:textId="77777777" w:rsidR="00064ED7" w:rsidRPr="004F2FED" w:rsidRDefault="00064ED7" w:rsidP="0060552F">
      <w:pPr>
        <w:spacing w:after="0" w:line="240" w:lineRule="auto"/>
        <w:ind w:left="284"/>
        <w:jc w:val="both"/>
        <w:rPr>
          <w:rFonts w:ascii="Sylfaen" w:hAnsi="Sylfaen" w:cs="Sylfaen"/>
          <w:sz w:val="24"/>
          <w:szCs w:val="24"/>
          <w:u w:val="single"/>
        </w:rPr>
      </w:pPr>
    </w:p>
    <w:p w14:paraId="27BEB09C"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ბიოტრანსფორმაცია</w:t>
      </w:r>
    </w:p>
    <w:p w14:paraId="598A05A5"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სილდენაფილის კლირენსი უპირატესად ხდება CYP3A4 (ძირითადი გზა) და CYP2C9 (მცირე გზა) ღვიძლის მიკროსომული იზოფერმენტებით. მთავარი მოცირკულირე მეტაბოლიტი წარმოიქმნება სილდენაფილის N-დემეთილაციით. ამ მეტაბოლიტს გააჩნია ფოსფოდიესტერაზას სელექციურობის პროფილი, რომელიც სილდენაფილის მსგავსია და PDE5-ის </w:t>
      </w:r>
      <w:r w:rsidRPr="004F2FED">
        <w:rPr>
          <w:rFonts w:ascii="Sylfaen" w:hAnsi="Sylfaen" w:cs="Sylfaen"/>
          <w:i/>
          <w:iCs/>
          <w:sz w:val="24"/>
          <w:szCs w:val="24"/>
        </w:rPr>
        <w:t>in vitro</w:t>
      </w:r>
      <w:r w:rsidRPr="004F2FED">
        <w:rPr>
          <w:rFonts w:ascii="Sylfaen" w:hAnsi="Sylfaen" w:cs="Sylfaen"/>
          <w:sz w:val="24"/>
          <w:szCs w:val="24"/>
        </w:rPr>
        <w:t>  მოქმედების ძალა მთავარი პრეპარატის დაახლოებით 50%-ია. ამ მეტაბოლიტის პლაზმური კონცენტრაციები შეადგენს სილდენაფილის პლაზმური კონცენტრაციების დაახლოებით 40%-ს. N-დესმეთილის მეტაბოლიტი შემდგომ მეტაბოლიზდება ნახევარგამოყოფის ტერმინალური პერიოდით 4 სთ.</w:t>
      </w:r>
    </w:p>
    <w:p w14:paraId="1F0774E4" w14:textId="77777777" w:rsidR="00064ED7" w:rsidRPr="004F2FED" w:rsidRDefault="00064ED7" w:rsidP="0060552F">
      <w:pPr>
        <w:spacing w:after="0" w:line="240" w:lineRule="auto"/>
        <w:ind w:left="284"/>
        <w:jc w:val="both"/>
        <w:rPr>
          <w:rFonts w:ascii="Sylfaen" w:hAnsi="Sylfaen" w:cs="Sylfaen"/>
          <w:sz w:val="24"/>
          <w:szCs w:val="24"/>
        </w:rPr>
      </w:pPr>
    </w:p>
    <w:p w14:paraId="7C1C2285"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ელიმინაცია</w:t>
      </w:r>
    </w:p>
    <w:p w14:paraId="5E654465"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სილდენაფილის საერთო კლირენსი არის 41 ლ/სთ და შედეგად პლაზმაში ნახევარგამოყოფის პერიოდი შეადგენს 3-5 სთ-ს. პერორალური ან ინტრავენური გზით შეყვანის შემდეგ სილდენაფილი გამოიყოფა მეტაბოლიტების სახით, უპირატესად განავალში (მიღებული პერორალური დოზის დაახლოებით 80%) და ნაკლები ხარისხით შარდში (მიღებული პერორალური დოზის დაახლოებით 13%).</w:t>
      </w:r>
    </w:p>
    <w:p w14:paraId="6DFDCF19" w14:textId="77777777" w:rsidR="00064ED7" w:rsidRPr="004F2FED" w:rsidRDefault="00064ED7" w:rsidP="0060552F">
      <w:pPr>
        <w:spacing w:after="0" w:line="240" w:lineRule="auto"/>
        <w:ind w:left="284"/>
        <w:jc w:val="both"/>
        <w:rPr>
          <w:rFonts w:ascii="Sylfaen" w:hAnsi="Sylfaen" w:cs="Sylfaen"/>
          <w:sz w:val="24"/>
          <w:szCs w:val="24"/>
          <w:u w:val="single"/>
        </w:rPr>
      </w:pPr>
    </w:p>
    <w:p w14:paraId="3CFEEE50"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sz w:val="24"/>
          <w:szCs w:val="24"/>
          <w:u w:val="single"/>
        </w:rPr>
        <w:t>ფარმაკოკინეტიკა პაციენტთა სპეციალურ ჯგუფებში</w:t>
      </w:r>
    </w:p>
    <w:p w14:paraId="1B095333" w14:textId="77777777" w:rsidR="00064ED7" w:rsidRPr="004F2FED" w:rsidRDefault="00064ED7" w:rsidP="0060552F">
      <w:pPr>
        <w:spacing w:after="0" w:line="240" w:lineRule="auto"/>
        <w:ind w:left="284"/>
        <w:jc w:val="both"/>
        <w:rPr>
          <w:rFonts w:ascii="Sylfaen" w:hAnsi="Sylfaen" w:cs="Sylfaen"/>
          <w:i/>
          <w:iCs/>
          <w:sz w:val="24"/>
          <w:szCs w:val="24"/>
          <w:u w:val="single"/>
        </w:rPr>
      </w:pPr>
      <w:r w:rsidRPr="004F2FED">
        <w:rPr>
          <w:rFonts w:ascii="Sylfaen" w:hAnsi="Sylfaen" w:cs="Sylfaen"/>
          <w:i/>
          <w:iCs/>
          <w:sz w:val="24"/>
          <w:szCs w:val="24"/>
          <w:u w:val="single"/>
        </w:rPr>
        <w:t>ხანდაზმულები</w:t>
      </w:r>
    </w:p>
    <w:p w14:paraId="4FC980BA"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 xml:space="preserve">ჯანმრთელ ხანდაზმულ მოხალისეებში (65 წლის ან ზემოთ ასაკის) აღინიშნა სილდენაფილის კლირენსის შემცირება, რაც იწვევს სილდენაფილის და აქტიური N-დესმეთილ მეტაბოლიტის </w:t>
      </w:r>
      <w:r w:rsidRPr="004F2FED">
        <w:rPr>
          <w:rFonts w:ascii="Sylfaen" w:hAnsi="Sylfaen" w:cs="Sylfaen"/>
          <w:sz w:val="24"/>
          <w:szCs w:val="24"/>
        </w:rPr>
        <w:lastRenderedPageBreak/>
        <w:t>დაახლოებით 90%-ით უფრო მაღალ პლაზმურ კონცენტრაციებს, ვიდრე ეს კონცენტრაციებია ჯანმრთელ უფრო ახალგაზრდა მოხალისეებში (18-45 წლის). პლაზმურ ცილებთან ბმის მხრივ ასაკობრივი სხვაობების გამო, თავისუფალი სილდენაფილის პლაზმური კონცენტრაციები მატულობდა დაახლოებით 40%-ით.</w:t>
      </w:r>
    </w:p>
    <w:p w14:paraId="005C3811" w14:textId="77777777" w:rsidR="00064ED7" w:rsidRPr="004F2FED" w:rsidRDefault="00064ED7" w:rsidP="0060552F">
      <w:pPr>
        <w:spacing w:after="0" w:line="240" w:lineRule="auto"/>
        <w:ind w:left="284"/>
        <w:jc w:val="both"/>
        <w:rPr>
          <w:rFonts w:ascii="Sylfaen" w:hAnsi="Sylfaen" w:cs="Sylfaen"/>
          <w:sz w:val="24"/>
          <w:szCs w:val="24"/>
        </w:rPr>
      </w:pPr>
    </w:p>
    <w:p w14:paraId="6CDF8524" w14:textId="77777777" w:rsidR="00064ED7" w:rsidRPr="004F2FED" w:rsidRDefault="00064ED7" w:rsidP="0060552F">
      <w:pPr>
        <w:spacing w:after="0" w:line="240" w:lineRule="auto"/>
        <w:ind w:left="284"/>
        <w:jc w:val="both"/>
        <w:rPr>
          <w:rFonts w:ascii="Sylfaen" w:hAnsi="Sylfaen" w:cs="Sylfaen"/>
          <w:i/>
          <w:iCs/>
          <w:sz w:val="24"/>
          <w:szCs w:val="24"/>
        </w:rPr>
      </w:pPr>
      <w:r w:rsidRPr="004F2FED">
        <w:rPr>
          <w:rFonts w:ascii="Sylfaen" w:hAnsi="Sylfaen" w:cs="Sylfaen"/>
          <w:i/>
          <w:iCs/>
          <w:sz w:val="24"/>
          <w:szCs w:val="24"/>
        </w:rPr>
        <w:t>თირკმლის უკმარისობა</w:t>
      </w:r>
    </w:p>
    <w:p w14:paraId="5603B349"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თირკმლის მსუბუქი და საშუალო უკმარისობის მქონე მოხალისეებში (კრეატინინის კლირენსი = 30-80 მლ/წთ), სილდენაფილის ფარმაკოკინეტიკა არ იცვლებოდა 50 მგ ერთჯერადი პერორალური დოზის მიღების შემდეგ. N-დესმეთილ მეტაბოლიტის საშუალო AUC და Cmax იზრდებოდა 126% და 73%-მდე შესაბამისად, შესაბამისი ასაკის მოხალისეებთან შედარებით, რომლებსაც არ ჰქონდათ თირკმლის უკმარისობა. თირკმლის მძიმე უკმარისობის მქონე მოხალისეებში (კრეატინინის კლირენსი &lt;30 მლ/წთ), სილდენაფილის კლირენსი მცირდებოდა, რაც იწვევდა AUC და Cmax-ის საშუალოდ მატებას 100% და 88%-ით შესაბამისად, შესაბამისი ასაკის მოხალისეებთან შედარებით, რომლებსაც არ ჰქონდათ თირკმლის უკმარისობა. გარდა ამისა, N-დესმეთილის მეტაბოლიტის AUC და Cmax მნიშვნელობები მნიშვნელოვნად იზრდებოდა 200% და 79%-ით შესაბამისად.</w:t>
      </w:r>
    </w:p>
    <w:p w14:paraId="6701CD76" w14:textId="77777777" w:rsidR="00064ED7" w:rsidRPr="004F2FED" w:rsidRDefault="00064ED7" w:rsidP="0060552F">
      <w:pPr>
        <w:spacing w:after="0" w:line="240" w:lineRule="auto"/>
        <w:ind w:left="284"/>
        <w:jc w:val="both"/>
        <w:rPr>
          <w:rFonts w:ascii="Sylfaen" w:hAnsi="Sylfaen" w:cs="Sylfaen"/>
          <w:sz w:val="24"/>
          <w:szCs w:val="24"/>
        </w:rPr>
      </w:pPr>
    </w:p>
    <w:p w14:paraId="4B340ED1" w14:textId="77777777" w:rsidR="00064ED7" w:rsidRPr="004F2FED" w:rsidRDefault="00064ED7" w:rsidP="0060552F">
      <w:pPr>
        <w:spacing w:after="0" w:line="240" w:lineRule="auto"/>
        <w:ind w:left="284"/>
        <w:jc w:val="both"/>
        <w:rPr>
          <w:rFonts w:ascii="Sylfaen" w:hAnsi="Sylfaen" w:cs="Sylfaen"/>
          <w:sz w:val="24"/>
          <w:szCs w:val="24"/>
          <w:u w:val="single"/>
        </w:rPr>
      </w:pPr>
      <w:r w:rsidRPr="004F2FED">
        <w:rPr>
          <w:rFonts w:ascii="Sylfaen" w:hAnsi="Sylfaen" w:cs="Sylfaen"/>
          <w:i/>
          <w:iCs/>
          <w:sz w:val="24"/>
          <w:szCs w:val="24"/>
          <w:u w:val="single"/>
        </w:rPr>
        <w:t>ღვიძლის უკმარისობა</w:t>
      </w:r>
    </w:p>
    <w:p w14:paraId="272957CC"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მსუბუქი და საშუალო სიმძიმის ღვიძლის ციროზის (ჩაილდ-პიუ A და B) მქონე მოხალისეებში სილდენაფილის კლირენსი შემცირებული იყო, რაც იწვევდა AUC-ის (84%) და Cmax-ის (47%) ზრდას შესაბამისი ასაკის მოხალისეებთან შედარებით, რომლებსაც არ ჰქონდათ ღვიძლის უკმარისობა. სილდენაფილის ფარმაკოკინეტიკა თირკმლის ფუნქციის მძიმე დარღვევის მქონე პაციენტებში შესწავლილი არ არის.</w:t>
      </w:r>
    </w:p>
    <w:p w14:paraId="7819E7DA" w14:textId="77777777" w:rsidR="00064ED7" w:rsidRPr="004F2FED" w:rsidRDefault="00064ED7" w:rsidP="0060552F">
      <w:pPr>
        <w:shd w:val="clear" w:color="auto" w:fill="FFFFFF"/>
        <w:spacing w:after="0" w:line="240" w:lineRule="auto"/>
        <w:ind w:left="284"/>
        <w:rPr>
          <w:rFonts w:ascii="Sylfaen" w:hAnsi="Sylfaen" w:cs="Sylfaen"/>
          <w:b/>
          <w:bCs/>
          <w:sz w:val="24"/>
          <w:szCs w:val="24"/>
        </w:rPr>
      </w:pPr>
    </w:p>
    <w:p w14:paraId="14E07F9F" w14:textId="5F9FD9C7" w:rsidR="00064ED7" w:rsidRPr="004F2FED" w:rsidRDefault="00064ED7" w:rsidP="0060552F">
      <w:pPr>
        <w:shd w:val="clear" w:color="auto" w:fill="FFFFFF"/>
        <w:spacing w:after="0" w:line="240" w:lineRule="auto"/>
        <w:ind w:left="284"/>
        <w:rPr>
          <w:rFonts w:ascii="Sylfaen" w:hAnsi="Sylfaen" w:cs="Sylfaen"/>
          <w:b/>
          <w:bCs/>
          <w:sz w:val="24"/>
          <w:szCs w:val="24"/>
        </w:rPr>
      </w:pPr>
      <w:r w:rsidRPr="004F2FED">
        <w:rPr>
          <w:rFonts w:ascii="Sylfaen" w:hAnsi="Sylfaen" w:cs="Sylfaen"/>
          <w:b/>
          <w:bCs/>
          <w:sz w:val="24"/>
          <w:szCs w:val="24"/>
        </w:rPr>
        <w:t>უსაფრთხოების წინაკლინიკური მონაცემები</w:t>
      </w:r>
      <w:r w:rsidR="006431BE" w:rsidRPr="004F2FED">
        <w:rPr>
          <w:rFonts w:ascii="Sylfaen" w:hAnsi="Sylfaen" w:cs="Sylfaen"/>
          <w:b/>
          <w:bCs/>
          <w:sz w:val="24"/>
          <w:szCs w:val="24"/>
        </w:rPr>
        <w:t>:</w:t>
      </w:r>
    </w:p>
    <w:p w14:paraId="038CC01F" w14:textId="77777777" w:rsidR="00064ED7" w:rsidRPr="004F2FED" w:rsidRDefault="00064ED7" w:rsidP="0060552F">
      <w:pPr>
        <w:spacing w:after="0" w:line="240" w:lineRule="auto"/>
        <w:ind w:left="284"/>
        <w:jc w:val="both"/>
        <w:rPr>
          <w:rFonts w:ascii="Sylfaen" w:hAnsi="Sylfaen" w:cs="Sylfaen"/>
          <w:sz w:val="24"/>
          <w:szCs w:val="24"/>
        </w:rPr>
      </w:pPr>
      <w:r w:rsidRPr="004F2FED">
        <w:rPr>
          <w:rFonts w:ascii="Sylfaen" w:hAnsi="Sylfaen" w:cs="Sylfaen"/>
          <w:sz w:val="24"/>
          <w:szCs w:val="24"/>
        </w:rPr>
        <w:t>წინაკლინიკურმა მონაცემების მიხედვით განსაკუთრებული საფრთხე ადამიანებისთვის უსაფრთხოების ფარმაკოლოგიის, განმეორებითი დოზის ტოქსიკურობის, გენოტოქსიურობის, კანცეროგენული პოტენციალის და რეპროდუქციისა და განვითარების ტოქსიკურობის ტრადიციულ კვლევებზე დაყრდნობით არ გამოვლენილა.</w:t>
      </w:r>
    </w:p>
    <w:p w14:paraId="49B31212" w14:textId="77777777" w:rsidR="00064ED7" w:rsidRPr="004F2FED" w:rsidRDefault="00064ED7" w:rsidP="0060552F">
      <w:pPr>
        <w:spacing w:after="0" w:line="240" w:lineRule="auto"/>
        <w:jc w:val="both"/>
        <w:rPr>
          <w:rFonts w:ascii="Sylfaen" w:hAnsi="Sylfaen" w:cs="Sylfaen"/>
          <w:sz w:val="24"/>
          <w:szCs w:val="24"/>
        </w:rPr>
      </w:pPr>
    </w:p>
    <w:p w14:paraId="75C907D7" w14:textId="77777777" w:rsidR="00064ED7" w:rsidRPr="004F2FED" w:rsidRDefault="00064ED7" w:rsidP="0060552F">
      <w:pPr>
        <w:pStyle w:val="NoSpacing1"/>
        <w:ind w:left="284"/>
        <w:jc w:val="both"/>
        <w:rPr>
          <w:rFonts w:ascii="Sylfaen" w:hAnsi="Sylfaen" w:cs="Sylfaen"/>
          <w:b/>
          <w:bCs/>
          <w:noProof/>
          <w:sz w:val="24"/>
          <w:szCs w:val="24"/>
          <w:lang w:val="ka-GE"/>
        </w:rPr>
      </w:pPr>
      <w:r w:rsidRPr="004F2FED">
        <w:rPr>
          <w:rFonts w:ascii="Sylfaen" w:hAnsi="Sylfaen" w:cs="Sylfaen"/>
          <w:b/>
          <w:bCs/>
          <w:noProof/>
          <w:sz w:val="24"/>
          <w:szCs w:val="24"/>
          <w:lang w:val="ka-GE"/>
        </w:rPr>
        <w:t>ფარმაცევტული თვისებები</w:t>
      </w:r>
    </w:p>
    <w:p w14:paraId="3C3EB200" w14:textId="1272A0FB" w:rsidR="00064ED7" w:rsidRPr="004F2FED" w:rsidRDefault="00064ED7" w:rsidP="0060552F">
      <w:pPr>
        <w:pStyle w:val="NoSpacing1"/>
        <w:ind w:left="284"/>
        <w:jc w:val="both"/>
        <w:rPr>
          <w:rFonts w:ascii="Sylfaen" w:hAnsi="Sylfaen" w:cs="Sylfaen"/>
          <w:b/>
          <w:bCs/>
          <w:noProof/>
          <w:sz w:val="24"/>
          <w:szCs w:val="24"/>
          <w:lang w:val="ka-GE"/>
        </w:rPr>
      </w:pPr>
      <w:r w:rsidRPr="004F2FED">
        <w:rPr>
          <w:rFonts w:ascii="Sylfaen" w:hAnsi="Sylfaen" w:cs="Sylfaen"/>
          <w:b/>
          <w:bCs/>
          <w:noProof/>
          <w:sz w:val="24"/>
          <w:szCs w:val="24"/>
          <w:lang w:val="ka-GE"/>
        </w:rPr>
        <w:t>დამხმარე ნივთიერებების ჩამონათვალი</w:t>
      </w:r>
      <w:r w:rsidR="006431BE" w:rsidRPr="004F2FED">
        <w:rPr>
          <w:rFonts w:ascii="Sylfaen" w:hAnsi="Sylfaen" w:cs="Sylfaen"/>
          <w:b/>
          <w:bCs/>
          <w:noProof/>
          <w:sz w:val="24"/>
          <w:szCs w:val="24"/>
          <w:lang w:val="ka-GE"/>
        </w:rPr>
        <w:t>:</w:t>
      </w:r>
    </w:p>
    <w:p w14:paraId="71C79375" w14:textId="77777777" w:rsidR="006723AF" w:rsidRPr="004F2FED" w:rsidRDefault="00064ED7" w:rsidP="006723AF">
      <w:pPr>
        <w:spacing w:after="0" w:line="240" w:lineRule="auto"/>
        <w:rPr>
          <w:rFonts w:ascii="Sylfaen" w:hAnsi="Sylfaen" w:cs="Sylfaen"/>
          <w:b/>
          <w:bCs/>
          <w:sz w:val="24"/>
          <w:szCs w:val="24"/>
          <w:lang w:eastAsia="en-IN"/>
        </w:rPr>
      </w:pPr>
      <w:r w:rsidRPr="004F2FED">
        <w:rPr>
          <w:rFonts w:ascii="Sylfaen" w:hAnsi="Sylfaen" w:cs="Sylfaen"/>
          <w:sz w:val="24"/>
          <w:szCs w:val="24"/>
          <w:lang w:eastAsia="pl-PL"/>
        </w:rPr>
        <w:t xml:space="preserve">      </w:t>
      </w:r>
      <w:r w:rsidR="006723AF" w:rsidRPr="004F2FED">
        <w:rPr>
          <w:rFonts w:ascii="Sylfaen" w:hAnsi="Sylfaen" w:cs="Sylfaen"/>
          <w:b/>
          <w:bCs/>
          <w:i/>
          <w:iCs/>
          <w:sz w:val="24"/>
          <w:szCs w:val="24"/>
          <w:u w:val="single"/>
          <w:lang w:eastAsia="en-IN"/>
        </w:rPr>
        <w:t>ტაბლეტის ბირთვი</w:t>
      </w:r>
      <w:r w:rsidR="006723AF" w:rsidRPr="004F2FED">
        <w:rPr>
          <w:rFonts w:ascii="Sylfaen" w:hAnsi="Sylfaen" w:cs="Sylfaen"/>
          <w:b/>
          <w:bCs/>
          <w:i/>
          <w:iCs/>
          <w:sz w:val="24"/>
          <w:szCs w:val="24"/>
          <w:lang w:eastAsia="en-IN"/>
        </w:rPr>
        <w:t xml:space="preserve">: </w:t>
      </w:r>
    </w:p>
    <w:p w14:paraId="4C3F7D3F" w14:textId="1070D5EF" w:rsidR="00064ED7" w:rsidRPr="004F2FED" w:rsidRDefault="00064ED7" w:rsidP="006723AF">
      <w:pPr>
        <w:spacing w:after="0" w:line="240" w:lineRule="auto"/>
        <w:ind w:firstLine="270"/>
        <w:rPr>
          <w:rFonts w:ascii="Sylfaen" w:hAnsi="Sylfaen" w:cs="Sylfaen"/>
          <w:sz w:val="24"/>
          <w:szCs w:val="24"/>
          <w:lang w:eastAsia="pl-PL"/>
        </w:rPr>
      </w:pPr>
      <w:r w:rsidRPr="004F2FED">
        <w:rPr>
          <w:rFonts w:ascii="Sylfaen" w:hAnsi="Sylfaen" w:cs="Sylfaen"/>
          <w:sz w:val="24"/>
          <w:szCs w:val="24"/>
          <w:lang w:eastAsia="pl-PL"/>
        </w:rPr>
        <w:t xml:space="preserve">ლაქტოზას მონოჰიდრატი, მიკროკრისტალური ცელულოზა, ნატრიუმის კროსკარმელოზა, </w:t>
      </w:r>
      <w:r w:rsidR="00AA5C79" w:rsidRPr="004F2FED">
        <w:rPr>
          <w:rFonts w:ascii="Sylfaen" w:hAnsi="Sylfaen" w:cs="Sylfaen"/>
          <w:sz w:val="24"/>
          <w:szCs w:val="24"/>
          <w:lang w:eastAsia="pl-PL"/>
        </w:rPr>
        <w:t>აეროსილი</w:t>
      </w:r>
      <w:r w:rsidRPr="004F2FED">
        <w:rPr>
          <w:rFonts w:ascii="Sylfaen" w:hAnsi="Sylfaen" w:cs="Sylfaen"/>
          <w:sz w:val="24"/>
          <w:szCs w:val="24"/>
          <w:lang w:eastAsia="pl-PL"/>
        </w:rPr>
        <w:t xml:space="preserve">, მაგნიუმის   </w:t>
      </w:r>
    </w:p>
    <w:p w14:paraId="1192E1FE" w14:textId="77777777" w:rsidR="006723AF" w:rsidRPr="004F2FED" w:rsidRDefault="00064ED7" w:rsidP="00AA5C79">
      <w:pPr>
        <w:spacing w:after="0" w:line="240" w:lineRule="auto"/>
        <w:ind w:left="270" w:hanging="270"/>
        <w:rPr>
          <w:rFonts w:ascii="Sylfaen" w:hAnsi="Sylfaen" w:cs="Sylfaen"/>
          <w:sz w:val="24"/>
          <w:szCs w:val="24"/>
          <w:lang w:eastAsia="pl-PL"/>
        </w:rPr>
      </w:pPr>
      <w:r w:rsidRPr="004F2FED">
        <w:rPr>
          <w:rFonts w:ascii="Sylfaen" w:hAnsi="Sylfaen" w:cs="Sylfaen"/>
          <w:sz w:val="24"/>
          <w:szCs w:val="24"/>
          <w:lang w:eastAsia="pl-PL"/>
        </w:rPr>
        <w:t xml:space="preserve">      სტეარატი</w:t>
      </w:r>
      <w:r w:rsidR="006723AF" w:rsidRPr="004F2FED">
        <w:rPr>
          <w:rFonts w:ascii="Sylfaen" w:hAnsi="Sylfaen" w:cs="Sylfaen"/>
          <w:sz w:val="24"/>
          <w:szCs w:val="24"/>
          <w:lang w:eastAsia="pl-PL"/>
        </w:rPr>
        <w:t>.</w:t>
      </w:r>
    </w:p>
    <w:p w14:paraId="04ACEBA7" w14:textId="77777777" w:rsidR="006723AF" w:rsidRPr="004F2FED" w:rsidRDefault="006723AF" w:rsidP="006723AF">
      <w:pPr>
        <w:spacing w:after="0" w:line="240" w:lineRule="auto"/>
        <w:ind w:firstLine="270"/>
        <w:rPr>
          <w:rFonts w:ascii="Sylfaen" w:hAnsi="Sylfaen" w:cs="Sylfaen"/>
          <w:b/>
          <w:bCs/>
          <w:i/>
          <w:iCs/>
          <w:sz w:val="24"/>
          <w:szCs w:val="24"/>
          <w:u w:val="single"/>
          <w:lang w:eastAsia="en-IN"/>
        </w:rPr>
      </w:pPr>
      <w:r w:rsidRPr="004F2FED">
        <w:rPr>
          <w:rFonts w:ascii="Sylfaen" w:hAnsi="Sylfaen" w:cs="Sylfaen"/>
          <w:b/>
          <w:bCs/>
          <w:i/>
          <w:iCs/>
          <w:sz w:val="24"/>
          <w:szCs w:val="24"/>
          <w:u w:val="single"/>
          <w:lang w:eastAsia="en-IN"/>
        </w:rPr>
        <w:t>ტაბლეტის გარსი:</w:t>
      </w:r>
    </w:p>
    <w:p w14:paraId="3AB4AC29" w14:textId="4D4FF852" w:rsidR="00064ED7" w:rsidRPr="004F2FED" w:rsidRDefault="00064ED7" w:rsidP="006723AF">
      <w:pPr>
        <w:spacing w:after="0" w:line="240" w:lineRule="auto"/>
        <w:ind w:left="270"/>
        <w:rPr>
          <w:rFonts w:ascii="Sylfaen" w:hAnsi="Sylfaen" w:cs="Sylfaen"/>
          <w:sz w:val="24"/>
          <w:szCs w:val="24"/>
          <w:lang w:eastAsia="pl-PL"/>
        </w:rPr>
      </w:pPr>
      <w:r w:rsidRPr="004F2FED">
        <w:rPr>
          <w:rFonts w:ascii="Sylfaen" w:hAnsi="Sylfaen" w:cs="Sylfaen"/>
          <w:sz w:val="24"/>
          <w:szCs w:val="24"/>
          <w:lang w:eastAsia="pl-PL"/>
        </w:rPr>
        <w:t xml:space="preserve">Tabcoat </w:t>
      </w:r>
      <w:r w:rsidR="00AA5C79" w:rsidRPr="004F2FED">
        <w:rPr>
          <w:rFonts w:ascii="Sylfaen" w:hAnsi="Sylfaen" w:cs="Sylfaen"/>
          <w:sz w:val="24"/>
          <w:szCs w:val="24"/>
          <w:lang w:eastAsia="pl-PL"/>
        </w:rPr>
        <w:t xml:space="preserve">თეთრი TC1000 </w:t>
      </w:r>
      <w:r w:rsidRPr="004F2FED">
        <w:rPr>
          <w:rFonts w:ascii="Sylfaen" w:hAnsi="Sylfaen" w:cs="Sylfaen"/>
          <w:sz w:val="24"/>
          <w:szCs w:val="24"/>
          <w:lang w:eastAsia="pl-PL"/>
        </w:rPr>
        <w:t xml:space="preserve">IH, </w:t>
      </w:r>
      <w:r w:rsidR="006723AF" w:rsidRPr="004F2FED">
        <w:rPr>
          <w:rFonts w:ascii="Sylfaen" w:hAnsi="Sylfaen" w:cs="Sylfaen"/>
          <w:sz w:val="24"/>
          <w:szCs w:val="24"/>
          <w:lang w:eastAsia="pl-PL"/>
        </w:rPr>
        <w:t xml:space="preserve">იზოპროპილის სპირტი, გასუფთავებული წყალი,მეთილენქლორიდი, </w:t>
      </w:r>
      <w:r w:rsidRPr="004F2FED">
        <w:rPr>
          <w:rFonts w:ascii="Sylfaen" w:hAnsi="Sylfaen" w:cs="Sylfaen"/>
          <w:sz w:val="24"/>
          <w:szCs w:val="24"/>
          <w:lang w:eastAsia="pl-PL"/>
        </w:rPr>
        <w:t>რკინის წითელი ოქსიდი</w:t>
      </w:r>
      <w:r w:rsidR="006723AF" w:rsidRPr="004F2FED">
        <w:rPr>
          <w:rFonts w:ascii="Sylfaen" w:hAnsi="Sylfaen" w:cs="Sylfaen"/>
          <w:sz w:val="24"/>
          <w:szCs w:val="24"/>
          <w:lang w:eastAsia="pl-PL"/>
        </w:rPr>
        <w:t>.</w:t>
      </w:r>
      <w:r w:rsidRPr="004F2FED">
        <w:rPr>
          <w:rFonts w:ascii="Sylfaen" w:hAnsi="Sylfaen" w:cs="Sylfaen"/>
          <w:sz w:val="24"/>
          <w:szCs w:val="24"/>
          <w:lang w:eastAsia="pl-PL"/>
        </w:rPr>
        <w:t xml:space="preserve"> </w:t>
      </w:r>
      <w:r w:rsidR="00AA5C79" w:rsidRPr="004F2FED">
        <w:rPr>
          <w:rFonts w:ascii="Sylfaen" w:hAnsi="Sylfaen" w:cs="Sylfaen"/>
          <w:sz w:val="24"/>
          <w:szCs w:val="24"/>
          <w:lang w:eastAsia="pl-PL"/>
        </w:rPr>
        <w:t xml:space="preserve"> </w:t>
      </w:r>
    </w:p>
    <w:p w14:paraId="403D654E" w14:textId="77777777" w:rsidR="00064ED7" w:rsidRPr="004F2FED" w:rsidRDefault="00064ED7" w:rsidP="0060552F">
      <w:pPr>
        <w:spacing w:after="0" w:line="240" w:lineRule="auto"/>
        <w:rPr>
          <w:rFonts w:ascii="Sylfaen" w:hAnsi="Sylfaen" w:cs="Sylfaen"/>
          <w:sz w:val="24"/>
          <w:szCs w:val="24"/>
          <w:lang w:eastAsia="pl-PL"/>
        </w:rPr>
      </w:pPr>
      <w:r w:rsidRPr="004F2FED">
        <w:rPr>
          <w:rFonts w:ascii="Sylfaen" w:hAnsi="Sylfaen" w:cs="Sylfaen"/>
          <w:sz w:val="24"/>
          <w:szCs w:val="24"/>
          <w:lang w:eastAsia="pl-PL"/>
        </w:rPr>
        <w:t xml:space="preserve"> </w:t>
      </w:r>
    </w:p>
    <w:p w14:paraId="0E6434F6" w14:textId="5296700F" w:rsidR="00064ED7" w:rsidRPr="004F2FED" w:rsidRDefault="00064ED7" w:rsidP="0060552F">
      <w:pPr>
        <w:spacing w:after="0" w:line="240" w:lineRule="auto"/>
        <w:ind w:left="360"/>
        <w:rPr>
          <w:rFonts w:ascii="Sylfaen" w:hAnsi="Sylfaen" w:cs="Sylfaen"/>
          <w:b/>
          <w:bCs/>
          <w:sz w:val="24"/>
          <w:szCs w:val="24"/>
        </w:rPr>
      </w:pPr>
      <w:r w:rsidRPr="004F2FED">
        <w:rPr>
          <w:rFonts w:ascii="Sylfaen" w:hAnsi="Sylfaen" w:cs="Sylfaen"/>
          <w:b/>
          <w:bCs/>
          <w:sz w:val="24"/>
          <w:szCs w:val="24"/>
        </w:rPr>
        <w:t>შეუთავსებლობა</w:t>
      </w:r>
      <w:r w:rsidR="006431BE" w:rsidRPr="004F2FED">
        <w:rPr>
          <w:rFonts w:ascii="Sylfaen" w:hAnsi="Sylfaen" w:cs="Sylfaen"/>
          <w:b/>
          <w:bCs/>
          <w:sz w:val="24"/>
          <w:szCs w:val="24"/>
        </w:rPr>
        <w:t>:</w:t>
      </w:r>
    </w:p>
    <w:p w14:paraId="355069C1" w14:textId="77777777" w:rsidR="00064ED7" w:rsidRPr="004F2FED" w:rsidRDefault="00064ED7" w:rsidP="0060552F">
      <w:pPr>
        <w:pStyle w:val="NoSpacing1"/>
        <w:ind w:left="360"/>
        <w:jc w:val="both"/>
        <w:rPr>
          <w:rFonts w:ascii="Sylfaen" w:hAnsi="Sylfaen" w:cs="Sylfaen"/>
          <w:noProof/>
          <w:sz w:val="24"/>
          <w:szCs w:val="24"/>
          <w:lang w:val="ka-GE"/>
        </w:rPr>
      </w:pPr>
      <w:r w:rsidRPr="004F2FED">
        <w:rPr>
          <w:rFonts w:ascii="Sylfaen" w:hAnsi="Sylfaen" w:cs="Sylfaen"/>
          <w:noProof/>
          <w:sz w:val="24"/>
          <w:szCs w:val="24"/>
          <w:lang w:val="ka-GE"/>
        </w:rPr>
        <w:t>არ არის ცნობილი.</w:t>
      </w:r>
    </w:p>
    <w:p w14:paraId="6FDDCD71" w14:textId="77777777" w:rsidR="004F2FED" w:rsidRPr="004F2FED" w:rsidRDefault="004F2FED" w:rsidP="004F2FED">
      <w:pPr>
        <w:spacing w:after="0" w:line="240" w:lineRule="auto"/>
        <w:ind w:left="360"/>
        <w:jc w:val="both"/>
        <w:rPr>
          <w:rFonts w:ascii="Sylfaen" w:eastAsia="SimSun" w:hAnsi="Sylfaen" w:cs="Times New Roman"/>
          <w:b/>
          <w:bCs/>
          <w:sz w:val="24"/>
          <w:szCs w:val="24"/>
        </w:rPr>
      </w:pPr>
      <w:r w:rsidRPr="004F2FED">
        <w:rPr>
          <w:rFonts w:ascii="Sylfaen" w:eastAsia="SimSun" w:hAnsi="Sylfaen" w:cs="Times New Roman"/>
          <w:b/>
          <w:bCs/>
          <w:sz w:val="24"/>
          <w:szCs w:val="24"/>
        </w:rPr>
        <w:t>გაცემის წესი:</w:t>
      </w:r>
    </w:p>
    <w:p w14:paraId="2B1F64A8" w14:textId="77777777" w:rsidR="004F2FED" w:rsidRPr="004F2FED" w:rsidRDefault="004F2FED" w:rsidP="004F2FED">
      <w:pPr>
        <w:spacing w:after="0" w:line="240" w:lineRule="auto"/>
        <w:ind w:left="360"/>
        <w:jc w:val="both"/>
        <w:rPr>
          <w:rFonts w:cs="Times New Roman"/>
          <w:sz w:val="24"/>
          <w:szCs w:val="24"/>
        </w:rPr>
      </w:pPr>
      <w:r w:rsidRPr="004F2FED">
        <w:rPr>
          <w:rFonts w:ascii="Sylfaen" w:eastAsia="SimSun" w:hAnsi="Sylfaen" w:cs="Times New Roman"/>
          <w:bCs/>
          <w:sz w:val="24"/>
          <w:szCs w:val="24"/>
        </w:rPr>
        <w:lastRenderedPageBreak/>
        <w:t>ფ</w:t>
      </w:r>
      <w:r w:rsidRPr="004F2FED">
        <w:rPr>
          <w:rFonts w:ascii="Sylfaen" w:eastAsia="SimSun" w:hAnsi="Sylfaen" w:cs="Sylfaen"/>
          <w:bCs/>
          <w:sz w:val="24"/>
          <w:szCs w:val="24"/>
        </w:rPr>
        <w:t>არმაცევტული</w:t>
      </w:r>
      <w:r w:rsidRPr="004F2FED">
        <w:rPr>
          <w:rFonts w:ascii="AcadNusx" w:eastAsia="SimSun" w:hAnsi="AcadNusx" w:cs="Times New Roman"/>
          <w:bCs/>
          <w:sz w:val="24"/>
          <w:szCs w:val="24"/>
        </w:rPr>
        <w:t xml:space="preserve"> </w:t>
      </w:r>
      <w:r w:rsidRPr="004F2FED">
        <w:rPr>
          <w:rFonts w:ascii="Sylfaen" w:eastAsia="SimSun" w:hAnsi="Sylfaen" w:cs="Sylfaen"/>
          <w:bCs/>
          <w:sz w:val="24"/>
          <w:szCs w:val="24"/>
        </w:rPr>
        <w:t>პროდუქტის</w:t>
      </w:r>
      <w:r w:rsidRPr="004F2FED">
        <w:rPr>
          <w:rFonts w:ascii="AcadNusx" w:eastAsia="SimSun" w:hAnsi="AcadNusx" w:cs="Times New Roman"/>
          <w:bCs/>
          <w:sz w:val="24"/>
          <w:szCs w:val="24"/>
        </w:rPr>
        <w:t xml:space="preserve"> </w:t>
      </w:r>
      <w:r w:rsidRPr="004F2FED">
        <w:rPr>
          <w:rFonts w:ascii="Sylfaen" w:eastAsia="SimSun" w:hAnsi="Sylfaen" w:cs="Sylfaen"/>
          <w:bCs/>
          <w:sz w:val="24"/>
          <w:szCs w:val="24"/>
        </w:rPr>
        <w:t>ჯგუფი</w:t>
      </w:r>
      <w:r w:rsidRPr="004F2FED">
        <w:rPr>
          <w:rFonts w:ascii="AcadNusx" w:eastAsia="SimSun" w:hAnsi="AcadNusx" w:cs="Times New Roman"/>
          <w:bCs/>
          <w:sz w:val="24"/>
          <w:szCs w:val="24"/>
        </w:rPr>
        <w:t xml:space="preserve"> I</w:t>
      </w:r>
      <w:r w:rsidRPr="004F2FED">
        <w:rPr>
          <w:rFonts w:ascii="Sylfaen" w:eastAsia="SimSun" w:hAnsi="Sylfaen" w:cs="Times New Roman"/>
          <w:bCs/>
          <w:sz w:val="24"/>
          <w:szCs w:val="24"/>
        </w:rPr>
        <w:t>I</w:t>
      </w:r>
      <w:r w:rsidRPr="004F2FED">
        <w:rPr>
          <w:rFonts w:ascii="AcadNusx" w:eastAsia="SimSun" w:hAnsi="AcadNusx" w:cs="Times New Roman"/>
          <w:bCs/>
          <w:sz w:val="24"/>
          <w:szCs w:val="24"/>
        </w:rPr>
        <w:t>I</w:t>
      </w:r>
      <w:r w:rsidRPr="004F2FED">
        <w:rPr>
          <w:rFonts w:ascii="Sylfaen" w:eastAsia="SimSun" w:hAnsi="Sylfaen" w:cs="Times New Roman"/>
          <w:bCs/>
          <w:sz w:val="24"/>
          <w:szCs w:val="24"/>
        </w:rPr>
        <w:t>, გაიცემა რეცეპტის გარეშე.</w:t>
      </w:r>
    </w:p>
    <w:p w14:paraId="68F5E747" w14:textId="77777777" w:rsidR="00064ED7" w:rsidRPr="004F2FED" w:rsidRDefault="00064ED7" w:rsidP="0060552F">
      <w:pPr>
        <w:pStyle w:val="NoSpacing1"/>
        <w:ind w:left="360"/>
        <w:jc w:val="both"/>
        <w:rPr>
          <w:rFonts w:ascii="Sylfaen" w:hAnsi="Sylfaen" w:cs="Sylfaen"/>
          <w:noProof/>
          <w:sz w:val="24"/>
          <w:szCs w:val="24"/>
          <w:lang w:val="ka-GE"/>
        </w:rPr>
      </w:pPr>
    </w:p>
    <w:p w14:paraId="4BD2C1E8" w14:textId="0FF63FAD" w:rsidR="00B20513" w:rsidRPr="004F2FED" w:rsidRDefault="00B20513" w:rsidP="00B20513">
      <w:pPr>
        <w:spacing w:after="0" w:line="240" w:lineRule="auto"/>
        <w:ind w:left="360"/>
        <w:rPr>
          <w:rFonts w:ascii="Sylfaen" w:hAnsi="Sylfaen" w:cs="Sylfaen"/>
          <w:b/>
          <w:bCs/>
          <w:sz w:val="24"/>
          <w:szCs w:val="24"/>
        </w:rPr>
      </w:pPr>
      <w:r w:rsidRPr="004F2FED">
        <w:rPr>
          <w:rFonts w:ascii="Sylfaen" w:hAnsi="Sylfaen" w:cs="Sylfaen"/>
          <w:b/>
          <w:bCs/>
          <w:sz w:val="24"/>
          <w:szCs w:val="24"/>
        </w:rPr>
        <w:t>ვარგისობის ვადა</w:t>
      </w:r>
      <w:r w:rsidR="006723AF" w:rsidRPr="004F2FED">
        <w:rPr>
          <w:rFonts w:ascii="Sylfaen" w:hAnsi="Sylfaen" w:cs="Sylfaen"/>
          <w:b/>
          <w:bCs/>
          <w:sz w:val="24"/>
          <w:szCs w:val="24"/>
        </w:rPr>
        <w:t>:</w:t>
      </w:r>
    </w:p>
    <w:p w14:paraId="6F65D006" w14:textId="77777777" w:rsidR="00B20513" w:rsidRPr="004F2FED" w:rsidRDefault="00B20513" w:rsidP="00F77EA2">
      <w:pPr>
        <w:spacing w:after="0" w:line="240" w:lineRule="auto"/>
        <w:ind w:left="360"/>
        <w:rPr>
          <w:rFonts w:ascii="Sylfaen" w:hAnsi="Sylfaen" w:cs="Sylfaen"/>
          <w:sz w:val="24"/>
          <w:szCs w:val="24"/>
          <w:lang w:eastAsia="pl-PL"/>
        </w:rPr>
      </w:pPr>
      <w:r w:rsidRPr="004F2FED">
        <w:rPr>
          <w:rFonts w:ascii="Sylfaen" w:hAnsi="Sylfaen" w:cs="Sylfaen"/>
          <w:sz w:val="24"/>
          <w:szCs w:val="24"/>
          <w:lang w:eastAsia="pl-PL"/>
        </w:rPr>
        <w:t>ვარგისიანობის ვადა მითითებულია ბლისტერზე ან მუყაოს კოლოფზე „EXP“-ის შემდეგ. ვარგისიანობის ვადა ეხება მოცემული თვის ბოლო დღეს. არ გამოიყენოთ ეს წამალი ვარგისიანობის ვადის გასვლის შემდეგ.</w:t>
      </w:r>
    </w:p>
    <w:p w14:paraId="780A186D" w14:textId="77777777" w:rsidR="00064ED7" w:rsidRPr="004F2FED" w:rsidRDefault="00064ED7" w:rsidP="0060552F">
      <w:pPr>
        <w:widowControl w:val="0"/>
        <w:tabs>
          <w:tab w:val="left" w:pos="284"/>
          <w:tab w:val="left" w:pos="567"/>
        </w:tabs>
        <w:spacing w:after="0" w:line="240" w:lineRule="auto"/>
        <w:ind w:left="360"/>
        <w:jc w:val="both"/>
        <w:rPr>
          <w:rFonts w:ascii="Sylfaen" w:hAnsi="Sylfaen" w:cs="Sylfaen"/>
          <w:sz w:val="24"/>
          <w:szCs w:val="24"/>
          <w:lang w:eastAsia="tr-TR"/>
        </w:rPr>
      </w:pPr>
    </w:p>
    <w:p w14:paraId="365812D2" w14:textId="7CE911EF" w:rsidR="00064ED7" w:rsidRPr="004F2FED" w:rsidRDefault="00064ED7" w:rsidP="0060552F">
      <w:pPr>
        <w:pStyle w:val="NoSpacing1"/>
        <w:ind w:left="360"/>
        <w:jc w:val="both"/>
        <w:rPr>
          <w:rFonts w:ascii="Sylfaen" w:hAnsi="Sylfaen" w:cs="Sylfaen"/>
          <w:b/>
          <w:bCs/>
          <w:noProof/>
          <w:sz w:val="24"/>
          <w:szCs w:val="24"/>
          <w:lang w:val="ka-GE"/>
        </w:rPr>
      </w:pPr>
      <w:r w:rsidRPr="004F2FED">
        <w:rPr>
          <w:rFonts w:ascii="Sylfaen" w:hAnsi="Sylfaen" w:cs="Sylfaen"/>
          <w:b/>
          <w:bCs/>
          <w:noProof/>
          <w:sz w:val="24"/>
          <w:szCs w:val="24"/>
          <w:lang w:val="ka-GE"/>
        </w:rPr>
        <w:t>სიფრთხილის განსაკუთრებული ზომები შენახვისას</w:t>
      </w:r>
      <w:r w:rsidR="006723AF" w:rsidRPr="004F2FED">
        <w:rPr>
          <w:rFonts w:ascii="Sylfaen" w:hAnsi="Sylfaen" w:cs="Sylfaen"/>
          <w:noProof/>
          <w:sz w:val="24"/>
          <w:szCs w:val="24"/>
          <w:lang w:val="ka-GE"/>
        </w:rPr>
        <w:t>:</w:t>
      </w:r>
    </w:p>
    <w:p w14:paraId="6BD6DAA1" w14:textId="06BFEA43" w:rsidR="00064ED7" w:rsidRPr="004F2FED" w:rsidRDefault="00064ED7" w:rsidP="0060552F">
      <w:pPr>
        <w:spacing w:after="0" w:line="240" w:lineRule="auto"/>
        <w:ind w:left="360"/>
        <w:rPr>
          <w:rFonts w:ascii="Sylfaen" w:hAnsi="Sylfaen" w:cs="Sylfaen"/>
          <w:sz w:val="24"/>
          <w:szCs w:val="24"/>
        </w:rPr>
      </w:pPr>
      <w:r w:rsidRPr="004F2FED">
        <w:rPr>
          <w:rFonts w:ascii="Sylfaen" w:hAnsi="Sylfaen" w:cs="Sylfaen"/>
          <w:sz w:val="24"/>
          <w:szCs w:val="24"/>
        </w:rPr>
        <w:t>შეინახეთ 25</w:t>
      </w:r>
      <w:r w:rsidRPr="004F2FED">
        <w:rPr>
          <w:rFonts w:ascii="Sylfaen" w:hAnsi="Sylfaen" w:cs="Sylfaen"/>
          <w:color w:val="202124"/>
          <w:sz w:val="24"/>
          <w:szCs w:val="24"/>
          <w:lang w:eastAsia="pl-PL"/>
        </w:rPr>
        <w:t>°C-ზე ნაკლებ</w:t>
      </w:r>
      <w:r w:rsidRPr="004F2FED">
        <w:rPr>
          <w:rFonts w:ascii="Sylfaen" w:hAnsi="Sylfaen" w:cs="Sylfaen"/>
          <w:sz w:val="24"/>
          <w:szCs w:val="24"/>
        </w:rPr>
        <w:t xml:space="preserve"> ტემპერატურაზე</w:t>
      </w:r>
      <w:r w:rsidR="002352E1" w:rsidRPr="004F2FED">
        <w:rPr>
          <w:rFonts w:ascii="Sylfaen" w:hAnsi="Sylfaen" w:cs="Sylfaen"/>
          <w:sz w:val="24"/>
          <w:szCs w:val="24"/>
        </w:rPr>
        <w:t>.</w:t>
      </w:r>
      <w:r w:rsidR="004976D8" w:rsidRPr="004F2FED">
        <w:rPr>
          <w:rFonts w:ascii="Sylfaen" w:hAnsi="Sylfaen" w:cs="Sylfaen"/>
          <w:sz w:val="24"/>
          <w:szCs w:val="24"/>
        </w:rPr>
        <w:t xml:space="preserve"> შეინახეთ ბავშვებისთვის მიუწვდომელ ადგილას.</w:t>
      </w:r>
    </w:p>
    <w:p w14:paraId="2C8E3240" w14:textId="77777777" w:rsidR="00064ED7" w:rsidRPr="004F2FED" w:rsidRDefault="00064ED7" w:rsidP="0060552F">
      <w:pPr>
        <w:pStyle w:val="NoSpacing1"/>
        <w:ind w:left="360"/>
        <w:jc w:val="both"/>
        <w:rPr>
          <w:rFonts w:ascii="Sylfaen" w:hAnsi="Sylfaen" w:cs="Sylfaen"/>
          <w:b/>
          <w:bCs/>
          <w:noProof/>
          <w:sz w:val="24"/>
          <w:szCs w:val="24"/>
          <w:lang w:val="ka-GE"/>
        </w:rPr>
      </w:pPr>
    </w:p>
    <w:p w14:paraId="662A7A1E" w14:textId="1461EBE6" w:rsidR="00064ED7" w:rsidRPr="004F2FED" w:rsidRDefault="00064ED7" w:rsidP="0060552F">
      <w:pPr>
        <w:pStyle w:val="NoSpacing1"/>
        <w:ind w:left="360"/>
        <w:jc w:val="both"/>
        <w:rPr>
          <w:rFonts w:ascii="Sylfaen" w:hAnsi="Sylfaen" w:cs="Sylfaen"/>
          <w:b/>
          <w:bCs/>
          <w:noProof/>
          <w:sz w:val="24"/>
          <w:szCs w:val="24"/>
          <w:lang w:val="ka-GE"/>
        </w:rPr>
      </w:pPr>
      <w:r w:rsidRPr="004F2FED">
        <w:rPr>
          <w:rFonts w:ascii="Sylfaen" w:hAnsi="Sylfaen" w:cs="Sylfaen"/>
          <w:b/>
          <w:bCs/>
          <w:noProof/>
          <w:sz w:val="24"/>
          <w:szCs w:val="24"/>
          <w:lang w:val="ka-GE"/>
        </w:rPr>
        <w:t>კონტეინერის ტიპი და შემცველობა</w:t>
      </w:r>
      <w:r w:rsidR="006723AF" w:rsidRPr="004F2FED">
        <w:rPr>
          <w:rFonts w:ascii="Sylfaen" w:hAnsi="Sylfaen" w:cs="Sylfaen"/>
          <w:b/>
          <w:bCs/>
          <w:noProof/>
          <w:sz w:val="24"/>
          <w:szCs w:val="24"/>
          <w:lang w:val="ka-GE"/>
        </w:rPr>
        <w:t>:</w:t>
      </w:r>
    </w:p>
    <w:p w14:paraId="069BCBEF" w14:textId="77777777" w:rsidR="00064ED7" w:rsidRPr="004F2FED" w:rsidRDefault="00064ED7" w:rsidP="0060552F">
      <w:pPr>
        <w:tabs>
          <w:tab w:val="left" w:pos="567"/>
        </w:tabs>
        <w:spacing w:after="0" w:line="240" w:lineRule="auto"/>
        <w:ind w:left="360"/>
        <w:rPr>
          <w:rFonts w:ascii="Sylfaen" w:hAnsi="Sylfaen" w:cs="Sylfaen"/>
          <w:sz w:val="24"/>
          <w:szCs w:val="24"/>
        </w:rPr>
      </w:pPr>
      <w:r w:rsidRPr="004F2FED">
        <w:rPr>
          <w:rFonts w:ascii="Sylfaen" w:hAnsi="Sylfaen" w:cs="Sylfaen"/>
          <w:sz w:val="24"/>
          <w:szCs w:val="24"/>
        </w:rPr>
        <w:t>ალუ/პვქ ბლისტერი, რომელიც შეიცავს 4 ტაბლეტს, მოთავსებულია მუყაოს კოლოფში ფურცელ–ჩანართთან ერთად.</w:t>
      </w:r>
    </w:p>
    <w:p w14:paraId="21EB4D0B" w14:textId="77777777" w:rsidR="00064ED7" w:rsidRPr="004F2FED" w:rsidRDefault="00064ED7" w:rsidP="0060552F">
      <w:pPr>
        <w:pStyle w:val="NoSpacing1"/>
        <w:ind w:left="360"/>
        <w:jc w:val="both"/>
        <w:rPr>
          <w:rFonts w:ascii="Sylfaen" w:hAnsi="Sylfaen" w:cs="Sylfaen"/>
          <w:b/>
          <w:bCs/>
          <w:noProof/>
          <w:sz w:val="24"/>
          <w:szCs w:val="24"/>
          <w:lang w:val="ka-GE"/>
        </w:rPr>
      </w:pPr>
    </w:p>
    <w:p w14:paraId="5AF761D5" w14:textId="0BA38397" w:rsidR="00064ED7" w:rsidRPr="004F2FED" w:rsidRDefault="00064ED7" w:rsidP="0060552F">
      <w:pPr>
        <w:pStyle w:val="NoSpacing1"/>
        <w:ind w:left="360"/>
        <w:jc w:val="both"/>
        <w:rPr>
          <w:rFonts w:ascii="Sylfaen" w:hAnsi="Sylfaen" w:cs="Sylfaen"/>
          <w:b/>
          <w:bCs/>
          <w:noProof/>
          <w:sz w:val="24"/>
          <w:szCs w:val="24"/>
          <w:lang w:val="ka-GE"/>
        </w:rPr>
      </w:pPr>
      <w:r w:rsidRPr="004F2FED">
        <w:rPr>
          <w:rFonts w:ascii="Sylfaen" w:hAnsi="Sylfaen" w:cs="Sylfaen"/>
          <w:b/>
          <w:bCs/>
          <w:noProof/>
          <w:sz w:val="24"/>
          <w:szCs w:val="24"/>
          <w:lang w:val="ka-GE"/>
        </w:rPr>
        <w:t>განსაკუთრებული უსაფრთხოების ზომები განადგურებისთვის</w:t>
      </w:r>
      <w:r w:rsidR="006723AF" w:rsidRPr="004F2FED">
        <w:rPr>
          <w:rFonts w:ascii="Sylfaen" w:hAnsi="Sylfaen" w:cs="Sylfaen"/>
          <w:b/>
          <w:bCs/>
          <w:noProof/>
          <w:sz w:val="24"/>
          <w:szCs w:val="24"/>
          <w:lang w:val="ka-GE"/>
        </w:rPr>
        <w:t>:</w:t>
      </w:r>
    </w:p>
    <w:p w14:paraId="5F71031E" w14:textId="77777777" w:rsidR="00064ED7" w:rsidRPr="004F2FED" w:rsidRDefault="00064ED7" w:rsidP="0060552F">
      <w:pPr>
        <w:spacing w:after="0" w:line="240" w:lineRule="auto"/>
        <w:ind w:left="360"/>
        <w:outlineLvl w:val="0"/>
        <w:rPr>
          <w:rFonts w:ascii="Sylfaen" w:hAnsi="Sylfaen" w:cs="Sylfaen"/>
          <w:sz w:val="24"/>
          <w:szCs w:val="24"/>
        </w:rPr>
      </w:pPr>
      <w:r w:rsidRPr="004F2FED">
        <w:rPr>
          <w:rFonts w:ascii="Sylfaen" w:hAnsi="Sylfaen" w:cs="Sylfaen"/>
          <w:sz w:val="24"/>
          <w:szCs w:val="24"/>
        </w:rPr>
        <w:t>განსაკუთრებული მოთხოვნები არ არსებობს.</w:t>
      </w:r>
    </w:p>
    <w:p w14:paraId="0D916E78" w14:textId="77777777" w:rsidR="00064ED7" w:rsidRPr="004F2FED" w:rsidRDefault="00064ED7" w:rsidP="0060552F">
      <w:pPr>
        <w:widowControl w:val="0"/>
        <w:tabs>
          <w:tab w:val="left" w:pos="284"/>
          <w:tab w:val="left" w:pos="567"/>
        </w:tabs>
        <w:spacing w:after="0" w:line="240" w:lineRule="auto"/>
        <w:ind w:left="284"/>
        <w:jc w:val="both"/>
        <w:rPr>
          <w:rFonts w:ascii="Sylfaen" w:hAnsi="Sylfaen" w:cs="Sylfaen"/>
          <w:sz w:val="24"/>
          <w:szCs w:val="24"/>
          <w:lang w:eastAsia="tr-TR"/>
        </w:rPr>
      </w:pPr>
    </w:p>
    <w:p w14:paraId="20EEA0E0" w14:textId="77777777" w:rsidR="00B20513" w:rsidRPr="004F2FED" w:rsidRDefault="004E0B8D" w:rsidP="006723AF">
      <w:pPr>
        <w:spacing w:after="0" w:line="240" w:lineRule="auto"/>
        <w:ind w:firstLine="90"/>
        <w:jc w:val="both"/>
        <w:rPr>
          <w:rFonts w:ascii="Sylfaen" w:hAnsi="Sylfaen" w:cs="Sylfaen"/>
          <w:b/>
          <w:bCs/>
          <w:sz w:val="24"/>
          <w:szCs w:val="24"/>
        </w:rPr>
      </w:pPr>
      <w:r w:rsidRPr="004F2FED">
        <w:rPr>
          <w:rFonts w:ascii="Sylfaen" w:hAnsi="Sylfaen" w:cs="Sylfaen"/>
          <w:b/>
          <w:bCs/>
          <w:sz w:val="24"/>
          <w:szCs w:val="24"/>
        </w:rPr>
        <w:t xml:space="preserve">      </w:t>
      </w:r>
      <w:r w:rsidR="00B20513" w:rsidRPr="004F2FED">
        <w:rPr>
          <w:rFonts w:ascii="Sylfaen" w:hAnsi="Sylfaen" w:cs="Sylfaen"/>
          <w:b/>
          <w:bCs/>
          <w:sz w:val="24"/>
          <w:szCs w:val="24"/>
        </w:rPr>
        <w:t>წარმოებულია:</w:t>
      </w:r>
    </w:p>
    <w:p w14:paraId="7D9E7CD3" w14:textId="1AD86AF6" w:rsidR="00B20513" w:rsidRPr="004F2FED" w:rsidRDefault="00B20513" w:rsidP="00B20513">
      <w:pPr>
        <w:spacing w:after="0" w:line="240" w:lineRule="auto"/>
        <w:ind w:firstLine="360"/>
        <w:jc w:val="both"/>
        <w:rPr>
          <w:rFonts w:ascii="Sylfaen" w:hAnsi="Sylfaen" w:cs="Arial"/>
          <w:sz w:val="24"/>
          <w:szCs w:val="24"/>
        </w:rPr>
      </w:pPr>
      <w:bookmarkStart w:id="6" w:name="_Hlk145865624"/>
      <w:bookmarkStart w:id="7" w:name="_Hlk224298814"/>
      <w:r w:rsidRPr="004F2FED">
        <w:rPr>
          <w:rFonts w:ascii="Sylfaen" w:hAnsi="Sylfaen"/>
          <w:b/>
          <w:bCs/>
          <w:color w:val="000000"/>
          <w:sz w:val="24"/>
          <w:szCs w:val="24"/>
        </w:rPr>
        <w:t>Biodeal Pharmaceuticals Ltd</w:t>
      </w:r>
      <w:r w:rsidRPr="004F2FED">
        <w:rPr>
          <w:rFonts w:ascii="Sylfaen" w:hAnsi="Sylfaen" w:cs="Arial"/>
          <w:sz w:val="24"/>
          <w:szCs w:val="24"/>
        </w:rPr>
        <w:t xml:space="preserve"> -ის მიერ</w:t>
      </w:r>
    </w:p>
    <w:p w14:paraId="4427A77C" w14:textId="77777777" w:rsidR="00B20513" w:rsidRPr="004F2FED" w:rsidRDefault="00B20513" w:rsidP="00B20513">
      <w:pPr>
        <w:spacing w:after="0" w:line="240" w:lineRule="auto"/>
        <w:ind w:firstLine="360"/>
        <w:jc w:val="both"/>
        <w:rPr>
          <w:rFonts w:ascii="Sylfaen" w:hAnsi="Sylfaen"/>
          <w:sz w:val="24"/>
          <w:szCs w:val="24"/>
        </w:rPr>
      </w:pPr>
      <w:bookmarkStart w:id="8" w:name="_Hlk230603821"/>
      <w:bookmarkEnd w:id="6"/>
      <w:bookmarkEnd w:id="7"/>
      <w:r w:rsidRPr="004F2FED">
        <w:rPr>
          <w:rFonts w:ascii="Sylfaen" w:hAnsi="Sylfaen"/>
          <w:sz w:val="24"/>
          <w:szCs w:val="24"/>
        </w:rPr>
        <w:t xml:space="preserve">სოფელი-საინი მაჯრა, </w:t>
      </w:r>
    </w:p>
    <w:p w14:paraId="40510B33" w14:textId="77777777" w:rsidR="00B20513" w:rsidRPr="004F2FED" w:rsidRDefault="00B20513" w:rsidP="00B20513">
      <w:pPr>
        <w:spacing w:after="0" w:line="240" w:lineRule="auto"/>
        <w:ind w:firstLine="360"/>
        <w:jc w:val="both"/>
        <w:rPr>
          <w:rFonts w:ascii="Sylfaen" w:hAnsi="Sylfaen"/>
          <w:sz w:val="24"/>
          <w:szCs w:val="24"/>
        </w:rPr>
      </w:pPr>
      <w:r w:rsidRPr="004F2FED">
        <w:rPr>
          <w:rFonts w:ascii="Sylfaen" w:hAnsi="Sylfaen"/>
          <w:sz w:val="24"/>
          <w:szCs w:val="24"/>
        </w:rPr>
        <w:t xml:space="preserve">ნალაგარჰ-როპარის გზა, </w:t>
      </w:r>
    </w:p>
    <w:p w14:paraId="0027847D" w14:textId="77777777" w:rsidR="00B20513" w:rsidRPr="004F2FED" w:rsidRDefault="00B20513" w:rsidP="00B20513">
      <w:pPr>
        <w:spacing w:after="0" w:line="240" w:lineRule="auto"/>
        <w:ind w:firstLine="360"/>
        <w:jc w:val="both"/>
        <w:rPr>
          <w:rFonts w:ascii="Sylfaen" w:hAnsi="Sylfaen"/>
          <w:sz w:val="24"/>
          <w:szCs w:val="24"/>
        </w:rPr>
      </w:pPr>
      <w:r w:rsidRPr="004F2FED">
        <w:rPr>
          <w:rFonts w:ascii="Sylfaen" w:hAnsi="Sylfaen"/>
          <w:sz w:val="24"/>
          <w:szCs w:val="24"/>
        </w:rPr>
        <w:t xml:space="preserve">ქალაქი Nalagarh,  </w:t>
      </w:r>
      <w:r w:rsidRPr="004F2FED">
        <w:rPr>
          <w:rFonts w:ascii="Sylfaen" w:hAnsi="Sylfaen"/>
          <w:bCs/>
          <w:sz w:val="24"/>
          <w:szCs w:val="24"/>
        </w:rPr>
        <w:t xml:space="preserve">Distt. </w:t>
      </w:r>
      <w:r w:rsidRPr="004F2FED">
        <w:rPr>
          <w:rFonts w:ascii="Sylfaen" w:hAnsi="Sylfaen"/>
          <w:sz w:val="24"/>
          <w:szCs w:val="24"/>
        </w:rPr>
        <w:t xml:space="preserve">სოლან-174101, </w:t>
      </w:r>
    </w:p>
    <w:p w14:paraId="0712648A" w14:textId="0D34FAC7" w:rsidR="00B20513" w:rsidRPr="004F2FED" w:rsidRDefault="00B20513" w:rsidP="00B20513">
      <w:pPr>
        <w:spacing w:after="0" w:line="240" w:lineRule="auto"/>
        <w:ind w:firstLine="360"/>
        <w:jc w:val="both"/>
        <w:rPr>
          <w:rFonts w:ascii="Sylfaen" w:hAnsi="Sylfaen" w:cs="Sylfaen"/>
          <w:b/>
          <w:bCs/>
          <w:sz w:val="24"/>
          <w:szCs w:val="24"/>
        </w:rPr>
      </w:pPr>
      <w:r w:rsidRPr="004F2FED">
        <w:rPr>
          <w:rFonts w:ascii="Sylfaen" w:hAnsi="Sylfaen"/>
          <w:sz w:val="24"/>
          <w:szCs w:val="24"/>
        </w:rPr>
        <w:t>ჰიმაჩალ პრადეში, ინდოეთი</w:t>
      </w:r>
      <w:bookmarkEnd w:id="8"/>
      <w:r w:rsidR="002B3763" w:rsidRPr="004F2FED">
        <w:rPr>
          <w:rFonts w:ascii="Sylfaen" w:hAnsi="Sylfaen"/>
          <w:sz w:val="24"/>
          <w:szCs w:val="24"/>
        </w:rPr>
        <w:t>.</w:t>
      </w:r>
    </w:p>
    <w:p w14:paraId="11759889" w14:textId="67A7AD4A" w:rsidR="000E6EA7" w:rsidRPr="004F2FED" w:rsidRDefault="000E6EA7" w:rsidP="00B20513">
      <w:pPr>
        <w:pStyle w:val="NoSpacing"/>
        <w:spacing w:line="360" w:lineRule="auto"/>
        <w:jc w:val="both"/>
        <w:rPr>
          <w:rFonts w:ascii="Sylfaen" w:hAnsi="Sylfaen" w:cs="Sylfaen"/>
          <w:noProof/>
          <w:sz w:val="24"/>
          <w:szCs w:val="24"/>
          <w:lang w:val="ka-GE"/>
        </w:rPr>
      </w:pPr>
    </w:p>
    <w:p w14:paraId="0B2BF75E" w14:textId="77777777" w:rsidR="00B20513" w:rsidRPr="004F2FED" w:rsidRDefault="00B20513" w:rsidP="00B20513">
      <w:pPr>
        <w:spacing w:after="0" w:line="240" w:lineRule="auto"/>
        <w:ind w:firstLine="360"/>
        <w:jc w:val="both"/>
        <w:rPr>
          <w:rFonts w:ascii="Sylfaen" w:hAnsi="Sylfaen" w:cs="Sylfaen"/>
          <w:b/>
          <w:bCs/>
          <w:sz w:val="24"/>
          <w:szCs w:val="24"/>
        </w:rPr>
      </w:pPr>
      <w:r w:rsidRPr="004F2FED">
        <w:rPr>
          <w:rFonts w:ascii="Sylfaen" w:hAnsi="Sylfaen" w:cs="Sylfaen"/>
          <w:b/>
          <w:bCs/>
          <w:sz w:val="24"/>
          <w:szCs w:val="24"/>
        </w:rPr>
        <w:t>ბაზარზე იყიდება:</w:t>
      </w:r>
    </w:p>
    <w:p w14:paraId="30BD99FB" w14:textId="77777777" w:rsidR="00B20513" w:rsidRPr="004F2FED" w:rsidRDefault="00B20513" w:rsidP="00B20513">
      <w:pPr>
        <w:spacing w:after="0" w:line="240" w:lineRule="auto"/>
        <w:ind w:firstLine="360"/>
        <w:jc w:val="both"/>
        <w:rPr>
          <w:rFonts w:ascii="Sylfaen" w:hAnsi="Sylfaen" w:cs="Arial"/>
          <w:b/>
          <w:bCs/>
          <w:sz w:val="24"/>
          <w:szCs w:val="24"/>
        </w:rPr>
      </w:pPr>
      <w:r w:rsidRPr="004F2FED">
        <w:rPr>
          <w:rFonts w:ascii="Sylfaen" w:hAnsi="Sylfaen" w:cs="Arial"/>
          <w:b/>
          <w:bCs/>
          <w:sz w:val="24"/>
          <w:szCs w:val="24"/>
        </w:rPr>
        <w:t>CSBS Healthcare Pvt. Ltd</w:t>
      </w:r>
      <w:r w:rsidRPr="004F2FED">
        <w:rPr>
          <w:rFonts w:ascii="Sylfaen" w:hAnsi="Sylfaen" w:cs="Arial"/>
          <w:sz w:val="24"/>
          <w:szCs w:val="24"/>
        </w:rPr>
        <w:t>-ის მიერ</w:t>
      </w:r>
    </w:p>
    <w:p w14:paraId="74C8FAF0" w14:textId="77777777" w:rsidR="00B20513" w:rsidRPr="004F2FED" w:rsidRDefault="00B20513" w:rsidP="00B20513">
      <w:pPr>
        <w:spacing w:after="0" w:line="240" w:lineRule="auto"/>
        <w:ind w:firstLine="360"/>
        <w:jc w:val="both"/>
        <w:rPr>
          <w:rFonts w:ascii="Sylfaen" w:hAnsi="Sylfaen" w:cs="Arial"/>
          <w:sz w:val="24"/>
          <w:szCs w:val="24"/>
        </w:rPr>
      </w:pPr>
      <w:bookmarkStart w:id="9" w:name="_Hlk224298912"/>
      <w:r w:rsidRPr="004F2FED">
        <w:rPr>
          <w:rFonts w:ascii="Sylfaen" w:hAnsi="Sylfaen" w:cs="Arial"/>
          <w:sz w:val="24"/>
          <w:szCs w:val="24"/>
        </w:rPr>
        <w:t xml:space="preserve">ოფისი No: 101, პირველი სართული, Roots Tower, </w:t>
      </w:r>
    </w:p>
    <w:p w14:paraId="5D4FB156" w14:textId="77777777" w:rsidR="00B20513" w:rsidRPr="004F2FED" w:rsidRDefault="00B20513" w:rsidP="00B20513">
      <w:pPr>
        <w:spacing w:after="0" w:line="240" w:lineRule="auto"/>
        <w:ind w:firstLine="360"/>
        <w:jc w:val="both"/>
        <w:rPr>
          <w:rFonts w:ascii="Sylfaen" w:hAnsi="Sylfaen" w:cs="Arial"/>
          <w:sz w:val="24"/>
          <w:szCs w:val="24"/>
        </w:rPr>
      </w:pPr>
      <w:r w:rsidRPr="004F2FED">
        <w:rPr>
          <w:rFonts w:ascii="Sylfaen" w:hAnsi="Sylfaen" w:cs="Arial"/>
          <w:sz w:val="24"/>
          <w:szCs w:val="24"/>
        </w:rPr>
        <w:t xml:space="preserve">ნაკვეთი No. 7, რაიონული ცენტრი, Laxmi Nagar, </w:t>
      </w:r>
    </w:p>
    <w:p w14:paraId="55531CAA" w14:textId="77777777" w:rsidR="00B20513" w:rsidRPr="004F2FED" w:rsidRDefault="00B20513" w:rsidP="00B20513">
      <w:pPr>
        <w:spacing w:after="0" w:line="240" w:lineRule="auto"/>
        <w:ind w:firstLine="360"/>
        <w:jc w:val="both"/>
        <w:rPr>
          <w:rFonts w:ascii="Sylfaen" w:hAnsi="Sylfaen" w:cs="Arial"/>
          <w:sz w:val="24"/>
          <w:szCs w:val="24"/>
        </w:rPr>
      </w:pPr>
      <w:r w:rsidRPr="004F2FED">
        <w:rPr>
          <w:rFonts w:ascii="Sylfaen" w:hAnsi="Sylfaen" w:cs="Arial"/>
          <w:sz w:val="24"/>
          <w:szCs w:val="24"/>
        </w:rPr>
        <w:t>დელი-110092, ინდოეთი.</w:t>
      </w:r>
    </w:p>
    <w:bookmarkEnd w:id="9"/>
    <w:p w14:paraId="032BDACD" w14:textId="1C63332C" w:rsidR="00064ED7" w:rsidRDefault="00064ED7" w:rsidP="006723AF">
      <w:pPr>
        <w:pStyle w:val="NoSpacing"/>
        <w:spacing w:line="360" w:lineRule="auto"/>
        <w:ind w:firstLine="360"/>
        <w:jc w:val="both"/>
        <w:rPr>
          <w:rFonts w:ascii="Sylfaen" w:hAnsi="Sylfaen" w:cs="Sylfaen"/>
          <w:noProof/>
          <w:sz w:val="24"/>
          <w:szCs w:val="24"/>
          <w:lang w:val="ka-GE"/>
        </w:rPr>
      </w:pPr>
    </w:p>
    <w:p w14:paraId="546A487C" w14:textId="77777777" w:rsidR="004F2FED" w:rsidRPr="004F2FED" w:rsidRDefault="004F2FED" w:rsidP="006723AF">
      <w:pPr>
        <w:pStyle w:val="NoSpacing"/>
        <w:spacing w:line="360" w:lineRule="auto"/>
        <w:ind w:firstLine="360"/>
        <w:jc w:val="both"/>
        <w:rPr>
          <w:rFonts w:ascii="Sylfaen" w:hAnsi="Sylfaen" w:cs="Sylfaen"/>
          <w:noProof/>
          <w:sz w:val="24"/>
          <w:szCs w:val="24"/>
          <w:lang w:val="ka-GE"/>
        </w:rPr>
      </w:pPr>
    </w:p>
    <w:sectPr w:rsidR="004F2FED" w:rsidRPr="004F2FED" w:rsidSect="00436703">
      <w:footerReference w:type="default" r:id="rId7"/>
      <w:pgSz w:w="12240" w:h="15840"/>
      <w:pgMar w:top="360" w:right="900" w:bottom="45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9E41A" w14:textId="77777777" w:rsidR="0032562F" w:rsidRDefault="0032562F" w:rsidP="004E0B8D">
      <w:pPr>
        <w:spacing w:after="0" w:line="240" w:lineRule="auto"/>
      </w:pPr>
      <w:r>
        <w:separator/>
      </w:r>
    </w:p>
  </w:endnote>
  <w:endnote w:type="continuationSeparator" w:id="0">
    <w:p w14:paraId="529CDC67" w14:textId="77777777" w:rsidR="0032562F" w:rsidRDefault="0032562F" w:rsidP="004E0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3F22" w14:textId="77777777" w:rsidR="004E0B8D" w:rsidRDefault="004E0B8D">
    <w:pPr>
      <w:pStyle w:val="Footer"/>
      <w:jc w:val="center"/>
    </w:pPr>
    <w:r>
      <w:rPr>
        <w:noProof w:val="0"/>
      </w:rPr>
      <w:fldChar w:fldCharType="begin"/>
    </w:r>
    <w:r>
      <w:instrText xml:space="preserve"> PAGE   \* MERGEFORMAT </w:instrText>
    </w:r>
    <w:r>
      <w:rPr>
        <w:noProof w:val="0"/>
      </w:rPr>
      <w:fldChar w:fldCharType="separate"/>
    </w:r>
    <w:r w:rsidR="00176A5B">
      <w:t>2</w:t>
    </w:r>
    <w:r>
      <w:fldChar w:fldCharType="end"/>
    </w:r>
  </w:p>
  <w:p w14:paraId="31B9C887" w14:textId="77777777" w:rsidR="004E0B8D" w:rsidRDefault="004E0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DC44C" w14:textId="77777777" w:rsidR="0032562F" w:rsidRDefault="0032562F" w:rsidP="004E0B8D">
      <w:pPr>
        <w:spacing w:after="0" w:line="240" w:lineRule="auto"/>
      </w:pPr>
      <w:r>
        <w:separator/>
      </w:r>
    </w:p>
  </w:footnote>
  <w:footnote w:type="continuationSeparator" w:id="0">
    <w:p w14:paraId="4A3B861B" w14:textId="77777777" w:rsidR="0032562F" w:rsidRDefault="0032562F" w:rsidP="004E0B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2217"/>
    <w:multiLevelType w:val="singleLevel"/>
    <w:tmpl w:val="02072217"/>
    <w:lvl w:ilvl="0">
      <w:start w:val="5"/>
      <w:numFmt w:val="upperLetter"/>
      <w:suff w:val="nothing"/>
      <w:lvlText w:val="%1-"/>
      <w:lvlJc w:val="left"/>
    </w:lvl>
  </w:abstractNum>
  <w:abstractNum w:abstractNumId="1" w15:restartNumberingAfterBreak="0">
    <w:nsid w:val="0702058C"/>
    <w:multiLevelType w:val="hybridMultilevel"/>
    <w:tmpl w:val="27D434C4"/>
    <w:lvl w:ilvl="0" w:tplc="91421A24">
      <w:start w:val="1"/>
      <w:numFmt w:val="bullet"/>
      <w:lvlText w:val=""/>
      <w:lvlJc w:val="left"/>
      <w:pPr>
        <w:ind w:left="720" w:hanging="360"/>
      </w:pPr>
      <w:rPr>
        <w:rFonts w:ascii="Symbol" w:hAnsi="Symbol" w:cs="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0BF27EA9"/>
    <w:multiLevelType w:val="hybridMultilevel"/>
    <w:tmpl w:val="BE7059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15:restartNumberingAfterBreak="0">
    <w:nsid w:val="0DCC75D9"/>
    <w:multiLevelType w:val="multilevel"/>
    <w:tmpl w:val="D420506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15:restartNumberingAfterBreak="0">
    <w:nsid w:val="13BC4150"/>
    <w:multiLevelType w:val="hybridMultilevel"/>
    <w:tmpl w:val="C980D406"/>
    <w:lvl w:ilvl="0" w:tplc="08090001">
      <w:start w:val="1"/>
      <w:numFmt w:val="bullet"/>
      <w:lvlText w:val=""/>
      <w:lvlJc w:val="left"/>
      <w:pPr>
        <w:ind w:left="1004" w:hanging="360"/>
      </w:pPr>
      <w:rPr>
        <w:rFonts w:ascii="Symbol" w:hAnsi="Symbol" w:cs="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cs="Wingdings" w:hint="default"/>
      </w:rPr>
    </w:lvl>
    <w:lvl w:ilvl="3" w:tplc="08090001">
      <w:start w:val="1"/>
      <w:numFmt w:val="bullet"/>
      <w:lvlText w:val=""/>
      <w:lvlJc w:val="left"/>
      <w:pPr>
        <w:ind w:left="3164" w:hanging="360"/>
      </w:pPr>
      <w:rPr>
        <w:rFonts w:ascii="Symbol" w:hAnsi="Symbol" w:cs="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cs="Wingdings" w:hint="default"/>
      </w:rPr>
    </w:lvl>
    <w:lvl w:ilvl="6" w:tplc="08090001">
      <w:start w:val="1"/>
      <w:numFmt w:val="bullet"/>
      <w:lvlText w:val=""/>
      <w:lvlJc w:val="left"/>
      <w:pPr>
        <w:ind w:left="5324" w:hanging="360"/>
      </w:pPr>
      <w:rPr>
        <w:rFonts w:ascii="Symbol" w:hAnsi="Symbol" w:cs="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cs="Wingdings" w:hint="default"/>
      </w:rPr>
    </w:lvl>
  </w:abstractNum>
  <w:abstractNum w:abstractNumId="6"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7" w15:restartNumberingAfterBreak="0">
    <w:nsid w:val="193A6EF9"/>
    <w:multiLevelType w:val="hybridMultilevel"/>
    <w:tmpl w:val="82824FCE"/>
    <w:lvl w:ilvl="0" w:tplc="AA2A7AEE">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8" w15:restartNumberingAfterBreak="0">
    <w:nsid w:val="25112F33"/>
    <w:multiLevelType w:val="hybridMultilevel"/>
    <w:tmpl w:val="EB5E247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15:restartNumberingAfterBreak="0">
    <w:nsid w:val="2AEE2038"/>
    <w:multiLevelType w:val="hybridMultilevel"/>
    <w:tmpl w:val="8F9829D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37811A95"/>
    <w:multiLevelType w:val="hybridMultilevel"/>
    <w:tmpl w:val="FE3CD59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3FDB0441"/>
    <w:multiLevelType w:val="hybridMultilevel"/>
    <w:tmpl w:val="C30AE7A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15:restartNumberingAfterBreak="0">
    <w:nsid w:val="43FE290C"/>
    <w:multiLevelType w:val="hybridMultilevel"/>
    <w:tmpl w:val="FEBC2F7E"/>
    <w:lvl w:ilvl="0" w:tplc="04150001">
      <w:start w:val="1"/>
      <w:numFmt w:val="bullet"/>
      <w:lvlText w:val=""/>
      <w:lvlJc w:val="left"/>
      <w:pPr>
        <w:ind w:left="360" w:hanging="360"/>
      </w:pPr>
      <w:rPr>
        <w:rFonts w:ascii="Symbol" w:hAnsi="Symbol" w:cs="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cs="Wingdings" w:hint="default"/>
      </w:rPr>
    </w:lvl>
    <w:lvl w:ilvl="3" w:tplc="04150001">
      <w:start w:val="1"/>
      <w:numFmt w:val="bullet"/>
      <w:lvlText w:val=""/>
      <w:lvlJc w:val="left"/>
      <w:pPr>
        <w:ind w:left="2520" w:hanging="360"/>
      </w:pPr>
      <w:rPr>
        <w:rFonts w:ascii="Symbol" w:hAnsi="Symbol" w:cs="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cs="Wingdings" w:hint="default"/>
      </w:rPr>
    </w:lvl>
    <w:lvl w:ilvl="6" w:tplc="04150001">
      <w:start w:val="1"/>
      <w:numFmt w:val="bullet"/>
      <w:lvlText w:val=""/>
      <w:lvlJc w:val="left"/>
      <w:pPr>
        <w:ind w:left="4680" w:hanging="360"/>
      </w:pPr>
      <w:rPr>
        <w:rFonts w:ascii="Symbol" w:hAnsi="Symbol" w:cs="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cs="Wingdings" w:hint="default"/>
      </w:rPr>
    </w:lvl>
  </w:abstractNum>
  <w:abstractNum w:abstractNumId="13" w15:restartNumberingAfterBreak="0">
    <w:nsid w:val="484F3780"/>
    <w:multiLevelType w:val="hybridMultilevel"/>
    <w:tmpl w:val="B62C4F5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4" w15:restartNumberingAfterBreak="0">
    <w:nsid w:val="4A101581"/>
    <w:multiLevelType w:val="multilevel"/>
    <w:tmpl w:val="63D6A476"/>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5" w15:restartNumberingAfterBreak="0">
    <w:nsid w:val="4BF06CAC"/>
    <w:multiLevelType w:val="hybridMultilevel"/>
    <w:tmpl w:val="8A9E380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6" w15:restartNumberingAfterBreak="0">
    <w:nsid w:val="4EC22921"/>
    <w:multiLevelType w:val="hybridMultilevel"/>
    <w:tmpl w:val="2494AFB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15:restartNumberingAfterBreak="0">
    <w:nsid w:val="7B2B69C4"/>
    <w:multiLevelType w:val="hybridMultilevel"/>
    <w:tmpl w:val="80E6774E"/>
    <w:lvl w:ilvl="0" w:tplc="2F009264">
      <w:start w:val="2"/>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1680498891">
    <w:abstractNumId w:val="4"/>
  </w:num>
  <w:num w:numId="2" w16cid:durableId="1654063778">
    <w:abstractNumId w:val="6"/>
  </w:num>
  <w:num w:numId="3" w16cid:durableId="638918526">
    <w:abstractNumId w:val="1"/>
  </w:num>
  <w:num w:numId="4" w16cid:durableId="1964461562">
    <w:abstractNumId w:val="13"/>
  </w:num>
  <w:num w:numId="5" w16cid:durableId="143476337">
    <w:abstractNumId w:val="11"/>
  </w:num>
  <w:num w:numId="6" w16cid:durableId="137380530">
    <w:abstractNumId w:val="15"/>
  </w:num>
  <w:num w:numId="7" w16cid:durableId="433601466">
    <w:abstractNumId w:val="5"/>
  </w:num>
  <w:num w:numId="8" w16cid:durableId="2025135435">
    <w:abstractNumId w:val="2"/>
  </w:num>
  <w:num w:numId="9" w16cid:durableId="1002313222">
    <w:abstractNumId w:val="8"/>
  </w:num>
  <w:num w:numId="10" w16cid:durableId="1779787469">
    <w:abstractNumId w:val="12"/>
  </w:num>
  <w:num w:numId="11" w16cid:durableId="791942362">
    <w:abstractNumId w:val="16"/>
  </w:num>
  <w:num w:numId="12" w16cid:durableId="1021123995">
    <w:abstractNumId w:val="7"/>
  </w:num>
  <w:num w:numId="13" w16cid:durableId="1942251583">
    <w:abstractNumId w:val="3"/>
  </w:num>
  <w:num w:numId="14" w16cid:durableId="721292995">
    <w:abstractNumId w:val="10"/>
  </w:num>
  <w:num w:numId="15" w16cid:durableId="81799387">
    <w:abstractNumId w:val="9"/>
  </w:num>
  <w:num w:numId="16" w16cid:durableId="1696347496">
    <w:abstractNumId w:val="17"/>
  </w:num>
  <w:num w:numId="17" w16cid:durableId="1992713750">
    <w:abstractNumId w:val="14"/>
  </w:num>
  <w:num w:numId="18" w16cid:durableId="213826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3E8F"/>
    <w:rsid w:val="000078FA"/>
    <w:rsid w:val="000138A8"/>
    <w:rsid w:val="00015103"/>
    <w:rsid w:val="00017052"/>
    <w:rsid w:val="00017451"/>
    <w:rsid w:val="00025872"/>
    <w:rsid w:val="00027C25"/>
    <w:rsid w:val="0003152B"/>
    <w:rsid w:val="00032A72"/>
    <w:rsid w:val="0003486B"/>
    <w:rsid w:val="00050634"/>
    <w:rsid w:val="000519A7"/>
    <w:rsid w:val="00051BD1"/>
    <w:rsid w:val="00053601"/>
    <w:rsid w:val="00060AB3"/>
    <w:rsid w:val="00064ED7"/>
    <w:rsid w:val="000658F4"/>
    <w:rsid w:val="000669BB"/>
    <w:rsid w:val="00066E81"/>
    <w:rsid w:val="00076280"/>
    <w:rsid w:val="0008124E"/>
    <w:rsid w:val="000A05FA"/>
    <w:rsid w:val="000A159E"/>
    <w:rsid w:val="000A2375"/>
    <w:rsid w:val="000A5CE4"/>
    <w:rsid w:val="000B17F0"/>
    <w:rsid w:val="000B1A48"/>
    <w:rsid w:val="000D3B1F"/>
    <w:rsid w:val="000E1EEA"/>
    <w:rsid w:val="000E2B6B"/>
    <w:rsid w:val="000E6EA7"/>
    <w:rsid w:val="00103332"/>
    <w:rsid w:val="00105B6F"/>
    <w:rsid w:val="001122C0"/>
    <w:rsid w:val="00113020"/>
    <w:rsid w:val="00116694"/>
    <w:rsid w:val="00124887"/>
    <w:rsid w:val="001258C1"/>
    <w:rsid w:val="001330E6"/>
    <w:rsid w:val="0013561C"/>
    <w:rsid w:val="00137B34"/>
    <w:rsid w:val="00145BED"/>
    <w:rsid w:val="0015377E"/>
    <w:rsid w:val="001667B6"/>
    <w:rsid w:val="001762A3"/>
    <w:rsid w:val="00176A5B"/>
    <w:rsid w:val="001803A6"/>
    <w:rsid w:val="00183A3A"/>
    <w:rsid w:val="00191983"/>
    <w:rsid w:val="001933F0"/>
    <w:rsid w:val="00195784"/>
    <w:rsid w:val="001A0219"/>
    <w:rsid w:val="001A5E9E"/>
    <w:rsid w:val="001A7D20"/>
    <w:rsid w:val="001B4A00"/>
    <w:rsid w:val="001B4F27"/>
    <w:rsid w:val="001B5339"/>
    <w:rsid w:val="001B6E17"/>
    <w:rsid w:val="001C78D1"/>
    <w:rsid w:val="001D31C3"/>
    <w:rsid w:val="001D6B6A"/>
    <w:rsid w:val="001E303F"/>
    <w:rsid w:val="001E4157"/>
    <w:rsid w:val="001F1CCB"/>
    <w:rsid w:val="001F2749"/>
    <w:rsid w:val="001F30BB"/>
    <w:rsid w:val="00206612"/>
    <w:rsid w:val="002209A1"/>
    <w:rsid w:val="00224899"/>
    <w:rsid w:val="0023185F"/>
    <w:rsid w:val="002352E1"/>
    <w:rsid w:val="00236314"/>
    <w:rsid w:val="00244E60"/>
    <w:rsid w:val="00263F44"/>
    <w:rsid w:val="00267627"/>
    <w:rsid w:val="002705B4"/>
    <w:rsid w:val="00273BE9"/>
    <w:rsid w:val="002756FD"/>
    <w:rsid w:val="00275912"/>
    <w:rsid w:val="00280CAE"/>
    <w:rsid w:val="00281725"/>
    <w:rsid w:val="00287A5A"/>
    <w:rsid w:val="00287FBD"/>
    <w:rsid w:val="002971F4"/>
    <w:rsid w:val="00297D3C"/>
    <w:rsid w:val="002A0002"/>
    <w:rsid w:val="002A11D0"/>
    <w:rsid w:val="002A70F9"/>
    <w:rsid w:val="002B3763"/>
    <w:rsid w:val="002B64C7"/>
    <w:rsid w:val="002C2588"/>
    <w:rsid w:val="002C2693"/>
    <w:rsid w:val="002C2E41"/>
    <w:rsid w:val="002C4856"/>
    <w:rsid w:val="002D15AD"/>
    <w:rsid w:val="002D59FE"/>
    <w:rsid w:val="002D6E5E"/>
    <w:rsid w:val="002F5FCC"/>
    <w:rsid w:val="00305BBE"/>
    <w:rsid w:val="00305D3C"/>
    <w:rsid w:val="00320122"/>
    <w:rsid w:val="003239D9"/>
    <w:rsid w:val="00323E7D"/>
    <w:rsid w:val="0032407C"/>
    <w:rsid w:val="0032443F"/>
    <w:rsid w:val="0032562F"/>
    <w:rsid w:val="00330724"/>
    <w:rsid w:val="00331633"/>
    <w:rsid w:val="0033436A"/>
    <w:rsid w:val="00334675"/>
    <w:rsid w:val="00335F3E"/>
    <w:rsid w:val="003408A7"/>
    <w:rsid w:val="00345C05"/>
    <w:rsid w:val="003549F7"/>
    <w:rsid w:val="00354C6E"/>
    <w:rsid w:val="003575D5"/>
    <w:rsid w:val="003609B9"/>
    <w:rsid w:val="00363A4B"/>
    <w:rsid w:val="00386490"/>
    <w:rsid w:val="003929BD"/>
    <w:rsid w:val="003A4DC8"/>
    <w:rsid w:val="003A7AED"/>
    <w:rsid w:val="003B0221"/>
    <w:rsid w:val="003B32A5"/>
    <w:rsid w:val="003C313D"/>
    <w:rsid w:val="003C5E63"/>
    <w:rsid w:val="003D089A"/>
    <w:rsid w:val="003D5143"/>
    <w:rsid w:val="003D57F2"/>
    <w:rsid w:val="003E6189"/>
    <w:rsid w:val="003F6DDF"/>
    <w:rsid w:val="00400231"/>
    <w:rsid w:val="00415285"/>
    <w:rsid w:val="0042248B"/>
    <w:rsid w:val="00436703"/>
    <w:rsid w:val="00436CA9"/>
    <w:rsid w:val="00444AC2"/>
    <w:rsid w:val="004455E7"/>
    <w:rsid w:val="00455A1C"/>
    <w:rsid w:val="00460BE9"/>
    <w:rsid w:val="00465EB3"/>
    <w:rsid w:val="004849DD"/>
    <w:rsid w:val="00491E13"/>
    <w:rsid w:val="00493331"/>
    <w:rsid w:val="00493A3C"/>
    <w:rsid w:val="0049518C"/>
    <w:rsid w:val="004976D8"/>
    <w:rsid w:val="004A3155"/>
    <w:rsid w:val="004A68D7"/>
    <w:rsid w:val="004A7C3C"/>
    <w:rsid w:val="004B1B71"/>
    <w:rsid w:val="004B22F6"/>
    <w:rsid w:val="004B4EA5"/>
    <w:rsid w:val="004C31E1"/>
    <w:rsid w:val="004C502B"/>
    <w:rsid w:val="004D033C"/>
    <w:rsid w:val="004D16C0"/>
    <w:rsid w:val="004D6F16"/>
    <w:rsid w:val="004E04B8"/>
    <w:rsid w:val="004E0B8D"/>
    <w:rsid w:val="004F2FED"/>
    <w:rsid w:val="004F4A79"/>
    <w:rsid w:val="00511EA0"/>
    <w:rsid w:val="0051495C"/>
    <w:rsid w:val="00515FD4"/>
    <w:rsid w:val="00521D9E"/>
    <w:rsid w:val="00545FB6"/>
    <w:rsid w:val="0055118C"/>
    <w:rsid w:val="00554BFA"/>
    <w:rsid w:val="00555DDD"/>
    <w:rsid w:val="00560574"/>
    <w:rsid w:val="00562E83"/>
    <w:rsid w:val="00564616"/>
    <w:rsid w:val="00564873"/>
    <w:rsid w:val="0056643B"/>
    <w:rsid w:val="005809AC"/>
    <w:rsid w:val="005900EA"/>
    <w:rsid w:val="00590BC6"/>
    <w:rsid w:val="005936B7"/>
    <w:rsid w:val="005A2CE9"/>
    <w:rsid w:val="005A4574"/>
    <w:rsid w:val="005B00FF"/>
    <w:rsid w:val="005B6A18"/>
    <w:rsid w:val="005C103F"/>
    <w:rsid w:val="005C2201"/>
    <w:rsid w:val="005D3F60"/>
    <w:rsid w:val="005D42DC"/>
    <w:rsid w:val="005D4DBD"/>
    <w:rsid w:val="005D4E92"/>
    <w:rsid w:val="005D7EB2"/>
    <w:rsid w:val="005E770F"/>
    <w:rsid w:val="005F6C46"/>
    <w:rsid w:val="005F7D51"/>
    <w:rsid w:val="00601B5E"/>
    <w:rsid w:val="00603994"/>
    <w:rsid w:val="0060552F"/>
    <w:rsid w:val="00605534"/>
    <w:rsid w:val="006077BC"/>
    <w:rsid w:val="00611611"/>
    <w:rsid w:val="00624064"/>
    <w:rsid w:val="0063287A"/>
    <w:rsid w:val="00636FF3"/>
    <w:rsid w:val="006431BE"/>
    <w:rsid w:val="00645832"/>
    <w:rsid w:val="0064589E"/>
    <w:rsid w:val="006520E7"/>
    <w:rsid w:val="006574E7"/>
    <w:rsid w:val="00657A40"/>
    <w:rsid w:val="006708FF"/>
    <w:rsid w:val="006723AF"/>
    <w:rsid w:val="006810E2"/>
    <w:rsid w:val="0068258E"/>
    <w:rsid w:val="00682FB3"/>
    <w:rsid w:val="00683BB9"/>
    <w:rsid w:val="00695C3E"/>
    <w:rsid w:val="006B4A62"/>
    <w:rsid w:val="006B4E39"/>
    <w:rsid w:val="006B72A3"/>
    <w:rsid w:val="006C114C"/>
    <w:rsid w:val="006C32A8"/>
    <w:rsid w:val="006C3762"/>
    <w:rsid w:val="006C4490"/>
    <w:rsid w:val="006C67D0"/>
    <w:rsid w:val="006C7FDB"/>
    <w:rsid w:val="006D305A"/>
    <w:rsid w:val="006D4DE7"/>
    <w:rsid w:val="006D781D"/>
    <w:rsid w:val="006E1415"/>
    <w:rsid w:val="006E3884"/>
    <w:rsid w:val="006F02D3"/>
    <w:rsid w:val="006F1D27"/>
    <w:rsid w:val="00700ABE"/>
    <w:rsid w:val="00701840"/>
    <w:rsid w:val="00702C97"/>
    <w:rsid w:val="007115B7"/>
    <w:rsid w:val="007224A7"/>
    <w:rsid w:val="0072566B"/>
    <w:rsid w:val="0073493A"/>
    <w:rsid w:val="007353C0"/>
    <w:rsid w:val="00736B34"/>
    <w:rsid w:val="0073725A"/>
    <w:rsid w:val="00742701"/>
    <w:rsid w:val="0074538F"/>
    <w:rsid w:val="0075474A"/>
    <w:rsid w:val="007551EE"/>
    <w:rsid w:val="00755756"/>
    <w:rsid w:val="0077331A"/>
    <w:rsid w:val="00776A6D"/>
    <w:rsid w:val="00777B1A"/>
    <w:rsid w:val="00787B76"/>
    <w:rsid w:val="00792D60"/>
    <w:rsid w:val="007A0EAD"/>
    <w:rsid w:val="007A5651"/>
    <w:rsid w:val="007A7328"/>
    <w:rsid w:val="007B212B"/>
    <w:rsid w:val="007B27A7"/>
    <w:rsid w:val="007C2777"/>
    <w:rsid w:val="007C2A94"/>
    <w:rsid w:val="007C469B"/>
    <w:rsid w:val="007C47E9"/>
    <w:rsid w:val="007C4B77"/>
    <w:rsid w:val="007D3B01"/>
    <w:rsid w:val="008011D2"/>
    <w:rsid w:val="00803EE8"/>
    <w:rsid w:val="00804321"/>
    <w:rsid w:val="00805171"/>
    <w:rsid w:val="008160A7"/>
    <w:rsid w:val="00816685"/>
    <w:rsid w:val="00824DFA"/>
    <w:rsid w:val="0082540E"/>
    <w:rsid w:val="00832D8E"/>
    <w:rsid w:val="0084273F"/>
    <w:rsid w:val="0084378F"/>
    <w:rsid w:val="00851B09"/>
    <w:rsid w:val="008612AA"/>
    <w:rsid w:val="00864C10"/>
    <w:rsid w:val="00864DED"/>
    <w:rsid w:val="008938B2"/>
    <w:rsid w:val="008963B3"/>
    <w:rsid w:val="008A02B8"/>
    <w:rsid w:val="008A4F48"/>
    <w:rsid w:val="008A5EEC"/>
    <w:rsid w:val="008B038C"/>
    <w:rsid w:val="008B07EB"/>
    <w:rsid w:val="008C0894"/>
    <w:rsid w:val="008C3CDD"/>
    <w:rsid w:val="008D5C96"/>
    <w:rsid w:val="008D6D15"/>
    <w:rsid w:val="008E4015"/>
    <w:rsid w:val="008E5E8C"/>
    <w:rsid w:val="00902E36"/>
    <w:rsid w:val="00930A0B"/>
    <w:rsid w:val="00932CA1"/>
    <w:rsid w:val="00933800"/>
    <w:rsid w:val="00940692"/>
    <w:rsid w:val="00944C92"/>
    <w:rsid w:val="00945570"/>
    <w:rsid w:val="009476A1"/>
    <w:rsid w:val="0095120E"/>
    <w:rsid w:val="00955FB7"/>
    <w:rsid w:val="00967084"/>
    <w:rsid w:val="00970471"/>
    <w:rsid w:val="00971CEA"/>
    <w:rsid w:val="009762E0"/>
    <w:rsid w:val="00981680"/>
    <w:rsid w:val="009829B0"/>
    <w:rsid w:val="009843C4"/>
    <w:rsid w:val="009859AD"/>
    <w:rsid w:val="00985BBC"/>
    <w:rsid w:val="009A001D"/>
    <w:rsid w:val="009A0B8A"/>
    <w:rsid w:val="009A3763"/>
    <w:rsid w:val="009C44A7"/>
    <w:rsid w:val="009D0757"/>
    <w:rsid w:val="009D18F5"/>
    <w:rsid w:val="009D7F96"/>
    <w:rsid w:val="009E174C"/>
    <w:rsid w:val="009F6C11"/>
    <w:rsid w:val="00A11140"/>
    <w:rsid w:val="00A1140F"/>
    <w:rsid w:val="00A12C81"/>
    <w:rsid w:val="00A144ED"/>
    <w:rsid w:val="00A15A3A"/>
    <w:rsid w:val="00A20804"/>
    <w:rsid w:val="00A24960"/>
    <w:rsid w:val="00A25B8B"/>
    <w:rsid w:val="00A26B19"/>
    <w:rsid w:val="00A31098"/>
    <w:rsid w:val="00A41242"/>
    <w:rsid w:val="00A422FA"/>
    <w:rsid w:val="00A42D8E"/>
    <w:rsid w:val="00A524EC"/>
    <w:rsid w:val="00A5552B"/>
    <w:rsid w:val="00A5562E"/>
    <w:rsid w:val="00A60B78"/>
    <w:rsid w:val="00A66731"/>
    <w:rsid w:val="00A66C36"/>
    <w:rsid w:val="00A747D2"/>
    <w:rsid w:val="00A86F80"/>
    <w:rsid w:val="00A9112C"/>
    <w:rsid w:val="00A92E53"/>
    <w:rsid w:val="00A942C0"/>
    <w:rsid w:val="00AA5C79"/>
    <w:rsid w:val="00AB148C"/>
    <w:rsid w:val="00AB7C36"/>
    <w:rsid w:val="00AD02A4"/>
    <w:rsid w:val="00AD7B01"/>
    <w:rsid w:val="00AD7EB2"/>
    <w:rsid w:val="00AE3471"/>
    <w:rsid w:val="00AE418C"/>
    <w:rsid w:val="00AF17C8"/>
    <w:rsid w:val="00AF3409"/>
    <w:rsid w:val="00AF5189"/>
    <w:rsid w:val="00AF52F5"/>
    <w:rsid w:val="00AF5E07"/>
    <w:rsid w:val="00AF716C"/>
    <w:rsid w:val="00B00E5C"/>
    <w:rsid w:val="00B054A2"/>
    <w:rsid w:val="00B06C3D"/>
    <w:rsid w:val="00B169BA"/>
    <w:rsid w:val="00B20513"/>
    <w:rsid w:val="00B20935"/>
    <w:rsid w:val="00B2111E"/>
    <w:rsid w:val="00B2500C"/>
    <w:rsid w:val="00B43135"/>
    <w:rsid w:val="00B442E9"/>
    <w:rsid w:val="00B44536"/>
    <w:rsid w:val="00B50126"/>
    <w:rsid w:val="00B54F44"/>
    <w:rsid w:val="00B5587A"/>
    <w:rsid w:val="00B56B85"/>
    <w:rsid w:val="00B57181"/>
    <w:rsid w:val="00B64A19"/>
    <w:rsid w:val="00B718A9"/>
    <w:rsid w:val="00B84975"/>
    <w:rsid w:val="00B92BC8"/>
    <w:rsid w:val="00B9347D"/>
    <w:rsid w:val="00BA0AA6"/>
    <w:rsid w:val="00BB1767"/>
    <w:rsid w:val="00BB5777"/>
    <w:rsid w:val="00BB7827"/>
    <w:rsid w:val="00BC35CE"/>
    <w:rsid w:val="00BC5DB3"/>
    <w:rsid w:val="00BD1771"/>
    <w:rsid w:val="00BE1141"/>
    <w:rsid w:val="00BE1542"/>
    <w:rsid w:val="00BE1723"/>
    <w:rsid w:val="00BE17F2"/>
    <w:rsid w:val="00BE308F"/>
    <w:rsid w:val="00BE467C"/>
    <w:rsid w:val="00BE63B4"/>
    <w:rsid w:val="00BE679B"/>
    <w:rsid w:val="00BF0CF7"/>
    <w:rsid w:val="00BF605A"/>
    <w:rsid w:val="00BF64A7"/>
    <w:rsid w:val="00C0325F"/>
    <w:rsid w:val="00C07855"/>
    <w:rsid w:val="00C20AD7"/>
    <w:rsid w:val="00C20E34"/>
    <w:rsid w:val="00C2192B"/>
    <w:rsid w:val="00C30D23"/>
    <w:rsid w:val="00C332A1"/>
    <w:rsid w:val="00C40D55"/>
    <w:rsid w:val="00C418F3"/>
    <w:rsid w:val="00C4407C"/>
    <w:rsid w:val="00C44F17"/>
    <w:rsid w:val="00C47E32"/>
    <w:rsid w:val="00C5024C"/>
    <w:rsid w:val="00C54BC5"/>
    <w:rsid w:val="00C603C1"/>
    <w:rsid w:val="00C60719"/>
    <w:rsid w:val="00C64728"/>
    <w:rsid w:val="00C709AD"/>
    <w:rsid w:val="00C70F8B"/>
    <w:rsid w:val="00C73D18"/>
    <w:rsid w:val="00C8471B"/>
    <w:rsid w:val="00C94469"/>
    <w:rsid w:val="00C96423"/>
    <w:rsid w:val="00CA4BBC"/>
    <w:rsid w:val="00CA4BF5"/>
    <w:rsid w:val="00CB250A"/>
    <w:rsid w:val="00CB75DE"/>
    <w:rsid w:val="00CC40E7"/>
    <w:rsid w:val="00CC63C8"/>
    <w:rsid w:val="00CD3FA7"/>
    <w:rsid w:val="00CD745D"/>
    <w:rsid w:val="00CF0DCF"/>
    <w:rsid w:val="00CF1B59"/>
    <w:rsid w:val="00CF79D9"/>
    <w:rsid w:val="00D021ED"/>
    <w:rsid w:val="00D033AF"/>
    <w:rsid w:val="00D05BAD"/>
    <w:rsid w:val="00D10AAD"/>
    <w:rsid w:val="00D11ED5"/>
    <w:rsid w:val="00D15DAC"/>
    <w:rsid w:val="00D2396B"/>
    <w:rsid w:val="00D24E1C"/>
    <w:rsid w:val="00D320D0"/>
    <w:rsid w:val="00D418C4"/>
    <w:rsid w:val="00D47A2A"/>
    <w:rsid w:val="00D5124B"/>
    <w:rsid w:val="00D56B93"/>
    <w:rsid w:val="00D61C6C"/>
    <w:rsid w:val="00D670D9"/>
    <w:rsid w:val="00D73B85"/>
    <w:rsid w:val="00D77E1B"/>
    <w:rsid w:val="00D84289"/>
    <w:rsid w:val="00D86235"/>
    <w:rsid w:val="00D91365"/>
    <w:rsid w:val="00D966F1"/>
    <w:rsid w:val="00D96869"/>
    <w:rsid w:val="00DB16F8"/>
    <w:rsid w:val="00DB7B97"/>
    <w:rsid w:val="00DC41BE"/>
    <w:rsid w:val="00DC43E8"/>
    <w:rsid w:val="00DC5BBD"/>
    <w:rsid w:val="00DC700F"/>
    <w:rsid w:val="00DD2B6B"/>
    <w:rsid w:val="00DD44DE"/>
    <w:rsid w:val="00DE10E2"/>
    <w:rsid w:val="00DE2019"/>
    <w:rsid w:val="00DE3E2C"/>
    <w:rsid w:val="00DF2065"/>
    <w:rsid w:val="00DF41EE"/>
    <w:rsid w:val="00E00281"/>
    <w:rsid w:val="00E03302"/>
    <w:rsid w:val="00E077F9"/>
    <w:rsid w:val="00E13393"/>
    <w:rsid w:val="00E1458A"/>
    <w:rsid w:val="00E14EBD"/>
    <w:rsid w:val="00E15F9C"/>
    <w:rsid w:val="00E20698"/>
    <w:rsid w:val="00E2785D"/>
    <w:rsid w:val="00E41E7E"/>
    <w:rsid w:val="00E45B1A"/>
    <w:rsid w:val="00E53203"/>
    <w:rsid w:val="00E61EAD"/>
    <w:rsid w:val="00E67A38"/>
    <w:rsid w:val="00E70E7E"/>
    <w:rsid w:val="00E741DF"/>
    <w:rsid w:val="00E770C6"/>
    <w:rsid w:val="00E8171E"/>
    <w:rsid w:val="00EA00B6"/>
    <w:rsid w:val="00EA0D9B"/>
    <w:rsid w:val="00EA2658"/>
    <w:rsid w:val="00EA696E"/>
    <w:rsid w:val="00EB019D"/>
    <w:rsid w:val="00ED4EFB"/>
    <w:rsid w:val="00ED57B6"/>
    <w:rsid w:val="00ED587D"/>
    <w:rsid w:val="00EE1F5C"/>
    <w:rsid w:val="00EE7157"/>
    <w:rsid w:val="00EF72AD"/>
    <w:rsid w:val="00EF7C1C"/>
    <w:rsid w:val="00F123A0"/>
    <w:rsid w:val="00F13475"/>
    <w:rsid w:val="00F134B0"/>
    <w:rsid w:val="00F14E20"/>
    <w:rsid w:val="00F275F0"/>
    <w:rsid w:val="00F3186E"/>
    <w:rsid w:val="00F42EA8"/>
    <w:rsid w:val="00F47589"/>
    <w:rsid w:val="00F513B4"/>
    <w:rsid w:val="00F53405"/>
    <w:rsid w:val="00F53F7F"/>
    <w:rsid w:val="00F75C56"/>
    <w:rsid w:val="00F774BF"/>
    <w:rsid w:val="00F77EA2"/>
    <w:rsid w:val="00F9298B"/>
    <w:rsid w:val="00F92AAD"/>
    <w:rsid w:val="00F97EE5"/>
    <w:rsid w:val="00FA0CD6"/>
    <w:rsid w:val="00FA2FA6"/>
    <w:rsid w:val="00FA34ED"/>
    <w:rsid w:val="00FB08E2"/>
    <w:rsid w:val="00FB2112"/>
    <w:rsid w:val="00FB3E82"/>
    <w:rsid w:val="00FC0823"/>
    <w:rsid w:val="00FC2622"/>
    <w:rsid w:val="00FE0603"/>
    <w:rsid w:val="00FE5FE9"/>
    <w:rsid w:val="00FE721B"/>
    <w:rsid w:val="00FF2BAF"/>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3E557"/>
  <w15:docId w15:val="{BCAC03DC-E4E3-46F6-A721-22589C1C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noProof/>
      <w:sz w:val="22"/>
      <w:szCs w:val="22"/>
      <w:lang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3">
    <w:name w:val="heading 3"/>
    <w:basedOn w:val="Normal"/>
    <w:next w:val="Normal"/>
    <w:link w:val="Heading3Char"/>
    <w:uiPriority w:val="99"/>
    <w:qFormat/>
    <w:locked/>
    <w:rsid w:val="00105B6F"/>
    <w:pPr>
      <w:keepNext/>
      <w:keepLines/>
      <w:spacing w:before="200" w:after="0"/>
      <w:outlineLvl w:val="2"/>
    </w:pPr>
    <w:rPr>
      <w:rFonts w:ascii="Cambria" w:eastAsia="Times New Roman" w:hAnsi="Cambria" w:cs="Cambria"/>
      <w:b/>
      <w:bCs/>
      <w:color w:val="4F81BD"/>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3Char">
    <w:name w:val="Heading 3 Char"/>
    <w:link w:val="Heading3"/>
    <w:uiPriority w:val="99"/>
    <w:semiHidden/>
    <w:locked/>
    <w:rsid w:val="00105B6F"/>
    <w:rPr>
      <w:rFonts w:ascii="Cambria" w:hAnsi="Cambria" w:cs="Cambria"/>
      <w:b/>
      <w:bCs/>
      <w:color w:val="4F81BD"/>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bCs/>
      <w:color w:val="000000"/>
      <w:sz w:val="29"/>
      <w:szCs w:val="29"/>
    </w:rPr>
  </w:style>
  <w:style w:type="paragraph" w:styleId="HTMLPreformatted">
    <w:name w:val="HTML Preformatted"/>
    <w:basedOn w:val="Normal"/>
    <w:link w:val="HTMLPreformattedChar"/>
    <w:uiPriority w:val="99"/>
    <w:semiHidden/>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semiHidden/>
    <w:locked/>
    <w:rsid w:val="00DC5BBD"/>
    <w:rPr>
      <w:rFonts w:ascii="Courier New" w:hAnsi="Courier New" w:cs="Courier New"/>
      <w:sz w:val="20"/>
      <w:szCs w:val="20"/>
      <w:lang w:val="en-GB" w:eastAsia="en-GB"/>
    </w:rPr>
  </w:style>
  <w:style w:type="character" w:customStyle="1" w:styleId="y2iqfc">
    <w:name w:val="y2iqfc"/>
    <w:basedOn w:val="DefaultParagraphFont"/>
    <w:uiPriority w:val="99"/>
    <w:rsid w:val="00DC5BBD"/>
  </w:style>
  <w:style w:type="character" w:styleId="Emphasis">
    <w:name w:val="Emphasis"/>
    <w:uiPriority w:val="99"/>
    <w:qFormat/>
    <w:rsid w:val="00CF79D9"/>
    <w:rPr>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link w:val="NoSpacingChar"/>
    <w:uiPriority w:val="1"/>
    <w:qFormat/>
    <w:rsid w:val="001667B6"/>
    <w:rPr>
      <w:rFonts w:eastAsia="Times New Roman" w:cs="Calibri"/>
      <w:sz w:val="22"/>
      <w:szCs w:val="22"/>
      <w:lang w:val="en-US" w:eastAsia="en-US"/>
    </w:rPr>
  </w:style>
  <w:style w:type="paragraph" w:customStyle="1" w:styleId="NoSpacing1">
    <w:name w:val="No Spacing1"/>
    <w:link w:val="a"/>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basedOn w:val="DefaultParagraphFont"/>
    <w:uiPriority w:val="99"/>
    <w:rsid w:val="00AD02A4"/>
  </w:style>
  <w:style w:type="character" w:customStyle="1" w:styleId="a">
    <w:name w:val="Без интервала Знак"/>
    <w:link w:val="NoSpacing1"/>
    <w:uiPriority w:val="99"/>
    <w:locked/>
    <w:rsid w:val="009D18F5"/>
    <w:rPr>
      <w:rFonts w:eastAsia="Times New Roman"/>
      <w:sz w:val="22"/>
      <w:szCs w:val="22"/>
      <w:lang w:val="en-US" w:eastAsia="en-US"/>
    </w:rPr>
  </w:style>
  <w:style w:type="table" w:styleId="TableGrid">
    <w:name w:val="Table Grid"/>
    <w:basedOn w:val="TableNormal"/>
    <w:uiPriority w:val="99"/>
    <w:locked/>
    <w:rsid w:val="001C78D1"/>
    <w:rPr>
      <w:rFonts w:eastAsia="Times New Roman" w:cs="Calibri"/>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NoSpacing"/>
    <w:uiPriority w:val="99"/>
    <w:locked/>
    <w:rsid w:val="00BE63B4"/>
    <w:rPr>
      <w:rFonts w:eastAsia="Times New Roman"/>
      <w:sz w:val="22"/>
      <w:szCs w:val="22"/>
      <w:lang w:val="en-US" w:eastAsia="en-US"/>
    </w:rPr>
  </w:style>
  <w:style w:type="paragraph" w:styleId="Header">
    <w:name w:val="header"/>
    <w:basedOn w:val="Normal"/>
    <w:link w:val="HeaderChar"/>
    <w:uiPriority w:val="99"/>
    <w:unhideWhenUsed/>
    <w:rsid w:val="004E0B8D"/>
    <w:pPr>
      <w:tabs>
        <w:tab w:val="center" w:pos="4680"/>
        <w:tab w:val="right" w:pos="9360"/>
      </w:tabs>
    </w:pPr>
  </w:style>
  <w:style w:type="character" w:customStyle="1" w:styleId="HeaderChar">
    <w:name w:val="Header Char"/>
    <w:link w:val="Header"/>
    <w:uiPriority w:val="99"/>
    <w:rsid w:val="004E0B8D"/>
    <w:rPr>
      <w:rFonts w:cs="Calibri"/>
    </w:rPr>
  </w:style>
  <w:style w:type="paragraph" w:styleId="Footer">
    <w:name w:val="footer"/>
    <w:basedOn w:val="Normal"/>
    <w:link w:val="FooterChar"/>
    <w:uiPriority w:val="99"/>
    <w:unhideWhenUsed/>
    <w:rsid w:val="004E0B8D"/>
    <w:pPr>
      <w:tabs>
        <w:tab w:val="center" w:pos="4680"/>
        <w:tab w:val="right" w:pos="9360"/>
      </w:tabs>
    </w:pPr>
  </w:style>
  <w:style w:type="character" w:customStyle="1" w:styleId="FooterChar">
    <w:name w:val="Footer Char"/>
    <w:link w:val="Footer"/>
    <w:uiPriority w:val="99"/>
    <w:rsid w:val="004E0B8D"/>
    <w:rPr>
      <w:rFonts w:cs="Calibri"/>
    </w:rPr>
  </w:style>
  <w:style w:type="character" w:customStyle="1" w:styleId="rynqvb">
    <w:name w:val="rynqvb"/>
    <w:rsid w:val="000E6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209857">
      <w:marLeft w:val="0"/>
      <w:marRight w:val="0"/>
      <w:marTop w:val="0"/>
      <w:marBottom w:val="0"/>
      <w:divBdr>
        <w:top w:val="none" w:sz="0" w:space="0" w:color="auto"/>
        <w:left w:val="none" w:sz="0" w:space="0" w:color="auto"/>
        <w:bottom w:val="none" w:sz="0" w:space="0" w:color="auto"/>
        <w:right w:val="none" w:sz="0" w:space="0" w:color="auto"/>
      </w:divBdr>
    </w:div>
    <w:div w:id="936209858">
      <w:marLeft w:val="0"/>
      <w:marRight w:val="0"/>
      <w:marTop w:val="0"/>
      <w:marBottom w:val="0"/>
      <w:divBdr>
        <w:top w:val="none" w:sz="0" w:space="0" w:color="auto"/>
        <w:left w:val="none" w:sz="0" w:space="0" w:color="auto"/>
        <w:bottom w:val="none" w:sz="0" w:space="0" w:color="auto"/>
        <w:right w:val="none" w:sz="0" w:space="0" w:color="auto"/>
      </w:divBdr>
    </w:div>
    <w:div w:id="936209859">
      <w:marLeft w:val="0"/>
      <w:marRight w:val="0"/>
      <w:marTop w:val="0"/>
      <w:marBottom w:val="0"/>
      <w:divBdr>
        <w:top w:val="none" w:sz="0" w:space="0" w:color="auto"/>
        <w:left w:val="none" w:sz="0" w:space="0" w:color="auto"/>
        <w:bottom w:val="none" w:sz="0" w:space="0" w:color="auto"/>
        <w:right w:val="none" w:sz="0" w:space="0" w:color="auto"/>
      </w:divBdr>
    </w:div>
    <w:div w:id="936209860">
      <w:marLeft w:val="0"/>
      <w:marRight w:val="0"/>
      <w:marTop w:val="0"/>
      <w:marBottom w:val="0"/>
      <w:divBdr>
        <w:top w:val="none" w:sz="0" w:space="0" w:color="auto"/>
        <w:left w:val="none" w:sz="0" w:space="0" w:color="auto"/>
        <w:bottom w:val="none" w:sz="0" w:space="0" w:color="auto"/>
        <w:right w:val="none" w:sz="0" w:space="0" w:color="auto"/>
      </w:divBdr>
    </w:div>
    <w:div w:id="936209861">
      <w:marLeft w:val="0"/>
      <w:marRight w:val="0"/>
      <w:marTop w:val="0"/>
      <w:marBottom w:val="0"/>
      <w:divBdr>
        <w:top w:val="none" w:sz="0" w:space="0" w:color="auto"/>
        <w:left w:val="none" w:sz="0" w:space="0" w:color="auto"/>
        <w:bottom w:val="none" w:sz="0" w:space="0" w:color="auto"/>
        <w:right w:val="none" w:sz="0" w:space="0" w:color="auto"/>
      </w:divBdr>
    </w:div>
    <w:div w:id="936209862">
      <w:marLeft w:val="0"/>
      <w:marRight w:val="0"/>
      <w:marTop w:val="0"/>
      <w:marBottom w:val="0"/>
      <w:divBdr>
        <w:top w:val="none" w:sz="0" w:space="0" w:color="auto"/>
        <w:left w:val="none" w:sz="0" w:space="0" w:color="auto"/>
        <w:bottom w:val="none" w:sz="0" w:space="0" w:color="auto"/>
        <w:right w:val="none" w:sz="0" w:space="0" w:color="auto"/>
      </w:divBdr>
    </w:div>
    <w:div w:id="936209863">
      <w:marLeft w:val="0"/>
      <w:marRight w:val="0"/>
      <w:marTop w:val="0"/>
      <w:marBottom w:val="0"/>
      <w:divBdr>
        <w:top w:val="none" w:sz="0" w:space="0" w:color="auto"/>
        <w:left w:val="none" w:sz="0" w:space="0" w:color="auto"/>
        <w:bottom w:val="none" w:sz="0" w:space="0" w:color="auto"/>
        <w:right w:val="none" w:sz="0" w:space="0" w:color="auto"/>
      </w:divBdr>
    </w:div>
    <w:div w:id="936209864">
      <w:marLeft w:val="0"/>
      <w:marRight w:val="0"/>
      <w:marTop w:val="0"/>
      <w:marBottom w:val="0"/>
      <w:divBdr>
        <w:top w:val="none" w:sz="0" w:space="0" w:color="auto"/>
        <w:left w:val="none" w:sz="0" w:space="0" w:color="auto"/>
        <w:bottom w:val="none" w:sz="0" w:space="0" w:color="auto"/>
        <w:right w:val="none" w:sz="0" w:space="0" w:color="auto"/>
      </w:divBdr>
    </w:div>
    <w:div w:id="936209865">
      <w:marLeft w:val="0"/>
      <w:marRight w:val="0"/>
      <w:marTop w:val="0"/>
      <w:marBottom w:val="0"/>
      <w:divBdr>
        <w:top w:val="none" w:sz="0" w:space="0" w:color="auto"/>
        <w:left w:val="none" w:sz="0" w:space="0" w:color="auto"/>
        <w:bottom w:val="none" w:sz="0" w:space="0" w:color="auto"/>
        <w:right w:val="none" w:sz="0" w:space="0" w:color="auto"/>
      </w:divBdr>
    </w:div>
    <w:div w:id="936209866">
      <w:marLeft w:val="0"/>
      <w:marRight w:val="0"/>
      <w:marTop w:val="0"/>
      <w:marBottom w:val="0"/>
      <w:divBdr>
        <w:top w:val="none" w:sz="0" w:space="0" w:color="auto"/>
        <w:left w:val="none" w:sz="0" w:space="0" w:color="auto"/>
        <w:bottom w:val="none" w:sz="0" w:space="0" w:color="auto"/>
        <w:right w:val="none" w:sz="0" w:space="0" w:color="auto"/>
      </w:divBdr>
    </w:div>
    <w:div w:id="936209874">
      <w:marLeft w:val="0"/>
      <w:marRight w:val="0"/>
      <w:marTop w:val="0"/>
      <w:marBottom w:val="0"/>
      <w:divBdr>
        <w:top w:val="none" w:sz="0" w:space="0" w:color="auto"/>
        <w:left w:val="none" w:sz="0" w:space="0" w:color="auto"/>
        <w:bottom w:val="none" w:sz="0" w:space="0" w:color="auto"/>
        <w:right w:val="none" w:sz="0" w:space="0" w:color="auto"/>
      </w:divBdr>
    </w:div>
    <w:div w:id="936209875">
      <w:marLeft w:val="0"/>
      <w:marRight w:val="0"/>
      <w:marTop w:val="0"/>
      <w:marBottom w:val="0"/>
      <w:divBdr>
        <w:top w:val="none" w:sz="0" w:space="0" w:color="auto"/>
        <w:left w:val="none" w:sz="0" w:space="0" w:color="auto"/>
        <w:bottom w:val="none" w:sz="0" w:space="0" w:color="auto"/>
        <w:right w:val="none" w:sz="0" w:space="0" w:color="auto"/>
      </w:divBdr>
    </w:div>
    <w:div w:id="936209877">
      <w:marLeft w:val="0"/>
      <w:marRight w:val="0"/>
      <w:marTop w:val="0"/>
      <w:marBottom w:val="0"/>
      <w:divBdr>
        <w:top w:val="none" w:sz="0" w:space="0" w:color="auto"/>
        <w:left w:val="none" w:sz="0" w:space="0" w:color="auto"/>
        <w:bottom w:val="none" w:sz="0" w:space="0" w:color="auto"/>
        <w:right w:val="none" w:sz="0" w:space="0" w:color="auto"/>
      </w:divBdr>
    </w:div>
    <w:div w:id="936209879">
      <w:marLeft w:val="0"/>
      <w:marRight w:val="0"/>
      <w:marTop w:val="0"/>
      <w:marBottom w:val="0"/>
      <w:divBdr>
        <w:top w:val="none" w:sz="0" w:space="0" w:color="auto"/>
        <w:left w:val="none" w:sz="0" w:space="0" w:color="auto"/>
        <w:bottom w:val="none" w:sz="0" w:space="0" w:color="auto"/>
        <w:right w:val="none" w:sz="0" w:space="0" w:color="auto"/>
      </w:divBdr>
      <w:divsChild>
        <w:div w:id="936209937">
          <w:marLeft w:val="0"/>
          <w:marRight w:val="0"/>
          <w:marTop w:val="0"/>
          <w:marBottom w:val="0"/>
          <w:divBdr>
            <w:top w:val="none" w:sz="0" w:space="0" w:color="auto"/>
            <w:left w:val="none" w:sz="0" w:space="0" w:color="auto"/>
            <w:bottom w:val="none" w:sz="0" w:space="0" w:color="auto"/>
            <w:right w:val="none" w:sz="0" w:space="0" w:color="auto"/>
          </w:divBdr>
          <w:divsChild>
            <w:div w:id="936209882">
              <w:marLeft w:val="0"/>
              <w:marRight w:val="0"/>
              <w:marTop w:val="0"/>
              <w:marBottom w:val="0"/>
              <w:divBdr>
                <w:top w:val="none" w:sz="0" w:space="0" w:color="auto"/>
                <w:left w:val="none" w:sz="0" w:space="0" w:color="auto"/>
                <w:bottom w:val="none" w:sz="0" w:space="0" w:color="auto"/>
                <w:right w:val="none" w:sz="0" w:space="0" w:color="auto"/>
              </w:divBdr>
              <w:divsChild>
                <w:div w:id="936209886">
                  <w:marLeft w:val="0"/>
                  <w:marRight w:val="0"/>
                  <w:marTop w:val="0"/>
                  <w:marBottom w:val="0"/>
                  <w:divBdr>
                    <w:top w:val="none" w:sz="0" w:space="0" w:color="auto"/>
                    <w:left w:val="none" w:sz="0" w:space="0" w:color="auto"/>
                    <w:bottom w:val="none" w:sz="0" w:space="0" w:color="auto"/>
                    <w:right w:val="none" w:sz="0" w:space="0" w:color="auto"/>
                  </w:divBdr>
                  <w:divsChild>
                    <w:div w:id="9362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09943">
          <w:marLeft w:val="0"/>
          <w:marRight w:val="0"/>
          <w:marTop w:val="0"/>
          <w:marBottom w:val="0"/>
          <w:divBdr>
            <w:top w:val="none" w:sz="0" w:space="0" w:color="auto"/>
            <w:left w:val="none" w:sz="0" w:space="0" w:color="auto"/>
            <w:bottom w:val="none" w:sz="0" w:space="0" w:color="auto"/>
            <w:right w:val="none" w:sz="0" w:space="0" w:color="auto"/>
          </w:divBdr>
          <w:divsChild>
            <w:div w:id="936209957">
              <w:marLeft w:val="0"/>
              <w:marRight w:val="0"/>
              <w:marTop w:val="0"/>
              <w:marBottom w:val="0"/>
              <w:divBdr>
                <w:top w:val="none" w:sz="0" w:space="0" w:color="auto"/>
                <w:left w:val="none" w:sz="0" w:space="0" w:color="auto"/>
                <w:bottom w:val="none" w:sz="0" w:space="0" w:color="auto"/>
                <w:right w:val="none" w:sz="0" w:space="0" w:color="auto"/>
              </w:divBdr>
              <w:divsChild>
                <w:div w:id="93620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09981">
          <w:marLeft w:val="0"/>
          <w:marRight w:val="0"/>
          <w:marTop w:val="0"/>
          <w:marBottom w:val="0"/>
          <w:divBdr>
            <w:top w:val="none" w:sz="0" w:space="0" w:color="auto"/>
            <w:left w:val="none" w:sz="0" w:space="0" w:color="auto"/>
            <w:bottom w:val="none" w:sz="0" w:space="0" w:color="auto"/>
            <w:right w:val="none" w:sz="0" w:space="0" w:color="auto"/>
          </w:divBdr>
          <w:divsChild>
            <w:div w:id="936209974">
              <w:marLeft w:val="0"/>
              <w:marRight w:val="0"/>
              <w:marTop w:val="0"/>
              <w:marBottom w:val="0"/>
              <w:divBdr>
                <w:top w:val="none" w:sz="0" w:space="0" w:color="auto"/>
                <w:left w:val="none" w:sz="0" w:space="0" w:color="auto"/>
                <w:bottom w:val="none" w:sz="0" w:space="0" w:color="auto"/>
                <w:right w:val="none" w:sz="0" w:space="0" w:color="auto"/>
              </w:divBdr>
              <w:divsChild>
                <w:div w:id="936209870">
                  <w:marLeft w:val="0"/>
                  <w:marRight w:val="0"/>
                  <w:marTop w:val="0"/>
                  <w:marBottom w:val="0"/>
                  <w:divBdr>
                    <w:top w:val="none" w:sz="0" w:space="0" w:color="auto"/>
                    <w:left w:val="none" w:sz="0" w:space="0" w:color="auto"/>
                    <w:bottom w:val="none" w:sz="0" w:space="0" w:color="auto"/>
                    <w:right w:val="none" w:sz="0" w:space="0" w:color="auto"/>
                  </w:divBdr>
                  <w:divsChild>
                    <w:div w:id="936209960">
                      <w:marLeft w:val="0"/>
                      <w:marRight w:val="0"/>
                      <w:marTop w:val="0"/>
                      <w:marBottom w:val="0"/>
                      <w:divBdr>
                        <w:top w:val="none" w:sz="0" w:space="0" w:color="auto"/>
                        <w:left w:val="none" w:sz="0" w:space="0" w:color="auto"/>
                        <w:bottom w:val="none" w:sz="0" w:space="0" w:color="auto"/>
                        <w:right w:val="none" w:sz="0" w:space="0" w:color="auto"/>
                      </w:divBdr>
                      <w:divsChild>
                        <w:div w:id="936209951">
                          <w:marLeft w:val="0"/>
                          <w:marRight w:val="0"/>
                          <w:marTop w:val="0"/>
                          <w:marBottom w:val="0"/>
                          <w:divBdr>
                            <w:top w:val="none" w:sz="0" w:space="0" w:color="auto"/>
                            <w:left w:val="none" w:sz="0" w:space="0" w:color="auto"/>
                            <w:bottom w:val="none" w:sz="0" w:space="0" w:color="auto"/>
                            <w:right w:val="none" w:sz="0" w:space="0" w:color="auto"/>
                          </w:divBdr>
                          <w:divsChild>
                            <w:div w:id="936209896">
                              <w:marLeft w:val="0"/>
                              <w:marRight w:val="0"/>
                              <w:marTop w:val="0"/>
                              <w:marBottom w:val="0"/>
                              <w:divBdr>
                                <w:top w:val="none" w:sz="0" w:space="0" w:color="auto"/>
                                <w:left w:val="none" w:sz="0" w:space="0" w:color="auto"/>
                                <w:bottom w:val="none" w:sz="0" w:space="0" w:color="auto"/>
                                <w:right w:val="none" w:sz="0" w:space="0" w:color="auto"/>
                              </w:divBdr>
                              <w:divsChild>
                                <w:div w:id="936209867">
                                  <w:marLeft w:val="0"/>
                                  <w:marRight w:val="0"/>
                                  <w:marTop w:val="0"/>
                                  <w:marBottom w:val="0"/>
                                  <w:divBdr>
                                    <w:top w:val="none" w:sz="0" w:space="0" w:color="auto"/>
                                    <w:left w:val="none" w:sz="0" w:space="0" w:color="auto"/>
                                    <w:bottom w:val="none" w:sz="0" w:space="0" w:color="auto"/>
                                    <w:right w:val="none" w:sz="0" w:space="0" w:color="auto"/>
                                  </w:divBdr>
                                  <w:divsChild>
                                    <w:div w:id="936209868">
                                      <w:marLeft w:val="225"/>
                                      <w:marRight w:val="0"/>
                                      <w:marTop w:val="150"/>
                                      <w:marBottom w:val="150"/>
                                      <w:divBdr>
                                        <w:top w:val="none" w:sz="0" w:space="0" w:color="auto"/>
                                        <w:left w:val="none" w:sz="0" w:space="0" w:color="auto"/>
                                        <w:bottom w:val="none" w:sz="0" w:space="0" w:color="auto"/>
                                        <w:right w:val="none" w:sz="0" w:space="0" w:color="auto"/>
                                      </w:divBdr>
                                    </w:div>
                                    <w:div w:id="936209869">
                                      <w:marLeft w:val="0"/>
                                      <w:marRight w:val="0"/>
                                      <w:marTop w:val="0"/>
                                      <w:marBottom w:val="0"/>
                                      <w:divBdr>
                                        <w:top w:val="none" w:sz="0" w:space="0" w:color="auto"/>
                                        <w:left w:val="none" w:sz="0" w:space="0" w:color="auto"/>
                                        <w:bottom w:val="none" w:sz="0" w:space="0" w:color="auto"/>
                                        <w:right w:val="none" w:sz="0" w:space="0" w:color="auto"/>
                                      </w:divBdr>
                                    </w:div>
                                    <w:div w:id="936209872">
                                      <w:marLeft w:val="225"/>
                                      <w:marRight w:val="0"/>
                                      <w:marTop w:val="150"/>
                                      <w:marBottom w:val="150"/>
                                      <w:divBdr>
                                        <w:top w:val="none" w:sz="0" w:space="0" w:color="auto"/>
                                        <w:left w:val="none" w:sz="0" w:space="0" w:color="auto"/>
                                        <w:bottom w:val="none" w:sz="0" w:space="0" w:color="auto"/>
                                        <w:right w:val="none" w:sz="0" w:space="0" w:color="auto"/>
                                      </w:divBdr>
                                    </w:div>
                                    <w:div w:id="936209873">
                                      <w:marLeft w:val="225"/>
                                      <w:marRight w:val="0"/>
                                      <w:marTop w:val="150"/>
                                      <w:marBottom w:val="150"/>
                                      <w:divBdr>
                                        <w:top w:val="none" w:sz="0" w:space="0" w:color="auto"/>
                                        <w:left w:val="none" w:sz="0" w:space="0" w:color="auto"/>
                                        <w:bottom w:val="none" w:sz="0" w:space="0" w:color="auto"/>
                                        <w:right w:val="none" w:sz="0" w:space="0" w:color="auto"/>
                                      </w:divBdr>
                                    </w:div>
                                    <w:div w:id="936209876">
                                      <w:marLeft w:val="225"/>
                                      <w:marRight w:val="0"/>
                                      <w:marTop w:val="150"/>
                                      <w:marBottom w:val="150"/>
                                      <w:divBdr>
                                        <w:top w:val="none" w:sz="0" w:space="0" w:color="auto"/>
                                        <w:left w:val="none" w:sz="0" w:space="0" w:color="auto"/>
                                        <w:bottom w:val="none" w:sz="0" w:space="0" w:color="auto"/>
                                        <w:right w:val="none" w:sz="0" w:space="0" w:color="auto"/>
                                      </w:divBdr>
                                    </w:div>
                                    <w:div w:id="936209878">
                                      <w:marLeft w:val="225"/>
                                      <w:marRight w:val="0"/>
                                      <w:marTop w:val="150"/>
                                      <w:marBottom w:val="150"/>
                                      <w:divBdr>
                                        <w:top w:val="none" w:sz="0" w:space="0" w:color="auto"/>
                                        <w:left w:val="none" w:sz="0" w:space="0" w:color="auto"/>
                                        <w:bottom w:val="none" w:sz="0" w:space="0" w:color="auto"/>
                                        <w:right w:val="none" w:sz="0" w:space="0" w:color="auto"/>
                                      </w:divBdr>
                                    </w:div>
                                    <w:div w:id="936209881">
                                      <w:marLeft w:val="0"/>
                                      <w:marRight w:val="0"/>
                                      <w:marTop w:val="0"/>
                                      <w:marBottom w:val="0"/>
                                      <w:divBdr>
                                        <w:top w:val="none" w:sz="0" w:space="0" w:color="auto"/>
                                        <w:left w:val="none" w:sz="0" w:space="0" w:color="auto"/>
                                        <w:bottom w:val="none" w:sz="0" w:space="0" w:color="auto"/>
                                        <w:right w:val="none" w:sz="0" w:space="0" w:color="auto"/>
                                      </w:divBdr>
                                    </w:div>
                                    <w:div w:id="936209887">
                                      <w:marLeft w:val="0"/>
                                      <w:marRight w:val="0"/>
                                      <w:marTop w:val="0"/>
                                      <w:marBottom w:val="0"/>
                                      <w:divBdr>
                                        <w:top w:val="none" w:sz="0" w:space="0" w:color="auto"/>
                                        <w:left w:val="none" w:sz="0" w:space="0" w:color="auto"/>
                                        <w:bottom w:val="none" w:sz="0" w:space="0" w:color="auto"/>
                                        <w:right w:val="none" w:sz="0" w:space="0" w:color="auto"/>
                                      </w:divBdr>
                                    </w:div>
                                    <w:div w:id="936209888">
                                      <w:marLeft w:val="225"/>
                                      <w:marRight w:val="0"/>
                                      <w:marTop w:val="150"/>
                                      <w:marBottom w:val="150"/>
                                      <w:divBdr>
                                        <w:top w:val="none" w:sz="0" w:space="0" w:color="auto"/>
                                        <w:left w:val="none" w:sz="0" w:space="0" w:color="auto"/>
                                        <w:bottom w:val="none" w:sz="0" w:space="0" w:color="auto"/>
                                        <w:right w:val="none" w:sz="0" w:space="0" w:color="auto"/>
                                      </w:divBdr>
                                    </w:div>
                                    <w:div w:id="936209889">
                                      <w:marLeft w:val="0"/>
                                      <w:marRight w:val="0"/>
                                      <w:marTop w:val="0"/>
                                      <w:marBottom w:val="0"/>
                                      <w:divBdr>
                                        <w:top w:val="none" w:sz="0" w:space="0" w:color="auto"/>
                                        <w:left w:val="none" w:sz="0" w:space="0" w:color="auto"/>
                                        <w:bottom w:val="none" w:sz="0" w:space="0" w:color="auto"/>
                                        <w:right w:val="none" w:sz="0" w:space="0" w:color="auto"/>
                                      </w:divBdr>
                                    </w:div>
                                    <w:div w:id="936209893">
                                      <w:marLeft w:val="0"/>
                                      <w:marRight w:val="0"/>
                                      <w:marTop w:val="0"/>
                                      <w:marBottom w:val="0"/>
                                      <w:divBdr>
                                        <w:top w:val="none" w:sz="0" w:space="0" w:color="auto"/>
                                        <w:left w:val="none" w:sz="0" w:space="0" w:color="auto"/>
                                        <w:bottom w:val="none" w:sz="0" w:space="0" w:color="auto"/>
                                        <w:right w:val="none" w:sz="0" w:space="0" w:color="auto"/>
                                      </w:divBdr>
                                    </w:div>
                                    <w:div w:id="936209895">
                                      <w:marLeft w:val="0"/>
                                      <w:marRight w:val="0"/>
                                      <w:marTop w:val="0"/>
                                      <w:marBottom w:val="0"/>
                                      <w:divBdr>
                                        <w:top w:val="none" w:sz="0" w:space="0" w:color="auto"/>
                                        <w:left w:val="none" w:sz="0" w:space="0" w:color="auto"/>
                                        <w:bottom w:val="none" w:sz="0" w:space="0" w:color="auto"/>
                                        <w:right w:val="none" w:sz="0" w:space="0" w:color="auto"/>
                                      </w:divBdr>
                                    </w:div>
                                    <w:div w:id="936209897">
                                      <w:marLeft w:val="225"/>
                                      <w:marRight w:val="0"/>
                                      <w:marTop w:val="150"/>
                                      <w:marBottom w:val="150"/>
                                      <w:divBdr>
                                        <w:top w:val="none" w:sz="0" w:space="0" w:color="auto"/>
                                        <w:left w:val="none" w:sz="0" w:space="0" w:color="auto"/>
                                        <w:bottom w:val="none" w:sz="0" w:space="0" w:color="auto"/>
                                        <w:right w:val="none" w:sz="0" w:space="0" w:color="auto"/>
                                      </w:divBdr>
                                    </w:div>
                                    <w:div w:id="936209898">
                                      <w:marLeft w:val="0"/>
                                      <w:marRight w:val="0"/>
                                      <w:marTop w:val="0"/>
                                      <w:marBottom w:val="0"/>
                                      <w:divBdr>
                                        <w:top w:val="none" w:sz="0" w:space="0" w:color="auto"/>
                                        <w:left w:val="none" w:sz="0" w:space="0" w:color="auto"/>
                                        <w:bottom w:val="none" w:sz="0" w:space="0" w:color="auto"/>
                                        <w:right w:val="none" w:sz="0" w:space="0" w:color="auto"/>
                                      </w:divBdr>
                                    </w:div>
                                    <w:div w:id="936209905">
                                      <w:marLeft w:val="225"/>
                                      <w:marRight w:val="0"/>
                                      <w:marTop w:val="150"/>
                                      <w:marBottom w:val="150"/>
                                      <w:divBdr>
                                        <w:top w:val="none" w:sz="0" w:space="0" w:color="auto"/>
                                        <w:left w:val="none" w:sz="0" w:space="0" w:color="auto"/>
                                        <w:bottom w:val="none" w:sz="0" w:space="0" w:color="auto"/>
                                        <w:right w:val="none" w:sz="0" w:space="0" w:color="auto"/>
                                      </w:divBdr>
                                    </w:div>
                                    <w:div w:id="936209907">
                                      <w:marLeft w:val="0"/>
                                      <w:marRight w:val="0"/>
                                      <w:marTop w:val="0"/>
                                      <w:marBottom w:val="0"/>
                                      <w:divBdr>
                                        <w:top w:val="none" w:sz="0" w:space="0" w:color="auto"/>
                                        <w:left w:val="none" w:sz="0" w:space="0" w:color="auto"/>
                                        <w:bottom w:val="none" w:sz="0" w:space="0" w:color="auto"/>
                                        <w:right w:val="none" w:sz="0" w:space="0" w:color="auto"/>
                                      </w:divBdr>
                                    </w:div>
                                    <w:div w:id="936209908">
                                      <w:marLeft w:val="0"/>
                                      <w:marRight w:val="0"/>
                                      <w:marTop w:val="0"/>
                                      <w:marBottom w:val="0"/>
                                      <w:divBdr>
                                        <w:top w:val="none" w:sz="0" w:space="0" w:color="auto"/>
                                        <w:left w:val="none" w:sz="0" w:space="0" w:color="auto"/>
                                        <w:bottom w:val="none" w:sz="0" w:space="0" w:color="auto"/>
                                        <w:right w:val="none" w:sz="0" w:space="0" w:color="auto"/>
                                      </w:divBdr>
                                    </w:div>
                                    <w:div w:id="936209909">
                                      <w:marLeft w:val="0"/>
                                      <w:marRight w:val="0"/>
                                      <w:marTop w:val="0"/>
                                      <w:marBottom w:val="0"/>
                                      <w:divBdr>
                                        <w:top w:val="none" w:sz="0" w:space="0" w:color="auto"/>
                                        <w:left w:val="none" w:sz="0" w:space="0" w:color="auto"/>
                                        <w:bottom w:val="none" w:sz="0" w:space="0" w:color="auto"/>
                                        <w:right w:val="none" w:sz="0" w:space="0" w:color="auto"/>
                                      </w:divBdr>
                                    </w:div>
                                    <w:div w:id="936209910">
                                      <w:marLeft w:val="0"/>
                                      <w:marRight w:val="0"/>
                                      <w:marTop w:val="0"/>
                                      <w:marBottom w:val="0"/>
                                      <w:divBdr>
                                        <w:top w:val="none" w:sz="0" w:space="0" w:color="auto"/>
                                        <w:left w:val="none" w:sz="0" w:space="0" w:color="auto"/>
                                        <w:bottom w:val="none" w:sz="0" w:space="0" w:color="auto"/>
                                        <w:right w:val="none" w:sz="0" w:space="0" w:color="auto"/>
                                      </w:divBdr>
                                    </w:div>
                                    <w:div w:id="936209911">
                                      <w:marLeft w:val="0"/>
                                      <w:marRight w:val="0"/>
                                      <w:marTop w:val="0"/>
                                      <w:marBottom w:val="0"/>
                                      <w:divBdr>
                                        <w:top w:val="none" w:sz="0" w:space="0" w:color="auto"/>
                                        <w:left w:val="none" w:sz="0" w:space="0" w:color="auto"/>
                                        <w:bottom w:val="none" w:sz="0" w:space="0" w:color="auto"/>
                                        <w:right w:val="none" w:sz="0" w:space="0" w:color="auto"/>
                                      </w:divBdr>
                                    </w:div>
                                    <w:div w:id="936209913">
                                      <w:marLeft w:val="0"/>
                                      <w:marRight w:val="0"/>
                                      <w:marTop w:val="0"/>
                                      <w:marBottom w:val="0"/>
                                      <w:divBdr>
                                        <w:top w:val="none" w:sz="0" w:space="0" w:color="auto"/>
                                        <w:left w:val="none" w:sz="0" w:space="0" w:color="auto"/>
                                        <w:bottom w:val="none" w:sz="0" w:space="0" w:color="auto"/>
                                        <w:right w:val="none" w:sz="0" w:space="0" w:color="auto"/>
                                      </w:divBdr>
                                    </w:div>
                                    <w:div w:id="936209914">
                                      <w:marLeft w:val="0"/>
                                      <w:marRight w:val="0"/>
                                      <w:marTop w:val="0"/>
                                      <w:marBottom w:val="0"/>
                                      <w:divBdr>
                                        <w:top w:val="none" w:sz="0" w:space="0" w:color="auto"/>
                                        <w:left w:val="none" w:sz="0" w:space="0" w:color="auto"/>
                                        <w:bottom w:val="none" w:sz="0" w:space="0" w:color="auto"/>
                                        <w:right w:val="none" w:sz="0" w:space="0" w:color="auto"/>
                                      </w:divBdr>
                                    </w:div>
                                    <w:div w:id="936209916">
                                      <w:marLeft w:val="0"/>
                                      <w:marRight w:val="0"/>
                                      <w:marTop w:val="0"/>
                                      <w:marBottom w:val="0"/>
                                      <w:divBdr>
                                        <w:top w:val="none" w:sz="0" w:space="0" w:color="auto"/>
                                        <w:left w:val="none" w:sz="0" w:space="0" w:color="auto"/>
                                        <w:bottom w:val="none" w:sz="0" w:space="0" w:color="auto"/>
                                        <w:right w:val="none" w:sz="0" w:space="0" w:color="auto"/>
                                      </w:divBdr>
                                    </w:div>
                                    <w:div w:id="936209918">
                                      <w:marLeft w:val="225"/>
                                      <w:marRight w:val="0"/>
                                      <w:marTop w:val="150"/>
                                      <w:marBottom w:val="150"/>
                                      <w:divBdr>
                                        <w:top w:val="none" w:sz="0" w:space="0" w:color="auto"/>
                                        <w:left w:val="none" w:sz="0" w:space="0" w:color="auto"/>
                                        <w:bottom w:val="none" w:sz="0" w:space="0" w:color="auto"/>
                                        <w:right w:val="none" w:sz="0" w:space="0" w:color="auto"/>
                                      </w:divBdr>
                                    </w:div>
                                    <w:div w:id="936209920">
                                      <w:marLeft w:val="0"/>
                                      <w:marRight w:val="0"/>
                                      <w:marTop w:val="0"/>
                                      <w:marBottom w:val="0"/>
                                      <w:divBdr>
                                        <w:top w:val="none" w:sz="0" w:space="0" w:color="auto"/>
                                        <w:left w:val="none" w:sz="0" w:space="0" w:color="auto"/>
                                        <w:bottom w:val="none" w:sz="0" w:space="0" w:color="auto"/>
                                        <w:right w:val="none" w:sz="0" w:space="0" w:color="auto"/>
                                      </w:divBdr>
                                    </w:div>
                                    <w:div w:id="936209921">
                                      <w:marLeft w:val="0"/>
                                      <w:marRight w:val="0"/>
                                      <w:marTop w:val="0"/>
                                      <w:marBottom w:val="0"/>
                                      <w:divBdr>
                                        <w:top w:val="none" w:sz="0" w:space="0" w:color="auto"/>
                                        <w:left w:val="none" w:sz="0" w:space="0" w:color="auto"/>
                                        <w:bottom w:val="none" w:sz="0" w:space="0" w:color="auto"/>
                                        <w:right w:val="none" w:sz="0" w:space="0" w:color="auto"/>
                                      </w:divBdr>
                                    </w:div>
                                    <w:div w:id="936209923">
                                      <w:marLeft w:val="0"/>
                                      <w:marRight w:val="0"/>
                                      <w:marTop w:val="0"/>
                                      <w:marBottom w:val="0"/>
                                      <w:divBdr>
                                        <w:top w:val="none" w:sz="0" w:space="0" w:color="auto"/>
                                        <w:left w:val="none" w:sz="0" w:space="0" w:color="auto"/>
                                        <w:bottom w:val="none" w:sz="0" w:space="0" w:color="auto"/>
                                        <w:right w:val="none" w:sz="0" w:space="0" w:color="auto"/>
                                      </w:divBdr>
                                    </w:div>
                                    <w:div w:id="936209924">
                                      <w:marLeft w:val="0"/>
                                      <w:marRight w:val="0"/>
                                      <w:marTop w:val="0"/>
                                      <w:marBottom w:val="0"/>
                                      <w:divBdr>
                                        <w:top w:val="none" w:sz="0" w:space="0" w:color="auto"/>
                                        <w:left w:val="none" w:sz="0" w:space="0" w:color="auto"/>
                                        <w:bottom w:val="none" w:sz="0" w:space="0" w:color="auto"/>
                                        <w:right w:val="none" w:sz="0" w:space="0" w:color="auto"/>
                                      </w:divBdr>
                                    </w:div>
                                    <w:div w:id="936209928">
                                      <w:marLeft w:val="225"/>
                                      <w:marRight w:val="0"/>
                                      <w:marTop w:val="150"/>
                                      <w:marBottom w:val="150"/>
                                      <w:divBdr>
                                        <w:top w:val="none" w:sz="0" w:space="0" w:color="auto"/>
                                        <w:left w:val="none" w:sz="0" w:space="0" w:color="auto"/>
                                        <w:bottom w:val="none" w:sz="0" w:space="0" w:color="auto"/>
                                        <w:right w:val="none" w:sz="0" w:space="0" w:color="auto"/>
                                      </w:divBdr>
                                    </w:div>
                                    <w:div w:id="936209929">
                                      <w:marLeft w:val="225"/>
                                      <w:marRight w:val="0"/>
                                      <w:marTop w:val="150"/>
                                      <w:marBottom w:val="150"/>
                                      <w:divBdr>
                                        <w:top w:val="none" w:sz="0" w:space="0" w:color="auto"/>
                                        <w:left w:val="none" w:sz="0" w:space="0" w:color="auto"/>
                                        <w:bottom w:val="none" w:sz="0" w:space="0" w:color="auto"/>
                                        <w:right w:val="none" w:sz="0" w:space="0" w:color="auto"/>
                                      </w:divBdr>
                                    </w:div>
                                    <w:div w:id="936209930">
                                      <w:marLeft w:val="0"/>
                                      <w:marRight w:val="0"/>
                                      <w:marTop w:val="0"/>
                                      <w:marBottom w:val="0"/>
                                      <w:divBdr>
                                        <w:top w:val="none" w:sz="0" w:space="0" w:color="auto"/>
                                        <w:left w:val="none" w:sz="0" w:space="0" w:color="auto"/>
                                        <w:bottom w:val="none" w:sz="0" w:space="0" w:color="auto"/>
                                        <w:right w:val="none" w:sz="0" w:space="0" w:color="auto"/>
                                      </w:divBdr>
                                    </w:div>
                                    <w:div w:id="936209931">
                                      <w:marLeft w:val="0"/>
                                      <w:marRight w:val="0"/>
                                      <w:marTop w:val="0"/>
                                      <w:marBottom w:val="0"/>
                                      <w:divBdr>
                                        <w:top w:val="none" w:sz="0" w:space="0" w:color="auto"/>
                                        <w:left w:val="none" w:sz="0" w:space="0" w:color="auto"/>
                                        <w:bottom w:val="none" w:sz="0" w:space="0" w:color="auto"/>
                                        <w:right w:val="none" w:sz="0" w:space="0" w:color="auto"/>
                                      </w:divBdr>
                                    </w:div>
                                    <w:div w:id="936209934">
                                      <w:marLeft w:val="0"/>
                                      <w:marRight w:val="0"/>
                                      <w:marTop w:val="0"/>
                                      <w:marBottom w:val="0"/>
                                      <w:divBdr>
                                        <w:top w:val="none" w:sz="0" w:space="0" w:color="auto"/>
                                        <w:left w:val="none" w:sz="0" w:space="0" w:color="auto"/>
                                        <w:bottom w:val="none" w:sz="0" w:space="0" w:color="auto"/>
                                        <w:right w:val="none" w:sz="0" w:space="0" w:color="auto"/>
                                      </w:divBdr>
                                    </w:div>
                                    <w:div w:id="936209939">
                                      <w:marLeft w:val="225"/>
                                      <w:marRight w:val="0"/>
                                      <w:marTop w:val="150"/>
                                      <w:marBottom w:val="150"/>
                                      <w:divBdr>
                                        <w:top w:val="none" w:sz="0" w:space="0" w:color="auto"/>
                                        <w:left w:val="none" w:sz="0" w:space="0" w:color="auto"/>
                                        <w:bottom w:val="none" w:sz="0" w:space="0" w:color="auto"/>
                                        <w:right w:val="none" w:sz="0" w:space="0" w:color="auto"/>
                                      </w:divBdr>
                                    </w:div>
                                    <w:div w:id="936209941">
                                      <w:marLeft w:val="0"/>
                                      <w:marRight w:val="0"/>
                                      <w:marTop w:val="0"/>
                                      <w:marBottom w:val="0"/>
                                      <w:divBdr>
                                        <w:top w:val="none" w:sz="0" w:space="0" w:color="auto"/>
                                        <w:left w:val="none" w:sz="0" w:space="0" w:color="auto"/>
                                        <w:bottom w:val="none" w:sz="0" w:space="0" w:color="auto"/>
                                        <w:right w:val="none" w:sz="0" w:space="0" w:color="auto"/>
                                      </w:divBdr>
                                    </w:div>
                                    <w:div w:id="936209942">
                                      <w:marLeft w:val="0"/>
                                      <w:marRight w:val="0"/>
                                      <w:marTop w:val="0"/>
                                      <w:marBottom w:val="0"/>
                                      <w:divBdr>
                                        <w:top w:val="none" w:sz="0" w:space="0" w:color="auto"/>
                                        <w:left w:val="none" w:sz="0" w:space="0" w:color="auto"/>
                                        <w:bottom w:val="none" w:sz="0" w:space="0" w:color="auto"/>
                                        <w:right w:val="none" w:sz="0" w:space="0" w:color="auto"/>
                                      </w:divBdr>
                                    </w:div>
                                    <w:div w:id="936209949">
                                      <w:marLeft w:val="225"/>
                                      <w:marRight w:val="0"/>
                                      <w:marTop w:val="150"/>
                                      <w:marBottom w:val="150"/>
                                      <w:divBdr>
                                        <w:top w:val="none" w:sz="0" w:space="0" w:color="auto"/>
                                        <w:left w:val="none" w:sz="0" w:space="0" w:color="auto"/>
                                        <w:bottom w:val="none" w:sz="0" w:space="0" w:color="auto"/>
                                        <w:right w:val="none" w:sz="0" w:space="0" w:color="auto"/>
                                      </w:divBdr>
                                    </w:div>
                                    <w:div w:id="936209953">
                                      <w:marLeft w:val="225"/>
                                      <w:marRight w:val="0"/>
                                      <w:marTop w:val="150"/>
                                      <w:marBottom w:val="150"/>
                                      <w:divBdr>
                                        <w:top w:val="none" w:sz="0" w:space="0" w:color="auto"/>
                                        <w:left w:val="none" w:sz="0" w:space="0" w:color="auto"/>
                                        <w:bottom w:val="none" w:sz="0" w:space="0" w:color="auto"/>
                                        <w:right w:val="none" w:sz="0" w:space="0" w:color="auto"/>
                                      </w:divBdr>
                                    </w:div>
                                    <w:div w:id="936209954">
                                      <w:marLeft w:val="0"/>
                                      <w:marRight w:val="0"/>
                                      <w:marTop w:val="0"/>
                                      <w:marBottom w:val="0"/>
                                      <w:divBdr>
                                        <w:top w:val="none" w:sz="0" w:space="0" w:color="auto"/>
                                        <w:left w:val="none" w:sz="0" w:space="0" w:color="auto"/>
                                        <w:bottom w:val="none" w:sz="0" w:space="0" w:color="auto"/>
                                        <w:right w:val="none" w:sz="0" w:space="0" w:color="auto"/>
                                      </w:divBdr>
                                    </w:div>
                                    <w:div w:id="936209958">
                                      <w:marLeft w:val="0"/>
                                      <w:marRight w:val="0"/>
                                      <w:marTop w:val="0"/>
                                      <w:marBottom w:val="0"/>
                                      <w:divBdr>
                                        <w:top w:val="none" w:sz="0" w:space="0" w:color="auto"/>
                                        <w:left w:val="none" w:sz="0" w:space="0" w:color="auto"/>
                                        <w:bottom w:val="none" w:sz="0" w:space="0" w:color="auto"/>
                                        <w:right w:val="none" w:sz="0" w:space="0" w:color="auto"/>
                                      </w:divBdr>
                                      <w:divsChild>
                                        <w:div w:id="936209903">
                                          <w:marLeft w:val="0"/>
                                          <w:marRight w:val="0"/>
                                          <w:marTop w:val="0"/>
                                          <w:marBottom w:val="0"/>
                                          <w:divBdr>
                                            <w:top w:val="none" w:sz="0" w:space="0" w:color="auto"/>
                                            <w:left w:val="none" w:sz="0" w:space="0" w:color="auto"/>
                                            <w:bottom w:val="none" w:sz="0" w:space="0" w:color="auto"/>
                                            <w:right w:val="none" w:sz="0" w:space="0" w:color="auto"/>
                                          </w:divBdr>
                                        </w:div>
                                        <w:div w:id="936209938">
                                          <w:marLeft w:val="0"/>
                                          <w:marRight w:val="0"/>
                                          <w:marTop w:val="0"/>
                                          <w:marBottom w:val="0"/>
                                          <w:divBdr>
                                            <w:top w:val="none" w:sz="0" w:space="0" w:color="auto"/>
                                            <w:left w:val="none" w:sz="0" w:space="0" w:color="auto"/>
                                            <w:bottom w:val="none" w:sz="0" w:space="0" w:color="auto"/>
                                            <w:right w:val="none" w:sz="0" w:space="0" w:color="auto"/>
                                          </w:divBdr>
                                        </w:div>
                                      </w:divsChild>
                                    </w:div>
                                    <w:div w:id="936209963">
                                      <w:marLeft w:val="0"/>
                                      <w:marRight w:val="0"/>
                                      <w:marTop w:val="0"/>
                                      <w:marBottom w:val="0"/>
                                      <w:divBdr>
                                        <w:top w:val="none" w:sz="0" w:space="0" w:color="auto"/>
                                        <w:left w:val="none" w:sz="0" w:space="0" w:color="auto"/>
                                        <w:bottom w:val="none" w:sz="0" w:space="0" w:color="auto"/>
                                        <w:right w:val="none" w:sz="0" w:space="0" w:color="auto"/>
                                      </w:divBdr>
                                    </w:div>
                                    <w:div w:id="936209964">
                                      <w:marLeft w:val="0"/>
                                      <w:marRight w:val="0"/>
                                      <w:marTop w:val="0"/>
                                      <w:marBottom w:val="0"/>
                                      <w:divBdr>
                                        <w:top w:val="none" w:sz="0" w:space="0" w:color="auto"/>
                                        <w:left w:val="none" w:sz="0" w:space="0" w:color="auto"/>
                                        <w:bottom w:val="none" w:sz="0" w:space="0" w:color="auto"/>
                                        <w:right w:val="none" w:sz="0" w:space="0" w:color="auto"/>
                                      </w:divBdr>
                                    </w:div>
                                    <w:div w:id="936209965">
                                      <w:marLeft w:val="225"/>
                                      <w:marRight w:val="0"/>
                                      <w:marTop w:val="150"/>
                                      <w:marBottom w:val="150"/>
                                      <w:divBdr>
                                        <w:top w:val="none" w:sz="0" w:space="0" w:color="auto"/>
                                        <w:left w:val="none" w:sz="0" w:space="0" w:color="auto"/>
                                        <w:bottom w:val="none" w:sz="0" w:space="0" w:color="auto"/>
                                        <w:right w:val="none" w:sz="0" w:space="0" w:color="auto"/>
                                      </w:divBdr>
                                    </w:div>
                                    <w:div w:id="936209966">
                                      <w:marLeft w:val="0"/>
                                      <w:marRight w:val="0"/>
                                      <w:marTop w:val="0"/>
                                      <w:marBottom w:val="0"/>
                                      <w:divBdr>
                                        <w:top w:val="none" w:sz="0" w:space="0" w:color="auto"/>
                                        <w:left w:val="none" w:sz="0" w:space="0" w:color="auto"/>
                                        <w:bottom w:val="none" w:sz="0" w:space="0" w:color="auto"/>
                                        <w:right w:val="none" w:sz="0" w:space="0" w:color="auto"/>
                                      </w:divBdr>
                                    </w:div>
                                    <w:div w:id="936209967">
                                      <w:marLeft w:val="0"/>
                                      <w:marRight w:val="0"/>
                                      <w:marTop w:val="0"/>
                                      <w:marBottom w:val="0"/>
                                      <w:divBdr>
                                        <w:top w:val="none" w:sz="0" w:space="0" w:color="auto"/>
                                        <w:left w:val="none" w:sz="0" w:space="0" w:color="auto"/>
                                        <w:bottom w:val="none" w:sz="0" w:space="0" w:color="auto"/>
                                        <w:right w:val="none" w:sz="0" w:space="0" w:color="auto"/>
                                      </w:divBdr>
                                    </w:div>
                                    <w:div w:id="936209968">
                                      <w:marLeft w:val="225"/>
                                      <w:marRight w:val="0"/>
                                      <w:marTop w:val="150"/>
                                      <w:marBottom w:val="150"/>
                                      <w:divBdr>
                                        <w:top w:val="none" w:sz="0" w:space="0" w:color="auto"/>
                                        <w:left w:val="none" w:sz="0" w:space="0" w:color="auto"/>
                                        <w:bottom w:val="none" w:sz="0" w:space="0" w:color="auto"/>
                                        <w:right w:val="none" w:sz="0" w:space="0" w:color="auto"/>
                                      </w:divBdr>
                                    </w:div>
                                    <w:div w:id="936209972">
                                      <w:marLeft w:val="225"/>
                                      <w:marRight w:val="0"/>
                                      <w:marTop w:val="150"/>
                                      <w:marBottom w:val="150"/>
                                      <w:divBdr>
                                        <w:top w:val="none" w:sz="0" w:space="0" w:color="auto"/>
                                        <w:left w:val="none" w:sz="0" w:space="0" w:color="auto"/>
                                        <w:bottom w:val="none" w:sz="0" w:space="0" w:color="auto"/>
                                        <w:right w:val="none" w:sz="0" w:space="0" w:color="auto"/>
                                      </w:divBdr>
                                    </w:div>
                                    <w:div w:id="936209976">
                                      <w:marLeft w:val="0"/>
                                      <w:marRight w:val="0"/>
                                      <w:marTop w:val="0"/>
                                      <w:marBottom w:val="0"/>
                                      <w:divBdr>
                                        <w:top w:val="none" w:sz="0" w:space="0" w:color="auto"/>
                                        <w:left w:val="none" w:sz="0" w:space="0" w:color="auto"/>
                                        <w:bottom w:val="none" w:sz="0" w:space="0" w:color="auto"/>
                                        <w:right w:val="none" w:sz="0" w:space="0" w:color="auto"/>
                                      </w:divBdr>
                                    </w:div>
                                    <w:div w:id="936209978">
                                      <w:marLeft w:val="225"/>
                                      <w:marRight w:val="0"/>
                                      <w:marTop w:val="150"/>
                                      <w:marBottom w:val="150"/>
                                      <w:divBdr>
                                        <w:top w:val="none" w:sz="0" w:space="0" w:color="auto"/>
                                        <w:left w:val="none" w:sz="0" w:space="0" w:color="auto"/>
                                        <w:bottom w:val="none" w:sz="0" w:space="0" w:color="auto"/>
                                        <w:right w:val="none" w:sz="0" w:space="0" w:color="auto"/>
                                      </w:divBdr>
                                    </w:div>
                                    <w:div w:id="936209979">
                                      <w:marLeft w:val="0"/>
                                      <w:marRight w:val="0"/>
                                      <w:marTop w:val="0"/>
                                      <w:marBottom w:val="0"/>
                                      <w:divBdr>
                                        <w:top w:val="none" w:sz="0" w:space="0" w:color="auto"/>
                                        <w:left w:val="none" w:sz="0" w:space="0" w:color="auto"/>
                                        <w:bottom w:val="none" w:sz="0" w:space="0" w:color="auto"/>
                                        <w:right w:val="none" w:sz="0" w:space="0" w:color="auto"/>
                                      </w:divBdr>
                                      <w:divsChild>
                                        <w:div w:id="936209956">
                                          <w:marLeft w:val="0"/>
                                          <w:marRight w:val="0"/>
                                          <w:marTop w:val="0"/>
                                          <w:marBottom w:val="0"/>
                                          <w:divBdr>
                                            <w:top w:val="none" w:sz="0" w:space="0" w:color="auto"/>
                                            <w:left w:val="none" w:sz="0" w:space="0" w:color="auto"/>
                                            <w:bottom w:val="none" w:sz="0" w:space="0" w:color="auto"/>
                                            <w:right w:val="none" w:sz="0" w:space="0" w:color="auto"/>
                                          </w:divBdr>
                                        </w:div>
                                      </w:divsChild>
                                    </w:div>
                                    <w:div w:id="936209980">
                                      <w:marLeft w:val="0"/>
                                      <w:marRight w:val="0"/>
                                      <w:marTop w:val="0"/>
                                      <w:marBottom w:val="0"/>
                                      <w:divBdr>
                                        <w:top w:val="none" w:sz="0" w:space="0" w:color="auto"/>
                                        <w:left w:val="none" w:sz="0" w:space="0" w:color="auto"/>
                                        <w:bottom w:val="none" w:sz="0" w:space="0" w:color="auto"/>
                                        <w:right w:val="none" w:sz="0" w:space="0" w:color="auto"/>
                                      </w:divBdr>
                                    </w:div>
                                    <w:div w:id="936209983">
                                      <w:marLeft w:val="0"/>
                                      <w:marRight w:val="0"/>
                                      <w:marTop w:val="0"/>
                                      <w:marBottom w:val="0"/>
                                      <w:divBdr>
                                        <w:top w:val="none" w:sz="0" w:space="0" w:color="auto"/>
                                        <w:left w:val="none" w:sz="0" w:space="0" w:color="auto"/>
                                        <w:bottom w:val="none" w:sz="0" w:space="0" w:color="auto"/>
                                        <w:right w:val="none" w:sz="0" w:space="0" w:color="auto"/>
                                      </w:divBdr>
                                    </w:div>
                                    <w:div w:id="93620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209984">
          <w:marLeft w:val="0"/>
          <w:marRight w:val="0"/>
          <w:marTop w:val="0"/>
          <w:marBottom w:val="0"/>
          <w:divBdr>
            <w:top w:val="none" w:sz="0" w:space="0" w:color="auto"/>
            <w:left w:val="none" w:sz="0" w:space="0" w:color="auto"/>
            <w:bottom w:val="none" w:sz="0" w:space="0" w:color="auto"/>
            <w:right w:val="none" w:sz="0" w:space="0" w:color="auto"/>
          </w:divBdr>
          <w:divsChild>
            <w:div w:id="936209871">
              <w:marLeft w:val="0"/>
              <w:marRight w:val="0"/>
              <w:marTop w:val="0"/>
              <w:marBottom w:val="0"/>
              <w:divBdr>
                <w:top w:val="none" w:sz="0" w:space="0" w:color="auto"/>
                <w:left w:val="none" w:sz="0" w:space="0" w:color="auto"/>
                <w:bottom w:val="none" w:sz="0" w:space="0" w:color="auto"/>
                <w:right w:val="none" w:sz="0" w:space="0" w:color="auto"/>
              </w:divBdr>
              <w:divsChild>
                <w:div w:id="936209959">
                  <w:marLeft w:val="0"/>
                  <w:marRight w:val="0"/>
                  <w:marTop w:val="0"/>
                  <w:marBottom w:val="0"/>
                  <w:divBdr>
                    <w:top w:val="none" w:sz="0" w:space="0" w:color="auto"/>
                    <w:left w:val="none" w:sz="0" w:space="0" w:color="auto"/>
                    <w:bottom w:val="none" w:sz="0" w:space="0" w:color="auto"/>
                    <w:right w:val="none" w:sz="0" w:space="0" w:color="auto"/>
                  </w:divBdr>
                  <w:divsChild>
                    <w:div w:id="936209933">
                      <w:marLeft w:val="0"/>
                      <w:marRight w:val="0"/>
                      <w:marTop w:val="0"/>
                      <w:marBottom w:val="0"/>
                      <w:divBdr>
                        <w:top w:val="none" w:sz="0" w:space="0" w:color="auto"/>
                        <w:left w:val="none" w:sz="0" w:space="0" w:color="auto"/>
                        <w:bottom w:val="none" w:sz="0" w:space="0" w:color="auto"/>
                        <w:right w:val="none" w:sz="0" w:space="0" w:color="auto"/>
                      </w:divBdr>
                      <w:divsChild>
                        <w:div w:id="936209971">
                          <w:marLeft w:val="0"/>
                          <w:marRight w:val="0"/>
                          <w:marTop w:val="0"/>
                          <w:marBottom w:val="0"/>
                          <w:divBdr>
                            <w:top w:val="none" w:sz="0" w:space="0" w:color="auto"/>
                            <w:left w:val="none" w:sz="0" w:space="0" w:color="auto"/>
                            <w:bottom w:val="none" w:sz="0" w:space="0" w:color="auto"/>
                            <w:right w:val="none" w:sz="0" w:space="0" w:color="auto"/>
                          </w:divBdr>
                        </w:div>
                        <w:div w:id="93620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209880">
      <w:marLeft w:val="0"/>
      <w:marRight w:val="0"/>
      <w:marTop w:val="0"/>
      <w:marBottom w:val="0"/>
      <w:divBdr>
        <w:top w:val="none" w:sz="0" w:space="0" w:color="auto"/>
        <w:left w:val="none" w:sz="0" w:space="0" w:color="auto"/>
        <w:bottom w:val="none" w:sz="0" w:space="0" w:color="auto"/>
        <w:right w:val="none" w:sz="0" w:space="0" w:color="auto"/>
      </w:divBdr>
    </w:div>
    <w:div w:id="936209883">
      <w:marLeft w:val="0"/>
      <w:marRight w:val="0"/>
      <w:marTop w:val="0"/>
      <w:marBottom w:val="0"/>
      <w:divBdr>
        <w:top w:val="none" w:sz="0" w:space="0" w:color="auto"/>
        <w:left w:val="none" w:sz="0" w:space="0" w:color="auto"/>
        <w:bottom w:val="none" w:sz="0" w:space="0" w:color="auto"/>
        <w:right w:val="none" w:sz="0" w:space="0" w:color="auto"/>
      </w:divBdr>
    </w:div>
    <w:div w:id="936209885">
      <w:marLeft w:val="0"/>
      <w:marRight w:val="0"/>
      <w:marTop w:val="0"/>
      <w:marBottom w:val="0"/>
      <w:divBdr>
        <w:top w:val="none" w:sz="0" w:space="0" w:color="auto"/>
        <w:left w:val="none" w:sz="0" w:space="0" w:color="auto"/>
        <w:bottom w:val="none" w:sz="0" w:space="0" w:color="auto"/>
        <w:right w:val="none" w:sz="0" w:space="0" w:color="auto"/>
      </w:divBdr>
    </w:div>
    <w:div w:id="936209890">
      <w:marLeft w:val="0"/>
      <w:marRight w:val="0"/>
      <w:marTop w:val="0"/>
      <w:marBottom w:val="0"/>
      <w:divBdr>
        <w:top w:val="none" w:sz="0" w:space="0" w:color="auto"/>
        <w:left w:val="none" w:sz="0" w:space="0" w:color="auto"/>
        <w:bottom w:val="none" w:sz="0" w:space="0" w:color="auto"/>
        <w:right w:val="none" w:sz="0" w:space="0" w:color="auto"/>
      </w:divBdr>
    </w:div>
    <w:div w:id="936209891">
      <w:marLeft w:val="0"/>
      <w:marRight w:val="0"/>
      <w:marTop w:val="0"/>
      <w:marBottom w:val="0"/>
      <w:divBdr>
        <w:top w:val="none" w:sz="0" w:space="0" w:color="auto"/>
        <w:left w:val="none" w:sz="0" w:space="0" w:color="auto"/>
        <w:bottom w:val="none" w:sz="0" w:space="0" w:color="auto"/>
        <w:right w:val="none" w:sz="0" w:space="0" w:color="auto"/>
      </w:divBdr>
    </w:div>
    <w:div w:id="936209892">
      <w:marLeft w:val="0"/>
      <w:marRight w:val="0"/>
      <w:marTop w:val="0"/>
      <w:marBottom w:val="0"/>
      <w:divBdr>
        <w:top w:val="none" w:sz="0" w:space="0" w:color="auto"/>
        <w:left w:val="none" w:sz="0" w:space="0" w:color="auto"/>
        <w:bottom w:val="none" w:sz="0" w:space="0" w:color="auto"/>
        <w:right w:val="none" w:sz="0" w:space="0" w:color="auto"/>
      </w:divBdr>
    </w:div>
    <w:div w:id="936209894">
      <w:marLeft w:val="0"/>
      <w:marRight w:val="0"/>
      <w:marTop w:val="0"/>
      <w:marBottom w:val="0"/>
      <w:divBdr>
        <w:top w:val="none" w:sz="0" w:space="0" w:color="auto"/>
        <w:left w:val="none" w:sz="0" w:space="0" w:color="auto"/>
        <w:bottom w:val="none" w:sz="0" w:space="0" w:color="auto"/>
        <w:right w:val="none" w:sz="0" w:space="0" w:color="auto"/>
      </w:divBdr>
    </w:div>
    <w:div w:id="936209899">
      <w:marLeft w:val="0"/>
      <w:marRight w:val="0"/>
      <w:marTop w:val="0"/>
      <w:marBottom w:val="0"/>
      <w:divBdr>
        <w:top w:val="none" w:sz="0" w:space="0" w:color="auto"/>
        <w:left w:val="none" w:sz="0" w:space="0" w:color="auto"/>
        <w:bottom w:val="none" w:sz="0" w:space="0" w:color="auto"/>
        <w:right w:val="none" w:sz="0" w:space="0" w:color="auto"/>
      </w:divBdr>
    </w:div>
    <w:div w:id="936209900">
      <w:marLeft w:val="0"/>
      <w:marRight w:val="0"/>
      <w:marTop w:val="0"/>
      <w:marBottom w:val="0"/>
      <w:divBdr>
        <w:top w:val="none" w:sz="0" w:space="0" w:color="auto"/>
        <w:left w:val="none" w:sz="0" w:space="0" w:color="auto"/>
        <w:bottom w:val="none" w:sz="0" w:space="0" w:color="auto"/>
        <w:right w:val="none" w:sz="0" w:space="0" w:color="auto"/>
      </w:divBdr>
    </w:div>
    <w:div w:id="936209901">
      <w:marLeft w:val="0"/>
      <w:marRight w:val="0"/>
      <w:marTop w:val="0"/>
      <w:marBottom w:val="0"/>
      <w:divBdr>
        <w:top w:val="none" w:sz="0" w:space="0" w:color="auto"/>
        <w:left w:val="none" w:sz="0" w:space="0" w:color="auto"/>
        <w:bottom w:val="none" w:sz="0" w:space="0" w:color="auto"/>
        <w:right w:val="none" w:sz="0" w:space="0" w:color="auto"/>
      </w:divBdr>
    </w:div>
    <w:div w:id="936209902">
      <w:marLeft w:val="0"/>
      <w:marRight w:val="0"/>
      <w:marTop w:val="0"/>
      <w:marBottom w:val="0"/>
      <w:divBdr>
        <w:top w:val="none" w:sz="0" w:space="0" w:color="auto"/>
        <w:left w:val="none" w:sz="0" w:space="0" w:color="auto"/>
        <w:bottom w:val="none" w:sz="0" w:space="0" w:color="auto"/>
        <w:right w:val="none" w:sz="0" w:space="0" w:color="auto"/>
      </w:divBdr>
    </w:div>
    <w:div w:id="936209904">
      <w:marLeft w:val="0"/>
      <w:marRight w:val="0"/>
      <w:marTop w:val="0"/>
      <w:marBottom w:val="0"/>
      <w:divBdr>
        <w:top w:val="none" w:sz="0" w:space="0" w:color="auto"/>
        <w:left w:val="none" w:sz="0" w:space="0" w:color="auto"/>
        <w:bottom w:val="none" w:sz="0" w:space="0" w:color="auto"/>
        <w:right w:val="none" w:sz="0" w:space="0" w:color="auto"/>
      </w:divBdr>
    </w:div>
    <w:div w:id="936209906">
      <w:marLeft w:val="0"/>
      <w:marRight w:val="0"/>
      <w:marTop w:val="0"/>
      <w:marBottom w:val="0"/>
      <w:divBdr>
        <w:top w:val="none" w:sz="0" w:space="0" w:color="auto"/>
        <w:left w:val="none" w:sz="0" w:space="0" w:color="auto"/>
        <w:bottom w:val="none" w:sz="0" w:space="0" w:color="auto"/>
        <w:right w:val="none" w:sz="0" w:space="0" w:color="auto"/>
      </w:divBdr>
    </w:div>
    <w:div w:id="936209912">
      <w:marLeft w:val="0"/>
      <w:marRight w:val="0"/>
      <w:marTop w:val="0"/>
      <w:marBottom w:val="0"/>
      <w:divBdr>
        <w:top w:val="none" w:sz="0" w:space="0" w:color="auto"/>
        <w:left w:val="none" w:sz="0" w:space="0" w:color="auto"/>
        <w:bottom w:val="none" w:sz="0" w:space="0" w:color="auto"/>
        <w:right w:val="none" w:sz="0" w:space="0" w:color="auto"/>
      </w:divBdr>
    </w:div>
    <w:div w:id="936209915">
      <w:marLeft w:val="0"/>
      <w:marRight w:val="0"/>
      <w:marTop w:val="0"/>
      <w:marBottom w:val="0"/>
      <w:divBdr>
        <w:top w:val="none" w:sz="0" w:space="0" w:color="auto"/>
        <w:left w:val="none" w:sz="0" w:space="0" w:color="auto"/>
        <w:bottom w:val="none" w:sz="0" w:space="0" w:color="auto"/>
        <w:right w:val="none" w:sz="0" w:space="0" w:color="auto"/>
      </w:divBdr>
    </w:div>
    <w:div w:id="936209917">
      <w:marLeft w:val="0"/>
      <w:marRight w:val="0"/>
      <w:marTop w:val="0"/>
      <w:marBottom w:val="0"/>
      <w:divBdr>
        <w:top w:val="none" w:sz="0" w:space="0" w:color="auto"/>
        <w:left w:val="none" w:sz="0" w:space="0" w:color="auto"/>
        <w:bottom w:val="none" w:sz="0" w:space="0" w:color="auto"/>
        <w:right w:val="none" w:sz="0" w:space="0" w:color="auto"/>
      </w:divBdr>
    </w:div>
    <w:div w:id="936209919">
      <w:marLeft w:val="0"/>
      <w:marRight w:val="0"/>
      <w:marTop w:val="0"/>
      <w:marBottom w:val="0"/>
      <w:divBdr>
        <w:top w:val="none" w:sz="0" w:space="0" w:color="auto"/>
        <w:left w:val="none" w:sz="0" w:space="0" w:color="auto"/>
        <w:bottom w:val="none" w:sz="0" w:space="0" w:color="auto"/>
        <w:right w:val="none" w:sz="0" w:space="0" w:color="auto"/>
      </w:divBdr>
    </w:div>
    <w:div w:id="936209922">
      <w:marLeft w:val="0"/>
      <w:marRight w:val="0"/>
      <w:marTop w:val="0"/>
      <w:marBottom w:val="0"/>
      <w:divBdr>
        <w:top w:val="none" w:sz="0" w:space="0" w:color="auto"/>
        <w:left w:val="none" w:sz="0" w:space="0" w:color="auto"/>
        <w:bottom w:val="none" w:sz="0" w:space="0" w:color="auto"/>
        <w:right w:val="none" w:sz="0" w:space="0" w:color="auto"/>
      </w:divBdr>
    </w:div>
    <w:div w:id="936209925">
      <w:marLeft w:val="0"/>
      <w:marRight w:val="0"/>
      <w:marTop w:val="0"/>
      <w:marBottom w:val="0"/>
      <w:divBdr>
        <w:top w:val="none" w:sz="0" w:space="0" w:color="auto"/>
        <w:left w:val="none" w:sz="0" w:space="0" w:color="auto"/>
        <w:bottom w:val="none" w:sz="0" w:space="0" w:color="auto"/>
        <w:right w:val="none" w:sz="0" w:space="0" w:color="auto"/>
      </w:divBdr>
    </w:div>
    <w:div w:id="936209926">
      <w:marLeft w:val="0"/>
      <w:marRight w:val="0"/>
      <w:marTop w:val="0"/>
      <w:marBottom w:val="0"/>
      <w:divBdr>
        <w:top w:val="none" w:sz="0" w:space="0" w:color="auto"/>
        <w:left w:val="none" w:sz="0" w:space="0" w:color="auto"/>
        <w:bottom w:val="none" w:sz="0" w:space="0" w:color="auto"/>
        <w:right w:val="none" w:sz="0" w:space="0" w:color="auto"/>
      </w:divBdr>
    </w:div>
    <w:div w:id="936209927">
      <w:marLeft w:val="0"/>
      <w:marRight w:val="0"/>
      <w:marTop w:val="0"/>
      <w:marBottom w:val="0"/>
      <w:divBdr>
        <w:top w:val="none" w:sz="0" w:space="0" w:color="auto"/>
        <w:left w:val="none" w:sz="0" w:space="0" w:color="auto"/>
        <w:bottom w:val="none" w:sz="0" w:space="0" w:color="auto"/>
        <w:right w:val="none" w:sz="0" w:space="0" w:color="auto"/>
      </w:divBdr>
    </w:div>
    <w:div w:id="936209932">
      <w:marLeft w:val="0"/>
      <w:marRight w:val="0"/>
      <w:marTop w:val="0"/>
      <w:marBottom w:val="0"/>
      <w:divBdr>
        <w:top w:val="none" w:sz="0" w:space="0" w:color="auto"/>
        <w:left w:val="none" w:sz="0" w:space="0" w:color="auto"/>
        <w:bottom w:val="none" w:sz="0" w:space="0" w:color="auto"/>
        <w:right w:val="none" w:sz="0" w:space="0" w:color="auto"/>
      </w:divBdr>
    </w:div>
    <w:div w:id="936209935">
      <w:marLeft w:val="0"/>
      <w:marRight w:val="0"/>
      <w:marTop w:val="0"/>
      <w:marBottom w:val="0"/>
      <w:divBdr>
        <w:top w:val="none" w:sz="0" w:space="0" w:color="auto"/>
        <w:left w:val="none" w:sz="0" w:space="0" w:color="auto"/>
        <w:bottom w:val="none" w:sz="0" w:space="0" w:color="auto"/>
        <w:right w:val="none" w:sz="0" w:space="0" w:color="auto"/>
      </w:divBdr>
    </w:div>
    <w:div w:id="936209936">
      <w:marLeft w:val="0"/>
      <w:marRight w:val="0"/>
      <w:marTop w:val="0"/>
      <w:marBottom w:val="0"/>
      <w:divBdr>
        <w:top w:val="none" w:sz="0" w:space="0" w:color="auto"/>
        <w:left w:val="none" w:sz="0" w:space="0" w:color="auto"/>
        <w:bottom w:val="none" w:sz="0" w:space="0" w:color="auto"/>
        <w:right w:val="none" w:sz="0" w:space="0" w:color="auto"/>
      </w:divBdr>
    </w:div>
    <w:div w:id="936209940">
      <w:marLeft w:val="0"/>
      <w:marRight w:val="0"/>
      <w:marTop w:val="0"/>
      <w:marBottom w:val="0"/>
      <w:divBdr>
        <w:top w:val="none" w:sz="0" w:space="0" w:color="auto"/>
        <w:left w:val="none" w:sz="0" w:space="0" w:color="auto"/>
        <w:bottom w:val="none" w:sz="0" w:space="0" w:color="auto"/>
        <w:right w:val="none" w:sz="0" w:space="0" w:color="auto"/>
      </w:divBdr>
    </w:div>
    <w:div w:id="936209944">
      <w:marLeft w:val="0"/>
      <w:marRight w:val="0"/>
      <w:marTop w:val="0"/>
      <w:marBottom w:val="0"/>
      <w:divBdr>
        <w:top w:val="none" w:sz="0" w:space="0" w:color="auto"/>
        <w:left w:val="none" w:sz="0" w:space="0" w:color="auto"/>
        <w:bottom w:val="none" w:sz="0" w:space="0" w:color="auto"/>
        <w:right w:val="none" w:sz="0" w:space="0" w:color="auto"/>
      </w:divBdr>
    </w:div>
    <w:div w:id="936209945">
      <w:marLeft w:val="0"/>
      <w:marRight w:val="0"/>
      <w:marTop w:val="0"/>
      <w:marBottom w:val="0"/>
      <w:divBdr>
        <w:top w:val="none" w:sz="0" w:space="0" w:color="auto"/>
        <w:left w:val="none" w:sz="0" w:space="0" w:color="auto"/>
        <w:bottom w:val="none" w:sz="0" w:space="0" w:color="auto"/>
        <w:right w:val="none" w:sz="0" w:space="0" w:color="auto"/>
      </w:divBdr>
    </w:div>
    <w:div w:id="936209946">
      <w:marLeft w:val="0"/>
      <w:marRight w:val="0"/>
      <w:marTop w:val="0"/>
      <w:marBottom w:val="0"/>
      <w:divBdr>
        <w:top w:val="none" w:sz="0" w:space="0" w:color="auto"/>
        <w:left w:val="none" w:sz="0" w:space="0" w:color="auto"/>
        <w:bottom w:val="none" w:sz="0" w:space="0" w:color="auto"/>
        <w:right w:val="none" w:sz="0" w:space="0" w:color="auto"/>
      </w:divBdr>
    </w:div>
    <w:div w:id="936209947">
      <w:marLeft w:val="0"/>
      <w:marRight w:val="0"/>
      <w:marTop w:val="0"/>
      <w:marBottom w:val="0"/>
      <w:divBdr>
        <w:top w:val="none" w:sz="0" w:space="0" w:color="auto"/>
        <w:left w:val="none" w:sz="0" w:space="0" w:color="auto"/>
        <w:bottom w:val="none" w:sz="0" w:space="0" w:color="auto"/>
        <w:right w:val="none" w:sz="0" w:space="0" w:color="auto"/>
      </w:divBdr>
    </w:div>
    <w:div w:id="936209948">
      <w:marLeft w:val="0"/>
      <w:marRight w:val="0"/>
      <w:marTop w:val="0"/>
      <w:marBottom w:val="0"/>
      <w:divBdr>
        <w:top w:val="none" w:sz="0" w:space="0" w:color="auto"/>
        <w:left w:val="none" w:sz="0" w:space="0" w:color="auto"/>
        <w:bottom w:val="none" w:sz="0" w:space="0" w:color="auto"/>
        <w:right w:val="none" w:sz="0" w:space="0" w:color="auto"/>
      </w:divBdr>
    </w:div>
    <w:div w:id="936209950">
      <w:marLeft w:val="0"/>
      <w:marRight w:val="0"/>
      <w:marTop w:val="0"/>
      <w:marBottom w:val="0"/>
      <w:divBdr>
        <w:top w:val="none" w:sz="0" w:space="0" w:color="auto"/>
        <w:left w:val="none" w:sz="0" w:space="0" w:color="auto"/>
        <w:bottom w:val="none" w:sz="0" w:space="0" w:color="auto"/>
        <w:right w:val="none" w:sz="0" w:space="0" w:color="auto"/>
      </w:divBdr>
    </w:div>
    <w:div w:id="936209952">
      <w:marLeft w:val="0"/>
      <w:marRight w:val="0"/>
      <w:marTop w:val="0"/>
      <w:marBottom w:val="0"/>
      <w:divBdr>
        <w:top w:val="none" w:sz="0" w:space="0" w:color="auto"/>
        <w:left w:val="none" w:sz="0" w:space="0" w:color="auto"/>
        <w:bottom w:val="none" w:sz="0" w:space="0" w:color="auto"/>
        <w:right w:val="none" w:sz="0" w:space="0" w:color="auto"/>
      </w:divBdr>
    </w:div>
    <w:div w:id="936209955">
      <w:marLeft w:val="0"/>
      <w:marRight w:val="0"/>
      <w:marTop w:val="0"/>
      <w:marBottom w:val="0"/>
      <w:divBdr>
        <w:top w:val="none" w:sz="0" w:space="0" w:color="auto"/>
        <w:left w:val="none" w:sz="0" w:space="0" w:color="auto"/>
        <w:bottom w:val="none" w:sz="0" w:space="0" w:color="auto"/>
        <w:right w:val="none" w:sz="0" w:space="0" w:color="auto"/>
      </w:divBdr>
    </w:div>
    <w:div w:id="936209961">
      <w:marLeft w:val="0"/>
      <w:marRight w:val="0"/>
      <w:marTop w:val="0"/>
      <w:marBottom w:val="0"/>
      <w:divBdr>
        <w:top w:val="none" w:sz="0" w:space="0" w:color="auto"/>
        <w:left w:val="none" w:sz="0" w:space="0" w:color="auto"/>
        <w:bottom w:val="none" w:sz="0" w:space="0" w:color="auto"/>
        <w:right w:val="none" w:sz="0" w:space="0" w:color="auto"/>
      </w:divBdr>
    </w:div>
    <w:div w:id="936209962">
      <w:marLeft w:val="0"/>
      <w:marRight w:val="0"/>
      <w:marTop w:val="0"/>
      <w:marBottom w:val="0"/>
      <w:divBdr>
        <w:top w:val="none" w:sz="0" w:space="0" w:color="auto"/>
        <w:left w:val="none" w:sz="0" w:space="0" w:color="auto"/>
        <w:bottom w:val="none" w:sz="0" w:space="0" w:color="auto"/>
        <w:right w:val="none" w:sz="0" w:space="0" w:color="auto"/>
      </w:divBdr>
    </w:div>
    <w:div w:id="936209969">
      <w:marLeft w:val="0"/>
      <w:marRight w:val="0"/>
      <w:marTop w:val="0"/>
      <w:marBottom w:val="0"/>
      <w:divBdr>
        <w:top w:val="none" w:sz="0" w:space="0" w:color="auto"/>
        <w:left w:val="none" w:sz="0" w:space="0" w:color="auto"/>
        <w:bottom w:val="none" w:sz="0" w:space="0" w:color="auto"/>
        <w:right w:val="none" w:sz="0" w:space="0" w:color="auto"/>
      </w:divBdr>
    </w:div>
    <w:div w:id="936209970">
      <w:marLeft w:val="0"/>
      <w:marRight w:val="0"/>
      <w:marTop w:val="0"/>
      <w:marBottom w:val="0"/>
      <w:divBdr>
        <w:top w:val="none" w:sz="0" w:space="0" w:color="auto"/>
        <w:left w:val="none" w:sz="0" w:space="0" w:color="auto"/>
        <w:bottom w:val="none" w:sz="0" w:space="0" w:color="auto"/>
        <w:right w:val="none" w:sz="0" w:space="0" w:color="auto"/>
      </w:divBdr>
    </w:div>
    <w:div w:id="936209973">
      <w:marLeft w:val="0"/>
      <w:marRight w:val="0"/>
      <w:marTop w:val="0"/>
      <w:marBottom w:val="0"/>
      <w:divBdr>
        <w:top w:val="none" w:sz="0" w:space="0" w:color="auto"/>
        <w:left w:val="none" w:sz="0" w:space="0" w:color="auto"/>
        <w:bottom w:val="none" w:sz="0" w:space="0" w:color="auto"/>
        <w:right w:val="none" w:sz="0" w:space="0" w:color="auto"/>
      </w:divBdr>
    </w:div>
    <w:div w:id="936209977">
      <w:marLeft w:val="0"/>
      <w:marRight w:val="0"/>
      <w:marTop w:val="0"/>
      <w:marBottom w:val="0"/>
      <w:divBdr>
        <w:top w:val="none" w:sz="0" w:space="0" w:color="auto"/>
        <w:left w:val="none" w:sz="0" w:space="0" w:color="auto"/>
        <w:bottom w:val="none" w:sz="0" w:space="0" w:color="auto"/>
        <w:right w:val="none" w:sz="0" w:space="0" w:color="auto"/>
      </w:divBdr>
    </w:div>
    <w:div w:id="936209986">
      <w:marLeft w:val="0"/>
      <w:marRight w:val="0"/>
      <w:marTop w:val="0"/>
      <w:marBottom w:val="0"/>
      <w:divBdr>
        <w:top w:val="none" w:sz="0" w:space="0" w:color="auto"/>
        <w:left w:val="none" w:sz="0" w:space="0" w:color="auto"/>
        <w:bottom w:val="none" w:sz="0" w:space="0" w:color="auto"/>
        <w:right w:val="none" w:sz="0" w:space="0" w:color="auto"/>
      </w:divBdr>
    </w:div>
    <w:div w:id="936209987">
      <w:marLeft w:val="0"/>
      <w:marRight w:val="0"/>
      <w:marTop w:val="0"/>
      <w:marBottom w:val="0"/>
      <w:divBdr>
        <w:top w:val="none" w:sz="0" w:space="0" w:color="auto"/>
        <w:left w:val="none" w:sz="0" w:space="0" w:color="auto"/>
        <w:bottom w:val="none" w:sz="0" w:space="0" w:color="auto"/>
        <w:right w:val="none" w:sz="0" w:space="0" w:color="auto"/>
      </w:divBdr>
    </w:div>
    <w:div w:id="936209988">
      <w:marLeft w:val="0"/>
      <w:marRight w:val="0"/>
      <w:marTop w:val="0"/>
      <w:marBottom w:val="0"/>
      <w:divBdr>
        <w:top w:val="none" w:sz="0" w:space="0" w:color="auto"/>
        <w:left w:val="none" w:sz="0" w:space="0" w:color="auto"/>
        <w:bottom w:val="none" w:sz="0" w:space="0" w:color="auto"/>
        <w:right w:val="none" w:sz="0" w:space="0" w:color="auto"/>
      </w:divBdr>
    </w:div>
    <w:div w:id="936209989">
      <w:marLeft w:val="0"/>
      <w:marRight w:val="0"/>
      <w:marTop w:val="0"/>
      <w:marBottom w:val="0"/>
      <w:divBdr>
        <w:top w:val="none" w:sz="0" w:space="0" w:color="auto"/>
        <w:left w:val="none" w:sz="0" w:space="0" w:color="auto"/>
        <w:bottom w:val="none" w:sz="0" w:space="0" w:color="auto"/>
        <w:right w:val="none" w:sz="0" w:space="0" w:color="auto"/>
      </w:divBdr>
    </w:div>
    <w:div w:id="936209990">
      <w:marLeft w:val="0"/>
      <w:marRight w:val="0"/>
      <w:marTop w:val="0"/>
      <w:marBottom w:val="0"/>
      <w:divBdr>
        <w:top w:val="none" w:sz="0" w:space="0" w:color="auto"/>
        <w:left w:val="none" w:sz="0" w:space="0" w:color="auto"/>
        <w:bottom w:val="none" w:sz="0" w:space="0" w:color="auto"/>
        <w:right w:val="none" w:sz="0" w:space="0" w:color="auto"/>
      </w:divBdr>
    </w:div>
    <w:div w:id="936209991">
      <w:marLeft w:val="0"/>
      <w:marRight w:val="0"/>
      <w:marTop w:val="0"/>
      <w:marBottom w:val="0"/>
      <w:divBdr>
        <w:top w:val="none" w:sz="0" w:space="0" w:color="auto"/>
        <w:left w:val="none" w:sz="0" w:space="0" w:color="auto"/>
        <w:bottom w:val="none" w:sz="0" w:space="0" w:color="auto"/>
        <w:right w:val="none" w:sz="0" w:space="0" w:color="auto"/>
      </w:divBdr>
    </w:div>
    <w:div w:id="936209992">
      <w:marLeft w:val="0"/>
      <w:marRight w:val="0"/>
      <w:marTop w:val="0"/>
      <w:marBottom w:val="0"/>
      <w:divBdr>
        <w:top w:val="none" w:sz="0" w:space="0" w:color="auto"/>
        <w:left w:val="none" w:sz="0" w:space="0" w:color="auto"/>
        <w:bottom w:val="none" w:sz="0" w:space="0" w:color="auto"/>
        <w:right w:val="none" w:sz="0" w:space="0" w:color="auto"/>
      </w:divBdr>
    </w:div>
    <w:div w:id="936209993">
      <w:marLeft w:val="0"/>
      <w:marRight w:val="0"/>
      <w:marTop w:val="0"/>
      <w:marBottom w:val="0"/>
      <w:divBdr>
        <w:top w:val="none" w:sz="0" w:space="0" w:color="auto"/>
        <w:left w:val="none" w:sz="0" w:space="0" w:color="auto"/>
        <w:bottom w:val="none" w:sz="0" w:space="0" w:color="auto"/>
        <w:right w:val="none" w:sz="0" w:space="0" w:color="auto"/>
      </w:divBdr>
    </w:div>
    <w:div w:id="936209994">
      <w:marLeft w:val="0"/>
      <w:marRight w:val="0"/>
      <w:marTop w:val="0"/>
      <w:marBottom w:val="0"/>
      <w:divBdr>
        <w:top w:val="none" w:sz="0" w:space="0" w:color="auto"/>
        <w:left w:val="none" w:sz="0" w:space="0" w:color="auto"/>
        <w:bottom w:val="none" w:sz="0" w:space="0" w:color="auto"/>
        <w:right w:val="none" w:sz="0" w:space="0" w:color="auto"/>
      </w:divBdr>
    </w:div>
    <w:div w:id="936209995">
      <w:marLeft w:val="0"/>
      <w:marRight w:val="0"/>
      <w:marTop w:val="0"/>
      <w:marBottom w:val="0"/>
      <w:divBdr>
        <w:top w:val="none" w:sz="0" w:space="0" w:color="auto"/>
        <w:left w:val="none" w:sz="0" w:space="0" w:color="auto"/>
        <w:bottom w:val="none" w:sz="0" w:space="0" w:color="auto"/>
        <w:right w:val="none" w:sz="0" w:space="0" w:color="auto"/>
      </w:divBdr>
    </w:div>
    <w:div w:id="936209996">
      <w:marLeft w:val="0"/>
      <w:marRight w:val="0"/>
      <w:marTop w:val="0"/>
      <w:marBottom w:val="0"/>
      <w:divBdr>
        <w:top w:val="none" w:sz="0" w:space="0" w:color="auto"/>
        <w:left w:val="none" w:sz="0" w:space="0" w:color="auto"/>
        <w:bottom w:val="none" w:sz="0" w:space="0" w:color="auto"/>
        <w:right w:val="none" w:sz="0" w:space="0" w:color="auto"/>
      </w:divBdr>
    </w:div>
    <w:div w:id="936209997">
      <w:marLeft w:val="0"/>
      <w:marRight w:val="0"/>
      <w:marTop w:val="0"/>
      <w:marBottom w:val="0"/>
      <w:divBdr>
        <w:top w:val="none" w:sz="0" w:space="0" w:color="auto"/>
        <w:left w:val="none" w:sz="0" w:space="0" w:color="auto"/>
        <w:bottom w:val="none" w:sz="0" w:space="0" w:color="auto"/>
        <w:right w:val="none" w:sz="0" w:space="0" w:color="auto"/>
      </w:divBdr>
    </w:div>
    <w:div w:id="936209998">
      <w:marLeft w:val="0"/>
      <w:marRight w:val="0"/>
      <w:marTop w:val="0"/>
      <w:marBottom w:val="0"/>
      <w:divBdr>
        <w:top w:val="none" w:sz="0" w:space="0" w:color="auto"/>
        <w:left w:val="none" w:sz="0" w:space="0" w:color="auto"/>
        <w:bottom w:val="none" w:sz="0" w:space="0" w:color="auto"/>
        <w:right w:val="none" w:sz="0" w:space="0" w:color="auto"/>
      </w:divBdr>
    </w:div>
    <w:div w:id="936209999">
      <w:marLeft w:val="0"/>
      <w:marRight w:val="0"/>
      <w:marTop w:val="0"/>
      <w:marBottom w:val="0"/>
      <w:divBdr>
        <w:top w:val="none" w:sz="0" w:space="0" w:color="auto"/>
        <w:left w:val="none" w:sz="0" w:space="0" w:color="auto"/>
        <w:bottom w:val="none" w:sz="0" w:space="0" w:color="auto"/>
        <w:right w:val="none" w:sz="0" w:space="0" w:color="auto"/>
      </w:divBdr>
    </w:div>
    <w:div w:id="936210000">
      <w:marLeft w:val="0"/>
      <w:marRight w:val="0"/>
      <w:marTop w:val="0"/>
      <w:marBottom w:val="0"/>
      <w:divBdr>
        <w:top w:val="none" w:sz="0" w:space="0" w:color="auto"/>
        <w:left w:val="none" w:sz="0" w:space="0" w:color="auto"/>
        <w:bottom w:val="none" w:sz="0" w:space="0" w:color="auto"/>
        <w:right w:val="none" w:sz="0" w:space="0" w:color="auto"/>
      </w:divBdr>
    </w:div>
    <w:div w:id="936210001">
      <w:marLeft w:val="0"/>
      <w:marRight w:val="0"/>
      <w:marTop w:val="0"/>
      <w:marBottom w:val="0"/>
      <w:divBdr>
        <w:top w:val="none" w:sz="0" w:space="0" w:color="auto"/>
        <w:left w:val="none" w:sz="0" w:space="0" w:color="auto"/>
        <w:bottom w:val="none" w:sz="0" w:space="0" w:color="auto"/>
        <w:right w:val="none" w:sz="0" w:space="0" w:color="auto"/>
      </w:divBdr>
    </w:div>
    <w:div w:id="936210002">
      <w:marLeft w:val="0"/>
      <w:marRight w:val="0"/>
      <w:marTop w:val="0"/>
      <w:marBottom w:val="0"/>
      <w:divBdr>
        <w:top w:val="none" w:sz="0" w:space="0" w:color="auto"/>
        <w:left w:val="none" w:sz="0" w:space="0" w:color="auto"/>
        <w:bottom w:val="none" w:sz="0" w:space="0" w:color="auto"/>
        <w:right w:val="none" w:sz="0" w:space="0" w:color="auto"/>
      </w:divBdr>
    </w:div>
    <w:div w:id="936210003">
      <w:marLeft w:val="0"/>
      <w:marRight w:val="0"/>
      <w:marTop w:val="0"/>
      <w:marBottom w:val="0"/>
      <w:divBdr>
        <w:top w:val="none" w:sz="0" w:space="0" w:color="auto"/>
        <w:left w:val="none" w:sz="0" w:space="0" w:color="auto"/>
        <w:bottom w:val="none" w:sz="0" w:space="0" w:color="auto"/>
        <w:right w:val="none" w:sz="0" w:space="0" w:color="auto"/>
      </w:divBdr>
    </w:div>
    <w:div w:id="936210004">
      <w:marLeft w:val="0"/>
      <w:marRight w:val="0"/>
      <w:marTop w:val="0"/>
      <w:marBottom w:val="0"/>
      <w:divBdr>
        <w:top w:val="none" w:sz="0" w:space="0" w:color="auto"/>
        <w:left w:val="none" w:sz="0" w:space="0" w:color="auto"/>
        <w:bottom w:val="none" w:sz="0" w:space="0" w:color="auto"/>
        <w:right w:val="none" w:sz="0" w:space="0" w:color="auto"/>
      </w:divBdr>
    </w:div>
    <w:div w:id="936210005">
      <w:marLeft w:val="0"/>
      <w:marRight w:val="0"/>
      <w:marTop w:val="0"/>
      <w:marBottom w:val="0"/>
      <w:divBdr>
        <w:top w:val="none" w:sz="0" w:space="0" w:color="auto"/>
        <w:left w:val="none" w:sz="0" w:space="0" w:color="auto"/>
        <w:bottom w:val="none" w:sz="0" w:space="0" w:color="auto"/>
        <w:right w:val="none" w:sz="0" w:space="0" w:color="auto"/>
      </w:divBdr>
    </w:div>
    <w:div w:id="936210006">
      <w:marLeft w:val="0"/>
      <w:marRight w:val="0"/>
      <w:marTop w:val="0"/>
      <w:marBottom w:val="0"/>
      <w:divBdr>
        <w:top w:val="none" w:sz="0" w:space="0" w:color="auto"/>
        <w:left w:val="none" w:sz="0" w:space="0" w:color="auto"/>
        <w:bottom w:val="none" w:sz="0" w:space="0" w:color="auto"/>
        <w:right w:val="none" w:sz="0" w:space="0" w:color="auto"/>
      </w:divBdr>
    </w:div>
    <w:div w:id="936210007">
      <w:marLeft w:val="0"/>
      <w:marRight w:val="0"/>
      <w:marTop w:val="0"/>
      <w:marBottom w:val="0"/>
      <w:divBdr>
        <w:top w:val="none" w:sz="0" w:space="0" w:color="auto"/>
        <w:left w:val="none" w:sz="0" w:space="0" w:color="auto"/>
        <w:bottom w:val="none" w:sz="0" w:space="0" w:color="auto"/>
        <w:right w:val="none" w:sz="0" w:space="0" w:color="auto"/>
      </w:divBdr>
    </w:div>
    <w:div w:id="936210008">
      <w:marLeft w:val="0"/>
      <w:marRight w:val="0"/>
      <w:marTop w:val="0"/>
      <w:marBottom w:val="0"/>
      <w:divBdr>
        <w:top w:val="none" w:sz="0" w:space="0" w:color="auto"/>
        <w:left w:val="none" w:sz="0" w:space="0" w:color="auto"/>
        <w:bottom w:val="none" w:sz="0" w:space="0" w:color="auto"/>
        <w:right w:val="none" w:sz="0" w:space="0" w:color="auto"/>
      </w:divBdr>
    </w:div>
    <w:div w:id="936210009">
      <w:marLeft w:val="0"/>
      <w:marRight w:val="0"/>
      <w:marTop w:val="0"/>
      <w:marBottom w:val="0"/>
      <w:divBdr>
        <w:top w:val="none" w:sz="0" w:space="0" w:color="auto"/>
        <w:left w:val="none" w:sz="0" w:space="0" w:color="auto"/>
        <w:bottom w:val="none" w:sz="0" w:space="0" w:color="auto"/>
        <w:right w:val="none" w:sz="0" w:space="0" w:color="auto"/>
      </w:divBdr>
    </w:div>
    <w:div w:id="936210010">
      <w:marLeft w:val="0"/>
      <w:marRight w:val="0"/>
      <w:marTop w:val="0"/>
      <w:marBottom w:val="0"/>
      <w:divBdr>
        <w:top w:val="none" w:sz="0" w:space="0" w:color="auto"/>
        <w:left w:val="none" w:sz="0" w:space="0" w:color="auto"/>
        <w:bottom w:val="none" w:sz="0" w:space="0" w:color="auto"/>
        <w:right w:val="none" w:sz="0" w:space="0" w:color="auto"/>
      </w:divBdr>
    </w:div>
    <w:div w:id="936210011">
      <w:marLeft w:val="0"/>
      <w:marRight w:val="0"/>
      <w:marTop w:val="0"/>
      <w:marBottom w:val="0"/>
      <w:divBdr>
        <w:top w:val="none" w:sz="0" w:space="0" w:color="auto"/>
        <w:left w:val="none" w:sz="0" w:space="0" w:color="auto"/>
        <w:bottom w:val="none" w:sz="0" w:space="0" w:color="auto"/>
        <w:right w:val="none" w:sz="0" w:space="0" w:color="auto"/>
      </w:divBdr>
    </w:div>
    <w:div w:id="936210012">
      <w:marLeft w:val="0"/>
      <w:marRight w:val="0"/>
      <w:marTop w:val="0"/>
      <w:marBottom w:val="0"/>
      <w:divBdr>
        <w:top w:val="none" w:sz="0" w:space="0" w:color="auto"/>
        <w:left w:val="none" w:sz="0" w:space="0" w:color="auto"/>
        <w:bottom w:val="none" w:sz="0" w:space="0" w:color="auto"/>
        <w:right w:val="none" w:sz="0" w:space="0" w:color="auto"/>
      </w:divBdr>
    </w:div>
    <w:div w:id="936210013">
      <w:marLeft w:val="0"/>
      <w:marRight w:val="0"/>
      <w:marTop w:val="0"/>
      <w:marBottom w:val="0"/>
      <w:divBdr>
        <w:top w:val="none" w:sz="0" w:space="0" w:color="auto"/>
        <w:left w:val="none" w:sz="0" w:space="0" w:color="auto"/>
        <w:bottom w:val="none" w:sz="0" w:space="0" w:color="auto"/>
        <w:right w:val="none" w:sz="0" w:space="0" w:color="auto"/>
      </w:divBdr>
    </w:div>
    <w:div w:id="936210014">
      <w:marLeft w:val="0"/>
      <w:marRight w:val="0"/>
      <w:marTop w:val="0"/>
      <w:marBottom w:val="0"/>
      <w:divBdr>
        <w:top w:val="none" w:sz="0" w:space="0" w:color="auto"/>
        <w:left w:val="none" w:sz="0" w:space="0" w:color="auto"/>
        <w:bottom w:val="none" w:sz="0" w:space="0" w:color="auto"/>
        <w:right w:val="none" w:sz="0" w:space="0" w:color="auto"/>
      </w:divBdr>
    </w:div>
    <w:div w:id="936210015">
      <w:marLeft w:val="0"/>
      <w:marRight w:val="0"/>
      <w:marTop w:val="0"/>
      <w:marBottom w:val="0"/>
      <w:divBdr>
        <w:top w:val="none" w:sz="0" w:space="0" w:color="auto"/>
        <w:left w:val="none" w:sz="0" w:space="0" w:color="auto"/>
        <w:bottom w:val="none" w:sz="0" w:space="0" w:color="auto"/>
        <w:right w:val="none" w:sz="0" w:space="0" w:color="auto"/>
      </w:divBdr>
    </w:div>
    <w:div w:id="936210016">
      <w:marLeft w:val="0"/>
      <w:marRight w:val="0"/>
      <w:marTop w:val="0"/>
      <w:marBottom w:val="0"/>
      <w:divBdr>
        <w:top w:val="none" w:sz="0" w:space="0" w:color="auto"/>
        <w:left w:val="none" w:sz="0" w:space="0" w:color="auto"/>
        <w:bottom w:val="none" w:sz="0" w:space="0" w:color="auto"/>
        <w:right w:val="none" w:sz="0" w:space="0" w:color="auto"/>
      </w:divBdr>
    </w:div>
    <w:div w:id="9362100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843</TotalTime>
  <Pages>17</Pages>
  <Words>5045</Words>
  <Characters>28761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190</cp:revision>
  <cp:lastPrinted>2022-02-16T07:45:00Z</cp:lastPrinted>
  <dcterms:created xsi:type="dcterms:W3CDTF">2021-09-24T17:30:00Z</dcterms:created>
  <dcterms:modified xsi:type="dcterms:W3CDTF">2026-07-10T04:59:00Z</dcterms:modified>
</cp:coreProperties>
</file>