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39E91" w14:textId="77777777" w:rsidR="00E95F01" w:rsidRPr="00E95F01" w:rsidRDefault="00E95F01" w:rsidP="00E95F01">
      <w:pPr>
        <w:autoSpaceDE w:val="0"/>
        <w:autoSpaceDN w:val="0"/>
        <w:adjustRightInd w:val="0"/>
        <w:spacing w:after="0" w:line="240" w:lineRule="auto"/>
        <w:rPr>
          <w:rFonts w:ascii="Arial" w:hAnsi="Arial" w:cs="Arial"/>
          <w:b/>
          <w:bCs/>
          <w:color w:val="000000"/>
          <w:kern w:val="0"/>
          <w:sz w:val="2"/>
          <w:szCs w:val="2"/>
        </w:rPr>
      </w:pPr>
    </w:p>
    <w:p w14:paraId="20E66267" w14:textId="357854D6" w:rsidR="00E95F01" w:rsidRDefault="00E95F01" w:rsidP="00E95F01">
      <w:pPr>
        <w:autoSpaceDE w:val="0"/>
        <w:autoSpaceDN w:val="0"/>
        <w:adjustRightInd w:val="0"/>
        <w:spacing w:after="0" w:line="240" w:lineRule="auto"/>
        <w:jc w:val="center"/>
        <w:rPr>
          <w:rFonts w:ascii="Times New Roman" w:hAnsi="Times New Roman" w:cs="Times New Roman"/>
          <w:b/>
          <w:bCs/>
          <w:color w:val="0D0D0D"/>
          <w:kern w:val="0"/>
        </w:rPr>
      </w:pPr>
      <w:r w:rsidRPr="00E95F01">
        <w:rPr>
          <w:rFonts w:ascii="Times New Roman" w:hAnsi="Times New Roman" w:cs="Times New Roman"/>
          <w:b/>
          <w:bCs/>
          <w:color w:val="0D0D0D"/>
          <w:kern w:val="0"/>
        </w:rPr>
        <w:t>უნიზოლინი</w:t>
      </w:r>
    </w:p>
    <w:p w14:paraId="5D241D08" w14:textId="77777777" w:rsidR="006E4A5C" w:rsidRDefault="006E4A5C" w:rsidP="00E95F01">
      <w:pPr>
        <w:autoSpaceDE w:val="0"/>
        <w:autoSpaceDN w:val="0"/>
        <w:adjustRightInd w:val="0"/>
        <w:spacing w:after="0" w:line="240" w:lineRule="auto"/>
        <w:jc w:val="center"/>
        <w:rPr>
          <w:rFonts w:ascii="Times New Roman" w:hAnsi="Times New Roman" w:cs="Times New Roman"/>
          <w:b/>
          <w:bCs/>
          <w:color w:val="0D0D0D"/>
          <w:kern w:val="0"/>
        </w:rPr>
      </w:pPr>
    </w:p>
    <w:p w14:paraId="7533E1F9" w14:textId="77777777" w:rsidR="006E4A5C" w:rsidRDefault="006E4A5C" w:rsidP="00E95F01">
      <w:pPr>
        <w:autoSpaceDE w:val="0"/>
        <w:autoSpaceDN w:val="0"/>
        <w:adjustRightInd w:val="0"/>
        <w:spacing w:after="0" w:line="240" w:lineRule="auto"/>
        <w:jc w:val="center"/>
        <w:rPr>
          <w:rFonts w:ascii="Times New Roman" w:hAnsi="Times New Roman" w:cs="Times New Roman"/>
          <w:b/>
          <w:bCs/>
          <w:color w:val="0D0D0D"/>
          <w:kern w:val="0"/>
        </w:rPr>
      </w:pPr>
    </w:p>
    <w:p w14:paraId="7E56FB5A" w14:textId="591B9D70" w:rsidR="00E95F01" w:rsidRPr="00EE776D" w:rsidRDefault="00EE776D" w:rsidP="00E95F01">
      <w:pPr>
        <w:autoSpaceDE w:val="0"/>
        <w:autoSpaceDN w:val="0"/>
        <w:adjustRightInd w:val="0"/>
        <w:spacing w:after="0" w:line="240" w:lineRule="auto"/>
        <w:rPr>
          <w:rFonts w:ascii="Sylfaen" w:hAnsi="Sylfaen" w:cs="Times New Roman"/>
          <w:b/>
          <w:bCs/>
          <w:color w:val="000000"/>
          <w:kern w:val="0"/>
          <w:lang w:val="ka-GE"/>
        </w:rPr>
      </w:pPr>
      <w:r>
        <w:rPr>
          <w:rFonts w:ascii="Sylfaen" w:hAnsi="Sylfaen" w:cs="Times New Roman"/>
          <w:b/>
          <w:bCs/>
          <w:color w:val="000000"/>
          <w:kern w:val="0"/>
          <w:lang w:val="ka-GE"/>
        </w:rPr>
        <w:t>შემადგენლობა</w:t>
      </w:r>
    </w:p>
    <w:p w14:paraId="69F5B410" w14:textId="77777777" w:rsidR="00E95F01" w:rsidRDefault="00E95F01" w:rsidP="00E95F01">
      <w:pPr>
        <w:autoSpaceDE w:val="0"/>
        <w:autoSpaceDN w:val="0"/>
        <w:adjustRightInd w:val="0"/>
        <w:spacing w:after="0" w:line="240" w:lineRule="auto"/>
        <w:rPr>
          <w:rFonts w:ascii="Times New Roman" w:hAnsi="Times New Roman" w:cs="Times New Roman"/>
          <w:color w:val="0D0D0D"/>
          <w:kern w:val="0"/>
        </w:rPr>
      </w:pPr>
      <w:r>
        <w:rPr>
          <w:rFonts w:ascii="Times New Roman" w:hAnsi="Times New Roman" w:cs="Times New Roman"/>
          <w:color w:val="0D0D0D"/>
          <w:kern w:val="0"/>
        </w:rPr>
        <w:t>თითოეული ფლაკონი შეიცავს:</w:t>
      </w:r>
    </w:p>
    <w:p w14:paraId="1209BA22" w14:textId="77777777" w:rsidR="00E95F01" w:rsidRDefault="00E95F01" w:rsidP="00E95F01">
      <w:pPr>
        <w:autoSpaceDE w:val="0"/>
        <w:autoSpaceDN w:val="0"/>
        <w:adjustRightInd w:val="0"/>
        <w:spacing w:after="0" w:line="240" w:lineRule="auto"/>
        <w:rPr>
          <w:rFonts w:ascii="Times New Roman" w:hAnsi="Times New Roman" w:cs="Times New Roman"/>
          <w:color w:val="0D0D0D"/>
          <w:kern w:val="0"/>
        </w:rPr>
      </w:pPr>
      <w:r>
        <w:rPr>
          <w:rFonts w:ascii="Times New Roman" w:hAnsi="Times New Roman" w:cs="Times New Roman"/>
          <w:color w:val="0D0D0D"/>
          <w:kern w:val="0"/>
        </w:rPr>
        <w:t>ცეფაზოლინის ნატრიუმი USP</w:t>
      </w:r>
    </w:p>
    <w:p w14:paraId="1A36688B" w14:textId="5B92FD28" w:rsidR="00E95F01" w:rsidRPr="00DE5071" w:rsidRDefault="00E95F01" w:rsidP="00E95F01">
      <w:pPr>
        <w:autoSpaceDE w:val="0"/>
        <w:autoSpaceDN w:val="0"/>
        <w:adjustRightInd w:val="0"/>
        <w:spacing w:after="0" w:line="240" w:lineRule="auto"/>
        <w:rPr>
          <w:rFonts w:ascii="Times New Roman" w:hAnsi="Times New Roman" w:cs="Times New Roman"/>
          <w:color w:val="0D0D0D"/>
          <w:kern w:val="0"/>
        </w:rPr>
      </w:pPr>
      <w:r w:rsidRPr="00DE5071">
        <w:rPr>
          <w:rFonts w:ascii="Times New Roman" w:hAnsi="Times New Roman" w:cs="Times New Roman"/>
          <w:color w:val="0D0D0D"/>
          <w:kern w:val="0"/>
        </w:rPr>
        <w:t>ცეფაზოლინის ე</w:t>
      </w:r>
      <w:r w:rsidR="00EE776D">
        <w:rPr>
          <w:rFonts w:ascii="Sylfaen" w:hAnsi="Sylfaen" w:cs="Times New Roman"/>
          <w:color w:val="0D0D0D"/>
          <w:kern w:val="0"/>
        </w:rPr>
        <w:t>ქ</w:t>
      </w:r>
      <w:r w:rsidRPr="00DE5071">
        <w:rPr>
          <w:rFonts w:ascii="Times New Roman" w:hAnsi="Times New Roman" w:cs="Times New Roman"/>
          <w:color w:val="0D0D0D"/>
          <w:kern w:val="0"/>
        </w:rPr>
        <w:t>ვივალენტი…….1 გ</w:t>
      </w:r>
    </w:p>
    <w:p w14:paraId="34556D32" w14:textId="6A65F09F"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ფარმაცევტული ფორმა:</w:t>
      </w:r>
    </w:p>
    <w:p w14:paraId="35643129" w14:textId="11229F9E" w:rsidR="004018CC" w:rsidRDefault="00E95F01" w:rsidP="00E95F01">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ფხვნილი </w:t>
      </w:r>
      <w:r w:rsidR="00EE776D">
        <w:rPr>
          <w:rFonts w:ascii="Sylfaen" w:hAnsi="Sylfaen" w:cs="Times New Roman"/>
          <w:color w:val="000000"/>
          <w:kern w:val="0"/>
        </w:rPr>
        <w:t>ი.ვ.</w:t>
      </w:r>
      <w:r>
        <w:rPr>
          <w:rFonts w:ascii="Times New Roman" w:hAnsi="Times New Roman" w:cs="Times New Roman"/>
          <w:color w:val="000000"/>
          <w:kern w:val="0"/>
        </w:rPr>
        <w:t xml:space="preserve"> და</w:t>
      </w:r>
      <w:r w:rsidR="00EE776D">
        <w:rPr>
          <w:rFonts w:ascii="Times New Roman" w:hAnsi="Times New Roman" w:cs="Times New Roman"/>
          <w:color w:val="000000"/>
          <w:kern w:val="0"/>
        </w:rPr>
        <w:t xml:space="preserve"> </w:t>
      </w:r>
      <w:r w:rsidR="00EE776D">
        <w:rPr>
          <w:rFonts w:ascii="Sylfaen" w:hAnsi="Sylfaen" w:cs="Sylfaen"/>
          <w:color w:val="000000"/>
          <w:kern w:val="0"/>
        </w:rPr>
        <w:t>ი</w:t>
      </w:r>
      <w:r w:rsidR="00EE776D">
        <w:rPr>
          <w:rFonts w:ascii="Times New Roman" w:hAnsi="Times New Roman" w:cs="Times New Roman"/>
          <w:color w:val="000000"/>
          <w:kern w:val="0"/>
        </w:rPr>
        <w:t>.</w:t>
      </w:r>
      <w:r w:rsidR="00EE776D">
        <w:rPr>
          <w:rFonts w:ascii="Sylfaen" w:hAnsi="Sylfaen" w:cs="Times New Roman"/>
          <w:color w:val="000000"/>
          <w:kern w:val="0"/>
        </w:rPr>
        <w:t>მ.</w:t>
      </w:r>
      <w:r>
        <w:rPr>
          <w:rFonts w:ascii="Times New Roman" w:hAnsi="Times New Roman" w:cs="Times New Roman"/>
          <w:color w:val="000000"/>
          <w:kern w:val="0"/>
        </w:rPr>
        <w:t xml:space="preserve"> </w:t>
      </w:r>
      <w:r w:rsidR="00EE776D">
        <w:rPr>
          <w:rFonts w:ascii="Times New Roman" w:hAnsi="Times New Roman" w:cs="Times New Roman"/>
          <w:color w:val="000000"/>
          <w:kern w:val="0"/>
        </w:rPr>
        <w:t xml:space="preserve"> </w:t>
      </w:r>
      <w:r w:rsidR="00EE776D">
        <w:rPr>
          <w:rFonts w:ascii="Sylfaen" w:hAnsi="Sylfaen" w:cs="Times New Roman"/>
          <w:color w:val="000000"/>
          <w:kern w:val="0"/>
        </w:rPr>
        <w:t xml:space="preserve">საინექციო </w:t>
      </w:r>
      <w:r>
        <w:rPr>
          <w:rFonts w:ascii="Times New Roman" w:hAnsi="Times New Roman" w:cs="Times New Roman"/>
          <w:color w:val="000000"/>
          <w:kern w:val="0"/>
        </w:rPr>
        <w:t>ხსნარის მოსამზადებლად</w:t>
      </w:r>
    </w:p>
    <w:p w14:paraId="32E03C65" w14:textId="77777777" w:rsidR="004018CC" w:rsidRPr="001D17B0" w:rsidRDefault="004018CC" w:rsidP="00E95F01">
      <w:pPr>
        <w:autoSpaceDE w:val="0"/>
        <w:autoSpaceDN w:val="0"/>
        <w:adjustRightInd w:val="0"/>
        <w:spacing w:after="0" w:line="240" w:lineRule="auto"/>
        <w:rPr>
          <w:rFonts w:ascii="Times New Roman" w:hAnsi="Times New Roman" w:cs="Times New Roman"/>
          <w:color w:val="000000"/>
          <w:kern w:val="0"/>
          <w:lang w:val="en-GB"/>
        </w:rPr>
      </w:pPr>
    </w:p>
    <w:p w14:paraId="1ECF828B" w14:textId="7DCF1B48" w:rsidR="00E95F01" w:rsidRDefault="00EE776D" w:rsidP="00E95F01">
      <w:pPr>
        <w:autoSpaceDE w:val="0"/>
        <w:autoSpaceDN w:val="0"/>
        <w:adjustRightInd w:val="0"/>
        <w:spacing w:after="0" w:line="240" w:lineRule="auto"/>
        <w:rPr>
          <w:rFonts w:ascii="Sylfaen" w:hAnsi="Sylfaen" w:cs="Times New Roman"/>
          <w:b/>
          <w:bCs/>
          <w:color w:val="000000"/>
          <w:kern w:val="0"/>
        </w:rPr>
      </w:pPr>
      <w:r>
        <w:rPr>
          <w:rFonts w:ascii="Sylfaen" w:hAnsi="Sylfaen" w:cs="Times New Roman"/>
          <w:b/>
          <w:bCs/>
          <w:color w:val="000000"/>
          <w:kern w:val="0"/>
        </w:rPr>
        <w:t xml:space="preserve">ჩვენება </w:t>
      </w:r>
    </w:p>
    <w:p w14:paraId="04DD7B88" w14:textId="77777777" w:rsidR="001D17B0" w:rsidRDefault="001D17B0" w:rsidP="00E95F01">
      <w:pPr>
        <w:autoSpaceDE w:val="0"/>
        <w:autoSpaceDN w:val="0"/>
        <w:adjustRightInd w:val="0"/>
        <w:spacing w:after="0" w:line="240" w:lineRule="auto"/>
        <w:rPr>
          <w:rFonts w:ascii="Times New Roman" w:hAnsi="Times New Roman" w:cs="Times New Roman"/>
          <w:b/>
          <w:bCs/>
          <w:color w:val="000000"/>
          <w:kern w:val="0"/>
        </w:rPr>
      </w:pPr>
    </w:p>
    <w:p w14:paraId="207F1399" w14:textId="6DCC7FCA" w:rsidR="00D97206" w:rsidRDefault="00D97206" w:rsidP="00E95F01">
      <w:pPr>
        <w:autoSpaceDE w:val="0"/>
        <w:autoSpaceDN w:val="0"/>
        <w:adjustRightInd w:val="0"/>
        <w:spacing w:after="0" w:line="240" w:lineRule="auto"/>
        <w:rPr>
          <w:rFonts w:ascii="Open Sans" w:hAnsi="Open Sans" w:cs="Open Sans"/>
          <w:color w:val="0F0F0F"/>
          <w:shd w:val="clear" w:color="auto" w:fill="FFFFFF"/>
        </w:rPr>
      </w:pPr>
      <w:r>
        <w:rPr>
          <w:rFonts w:ascii="Sylfaen" w:hAnsi="Sylfaen" w:cs="Sylfaen"/>
          <w:color w:val="0F0F0F"/>
          <w:shd w:val="clear" w:color="auto" w:fill="FFFFFF"/>
        </w:rPr>
        <w:t>სასუნთქი</w:t>
      </w:r>
      <w:r>
        <w:rPr>
          <w:rFonts w:ascii="Open Sans" w:hAnsi="Open Sans" w:cs="Open Sans"/>
          <w:color w:val="0F0F0F"/>
          <w:shd w:val="clear" w:color="auto" w:fill="FFFFFF"/>
        </w:rPr>
        <w:t xml:space="preserve"> </w:t>
      </w:r>
      <w:r>
        <w:rPr>
          <w:rFonts w:ascii="Sylfaen" w:hAnsi="Sylfaen" w:cs="Sylfaen"/>
          <w:color w:val="0F0F0F"/>
          <w:shd w:val="clear" w:color="auto" w:fill="FFFFFF"/>
        </w:rPr>
        <w:t>სისტემის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rPr>
        <w:br/>
      </w:r>
      <w:r>
        <w:rPr>
          <w:rFonts w:ascii="Sylfaen" w:hAnsi="Sylfaen" w:cs="Sylfaen"/>
          <w:color w:val="0F0F0F"/>
          <w:shd w:val="clear" w:color="auto" w:fill="FFFFFF"/>
        </w:rPr>
        <w:t>ოტორინოლარინგოლოგიური</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მათ</w:t>
      </w:r>
      <w:r>
        <w:rPr>
          <w:rFonts w:ascii="Open Sans" w:hAnsi="Open Sans" w:cs="Open Sans"/>
          <w:color w:val="0F0F0F"/>
          <w:shd w:val="clear" w:color="auto" w:fill="FFFFFF"/>
        </w:rPr>
        <w:t xml:space="preserve"> </w:t>
      </w:r>
      <w:r>
        <w:rPr>
          <w:rFonts w:ascii="Sylfaen" w:hAnsi="Sylfaen" w:cs="Sylfaen"/>
          <w:color w:val="0F0F0F"/>
          <w:shd w:val="clear" w:color="auto" w:fill="FFFFFF"/>
        </w:rPr>
        <w:t>შორის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შუა</w:t>
      </w:r>
      <w:r>
        <w:rPr>
          <w:rFonts w:ascii="Open Sans" w:hAnsi="Open Sans" w:cs="Open Sans"/>
          <w:color w:val="0F0F0F"/>
          <w:shd w:val="clear" w:color="auto" w:fill="FFFFFF"/>
        </w:rPr>
        <w:t xml:space="preserve"> </w:t>
      </w:r>
      <w:r>
        <w:rPr>
          <w:rFonts w:ascii="Sylfaen" w:hAnsi="Sylfaen" w:cs="Sylfaen"/>
          <w:color w:val="0F0F0F"/>
          <w:shd w:val="clear" w:color="auto" w:fill="FFFFFF"/>
        </w:rPr>
        <w:t>ყურის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მწვავე</w:t>
      </w:r>
      <w:r>
        <w:rPr>
          <w:rFonts w:ascii="Open Sans" w:hAnsi="Open Sans" w:cs="Open Sans"/>
          <w:color w:val="0F0F0F"/>
          <w:shd w:val="clear" w:color="auto" w:fill="FFFFFF"/>
        </w:rPr>
        <w:t xml:space="preserve"> </w:t>
      </w:r>
      <w:r>
        <w:rPr>
          <w:rFonts w:ascii="Sylfaen" w:hAnsi="Sylfaen" w:cs="Sylfaen"/>
          <w:color w:val="0F0F0F"/>
          <w:shd w:val="clear" w:color="auto" w:fill="FFFFFF"/>
        </w:rPr>
        <w:t>ანთება</w:t>
      </w:r>
      <w:r>
        <w:rPr>
          <w:rFonts w:ascii="Open Sans" w:hAnsi="Open Sans" w:cs="Open Sans"/>
          <w:color w:val="0F0F0F"/>
          <w:shd w:val="clear" w:color="auto" w:fill="FFFFFF"/>
        </w:rPr>
        <w:t xml:space="preserve">, </w:t>
      </w:r>
      <w:r>
        <w:rPr>
          <w:rFonts w:ascii="Sylfaen" w:hAnsi="Sylfaen" w:cs="Sylfaen"/>
          <w:color w:val="0F0F0F"/>
          <w:shd w:val="clear" w:color="auto" w:fill="FFFFFF"/>
        </w:rPr>
        <w:t>ტონზილიტი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კანისა</w:t>
      </w:r>
      <w:r>
        <w:rPr>
          <w:rFonts w:ascii="Open Sans" w:hAnsi="Open Sans" w:cs="Open Sans"/>
          <w:color w:val="0F0F0F"/>
          <w:shd w:val="clear" w:color="auto" w:fill="FFFFFF"/>
        </w:rPr>
        <w:t xml:space="preserve"> </w:t>
      </w:r>
      <w:r>
        <w:rPr>
          <w:rFonts w:ascii="Sylfaen" w:hAnsi="Sylfaen" w:cs="Sylfaen"/>
          <w:color w:val="0F0F0F"/>
          <w:shd w:val="clear" w:color="auto" w:fill="FFFFFF"/>
        </w:rPr>
        <w:t>და</w:t>
      </w:r>
      <w:r>
        <w:rPr>
          <w:rFonts w:ascii="Open Sans" w:hAnsi="Open Sans" w:cs="Open Sans"/>
          <w:color w:val="0F0F0F"/>
          <w:shd w:val="clear" w:color="auto" w:fill="FFFFFF"/>
        </w:rPr>
        <w:t xml:space="preserve"> </w:t>
      </w:r>
      <w:r>
        <w:rPr>
          <w:rFonts w:ascii="Sylfaen" w:hAnsi="Sylfaen" w:cs="Sylfaen"/>
          <w:color w:val="0F0F0F"/>
          <w:shd w:val="clear" w:color="auto" w:fill="FFFFFF"/>
        </w:rPr>
        <w:t>რბილი</w:t>
      </w:r>
      <w:r>
        <w:rPr>
          <w:rFonts w:ascii="Open Sans" w:hAnsi="Open Sans" w:cs="Open Sans"/>
          <w:color w:val="0F0F0F"/>
          <w:shd w:val="clear" w:color="auto" w:fill="FFFFFF"/>
        </w:rPr>
        <w:t xml:space="preserve"> </w:t>
      </w:r>
      <w:r>
        <w:rPr>
          <w:rFonts w:ascii="Sylfaen" w:hAnsi="Sylfaen" w:cs="Sylfaen"/>
          <w:color w:val="0F0F0F"/>
          <w:shd w:val="clear" w:color="auto" w:fill="FFFFFF"/>
        </w:rPr>
        <w:t>ქსოვილების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მათ</w:t>
      </w:r>
      <w:r>
        <w:rPr>
          <w:rFonts w:ascii="Open Sans" w:hAnsi="Open Sans" w:cs="Open Sans"/>
          <w:color w:val="0F0F0F"/>
          <w:shd w:val="clear" w:color="auto" w:fill="FFFFFF"/>
        </w:rPr>
        <w:t xml:space="preserve"> </w:t>
      </w:r>
      <w:r>
        <w:rPr>
          <w:rFonts w:ascii="Sylfaen" w:hAnsi="Sylfaen" w:cs="Sylfaen"/>
          <w:color w:val="0F0F0F"/>
          <w:shd w:val="clear" w:color="auto" w:fill="FFFFFF"/>
        </w:rPr>
        <w:t>შორის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დაინფიცირებული</w:t>
      </w:r>
      <w:r>
        <w:rPr>
          <w:rFonts w:ascii="Open Sans" w:hAnsi="Open Sans" w:cs="Open Sans"/>
          <w:color w:val="0F0F0F"/>
          <w:shd w:val="clear" w:color="auto" w:fill="FFFFFF"/>
        </w:rPr>
        <w:t xml:space="preserve"> </w:t>
      </w:r>
      <w:r>
        <w:rPr>
          <w:rFonts w:ascii="Sylfaen" w:hAnsi="Sylfaen" w:cs="Sylfaen"/>
          <w:color w:val="0F0F0F"/>
          <w:shd w:val="clear" w:color="auto" w:fill="FFFFFF"/>
        </w:rPr>
        <w:t>დამწვრობა</w:t>
      </w:r>
      <w:r>
        <w:rPr>
          <w:rFonts w:ascii="Open Sans" w:hAnsi="Open Sans" w:cs="Open Sans"/>
          <w:color w:val="0F0F0F"/>
          <w:shd w:val="clear" w:color="auto" w:fill="FFFFFF"/>
        </w:rPr>
        <w:t xml:space="preserve"> </w:t>
      </w:r>
      <w:r>
        <w:rPr>
          <w:rFonts w:ascii="Sylfaen" w:hAnsi="Sylfaen" w:cs="Sylfaen"/>
          <w:color w:val="0F0F0F"/>
          <w:shd w:val="clear" w:color="auto" w:fill="FFFFFF"/>
        </w:rPr>
        <w:t>და</w:t>
      </w:r>
      <w:r>
        <w:rPr>
          <w:rFonts w:ascii="Open Sans" w:hAnsi="Open Sans" w:cs="Open Sans"/>
          <w:color w:val="0F0F0F"/>
          <w:shd w:val="clear" w:color="auto" w:fill="FFFFFF"/>
        </w:rPr>
        <w:t xml:space="preserve"> </w:t>
      </w:r>
      <w:r>
        <w:rPr>
          <w:rFonts w:ascii="Sylfaen" w:hAnsi="Sylfaen" w:cs="Sylfaen"/>
          <w:color w:val="0F0F0F"/>
          <w:shd w:val="clear" w:color="auto" w:fill="FFFFFF"/>
        </w:rPr>
        <w:t>ჭრილობა</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ძვლებისა</w:t>
      </w:r>
      <w:r>
        <w:rPr>
          <w:rFonts w:ascii="Open Sans" w:hAnsi="Open Sans" w:cs="Open Sans"/>
          <w:color w:val="0F0F0F"/>
          <w:shd w:val="clear" w:color="auto" w:fill="FFFFFF"/>
        </w:rPr>
        <w:t xml:space="preserve"> </w:t>
      </w:r>
      <w:r>
        <w:rPr>
          <w:rFonts w:ascii="Sylfaen" w:hAnsi="Sylfaen" w:cs="Sylfaen"/>
          <w:color w:val="0F0F0F"/>
          <w:shd w:val="clear" w:color="auto" w:fill="FFFFFF"/>
        </w:rPr>
        <w:t>და</w:t>
      </w:r>
      <w:r>
        <w:rPr>
          <w:rFonts w:ascii="Open Sans" w:hAnsi="Open Sans" w:cs="Open Sans"/>
          <w:color w:val="0F0F0F"/>
          <w:shd w:val="clear" w:color="auto" w:fill="FFFFFF"/>
        </w:rPr>
        <w:t xml:space="preserve"> </w:t>
      </w:r>
      <w:r>
        <w:rPr>
          <w:rFonts w:ascii="Sylfaen" w:hAnsi="Sylfaen" w:cs="Sylfaen"/>
          <w:color w:val="0F0F0F"/>
          <w:shd w:val="clear" w:color="auto" w:fill="FFFFFF"/>
        </w:rPr>
        <w:t>სახსრების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ოსტეომიელიტის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ჩათვლით</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სეფსისი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მასტიტი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ბაქტერიული</w:t>
      </w:r>
      <w:r>
        <w:rPr>
          <w:rFonts w:ascii="Open Sans" w:hAnsi="Open Sans" w:cs="Open Sans"/>
          <w:color w:val="0F0F0F"/>
          <w:shd w:val="clear" w:color="auto" w:fill="FFFFFF"/>
        </w:rPr>
        <w:t xml:space="preserve"> </w:t>
      </w:r>
      <w:r>
        <w:rPr>
          <w:rFonts w:ascii="Sylfaen" w:hAnsi="Sylfaen" w:cs="Sylfaen"/>
          <w:color w:val="0F0F0F"/>
          <w:shd w:val="clear" w:color="auto" w:fill="FFFFFF"/>
        </w:rPr>
        <w:t>ენდოკარდიტი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პერიტონიტი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სანაღვლე</w:t>
      </w:r>
      <w:r>
        <w:rPr>
          <w:rFonts w:ascii="Open Sans" w:hAnsi="Open Sans" w:cs="Open Sans"/>
          <w:color w:val="0F0F0F"/>
          <w:shd w:val="clear" w:color="auto" w:fill="FFFFFF"/>
        </w:rPr>
        <w:t xml:space="preserve"> </w:t>
      </w:r>
      <w:r>
        <w:rPr>
          <w:rFonts w:ascii="Sylfaen" w:hAnsi="Sylfaen" w:cs="Sylfaen"/>
          <w:color w:val="0F0F0F"/>
          <w:shd w:val="clear" w:color="auto" w:fill="FFFFFF"/>
        </w:rPr>
        <w:t>გზების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სქესობრივი</w:t>
      </w:r>
      <w:r>
        <w:rPr>
          <w:rFonts w:ascii="Open Sans" w:hAnsi="Open Sans" w:cs="Open Sans"/>
          <w:color w:val="0F0F0F"/>
          <w:shd w:val="clear" w:color="auto" w:fill="FFFFFF"/>
        </w:rPr>
        <w:t xml:space="preserve"> </w:t>
      </w:r>
      <w:r>
        <w:rPr>
          <w:rFonts w:ascii="Sylfaen" w:hAnsi="Sylfaen" w:cs="Sylfaen"/>
          <w:color w:val="0F0F0F"/>
          <w:shd w:val="clear" w:color="auto" w:fill="FFFFFF"/>
        </w:rPr>
        <w:t>გზით</w:t>
      </w:r>
      <w:r>
        <w:rPr>
          <w:rFonts w:ascii="Open Sans" w:hAnsi="Open Sans" w:cs="Open Sans"/>
          <w:color w:val="0F0F0F"/>
          <w:shd w:val="clear" w:color="auto" w:fill="FFFFFF"/>
        </w:rPr>
        <w:t xml:space="preserve"> </w:t>
      </w:r>
      <w:r>
        <w:rPr>
          <w:rFonts w:ascii="Sylfaen" w:hAnsi="Sylfaen" w:cs="Sylfaen"/>
          <w:color w:val="0F0F0F"/>
          <w:shd w:val="clear" w:color="auto" w:fill="FFFFFF"/>
        </w:rPr>
        <w:t>გადამდები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გონორეა</w:t>
      </w:r>
      <w:r>
        <w:rPr>
          <w:rFonts w:ascii="Open Sans" w:hAnsi="Open Sans" w:cs="Open Sans"/>
          <w:color w:val="0F0F0F"/>
          <w:shd w:val="clear" w:color="auto" w:fill="FFFFFF"/>
        </w:rPr>
        <w:t xml:space="preserve">, </w:t>
      </w:r>
      <w:r>
        <w:rPr>
          <w:rFonts w:ascii="Sylfaen" w:hAnsi="Sylfaen" w:cs="Sylfaen"/>
          <w:color w:val="0F0F0F"/>
          <w:shd w:val="clear" w:color="auto" w:fill="FFFFFF"/>
        </w:rPr>
        <w:t>სიფილისი</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შარდგამომყოფი</w:t>
      </w:r>
      <w:r>
        <w:rPr>
          <w:rFonts w:ascii="Open Sans" w:hAnsi="Open Sans" w:cs="Open Sans"/>
          <w:color w:val="0F0F0F"/>
          <w:shd w:val="clear" w:color="auto" w:fill="FFFFFF"/>
        </w:rPr>
        <w:t xml:space="preserve"> </w:t>
      </w:r>
      <w:r>
        <w:rPr>
          <w:rFonts w:ascii="Sylfaen" w:hAnsi="Sylfaen" w:cs="Sylfaen"/>
          <w:color w:val="0F0F0F"/>
          <w:shd w:val="clear" w:color="auto" w:fill="FFFFFF"/>
        </w:rPr>
        <w:t>სისტემის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w:t>
      </w:r>
      <w:r>
        <w:rPr>
          <w:rFonts w:ascii="Open Sans" w:hAnsi="Open Sans" w:cs="Open Sans"/>
          <w:color w:val="0F0F0F"/>
          <w:shd w:val="clear" w:color="auto" w:fill="FFFFFF"/>
        </w:rPr>
        <w:t xml:space="preserve">, </w:t>
      </w:r>
      <w:r>
        <w:rPr>
          <w:rFonts w:ascii="Sylfaen" w:hAnsi="Sylfaen" w:cs="Sylfaen"/>
          <w:color w:val="0F0F0F"/>
          <w:shd w:val="clear" w:color="auto" w:fill="FFFFFF"/>
        </w:rPr>
        <w:t>პიელონეფრიტის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ცისტიტის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ურეთრიტის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ჩათვლით</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გინეკოლოგიური</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პროფილაქტიკა</w:t>
      </w:r>
      <w:r>
        <w:rPr>
          <w:rFonts w:ascii="Open Sans" w:hAnsi="Open Sans" w:cs="Open Sans"/>
          <w:color w:val="0F0F0F"/>
          <w:shd w:val="clear" w:color="auto" w:fill="FFFFFF"/>
        </w:rPr>
        <w:t>;</w:t>
      </w:r>
      <w:r>
        <w:rPr>
          <w:rFonts w:ascii="Open Sans" w:hAnsi="Open Sans" w:cs="Open Sans"/>
          <w:color w:val="0F0F0F"/>
        </w:rPr>
        <w:br/>
      </w:r>
      <w:r>
        <w:rPr>
          <w:rFonts w:ascii="Sylfaen" w:hAnsi="Sylfaen" w:cs="Sylfaen"/>
          <w:color w:val="0F0F0F"/>
          <w:shd w:val="clear" w:color="auto" w:fill="FFFFFF"/>
        </w:rPr>
        <w:t>ქირურგიული</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ინფექციების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პროფილაქტიკა</w:t>
      </w:r>
      <w:r>
        <w:rPr>
          <w:rFonts w:ascii="Open Sans" w:hAnsi="Open Sans" w:cs="Open Sans"/>
          <w:color w:val="0F0F0F"/>
          <w:shd w:val="clear" w:color="auto" w:fill="FFFFFF"/>
        </w:rPr>
        <w:t>.</w:t>
      </w:r>
    </w:p>
    <w:p w14:paraId="259064DE" w14:textId="77777777" w:rsidR="006E4A5C" w:rsidRDefault="006E4A5C" w:rsidP="00E95F01">
      <w:pPr>
        <w:autoSpaceDE w:val="0"/>
        <w:autoSpaceDN w:val="0"/>
        <w:adjustRightInd w:val="0"/>
        <w:spacing w:after="0" w:line="240" w:lineRule="auto"/>
        <w:rPr>
          <w:rFonts w:ascii="Times New Roman" w:hAnsi="Times New Roman" w:cs="Times New Roman"/>
          <w:b/>
          <w:bCs/>
          <w:color w:val="000000"/>
          <w:kern w:val="0"/>
        </w:rPr>
      </w:pPr>
    </w:p>
    <w:p w14:paraId="4B0C5349" w14:textId="627109C3"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დოზირება და მიღების წესი</w:t>
      </w:r>
    </w:p>
    <w:p w14:paraId="7788C96A" w14:textId="66499A38" w:rsidR="00BD3FF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საშუალო და მძიმე ინფექციები - 0.5-1 გ ინტრავენურად ყოველ 6-8 საათში</w:t>
      </w:r>
    </w:p>
    <w:p w14:paraId="6FAED112" w14:textId="403976A1"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გრამდადებითი კოკებით გამოწვეული მსუბუქი ინფექციები - 250-500 მგ ინტრავენურად ყოველ 8 საათში</w:t>
      </w:r>
    </w:p>
    <w:p w14:paraId="20979AA6"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მსუბუქი და საშუალო სიმძიმის ქოლეცისტიტი - 1-2 გ ინტრავენურად ყოველ 8 საათში ერთხელ 4-7 დღის განმავლობაში</w:t>
      </w:r>
    </w:p>
    <w:p w14:paraId="09EC1AAA" w14:textId="77777777" w:rsidR="00BD3FF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 xml:space="preserve">გაურთულებელი საშარდე გზების ინფექცია - 1 გ ინტრავენურად ყოველ 12 საათში ერთხელ. </w:t>
      </w:r>
    </w:p>
    <w:p w14:paraId="73149690" w14:textId="55A3D9EC"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ოპერაციისთვის მომზადება:</w:t>
      </w:r>
    </w:p>
    <w:p w14:paraId="77E0FE5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ინფექციის საწინააღმდეგო პროფილაქტიკა</w:t>
      </w:r>
    </w:p>
    <w:p w14:paraId="7C757818" w14:textId="30AE354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 xml:space="preserve">ოპერაციამდე: 1-2 გ ინტრავენურად/ინტრამუსკულურად </w:t>
      </w:r>
      <w:r w:rsidRPr="00E95F01">
        <w:rPr>
          <w:rFonts w:ascii="Times New Roman" w:hAnsi="Times New Roman" w:cs="Times New Roman" w:hint="eastAsia"/>
          <w:color w:val="161616"/>
          <w:kern w:val="0"/>
        </w:rPr>
        <w:t>≤</w:t>
      </w:r>
      <w:r w:rsidRPr="00E95F01">
        <w:rPr>
          <w:rFonts w:ascii="Times New Roman" w:hAnsi="Times New Roman" w:cs="Times New Roman" w:hint="eastAsia"/>
          <w:color w:val="161616"/>
          <w:kern w:val="0"/>
        </w:rPr>
        <w:t xml:space="preserve"> </w:t>
      </w:r>
      <w:r w:rsidRPr="00E95F01">
        <w:rPr>
          <w:rFonts w:ascii="Times New Roman" w:hAnsi="Times New Roman" w:cs="Times New Roman"/>
          <w:color w:val="161616"/>
          <w:kern w:val="0"/>
        </w:rPr>
        <w:t>პროცედურამდე 60 წუთით ადრე (შეიძლება განმეორდეს ოპერაციის დროს 2-5 საათის შემდეგ).</w:t>
      </w:r>
    </w:p>
    <w:p w14:paraId="5136AAE1" w14:textId="77777777" w:rsidR="00CB1BE9" w:rsidRDefault="00CB1BE9" w:rsidP="00E95F01">
      <w:pPr>
        <w:autoSpaceDE w:val="0"/>
        <w:autoSpaceDN w:val="0"/>
        <w:adjustRightInd w:val="0"/>
        <w:spacing w:after="0" w:line="240" w:lineRule="auto"/>
        <w:rPr>
          <w:rFonts w:ascii="Times New Roman" w:hAnsi="Times New Roman" w:cs="Times New Roman"/>
          <w:color w:val="161616"/>
          <w:kern w:val="0"/>
        </w:rPr>
      </w:pPr>
    </w:p>
    <w:p w14:paraId="5B8D0D28" w14:textId="77777777" w:rsidR="00CB1BE9" w:rsidRPr="00B11D95" w:rsidRDefault="00CB1BE9" w:rsidP="00CB1BE9">
      <w:pPr>
        <w:autoSpaceDE w:val="0"/>
        <w:autoSpaceDN w:val="0"/>
        <w:adjustRightInd w:val="0"/>
        <w:spacing w:after="0" w:line="240" w:lineRule="auto"/>
        <w:rPr>
          <w:rFonts w:ascii="Open Sans" w:hAnsi="Open Sans" w:cs="Open Sans"/>
          <w:b/>
          <w:bCs/>
          <w:color w:val="0F0F0F"/>
          <w:shd w:val="clear" w:color="auto" w:fill="FFFFFF"/>
        </w:rPr>
      </w:pPr>
      <w:r w:rsidRPr="00B11D95">
        <w:rPr>
          <w:rFonts w:ascii="Sylfaen" w:hAnsi="Sylfaen" w:cs="Sylfaen"/>
          <w:b/>
          <w:bCs/>
          <w:color w:val="0F0F0F"/>
          <w:shd w:val="clear" w:color="auto" w:fill="FFFFFF"/>
        </w:rPr>
        <w:t>ბავშვებში</w:t>
      </w:r>
      <w:r w:rsidRPr="00B11D95">
        <w:rPr>
          <w:rFonts w:ascii="Open Sans" w:hAnsi="Open Sans" w:cs="Open Sans"/>
          <w:b/>
          <w:bCs/>
          <w:color w:val="0F0F0F"/>
          <w:shd w:val="clear" w:color="auto" w:fill="FFFFFF"/>
        </w:rPr>
        <w:t>:</w:t>
      </w:r>
    </w:p>
    <w:p w14:paraId="5A82809E" w14:textId="4D3E969D" w:rsidR="00CB1BE9" w:rsidRDefault="00CB1BE9" w:rsidP="00CB1BE9">
      <w:pPr>
        <w:autoSpaceDE w:val="0"/>
        <w:autoSpaceDN w:val="0"/>
        <w:adjustRightInd w:val="0"/>
        <w:spacing w:after="0" w:line="240" w:lineRule="auto"/>
        <w:rPr>
          <w:rFonts w:ascii="Times New Roman" w:hAnsi="Times New Roman" w:cs="Times New Roman"/>
          <w:color w:val="161616"/>
          <w:kern w:val="0"/>
        </w:rPr>
      </w:pPr>
      <w:r>
        <w:rPr>
          <w:rFonts w:ascii="Open Sans" w:hAnsi="Open Sans" w:cs="Open Sans"/>
          <w:color w:val="0F0F0F"/>
          <w:shd w:val="clear" w:color="auto" w:fill="FFFFFF"/>
        </w:rPr>
        <w:t xml:space="preserve">1 </w:t>
      </w:r>
      <w:r>
        <w:rPr>
          <w:rFonts w:ascii="Sylfaen" w:hAnsi="Sylfaen" w:cs="Sylfaen"/>
          <w:color w:val="0F0F0F"/>
          <w:shd w:val="clear" w:color="auto" w:fill="FFFFFF"/>
        </w:rPr>
        <w:t>თვის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ასაკიდან</w:t>
      </w:r>
      <w:r>
        <w:rPr>
          <w:rFonts w:ascii="Open Sans" w:hAnsi="Open Sans" w:cs="Open Sans"/>
          <w:color w:val="0F0F0F"/>
          <w:shd w:val="clear" w:color="auto" w:fill="FFFFFF"/>
        </w:rPr>
        <w:t xml:space="preserve"> </w:t>
      </w:r>
      <w:r>
        <w:rPr>
          <w:rFonts w:ascii="Sylfaen" w:hAnsi="Sylfaen" w:cs="Sylfaen"/>
          <w:color w:val="0F0F0F"/>
          <w:shd w:val="clear" w:color="auto" w:fill="FFFFFF"/>
        </w:rPr>
        <w:t>საშუალო</w:t>
      </w:r>
      <w:r>
        <w:rPr>
          <w:rFonts w:ascii="Open Sans" w:hAnsi="Open Sans" w:cs="Open Sans"/>
          <w:color w:val="0F0F0F"/>
          <w:shd w:val="clear" w:color="auto" w:fill="FFFFFF"/>
        </w:rPr>
        <w:t xml:space="preserve"> </w:t>
      </w:r>
      <w:r>
        <w:rPr>
          <w:rFonts w:ascii="Sylfaen" w:hAnsi="Sylfaen" w:cs="Sylfaen"/>
          <w:color w:val="0F0F0F"/>
          <w:shd w:val="clear" w:color="auto" w:fill="FFFFFF"/>
        </w:rPr>
        <w:t>სადღეღამისო</w:t>
      </w:r>
      <w:r>
        <w:rPr>
          <w:rFonts w:ascii="Open Sans" w:hAnsi="Open Sans" w:cs="Open Sans"/>
          <w:color w:val="0F0F0F"/>
          <w:shd w:val="clear" w:color="auto" w:fill="FFFFFF"/>
        </w:rPr>
        <w:t xml:space="preserve"> </w:t>
      </w:r>
      <w:r>
        <w:rPr>
          <w:rFonts w:ascii="Sylfaen" w:hAnsi="Sylfaen" w:cs="Sylfaen"/>
          <w:color w:val="0F0F0F"/>
          <w:shd w:val="clear" w:color="auto" w:fill="FFFFFF"/>
        </w:rPr>
        <w:t>დოზა</w:t>
      </w:r>
      <w:r>
        <w:rPr>
          <w:rFonts w:ascii="Open Sans" w:hAnsi="Open Sans" w:cs="Open Sans"/>
          <w:color w:val="0F0F0F"/>
          <w:shd w:val="clear" w:color="auto" w:fill="FFFFFF"/>
        </w:rPr>
        <w:t xml:space="preserve"> </w:t>
      </w:r>
      <w:r>
        <w:rPr>
          <w:rFonts w:ascii="Sylfaen" w:hAnsi="Sylfaen" w:cs="Sylfaen"/>
          <w:color w:val="0F0F0F"/>
          <w:shd w:val="clear" w:color="auto" w:fill="FFFFFF"/>
        </w:rPr>
        <w:t>შეადგენს</w:t>
      </w:r>
      <w:r>
        <w:rPr>
          <w:rFonts w:ascii="Open Sans" w:hAnsi="Open Sans" w:cs="Open Sans"/>
          <w:color w:val="0F0F0F"/>
          <w:shd w:val="clear" w:color="auto" w:fill="FFFFFF"/>
        </w:rPr>
        <w:t xml:space="preserve"> 25-50 </w:t>
      </w:r>
      <w:r>
        <w:rPr>
          <w:rFonts w:ascii="Sylfaen" w:hAnsi="Sylfaen" w:cs="Sylfaen"/>
          <w:color w:val="0F0F0F"/>
          <w:shd w:val="clear" w:color="auto" w:fill="FFFFFF"/>
        </w:rPr>
        <w:t>მგ</w:t>
      </w:r>
      <w:r>
        <w:rPr>
          <w:rFonts w:ascii="Open Sans" w:hAnsi="Open Sans" w:cs="Open Sans"/>
          <w:color w:val="0F0F0F"/>
          <w:shd w:val="clear" w:color="auto" w:fill="FFFFFF"/>
        </w:rPr>
        <w:t>/</w:t>
      </w:r>
      <w:r>
        <w:rPr>
          <w:rFonts w:ascii="Sylfaen" w:hAnsi="Sylfaen" w:cs="Sylfaen"/>
          <w:color w:val="0F0F0F"/>
          <w:shd w:val="clear" w:color="auto" w:fill="FFFFFF"/>
        </w:rPr>
        <w:t>კგ</w:t>
      </w:r>
      <w:r>
        <w:rPr>
          <w:rFonts w:ascii="Open Sans" w:hAnsi="Open Sans" w:cs="Open Sans"/>
          <w:color w:val="0F0F0F"/>
          <w:shd w:val="clear" w:color="auto" w:fill="FFFFFF"/>
        </w:rPr>
        <w:t xml:space="preserve"> </w:t>
      </w:r>
      <w:r>
        <w:rPr>
          <w:rFonts w:ascii="Sylfaen" w:hAnsi="Sylfaen" w:cs="Sylfaen"/>
          <w:color w:val="0F0F0F"/>
          <w:shd w:val="clear" w:color="auto" w:fill="FFFFFF"/>
        </w:rPr>
        <w:t>სხეულის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მასაზე</w:t>
      </w:r>
      <w:r>
        <w:rPr>
          <w:rFonts w:ascii="Open Sans" w:hAnsi="Open Sans" w:cs="Open Sans"/>
          <w:color w:val="0F0F0F"/>
          <w:shd w:val="clear" w:color="auto" w:fill="FFFFFF"/>
        </w:rPr>
        <w:t xml:space="preserve"> (</w:t>
      </w:r>
      <w:r>
        <w:rPr>
          <w:rFonts w:ascii="Sylfaen" w:hAnsi="Sylfaen" w:cs="Sylfaen"/>
          <w:color w:val="0F0F0F"/>
          <w:shd w:val="clear" w:color="auto" w:fill="FFFFFF"/>
        </w:rPr>
        <w:t>მძიმედ</w:t>
      </w:r>
      <w:r>
        <w:rPr>
          <w:rFonts w:ascii="Open Sans" w:hAnsi="Open Sans" w:cs="Open Sans"/>
          <w:color w:val="0F0F0F"/>
          <w:shd w:val="clear" w:color="auto" w:fill="FFFFFF"/>
        </w:rPr>
        <w:t xml:space="preserve"> </w:t>
      </w:r>
      <w:r>
        <w:rPr>
          <w:rFonts w:ascii="Sylfaen" w:hAnsi="Sylfaen" w:cs="Sylfaen"/>
          <w:color w:val="0F0F0F"/>
          <w:shd w:val="clear" w:color="auto" w:fill="FFFFFF"/>
        </w:rPr>
        <w:t>მიმდინარე</w:t>
      </w:r>
      <w:r>
        <w:rPr>
          <w:rFonts w:ascii="Open Sans" w:hAnsi="Open Sans" w:cs="Open Sans"/>
          <w:color w:val="0F0F0F"/>
          <w:shd w:val="clear" w:color="auto" w:fill="FFFFFF"/>
        </w:rPr>
        <w:t xml:space="preserve"> </w:t>
      </w:r>
      <w:r>
        <w:rPr>
          <w:rFonts w:ascii="Sylfaen" w:hAnsi="Sylfaen" w:cs="Sylfaen"/>
          <w:color w:val="0F0F0F"/>
          <w:shd w:val="clear" w:color="auto" w:fill="FFFFFF"/>
        </w:rPr>
        <w:t>ინფექციის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შემთხვევაში</w:t>
      </w:r>
      <w:r>
        <w:rPr>
          <w:rFonts w:ascii="Open Sans" w:hAnsi="Open Sans" w:cs="Open Sans"/>
          <w:color w:val="0F0F0F"/>
          <w:shd w:val="clear" w:color="auto" w:fill="FFFFFF"/>
        </w:rPr>
        <w:t xml:space="preserve"> </w:t>
      </w:r>
      <w:r>
        <w:rPr>
          <w:rFonts w:ascii="Sylfaen" w:hAnsi="Sylfaen" w:cs="Sylfaen"/>
          <w:color w:val="0F0F0F"/>
          <w:shd w:val="clear" w:color="auto" w:fill="FFFFFF"/>
        </w:rPr>
        <w:t>დოზას</w:t>
      </w:r>
      <w:r>
        <w:rPr>
          <w:rFonts w:ascii="Open Sans" w:hAnsi="Open Sans" w:cs="Open Sans"/>
          <w:color w:val="0F0F0F"/>
          <w:shd w:val="clear" w:color="auto" w:fill="FFFFFF"/>
        </w:rPr>
        <w:t xml:space="preserve"> </w:t>
      </w:r>
      <w:r>
        <w:rPr>
          <w:rFonts w:ascii="Sylfaen" w:hAnsi="Sylfaen" w:cs="Sylfaen"/>
          <w:color w:val="0F0F0F"/>
          <w:shd w:val="clear" w:color="auto" w:fill="FFFFFF"/>
        </w:rPr>
        <w:t>ზრდიან</w:t>
      </w:r>
      <w:r>
        <w:rPr>
          <w:rFonts w:ascii="Open Sans" w:hAnsi="Open Sans" w:cs="Open Sans"/>
          <w:color w:val="0F0F0F"/>
          <w:shd w:val="clear" w:color="auto" w:fill="FFFFFF"/>
        </w:rPr>
        <w:t xml:space="preserve"> 100 </w:t>
      </w:r>
      <w:r>
        <w:rPr>
          <w:rFonts w:ascii="Sylfaen" w:hAnsi="Sylfaen" w:cs="Sylfaen"/>
          <w:color w:val="0F0F0F"/>
          <w:shd w:val="clear" w:color="auto" w:fill="FFFFFF"/>
        </w:rPr>
        <w:t>მგ</w:t>
      </w:r>
      <w:r>
        <w:rPr>
          <w:rFonts w:ascii="Open Sans" w:hAnsi="Open Sans" w:cs="Open Sans"/>
          <w:color w:val="0F0F0F"/>
          <w:shd w:val="clear" w:color="auto" w:fill="FFFFFF"/>
        </w:rPr>
        <w:t>/</w:t>
      </w:r>
      <w:r>
        <w:rPr>
          <w:rFonts w:ascii="Sylfaen" w:hAnsi="Sylfaen" w:cs="Sylfaen"/>
          <w:color w:val="0F0F0F"/>
          <w:shd w:val="clear" w:color="auto" w:fill="FFFFFF"/>
        </w:rPr>
        <w:t>კგ</w:t>
      </w:r>
      <w:r>
        <w:rPr>
          <w:rFonts w:ascii="Open Sans" w:hAnsi="Open Sans" w:cs="Open Sans"/>
          <w:color w:val="0F0F0F"/>
          <w:shd w:val="clear" w:color="auto" w:fill="FFFFFF"/>
        </w:rPr>
        <w:t>-</w:t>
      </w:r>
      <w:r>
        <w:rPr>
          <w:rFonts w:ascii="Sylfaen" w:hAnsi="Sylfaen" w:cs="Sylfaen"/>
          <w:color w:val="0F0F0F"/>
          <w:shd w:val="clear" w:color="auto" w:fill="FFFFFF"/>
        </w:rPr>
        <w:t>მდე</w:t>
      </w:r>
      <w:r>
        <w:rPr>
          <w:rFonts w:ascii="Open Sans" w:hAnsi="Open Sans" w:cs="Open Sans"/>
          <w:color w:val="0F0F0F"/>
          <w:shd w:val="clear" w:color="auto" w:fill="FFFFFF"/>
        </w:rPr>
        <w:t xml:space="preserve"> </w:t>
      </w:r>
      <w:r>
        <w:rPr>
          <w:rFonts w:ascii="Sylfaen" w:hAnsi="Sylfaen" w:cs="Sylfaen"/>
          <w:color w:val="0F0F0F"/>
          <w:shd w:val="clear" w:color="auto" w:fill="FFFFFF"/>
        </w:rPr>
        <w:t>სხეულის</w:t>
      </w:r>
      <w:r>
        <w:rPr>
          <w:rFonts w:ascii="Open Sans" w:hAnsi="Open Sans" w:cs="Open Sans"/>
          <w:color w:val="0F0F0F"/>
          <w:shd w:val="clear" w:color="auto" w:fill="FFFFFF"/>
        </w:rPr>
        <w:t xml:space="preserve"> </w:t>
      </w:r>
      <w:r>
        <w:rPr>
          <w:rFonts w:ascii="Sylfaen" w:hAnsi="Sylfaen" w:cs="Sylfaen"/>
          <w:color w:val="0F0F0F"/>
          <w:shd w:val="clear" w:color="auto" w:fill="FFFFFF"/>
        </w:rPr>
        <w:t>მასაზე</w:t>
      </w:r>
      <w:r>
        <w:rPr>
          <w:rFonts w:ascii="Open Sans" w:hAnsi="Open Sans" w:cs="Open Sans"/>
          <w:color w:val="0F0F0F"/>
          <w:shd w:val="clear" w:color="auto" w:fill="FFFFFF"/>
        </w:rPr>
        <w:t xml:space="preserve">). </w:t>
      </w:r>
      <w:r>
        <w:rPr>
          <w:rFonts w:ascii="Sylfaen" w:hAnsi="Sylfaen" w:cs="Sylfaen"/>
          <w:color w:val="0F0F0F"/>
          <w:shd w:val="clear" w:color="auto" w:fill="FFFFFF"/>
        </w:rPr>
        <w:t>პრეპარატი</w:t>
      </w:r>
      <w:r>
        <w:rPr>
          <w:rFonts w:ascii="Open Sans" w:hAnsi="Open Sans" w:cs="Open Sans"/>
          <w:color w:val="0F0F0F"/>
          <w:shd w:val="clear" w:color="auto" w:fill="FFFFFF"/>
        </w:rPr>
        <w:t xml:space="preserve"> </w:t>
      </w:r>
      <w:r>
        <w:rPr>
          <w:rFonts w:ascii="Sylfaen" w:hAnsi="Sylfaen" w:cs="Sylfaen"/>
          <w:color w:val="0F0F0F"/>
          <w:shd w:val="clear" w:color="auto" w:fill="FFFFFF"/>
        </w:rPr>
        <w:t>შეყავთ</w:t>
      </w:r>
      <w:r>
        <w:rPr>
          <w:rFonts w:ascii="Open Sans" w:hAnsi="Open Sans" w:cs="Open Sans"/>
          <w:color w:val="0F0F0F"/>
          <w:shd w:val="clear" w:color="auto" w:fill="FFFFFF"/>
        </w:rPr>
        <w:t xml:space="preserve"> 3-4-</w:t>
      </w:r>
      <w:r>
        <w:rPr>
          <w:rFonts w:ascii="Sylfaen" w:hAnsi="Sylfaen" w:cs="Sylfaen"/>
          <w:color w:val="0F0F0F"/>
          <w:shd w:val="clear" w:color="auto" w:fill="FFFFFF"/>
        </w:rPr>
        <w:t>ჯერ</w:t>
      </w:r>
      <w:r>
        <w:rPr>
          <w:rFonts w:ascii="Open Sans" w:hAnsi="Open Sans" w:cs="Open Sans"/>
          <w:color w:val="0F0F0F"/>
          <w:shd w:val="clear" w:color="auto" w:fill="FFFFFF"/>
        </w:rPr>
        <w:t xml:space="preserve"> </w:t>
      </w:r>
      <w:r>
        <w:rPr>
          <w:rFonts w:ascii="Sylfaen" w:hAnsi="Sylfaen" w:cs="Sylfaen"/>
          <w:color w:val="0F0F0F"/>
          <w:shd w:val="clear" w:color="auto" w:fill="FFFFFF"/>
        </w:rPr>
        <w:t>დღეში</w:t>
      </w:r>
      <w:r>
        <w:rPr>
          <w:rFonts w:ascii="Open Sans" w:hAnsi="Open Sans" w:cs="Open Sans"/>
          <w:color w:val="0F0F0F"/>
          <w:shd w:val="clear" w:color="auto" w:fill="FFFFFF"/>
        </w:rPr>
        <w:t xml:space="preserve"> </w:t>
      </w:r>
      <w:r>
        <w:rPr>
          <w:rFonts w:ascii="Sylfaen" w:hAnsi="Sylfaen" w:cs="Open Sans"/>
          <w:color w:val="0F0F0F"/>
          <w:shd w:val="clear" w:color="auto" w:fill="FFFFFF"/>
          <w:lang w:val="ka-GE"/>
        </w:rPr>
        <w:t xml:space="preserve">ყოველ 6 საათში </w:t>
      </w:r>
      <w:r>
        <w:rPr>
          <w:rFonts w:ascii="Sylfaen" w:hAnsi="Sylfaen" w:cs="Open Sans"/>
          <w:color w:val="0F0F0F"/>
          <w:shd w:val="clear" w:color="auto" w:fill="FFFFFF"/>
          <w:lang w:val="ka-GE"/>
        </w:rPr>
        <w:lastRenderedPageBreak/>
        <w:t>ერთხელ. 1 თვემდე ასაკის ჩვილებში  პრეპარატის გამოყენება არ არის რეკომენდებული</w:t>
      </w:r>
    </w:p>
    <w:p w14:paraId="50F03557" w14:textId="77777777" w:rsidR="00022F10" w:rsidRPr="00022F10" w:rsidRDefault="00022F10" w:rsidP="00E95F01">
      <w:pPr>
        <w:autoSpaceDE w:val="0"/>
        <w:autoSpaceDN w:val="0"/>
        <w:adjustRightInd w:val="0"/>
        <w:spacing w:after="0" w:line="240" w:lineRule="auto"/>
        <w:rPr>
          <w:rFonts w:ascii="Times New Roman" w:hAnsi="Times New Roman" w:cs="Times New Roman"/>
          <w:color w:val="161616"/>
          <w:kern w:val="0"/>
        </w:rPr>
      </w:pPr>
    </w:p>
    <w:p w14:paraId="4A3EBF33" w14:textId="77777777" w:rsidR="006E4A5C" w:rsidRDefault="006E4A5C" w:rsidP="00E95F01">
      <w:pPr>
        <w:autoSpaceDE w:val="0"/>
        <w:autoSpaceDN w:val="0"/>
        <w:adjustRightInd w:val="0"/>
        <w:spacing w:after="0" w:line="240" w:lineRule="auto"/>
        <w:rPr>
          <w:rFonts w:ascii="Times New Roman" w:hAnsi="Times New Roman" w:cs="Times New Roman"/>
          <w:b/>
          <w:bCs/>
          <w:color w:val="000000"/>
          <w:kern w:val="0"/>
        </w:rPr>
      </w:pPr>
    </w:p>
    <w:p w14:paraId="5C352549" w14:textId="5BAE56A4"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გამოყენების მეთოდი:</w:t>
      </w:r>
    </w:p>
    <w:p w14:paraId="183B0BA2" w14:textId="77777777" w:rsidR="00CB1BE9" w:rsidRPr="00CB1BE9" w:rsidRDefault="00CB1BE9" w:rsidP="00CB1BE9">
      <w:pPr>
        <w:autoSpaceDE w:val="0"/>
        <w:autoSpaceDN w:val="0"/>
        <w:adjustRightInd w:val="0"/>
        <w:spacing w:after="0" w:line="240" w:lineRule="auto"/>
        <w:rPr>
          <w:rFonts w:ascii="Sylfaen" w:hAnsi="Sylfaen" w:cs="Sylfaen"/>
          <w:color w:val="0F0F0F"/>
          <w:shd w:val="clear" w:color="auto" w:fill="FFFFFF"/>
        </w:rPr>
      </w:pPr>
      <w:r w:rsidRPr="00CB1BE9">
        <w:rPr>
          <w:rFonts w:ascii="Sylfaen" w:hAnsi="Sylfaen" w:cs="Sylfaen"/>
          <w:color w:val="0F0F0F"/>
          <w:shd w:val="clear" w:color="auto" w:fill="FFFFFF"/>
        </w:rPr>
        <w:t>ინტრამუსკულური შეყვანა:</w:t>
      </w:r>
    </w:p>
    <w:p w14:paraId="2C3A0086" w14:textId="77777777" w:rsidR="00CB1BE9" w:rsidRPr="00CB1BE9" w:rsidRDefault="00CB1BE9" w:rsidP="00CB1BE9">
      <w:pPr>
        <w:autoSpaceDE w:val="0"/>
        <w:autoSpaceDN w:val="0"/>
        <w:adjustRightInd w:val="0"/>
        <w:spacing w:after="0" w:line="240" w:lineRule="auto"/>
        <w:rPr>
          <w:rFonts w:ascii="Sylfaen" w:hAnsi="Sylfaen" w:cs="Sylfaen"/>
          <w:color w:val="0F0F0F"/>
          <w:shd w:val="clear" w:color="auto" w:fill="FFFFFF"/>
        </w:rPr>
      </w:pPr>
      <w:r w:rsidRPr="00CB1BE9">
        <w:rPr>
          <w:rFonts w:ascii="Sylfaen" w:hAnsi="Sylfaen" w:cs="Sylfaen"/>
          <w:color w:val="0F0F0F"/>
          <w:shd w:val="clear" w:color="auto" w:fill="FFFFFF"/>
        </w:rPr>
        <w:t>გახსენით ფლაკონები სტერილურ საინექციო წყალში ზემოთ მოცემული განზავების ცხრილის მიხედვით.</w:t>
      </w:r>
    </w:p>
    <w:p w14:paraId="4832D0C6" w14:textId="77777777" w:rsidR="00CB1BE9" w:rsidRPr="00CB1BE9" w:rsidRDefault="00CB1BE9" w:rsidP="00CB1BE9">
      <w:pPr>
        <w:autoSpaceDE w:val="0"/>
        <w:autoSpaceDN w:val="0"/>
        <w:adjustRightInd w:val="0"/>
        <w:spacing w:after="0" w:line="240" w:lineRule="auto"/>
        <w:rPr>
          <w:rFonts w:ascii="Sylfaen" w:hAnsi="Sylfaen" w:cs="Sylfaen"/>
          <w:color w:val="0F0F0F"/>
          <w:shd w:val="clear" w:color="auto" w:fill="FFFFFF"/>
        </w:rPr>
      </w:pPr>
      <w:r w:rsidRPr="00CB1BE9">
        <w:rPr>
          <w:rFonts w:ascii="Sylfaen" w:hAnsi="Sylfaen" w:cs="Sylfaen"/>
          <w:color w:val="0F0F0F"/>
          <w:shd w:val="clear" w:color="auto" w:fill="FFFFFF"/>
        </w:rPr>
        <w:t>კარგად შეანჯღრიეთ გახსნამდე. ცეფაზოლინი საინექციო უნდა შეიყვანოთ დიდ კუნთოვან მასაში. ცეფაზოლინი საინექციო გამოყენებისას ტკივილი ინექციის დროს იშვიათია.</w:t>
      </w:r>
    </w:p>
    <w:p w14:paraId="60800954" w14:textId="77777777" w:rsidR="00CB1BE9" w:rsidRPr="00CB1BE9" w:rsidRDefault="00CB1BE9" w:rsidP="00CB1BE9">
      <w:pPr>
        <w:autoSpaceDE w:val="0"/>
        <w:autoSpaceDN w:val="0"/>
        <w:adjustRightInd w:val="0"/>
        <w:spacing w:after="0" w:line="240" w:lineRule="auto"/>
        <w:rPr>
          <w:rFonts w:ascii="Sylfaen" w:hAnsi="Sylfaen" w:cs="Sylfaen"/>
          <w:color w:val="0F0F0F"/>
          <w:shd w:val="clear" w:color="auto" w:fill="FFFFFF"/>
        </w:rPr>
      </w:pPr>
      <w:r w:rsidRPr="00CB1BE9">
        <w:rPr>
          <w:rFonts w:ascii="Sylfaen" w:hAnsi="Sylfaen" w:cs="Sylfaen"/>
          <w:color w:val="0F0F0F"/>
          <w:shd w:val="clear" w:color="auto" w:fill="FFFFFF"/>
        </w:rPr>
        <w:t>ინტრავენური შეყვანა:</w:t>
      </w:r>
    </w:p>
    <w:p w14:paraId="53928ECA" w14:textId="77777777" w:rsidR="00CB1BE9" w:rsidRDefault="00CB1BE9" w:rsidP="00CB1BE9">
      <w:pPr>
        <w:autoSpaceDE w:val="0"/>
        <w:autoSpaceDN w:val="0"/>
        <w:adjustRightInd w:val="0"/>
        <w:spacing w:after="0" w:line="240" w:lineRule="auto"/>
        <w:rPr>
          <w:rFonts w:ascii="Sylfaen" w:hAnsi="Sylfaen" w:cs="Sylfaen"/>
          <w:color w:val="0F0F0F"/>
          <w:shd w:val="clear" w:color="auto" w:fill="FFFFFF"/>
        </w:rPr>
      </w:pPr>
      <w:r w:rsidRPr="00CB1BE9">
        <w:rPr>
          <w:rFonts w:ascii="Sylfaen" w:hAnsi="Sylfaen" w:cs="Sylfaen"/>
          <w:color w:val="0F0F0F"/>
          <w:shd w:val="clear" w:color="auto" w:fill="FFFFFF"/>
        </w:rPr>
        <w:t>პირდაპირი (ბოლუსური) ინექცია: ზემოთ მოცემული ცხრილის მიხედვით გახსნის შემდეგ, ფლაკონები კიდევ უფრო გააზავეთ დაახლოებით 5 მლ სტერილურ საინექციო წყალში. ხსნარი შეიყვანეთ ნელა 3-5 წუთის განმავლობაში, პირდაპირ ან მილის მეშვეობით, თუ პაციენტი პარენტერალურ სითხეებს იღებს. წყვეტილი ან უწყვეტი ინფუზია: გახსნილი ცეფაზოლინი გააზავეთ 50-100 მლ-ში შემდეგი ხსნარებიდან ერთ-ერთში: ნატრიუმის ქლორიდის ინექცია 5% ან 10% დექსტროზას ინექცია, 5% დექსტროზა ლაქტატირებულ რინგერის ინექციაში, 5% დექსტროზა და 0.9% ნატრიუმის ქლორიდის ინექცია, 5% დექსტროზა და 0.45% ნატრიუმის ქლორიდის ინექცია, 5% დექსტროზა და 0.2% ნატრიუმის ქლორიდის ინექცია, ინვერტული შაქარი 5% ან 10% სტერილურ საინექციო წყალში, რინგერის ინექცია 5% ნატრიუმის ბიკარბონატის ინექცია.</w:t>
      </w:r>
    </w:p>
    <w:p w14:paraId="71E22EE8" w14:textId="25E99ED9" w:rsidR="00A96D80" w:rsidRPr="00A96D80" w:rsidRDefault="00A96D80" w:rsidP="00E95F01">
      <w:pPr>
        <w:autoSpaceDE w:val="0"/>
        <w:autoSpaceDN w:val="0"/>
        <w:adjustRightInd w:val="0"/>
        <w:spacing w:after="0" w:line="240" w:lineRule="auto"/>
        <w:rPr>
          <w:rFonts w:ascii="Sylfaen" w:hAnsi="Sylfaen" w:cs="Times New Roman"/>
          <w:color w:val="161616"/>
          <w:kern w:val="0"/>
          <w:lang w:val="ka-GE"/>
        </w:rPr>
      </w:pPr>
      <w:r>
        <w:rPr>
          <w:rFonts w:ascii="Sylfaen" w:hAnsi="Sylfaen" w:cs="Open Sans"/>
          <w:color w:val="0F0F0F"/>
          <w:shd w:val="clear" w:color="auto" w:fill="FFFFFF"/>
          <w:lang w:val="ka-GE"/>
        </w:rPr>
        <w:t xml:space="preserve">. </w:t>
      </w:r>
    </w:p>
    <w:p w14:paraId="47D37EC3" w14:textId="77777777" w:rsidR="00A96D80" w:rsidRDefault="00A96D80" w:rsidP="00E95F01">
      <w:pPr>
        <w:autoSpaceDE w:val="0"/>
        <w:autoSpaceDN w:val="0"/>
        <w:adjustRightInd w:val="0"/>
        <w:spacing w:after="0" w:line="240" w:lineRule="auto"/>
        <w:rPr>
          <w:rFonts w:ascii="Times New Roman" w:hAnsi="Times New Roman" w:cs="Times New Roman"/>
          <w:color w:val="161616"/>
          <w:kern w:val="0"/>
        </w:rPr>
      </w:pPr>
    </w:p>
    <w:p w14:paraId="0FEB3C9F" w14:textId="0106B98F"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უკუჩვენება</w:t>
      </w:r>
    </w:p>
    <w:p w14:paraId="4E816299" w14:textId="3E060225"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 xml:space="preserve">ცეფაზოლინის ინექცია უკუნაჩვენებია პაციენტებში, რომლებსაც აქვთ ალერგია </w:t>
      </w:r>
    </w:p>
    <w:p w14:paraId="54B06252" w14:textId="673EB1CA" w:rsidR="00E95F01" w:rsidRPr="001B45F6" w:rsidRDefault="00E95F01" w:rsidP="00E95F01">
      <w:pPr>
        <w:autoSpaceDE w:val="0"/>
        <w:autoSpaceDN w:val="0"/>
        <w:adjustRightInd w:val="0"/>
        <w:spacing w:after="0" w:line="240" w:lineRule="auto"/>
        <w:rPr>
          <w:rFonts w:ascii="Sylfaen" w:hAnsi="Sylfaen" w:cs="Times New Roman"/>
          <w:color w:val="161616"/>
          <w:kern w:val="0"/>
        </w:rPr>
      </w:pPr>
      <w:r>
        <w:rPr>
          <w:rFonts w:ascii="Times New Roman" w:hAnsi="Times New Roman" w:cs="Times New Roman"/>
          <w:color w:val="161616"/>
          <w:kern w:val="0"/>
        </w:rPr>
        <w:t>ცეფალოსპორინის ჯგუფის ანტიბიოტიკებ</w:t>
      </w:r>
      <w:r w:rsidR="001B45F6">
        <w:rPr>
          <w:rFonts w:ascii="Sylfaen" w:hAnsi="Sylfaen" w:cs="Times New Roman"/>
          <w:color w:val="161616"/>
          <w:kern w:val="0"/>
        </w:rPr>
        <w:t>ზე</w:t>
      </w:r>
    </w:p>
    <w:p w14:paraId="0DB8BC5C" w14:textId="7A095EF7"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განსაკუთრებული გაფრთხილება და სიფრთხილის ზომები გამოყენებისას</w:t>
      </w:r>
    </w:p>
    <w:p w14:paraId="031EBD5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ამერიკის ჯანმრთელობის ასოციაციის (AHA) გაიდლაინების თანახმად, ენდოკარდიტის პროფილაქტიკა რეკომენდებულია მხოლოდ მაღალი რისკის მქონე პაციენტებისთვის.</w:t>
      </w:r>
    </w:p>
    <w:p w14:paraId="0E90644E" w14:textId="4A88CF41"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ხანგრძლივი მკურნალობა, ღვიძლის ან თირკმლის დაავადება ან კვებითი დეფიციტი შეიძლება დაკავშირებული იყოს</w:t>
      </w:r>
      <w:r w:rsidR="001B45F6">
        <w:rPr>
          <w:rFonts w:ascii="Times New Roman" w:hAnsi="Times New Roman" w:cs="Times New Roman"/>
          <w:color w:val="161616"/>
          <w:kern w:val="0"/>
        </w:rPr>
        <w:t xml:space="preserve"> </w:t>
      </w:r>
      <w:r>
        <w:rPr>
          <w:rFonts w:ascii="Times New Roman" w:hAnsi="Times New Roman" w:cs="Times New Roman"/>
          <w:color w:val="161616"/>
          <w:kern w:val="0"/>
        </w:rPr>
        <w:t>გაზრდილი საერთაშორისო ნორმალიზებული თანაფარდობით (INR).</w:t>
      </w:r>
    </w:p>
    <w:p w14:paraId="2CF1549D" w14:textId="3D28F5C5" w:rsidR="009355B8"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Sylfaen" w:hAnsi="Sylfaen" w:cs="Sylfaen"/>
          <w:color w:val="161616"/>
          <w:kern w:val="0"/>
        </w:rPr>
        <w:t>სიფრთხილით</w:t>
      </w:r>
      <w:r>
        <w:rPr>
          <w:rFonts w:ascii="Times New Roman" w:hAnsi="Times New Roman" w:cs="Times New Roman"/>
          <w:color w:val="161616"/>
          <w:kern w:val="0"/>
        </w:rPr>
        <w:t xml:space="preserve"> </w:t>
      </w:r>
      <w:r>
        <w:rPr>
          <w:rFonts w:ascii="Sylfaen" w:hAnsi="Sylfaen" w:cs="Sylfaen"/>
          <w:color w:val="161616"/>
          <w:kern w:val="0"/>
        </w:rPr>
        <w:t>გამოიყენეთ</w:t>
      </w:r>
      <w:r>
        <w:rPr>
          <w:rFonts w:ascii="Times New Roman" w:hAnsi="Times New Roman" w:cs="Times New Roman"/>
          <w:color w:val="161616"/>
          <w:kern w:val="0"/>
        </w:rPr>
        <w:t xml:space="preserve"> </w:t>
      </w:r>
      <w:r>
        <w:rPr>
          <w:rFonts w:ascii="Sylfaen" w:hAnsi="Sylfaen" w:cs="Sylfaen"/>
          <w:color w:val="161616"/>
          <w:kern w:val="0"/>
        </w:rPr>
        <w:t>კრუნჩხვითი</w:t>
      </w:r>
      <w:r>
        <w:rPr>
          <w:rFonts w:ascii="Times New Roman" w:hAnsi="Times New Roman" w:cs="Times New Roman"/>
          <w:color w:val="161616"/>
          <w:kern w:val="0"/>
        </w:rPr>
        <w:t xml:space="preserve"> </w:t>
      </w:r>
      <w:r>
        <w:rPr>
          <w:rFonts w:ascii="Sylfaen" w:hAnsi="Sylfaen" w:cs="Sylfaen"/>
          <w:color w:val="161616"/>
          <w:kern w:val="0"/>
        </w:rPr>
        <w:t>აშლილობის</w:t>
      </w:r>
      <w:r>
        <w:rPr>
          <w:rFonts w:ascii="Times New Roman" w:hAnsi="Times New Roman" w:cs="Times New Roman"/>
          <w:color w:val="161616"/>
          <w:kern w:val="0"/>
        </w:rPr>
        <w:t xml:space="preserve"> </w:t>
      </w:r>
      <w:r>
        <w:rPr>
          <w:rFonts w:ascii="Sylfaen" w:hAnsi="Sylfaen" w:cs="Sylfaen"/>
          <w:color w:val="161616"/>
          <w:kern w:val="0"/>
        </w:rPr>
        <w:t>მქონე</w:t>
      </w:r>
      <w:r>
        <w:rPr>
          <w:rFonts w:ascii="Times New Roman" w:hAnsi="Times New Roman" w:cs="Times New Roman"/>
          <w:color w:val="161616"/>
          <w:kern w:val="0"/>
        </w:rPr>
        <w:t xml:space="preserve"> </w:t>
      </w:r>
      <w:r>
        <w:rPr>
          <w:rFonts w:ascii="Sylfaen" w:hAnsi="Sylfaen" w:cs="Sylfaen"/>
          <w:color w:val="161616"/>
          <w:kern w:val="0"/>
        </w:rPr>
        <w:t>პაციენტებში</w:t>
      </w:r>
      <w:r>
        <w:rPr>
          <w:rFonts w:ascii="Times New Roman" w:hAnsi="Times New Roman" w:cs="Times New Roman"/>
          <w:color w:val="161616"/>
          <w:kern w:val="0"/>
        </w:rPr>
        <w:t xml:space="preserve"> (</w:t>
      </w:r>
      <w:r>
        <w:rPr>
          <w:rFonts w:ascii="Sylfaen" w:hAnsi="Sylfaen" w:cs="Sylfaen"/>
          <w:color w:val="161616"/>
          <w:kern w:val="0"/>
        </w:rPr>
        <w:t>მაღალი</w:t>
      </w:r>
      <w:r>
        <w:rPr>
          <w:rFonts w:ascii="Times New Roman" w:hAnsi="Times New Roman" w:cs="Times New Roman"/>
          <w:color w:val="161616"/>
          <w:kern w:val="0"/>
        </w:rPr>
        <w:t xml:space="preserve"> </w:t>
      </w:r>
      <w:r>
        <w:rPr>
          <w:rFonts w:ascii="Sylfaen" w:hAnsi="Sylfaen" w:cs="Sylfaen"/>
          <w:color w:val="161616"/>
          <w:kern w:val="0"/>
        </w:rPr>
        <w:t>დონეები</w:t>
      </w:r>
      <w:r>
        <w:rPr>
          <w:rFonts w:ascii="Times New Roman" w:hAnsi="Times New Roman" w:cs="Times New Roman"/>
          <w:color w:val="161616"/>
          <w:kern w:val="0"/>
        </w:rPr>
        <w:t xml:space="preserve"> </w:t>
      </w:r>
      <w:r>
        <w:rPr>
          <w:rFonts w:ascii="Sylfaen" w:hAnsi="Sylfaen" w:cs="Sylfaen"/>
          <w:color w:val="161616"/>
          <w:kern w:val="0"/>
        </w:rPr>
        <w:t>დაკავშირებულია</w:t>
      </w:r>
      <w:r>
        <w:rPr>
          <w:rFonts w:ascii="Times New Roman" w:hAnsi="Times New Roman" w:cs="Times New Roman"/>
          <w:color w:val="161616"/>
          <w:kern w:val="0"/>
        </w:rPr>
        <w:t xml:space="preserve"> </w:t>
      </w:r>
      <w:r w:rsidR="009355B8">
        <w:rPr>
          <w:rFonts w:ascii="Sylfaen" w:hAnsi="Sylfaen" w:cs="Sylfaen"/>
          <w:color w:val="161616"/>
          <w:kern w:val="0"/>
        </w:rPr>
        <w:t>კრუნჩხვების</w:t>
      </w:r>
      <w:r w:rsidR="009355B8">
        <w:rPr>
          <w:rFonts w:ascii="Times New Roman" w:hAnsi="Times New Roman" w:cs="Times New Roman"/>
          <w:color w:val="161616"/>
          <w:kern w:val="0"/>
        </w:rPr>
        <w:t xml:space="preserve"> </w:t>
      </w:r>
      <w:r w:rsidR="009355B8">
        <w:rPr>
          <w:rFonts w:ascii="Sylfaen" w:hAnsi="Sylfaen" w:cs="Sylfaen"/>
          <w:color w:val="161616"/>
          <w:kern w:val="0"/>
        </w:rPr>
        <w:t xml:space="preserve">რისკის </w:t>
      </w:r>
      <w:r>
        <w:rPr>
          <w:rFonts w:ascii="Sylfaen" w:hAnsi="Sylfaen" w:cs="Sylfaen"/>
          <w:color w:val="161616"/>
          <w:kern w:val="0"/>
        </w:rPr>
        <w:t>მატებასთან</w:t>
      </w:r>
      <w:r>
        <w:rPr>
          <w:rFonts w:ascii="Times New Roman" w:hAnsi="Times New Roman" w:cs="Times New Roman"/>
          <w:color w:val="161616"/>
          <w:kern w:val="0"/>
        </w:rPr>
        <w:t>)</w:t>
      </w:r>
      <w:r w:rsidR="009355B8">
        <w:rPr>
          <w:rFonts w:ascii="Times New Roman" w:hAnsi="Times New Roman" w:cs="Times New Roman"/>
          <w:color w:val="161616"/>
          <w:kern w:val="0"/>
        </w:rPr>
        <w:t xml:space="preserve"> </w:t>
      </w:r>
      <w:r>
        <w:rPr>
          <w:rFonts w:ascii="Sylfaen" w:hAnsi="Sylfaen" w:cs="Sylfaen"/>
          <w:color w:val="161616"/>
          <w:kern w:val="0"/>
        </w:rPr>
        <w:t>შეიძლება</w:t>
      </w:r>
      <w:r>
        <w:rPr>
          <w:rFonts w:ascii="Times New Roman" w:hAnsi="Times New Roman" w:cs="Times New Roman"/>
          <w:color w:val="161616"/>
          <w:kern w:val="0"/>
        </w:rPr>
        <w:t xml:space="preserve"> </w:t>
      </w:r>
      <w:r>
        <w:rPr>
          <w:rFonts w:ascii="Sylfaen" w:hAnsi="Sylfaen" w:cs="Sylfaen"/>
          <w:color w:val="161616"/>
          <w:kern w:val="0"/>
        </w:rPr>
        <w:t>განვითარდეს</w:t>
      </w:r>
      <w:r>
        <w:rPr>
          <w:rFonts w:ascii="Times New Roman" w:hAnsi="Times New Roman" w:cs="Times New Roman"/>
          <w:color w:val="161616"/>
          <w:kern w:val="0"/>
        </w:rPr>
        <w:t xml:space="preserve"> </w:t>
      </w:r>
      <w:r>
        <w:rPr>
          <w:rFonts w:ascii="Sylfaen" w:hAnsi="Sylfaen" w:cs="Sylfaen"/>
          <w:color w:val="161616"/>
          <w:kern w:val="0"/>
        </w:rPr>
        <w:t>კრუნჩხვები</w:t>
      </w:r>
      <w:r>
        <w:rPr>
          <w:rFonts w:ascii="Times New Roman" w:hAnsi="Times New Roman" w:cs="Times New Roman"/>
          <w:color w:val="161616"/>
          <w:kern w:val="0"/>
        </w:rPr>
        <w:t xml:space="preserve">, </w:t>
      </w:r>
      <w:r>
        <w:rPr>
          <w:rFonts w:ascii="Sylfaen" w:hAnsi="Sylfaen" w:cs="Sylfaen"/>
          <w:color w:val="161616"/>
          <w:kern w:val="0"/>
        </w:rPr>
        <w:t>განსაკუთრებით</w:t>
      </w:r>
      <w:r>
        <w:rPr>
          <w:rFonts w:ascii="Times New Roman" w:hAnsi="Times New Roman" w:cs="Times New Roman"/>
          <w:color w:val="161616"/>
          <w:kern w:val="0"/>
        </w:rPr>
        <w:t xml:space="preserve"> </w:t>
      </w:r>
      <w:r>
        <w:rPr>
          <w:rFonts w:ascii="Sylfaen" w:hAnsi="Sylfaen" w:cs="Sylfaen"/>
          <w:color w:val="161616"/>
          <w:kern w:val="0"/>
        </w:rPr>
        <w:t>თირკმლის</w:t>
      </w:r>
      <w:r>
        <w:rPr>
          <w:rFonts w:ascii="Times New Roman" w:hAnsi="Times New Roman" w:cs="Times New Roman"/>
          <w:color w:val="161616"/>
          <w:kern w:val="0"/>
        </w:rPr>
        <w:t xml:space="preserve"> </w:t>
      </w:r>
      <w:r>
        <w:rPr>
          <w:rFonts w:ascii="Sylfaen" w:hAnsi="Sylfaen" w:cs="Sylfaen"/>
          <w:color w:val="161616"/>
          <w:kern w:val="0"/>
        </w:rPr>
        <w:t>უკმარისობის</w:t>
      </w:r>
      <w:r>
        <w:rPr>
          <w:rFonts w:ascii="Times New Roman" w:hAnsi="Times New Roman" w:cs="Times New Roman"/>
          <w:color w:val="161616"/>
          <w:kern w:val="0"/>
        </w:rPr>
        <w:t xml:space="preserve"> </w:t>
      </w:r>
      <w:r>
        <w:rPr>
          <w:rFonts w:ascii="Sylfaen" w:hAnsi="Sylfaen" w:cs="Sylfaen"/>
          <w:color w:val="161616"/>
          <w:kern w:val="0"/>
        </w:rPr>
        <w:t>მქონე</w:t>
      </w:r>
      <w:r>
        <w:rPr>
          <w:rFonts w:ascii="Times New Roman" w:hAnsi="Times New Roman" w:cs="Times New Roman"/>
          <w:color w:val="161616"/>
          <w:kern w:val="0"/>
        </w:rPr>
        <w:t xml:space="preserve"> </w:t>
      </w:r>
      <w:r>
        <w:rPr>
          <w:rFonts w:ascii="Sylfaen" w:hAnsi="Sylfaen" w:cs="Sylfaen"/>
          <w:color w:val="161616"/>
          <w:kern w:val="0"/>
        </w:rPr>
        <w:t>პაციენტებში</w:t>
      </w:r>
      <w:r>
        <w:rPr>
          <w:rFonts w:ascii="Times New Roman" w:hAnsi="Times New Roman" w:cs="Times New Roman"/>
          <w:color w:val="161616"/>
          <w:kern w:val="0"/>
        </w:rPr>
        <w:t xml:space="preserve">, </w:t>
      </w:r>
      <w:r>
        <w:rPr>
          <w:rFonts w:ascii="Sylfaen" w:hAnsi="Sylfaen" w:cs="Sylfaen"/>
          <w:color w:val="161616"/>
          <w:kern w:val="0"/>
        </w:rPr>
        <w:t>როდესაც</w:t>
      </w:r>
      <w:r w:rsidR="001B45F6">
        <w:rPr>
          <w:rFonts w:ascii="Times New Roman" w:hAnsi="Times New Roman" w:cs="Times New Roman"/>
          <w:color w:val="161616"/>
          <w:kern w:val="0"/>
        </w:rPr>
        <w:t xml:space="preserve"> </w:t>
      </w:r>
      <w:r>
        <w:rPr>
          <w:rFonts w:ascii="Sylfaen" w:hAnsi="Sylfaen" w:cs="Sylfaen"/>
          <w:color w:val="161616"/>
          <w:kern w:val="0"/>
        </w:rPr>
        <w:t>დოზა</w:t>
      </w:r>
      <w:r>
        <w:rPr>
          <w:rFonts w:ascii="Times New Roman" w:hAnsi="Times New Roman" w:cs="Times New Roman"/>
          <w:color w:val="161616"/>
          <w:kern w:val="0"/>
        </w:rPr>
        <w:t xml:space="preserve"> </w:t>
      </w:r>
      <w:r>
        <w:rPr>
          <w:rFonts w:ascii="Sylfaen" w:hAnsi="Sylfaen" w:cs="Sylfaen"/>
          <w:color w:val="161616"/>
          <w:kern w:val="0"/>
        </w:rPr>
        <w:t>შესაბამისად</w:t>
      </w:r>
      <w:r>
        <w:rPr>
          <w:rFonts w:ascii="Times New Roman" w:hAnsi="Times New Roman" w:cs="Times New Roman"/>
          <w:color w:val="161616"/>
          <w:kern w:val="0"/>
        </w:rPr>
        <w:t xml:space="preserve"> </w:t>
      </w:r>
      <w:r>
        <w:rPr>
          <w:rFonts w:ascii="Sylfaen" w:hAnsi="Sylfaen" w:cs="Sylfaen"/>
          <w:color w:val="161616"/>
          <w:kern w:val="0"/>
        </w:rPr>
        <w:t>არ</w:t>
      </w:r>
      <w:r>
        <w:rPr>
          <w:rFonts w:ascii="Times New Roman" w:hAnsi="Times New Roman" w:cs="Times New Roman"/>
          <w:color w:val="161616"/>
          <w:kern w:val="0"/>
        </w:rPr>
        <w:t xml:space="preserve"> </w:t>
      </w:r>
      <w:r>
        <w:rPr>
          <w:rFonts w:ascii="Sylfaen" w:hAnsi="Sylfaen" w:cs="Sylfaen"/>
          <w:color w:val="161616"/>
          <w:kern w:val="0"/>
        </w:rPr>
        <w:t>მცირდება</w:t>
      </w:r>
      <w:r>
        <w:rPr>
          <w:rFonts w:ascii="Times New Roman" w:hAnsi="Times New Roman" w:cs="Times New Roman"/>
          <w:color w:val="161616"/>
          <w:kern w:val="0"/>
        </w:rPr>
        <w:t xml:space="preserve">; </w:t>
      </w:r>
      <w:r>
        <w:rPr>
          <w:rFonts w:ascii="Sylfaen" w:hAnsi="Sylfaen" w:cs="Sylfaen"/>
          <w:color w:val="161616"/>
          <w:kern w:val="0"/>
        </w:rPr>
        <w:t>თირკმლის</w:t>
      </w:r>
      <w:r>
        <w:rPr>
          <w:rFonts w:ascii="Times New Roman" w:hAnsi="Times New Roman" w:cs="Times New Roman"/>
          <w:color w:val="161616"/>
          <w:kern w:val="0"/>
        </w:rPr>
        <w:t xml:space="preserve"> </w:t>
      </w:r>
      <w:r>
        <w:rPr>
          <w:rFonts w:ascii="Sylfaen" w:hAnsi="Sylfaen" w:cs="Sylfaen"/>
          <w:color w:val="161616"/>
          <w:kern w:val="0"/>
        </w:rPr>
        <w:t>მძიმე</w:t>
      </w:r>
      <w:r>
        <w:rPr>
          <w:rFonts w:ascii="Times New Roman" w:hAnsi="Times New Roman" w:cs="Times New Roman"/>
          <w:color w:val="161616"/>
          <w:kern w:val="0"/>
        </w:rPr>
        <w:t xml:space="preserve"> </w:t>
      </w:r>
      <w:r>
        <w:rPr>
          <w:rFonts w:ascii="Sylfaen" w:hAnsi="Sylfaen" w:cs="Sylfaen"/>
          <w:color w:val="161616"/>
          <w:kern w:val="0"/>
        </w:rPr>
        <w:t>უკმარისობის</w:t>
      </w:r>
      <w:r>
        <w:rPr>
          <w:rFonts w:ascii="Times New Roman" w:hAnsi="Times New Roman" w:cs="Times New Roman"/>
          <w:color w:val="161616"/>
          <w:kern w:val="0"/>
        </w:rPr>
        <w:t xml:space="preserve"> </w:t>
      </w:r>
      <w:r>
        <w:rPr>
          <w:rFonts w:ascii="Sylfaen" w:hAnsi="Sylfaen" w:cs="Sylfaen"/>
          <w:color w:val="161616"/>
          <w:kern w:val="0"/>
        </w:rPr>
        <w:t>დროს</w:t>
      </w:r>
      <w:r>
        <w:rPr>
          <w:rFonts w:ascii="Times New Roman" w:hAnsi="Times New Roman" w:cs="Times New Roman"/>
          <w:color w:val="161616"/>
          <w:kern w:val="0"/>
        </w:rPr>
        <w:t xml:space="preserve"> (</w:t>
      </w:r>
      <w:r>
        <w:rPr>
          <w:rFonts w:ascii="Sylfaen" w:hAnsi="Sylfaen" w:cs="Sylfaen"/>
          <w:color w:val="161616"/>
          <w:kern w:val="0"/>
        </w:rPr>
        <w:t>მაღალ</w:t>
      </w:r>
      <w:r w:rsidR="009355B8">
        <w:rPr>
          <w:rFonts w:ascii="Sylfaen" w:hAnsi="Sylfaen" w:cs="Times New Roman"/>
          <w:color w:val="161616"/>
          <w:kern w:val="0"/>
        </w:rPr>
        <w:t xml:space="preserve">მა დოზებმა შეიძლება გამოწვიოს </w:t>
      </w:r>
      <w:r w:rsidR="009355B8">
        <w:rPr>
          <w:rFonts w:ascii="Sylfaen" w:hAnsi="Sylfaen" w:cs="Sylfaen"/>
          <w:color w:val="161616"/>
          <w:kern w:val="0"/>
        </w:rPr>
        <w:t>ცენტრალური</w:t>
      </w:r>
      <w:r w:rsidR="009355B8">
        <w:rPr>
          <w:rFonts w:ascii="Times New Roman" w:hAnsi="Times New Roman" w:cs="Times New Roman"/>
          <w:color w:val="161616"/>
          <w:kern w:val="0"/>
        </w:rPr>
        <w:t xml:space="preserve"> </w:t>
      </w:r>
      <w:r w:rsidR="009355B8">
        <w:rPr>
          <w:rFonts w:ascii="Sylfaen" w:hAnsi="Sylfaen" w:cs="Sylfaen"/>
          <w:color w:val="161616"/>
          <w:kern w:val="0"/>
        </w:rPr>
        <w:t>ნერვული</w:t>
      </w:r>
      <w:r w:rsidR="009355B8">
        <w:rPr>
          <w:rFonts w:ascii="Times New Roman" w:hAnsi="Times New Roman" w:cs="Times New Roman"/>
          <w:color w:val="161616"/>
          <w:kern w:val="0"/>
        </w:rPr>
        <w:t xml:space="preserve"> </w:t>
      </w:r>
      <w:r w:rsidR="009355B8">
        <w:rPr>
          <w:rFonts w:ascii="Sylfaen" w:hAnsi="Sylfaen" w:cs="Sylfaen"/>
          <w:color w:val="161616"/>
          <w:kern w:val="0"/>
        </w:rPr>
        <w:t>სისტემის</w:t>
      </w:r>
      <w:r w:rsidR="009355B8">
        <w:rPr>
          <w:rFonts w:ascii="Times New Roman" w:hAnsi="Times New Roman" w:cs="Times New Roman"/>
          <w:color w:val="161616"/>
          <w:kern w:val="0"/>
        </w:rPr>
        <w:t xml:space="preserve">); </w:t>
      </w:r>
      <w:r>
        <w:rPr>
          <w:rFonts w:ascii="Sylfaen" w:hAnsi="Sylfaen" w:cs="Sylfaen"/>
          <w:color w:val="161616"/>
          <w:kern w:val="0"/>
        </w:rPr>
        <w:t>შ</w:t>
      </w:r>
      <w:r>
        <w:rPr>
          <w:rFonts w:ascii="Times New Roman" w:hAnsi="Times New Roman" w:cs="Times New Roman"/>
          <w:color w:val="161616"/>
          <w:kern w:val="0"/>
        </w:rPr>
        <w:t>ეწყვიტეთ კრუნჩხვების განვითარების შემთხვევაში ან დანიშნეთ შესაბამისი დოზირება.</w:t>
      </w:r>
    </w:p>
    <w:p w14:paraId="3AA4EC3A" w14:textId="519DC73D"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პაციენტებში ანტიკონვულსიური თერაპიის გაგრძელება</w:t>
      </w:r>
    </w:p>
    <w:p w14:paraId="64073EF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ცნობილი კრუნჩხვითი დარღვევებით.</w:t>
      </w:r>
    </w:p>
    <w:p w14:paraId="0507780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ცეფაზოლინის ინექციის დანიშვნა დადასტურებული ან ძლიერი ეჭვის შემთხვევაში ბაქტერიული ინფექციის არარსებობის შემთხვევაში</w:t>
      </w:r>
    </w:p>
    <w:p w14:paraId="0A946669"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lastRenderedPageBreak/>
        <w:t>ან პროფილაქტიკური ჩვენება ნაკლებად სავარაუდოა, რომ პაციენტისთვის სარგებელს მოუტანს და ზრდის რისკს</w:t>
      </w:r>
    </w:p>
    <w:p w14:paraId="7A2970A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წამლის მიმართ რეზისტენტული ბაქტერიების განვითარება.</w:t>
      </w:r>
    </w:p>
    <w:p w14:paraId="22D3C4C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როგორც სხვა ანტიმიკრობული საშუალებების შემთხვევაში, ცეფაზოლინის ინექციის ხანგრძლივმა გამოყენებამ შეიძლება გამოიწვიოს სოკოების ჭარბი ზრდა.</w:t>
      </w:r>
    </w:p>
    <w:p w14:paraId="313202B5" w14:textId="60E2B0FE"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არამგრძნობიარე მიკროორგანიზმების შესახებ; აუცილებელია პაციენტის მდგომარეობის განმეორებითი შეფასება;</w:t>
      </w:r>
    </w:p>
    <w:p w14:paraId="669E947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თერაპიის დროს სუპერინფექციის განვითარების შემთხვევაში, უნდა იქნას მიღებული შესაბამისი ზომები.</w:t>
      </w:r>
    </w:p>
    <w:p w14:paraId="6CB3B58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გლუკოზის შემცველი ტესტების გამოყენებისას, შარდში გლუკოზაზე ცრუ დადებითი რეაქცია შეიძლება გამოვლინდეს.</w:t>
      </w:r>
    </w:p>
    <w:p w14:paraId="45491E98" w14:textId="556E76ED" w:rsidR="00E95F01" w:rsidRP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ბენედიქტის სპილენძის აღდგენის რეაქციაზე, რომელიც განსაზღვრავს აღმდგენი ნივთიერებების რაოდენობას, როგორიცაა</w:t>
      </w:r>
    </w:p>
    <w:p w14:paraId="2127799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შარდში გლუკოზა; რეკომენდებულია ფერმენტული გლუკოზის ოქსიდაზას საფუძველზე ჩატარებული გლუკოზის ტესტების ჩატარება.</w:t>
      </w:r>
    </w:p>
    <w:p w14:paraId="026FB36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გამოყენებული.</w:t>
      </w:r>
    </w:p>
    <w:p w14:paraId="112B3267" w14:textId="261976C3"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დექსტროზის შემცველი პროდუქტების მიღებისას აღინიშნა ჰიპერმგრძნობელობის რეაქციები, მათ შორის ანაფილაქსია; ეს რეაქციები აღინიშნა პაციენტებში, რომლებიც იღებდნენ მაღალ</w:t>
      </w:r>
    </w:p>
    <w:p w14:paraId="4CE06F07" w14:textId="7CA2F030"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დექსტროზის კონცენტრაციები (ანუ 50% დექსტროზა); რეაქციები დაფიქსირდა, როდესაც სიმინდისგან მიღებული დექსტროზის ხსნარები შეჰყავდათ პაციენტებს, რომლებსაც ჰქონდათ ან არ ჰქონდათ დექსტროზის ისტორია.</w:t>
      </w:r>
    </w:p>
    <w:p w14:paraId="5910495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სიმინდის პროდუქტების მიმართ ჰიპერმგრძნობელობა.</w:t>
      </w:r>
    </w:p>
    <w:p w14:paraId="60DA7AB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როგორც სხვა დექსტროზის შემცველი ხსნარების შემთხვევაში, ცეფაზოლინის ინექცია უნდა დაინიშნოს</w:t>
      </w:r>
    </w:p>
    <w:p w14:paraId="38A30F8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სიფრთხილე გამოიჩინეთ პაციენტებში, რომლებსაც აქვთ გამოხატული ან ცნობილი სუბკლინიკური შაქრიანი დიაბეტი ან ნახშირწყლების</w:t>
      </w:r>
    </w:p>
    <w:p w14:paraId="6297A5B4"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შეუწყნარებლობა ნებისმიერი მიზეზით.</w:t>
      </w:r>
    </w:p>
    <w:p w14:paraId="6EBCC74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ინექციისთვის ცეფაზოლინი, ისევე როგორც ყველა ცეფალოსპორინი, სიფრთხილით უნდა დაინიშნოს:</w:t>
      </w:r>
    </w:p>
    <w:p w14:paraId="5B36B7C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პირები, რომლებსაც აქვთ კუჭ-ნაწლავის ტრაქტის დაავადებების, განსაკუთრებით კოლიტის ისტორია.</w:t>
      </w:r>
    </w:p>
    <w:p w14:paraId="5D3623C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ცეფალოსპორინები შეიძლება დაკავშირებული იყოს პროთრომბინის აქტივობის დაქვეითებასთან. რისკის ჯგუფში შედიან</w:t>
      </w:r>
    </w:p>
    <w:p w14:paraId="0107E0F1"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თირკმლის ან ღვიძლის უკმარისობის ან ცუდი კვების მქონე პაციენტები, ასევე პაციენტები</w:t>
      </w:r>
    </w:p>
    <w:p w14:paraId="264D27E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ანტიმიკრობული თერაპიის ხანგრძლივი კურსის მიმღები და პაციენტები, რომლებიც ადრე სტაბილიზებული იყვნენ</w:t>
      </w:r>
    </w:p>
    <w:p w14:paraId="78FFFAFE"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ანტიკოაგულანტული თერაპია. პროთრომბინის დროის მონიტორინგი უნდა მოხდეს რისკის ქვეშ მყოფ პაციენტებში და</w:t>
      </w:r>
    </w:p>
    <w:p w14:paraId="0F4CCB3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ეგზოგენური K ვიტამინის მიღება ჩვენების მიხედვით.</w:t>
      </w:r>
    </w:p>
    <w:p w14:paraId="101CAC4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როგორც სხვა დექსტროზის შემცველი ხსნარების შემთხვევაში, ცეფაზოლინი საინექციო ფორმით უნდა დაინიშნოს</w:t>
      </w:r>
    </w:p>
    <w:p w14:paraId="3709516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სიფრთხილით, პაციენტებში, რომლებსაც აქვთ გამოხატული ან ცნობილი სუბკლინიკური შაქრიანი დიაბეტი ან ნახშირწყლების</w:t>
      </w:r>
    </w:p>
    <w:p w14:paraId="7B854FD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შეუწყნარებლობა ნებისმიერი მიზეზით.</w:t>
      </w:r>
    </w:p>
    <w:p w14:paraId="44558A8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lastRenderedPageBreak/>
        <w:t>თუ მიღება კონტროლდება სატუმბი მოწყობილობით, სიფრთხილეა საჭირო პრეპარატის მიღების შეწყვეტის დროს.</w:t>
      </w:r>
    </w:p>
    <w:p w14:paraId="20B0548E"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კონტეინერის დაშრობამდე გადატუმბვა უნდა მოხდეს, წინააღმდეგ შემთხვევაში შეიძლება ჰაერის ემბოლია გამოიწვიოს.</w:t>
      </w:r>
    </w:p>
    <w:p w14:paraId="27A89A90" w14:textId="39EDCFC9"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ურთიერთქმედება სხვა სამკურნალო საშუალებებთან და ურთიერთქმედების სხვა ფორმები</w:t>
      </w:r>
    </w:p>
    <w:p w14:paraId="0A3E4B06"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პრობენეციდმა შეიძლება შეამციროს ცეფალოსპორინების თირკმლის მილაკოვანი სეკრეცია ერთდროული გამოყენებისას.</w:t>
      </w:r>
    </w:p>
    <w:p w14:paraId="12D0EE50"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რაც იწვევს სისხლში ცეფალოსპორინების დონის მატებას და უფრო ხანგრძლივ მოქმედებას.</w:t>
      </w:r>
    </w:p>
    <w:p w14:paraId="74533153" w14:textId="77777777" w:rsidR="00E95F01" w:rsidRPr="00E95F01" w:rsidRDefault="00E95F01" w:rsidP="00E95F01">
      <w:pPr>
        <w:autoSpaceDE w:val="0"/>
        <w:autoSpaceDN w:val="0"/>
        <w:adjustRightInd w:val="0"/>
        <w:spacing w:after="0" w:line="240" w:lineRule="auto"/>
        <w:rPr>
          <w:rFonts w:ascii="Times New Roman" w:hAnsi="Times New Roman" w:cs="Times New Roman"/>
          <w:color w:val="161616"/>
          <w:kern w:val="0"/>
        </w:rPr>
      </w:pPr>
      <w:r w:rsidRPr="00E95F01">
        <w:rPr>
          <w:rFonts w:ascii="Times New Roman" w:hAnsi="Times New Roman" w:cs="Times New Roman"/>
          <w:color w:val="161616"/>
          <w:kern w:val="0"/>
        </w:rPr>
        <w:t>წამლის/ლაბორატორიული ტესტის ურთიერთქმედება</w:t>
      </w:r>
    </w:p>
    <w:p w14:paraId="36983B2F" w14:textId="77777777" w:rsidR="00E95F01" w:rsidRPr="00E95F01" w:rsidRDefault="00E95F01" w:rsidP="00E95F01">
      <w:pPr>
        <w:autoSpaceDE w:val="0"/>
        <w:autoSpaceDN w:val="0"/>
        <w:adjustRightInd w:val="0"/>
        <w:spacing w:after="0" w:line="240" w:lineRule="auto"/>
        <w:rPr>
          <w:rFonts w:ascii="Times New Roman" w:hAnsi="Times New Roman" w:cs="Times New Roman"/>
          <w:color w:val="161616"/>
          <w:kern w:val="0"/>
        </w:rPr>
      </w:pPr>
      <w:r w:rsidRPr="00E95F01">
        <w:rPr>
          <w:rFonts w:ascii="Times New Roman" w:hAnsi="Times New Roman" w:cs="Times New Roman" w:hint="eastAsia"/>
          <w:color w:val="161616"/>
          <w:kern w:val="0"/>
        </w:rPr>
        <w:t xml:space="preserve">ბენედიქტის ხსნარის </w:t>
      </w:r>
      <w:r w:rsidRPr="00E95F01">
        <w:rPr>
          <w:rFonts w:ascii="Times New Roman" w:hAnsi="Times New Roman" w:cs="Times New Roman"/>
          <w:color w:val="161616"/>
          <w:kern w:val="0"/>
        </w:rPr>
        <w:t>გამოყენებისას შეიძლება გამოვლინდეს შარდში გლუკოზის ცრუ დადებითი რეაქცია .</w:t>
      </w:r>
    </w:p>
    <w:p w14:paraId="7B0750EF" w14:textId="77777777" w:rsidR="00DE5071" w:rsidRDefault="00DE5071" w:rsidP="00E95F01">
      <w:pPr>
        <w:autoSpaceDE w:val="0"/>
        <w:autoSpaceDN w:val="0"/>
        <w:adjustRightInd w:val="0"/>
        <w:spacing w:after="0" w:line="240" w:lineRule="auto"/>
        <w:rPr>
          <w:rFonts w:ascii="Times New Roman" w:hAnsi="Times New Roman" w:cs="Times New Roman"/>
          <w:color w:val="161616"/>
          <w:kern w:val="0"/>
        </w:rPr>
      </w:pPr>
    </w:p>
    <w:p w14:paraId="092341A2" w14:textId="55CB8056" w:rsidR="00E95F01" w:rsidRDefault="00E95F01" w:rsidP="00E95F01">
      <w:pPr>
        <w:autoSpaceDE w:val="0"/>
        <w:autoSpaceDN w:val="0"/>
        <w:adjustRightInd w:val="0"/>
        <w:spacing w:after="0" w:line="240" w:lineRule="auto"/>
        <w:rPr>
          <w:rFonts w:ascii="Times New Roman" w:hAnsi="Times New Roman" w:cs="Times New Roman"/>
          <w:color w:val="161616"/>
          <w:kern w:val="0"/>
        </w:rPr>
      </w:pPr>
      <w:r w:rsidRPr="00E95F01">
        <w:rPr>
          <w:rFonts w:ascii="Times New Roman" w:hAnsi="Times New Roman" w:cs="Times New Roman"/>
          <w:color w:val="161616"/>
          <w:kern w:val="0"/>
        </w:rPr>
        <w:t xml:space="preserve">ფელინგსის ხსნარით ან Clinitest </w:t>
      </w:r>
      <w:r w:rsidRPr="00E95F01">
        <w:rPr>
          <w:rFonts w:ascii="Times New Roman" w:hAnsi="Times New Roman" w:cs="Times New Roman" w:hint="eastAsia"/>
          <w:color w:val="161616"/>
          <w:kern w:val="0"/>
        </w:rPr>
        <w:t xml:space="preserve">® </w:t>
      </w:r>
      <w:r w:rsidRPr="00E95F01">
        <w:rPr>
          <w:rFonts w:ascii="Times New Roman" w:hAnsi="Times New Roman" w:cs="Times New Roman"/>
          <w:color w:val="161616"/>
          <w:kern w:val="0"/>
        </w:rPr>
        <w:t>ტაბლეტებით, მაგრამ არა ფერმენტებზე დაფუძნებული ტესტებით, როგორიცაა</w:t>
      </w:r>
    </w:p>
    <w:p w14:paraId="2899A93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კლინისტიქსი®.</w:t>
      </w:r>
    </w:p>
    <w:p w14:paraId="1A8E3DB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დადებითი პირდაპირი და არაპირდაპირი ანტიგლობულინის (კუმბსის) ტესტები დაფიქსირდა; ესენიც შეიძლება გამოვლინდეს</w:t>
      </w:r>
    </w:p>
    <w:p w14:paraId="5DE1B0B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ახალშობილებში, რომელთა დედებმაც მშობიარობამდე მიიღეს ცეფალოსპორინები.</w:t>
      </w:r>
    </w:p>
    <w:p w14:paraId="3644B778" w14:textId="06603B82"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ნაყოფიერება, ორსულობა და ლაქტაცია</w:t>
      </w:r>
    </w:p>
    <w:p w14:paraId="053F346A"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ორსულობა</w:t>
      </w:r>
    </w:p>
    <w:p w14:paraId="64CA745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B კატეგორია ტერატოგენული ეფექტების მიხედვით:</w:t>
      </w:r>
    </w:p>
    <w:p w14:paraId="45DEF3E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ხელმისაწვდომი მონაცემები გამოქვეყნებული პერსპექტიული კოჰორტული კვლევებიდან, შემთხვევების სერიებიდან და შემთხვევების ანგარიშებიდან</w:t>
      </w:r>
    </w:p>
    <w:p w14:paraId="154059F0"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ორსულ ქალებში ცეფალოსპორინების, მათ შორის ცეფაზოლინის, რამდენიმე ათწლეულის განმავლობაში გამოყენებისას არ დაფიქსირებულა</w:t>
      </w:r>
    </w:p>
    <w:p w14:paraId="60C6FE50"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დადგენილია პრეპარატთან დაკავშირებული რისკი ძირითადი თანდაყოლილი დეფექტების, მუცლის მოშლის ან დედის ან</w:t>
      </w:r>
    </w:p>
    <w:p w14:paraId="4D1730C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ნაყოფის შედეგები; პრეპარატი კვეთს პლაცენტას.</w:t>
      </w:r>
    </w:p>
    <w:p w14:paraId="0DB65952"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ლაქტაცია</w:t>
      </w:r>
    </w:p>
    <w:p w14:paraId="278D6646"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გამოქვეყნებული ლიტერატურის მონაცემებით, ცეფაზოლინი გვხვდება ადამიანის რძეში, მაგრამ არა</w:t>
      </w:r>
    </w:p>
    <w:p w14:paraId="769949D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მოსალოდნელია დაგროვება ძუძუთი კვებაზე მყოფ ჩვილებში; არ არსებობს მონაცემები პრეპარატის ძუძუთი კვებაზე ზემოქმედების შესახებ.</w:t>
      </w:r>
    </w:p>
    <w:p w14:paraId="747DB5EC" w14:textId="232B015C"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ბავშვის ან რძის წარმოებაზე. ძუძუთი კვების განვითარებისა და ჯანმრთელობისთვის სასარგებლო თვისებები უნდა იქნას გათვალისწინებული დედის თერაპიის კლინიკურ საჭიროებასთან და პრეპარატის ან დედის ძირითადი დაავადების შედეგად ძუძუთი კვებაზე მყოფ ბავშვზე შესაძლო გვერდით ეფექტებთან ერთად.</w:t>
      </w:r>
    </w:p>
    <w:p w14:paraId="15B903F7" w14:textId="77777777" w:rsidR="00E95F01" w:rsidRPr="00E95F01" w:rsidRDefault="00E95F01" w:rsidP="00E95F01">
      <w:pPr>
        <w:autoSpaceDE w:val="0"/>
        <w:autoSpaceDN w:val="0"/>
        <w:adjustRightInd w:val="0"/>
        <w:spacing w:after="0" w:line="240" w:lineRule="auto"/>
        <w:rPr>
          <w:rFonts w:ascii="Times New Roman" w:hAnsi="Times New Roman" w:cs="Times New Roman"/>
          <w:color w:val="161616"/>
          <w:kern w:val="0"/>
        </w:rPr>
      </w:pPr>
      <w:r w:rsidRPr="00E95F01">
        <w:rPr>
          <w:rFonts w:ascii="Times New Roman" w:hAnsi="Times New Roman" w:cs="Times New Roman"/>
          <w:color w:val="161616"/>
          <w:kern w:val="0"/>
        </w:rPr>
        <w:t>ნაყოფიერება</w:t>
      </w:r>
    </w:p>
    <w:p w14:paraId="75D9DD7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ცხოველებზე ჩატარებულ კვლევებში ნაყოფიერებაზე გავლენა არ დაფიქსირებულა..</w:t>
      </w:r>
    </w:p>
    <w:p w14:paraId="4212FE8B" w14:textId="3A2D817F"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გავლენა ავტომობილის მართვისა და მექანიზმების გამოყენების უნარზე</w:t>
      </w:r>
    </w:p>
    <w:p w14:paraId="6DBBF754"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გავლენას არ ახდენს ავტომობილის მართვის ან მექანიზმებთან მუშაობის უნარზე.</w:t>
      </w:r>
    </w:p>
    <w:p w14:paraId="5F0C53BD" w14:textId="7ECDB7A1"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lastRenderedPageBreak/>
        <w:t>არასასურველი ეფექტები</w:t>
      </w:r>
    </w:p>
    <w:p w14:paraId="76F56E2C"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შემდეგი რეაქციები დაფიქსირდა:</w:t>
      </w:r>
    </w:p>
    <w:p w14:paraId="4090792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კუჭ-ნაწლავის ტრაქტი: დიარეა, პირის ღრუს კანდიდოზი (პირის ღრუს კანდიდოზი), ღებინება, გულისრევა, კუჭის სპაზმები,</w:t>
      </w:r>
    </w:p>
    <w:p w14:paraId="0183DD9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ანორექსია და ფსევდომემბრანული კოლიტი. ფსევდომემბრანული კოლიტის სიმპტომების დაწყება შეიძლება</w:t>
      </w:r>
    </w:p>
    <w:p w14:paraId="3AD9250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შეიძლება განვითარდეს ანტიბიოტიკებით მკურნალობის დროს ან მის შემდეგ. გულისრევა და ღებინება იშვიათად აღინიშნა.</w:t>
      </w:r>
    </w:p>
    <w:p w14:paraId="376E4D5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ალერგიული: ანაფილაქსია, ეოზინოფილია, ქავილი, წამლისმიერი ცხელება, კანის გამონაყარი, სტივენს-ჯონსონის სინდრომი</w:t>
      </w:r>
    </w:p>
    <w:p w14:paraId="1D99F91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სინდრომი.</w:t>
      </w:r>
    </w:p>
    <w:p w14:paraId="36F4E1A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ჰემატოლოგიური: ნეიტროპენია, ლეიკოპენია, თრომბოციტოპენია, თრომბოციტემია. ღვიძლის:</w:t>
      </w:r>
    </w:p>
    <w:p w14:paraId="6B82CE9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დაფიქსირდა SGOT-ის, SGPT-ის და ტუტე ფოსფატაზას დონის დროებითი მატება.</w:t>
      </w:r>
    </w:p>
    <w:p w14:paraId="143D4749"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სხვა ცეფალოსპორინების მიღებისას მიღებულია ჰეპატიტის შესახებ შეტყობინებები.</w:t>
      </w:r>
    </w:p>
    <w:p w14:paraId="0DE484E1"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თირკმლის: როგორც სხვა ცეფალოსპორინების შემთხვევაში, ასევე აღინიშნა შარდოვანას და კრეატინინის დონის მომატება.</w:t>
      </w:r>
    </w:p>
    <w:p w14:paraId="12CA588C"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თირკმლის უკმარისობის სახით, მიღებულია.</w:t>
      </w:r>
    </w:p>
    <w:p w14:paraId="459319C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ადგილობრივი რეაქციები: ინექციის ადგილას ფლებიტის იშვიათი შემთხვევები დაფიქსირდა. ზოგიერთი</w:t>
      </w:r>
    </w:p>
    <w:p w14:paraId="37512DA1"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მოხდა ინდურაცია.</w:t>
      </w:r>
    </w:p>
    <w:p w14:paraId="40504BC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სხვა რეაქციები: გენიტალური და ანალური ქავილი (მათ შორის ვულვის ქავილი, გენიტალური მონილიოზი და</w:t>
      </w:r>
    </w:p>
    <w:p w14:paraId="63773C3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ვაგინიტი).</w:t>
      </w:r>
    </w:p>
    <w:p w14:paraId="704F36DE" w14:textId="350A9B2B"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დოზის გადაჭარბება</w:t>
      </w:r>
    </w:p>
    <w:p w14:paraId="29F8D7C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თირკმლის უკმარისობის მქონე პაციენტებში, რომლებიც შემთხვევით ჭარბ დოზირებას იწვევენ, შეიძლება განვითარდეს კრუნჩხვები.</w:t>
      </w:r>
    </w:p>
    <w:p w14:paraId="4A7A2A15"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მიიღეთ ცეფაზოლინის ინექციის რეკომენდებულ დოზაზე მეტი დოზები. თუ კრუნჩხვები</w:t>
      </w:r>
    </w:p>
    <w:p w14:paraId="4BAD4417"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შემთხვევითი დოზის გადაჭარბების შემთხვევაში, შეწყვიტეთ ცეფაზოლინის ინექცია და მიეცით</w:t>
      </w:r>
    </w:p>
    <w:p w14:paraId="511A05B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დამხმარე მკურნალობა..</w:t>
      </w:r>
    </w:p>
    <w:p w14:paraId="6E5B0643" w14:textId="72EF87E0"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ფარმაკოლოგიური თვისებები</w:t>
      </w:r>
    </w:p>
    <w:p w14:paraId="350C3A0B"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b/>
          <w:bCs/>
          <w:color w:val="161616"/>
          <w:kern w:val="0"/>
        </w:rPr>
        <w:t xml:space="preserve">ფარმაკოთერაპიული ჯგუფი: </w:t>
      </w:r>
      <w:r>
        <w:rPr>
          <w:rFonts w:ascii="Times New Roman" w:hAnsi="Times New Roman" w:cs="Times New Roman"/>
          <w:color w:val="161616"/>
          <w:kern w:val="0"/>
        </w:rPr>
        <w:t>სისტემური გამოყენების ანტიბაქტერიული საშუალება, პირველი თაობა</w:t>
      </w:r>
    </w:p>
    <w:p w14:paraId="0663B6B3" w14:textId="30D15CCA" w:rsidR="00E95F01" w:rsidRDefault="00E95F01" w:rsidP="00DE507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ცეფალოსპორინი</w:t>
      </w:r>
    </w:p>
    <w:p w14:paraId="3A649C43"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მოქმედების რეჟიმი</w:t>
      </w:r>
    </w:p>
    <w:p w14:paraId="40CB88C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პენიცილინის შეკავშირების შემდეგ აფერხებს ბაქტერიული უჯრედის კედლის სინთეზს.</w:t>
      </w:r>
    </w:p>
    <w:p w14:paraId="5B4A732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ცილები (PBPs). ეს იწვევს უჯრედის კედლის (პეპტიდოგლიკანის) ბიოსინთეზის შეფერხებას,</w:t>
      </w:r>
    </w:p>
    <w:p w14:paraId="047452D3" w14:textId="594F5DF2" w:rsidR="008163AC" w:rsidRPr="000B65AA"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რაც იწვევს ბაქტერიული უჯრედის ლიზისს და სიკვდილს.</w:t>
      </w:r>
    </w:p>
    <w:p w14:paraId="19FFA924" w14:textId="77777777" w:rsidR="008163AC" w:rsidRDefault="008163AC" w:rsidP="00E95F01">
      <w:pPr>
        <w:autoSpaceDE w:val="0"/>
        <w:autoSpaceDN w:val="0"/>
        <w:adjustRightInd w:val="0"/>
        <w:spacing w:after="0" w:line="240" w:lineRule="auto"/>
        <w:rPr>
          <w:rFonts w:ascii="Times New Roman" w:hAnsi="Times New Roman" w:cs="Times New Roman"/>
          <w:b/>
          <w:bCs/>
          <w:color w:val="000000"/>
          <w:kern w:val="0"/>
        </w:rPr>
      </w:pPr>
    </w:p>
    <w:p w14:paraId="5A31F86C" w14:textId="7D9A0D5D"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ფარმაკოკინეტიკური თვისებები</w:t>
      </w:r>
    </w:p>
    <w:p w14:paraId="4A143CB9"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შეწოვა</w:t>
      </w:r>
    </w:p>
    <w:p w14:paraId="056A57DB"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ინტრამუსკულური შეყვანა</w:t>
      </w:r>
    </w:p>
    <w:p w14:paraId="5BB92D7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lastRenderedPageBreak/>
        <w:t>250 მგ დოზა უზრუნველყოფს ცეფაზოლინის შრატის დონის (მკგ/მლ) შემცირებას 15.5-დან 17-მდე 30 წუთში.</w:t>
      </w:r>
    </w:p>
    <w:p w14:paraId="6A1153C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კუნთშიდა ინექციიდან 1 საათის შემდეგ, 13 საათის შემდეგ, 5.1 საათის შემდეგ და 2.5 საათის შემდეგ. A</w:t>
      </w:r>
    </w:p>
    <w:p w14:paraId="35C8635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500 მგ დოზა უზრუნველყოფს ცეფაზოლინის შრატის დონის (მკგ/მლ) შემცირებას 30 წუთში 36.2-დან 36.8-მდე.</w:t>
      </w:r>
    </w:p>
    <w:p w14:paraId="6398F81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1 საათში, 37.9 2 საათში, 15.5 4 საათში, 6.3 6 საათში და 3 8 საათის შემდეგ</w:t>
      </w:r>
    </w:p>
    <w:p w14:paraId="7E71AC1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კუნთშიდა ინექცია. საშუალოდ ორი კვლევის მიხედვით, 1 გ დოზა უზრუნველყოფს შრატის დონეს</w:t>
      </w:r>
    </w:p>
    <w:p w14:paraId="69E40196"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(მკგ/მლ-ში) 60.1-დან 30 წუთში 63.8-მდე 1 საათში, 54.3-მდე 2 საათში, 29.3-მდე 4 წუთში</w:t>
      </w:r>
    </w:p>
    <w:p w14:paraId="6B1DD4D8"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საათში, 13.2 საათში 6 საათში და 7.1 საათში კუნთშიდა ინექციიდან 8 საათში. ცეფაზოლინი აღწევს</w:t>
      </w:r>
    </w:p>
    <w:p w14:paraId="727B5E3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შარდში პიკური კონცენტრაციები აღემატება 1000 მკგ/მლ-ს და 4000 მკგ/მლ-ს კუნთში შეყვანის შემდეგ</w:t>
      </w:r>
    </w:p>
    <w:p w14:paraId="01DB99C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დოზები შესაბამისად 500 მგ და 1 გ.</w:t>
      </w:r>
    </w:p>
    <w:p w14:paraId="60A79A72"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განაწილება</w:t>
      </w:r>
    </w:p>
    <w:p w14:paraId="18DCECD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ადვილად აღწევს ანთებით სინოვიალურ მემბრანაში და მისი კონცენტრაცია</w:t>
      </w:r>
    </w:p>
    <w:p w14:paraId="6E77EF3D"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სახსარში მიღწეული ანტიბიოტიკის დონე შედარებადია შრატში გაზომილ დონეებთან.</w:t>
      </w:r>
    </w:p>
    <w:p w14:paraId="0A21FB43"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ადვილად აღწევს პლაცენტარულ ბარიერში ჭიპლარის სისხლში და ამნიონურ სითხეში.</w:t>
      </w:r>
    </w:p>
    <w:p w14:paraId="54B0F5CE"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ის ძალიან დაბალი კონცენტრაციით გვხვდება მეძუძური დედების რძეში. როდესაც ცეფაზოლინი</w:t>
      </w:r>
    </w:p>
    <w:p w14:paraId="23D2D015"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შეუფერხებელი სანაღვლე გზების მქონე პაციენტებისთვის, მაღალი კონცენტრაციები მნიშვნელოვნად აღემატება</w:t>
      </w:r>
    </w:p>
    <w:p w14:paraId="69856CD9"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შრატის დონეები გვხვდება ნაღვლის ბუშტის ქსოვილსა და ნაღველში. თუმცა, ობსტრუქციის არსებობის შემთხვევაში,</w:t>
      </w:r>
    </w:p>
    <w:p w14:paraId="3EADBC04"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ანტიბიოტიკის კონცენტრაცია ნაღველში გაცილებით დაბალია, ვიდრე სისხლის შრატში.</w:t>
      </w:r>
    </w:p>
    <w:p w14:paraId="2A0E0B44"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ბიოტრანსფორმაცია</w:t>
      </w:r>
    </w:p>
    <w:p w14:paraId="77D30B30"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კონტროლირებადი კვლევები ზრდასრულ ნორმალურ მოხალისეებზე, რომლებიც იღებდნენ ცეფაზოლინს 1 გ დღეში ოთხჯერ 10 წლის განმავლობაში.</w:t>
      </w:r>
    </w:p>
    <w:p w14:paraId="76612852"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დღეები, სისხლის საერთო ანალიზის, AST, ALT, ბილირუბინის, ტუტე ფოსფატაზას, BUN-ის, კრეატინინის და</w:t>
      </w:r>
    </w:p>
    <w:p w14:paraId="0854C39C"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შარდის ანალიზმა ცეფაზოლინის მიღებით გამოწვეული კლინიკურად მნიშვნელოვანი ცვლილებები არ აჩვენა.</w:t>
      </w:r>
    </w:p>
    <w:p w14:paraId="36E0E7DA" w14:textId="77777777"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ელიმინაცია</w:t>
      </w:r>
    </w:p>
    <w:p w14:paraId="6D2B682A"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 უცვლელი სახით გამოიყოფა შარდში, ძირითადად გლომერულური ფილტრაციის გზით და</w:t>
      </w:r>
    </w:p>
    <w:p w14:paraId="35480886"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უფრო მცირე ხარისხით, მილაკოვანი სეკრეციით. 500 მგ ინტრამუსკულური ინექციის შემდეგ, 56%-დან 89%-მდე</w:t>
      </w:r>
    </w:p>
    <w:p w14:paraId="277BBA7F"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მიღებული დოზის აღდგენა ხდება 6 საათის განმავლობაში, ხოლო 80%-დან თითქმის 100%-მდე - 24 საათში.</w:t>
      </w:r>
    </w:p>
    <w:p w14:paraId="50AE6E5B" w14:textId="6793134D" w:rsidR="00E95F01" w:rsidRDefault="00E95F01" w:rsidP="00E95F01">
      <w:pPr>
        <w:autoSpaceDE w:val="0"/>
        <w:autoSpaceDN w:val="0"/>
        <w:adjustRightInd w:val="0"/>
        <w:spacing w:after="0" w:line="240" w:lineRule="auto"/>
        <w:rPr>
          <w:rFonts w:ascii="Times New Roman" w:hAnsi="Times New Roman" w:cs="Times New Roman"/>
          <w:b/>
          <w:bCs/>
          <w:color w:val="161616"/>
          <w:kern w:val="0"/>
        </w:rPr>
      </w:pPr>
      <w:r>
        <w:rPr>
          <w:rFonts w:ascii="Times New Roman" w:hAnsi="Times New Roman" w:cs="Times New Roman"/>
          <w:b/>
          <w:bCs/>
          <w:color w:val="161616"/>
          <w:kern w:val="0"/>
        </w:rPr>
        <w:t>კლინიკური კვლევების წინა მონაცემები</w:t>
      </w:r>
    </w:p>
    <w:p w14:paraId="4ECC7931"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lastRenderedPageBreak/>
        <w:t>მუტაგენურობის კვლევები და ცხოველებზე გრძელვადიანი კვლევები კანცეროგენული პოტენციალის დასადგენად</w:t>
      </w:r>
    </w:p>
    <w:p w14:paraId="1552285E" w14:textId="77777777" w:rsidR="00E95F01" w:rsidRDefault="00E95F01" w:rsidP="00E95F01">
      <w:pPr>
        <w:autoSpaceDE w:val="0"/>
        <w:autoSpaceDN w:val="0"/>
        <w:adjustRightInd w:val="0"/>
        <w:spacing w:after="0" w:line="240" w:lineRule="auto"/>
        <w:rPr>
          <w:rFonts w:ascii="Times New Roman" w:hAnsi="Times New Roman" w:cs="Times New Roman"/>
          <w:color w:val="161616"/>
          <w:kern w:val="0"/>
        </w:rPr>
      </w:pPr>
      <w:r>
        <w:rPr>
          <w:rFonts w:ascii="Times New Roman" w:hAnsi="Times New Roman" w:cs="Times New Roman"/>
          <w:color w:val="161616"/>
          <w:kern w:val="0"/>
        </w:rPr>
        <w:t>ცეფაზოლინის ინექციის გამოყენება არ ჩატარებულა.</w:t>
      </w:r>
    </w:p>
    <w:p w14:paraId="48027E17" w14:textId="2125ADDD"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შენახვის ვადა</w:t>
      </w:r>
    </w:p>
    <w:p w14:paraId="22AC16EB" w14:textId="2D9C2261" w:rsidR="00E95F01" w:rsidRDefault="00940874" w:rsidP="00E95F01">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 xml:space="preserve">36 </w:t>
      </w:r>
      <w:r w:rsidR="00E95F01">
        <w:rPr>
          <w:rFonts w:ascii="Times New Roman" w:hAnsi="Times New Roman" w:cs="Times New Roman"/>
          <w:color w:val="000000"/>
          <w:kern w:val="0"/>
        </w:rPr>
        <w:t>თვე</w:t>
      </w:r>
    </w:p>
    <w:p w14:paraId="48FFCF3E" w14:textId="67FDEAD0" w:rsidR="00E95F01" w:rsidRDefault="00DE507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შენახვა:</w:t>
      </w:r>
    </w:p>
    <w:p w14:paraId="08962EA8" w14:textId="77777777" w:rsidR="00031380" w:rsidRDefault="00031380" w:rsidP="00E95F01">
      <w:p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შეინახეთ არაუმეტეს 25ºC ტემპერატურაზე. დაიცავით სინათლისგან.</w:t>
      </w:r>
    </w:p>
    <w:p w14:paraId="5AF647C3" w14:textId="2C02F5A3" w:rsidR="00E95F01" w:rsidRDefault="008163AC"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შეფუთვა:</w:t>
      </w:r>
    </w:p>
    <w:p w14:paraId="37A9ACEF" w14:textId="66053DF9" w:rsidR="00345A3B" w:rsidRDefault="00345A3B" w:rsidP="00E95F01">
      <w:pPr>
        <w:autoSpaceDE w:val="0"/>
        <w:autoSpaceDN w:val="0"/>
        <w:adjustRightInd w:val="0"/>
        <w:spacing w:after="0" w:line="240" w:lineRule="auto"/>
        <w:rPr>
          <w:rFonts w:ascii="Times New Roman" w:hAnsi="Times New Roman" w:cs="Times New Roman"/>
          <w:color w:val="000000"/>
          <w:kern w:val="0"/>
        </w:rPr>
      </w:pPr>
      <w:r w:rsidRPr="00345A3B">
        <w:rPr>
          <w:rFonts w:ascii="Times New Roman" w:hAnsi="Times New Roman" w:cs="Times New Roman"/>
          <w:color w:val="000000"/>
          <w:kern w:val="0"/>
        </w:rPr>
        <w:t xml:space="preserve">1 გ ფხვნილი ინტრავენური და კუნთშიდა ინექციისთვის ხსნარისთვის, </w:t>
      </w:r>
      <w:r w:rsidR="00642BDC">
        <w:rPr>
          <w:rFonts w:ascii="Sylfaen" w:hAnsi="Sylfaen" w:cs="Times New Roman"/>
          <w:color w:val="000000"/>
          <w:kern w:val="0"/>
        </w:rPr>
        <w:t xml:space="preserve">მინის </w:t>
      </w:r>
      <w:r w:rsidRPr="00345A3B">
        <w:rPr>
          <w:rFonts w:ascii="Times New Roman" w:hAnsi="Times New Roman" w:cs="Times New Roman"/>
          <w:color w:val="000000"/>
          <w:kern w:val="0"/>
        </w:rPr>
        <w:t>ფლაკონი №1</w:t>
      </w:r>
    </w:p>
    <w:p w14:paraId="10A4E537" w14:textId="035C259E" w:rsidR="00345A3B"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განსაკუთრებული სიფრთხილის ზომები</w:t>
      </w:r>
    </w:p>
    <w:p w14:paraId="78A05B81" w14:textId="24B69FE2" w:rsidR="008163AC" w:rsidRPr="00345A3B" w:rsidRDefault="00DE5071" w:rsidP="00E95F01">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გამოიყენეთ დაუყოვნებლივ. მხოლოდ ერთჯერადი გამოყენებისთვის. გამოუყენებელი ფლაკონის ნებისმიერი ნაწილი უნდა გადააგდოთ.</w:t>
      </w:r>
    </w:p>
    <w:p w14:paraId="54000EDA" w14:textId="77777777" w:rsidR="003A3227" w:rsidRDefault="003A3227" w:rsidP="00E95F01">
      <w:pPr>
        <w:autoSpaceDE w:val="0"/>
        <w:autoSpaceDN w:val="0"/>
        <w:adjustRightInd w:val="0"/>
        <w:spacing w:after="0" w:line="240" w:lineRule="auto"/>
        <w:rPr>
          <w:rFonts w:ascii="Times New Roman" w:hAnsi="Times New Roman" w:cs="Times New Roman"/>
          <w:b/>
          <w:bCs/>
          <w:color w:val="000000"/>
          <w:kern w:val="0"/>
        </w:rPr>
      </w:pPr>
    </w:p>
    <w:p w14:paraId="2D62F22F" w14:textId="77777777" w:rsidR="003A3227" w:rsidRDefault="003A3227" w:rsidP="00E95F01">
      <w:pPr>
        <w:autoSpaceDE w:val="0"/>
        <w:autoSpaceDN w:val="0"/>
        <w:adjustRightInd w:val="0"/>
        <w:spacing w:after="0" w:line="240" w:lineRule="auto"/>
        <w:rPr>
          <w:rFonts w:ascii="Times New Roman" w:hAnsi="Times New Roman" w:cs="Times New Roman"/>
          <w:b/>
          <w:bCs/>
          <w:color w:val="000000"/>
          <w:kern w:val="0"/>
        </w:rPr>
      </w:pPr>
    </w:p>
    <w:p w14:paraId="47F1BD61" w14:textId="77777777" w:rsidR="003A3227" w:rsidRDefault="003A3227" w:rsidP="003A3227">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1FFB16F2" w14:textId="77777777" w:rsidR="003A3227" w:rsidRPr="000F4D22" w:rsidRDefault="003A3227" w:rsidP="003A3227">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26A9C6BA" w14:textId="77777777" w:rsidR="003A3227" w:rsidRDefault="003A3227" w:rsidP="00E95F01">
      <w:pPr>
        <w:autoSpaceDE w:val="0"/>
        <w:autoSpaceDN w:val="0"/>
        <w:adjustRightInd w:val="0"/>
        <w:spacing w:after="0" w:line="240" w:lineRule="auto"/>
        <w:rPr>
          <w:rFonts w:ascii="Times New Roman" w:hAnsi="Times New Roman" w:cs="Times New Roman"/>
          <w:b/>
          <w:bCs/>
          <w:color w:val="000000"/>
          <w:kern w:val="0"/>
        </w:rPr>
      </w:pPr>
    </w:p>
    <w:p w14:paraId="0A1588A0" w14:textId="7EABFA2F"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მარკეტინგის მფლობელი</w:t>
      </w:r>
    </w:p>
    <w:p w14:paraId="77271DC4" w14:textId="7EA067C0" w:rsidR="00E95F01" w:rsidRDefault="00E95F01" w:rsidP="00E95F01">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ბრუდერის სიცოცხლის მეცნიერება</w:t>
      </w:r>
    </w:p>
    <w:p w14:paraId="52584AF2" w14:textId="342A2A14" w:rsidR="00E95F01" w:rsidRDefault="008163AC" w:rsidP="00E95F01">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ინდოეთი</w:t>
      </w:r>
    </w:p>
    <w:p w14:paraId="203FFD95" w14:textId="2E9ABCCA" w:rsidR="00E95F01" w:rsidRDefault="00E95F01" w:rsidP="00E95F01">
      <w:pPr>
        <w:autoSpaceDE w:val="0"/>
        <w:autoSpaceDN w:val="0"/>
        <w:adjustRightInd w:val="0"/>
        <w:spacing w:after="0" w:line="240" w:lineRule="auto"/>
        <w:rPr>
          <w:rFonts w:ascii="Times New Roman" w:hAnsi="Times New Roman" w:cs="Times New Roman"/>
          <w:b/>
          <w:bCs/>
          <w:color w:val="000000"/>
          <w:kern w:val="0"/>
        </w:rPr>
      </w:pPr>
      <w:r>
        <w:rPr>
          <w:rFonts w:ascii="Times New Roman" w:hAnsi="Times New Roman" w:cs="Times New Roman"/>
          <w:b/>
          <w:bCs/>
          <w:color w:val="000000"/>
          <w:kern w:val="0"/>
        </w:rPr>
        <w:t>მწარმოებელი</w:t>
      </w:r>
    </w:p>
    <w:p w14:paraId="51F00489" w14:textId="77777777" w:rsidR="00E95F01" w:rsidRDefault="00E95F01" w:rsidP="00E95F01">
      <w:pPr>
        <w:autoSpaceDE w:val="0"/>
        <w:autoSpaceDN w:val="0"/>
        <w:adjustRightInd w:val="0"/>
        <w:spacing w:after="0" w:line="240" w:lineRule="auto"/>
        <w:rPr>
          <w:rFonts w:ascii="Times New Roman" w:hAnsi="Times New Roman" w:cs="Times New Roman"/>
          <w:color w:val="222222"/>
          <w:kern w:val="0"/>
        </w:rPr>
      </w:pPr>
      <w:r>
        <w:rPr>
          <w:rFonts w:ascii="Times New Roman" w:hAnsi="Times New Roman" w:cs="Times New Roman"/>
          <w:color w:val="222222"/>
          <w:kern w:val="0"/>
        </w:rPr>
        <w:t>კვალითი ფარმასეუთიკ ლიმიტედი</w:t>
      </w:r>
    </w:p>
    <w:p w14:paraId="613B0151" w14:textId="5A2406FF" w:rsidR="008D6B74" w:rsidRDefault="00E95F01" w:rsidP="00E95F01">
      <w:r>
        <w:rPr>
          <w:rFonts w:ascii="Times New Roman" w:hAnsi="Times New Roman" w:cs="Times New Roman"/>
          <w:color w:val="222222"/>
          <w:kern w:val="0"/>
        </w:rPr>
        <w:t>ინდოეთი</w:t>
      </w:r>
    </w:p>
    <w:sectPr w:rsidR="008D6B74" w:rsidSect="00DE5071">
      <w:pgSz w:w="11906" w:h="16838"/>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F0E"/>
    <w:rsid w:val="00022F10"/>
    <w:rsid w:val="00031380"/>
    <w:rsid w:val="000B65AA"/>
    <w:rsid w:val="000C347E"/>
    <w:rsid w:val="00111A99"/>
    <w:rsid w:val="00141FD2"/>
    <w:rsid w:val="001B45F6"/>
    <w:rsid w:val="001D17B0"/>
    <w:rsid w:val="002C3380"/>
    <w:rsid w:val="00345A3B"/>
    <w:rsid w:val="003A3227"/>
    <w:rsid w:val="004018CC"/>
    <w:rsid w:val="00455932"/>
    <w:rsid w:val="00642BDC"/>
    <w:rsid w:val="006E07F8"/>
    <w:rsid w:val="006E4A5C"/>
    <w:rsid w:val="006F1FC7"/>
    <w:rsid w:val="00701DB9"/>
    <w:rsid w:val="00771D3C"/>
    <w:rsid w:val="008163AC"/>
    <w:rsid w:val="008D6B74"/>
    <w:rsid w:val="009355B8"/>
    <w:rsid w:val="00940874"/>
    <w:rsid w:val="00A96D80"/>
    <w:rsid w:val="00AD4F0E"/>
    <w:rsid w:val="00B11D95"/>
    <w:rsid w:val="00BD1D33"/>
    <w:rsid w:val="00BD3FF1"/>
    <w:rsid w:val="00C90A7F"/>
    <w:rsid w:val="00CB1BE9"/>
    <w:rsid w:val="00D97206"/>
    <w:rsid w:val="00DE5071"/>
    <w:rsid w:val="00E95DFB"/>
    <w:rsid w:val="00E95F01"/>
    <w:rsid w:val="00EE776D"/>
    <w:rsid w:val="00F56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C257"/>
  <w15:chartTrackingRefBased/>
  <w15:docId w15:val="{68B0BF3C-8EF1-416E-9B1B-2F9401DA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F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F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F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F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F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F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F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F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F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F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F0E"/>
    <w:rPr>
      <w:rFonts w:eastAsiaTheme="majorEastAsia" w:cstheme="majorBidi"/>
      <w:color w:val="272727" w:themeColor="text1" w:themeTint="D8"/>
    </w:rPr>
  </w:style>
  <w:style w:type="paragraph" w:styleId="Title">
    <w:name w:val="Title"/>
    <w:basedOn w:val="Normal"/>
    <w:next w:val="Normal"/>
    <w:link w:val="TitleChar"/>
    <w:uiPriority w:val="10"/>
    <w:qFormat/>
    <w:rsid w:val="00AD4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F0E"/>
    <w:pPr>
      <w:spacing w:before="160"/>
      <w:jc w:val="center"/>
    </w:pPr>
    <w:rPr>
      <w:i/>
      <w:iCs/>
      <w:color w:val="404040" w:themeColor="text1" w:themeTint="BF"/>
    </w:rPr>
  </w:style>
  <w:style w:type="character" w:customStyle="1" w:styleId="QuoteChar">
    <w:name w:val="Quote Char"/>
    <w:basedOn w:val="DefaultParagraphFont"/>
    <w:link w:val="Quote"/>
    <w:uiPriority w:val="29"/>
    <w:rsid w:val="00AD4F0E"/>
    <w:rPr>
      <w:i/>
      <w:iCs/>
      <w:color w:val="404040" w:themeColor="text1" w:themeTint="BF"/>
    </w:rPr>
  </w:style>
  <w:style w:type="paragraph" w:styleId="ListParagraph">
    <w:name w:val="List Paragraph"/>
    <w:basedOn w:val="Normal"/>
    <w:uiPriority w:val="34"/>
    <w:qFormat/>
    <w:rsid w:val="00AD4F0E"/>
    <w:pPr>
      <w:ind w:left="720"/>
      <w:contextualSpacing/>
    </w:pPr>
  </w:style>
  <w:style w:type="character" w:styleId="IntenseEmphasis">
    <w:name w:val="Intense Emphasis"/>
    <w:basedOn w:val="DefaultParagraphFont"/>
    <w:uiPriority w:val="21"/>
    <w:qFormat/>
    <w:rsid w:val="00AD4F0E"/>
    <w:rPr>
      <w:i/>
      <w:iCs/>
      <w:color w:val="0F4761" w:themeColor="accent1" w:themeShade="BF"/>
    </w:rPr>
  </w:style>
  <w:style w:type="paragraph" w:styleId="IntenseQuote">
    <w:name w:val="Intense Quote"/>
    <w:basedOn w:val="Normal"/>
    <w:next w:val="Normal"/>
    <w:link w:val="IntenseQuoteChar"/>
    <w:uiPriority w:val="30"/>
    <w:qFormat/>
    <w:rsid w:val="00AD4F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F0E"/>
    <w:rPr>
      <w:i/>
      <w:iCs/>
      <w:color w:val="0F4761" w:themeColor="accent1" w:themeShade="BF"/>
    </w:rPr>
  </w:style>
  <w:style w:type="character" w:styleId="IntenseReference">
    <w:name w:val="Intense Reference"/>
    <w:basedOn w:val="DefaultParagraphFont"/>
    <w:uiPriority w:val="32"/>
    <w:qFormat/>
    <w:rsid w:val="00AD4F0E"/>
    <w:rPr>
      <w:b/>
      <w:bCs/>
      <w:smallCaps/>
      <w:color w:val="0F4761" w:themeColor="accent1" w:themeShade="BF"/>
      <w:spacing w:val="5"/>
    </w:rPr>
  </w:style>
  <w:style w:type="paragraph" w:customStyle="1" w:styleId="TableParagraph">
    <w:name w:val="Table Paragraph"/>
    <w:basedOn w:val="Normal"/>
    <w:uiPriority w:val="1"/>
    <w:qFormat/>
    <w:rsid w:val="006E4A5C"/>
    <w:pPr>
      <w:widowControl w:val="0"/>
      <w:spacing w:after="0" w:line="240" w:lineRule="auto"/>
    </w:pPr>
    <w:rPr>
      <w:rFonts w:ascii="Calibri" w:eastAsia="Calibri" w:hAnsi="Calibri" w:cs="Times New Roman"/>
      <w:kern w:val="0"/>
      <w:sz w:val="22"/>
      <w:szCs w:val="22"/>
      <w:lang w:val="en-US"/>
      <w14:ligatures w14:val="none"/>
    </w:rPr>
  </w:style>
  <w:style w:type="character" w:styleId="Strong">
    <w:name w:val="Strong"/>
    <w:basedOn w:val="DefaultParagraphFont"/>
    <w:uiPriority w:val="22"/>
    <w:qFormat/>
    <w:rsid w:val="006F1F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795</TotalTime>
  <Pages>1</Pages>
  <Words>1889</Words>
  <Characters>10771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Ana-Gigauri</dc:creator>
  <cp:keywords/>
  <dc:description/>
  <cp:lastModifiedBy>Zaza Chapichadze</cp:lastModifiedBy>
  <cp:revision>30</cp:revision>
  <dcterms:created xsi:type="dcterms:W3CDTF">2026-04-05T14:15:00Z</dcterms:created>
  <dcterms:modified xsi:type="dcterms:W3CDTF">2026-05-11T13:07:00Z</dcterms:modified>
</cp:coreProperties>
</file>