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5E3CB" w14:textId="77777777" w:rsidR="00C70B45" w:rsidRPr="008717B0" w:rsidRDefault="00C70B45" w:rsidP="00C70B45">
      <w:pPr>
        <w:spacing w:after="0"/>
        <w:jc w:val="center"/>
        <w:rPr>
          <w:b/>
          <w:noProof/>
          <w:sz w:val="24"/>
          <w:szCs w:val="24"/>
          <w:lang w:val="ka-GE"/>
        </w:rPr>
      </w:pPr>
      <w:r w:rsidRPr="008717B0">
        <w:rPr>
          <w:b/>
          <w:noProof/>
          <w:sz w:val="24"/>
          <w:szCs w:val="24"/>
          <w:lang w:val="ka-GE"/>
        </w:rPr>
        <w:t>ინსტრუქციები</w:t>
      </w:r>
    </w:p>
    <w:p w14:paraId="26A0C73A" w14:textId="77777777" w:rsidR="00C70B45" w:rsidRPr="008717B0" w:rsidRDefault="00C70B45" w:rsidP="00C70B45">
      <w:pPr>
        <w:spacing w:after="0"/>
        <w:jc w:val="center"/>
        <w:rPr>
          <w:b/>
          <w:noProof/>
          <w:sz w:val="24"/>
          <w:szCs w:val="24"/>
          <w:lang w:val="ka-GE"/>
        </w:rPr>
      </w:pPr>
      <w:r w:rsidRPr="008717B0">
        <w:rPr>
          <w:b/>
          <w:noProof/>
          <w:sz w:val="24"/>
          <w:szCs w:val="24"/>
          <w:lang w:val="ka-GE"/>
        </w:rPr>
        <w:t>პრეპარატის სამედიცინო გამოყენების შესახებ</w:t>
      </w:r>
    </w:p>
    <w:p w14:paraId="0107C5E1" w14:textId="77777777" w:rsidR="00C70B45" w:rsidRPr="008717B0" w:rsidRDefault="00C70B45" w:rsidP="00C70B45">
      <w:pPr>
        <w:spacing w:after="0"/>
        <w:jc w:val="center"/>
        <w:rPr>
          <w:b/>
          <w:noProof/>
          <w:sz w:val="24"/>
          <w:szCs w:val="24"/>
          <w:lang w:val="ka-GE"/>
        </w:rPr>
      </w:pPr>
      <w:r w:rsidRPr="008717B0">
        <w:rPr>
          <w:b/>
          <w:noProof/>
          <w:sz w:val="24"/>
          <w:szCs w:val="24"/>
          <w:lang w:val="ka-GE"/>
        </w:rPr>
        <w:t>ნიტროგლიცერინი-ზდოროვიე</w:t>
      </w:r>
    </w:p>
    <w:p w14:paraId="223EF8FF" w14:textId="77777777" w:rsidR="00C70B45" w:rsidRPr="008717B0" w:rsidRDefault="00C70B45" w:rsidP="00C70B45">
      <w:pPr>
        <w:spacing w:after="0"/>
        <w:jc w:val="center"/>
        <w:rPr>
          <w:b/>
          <w:noProof/>
          <w:sz w:val="24"/>
          <w:szCs w:val="24"/>
          <w:lang w:val="ka-GE"/>
        </w:rPr>
      </w:pPr>
      <w:r w:rsidRPr="008717B0">
        <w:rPr>
          <w:b/>
          <w:noProof/>
          <w:sz w:val="24"/>
          <w:szCs w:val="24"/>
          <w:lang w:val="ka-GE"/>
        </w:rPr>
        <w:t>(NITROGLYCERIN - ZDOROVYE)</w:t>
      </w:r>
    </w:p>
    <w:p w14:paraId="64E30136" w14:textId="77777777" w:rsidR="00C70B45" w:rsidRPr="008717B0" w:rsidRDefault="00C70B45" w:rsidP="00C70B45">
      <w:pPr>
        <w:spacing w:after="0"/>
        <w:jc w:val="both"/>
        <w:rPr>
          <w:b/>
          <w:i/>
          <w:noProof/>
          <w:sz w:val="24"/>
          <w:szCs w:val="24"/>
          <w:lang w:val="ka-GE"/>
        </w:rPr>
      </w:pPr>
      <w:r w:rsidRPr="008717B0">
        <w:rPr>
          <w:b/>
          <w:i/>
          <w:noProof/>
          <w:sz w:val="24"/>
          <w:szCs w:val="24"/>
          <w:lang w:val="ka-GE"/>
        </w:rPr>
        <w:t xml:space="preserve">შემადგენლობა: </w:t>
      </w:r>
    </w:p>
    <w:p w14:paraId="73B27142" w14:textId="77777777" w:rsidR="00C70B45" w:rsidRPr="008717B0" w:rsidRDefault="00C70B45" w:rsidP="00C70B45">
      <w:pPr>
        <w:spacing w:after="0"/>
        <w:jc w:val="both"/>
        <w:rPr>
          <w:noProof/>
          <w:sz w:val="24"/>
          <w:szCs w:val="24"/>
          <w:lang w:val="ka-GE"/>
        </w:rPr>
      </w:pPr>
      <w:r w:rsidRPr="008717B0">
        <w:rPr>
          <w:i/>
          <w:noProof/>
          <w:sz w:val="24"/>
          <w:szCs w:val="24"/>
          <w:u w:val="single"/>
          <w:lang w:val="ka-GE"/>
        </w:rPr>
        <w:t>აქტიური ინგრედიენტი:</w:t>
      </w:r>
      <w:r w:rsidRPr="008717B0">
        <w:rPr>
          <w:noProof/>
          <w:sz w:val="24"/>
          <w:szCs w:val="24"/>
          <w:lang w:val="ka-GE"/>
        </w:rPr>
        <w:t xml:space="preserve"> 1 ტაბლეტი შეიცავს ნიტროგლიცერინს, განზავებულს (ლაქტოზით) ნიტროგლიცერინის თვალსაზრისით 0.5 მგ;</w:t>
      </w:r>
    </w:p>
    <w:p w14:paraId="1FAFE412" w14:textId="77777777" w:rsidR="00C70B45" w:rsidRPr="008717B0" w:rsidRDefault="00C70B45" w:rsidP="00C70B45">
      <w:pPr>
        <w:spacing w:after="0"/>
        <w:jc w:val="both"/>
        <w:rPr>
          <w:noProof/>
          <w:sz w:val="24"/>
          <w:szCs w:val="24"/>
          <w:lang w:val="ka-GE"/>
        </w:rPr>
      </w:pPr>
      <w:r w:rsidRPr="008717B0">
        <w:rPr>
          <w:i/>
          <w:noProof/>
          <w:sz w:val="24"/>
          <w:szCs w:val="24"/>
          <w:u w:val="single"/>
          <w:lang w:val="ka-GE"/>
        </w:rPr>
        <w:t>დამხმარე ნივთიერებები:</w:t>
      </w:r>
      <w:r w:rsidRPr="008717B0">
        <w:rPr>
          <w:noProof/>
          <w:sz w:val="24"/>
          <w:szCs w:val="24"/>
          <w:lang w:val="ka-GE"/>
        </w:rPr>
        <w:t xml:space="preserve"> მიკროკრისტალური ცელულოზა, კარტოფილის სახამებელი, პოვიდონი, უწყლო კოლოიდური სილიციუმის დიოქსიდი, მაგნიუმის სტეარატი, ასპარტამი (E951), კროსპოვიდონი, ლაქტოზის მონოჰიდრატი.</w:t>
      </w:r>
    </w:p>
    <w:p w14:paraId="39CD3A04" w14:textId="77777777" w:rsidR="00C70B45" w:rsidRPr="008717B0" w:rsidRDefault="00C70B45" w:rsidP="00C70B45">
      <w:pPr>
        <w:spacing w:after="0"/>
        <w:jc w:val="both"/>
        <w:rPr>
          <w:noProof/>
          <w:sz w:val="24"/>
          <w:szCs w:val="24"/>
          <w:lang w:val="ka-GE"/>
        </w:rPr>
      </w:pPr>
    </w:p>
    <w:p w14:paraId="11377D21" w14:textId="77777777" w:rsidR="00C70B45" w:rsidRPr="008717B0" w:rsidRDefault="00C70B45" w:rsidP="00C70B45">
      <w:pPr>
        <w:spacing w:after="0"/>
        <w:jc w:val="both"/>
        <w:rPr>
          <w:noProof/>
          <w:sz w:val="24"/>
          <w:szCs w:val="24"/>
          <w:lang w:val="ka-GE"/>
        </w:rPr>
      </w:pPr>
      <w:r w:rsidRPr="008717B0">
        <w:rPr>
          <w:b/>
          <w:noProof/>
          <w:sz w:val="24"/>
          <w:szCs w:val="24"/>
          <w:lang w:val="ka-GE"/>
        </w:rPr>
        <w:t>დოზირების ფორმა:</w:t>
      </w:r>
      <w:r w:rsidRPr="008717B0">
        <w:rPr>
          <w:noProof/>
          <w:sz w:val="24"/>
          <w:szCs w:val="24"/>
          <w:lang w:val="ka-GE"/>
        </w:rPr>
        <w:t xml:space="preserve"> ენისქვეშა ტაბლეტები.</w:t>
      </w:r>
    </w:p>
    <w:p w14:paraId="18C80E04" w14:textId="77777777" w:rsidR="00C70B45" w:rsidRPr="008717B0" w:rsidRDefault="00C70B45" w:rsidP="00C70B45">
      <w:pPr>
        <w:spacing w:after="0"/>
        <w:jc w:val="both"/>
        <w:rPr>
          <w:noProof/>
          <w:sz w:val="24"/>
          <w:szCs w:val="24"/>
          <w:lang w:val="ka-GE"/>
        </w:rPr>
      </w:pPr>
      <w:r w:rsidRPr="008717B0">
        <w:rPr>
          <w:i/>
          <w:noProof/>
          <w:sz w:val="24"/>
          <w:szCs w:val="24"/>
          <w:lang w:val="ka-GE"/>
        </w:rPr>
        <w:t>ძირითადი ფიზიკურ-ქიმიური თვისებები:</w:t>
      </w:r>
      <w:r w:rsidRPr="008717B0">
        <w:rPr>
          <w:noProof/>
          <w:sz w:val="24"/>
          <w:szCs w:val="24"/>
          <w:lang w:val="ka-GE"/>
        </w:rPr>
        <w:t xml:space="preserve"> თეთრი, ბრტყელ-ცილინდრული ფორმის ტაბლეტები დახრილი კიდეებით.</w:t>
      </w:r>
    </w:p>
    <w:p w14:paraId="4DCE7DAE" w14:textId="77777777" w:rsidR="00C70B45" w:rsidRPr="008717B0" w:rsidRDefault="00C70B45" w:rsidP="00C70B45">
      <w:pPr>
        <w:spacing w:after="0"/>
        <w:jc w:val="both"/>
        <w:rPr>
          <w:noProof/>
          <w:sz w:val="24"/>
          <w:szCs w:val="24"/>
          <w:lang w:val="ka-GE"/>
        </w:rPr>
      </w:pPr>
    </w:p>
    <w:p w14:paraId="05B847F8" w14:textId="77777777" w:rsidR="00C70B45" w:rsidRPr="008717B0" w:rsidRDefault="00C70B45" w:rsidP="00C70B45">
      <w:pPr>
        <w:spacing w:after="0"/>
        <w:jc w:val="both"/>
        <w:rPr>
          <w:noProof/>
          <w:sz w:val="24"/>
          <w:szCs w:val="24"/>
          <w:lang w:val="ka-GE"/>
        </w:rPr>
      </w:pPr>
      <w:r w:rsidRPr="008717B0">
        <w:rPr>
          <w:b/>
          <w:noProof/>
          <w:sz w:val="24"/>
          <w:szCs w:val="24"/>
          <w:lang w:val="ka-GE"/>
        </w:rPr>
        <w:t>ფარმაკოთერაპიული ჯგუფი:</w:t>
      </w:r>
      <w:r w:rsidRPr="008717B0">
        <w:rPr>
          <w:noProof/>
          <w:sz w:val="24"/>
          <w:szCs w:val="24"/>
          <w:lang w:val="ka-GE"/>
        </w:rPr>
        <w:t xml:space="preserve"> კარდიოლოგიაში გამოსაყენებელი ვაზოდილატატორები. ორგანული ნიტრატები. ATX კოდი C01DA02.</w:t>
      </w:r>
    </w:p>
    <w:p w14:paraId="09AD9AB6" w14:textId="77777777" w:rsidR="00C70B45" w:rsidRPr="008717B0" w:rsidRDefault="00C70B45" w:rsidP="00C70B45">
      <w:pPr>
        <w:spacing w:after="0"/>
        <w:jc w:val="both"/>
        <w:rPr>
          <w:b/>
          <w:i/>
          <w:noProof/>
          <w:sz w:val="24"/>
          <w:szCs w:val="24"/>
          <w:lang w:val="ka-GE"/>
        </w:rPr>
      </w:pPr>
    </w:p>
    <w:p w14:paraId="6414F2A2" w14:textId="77777777" w:rsidR="00C70B45" w:rsidRPr="008717B0" w:rsidRDefault="00C70B45" w:rsidP="00C70B45">
      <w:pPr>
        <w:spacing w:after="0"/>
        <w:jc w:val="both"/>
        <w:rPr>
          <w:b/>
          <w:i/>
          <w:noProof/>
          <w:sz w:val="24"/>
          <w:szCs w:val="24"/>
          <w:lang w:val="ka-GE"/>
        </w:rPr>
      </w:pPr>
      <w:r w:rsidRPr="008717B0">
        <w:rPr>
          <w:b/>
          <w:i/>
          <w:noProof/>
          <w:sz w:val="24"/>
          <w:szCs w:val="24"/>
          <w:lang w:val="ka-GE"/>
        </w:rPr>
        <w:t>ფარმაკოლოგიური თვისებები.</w:t>
      </w:r>
    </w:p>
    <w:p w14:paraId="12AD2BBD" w14:textId="77777777" w:rsidR="00C70B45" w:rsidRPr="008717B0" w:rsidRDefault="00C70B45" w:rsidP="00C70B45">
      <w:pPr>
        <w:spacing w:after="0"/>
        <w:jc w:val="both"/>
        <w:rPr>
          <w:noProof/>
          <w:sz w:val="24"/>
          <w:szCs w:val="24"/>
          <w:lang w:val="ka-GE"/>
        </w:rPr>
      </w:pPr>
      <w:r w:rsidRPr="008717B0">
        <w:rPr>
          <w:i/>
          <w:noProof/>
          <w:sz w:val="24"/>
          <w:szCs w:val="24"/>
          <w:lang w:val="ka-GE"/>
        </w:rPr>
        <w:t>ფარმაკოდინამიკა.</w:t>
      </w:r>
      <w:r w:rsidRPr="008717B0">
        <w:rPr>
          <w:noProof/>
          <w:sz w:val="24"/>
          <w:szCs w:val="24"/>
          <w:lang w:val="ka-GE"/>
        </w:rPr>
        <w:t xml:space="preserve"> ნიტროგლიცერინი არის პერიფერიული ვაზოდილატატორი, რომელიც უპირატესად მოქმედებს პერიფერიულ სისხლძარღვებზე.</w:t>
      </w:r>
    </w:p>
    <w:p w14:paraId="1873A0F1" w14:textId="77777777" w:rsidR="00C70B45" w:rsidRPr="008717B0" w:rsidRDefault="00C70B45" w:rsidP="00C70B45">
      <w:pPr>
        <w:spacing w:after="0"/>
        <w:jc w:val="both"/>
        <w:rPr>
          <w:noProof/>
          <w:sz w:val="24"/>
          <w:szCs w:val="24"/>
          <w:lang w:val="ka-GE"/>
        </w:rPr>
      </w:pPr>
      <w:r w:rsidRPr="008717B0">
        <w:rPr>
          <w:noProof/>
          <w:sz w:val="24"/>
          <w:szCs w:val="24"/>
          <w:lang w:val="ka-GE"/>
        </w:rPr>
        <w:t>ნიტროგლიცერინი პირდაპირ მოქმედებს გლუვ კუნთებზე, ძირითადად ვენურ და არტერიულ სისხლძარღვებში, სისხლძარღვის კედლის გლუვი კუნთების გარსში განლაგებული ნიტრატის რეცეპტორის მეშვეობით. ნიტროგლიცერინი ფერმენტულად გარდაიქმნება გლუვ კუნთებში აზოტის ოქსიდად (NO), რომელიც ასტიმულირებს ხსნად გუანილატციკლაზას, რომელიც პასუხისმგებელია ციკლური გუანოზინ-3',5'-მონოფოსფატის (cGMP) წარმოქმნაზე, რომელიც წარმოადგენს რელაქსაციის მედიატორს.</w:t>
      </w:r>
    </w:p>
    <w:p w14:paraId="26F208A1" w14:textId="77777777" w:rsidR="00C70B45" w:rsidRPr="008717B0" w:rsidRDefault="00C70B45" w:rsidP="00C70B45">
      <w:pPr>
        <w:spacing w:after="0"/>
        <w:jc w:val="both"/>
        <w:rPr>
          <w:noProof/>
          <w:sz w:val="24"/>
          <w:szCs w:val="24"/>
          <w:lang w:val="ka-GE"/>
        </w:rPr>
      </w:pPr>
      <w:r w:rsidRPr="008717B0">
        <w:rPr>
          <w:noProof/>
          <w:sz w:val="24"/>
          <w:szCs w:val="24"/>
          <w:lang w:val="ka-GE"/>
        </w:rPr>
        <w:t>გავლენას ახდენს სისხლძარღვთა ტონისა და გულის აქტივობის ცენტრალური რეგულირების პროცესებზე.</w:t>
      </w:r>
    </w:p>
    <w:p w14:paraId="2E41E27B" w14:textId="77777777" w:rsidR="00C70B45" w:rsidRPr="008717B0" w:rsidRDefault="00C70B45" w:rsidP="00C70B45">
      <w:pPr>
        <w:spacing w:after="0"/>
        <w:jc w:val="both"/>
        <w:rPr>
          <w:noProof/>
          <w:sz w:val="24"/>
          <w:szCs w:val="24"/>
          <w:lang w:val="ka-GE"/>
        </w:rPr>
      </w:pPr>
      <w:r w:rsidRPr="008717B0">
        <w:rPr>
          <w:noProof/>
          <w:sz w:val="24"/>
          <w:szCs w:val="24"/>
          <w:lang w:val="ka-GE"/>
        </w:rPr>
        <w:t>ხელს უწყობს კატექოლამინების გამოთავისუფლებას ტვინსა და გულში, რაც იწვევს სიმპათიკური და ვაზომოტორული ტონუსის ცენტრალურ დათრგუნვას, მიოკარდიუმზე არაპირდაპირ სიმპათომიმეტურ ეფექტს და ტროპონინ-ტროპომიოზინის კომპლექსის კონფორმაციულ ცვლილებებს. ნიტროგლიცერინის გულსა და პერიფერიულ სისხლძარღვებზე ზემოქმედების ბუნება და ინტენსივობა დამოკიდებულია ცენტრალური და პერიფერიული პროცესების ურთიერთქმედებაზე. ტკივილის იმპულსების ცენტრალური დათრგუნვით გამოწვეული ვაზოკონსტრიქტორული რეფლექსების დათრგუნვა კორონარულ სისხლძარღვებში ხელს უწყობს სტენოკარდიის შეტევების შემსუბუქებას.</w:t>
      </w:r>
    </w:p>
    <w:p w14:paraId="309A41EE" w14:textId="77777777" w:rsidR="00C70B45" w:rsidRPr="008717B0" w:rsidRDefault="00C70B45" w:rsidP="00C70B45">
      <w:pPr>
        <w:spacing w:after="0"/>
        <w:jc w:val="both"/>
        <w:rPr>
          <w:noProof/>
          <w:sz w:val="24"/>
          <w:szCs w:val="24"/>
          <w:lang w:val="ka-GE"/>
        </w:rPr>
      </w:pPr>
      <w:r w:rsidRPr="008717B0">
        <w:rPr>
          <w:noProof/>
          <w:sz w:val="24"/>
          <w:szCs w:val="24"/>
          <w:lang w:val="ka-GE"/>
        </w:rPr>
        <w:t xml:space="preserve">ნიტროგლიცერინის ანტიანგინალური ეფექტი განპირობებულია მისი ნორმალიზებელი მოქმედებით ელექტროლიტების მეტაბოლიზმსა და მიოკარდიუმის ენერგეტიკაზე, კერძოდ, სუნთქვითი ჯაჭვის ძირითად პარამეტრებზე (ნიკოტინამიდის კოენზიმების დაჟანგული და აღდგენილი ფორმების თანაფარდობა) და NAD-დამოკიდებული დეჰიდროგენაზების აქტივობაზე. ის ასევე გავლენას ახდენს გულის ფუნქციასა და სისტემურ </w:t>
      </w:r>
      <w:r w:rsidRPr="008717B0">
        <w:rPr>
          <w:noProof/>
          <w:sz w:val="24"/>
          <w:szCs w:val="24"/>
          <w:lang w:val="ka-GE"/>
        </w:rPr>
        <w:lastRenderedPageBreak/>
        <w:t>ჰემოდინამიკაზე. ნიტროგლიცერინი ზრდის რეტროგრადულ სისხლის ნაკადს დილატაციისა და ფუნქციონირებადი კოლატერალების რაოდენობის ზრდის გამო.</w:t>
      </w:r>
    </w:p>
    <w:p w14:paraId="28E0189C" w14:textId="77777777" w:rsidR="00C70B45" w:rsidRPr="008717B0" w:rsidRDefault="00C70B45" w:rsidP="00C70B45">
      <w:pPr>
        <w:spacing w:after="0"/>
        <w:jc w:val="both"/>
        <w:rPr>
          <w:noProof/>
          <w:sz w:val="24"/>
          <w:szCs w:val="24"/>
          <w:lang w:val="ka-GE"/>
        </w:rPr>
      </w:pPr>
      <w:r w:rsidRPr="008717B0">
        <w:rPr>
          <w:noProof/>
          <w:sz w:val="24"/>
          <w:szCs w:val="24"/>
          <w:lang w:val="ka-GE"/>
        </w:rPr>
        <w:t>არაპირდაპირი სიმპათომიმეტიკური ეფექტები, ისევე როგორც ციკლური AMF-ის დაგროვება მიოკარდიუმში, იწვევს მიოკარდიუმის შეკუმშვადობის ზრდას. გარდა ამისა, აზოტის ოქსიდი ეფექტურად აფერხებს როგორც თრომბოციტების აგრეგაციას, ასევე ადჰეზიას.</w:t>
      </w:r>
    </w:p>
    <w:p w14:paraId="381CE7A6" w14:textId="77777777" w:rsidR="00C70B45" w:rsidRPr="008717B0" w:rsidRDefault="00C70B45" w:rsidP="00C70B45">
      <w:pPr>
        <w:spacing w:after="0"/>
        <w:jc w:val="both"/>
        <w:rPr>
          <w:noProof/>
          <w:sz w:val="24"/>
          <w:szCs w:val="24"/>
          <w:lang w:val="ka-GE"/>
        </w:rPr>
      </w:pPr>
      <w:r w:rsidRPr="008717B0">
        <w:rPr>
          <w:noProof/>
          <w:sz w:val="24"/>
          <w:szCs w:val="24"/>
          <w:lang w:val="ka-GE"/>
        </w:rPr>
        <w:t>პერიფერიული წინააღმდეგობის შემცირება და ვენური დაბრუნების დაქვეითება დაკავშირებულია სისხლძარღვების გლუვი კუნთების რელაქსაციასთან, რაც ამცირებს გულზე წინასწარ და შემდგომ დატვირთვას. ვენოდილაცია იწვევს გულში შემომავალი სისხლის მოცულობის შემცირებას და წინასწარი დატვირთვის შემცირებას, ხოლო არტერიული დილატაცია ამცირებს საერთო პერიფერიულ წინააღმდეგობას და შემდგომ დატვირთვას, რაც საბოლოოდ აუმჯობესებს გულის მუშაობას და კორონარულ სისხლის მიმოქცევას.</w:t>
      </w:r>
    </w:p>
    <w:p w14:paraId="47EF9004" w14:textId="77777777" w:rsidR="00C70B45" w:rsidRPr="008717B0" w:rsidRDefault="00C70B45" w:rsidP="00C70B45">
      <w:pPr>
        <w:spacing w:after="0"/>
        <w:jc w:val="both"/>
        <w:rPr>
          <w:noProof/>
          <w:sz w:val="24"/>
          <w:szCs w:val="24"/>
          <w:lang w:val="ka-GE"/>
        </w:rPr>
      </w:pPr>
      <w:r w:rsidRPr="008717B0">
        <w:rPr>
          <w:noProof/>
          <w:sz w:val="24"/>
          <w:szCs w:val="24"/>
          <w:lang w:val="ka-GE"/>
        </w:rPr>
        <w:t>მიოკარდიუმის სისხლის ნაკადი გადანაწილდება იშემიური კერის სასარგებლოდ, რაც აძლიერებს მიოკარდიუმის ინოტროპულ ფუნქციას. მარცხენა პარკუჭის ბოლო დიასტოლური წნევა და გულის ზომა მცირდება, რაც აუმჯობესებს სისხლის ნაკადს იშემიისადმი ყველაზე დაუცველ სუბენდოკარდიულ მიოკარდიუმში.</w:t>
      </w:r>
    </w:p>
    <w:p w14:paraId="4C74B295" w14:textId="77777777" w:rsidR="00C70B45" w:rsidRPr="008717B0" w:rsidRDefault="00C70B45" w:rsidP="00C70B45">
      <w:pPr>
        <w:spacing w:after="0"/>
        <w:jc w:val="both"/>
        <w:rPr>
          <w:noProof/>
          <w:sz w:val="24"/>
          <w:szCs w:val="24"/>
          <w:lang w:val="ka-GE"/>
        </w:rPr>
      </w:pPr>
      <w:r w:rsidRPr="008717B0">
        <w:rPr>
          <w:noProof/>
          <w:sz w:val="24"/>
          <w:szCs w:val="24"/>
          <w:lang w:val="ka-GE"/>
        </w:rPr>
        <w:t>პერიფერიული ვენური და არტერიული წინააღმდეგობისა და გულის ავსების წნევის შემცირება ხელს უწყობს მარცხენა პარკუჭის ენერგიის ხარჯვისა და მიოკარდიუმის ჟანგბადზე მოთხოვნილების შემცირებას.</w:t>
      </w:r>
    </w:p>
    <w:p w14:paraId="33F3E2C2" w14:textId="77777777" w:rsidR="00C70B45" w:rsidRPr="008717B0" w:rsidRDefault="00C70B45" w:rsidP="00C70B45">
      <w:pPr>
        <w:spacing w:after="0"/>
        <w:jc w:val="both"/>
        <w:rPr>
          <w:noProof/>
          <w:sz w:val="24"/>
          <w:szCs w:val="24"/>
          <w:lang w:val="ka-GE"/>
        </w:rPr>
      </w:pPr>
      <w:r w:rsidRPr="008717B0">
        <w:rPr>
          <w:noProof/>
          <w:sz w:val="24"/>
          <w:szCs w:val="24"/>
          <w:lang w:val="ka-GE"/>
        </w:rPr>
        <w:t>ფილტვის კაპილარული წნევა მცირდება, რაც განაპირობებს ნიტროგლიცერინის გამოყენების აუცილებლობას მიოკარდიუმის ინფარქტის დროს ფილტვის შეშუპებისა და გულის უკმარისობის შემთხვევაში.</w:t>
      </w:r>
    </w:p>
    <w:p w14:paraId="2E4F0425" w14:textId="77777777" w:rsidR="00C70B45" w:rsidRPr="008717B0" w:rsidRDefault="00C70B45" w:rsidP="00C70B45">
      <w:pPr>
        <w:spacing w:after="0"/>
        <w:jc w:val="both"/>
        <w:rPr>
          <w:noProof/>
          <w:sz w:val="24"/>
          <w:szCs w:val="24"/>
          <w:lang w:val="ka-GE"/>
        </w:rPr>
      </w:pPr>
      <w:r w:rsidRPr="008717B0">
        <w:rPr>
          <w:noProof/>
          <w:sz w:val="24"/>
          <w:szCs w:val="24"/>
          <w:lang w:val="ka-GE"/>
        </w:rPr>
        <w:t>კუმშვადობა აღდგება მიოკარდიუმის ცალკეული უბნების იშემიური ჰიპოკინეზიის დროს.</w:t>
      </w:r>
    </w:p>
    <w:p w14:paraId="285EC6DA" w14:textId="77777777" w:rsidR="00C70B45" w:rsidRPr="008717B0" w:rsidRDefault="00C70B45" w:rsidP="00C70B45">
      <w:pPr>
        <w:spacing w:after="0"/>
        <w:jc w:val="both"/>
        <w:rPr>
          <w:noProof/>
          <w:sz w:val="24"/>
          <w:szCs w:val="24"/>
          <w:lang w:val="ka-GE"/>
        </w:rPr>
      </w:pPr>
      <w:r w:rsidRPr="008717B0">
        <w:rPr>
          <w:noProof/>
          <w:sz w:val="24"/>
          <w:szCs w:val="24"/>
          <w:lang w:val="ka-GE"/>
        </w:rPr>
        <w:t>მენინგეალური სისხლძარღვები ფართოვდება, ვისცერული სისხლძარღვები ვიწროვდება და ფილტვის არტერიის წნევა მცირდება ნიტროგლიცერინის სისტემური ვაზოდილატაციური ეფექტის გამო.</w:t>
      </w:r>
    </w:p>
    <w:p w14:paraId="56FF50A4" w14:textId="77777777" w:rsidR="00C70B45" w:rsidRPr="008717B0" w:rsidRDefault="00C70B45" w:rsidP="00C70B45">
      <w:pPr>
        <w:spacing w:after="0"/>
        <w:jc w:val="both"/>
        <w:rPr>
          <w:noProof/>
          <w:sz w:val="24"/>
          <w:szCs w:val="24"/>
          <w:lang w:val="ka-GE"/>
        </w:rPr>
      </w:pPr>
      <w:r w:rsidRPr="008717B0">
        <w:rPr>
          <w:noProof/>
          <w:sz w:val="24"/>
          <w:szCs w:val="24"/>
          <w:lang w:val="ka-GE"/>
        </w:rPr>
        <w:t>ნიტროგლიცერინი ადუნებს ბრონქების, სანაღვლე გზების, კუჭ-ნაწლავის ტრაქტისა და საშარდე გზების გლუვ კუნთებს.</w:t>
      </w:r>
    </w:p>
    <w:p w14:paraId="1BC58D4E" w14:textId="77777777" w:rsidR="00C70B45" w:rsidRPr="008717B0" w:rsidRDefault="00C70B45" w:rsidP="00C70B45">
      <w:pPr>
        <w:spacing w:after="0"/>
        <w:jc w:val="both"/>
        <w:rPr>
          <w:noProof/>
          <w:sz w:val="24"/>
          <w:szCs w:val="24"/>
          <w:lang w:val="ka-GE"/>
        </w:rPr>
      </w:pPr>
      <w:r w:rsidRPr="008717B0">
        <w:rPr>
          <w:noProof/>
          <w:sz w:val="24"/>
          <w:szCs w:val="24"/>
          <w:lang w:val="ka-GE"/>
        </w:rPr>
        <w:t>ექსპერიმენტულმა კვლევებმა არ გამოავლინა ემბრიონზე ტერატოგენული ან ტოქსიკური ეფექტები.</w:t>
      </w:r>
    </w:p>
    <w:p w14:paraId="04CAA821" w14:textId="77777777" w:rsidR="00C70B45" w:rsidRPr="008717B0" w:rsidRDefault="00C70B45" w:rsidP="00C70B45">
      <w:pPr>
        <w:spacing w:after="0"/>
        <w:jc w:val="both"/>
        <w:rPr>
          <w:noProof/>
          <w:sz w:val="24"/>
          <w:szCs w:val="24"/>
          <w:lang w:val="ka-GE"/>
        </w:rPr>
      </w:pPr>
    </w:p>
    <w:p w14:paraId="6DA0B5B4" w14:textId="77777777" w:rsidR="00C70B45" w:rsidRPr="008717B0" w:rsidRDefault="00C70B45" w:rsidP="00C70B45">
      <w:pPr>
        <w:spacing w:after="0"/>
        <w:jc w:val="both"/>
        <w:rPr>
          <w:noProof/>
          <w:sz w:val="24"/>
          <w:szCs w:val="24"/>
          <w:lang w:val="ka-GE"/>
        </w:rPr>
      </w:pPr>
      <w:r w:rsidRPr="008717B0">
        <w:rPr>
          <w:b/>
          <w:noProof/>
          <w:sz w:val="24"/>
          <w:szCs w:val="24"/>
          <w:lang w:val="ka-GE"/>
        </w:rPr>
        <w:t>ფარმაკოკინეტიკა.</w:t>
      </w:r>
      <w:r w:rsidRPr="008717B0">
        <w:rPr>
          <w:noProof/>
          <w:sz w:val="24"/>
          <w:szCs w:val="24"/>
          <w:lang w:val="ka-GE"/>
        </w:rPr>
        <w:t xml:space="preserve"> ენისქვეშა შეყვანის შემდეგ ეფექტი 0.5–2 წუთში ვლინდება; პაციენტების 75% აღნიშნავს გაუმჯობესებას პირველი 3 წუთის განმავლობაში, ხოლო კიდევ 15% — 4–15 წუთში.</w:t>
      </w:r>
    </w:p>
    <w:p w14:paraId="4967B1AD" w14:textId="77777777" w:rsidR="00C70B45" w:rsidRPr="008717B0" w:rsidRDefault="00C70B45" w:rsidP="00C70B45">
      <w:pPr>
        <w:spacing w:after="0"/>
        <w:jc w:val="both"/>
        <w:rPr>
          <w:noProof/>
          <w:sz w:val="24"/>
          <w:szCs w:val="24"/>
          <w:lang w:val="ka-GE"/>
        </w:rPr>
      </w:pPr>
      <w:r w:rsidRPr="008717B0">
        <w:rPr>
          <w:noProof/>
          <w:sz w:val="24"/>
          <w:szCs w:val="24"/>
          <w:lang w:val="ka-GE"/>
        </w:rPr>
        <w:t>ენისქვეშ მიღებული ნიტროგლიცერინი შეიწოვება ლორწოვანი გარსის მიერ და ძირითადად ხვდება სისტემურ ცირკულაციაში. შეყვანილი დოზის 60–75% შეიწოვება. 2.3 მკგ/ლ-ის პიკური პლაზმური კონცენტრაცია მიიღწევა მიღებიდან 2–4 წუთში, მე-8 წუთისთვის მცირდება 50%-ით, ხოლო 20 წუთის შემდეგ ნიტროგლიცერინი პრაქტიკულად აღარ ვლინდება სისხლში. ის სწრაფად მეტაბოლიზდება ღვიძლში.</w:t>
      </w:r>
    </w:p>
    <w:p w14:paraId="2A181A48" w14:textId="77777777" w:rsidR="00C70B45" w:rsidRPr="008717B0" w:rsidRDefault="00C70B45" w:rsidP="00C70B45">
      <w:pPr>
        <w:spacing w:after="0"/>
        <w:jc w:val="both"/>
        <w:rPr>
          <w:noProof/>
          <w:sz w:val="24"/>
          <w:szCs w:val="24"/>
          <w:lang w:val="ka-GE"/>
        </w:rPr>
      </w:pPr>
      <w:r w:rsidRPr="008717B0">
        <w:rPr>
          <w:noProof/>
          <w:sz w:val="24"/>
          <w:szCs w:val="24"/>
          <w:lang w:val="ka-GE"/>
        </w:rPr>
        <w:t xml:space="preserve">პოლიჰიდრიული სპირტების ნიტროეთერები სწრაფად განიცდიან დენიტრაციას. დენიტრირებული მეტაბოლიტები, როგორიცაა 1,2- და 3,4-დინიტრატები, ნაკლებად აქტიურია და უფრო ხანგრძლივი ნახევარგამოყოფის პერიოდი აქვთ, ვიდრე </w:t>
      </w:r>
      <w:r w:rsidRPr="008717B0">
        <w:rPr>
          <w:noProof/>
          <w:sz w:val="24"/>
          <w:szCs w:val="24"/>
          <w:lang w:val="ka-GE"/>
        </w:rPr>
        <w:lastRenderedPageBreak/>
        <w:t>ნიტროგლიცერინს. ნიტროგლიცერინის ნახევარგამოყოფის პერიოდი დაახლოებით 30 წუთია.</w:t>
      </w:r>
    </w:p>
    <w:p w14:paraId="79B50D3A" w14:textId="77777777" w:rsidR="00C70B45" w:rsidRPr="008717B0" w:rsidRDefault="00C70B45" w:rsidP="00C70B45">
      <w:pPr>
        <w:spacing w:after="0"/>
        <w:jc w:val="both"/>
        <w:rPr>
          <w:noProof/>
          <w:sz w:val="24"/>
          <w:szCs w:val="24"/>
          <w:lang w:val="ka-GE"/>
        </w:rPr>
      </w:pPr>
      <w:r w:rsidRPr="008717B0">
        <w:rPr>
          <w:noProof/>
          <w:sz w:val="24"/>
          <w:szCs w:val="24"/>
          <w:lang w:val="ka-GE"/>
        </w:rPr>
        <w:t>ნიტრო ჯგუფების დაშლა ხდება თანმიმდევრულად, არაორგანული ნიტრიტებისა და ნიტრატების წარმოქმნით. ნიტროეთერის მოლეკულის ორგანული ნაწილი წარმოქმნის სპირტებს, ალდეჰიდებს და ორგანულ მჟავებს. მიღებიდან 4 საათის შემდეგ ნიტროეთერები (მთავარი პროდუქტი) თითქმის აღარ ვლინდება.</w:t>
      </w:r>
    </w:p>
    <w:p w14:paraId="31C95871" w14:textId="77777777" w:rsidR="00C70B45" w:rsidRPr="008717B0" w:rsidRDefault="00C70B45" w:rsidP="00C70B45">
      <w:pPr>
        <w:spacing w:after="0"/>
        <w:jc w:val="both"/>
        <w:rPr>
          <w:noProof/>
          <w:sz w:val="24"/>
          <w:szCs w:val="24"/>
          <w:lang w:val="ka-GE"/>
        </w:rPr>
      </w:pPr>
      <w:r w:rsidRPr="008717B0">
        <w:rPr>
          <w:noProof/>
          <w:sz w:val="24"/>
          <w:szCs w:val="24"/>
          <w:lang w:val="ka-GE"/>
        </w:rPr>
        <w:t>ნიტროგლიცერინი ყველაზე აქტიურად მეტაბოლიზდება ღვიძლში, თირკმელებსა და სისხლში. ნიტროეთერები იშლება ორი გზით: გლუტათიონ-დამოკიდებული რედუქტაზის მონაწილეობით, რომელიც ძირითადად ჰეპატოციტების ხსნად ფრაქციაშია ლოკალიზებული, და ფერმენტებით, რომლებიც არ საჭიროებენ აღდგენილ გლუტათიონს.</w:t>
      </w:r>
    </w:p>
    <w:p w14:paraId="1452AFF6" w14:textId="77777777" w:rsidR="00C70B45" w:rsidRPr="008717B0" w:rsidRDefault="00C70B45" w:rsidP="00C70B45">
      <w:pPr>
        <w:spacing w:after="0"/>
        <w:jc w:val="both"/>
        <w:rPr>
          <w:noProof/>
          <w:sz w:val="24"/>
          <w:szCs w:val="24"/>
          <w:lang w:val="ka-GE"/>
        </w:rPr>
      </w:pPr>
      <w:r w:rsidRPr="008717B0">
        <w:rPr>
          <w:noProof/>
          <w:sz w:val="24"/>
          <w:szCs w:val="24"/>
          <w:lang w:val="ka-GE"/>
        </w:rPr>
        <w:t>პრეპარატი მეტაბოლიზდება ძირითადად არტერიოვენურ სისხლძარღვოვან კალაპოტში და დიფუზირდება გლუვი კუნთების უჯრედებში, სადაც გარდაიქმნება აზოტის ოქსიდად. პრეპარატის მცირე ნაწილი, ძირითადად გლუტათიონ-S-რედუქტაზის გავლენით, ბიოტრანსფორმირდება ღვიძლში დი- და მონონიტრატებად და გლიცეროლად.</w:t>
      </w:r>
    </w:p>
    <w:p w14:paraId="433519BA" w14:textId="77777777" w:rsidR="00C70B45" w:rsidRPr="008717B0" w:rsidRDefault="00C70B45" w:rsidP="00C70B45">
      <w:pPr>
        <w:spacing w:after="0"/>
        <w:jc w:val="both"/>
        <w:rPr>
          <w:noProof/>
          <w:sz w:val="24"/>
          <w:szCs w:val="24"/>
          <w:lang w:val="ka-GE"/>
        </w:rPr>
      </w:pPr>
      <w:r w:rsidRPr="008717B0">
        <w:rPr>
          <w:noProof/>
          <w:sz w:val="24"/>
          <w:szCs w:val="24"/>
          <w:lang w:val="ka-GE"/>
        </w:rPr>
        <w:t>პერორალური მიღების შემდეგ პრეპარატის უმეტესი ნაწილი განიცდის ღვიძლის „პირველი გავლის“ ეფექტს.</w:t>
      </w:r>
    </w:p>
    <w:p w14:paraId="6728D899" w14:textId="77777777" w:rsidR="00C70B45" w:rsidRPr="008717B0" w:rsidRDefault="00C70B45" w:rsidP="00C70B45">
      <w:pPr>
        <w:spacing w:after="0"/>
        <w:jc w:val="both"/>
        <w:rPr>
          <w:noProof/>
          <w:sz w:val="24"/>
          <w:szCs w:val="24"/>
          <w:lang w:val="ka-GE"/>
        </w:rPr>
      </w:pPr>
      <w:r w:rsidRPr="008717B0">
        <w:rPr>
          <w:noProof/>
          <w:sz w:val="24"/>
          <w:szCs w:val="24"/>
          <w:lang w:val="ka-GE"/>
        </w:rPr>
        <w:t>დინიტრატისა და მონონიტრატის მნიშვნელოვანი ნაწილი გლუკურონის მჟავასთან წარმოქმნის კონიუგატებს. ნიტროგლიცერინის მეტაბოლიტები ძირითადად თირკმელებით გამოიყოფა, ნაწილი კი ფილტვებიდან ამოსუნთქულ ჰაერთან ერთად. ნიტროგლიცერინის საერთო კლირენსი შეადგენს 25–30 ლიტრს.</w:t>
      </w:r>
    </w:p>
    <w:p w14:paraId="250A523B" w14:textId="77777777" w:rsidR="00C70B45" w:rsidRPr="008717B0" w:rsidRDefault="00C70B45" w:rsidP="00C70B45">
      <w:pPr>
        <w:spacing w:after="0"/>
        <w:jc w:val="both"/>
        <w:rPr>
          <w:noProof/>
          <w:sz w:val="24"/>
          <w:szCs w:val="24"/>
          <w:lang w:val="ka-GE"/>
        </w:rPr>
      </w:pPr>
      <w:r w:rsidRPr="008717B0">
        <w:rPr>
          <w:noProof/>
          <w:sz w:val="24"/>
          <w:szCs w:val="24"/>
          <w:lang w:val="ka-GE"/>
        </w:rPr>
        <w:t>ნახევარგამოყოფის პერიოდი 4–5 წუთია. მეტაბოლიტების ნახევარგამოყოფის პერიოდი დაახლოებით 4 საათია.</w:t>
      </w:r>
    </w:p>
    <w:p w14:paraId="18016373" w14:textId="77777777" w:rsidR="00C70B45" w:rsidRPr="008717B0" w:rsidRDefault="00C70B45" w:rsidP="00C70B45">
      <w:pPr>
        <w:spacing w:after="0"/>
        <w:jc w:val="both"/>
        <w:rPr>
          <w:noProof/>
          <w:sz w:val="24"/>
          <w:szCs w:val="24"/>
          <w:lang w:val="ka-GE"/>
        </w:rPr>
      </w:pPr>
    </w:p>
    <w:p w14:paraId="0850E73B" w14:textId="77777777" w:rsidR="00C70B45" w:rsidRPr="008717B0" w:rsidRDefault="00C70B45" w:rsidP="00C70B45">
      <w:pPr>
        <w:spacing w:after="0"/>
        <w:jc w:val="both"/>
        <w:rPr>
          <w:b/>
          <w:noProof/>
          <w:sz w:val="24"/>
          <w:szCs w:val="24"/>
          <w:lang w:val="ka-GE"/>
        </w:rPr>
      </w:pPr>
      <w:r w:rsidRPr="008717B0">
        <w:rPr>
          <w:b/>
          <w:noProof/>
          <w:sz w:val="24"/>
          <w:szCs w:val="24"/>
          <w:lang w:val="ka-GE"/>
        </w:rPr>
        <w:t>კლინიკური მახასიათებლები.</w:t>
      </w:r>
    </w:p>
    <w:p w14:paraId="22C37B9B" w14:textId="77777777" w:rsidR="00C70B45" w:rsidRPr="008717B0" w:rsidRDefault="00C70B45" w:rsidP="00C70B45">
      <w:pPr>
        <w:spacing w:after="0"/>
        <w:jc w:val="both"/>
        <w:rPr>
          <w:noProof/>
          <w:sz w:val="24"/>
          <w:szCs w:val="24"/>
          <w:lang w:val="ka-GE"/>
        </w:rPr>
      </w:pPr>
      <w:r w:rsidRPr="008717B0">
        <w:rPr>
          <w:b/>
          <w:noProof/>
          <w:sz w:val="24"/>
          <w:szCs w:val="24"/>
          <w:lang w:val="ka-GE"/>
        </w:rPr>
        <w:t>ჩვენებები:</w:t>
      </w:r>
      <w:r w:rsidRPr="008717B0">
        <w:rPr>
          <w:noProof/>
          <w:sz w:val="24"/>
          <w:szCs w:val="24"/>
          <w:lang w:val="ka-GE"/>
        </w:rPr>
        <w:t xml:space="preserve"> სტენოკარდიის შეტევების შემსუბუქება და ხანმოკლე პრევენცია.</w:t>
      </w:r>
    </w:p>
    <w:p w14:paraId="4069B37D" w14:textId="77777777" w:rsidR="00C70B45" w:rsidRPr="008717B0" w:rsidRDefault="00C70B45" w:rsidP="00C70B45">
      <w:pPr>
        <w:spacing w:after="0"/>
        <w:jc w:val="both"/>
        <w:rPr>
          <w:noProof/>
          <w:sz w:val="24"/>
          <w:szCs w:val="24"/>
          <w:lang w:val="ka-GE"/>
        </w:rPr>
      </w:pPr>
      <w:r w:rsidRPr="008717B0">
        <w:rPr>
          <w:noProof/>
          <w:sz w:val="24"/>
          <w:szCs w:val="24"/>
          <w:lang w:val="ka-GE"/>
        </w:rPr>
        <w:t>უკუჩვენებები: მომატებული მგრძნობელობა ნიტრატებისა და პრეპარატის დამხმარე კომპონენტების მიმართ; ცერებრალური იშემია, ჰემორაგიული ინსულტი, ცერებრული სისხლდენა, ქალასშიდა წნევის მომატება, ბოლოდროინდელი თავის ტრავმა, ბრადიკარდია (50 დარტყმაზე ნაკლები/წთ), არტერიული ჰიპოტენზია (სისტოლური არტერიული წნევა 100 მმ ვწყ. სვ.-ზე ნაკლები, დიასტოლური არტერიული წნევა 60 მმ ვწყ. სვ.-ზე ნაკლები), შოკი, კოლაფსი, ჰიპერტროფიული ობსტრუქციული კარდიომიოპათია, აორტის სტენოზი, მდგომარეობები, რომლებსაც თან ახლავს მარცხენა პარკუჭის ავსების წნევის შემცირება (მწვავე მიოკარდიუმის ინფარქტი, იზოლირებული მიტრალური სტენოზი, კონსტრიქციული პერიკარდიტი), გულის ტამპონადა, ტოქსიკური ფილტვის შეშუპება, დახურულკუთხოვანი გლაუკომა მაღალი თვალშიდა წნევით, ფოსფოდიესთერაზა-5 (PDE-5) ინჰიბიტორების (სილდენაფილი, ტადალაფილი, ვარდენაფილი) ერთდროული გამოყენება.</w:t>
      </w:r>
    </w:p>
    <w:p w14:paraId="32179582" w14:textId="77777777" w:rsidR="00C70B45" w:rsidRPr="008717B0" w:rsidRDefault="00C70B45" w:rsidP="00C70B45">
      <w:pPr>
        <w:spacing w:after="0"/>
        <w:jc w:val="both"/>
        <w:rPr>
          <w:noProof/>
          <w:sz w:val="24"/>
          <w:szCs w:val="24"/>
          <w:lang w:val="ka-GE"/>
        </w:rPr>
      </w:pPr>
    </w:p>
    <w:p w14:paraId="4DCF6090" w14:textId="77777777" w:rsidR="00C70B45" w:rsidRPr="008717B0" w:rsidRDefault="00C70B45" w:rsidP="00C70B45">
      <w:pPr>
        <w:spacing w:after="0"/>
        <w:jc w:val="both"/>
        <w:rPr>
          <w:b/>
          <w:noProof/>
          <w:sz w:val="24"/>
          <w:szCs w:val="24"/>
          <w:lang w:val="ka-GE"/>
        </w:rPr>
      </w:pPr>
      <w:r w:rsidRPr="008717B0">
        <w:rPr>
          <w:b/>
          <w:noProof/>
          <w:sz w:val="24"/>
          <w:szCs w:val="24"/>
          <w:lang w:val="ka-GE"/>
        </w:rPr>
        <w:t>ურთიერთქმედება სხვა სამკურნალო საშუალებებთან და სხვა სახის ურთიერთქმედებები.</w:t>
      </w:r>
    </w:p>
    <w:p w14:paraId="27B840F7" w14:textId="77777777" w:rsidR="00C70B45" w:rsidRPr="008717B0" w:rsidRDefault="00C70B45" w:rsidP="00C70B45">
      <w:pPr>
        <w:spacing w:after="0"/>
        <w:jc w:val="both"/>
        <w:rPr>
          <w:noProof/>
          <w:sz w:val="24"/>
          <w:szCs w:val="24"/>
          <w:lang w:val="ka-GE"/>
        </w:rPr>
      </w:pPr>
      <w:r w:rsidRPr="008717B0">
        <w:rPr>
          <w:noProof/>
          <w:sz w:val="24"/>
          <w:szCs w:val="24"/>
          <w:lang w:val="ka-GE"/>
        </w:rPr>
        <w:t xml:space="preserve">სხვა ვაზოდილატატორებთან, ანტიჰიპერტენზიულ საშუალებებთან, ანგიოტენზინ-გარდამქმნელი ფერმენტის (აგფ) ინჰიბიტორებთან, კალციუმის არხების ბლოკატორებთან, შარდმდენებთან, ტრიციკლურ ანტიდეპრესანტებთან, მონოამინოქსიდაზას </w:t>
      </w:r>
      <w:r w:rsidRPr="008717B0">
        <w:rPr>
          <w:noProof/>
          <w:sz w:val="24"/>
          <w:szCs w:val="24"/>
          <w:lang w:val="ka-GE"/>
        </w:rPr>
        <w:lastRenderedPageBreak/>
        <w:t>ინჰიბიტორებთან, ეთანოლთან და ეთანოლის შემცველ პრეპარატებთან, ბეტა-ბლოკატორებთან, პროკაინამიდთან, ქინიდინთან და ნოვოკაინამიდთან ერთდროული გამოყენებისას ნიტროგლიცერინის ჰიპოტენზიური ეფექტი ძლიერდება.</w:t>
      </w:r>
    </w:p>
    <w:p w14:paraId="62A11699" w14:textId="77777777" w:rsidR="00C70B45" w:rsidRPr="008717B0" w:rsidRDefault="00C70B45" w:rsidP="00C70B45">
      <w:pPr>
        <w:spacing w:after="0"/>
        <w:jc w:val="both"/>
        <w:rPr>
          <w:noProof/>
          <w:sz w:val="24"/>
          <w:szCs w:val="24"/>
          <w:lang w:val="ka-GE"/>
        </w:rPr>
      </w:pPr>
      <w:r w:rsidRPr="008717B0">
        <w:rPr>
          <w:noProof/>
          <w:sz w:val="24"/>
          <w:szCs w:val="24"/>
          <w:lang w:val="ka-GE"/>
        </w:rPr>
        <w:t>ფოსფოდიესთერაზას ინჰიბიტორები (სილდენაფილი, ტადალაფილი, ვარდენაფილი): ნიტროგლიცერინის ამ პრეპარატებთან ერთდროული გამოყენება უკუნაჩვენებია, რადგან არსებობს უკონტროლო არტერიული ჰიპოტენზიის და სიცოცხლისთვის საშიში გულ-სისხლძარღვთა გართულებების განვითარების რისკი.</w:t>
      </w:r>
    </w:p>
    <w:p w14:paraId="58ECE7BD" w14:textId="77777777" w:rsidR="00C70B45" w:rsidRPr="008717B0" w:rsidRDefault="00C70B45" w:rsidP="00C70B45">
      <w:pPr>
        <w:spacing w:after="0"/>
        <w:jc w:val="both"/>
        <w:rPr>
          <w:noProof/>
          <w:sz w:val="24"/>
          <w:szCs w:val="24"/>
          <w:lang w:val="ka-GE"/>
        </w:rPr>
      </w:pPr>
      <w:r w:rsidRPr="008717B0">
        <w:rPr>
          <w:noProof/>
          <w:sz w:val="24"/>
          <w:szCs w:val="24"/>
          <w:lang w:val="ka-GE"/>
        </w:rPr>
        <w:t>ატროპინი და სხვა M-ანტიქოლინერგული პრეპარატები შეიძლება ამცირებდნენ ნიტროგლიცერინის ეფექტს სეკრეციისა და ბიოშეღწევადობის შემცირების გზით.</w:t>
      </w:r>
    </w:p>
    <w:p w14:paraId="138316AE" w14:textId="77777777" w:rsidR="00C70B45" w:rsidRPr="008717B0" w:rsidRDefault="00C70B45" w:rsidP="00C70B45">
      <w:pPr>
        <w:spacing w:after="0"/>
        <w:jc w:val="both"/>
        <w:rPr>
          <w:noProof/>
          <w:sz w:val="24"/>
          <w:szCs w:val="24"/>
          <w:lang w:val="ka-GE"/>
        </w:rPr>
      </w:pPr>
      <w:r w:rsidRPr="008717B0">
        <w:rPr>
          <w:noProof/>
          <w:sz w:val="24"/>
          <w:szCs w:val="24"/>
          <w:lang w:val="ka-GE"/>
        </w:rPr>
        <w:t>დიჰიდროერგოტამინთან ერთად გამოყენებამ შეიძლება გამოიწვიოს მისი კონცენტრაციის მომატება სისხლის პლაზმაში და არტერიული წნევის მატება (დიჰიდროერგოტამინის ბიოშეღწევადობის გაზრდის გამო).</w:t>
      </w:r>
    </w:p>
    <w:p w14:paraId="2709BC99" w14:textId="77777777" w:rsidR="00C70B45" w:rsidRPr="008717B0" w:rsidRDefault="00C70B45" w:rsidP="00C70B45">
      <w:pPr>
        <w:spacing w:after="0"/>
        <w:jc w:val="both"/>
        <w:rPr>
          <w:noProof/>
          <w:sz w:val="24"/>
          <w:szCs w:val="24"/>
          <w:lang w:val="ka-GE"/>
        </w:rPr>
      </w:pPr>
      <w:r w:rsidRPr="008717B0">
        <w:rPr>
          <w:noProof/>
          <w:sz w:val="24"/>
          <w:szCs w:val="24"/>
          <w:lang w:val="ka-GE"/>
        </w:rPr>
        <w:t>ჰეპარინთან ერთდროული გამოყენებისას შესაძლებელია მისი ანტიკოაგულანტური ეფექტის შემცირება (პრეპარატის შეწყვეტის შემდეგ შესაძლოა სისხლის შედედების შემცირება, რაც შეიძლება მოითხოვდეს ჰეპარინის დოზის კორექციას).</w:t>
      </w:r>
    </w:p>
    <w:p w14:paraId="3B94F394" w14:textId="77777777" w:rsidR="00C70B45" w:rsidRPr="008717B0" w:rsidRDefault="00C70B45" w:rsidP="00C70B45">
      <w:pPr>
        <w:spacing w:after="0"/>
        <w:jc w:val="both"/>
        <w:rPr>
          <w:noProof/>
          <w:sz w:val="24"/>
          <w:szCs w:val="24"/>
          <w:lang w:val="ka-GE"/>
        </w:rPr>
      </w:pPr>
      <w:r w:rsidRPr="008717B0">
        <w:rPr>
          <w:noProof/>
          <w:sz w:val="24"/>
          <w:szCs w:val="24"/>
          <w:lang w:val="ka-GE"/>
        </w:rPr>
        <w:t>ფენობარბიტალი აჩქარებს ნიტრატების მეტაბოლიზმს ღვიძლში. ალფა-ადრენერგული აგონისტები, ჰისტამინი, პიტუიტრინი, კორტიკოსტეროიდები, ცენტრალური ნერვული სისტემის სტიმულატორები, ფუტკრისა და გველის შხამი და მზის სხივების ზემოქმედება ამცირებენ ნიტროგლიცერინის ანტიანგინალურ ეფექტს.</w:t>
      </w:r>
    </w:p>
    <w:p w14:paraId="5C513EDE" w14:textId="77777777" w:rsidR="0059411A" w:rsidRPr="008717B0" w:rsidRDefault="00C70B45" w:rsidP="00C70B45">
      <w:pPr>
        <w:spacing w:after="0"/>
        <w:jc w:val="both"/>
        <w:rPr>
          <w:noProof/>
          <w:sz w:val="24"/>
          <w:szCs w:val="24"/>
          <w:lang w:val="ka-GE"/>
        </w:rPr>
      </w:pPr>
      <w:r w:rsidRPr="008717B0">
        <w:rPr>
          <w:noProof/>
          <w:sz w:val="24"/>
          <w:szCs w:val="24"/>
          <w:lang w:val="ka-GE"/>
        </w:rPr>
        <w:t>სალიცილატები ზრდის ნიტროგლიცერინის დონეს სისხლში, ხოლო ბარბიტურატები აჩქარებენ მის მეტაბოლიზმს. სულფჰიდრილის დონორები (კაპტოპრილი, აცეტილცისტეინი, უნითიოლი) აღადგენს ნიტროგლიცერინის მიმართ დაქვეითებულ მგრძნობელობას.</w:t>
      </w:r>
    </w:p>
    <w:p w14:paraId="33E5BD24" w14:textId="77777777" w:rsidR="00C70B45" w:rsidRPr="008717B0" w:rsidRDefault="00C70B45" w:rsidP="00C70B45">
      <w:pPr>
        <w:spacing w:after="0"/>
        <w:jc w:val="both"/>
        <w:rPr>
          <w:noProof/>
          <w:sz w:val="24"/>
          <w:szCs w:val="24"/>
          <w:lang w:val="ka-GE"/>
        </w:rPr>
      </w:pPr>
      <w:r w:rsidRPr="008717B0">
        <w:rPr>
          <w:b/>
          <w:noProof/>
          <w:sz w:val="24"/>
          <w:szCs w:val="24"/>
          <w:lang w:val="ka-GE"/>
        </w:rPr>
        <w:t>გამოყენების თავისებურებები.</w:t>
      </w:r>
      <w:r w:rsidRPr="008717B0">
        <w:rPr>
          <w:noProof/>
          <w:sz w:val="24"/>
          <w:szCs w:val="24"/>
          <w:lang w:val="ka-GE"/>
        </w:rPr>
        <w:t xml:space="preserve"> აუცილებელია სიფრთხილით გამოყენება, რისკებისა და სარგებლის შეფასების საფუძველზე.</w:t>
      </w:r>
    </w:p>
    <w:p w14:paraId="0F95D689" w14:textId="77777777" w:rsidR="00C70B45" w:rsidRPr="008717B0" w:rsidRDefault="00C70B45" w:rsidP="00C70B45">
      <w:pPr>
        <w:spacing w:after="0"/>
        <w:jc w:val="both"/>
        <w:rPr>
          <w:noProof/>
          <w:sz w:val="24"/>
          <w:szCs w:val="24"/>
          <w:lang w:val="ka-GE"/>
        </w:rPr>
      </w:pPr>
      <w:r w:rsidRPr="008717B0">
        <w:rPr>
          <w:noProof/>
          <w:sz w:val="24"/>
          <w:szCs w:val="24"/>
          <w:lang w:val="ka-GE"/>
        </w:rPr>
        <w:t>პრეპარატის გამოყენება შესაძლებელია შემდეგ შემთხვევებში: უკონტროლო ჰიპოვოლემია, გულის უკმარისობა ფილტვის არტერიის ნორმალური ან დაბალი წნევით, მძიმე ანემია, ჰიპერთირეოზი, თირკმლის და/ან ღვიძლის მძიმე უკმარისობა (მეტჰემოგლობინემიის განვითარების რისკი).</w:t>
      </w:r>
    </w:p>
    <w:p w14:paraId="0254120D" w14:textId="77777777" w:rsidR="00C70B45" w:rsidRPr="008717B0" w:rsidRDefault="00C70B45" w:rsidP="00C70B45">
      <w:pPr>
        <w:spacing w:after="0"/>
        <w:jc w:val="both"/>
        <w:rPr>
          <w:noProof/>
          <w:sz w:val="24"/>
          <w:szCs w:val="24"/>
          <w:lang w:val="ka-GE"/>
        </w:rPr>
      </w:pPr>
      <w:r w:rsidRPr="008717B0">
        <w:rPr>
          <w:noProof/>
          <w:sz w:val="24"/>
          <w:szCs w:val="24"/>
          <w:lang w:val="ka-GE"/>
        </w:rPr>
        <w:t>ის უნდა იქნას გამოყენებული მძიმე ცერებრალური ათეროსკლეროზის მქონე პაციენტებში და ხანდაზმულებში. მკურნალობის დროს ალკოჰოლის მიღება აკრძალულია; ასევე უკუნაჩვენებია აბანოებში, საუნებსა და ცხელ შხაპებში ვიზიტი.</w:t>
      </w:r>
    </w:p>
    <w:p w14:paraId="6E452CC0" w14:textId="77777777" w:rsidR="00C70B45" w:rsidRPr="008717B0" w:rsidRDefault="00C70B45" w:rsidP="00C70B45">
      <w:pPr>
        <w:spacing w:after="0"/>
        <w:jc w:val="both"/>
        <w:rPr>
          <w:noProof/>
          <w:sz w:val="24"/>
          <w:szCs w:val="24"/>
          <w:lang w:val="ka-GE"/>
        </w:rPr>
      </w:pPr>
      <w:r w:rsidRPr="008717B0">
        <w:rPr>
          <w:noProof/>
          <w:sz w:val="24"/>
          <w:szCs w:val="24"/>
          <w:lang w:val="ka-GE"/>
        </w:rPr>
        <w:t>ტაბლეტის დაღეჭვა არ შეიძლება, რადგან აქტიური ნივთიერების ჭარბი რაოდენობა შესაძლოა სისტემურ სისხლის მიმოქცევაში მოხვდეს პირის ღრუს ლორწოვანი გარსის გავლით.</w:t>
      </w:r>
    </w:p>
    <w:p w14:paraId="6ED2AC26" w14:textId="77777777" w:rsidR="00C70B45" w:rsidRPr="008717B0" w:rsidRDefault="00C70B45" w:rsidP="00C70B45">
      <w:pPr>
        <w:spacing w:after="0"/>
        <w:jc w:val="both"/>
        <w:rPr>
          <w:noProof/>
          <w:sz w:val="24"/>
          <w:szCs w:val="24"/>
          <w:lang w:val="ka-GE"/>
        </w:rPr>
      </w:pPr>
      <w:r w:rsidRPr="008717B0">
        <w:rPr>
          <w:noProof/>
          <w:sz w:val="24"/>
          <w:szCs w:val="24"/>
          <w:lang w:val="ka-GE"/>
        </w:rPr>
        <w:t>ნიტროგლიცერინს, სხვა ორგანული ნიტრატების მსგავსად, ხშირი გამოყენებისას შეიძლება განუვითარდეს ტოლერანტობა, რაც მოითხოვს დოზის გაზრდას. ხანგრძლივი გამოყენებისას ტოლერანტობის თავიდან ასაცილებლად რეკომენდებულია დღის განმავლობაში წყვეტილი დოზირება (10–12 საათიანი ინტერვალით) ან კალციუმის არხების ბლოკატორების, აგფ ინჰიბიტორების ან შარდმდენების ერთდროული გამოყენება.</w:t>
      </w:r>
    </w:p>
    <w:p w14:paraId="23231C07" w14:textId="77777777" w:rsidR="00C70B45" w:rsidRPr="008717B0" w:rsidRDefault="00C70B45" w:rsidP="00C70B45">
      <w:pPr>
        <w:spacing w:after="0"/>
        <w:jc w:val="both"/>
        <w:rPr>
          <w:noProof/>
          <w:sz w:val="24"/>
          <w:szCs w:val="24"/>
          <w:lang w:val="ka-GE"/>
        </w:rPr>
      </w:pPr>
      <w:r w:rsidRPr="008717B0">
        <w:rPr>
          <w:noProof/>
          <w:sz w:val="24"/>
          <w:szCs w:val="24"/>
          <w:lang w:val="ka-GE"/>
        </w:rPr>
        <w:t>საჭიროების შემთხვევაში, ტოლერანტობის განვითარებისას შესაძლოა საჭირო გახდეს ნიტროგლიცერინის დროებითი შეწყვეტა (რამდენიმე დღით) და მისი ჩანაცვლება სხვა ფარმაკოთერაპიული ჯგუფების ანტიანგინალური საშუალებებით.</w:t>
      </w:r>
    </w:p>
    <w:p w14:paraId="14F6F384" w14:textId="77777777" w:rsidR="00C70B45" w:rsidRPr="008717B0" w:rsidRDefault="00C70B45" w:rsidP="00C70B45">
      <w:pPr>
        <w:spacing w:after="0"/>
        <w:jc w:val="both"/>
        <w:rPr>
          <w:noProof/>
          <w:sz w:val="24"/>
          <w:szCs w:val="24"/>
          <w:lang w:val="ka-GE"/>
        </w:rPr>
      </w:pPr>
      <w:r w:rsidRPr="008717B0">
        <w:rPr>
          <w:noProof/>
          <w:sz w:val="24"/>
          <w:szCs w:val="24"/>
          <w:lang w:val="ka-GE"/>
        </w:rPr>
        <w:lastRenderedPageBreak/>
        <w:t>პრეპარატის პირველად გამოყენებამდე აუცილებელია ექიმის კონსულტაცია. მნიშვნელოვანია ექიმს ეცნობოს ამ ჯგუფის პრეპარატებზე ნებისმიერი წინა რეაქციის შესახებ.</w:t>
      </w:r>
    </w:p>
    <w:p w14:paraId="60E8C08E" w14:textId="77777777" w:rsidR="00C70B45" w:rsidRPr="008717B0" w:rsidRDefault="00C70B45" w:rsidP="00C70B45">
      <w:pPr>
        <w:spacing w:after="0"/>
        <w:jc w:val="both"/>
        <w:rPr>
          <w:noProof/>
          <w:sz w:val="24"/>
          <w:szCs w:val="24"/>
          <w:lang w:val="ka-GE"/>
        </w:rPr>
      </w:pPr>
      <w:r w:rsidRPr="008717B0">
        <w:rPr>
          <w:noProof/>
          <w:sz w:val="24"/>
          <w:szCs w:val="24"/>
          <w:lang w:val="ka-GE"/>
        </w:rPr>
        <w:t>ნიტროგლიცერინის მიღების შემდეგ შესაძლებელია არტერიული წნევის მნიშვნელოვანი შემცირება და თავბრუსხვევის გაჩენა წოლითი ან ჯდომითი პოზიციიდან ვერტიკალურ მდგომარეობაში უეცარი გადასვლისას; ასევე ალკოჰოლის მიღებისას ან ცხელ ამინდში ფიზიკური დატვირთვის შესრულებისას.</w:t>
      </w:r>
    </w:p>
    <w:p w14:paraId="5C2FEADD" w14:textId="77777777" w:rsidR="00C70B45" w:rsidRPr="008717B0" w:rsidRDefault="00C70B45" w:rsidP="00C70B45">
      <w:pPr>
        <w:spacing w:after="0"/>
        <w:jc w:val="both"/>
        <w:rPr>
          <w:noProof/>
          <w:sz w:val="24"/>
          <w:szCs w:val="24"/>
          <w:lang w:val="ka-GE"/>
        </w:rPr>
      </w:pPr>
      <w:r w:rsidRPr="008717B0">
        <w:rPr>
          <w:noProof/>
          <w:sz w:val="24"/>
          <w:szCs w:val="24"/>
          <w:lang w:val="ka-GE"/>
        </w:rPr>
        <w:t>თუ მხედველობის დაბინდვა ან პირის სიმშრალე გაგრძელდა ან მძიმედ გამოვლინდა, მკურნალობა უნდა შეწყდეს.</w:t>
      </w:r>
    </w:p>
    <w:p w14:paraId="355213FA" w14:textId="77777777" w:rsidR="00C70B45" w:rsidRPr="008717B0" w:rsidRDefault="00C70B45" w:rsidP="00C70B45">
      <w:pPr>
        <w:spacing w:after="0"/>
        <w:jc w:val="both"/>
        <w:rPr>
          <w:noProof/>
          <w:sz w:val="24"/>
          <w:szCs w:val="24"/>
          <w:lang w:val="ka-GE"/>
        </w:rPr>
      </w:pPr>
      <w:r w:rsidRPr="008717B0">
        <w:rPr>
          <w:noProof/>
          <w:sz w:val="24"/>
          <w:szCs w:val="24"/>
          <w:lang w:val="ka-GE"/>
        </w:rPr>
        <w:t>პრეპარატის მიღებისას თავის ტკივილის სიმძიმის შემცირება შესაძლებელია მისი დოზის შემცირებით და/ან ვალიდოლის ერთდროული მიღებით.</w:t>
      </w:r>
    </w:p>
    <w:p w14:paraId="28D522AE" w14:textId="77777777" w:rsidR="00C70B45" w:rsidRPr="008717B0" w:rsidRDefault="00C70B45" w:rsidP="00C70B45">
      <w:pPr>
        <w:spacing w:after="0"/>
        <w:jc w:val="both"/>
        <w:rPr>
          <w:noProof/>
          <w:sz w:val="24"/>
          <w:szCs w:val="24"/>
          <w:lang w:val="ka-GE"/>
        </w:rPr>
      </w:pPr>
      <w:r w:rsidRPr="008717B0">
        <w:rPr>
          <w:noProof/>
          <w:sz w:val="24"/>
          <w:szCs w:val="24"/>
          <w:lang w:val="ka-GE"/>
        </w:rPr>
        <w:t>მეთჰემოგლობინემიის განვითარების რისკი, რომელიც ვლინდება ციანოზით და სისხლის ფერის შეცვლით, იზრდება ნიტროგლიცერინის ხანგრძლივი, უკონტროლო გამოყენებისას და მაღალი დოზებით, განსაკუთრებით ღვიძლის უკმარისობის მქონე პაციენტებში. თუ მეთჰემოგლობინემია განვითარდება, ნიტროგლიცერინის მიღება დაუყოვნებლივ უნდა შეწყდეს და უნდა შეიყვანოს ანტიდოტი — მეთილთიონინიუმის ქლორიდი (მეთილენის ლურჯი).</w:t>
      </w:r>
    </w:p>
    <w:p w14:paraId="13A04448" w14:textId="77777777" w:rsidR="00C70B45" w:rsidRPr="008717B0" w:rsidRDefault="00C70B45" w:rsidP="00C70B45">
      <w:pPr>
        <w:spacing w:after="0"/>
        <w:jc w:val="both"/>
        <w:rPr>
          <w:noProof/>
          <w:sz w:val="24"/>
          <w:szCs w:val="24"/>
          <w:lang w:val="ka-GE"/>
        </w:rPr>
      </w:pPr>
      <w:r w:rsidRPr="008717B0">
        <w:rPr>
          <w:noProof/>
          <w:sz w:val="24"/>
          <w:szCs w:val="24"/>
          <w:lang w:val="ka-GE"/>
        </w:rPr>
        <w:t>თუ ნიტრატების შემდგომი გამოყენება აუცილებელია, უნდა განხორციელდეს მეთჰემოგლობინის დონის მონიტორინგი.</w:t>
      </w:r>
    </w:p>
    <w:p w14:paraId="0668342F" w14:textId="77777777" w:rsidR="00C70B45" w:rsidRPr="008717B0" w:rsidRDefault="00C70B45" w:rsidP="00C70B45">
      <w:pPr>
        <w:spacing w:after="0"/>
        <w:jc w:val="both"/>
        <w:rPr>
          <w:noProof/>
          <w:sz w:val="24"/>
          <w:szCs w:val="24"/>
          <w:lang w:val="ka-GE"/>
        </w:rPr>
      </w:pPr>
      <w:r w:rsidRPr="008717B0">
        <w:rPr>
          <w:i/>
          <w:noProof/>
          <w:sz w:val="24"/>
          <w:szCs w:val="24"/>
          <w:lang w:val="ka-GE"/>
        </w:rPr>
        <w:t>გამოყენება ორსულობის ან ძუძუთი კვების დროს.</w:t>
      </w:r>
      <w:r w:rsidRPr="008717B0">
        <w:rPr>
          <w:noProof/>
          <w:sz w:val="24"/>
          <w:szCs w:val="24"/>
          <w:lang w:val="ka-GE"/>
        </w:rPr>
        <w:t xml:space="preserve"> ნიტროგლიცერინის გამოყენება ორსულობისა და ძუძუთი კვების დროს უკუნაჩვენებია.</w:t>
      </w:r>
    </w:p>
    <w:p w14:paraId="66A6A120" w14:textId="77777777" w:rsidR="00C70B45" w:rsidRPr="008717B0" w:rsidRDefault="00C70B45" w:rsidP="00C70B45">
      <w:pPr>
        <w:spacing w:after="0"/>
        <w:jc w:val="both"/>
        <w:rPr>
          <w:noProof/>
          <w:sz w:val="24"/>
          <w:szCs w:val="24"/>
          <w:lang w:val="ka-GE"/>
        </w:rPr>
      </w:pPr>
      <w:r w:rsidRPr="008717B0">
        <w:rPr>
          <w:i/>
          <w:noProof/>
          <w:sz w:val="24"/>
          <w:szCs w:val="24"/>
          <w:lang w:val="ka-GE"/>
        </w:rPr>
        <w:t>რეაქციის დროზე ზემოქმედების პოტენციალი მანქანის მართვის ან მექანიზმებთან მუშაობისას.</w:t>
      </w:r>
      <w:r w:rsidRPr="008717B0">
        <w:rPr>
          <w:noProof/>
          <w:sz w:val="24"/>
          <w:szCs w:val="24"/>
          <w:lang w:val="ka-GE"/>
        </w:rPr>
        <w:t xml:space="preserve"> მანქანის მართვის ან მექანიზმებთან მუშაობისას, რომლებიც მოითხოვს ყურადღების კონცენტრაციის გაზრდას, უნდა გავითვალისწინოთ, რომ ნიტროგლიცერინის მიღებამ შეიძლება შეამციროს რეაქციის დრო.</w:t>
      </w:r>
    </w:p>
    <w:p w14:paraId="21802F5B" w14:textId="77777777" w:rsidR="00C70B45" w:rsidRPr="008717B0" w:rsidRDefault="00C70B45" w:rsidP="00C70B45">
      <w:pPr>
        <w:spacing w:after="0"/>
        <w:jc w:val="both"/>
        <w:rPr>
          <w:noProof/>
          <w:sz w:val="24"/>
          <w:szCs w:val="24"/>
          <w:lang w:val="ka-GE"/>
        </w:rPr>
      </w:pPr>
      <w:r w:rsidRPr="008717B0">
        <w:rPr>
          <w:b/>
          <w:noProof/>
          <w:sz w:val="24"/>
          <w:szCs w:val="24"/>
          <w:lang w:val="ka-GE"/>
        </w:rPr>
        <w:t>გამოყენების ინსტრუქცია და დოზირება.</w:t>
      </w:r>
      <w:r w:rsidRPr="008717B0">
        <w:rPr>
          <w:noProof/>
          <w:sz w:val="24"/>
          <w:szCs w:val="24"/>
          <w:lang w:val="ka-GE"/>
        </w:rPr>
        <w:t xml:space="preserve"> მოზრდილებისთვის.</w:t>
      </w:r>
    </w:p>
    <w:p w14:paraId="4DA56AA8" w14:textId="77777777" w:rsidR="00C70B45" w:rsidRPr="008717B0" w:rsidRDefault="00C70B45" w:rsidP="00C70B45">
      <w:pPr>
        <w:spacing w:after="0"/>
        <w:jc w:val="both"/>
        <w:rPr>
          <w:noProof/>
          <w:sz w:val="24"/>
          <w:szCs w:val="24"/>
          <w:lang w:val="ka-GE"/>
        </w:rPr>
      </w:pPr>
      <w:r w:rsidRPr="008717B0">
        <w:rPr>
          <w:noProof/>
          <w:sz w:val="24"/>
          <w:szCs w:val="24"/>
          <w:lang w:val="ka-GE"/>
        </w:rPr>
        <w:t>პრეპარატის პირველად დანიშვნისას უნდა შეფასდეს მისი გავლენა არტერიულ წნევაზე. პრეპარატის ეფექტურობა უნდა კონტროლდებოდეს გულისცემის და არტერიული წნევის მონიტორინგით.</w:t>
      </w:r>
    </w:p>
    <w:p w14:paraId="5DF99C80" w14:textId="77777777" w:rsidR="00C70B45" w:rsidRPr="008717B0" w:rsidRDefault="00C70B45" w:rsidP="00C70B45">
      <w:pPr>
        <w:spacing w:after="0"/>
        <w:jc w:val="both"/>
        <w:rPr>
          <w:noProof/>
          <w:sz w:val="24"/>
          <w:szCs w:val="24"/>
          <w:lang w:val="ka-GE"/>
        </w:rPr>
      </w:pPr>
      <w:r w:rsidRPr="008717B0">
        <w:rPr>
          <w:noProof/>
          <w:sz w:val="24"/>
          <w:szCs w:val="24"/>
          <w:lang w:val="ka-GE"/>
        </w:rPr>
        <w:t>სტენოკარდიის შეტევის პირველივე სიმპტომების გამოვლენისთანავე უნდა მიიღოთ. ტკივილის დაწყებისას ერთი ტაბლეტი ენის ქვეშ დაიდეთ და გააჩერეთ სრულ გახსნამდე, გადაყლაპვის გარეშე. ჩვეულებრივი დოზაა ერთი ტაბლეტი ენის ქვეშ. თუ 3–5 წუთის განმავლობაში ანტიანგინალური ეფექტი არ აღინიშნება, მიიღეთ კიდევ ერთი ტაბლეტი.</w:t>
      </w:r>
    </w:p>
    <w:p w14:paraId="4BF5C2CD" w14:textId="77777777" w:rsidR="00C70B45" w:rsidRPr="008717B0" w:rsidRDefault="00C70B45" w:rsidP="00C70B45">
      <w:pPr>
        <w:spacing w:after="0"/>
        <w:jc w:val="both"/>
        <w:rPr>
          <w:i/>
          <w:noProof/>
          <w:sz w:val="24"/>
          <w:szCs w:val="24"/>
          <w:lang w:val="ka-GE"/>
        </w:rPr>
      </w:pPr>
      <w:r w:rsidRPr="008717B0">
        <w:rPr>
          <w:i/>
          <w:noProof/>
          <w:sz w:val="24"/>
          <w:szCs w:val="24"/>
          <w:lang w:val="ka-GE"/>
        </w:rPr>
        <w:t>თუ 2–3 ტაბლეტის მიღების შემდეგ თერაპიული ეფექტი არ დადგა, უნდა მიმართოთ ექიმს.</w:t>
      </w:r>
    </w:p>
    <w:p w14:paraId="2E3F0652" w14:textId="77777777" w:rsidR="00C70B45" w:rsidRPr="008717B0" w:rsidRDefault="00C70B45" w:rsidP="00C70B45">
      <w:pPr>
        <w:spacing w:after="0"/>
        <w:jc w:val="both"/>
        <w:rPr>
          <w:noProof/>
          <w:sz w:val="24"/>
          <w:szCs w:val="24"/>
          <w:lang w:val="ka-GE"/>
        </w:rPr>
      </w:pPr>
      <w:r w:rsidRPr="008717B0">
        <w:rPr>
          <w:noProof/>
          <w:sz w:val="24"/>
          <w:szCs w:val="24"/>
          <w:lang w:val="ka-GE"/>
        </w:rPr>
        <w:t>სტენოკარდიის ხშირი შეტევების შემთხვევაში მიზანშეწონილია ხანგრძლივი მოქმედების პრეპარატების გამოყენება.</w:t>
      </w:r>
    </w:p>
    <w:p w14:paraId="42E23515" w14:textId="77777777" w:rsidR="00C70B45" w:rsidRPr="008717B0" w:rsidRDefault="00C70B45" w:rsidP="00C70B45">
      <w:pPr>
        <w:spacing w:after="0"/>
        <w:jc w:val="both"/>
        <w:rPr>
          <w:noProof/>
          <w:sz w:val="24"/>
          <w:szCs w:val="24"/>
          <w:lang w:val="ka-GE"/>
        </w:rPr>
      </w:pPr>
      <w:r w:rsidRPr="008717B0">
        <w:rPr>
          <w:noProof/>
          <w:sz w:val="24"/>
          <w:szCs w:val="24"/>
          <w:lang w:val="ka-GE"/>
        </w:rPr>
        <w:t>ნიტროგლიცერინის ენისქვეშა ფორმების მიმართ ტოლერანტობა იშვიათად ვითარდება, მაგრამ მისი გამოვლენის შემთხვევაში დოზა შეიძლება თანდათან გაიზარდოს 2–3 ტაბლეტამდე.</w:t>
      </w:r>
    </w:p>
    <w:p w14:paraId="7B1B306E" w14:textId="77777777" w:rsidR="00C70B45" w:rsidRPr="008717B0" w:rsidRDefault="00C70B45" w:rsidP="00C70B45">
      <w:pPr>
        <w:spacing w:after="0"/>
        <w:jc w:val="both"/>
        <w:rPr>
          <w:noProof/>
          <w:sz w:val="24"/>
          <w:szCs w:val="24"/>
          <w:lang w:val="ka-GE"/>
        </w:rPr>
      </w:pPr>
      <w:r w:rsidRPr="008717B0">
        <w:rPr>
          <w:i/>
          <w:noProof/>
          <w:sz w:val="24"/>
          <w:szCs w:val="24"/>
          <w:lang w:val="ka-GE"/>
        </w:rPr>
        <w:t>ბავშვები.</w:t>
      </w:r>
      <w:r w:rsidRPr="008717B0">
        <w:rPr>
          <w:noProof/>
          <w:sz w:val="24"/>
          <w:szCs w:val="24"/>
          <w:lang w:val="ka-GE"/>
        </w:rPr>
        <w:t xml:space="preserve"> ბავშვებში პრეპარატის გამოყენების გამოცდილება შეზღუდულია, ამიტომ მისი გამოყენება ამ ასაკობრივ ჯგუფში არ არის რეკომენდებული.</w:t>
      </w:r>
    </w:p>
    <w:p w14:paraId="5D1DE8F1" w14:textId="77777777" w:rsidR="00C70B45" w:rsidRPr="008717B0" w:rsidRDefault="00DD1342" w:rsidP="00C70B45">
      <w:pPr>
        <w:spacing w:after="0"/>
        <w:jc w:val="both"/>
        <w:rPr>
          <w:noProof/>
          <w:sz w:val="24"/>
          <w:szCs w:val="24"/>
          <w:lang w:val="ka-GE"/>
        </w:rPr>
      </w:pPr>
      <w:r w:rsidRPr="008717B0">
        <w:rPr>
          <w:b/>
          <w:noProof/>
          <w:sz w:val="24"/>
          <w:szCs w:val="24"/>
          <w:lang w:val="ka-GE"/>
        </w:rPr>
        <w:t>ჭარბი დოზირება.</w:t>
      </w:r>
      <w:r w:rsidR="00C70B45" w:rsidRPr="008717B0">
        <w:rPr>
          <w:noProof/>
          <w:sz w:val="24"/>
          <w:szCs w:val="24"/>
          <w:lang w:val="ka-GE"/>
        </w:rPr>
        <w:t xml:space="preserve"> </w:t>
      </w:r>
      <w:r w:rsidR="00C70B45" w:rsidRPr="008717B0">
        <w:rPr>
          <w:i/>
          <w:noProof/>
          <w:sz w:val="24"/>
          <w:szCs w:val="24"/>
          <w:lang w:val="ka-GE"/>
        </w:rPr>
        <w:t>სიმპტომები:</w:t>
      </w:r>
      <w:r w:rsidR="00C70B45" w:rsidRPr="008717B0">
        <w:rPr>
          <w:noProof/>
          <w:sz w:val="24"/>
          <w:szCs w:val="24"/>
          <w:lang w:val="ka-GE"/>
        </w:rPr>
        <w:t xml:space="preserve"> არტერიული წნევის დაქვეითება (90 მმ ვწყ. სვ.-ზე ნაკლები) ორთოსტატული დისრეგულაციით, თავის ტკივილი, ძლიერი თავბრუსხვევა, გულის წასვლა, </w:t>
      </w:r>
      <w:r w:rsidR="00C70B45" w:rsidRPr="008717B0">
        <w:rPr>
          <w:noProof/>
          <w:sz w:val="24"/>
          <w:szCs w:val="24"/>
          <w:lang w:val="ka-GE"/>
        </w:rPr>
        <w:lastRenderedPageBreak/>
        <w:t>ტაქიკარდია, გულისრევა და ღებინება, ქოშინი, ძლიერი სისუსტე, ძილიანობა, სხეულის ტემპერატურის მომატება, სიცხის შეგრძნება, არტერიული ჰიპოტენზია, ოფლიანობის მომატება, შემცივნება.</w:t>
      </w:r>
    </w:p>
    <w:p w14:paraId="5F7E3E7D" w14:textId="77777777" w:rsidR="00C70B45" w:rsidRPr="008717B0" w:rsidRDefault="00C70B45" w:rsidP="00C70B45">
      <w:pPr>
        <w:spacing w:after="0"/>
        <w:jc w:val="both"/>
        <w:rPr>
          <w:noProof/>
          <w:sz w:val="24"/>
          <w:szCs w:val="24"/>
          <w:lang w:val="ka-GE"/>
        </w:rPr>
      </w:pPr>
    </w:p>
    <w:p w14:paraId="0930328E" w14:textId="77777777" w:rsidR="00DD1342" w:rsidRPr="008717B0" w:rsidRDefault="00DD1342" w:rsidP="00DD1342">
      <w:pPr>
        <w:spacing w:after="0"/>
        <w:jc w:val="both"/>
        <w:rPr>
          <w:noProof/>
          <w:sz w:val="24"/>
          <w:szCs w:val="24"/>
          <w:lang w:val="ka-GE"/>
        </w:rPr>
      </w:pPr>
      <w:r w:rsidRPr="008717B0">
        <w:rPr>
          <w:noProof/>
          <w:sz w:val="24"/>
          <w:szCs w:val="24"/>
          <w:lang w:val="ka-GE"/>
        </w:rPr>
        <w:t>მაღალი დოზების გამოყენებისას (20 მკგ/კგ-ზე მეტი) შესაძლებელია კოლაფსი, ტუჩების, ფრჩხილების ან ხელისგულების ციანოზი, მეთჰემოგლობინემია, ქოშინი და ტაქიპნოე.</w:t>
      </w:r>
    </w:p>
    <w:p w14:paraId="19102FB4" w14:textId="77777777" w:rsidR="00DD1342" w:rsidRPr="008717B0" w:rsidRDefault="00DD1342" w:rsidP="00DD1342">
      <w:pPr>
        <w:spacing w:after="0"/>
        <w:jc w:val="both"/>
        <w:rPr>
          <w:noProof/>
          <w:sz w:val="24"/>
          <w:szCs w:val="24"/>
          <w:lang w:val="ka-GE"/>
        </w:rPr>
      </w:pPr>
      <w:r w:rsidRPr="008717B0">
        <w:rPr>
          <w:i/>
          <w:noProof/>
          <w:sz w:val="24"/>
          <w:szCs w:val="24"/>
          <w:lang w:val="ka-GE"/>
        </w:rPr>
        <w:t>მკურნალობა:</w:t>
      </w:r>
      <w:r w:rsidRPr="008717B0">
        <w:rPr>
          <w:noProof/>
          <w:sz w:val="24"/>
          <w:szCs w:val="24"/>
          <w:lang w:val="ka-GE"/>
        </w:rPr>
        <w:t xml:space="preserve"> პაციენტის ჰორიზონტალურ მდგომარეობაში მოთავსება აწეული ფეხებით; მძიმე შემთხვევებში პლაზმის შემცვლელების, სიმპათომიმეტიკების, ჟანგბადის დანიშვნა და მეთჰემოგლობინემიის შემთხვევაში მეთილენის ლურჯის გამოყენება.</w:t>
      </w:r>
    </w:p>
    <w:p w14:paraId="1D02D61F" w14:textId="77777777" w:rsidR="00DD1342" w:rsidRPr="008717B0" w:rsidRDefault="00DD1342" w:rsidP="00DD1342">
      <w:pPr>
        <w:spacing w:after="0"/>
        <w:jc w:val="both"/>
        <w:rPr>
          <w:noProof/>
          <w:sz w:val="24"/>
          <w:szCs w:val="24"/>
          <w:lang w:val="ka-GE"/>
        </w:rPr>
      </w:pPr>
    </w:p>
    <w:p w14:paraId="10DD32EA" w14:textId="77777777" w:rsidR="00DD1342" w:rsidRPr="008717B0" w:rsidRDefault="00DD1342" w:rsidP="00DD1342">
      <w:pPr>
        <w:spacing w:after="0"/>
        <w:jc w:val="both"/>
        <w:rPr>
          <w:b/>
          <w:i/>
          <w:noProof/>
          <w:sz w:val="24"/>
          <w:szCs w:val="24"/>
          <w:lang w:val="ka-GE"/>
        </w:rPr>
      </w:pPr>
      <w:r w:rsidRPr="008717B0">
        <w:rPr>
          <w:b/>
          <w:i/>
          <w:noProof/>
          <w:sz w:val="24"/>
          <w:szCs w:val="24"/>
          <w:lang w:val="ka-GE"/>
        </w:rPr>
        <w:t>გვერდითი რეაქციები.</w:t>
      </w:r>
    </w:p>
    <w:p w14:paraId="10F6F1B5" w14:textId="77777777" w:rsidR="00DD1342" w:rsidRPr="008717B0" w:rsidRDefault="00DD1342" w:rsidP="00DD1342">
      <w:pPr>
        <w:spacing w:after="0"/>
        <w:jc w:val="both"/>
        <w:rPr>
          <w:noProof/>
          <w:sz w:val="24"/>
          <w:szCs w:val="24"/>
          <w:lang w:val="ka-GE"/>
        </w:rPr>
      </w:pPr>
      <w:r w:rsidRPr="008717B0">
        <w:rPr>
          <w:i/>
          <w:noProof/>
          <w:sz w:val="24"/>
          <w:szCs w:val="24"/>
          <w:lang w:val="ka-GE"/>
        </w:rPr>
        <w:t>ცენტრალური ნერვული სისტემის მხრივ:</w:t>
      </w:r>
      <w:r w:rsidRPr="008717B0">
        <w:rPr>
          <w:noProof/>
          <w:sz w:val="24"/>
          <w:szCs w:val="24"/>
          <w:lang w:val="ka-GE"/>
        </w:rPr>
        <w:t xml:space="preserve"> მხედველობის დაბინდვა, „ნიტრატული“ თავის ტკივილი (განსაკუთრებით მკურნალობის დასაწყისში, რომელიც მცირდება ხანგრძლივი თერაპიისას), თავბრუსხვევა, სისუსტე, შფოთვა, ფსიქოზური რეაქციები, ლეთარგია, დეზორიენტაცია.</w:t>
      </w:r>
    </w:p>
    <w:p w14:paraId="6CA37728" w14:textId="77777777" w:rsidR="00DD1342" w:rsidRPr="008717B0" w:rsidRDefault="00DD1342" w:rsidP="00DD1342">
      <w:pPr>
        <w:spacing w:after="0"/>
        <w:jc w:val="both"/>
        <w:rPr>
          <w:noProof/>
          <w:sz w:val="24"/>
          <w:szCs w:val="24"/>
          <w:lang w:val="ka-GE"/>
        </w:rPr>
      </w:pPr>
      <w:r w:rsidRPr="008717B0">
        <w:rPr>
          <w:i/>
          <w:noProof/>
          <w:sz w:val="24"/>
          <w:szCs w:val="24"/>
          <w:lang w:val="ka-GE"/>
        </w:rPr>
        <w:t>გულ-სისხლძარღვთა სისტემის მხრივ:</w:t>
      </w:r>
      <w:r w:rsidRPr="008717B0">
        <w:rPr>
          <w:noProof/>
          <w:sz w:val="24"/>
          <w:szCs w:val="24"/>
          <w:lang w:val="ka-GE"/>
        </w:rPr>
        <w:t xml:space="preserve"> არტერიული წნევის დაქვეითება, რეფლექსური ტაქიკარდია, იშვიათად (განსაკუთრებით დოზის გადაჭარბებისას) ორთოსტატული კოლაფსი, ციანოზი, მეთჰემოგლობინემია, სახის სიწითლე.</w:t>
      </w:r>
    </w:p>
    <w:p w14:paraId="561F2188" w14:textId="77777777" w:rsidR="00DD1342" w:rsidRPr="008717B0" w:rsidRDefault="00DD1342" w:rsidP="00DD1342">
      <w:pPr>
        <w:spacing w:after="0"/>
        <w:jc w:val="both"/>
        <w:rPr>
          <w:noProof/>
          <w:sz w:val="24"/>
          <w:szCs w:val="24"/>
          <w:lang w:val="ka-GE"/>
        </w:rPr>
      </w:pPr>
      <w:r w:rsidRPr="008717B0">
        <w:rPr>
          <w:i/>
          <w:noProof/>
          <w:sz w:val="24"/>
          <w:szCs w:val="24"/>
          <w:lang w:val="ka-GE"/>
        </w:rPr>
        <w:t>საჭმლის მომნელებელი ტრაქტის მხრივ:</w:t>
      </w:r>
      <w:r w:rsidRPr="008717B0">
        <w:rPr>
          <w:noProof/>
          <w:sz w:val="24"/>
          <w:szCs w:val="24"/>
          <w:lang w:val="ka-GE"/>
        </w:rPr>
        <w:t xml:space="preserve"> პირის სიმშრალე, გულისრევა, ღებინება, მუცლის ტკივილი.</w:t>
      </w:r>
    </w:p>
    <w:p w14:paraId="03563CBF" w14:textId="77777777" w:rsidR="00DD1342" w:rsidRPr="008717B0" w:rsidRDefault="00DD1342" w:rsidP="00DD1342">
      <w:pPr>
        <w:spacing w:after="0"/>
        <w:jc w:val="both"/>
        <w:rPr>
          <w:noProof/>
          <w:sz w:val="24"/>
          <w:szCs w:val="24"/>
          <w:lang w:val="ka-GE"/>
        </w:rPr>
      </w:pPr>
      <w:r w:rsidRPr="008717B0">
        <w:rPr>
          <w:i/>
          <w:noProof/>
          <w:sz w:val="24"/>
          <w:szCs w:val="24"/>
          <w:lang w:val="ka-GE"/>
        </w:rPr>
        <w:t>იმუნური სისტემის მხრივ:</w:t>
      </w:r>
      <w:r w:rsidRPr="008717B0">
        <w:rPr>
          <w:noProof/>
          <w:sz w:val="24"/>
          <w:szCs w:val="24"/>
          <w:lang w:val="ka-GE"/>
        </w:rPr>
        <w:t xml:space="preserve"> ალერგიული რეაქციები, მათ შორის კანის გამონაყარი, ჭინჭრის ციება, ქავილი; კანის ჰიპერემია, სიფერმკრთალე, ანაფილაქსიური შოკი.</w:t>
      </w:r>
    </w:p>
    <w:p w14:paraId="1E6512CD" w14:textId="77777777" w:rsidR="00DD1342" w:rsidRPr="008717B0" w:rsidRDefault="00DD1342" w:rsidP="00DD1342">
      <w:pPr>
        <w:spacing w:after="0"/>
        <w:jc w:val="both"/>
        <w:rPr>
          <w:noProof/>
          <w:sz w:val="24"/>
          <w:szCs w:val="24"/>
          <w:lang w:val="ka-GE"/>
        </w:rPr>
      </w:pPr>
      <w:r w:rsidRPr="008717B0">
        <w:rPr>
          <w:i/>
          <w:noProof/>
          <w:sz w:val="24"/>
          <w:szCs w:val="24"/>
          <w:lang w:val="ka-GE"/>
        </w:rPr>
        <w:t>სხვა:</w:t>
      </w:r>
      <w:r w:rsidRPr="008717B0">
        <w:rPr>
          <w:noProof/>
          <w:sz w:val="24"/>
          <w:szCs w:val="24"/>
          <w:lang w:val="ka-GE"/>
        </w:rPr>
        <w:t xml:space="preserve"> აგზნებადობა, მხედველობის დარღვევა, გლაუკომის გამწვავება, ჰიპოთერმია, სიცხის შეგრძნება, სუნთქვის გაძნელება, სისუსტე.</w:t>
      </w:r>
    </w:p>
    <w:p w14:paraId="268F0AC8" w14:textId="77777777" w:rsidR="00DD1342" w:rsidRPr="008717B0" w:rsidRDefault="00DD1342" w:rsidP="00DD1342">
      <w:pPr>
        <w:spacing w:after="0"/>
        <w:jc w:val="both"/>
        <w:rPr>
          <w:noProof/>
          <w:sz w:val="24"/>
          <w:szCs w:val="24"/>
          <w:lang w:val="ka-GE"/>
        </w:rPr>
      </w:pPr>
      <w:r w:rsidRPr="008717B0">
        <w:rPr>
          <w:noProof/>
          <w:sz w:val="24"/>
          <w:szCs w:val="24"/>
          <w:lang w:val="ka-GE"/>
        </w:rPr>
        <w:t>ასევე აღწერილია ცალკეული შემთხვევები: გულის კორონარული დაავადების გამწვავება ჰიპოქსიის ფონზე, სრული ბლოკადა, ასისტოლია და ანგიონევროზული შეშუპება.</w:t>
      </w:r>
    </w:p>
    <w:p w14:paraId="589D58FF" w14:textId="77777777" w:rsidR="00DD1342" w:rsidRPr="008717B0" w:rsidRDefault="00DD1342" w:rsidP="00DD1342">
      <w:pPr>
        <w:spacing w:after="0"/>
        <w:jc w:val="both"/>
        <w:rPr>
          <w:noProof/>
          <w:sz w:val="24"/>
          <w:szCs w:val="24"/>
          <w:lang w:val="ka-GE"/>
        </w:rPr>
      </w:pPr>
      <w:r w:rsidRPr="008717B0">
        <w:rPr>
          <w:noProof/>
          <w:sz w:val="24"/>
          <w:szCs w:val="24"/>
          <w:lang w:val="ka-GE"/>
        </w:rPr>
        <w:t>ზოგჯერ არტერიული წნევის უეცარი ვარდნისას შეიძლება აღინიშნოს სტენოკარდიის სიმპტომების გაძლიერება (პარადოქსული „ნიტრატული“ რეაქციები).</w:t>
      </w:r>
    </w:p>
    <w:p w14:paraId="3CA6D4AE" w14:textId="77777777" w:rsidR="008717B0" w:rsidRPr="008717B0" w:rsidRDefault="008717B0" w:rsidP="008717B0">
      <w:pPr>
        <w:spacing w:after="0"/>
        <w:jc w:val="both"/>
        <w:rPr>
          <w:rFonts w:ascii="Sylfaen" w:hAnsi="Sylfaen" w:cs="Sylfaen"/>
          <w:sz w:val="24"/>
          <w:szCs w:val="24"/>
          <w:lang w:val="ka-GE"/>
        </w:rPr>
      </w:pPr>
      <w:r w:rsidRPr="008717B0">
        <w:rPr>
          <w:rFonts w:ascii="Sylfaen" w:hAnsi="Sylfaen" w:cs="Sylfaen"/>
          <w:b/>
          <w:bCs/>
          <w:sz w:val="24"/>
          <w:szCs w:val="24"/>
          <w:lang w:val="ka-GE"/>
        </w:rPr>
        <w:t>გაცემის წესი:</w:t>
      </w:r>
    </w:p>
    <w:p w14:paraId="6739FA7D" w14:textId="77777777" w:rsidR="008717B0" w:rsidRPr="008717B0" w:rsidRDefault="008717B0" w:rsidP="008717B0">
      <w:pPr>
        <w:spacing w:after="0"/>
        <w:jc w:val="both"/>
        <w:rPr>
          <w:rFonts w:ascii="Sylfaen" w:hAnsi="Sylfaen"/>
          <w:sz w:val="24"/>
          <w:szCs w:val="24"/>
          <w:lang w:val="ka-GE"/>
        </w:rPr>
      </w:pPr>
      <w:r w:rsidRPr="008717B0">
        <w:rPr>
          <w:rFonts w:ascii="Sylfaen" w:eastAsia="SimSun" w:hAnsi="Sylfaen"/>
          <w:bCs/>
          <w:sz w:val="24"/>
          <w:szCs w:val="24"/>
          <w:lang w:val="ka-GE"/>
        </w:rPr>
        <w:t xml:space="preserve">ფარმაცევტული პროდუქტის ჯგუფი </w:t>
      </w:r>
      <w:r w:rsidRPr="008717B0">
        <w:rPr>
          <w:rFonts w:ascii="Sylfaen" w:hAnsi="Sylfaen"/>
          <w:sz w:val="24"/>
          <w:szCs w:val="24"/>
          <w:lang w:val="ka-GE"/>
        </w:rPr>
        <w:t xml:space="preserve">II, </w:t>
      </w:r>
      <w:r w:rsidRPr="008717B0">
        <w:rPr>
          <w:rFonts w:ascii="Sylfaen" w:hAnsi="Sylfaen" w:cs="Sylfaen"/>
          <w:sz w:val="24"/>
          <w:szCs w:val="24"/>
          <w:lang w:val="ka-GE"/>
        </w:rPr>
        <w:t>გაიცემა</w:t>
      </w:r>
      <w:r w:rsidRPr="008717B0">
        <w:rPr>
          <w:rFonts w:ascii="Sylfaen" w:hAnsi="Sylfaen"/>
          <w:sz w:val="24"/>
          <w:szCs w:val="24"/>
          <w:lang w:val="ka-GE"/>
        </w:rPr>
        <w:t xml:space="preserve"> </w:t>
      </w:r>
      <w:r w:rsidRPr="008717B0">
        <w:rPr>
          <w:rFonts w:ascii="Sylfaen" w:hAnsi="Sylfaen" w:cs="Sylfaen"/>
          <w:sz w:val="24"/>
          <w:szCs w:val="24"/>
          <w:lang w:val="ka-GE"/>
        </w:rPr>
        <w:t>ფორმა</w:t>
      </w:r>
      <w:r w:rsidRPr="008717B0">
        <w:rPr>
          <w:rFonts w:ascii="Sylfaen" w:hAnsi="Sylfaen"/>
          <w:sz w:val="24"/>
          <w:szCs w:val="24"/>
          <w:lang w:val="ka-GE"/>
        </w:rPr>
        <w:t xml:space="preserve"> №3 </w:t>
      </w:r>
      <w:r w:rsidRPr="008717B0">
        <w:rPr>
          <w:rFonts w:ascii="Sylfaen" w:hAnsi="Sylfaen" w:cs="Sylfaen"/>
          <w:sz w:val="24"/>
          <w:szCs w:val="24"/>
          <w:lang w:val="ka-GE"/>
        </w:rPr>
        <w:t>რეცეპტით</w:t>
      </w:r>
      <w:r w:rsidRPr="008717B0">
        <w:rPr>
          <w:rFonts w:ascii="Sylfaen" w:hAnsi="Sylfaen"/>
          <w:sz w:val="24"/>
          <w:szCs w:val="24"/>
          <w:lang w:val="ka-GE"/>
        </w:rPr>
        <w:t xml:space="preserve"> (</w:t>
      </w:r>
      <w:r w:rsidRPr="008717B0">
        <w:rPr>
          <w:rFonts w:ascii="Sylfaen" w:hAnsi="Sylfaen" w:cs="Sylfaen"/>
          <w:sz w:val="24"/>
          <w:szCs w:val="24"/>
          <w:lang w:val="ka-GE"/>
        </w:rPr>
        <w:t>გადაუდებელი</w:t>
      </w:r>
      <w:r w:rsidRPr="008717B0">
        <w:rPr>
          <w:rFonts w:ascii="Sylfaen" w:hAnsi="Sylfaen"/>
          <w:sz w:val="24"/>
          <w:szCs w:val="24"/>
          <w:lang w:val="ka-GE"/>
        </w:rPr>
        <w:t xml:space="preserve"> </w:t>
      </w:r>
      <w:r w:rsidRPr="008717B0">
        <w:rPr>
          <w:rFonts w:ascii="Sylfaen" w:hAnsi="Sylfaen" w:cs="Sylfaen"/>
          <w:sz w:val="24"/>
          <w:szCs w:val="24"/>
          <w:lang w:val="ka-GE"/>
        </w:rPr>
        <w:t>დახმარებისას</w:t>
      </w:r>
      <w:r w:rsidRPr="008717B0">
        <w:rPr>
          <w:rFonts w:ascii="Sylfaen" w:hAnsi="Sylfaen"/>
          <w:sz w:val="24"/>
          <w:szCs w:val="24"/>
          <w:lang w:val="ka-GE"/>
        </w:rPr>
        <w:t xml:space="preserve"> </w:t>
      </w:r>
      <w:r w:rsidRPr="008717B0">
        <w:rPr>
          <w:rFonts w:ascii="Sylfaen" w:hAnsi="Sylfaen" w:cs="Sylfaen"/>
          <w:sz w:val="24"/>
          <w:szCs w:val="24"/>
          <w:lang w:val="ka-GE"/>
        </w:rPr>
        <w:t>გაიცემა</w:t>
      </w:r>
      <w:r w:rsidRPr="008717B0">
        <w:rPr>
          <w:rFonts w:ascii="Sylfaen" w:hAnsi="Sylfaen"/>
          <w:sz w:val="24"/>
          <w:szCs w:val="24"/>
          <w:lang w:val="ka-GE"/>
        </w:rPr>
        <w:t xml:space="preserve"> </w:t>
      </w:r>
      <w:r w:rsidRPr="008717B0">
        <w:rPr>
          <w:rFonts w:ascii="Sylfaen" w:eastAsia="SimSun" w:hAnsi="Sylfaen"/>
          <w:bCs/>
          <w:sz w:val="24"/>
          <w:szCs w:val="24"/>
          <w:lang w:val="ka-GE"/>
        </w:rPr>
        <w:t>ურეცეპტოდ</w:t>
      </w:r>
      <w:r w:rsidRPr="008717B0">
        <w:rPr>
          <w:rFonts w:ascii="Sylfaen" w:hAnsi="Sylfaen"/>
          <w:sz w:val="24"/>
          <w:szCs w:val="24"/>
          <w:lang w:val="ka-GE"/>
        </w:rPr>
        <w:t>)</w:t>
      </w:r>
    </w:p>
    <w:p w14:paraId="276C0D46" w14:textId="77777777" w:rsidR="00DD1342" w:rsidRPr="008717B0" w:rsidRDefault="00DD1342" w:rsidP="00C70B45">
      <w:pPr>
        <w:spacing w:after="0"/>
        <w:jc w:val="both"/>
        <w:rPr>
          <w:noProof/>
          <w:sz w:val="24"/>
          <w:szCs w:val="24"/>
          <w:lang w:val="ka-GE"/>
        </w:rPr>
      </w:pPr>
    </w:p>
    <w:p w14:paraId="7745F9B6" w14:textId="77777777" w:rsidR="00DD1342" w:rsidRPr="008717B0" w:rsidRDefault="00DD1342" w:rsidP="00DD1342">
      <w:pPr>
        <w:spacing w:after="0"/>
        <w:jc w:val="both"/>
        <w:rPr>
          <w:noProof/>
          <w:sz w:val="24"/>
          <w:szCs w:val="24"/>
          <w:lang w:val="ka-GE"/>
        </w:rPr>
      </w:pPr>
      <w:r w:rsidRPr="008717B0">
        <w:rPr>
          <w:b/>
          <w:noProof/>
          <w:sz w:val="24"/>
          <w:szCs w:val="24"/>
          <w:lang w:val="ka-GE"/>
        </w:rPr>
        <w:t>ვარგისობის ვადა:</w:t>
      </w:r>
      <w:r w:rsidRPr="008717B0">
        <w:rPr>
          <w:noProof/>
          <w:sz w:val="24"/>
          <w:szCs w:val="24"/>
          <w:lang w:val="ka-GE"/>
        </w:rPr>
        <w:t xml:space="preserve"> 2 წელი.</w:t>
      </w:r>
    </w:p>
    <w:p w14:paraId="5289BFAA" w14:textId="77777777" w:rsidR="00DD1342" w:rsidRPr="008717B0" w:rsidRDefault="00DD1342" w:rsidP="00DD1342">
      <w:pPr>
        <w:spacing w:after="0"/>
        <w:jc w:val="both"/>
        <w:rPr>
          <w:noProof/>
          <w:sz w:val="24"/>
          <w:szCs w:val="24"/>
          <w:lang w:val="ka-GE"/>
        </w:rPr>
      </w:pPr>
      <w:r w:rsidRPr="008717B0">
        <w:rPr>
          <w:b/>
          <w:noProof/>
          <w:sz w:val="24"/>
          <w:szCs w:val="24"/>
          <w:lang w:val="ka-GE"/>
        </w:rPr>
        <w:t>შენახვის პირობები:</w:t>
      </w:r>
      <w:r w:rsidRPr="008717B0">
        <w:rPr>
          <w:noProof/>
          <w:sz w:val="24"/>
          <w:szCs w:val="24"/>
          <w:lang w:val="ka-GE"/>
        </w:rPr>
        <w:t xml:space="preserve"> შეინახეთ ორიგინალ შეფუთვაში არაუმეტეს 25°C ტემპერატურაზე. შეინახეთ ბავშვებისთვის მიუწვდომელ ადგილას.</w:t>
      </w:r>
    </w:p>
    <w:p w14:paraId="098AC30A" w14:textId="77777777" w:rsidR="00DD1342" w:rsidRPr="008717B0" w:rsidRDefault="00DD1342" w:rsidP="00DD1342">
      <w:pPr>
        <w:spacing w:after="0"/>
        <w:jc w:val="both"/>
        <w:rPr>
          <w:noProof/>
          <w:sz w:val="24"/>
          <w:szCs w:val="24"/>
          <w:lang w:val="ka-GE"/>
        </w:rPr>
      </w:pPr>
      <w:r w:rsidRPr="008717B0">
        <w:rPr>
          <w:b/>
          <w:noProof/>
          <w:sz w:val="24"/>
          <w:szCs w:val="24"/>
          <w:lang w:val="ka-GE"/>
        </w:rPr>
        <w:t>შეფუთვა:</w:t>
      </w:r>
      <w:r w:rsidRPr="008717B0">
        <w:rPr>
          <w:noProof/>
          <w:sz w:val="24"/>
          <w:szCs w:val="24"/>
          <w:lang w:val="ka-GE"/>
        </w:rPr>
        <w:t xml:space="preserve"> 40 ტაბლეტი ქილაში ან კონტეინერში, კოლოფში.</w:t>
      </w:r>
    </w:p>
    <w:p w14:paraId="2B6907CA" w14:textId="77777777" w:rsidR="00DD1342" w:rsidRPr="008717B0" w:rsidRDefault="00DD1342" w:rsidP="00DD1342">
      <w:pPr>
        <w:spacing w:after="0"/>
        <w:jc w:val="both"/>
        <w:rPr>
          <w:noProof/>
          <w:sz w:val="24"/>
          <w:szCs w:val="24"/>
          <w:lang w:val="ka-GE"/>
        </w:rPr>
      </w:pPr>
      <w:r w:rsidRPr="008717B0">
        <w:rPr>
          <w:noProof/>
          <w:sz w:val="24"/>
          <w:szCs w:val="24"/>
          <w:lang w:val="ka-GE"/>
        </w:rPr>
        <w:t>გაცემის კატეგორია: გაიცემა ურეცეპტოდ.</w:t>
      </w:r>
    </w:p>
    <w:p w14:paraId="775C89DA" w14:textId="77777777" w:rsidR="00DD1342" w:rsidRPr="008717B0" w:rsidRDefault="00DD1342" w:rsidP="00DD1342">
      <w:pPr>
        <w:spacing w:after="0"/>
        <w:jc w:val="both"/>
        <w:rPr>
          <w:noProof/>
          <w:sz w:val="24"/>
          <w:szCs w:val="24"/>
          <w:lang w:val="ka-GE"/>
        </w:rPr>
      </w:pPr>
      <w:r w:rsidRPr="008717B0">
        <w:rPr>
          <w:b/>
          <w:noProof/>
          <w:sz w:val="24"/>
          <w:szCs w:val="24"/>
          <w:lang w:val="ka-GE"/>
        </w:rPr>
        <w:t>მწარმოებელი:</w:t>
      </w:r>
      <w:r w:rsidRPr="008717B0">
        <w:rPr>
          <w:noProof/>
          <w:sz w:val="24"/>
          <w:szCs w:val="24"/>
          <w:lang w:val="ka-GE"/>
        </w:rPr>
        <w:t xml:space="preserve"> შეზღუდული პასუხისმგებლობის საზოგადოება „ზდოროვიე კორპორაცია“.</w:t>
      </w:r>
    </w:p>
    <w:p w14:paraId="34215640" w14:textId="77777777" w:rsidR="00DD1342" w:rsidRPr="008717B0" w:rsidRDefault="00DD1342" w:rsidP="00DD1342">
      <w:pPr>
        <w:spacing w:after="0"/>
        <w:jc w:val="both"/>
        <w:rPr>
          <w:noProof/>
          <w:sz w:val="24"/>
          <w:szCs w:val="24"/>
          <w:lang w:val="ka-GE"/>
        </w:rPr>
      </w:pPr>
      <w:r w:rsidRPr="008717B0">
        <w:rPr>
          <w:noProof/>
          <w:sz w:val="24"/>
          <w:szCs w:val="24"/>
          <w:lang w:val="ka-GE"/>
        </w:rPr>
        <w:t>მწარმოებლის მდებარეობა და საქმიანი მისამართი: შევჩენკოს ქუჩა 22, ხარკოვი, 61013, უკრაინა.</w:t>
      </w:r>
    </w:p>
    <w:p w14:paraId="7DF69802" w14:textId="77777777" w:rsidR="00DD1342" w:rsidRPr="008717B0" w:rsidRDefault="00DD1342" w:rsidP="00DD1342">
      <w:pPr>
        <w:spacing w:after="0"/>
        <w:jc w:val="both"/>
        <w:rPr>
          <w:noProof/>
          <w:sz w:val="24"/>
          <w:szCs w:val="24"/>
          <w:lang w:val="ka-GE"/>
        </w:rPr>
      </w:pPr>
      <w:r w:rsidRPr="008717B0">
        <w:rPr>
          <w:noProof/>
          <w:sz w:val="24"/>
          <w:szCs w:val="24"/>
          <w:lang w:val="ka-GE"/>
        </w:rPr>
        <w:t>ბოლო განხილვის თარიღი: 2026 წლის 22 იანვარი</w:t>
      </w:r>
    </w:p>
    <w:p w14:paraId="78327EDB" w14:textId="77777777" w:rsidR="00DD1342" w:rsidRPr="008717B0" w:rsidRDefault="00DD1342" w:rsidP="00C70B45">
      <w:pPr>
        <w:spacing w:after="0"/>
        <w:jc w:val="both"/>
        <w:rPr>
          <w:noProof/>
          <w:sz w:val="24"/>
          <w:szCs w:val="24"/>
          <w:lang w:val="ka-GE"/>
        </w:rPr>
      </w:pPr>
    </w:p>
    <w:sectPr w:rsidR="00DD1342" w:rsidRPr="008717B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1A"/>
    <w:rsid w:val="0059411A"/>
    <w:rsid w:val="008717B0"/>
    <w:rsid w:val="00A0183E"/>
    <w:rsid w:val="00C70B45"/>
    <w:rsid w:val="00DD1342"/>
    <w:rsid w:val="00EF2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8177A"/>
  <w15:chartTrackingRefBased/>
  <w15:docId w15:val="{751DF59A-8269-4E5D-8B80-A0371B0C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96613">
      <w:bodyDiv w:val="1"/>
      <w:marLeft w:val="0"/>
      <w:marRight w:val="0"/>
      <w:marTop w:val="0"/>
      <w:marBottom w:val="0"/>
      <w:divBdr>
        <w:top w:val="none" w:sz="0" w:space="0" w:color="auto"/>
        <w:left w:val="none" w:sz="0" w:space="0" w:color="auto"/>
        <w:bottom w:val="none" w:sz="0" w:space="0" w:color="auto"/>
        <w:right w:val="none" w:sz="0" w:space="0" w:color="auto"/>
      </w:divBdr>
      <w:divsChild>
        <w:div w:id="1972981655">
          <w:marLeft w:val="0"/>
          <w:marRight w:val="0"/>
          <w:marTop w:val="0"/>
          <w:marBottom w:val="0"/>
          <w:divBdr>
            <w:top w:val="none" w:sz="0" w:space="0" w:color="auto"/>
            <w:left w:val="none" w:sz="0" w:space="0" w:color="auto"/>
            <w:bottom w:val="none" w:sz="0" w:space="0" w:color="auto"/>
            <w:right w:val="none" w:sz="0" w:space="0" w:color="auto"/>
          </w:divBdr>
          <w:divsChild>
            <w:div w:id="936016097">
              <w:marLeft w:val="0"/>
              <w:marRight w:val="0"/>
              <w:marTop w:val="0"/>
              <w:marBottom w:val="0"/>
              <w:divBdr>
                <w:top w:val="none" w:sz="0" w:space="0" w:color="auto"/>
                <w:left w:val="none" w:sz="0" w:space="0" w:color="auto"/>
                <w:bottom w:val="none" w:sz="0" w:space="0" w:color="auto"/>
                <w:right w:val="none" w:sz="0" w:space="0" w:color="auto"/>
              </w:divBdr>
              <w:divsChild>
                <w:div w:id="547302301">
                  <w:marLeft w:val="0"/>
                  <w:marRight w:val="0"/>
                  <w:marTop w:val="0"/>
                  <w:marBottom w:val="0"/>
                  <w:divBdr>
                    <w:top w:val="none" w:sz="0" w:space="0" w:color="auto"/>
                    <w:left w:val="none" w:sz="0" w:space="0" w:color="auto"/>
                    <w:bottom w:val="none" w:sz="0" w:space="0" w:color="auto"/>
                    <w:right w:val="none" w:sz="0" w:space="0" w:color="auto"/>
                  </w:divBdr>
                  <w:divsChild>
                    <w:div w:id="126314037">
                      <w:marLeft w:val="0"/>
                      <w:marRight w:val="0"/>
                      <w:marTop w:val="0"/>
                      <w:marBottom w:val="0"/>
                      <w:divBdr>
                        <w:top w:val="none" w:sz="0" w:space="0" w:color="auto"/>
                        <w:left w:val="none" w:sz="0" w:space="0" w:color="auto"/>
                        <w:bottom w:val="none" w:sz="0" w:space="0" w:color="auto"/>
                        <w:right w:val="none" w:sz="0" w:space="0" w:color="auto"/>
                      </w:divBdr>
                      <w:divsChild>
                        <w:div w:id="426662101">
                          <w:marLeft w:val="0"/>
                          <w:marRight w:val="0"/>
                          <w:marTop w:val="0"/>
                          <w:marBottom w:val="0"/>
                          <w:divBdr>
                            <w:top w:val="none" w:sz="0" w:space="0" w:color="auto"/>
                            <w:left w:val="none" w:sz="0" w:space="0" w:color="auto"/>
                            <w:bottom w:val="none" w:sz="0" w:space="0" w:color="auto"/>
                            <w:right w:val="none" w:sz="0" w:space="0" w:color="auto"/>
                          </w:divBdr>
                          <w:divsChild>
                            <w:div w:id="100482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605360">
      <w:bodyDiv w:val="1"/>
      <w:marLeft w:val="0"/>
      <w:marRight w:val="0"/>
      <w:marTop w:val="0"/>
      <w:marBottom w:val="0"/>
      <w:divBdr>
        <w:top w:val="none" w:sz="0" w:space="0" w:color="auto"/>
        <w:left w:val="none" w:sz="0" w:space="0" w:color="auto"/>
        <w:bottom w:val="none" w:sz="0" w:space="0" w:color="auto"/>
        <w:right w:val="none" w:sz="0" w:space="0" w:color="auto"/>
      </w:divBdr>
      <w:divsChild>
        <w:div w:id="1341738030">
          <w:marLeft w:val="0"/>
          <w:marRight w:val="0"/>
          <w:marTop w:val="0"/>
          <w:marBottom w:val="0"/>
          <w:divBdr>
            <w:top w:val="none" w:sz="0" w:space="0" w:color="auto"/>
            <w:left w:val="none" w:sz="0" w:space="0" w:color="auto"/>
            <w:bottom w:val="none" w:sz="0" w:space="0" w:color="auto"/>
            <w:right w:val="none" w:sz="0" w:space="0" w:color="auto"/>
          </w:divBdr>
          <w:divsChild>
            <w:div w:id="1322077578">
              <w:marLeft w:val="0"/>
              <w:marRight w:val="0"/>
              <w:marTop w:val="0"/>
              <w:marBottom w:val="0"/>
              <w:divBdr>
                <w:top w:val="none" w:sz="0" w:space="0" w:color="auto"/>
                <w:left w:val="none" w:sz="0" w:space="0" w:color="auto"/>
                <w:bottom w:val="none" w:sz="0" w:space="0" w:color="auto"/>
                <w:right w:val="none" w:sz="0" w:space="0" w:color="auto"/>
              </w:divBdr>
              <w:divsChild>
                <w:div w:id="1170215252">
                  <w:marLeft w:val="0"/>
                  <w:marRight w:val="0"/>
                  <w:marTop w:val="0"/>
                  <w:marBottom w:val="0"/>
                  <w:divBdr>
                    <w:top w:val="none" w:sz="0" w:space="0" w:color="auto"/>
                    <w:left w:val="none" w:sz="0" w:space="0" w:color="auto"/>
                    <w:bottom w:val="none" w:sz="0" w:space="0" w:color="auto"/>
                    <w:right w:val="none" w:sz="0" w:space="0" w:color="auto"/>
                  </w:divBdr>
                  <w:divsChild>
                    <w:div w:id="94443593">
                      <w:marLeft w:val="0"/>
                      <w:marRight w:val="0"/>
                      <w:marTop w:val="0"/>
                      <w:marBottom w:val="0"/>
                      <w:divBdr>
                        <w:top w:val="none" w:sz="0" w:space="0" w:color="auto"/>
                        <w:left w:val="none" w:sz="0" w:space="0" w:color="auto"/>
                        <w:bottom w:val="none" w:sz="0" w:space="0" w:color="auto"/>
                        <w:right w:val="none" w:sz="0" w:space="0" w:color="auto"/>
                      </w:divBdr>
                      <w:divsChild>
                        <w:div w:id="1077937860">
                          <w:marLeft w:val="0"/>
                          <w:marRight w:val="0"/>
                          <w:marTop w:val="0"/>
                          <w:marBottom w:val="0"/>
                          <w:divBdr>
                            <w:top w:val="none" w:sz="0" w:space="0" w:color="auto"/>
                            <w:left w:val="none" w:sz="0" w:space="0" w:color="auto"/>
                            <w:bottom w:val="none" w:sz="0" w:space="0" w:color="auto"/>
                            <w:right w:val="none" w:sz="0" w:space="0" w:color="auto"/>
                          </w:divBdr>
                          <w:divsChild>
                            <w:div w:id="186721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454223">
      <w:bodyDiv w:val="1"/>
      <w:marLeft w:val="0"/>
      <w:marRight w:val="0"/>
      <w:marTop w:val="0"/>
      <w:marBottom w:val="0"/>
      <w:divBdr>
        <w:top w:val="none" w:sz="0" w:space="0" w:color="auto"/>
        <w:left w:val="none" w:sz="0" w:space="0" w:color="auto"/>
        <w:bottom w:val="none" w:sz="0" w:space="0" w:color="auto"/>
        <w:right w:val="none" w:sz="0" w:space="0" w:color="auto"/>
      </w:divBdr>
      <w:divsChild>
        <w:div w:id="616987537">
          <w:marLeft w:val="0"/>
          <w:marRight w:val="0"/>
          <w:marTop w:val="0"/>
          <w:marBottom w:val="0"/>
          <w:divBdr>
            <w:top w:val="none" w:sz="0" w:space="0" w:color="auto"/>
            <w:left w:val="none" w:sz="0" w:space="0" w:color="auto"/>
            <w:bottom w:val="none" w:sz="0" w:space="0" w:color="auto"/>
            <w:right w:val="none" w:sz="0" w:space="0" w:color="auto"/>
          </w:divBdr>
          <w:divsChild>
            <w:div w:id="205265836">
              <w:marLeft w:val="0"/>
              <w:marRight w:val="0"/>
              <w:marTop w:val="0"/>
              <w:marBottom w:val="0"/>
              <w:divBdr>
                <w:top w:val="none" w:sz="0" w:space="0" w:color="auto"/>
                <w:left w:val="none" w:sz="0" w:space="0" w:color="auto"/>
                <w:bottom w:val="none" w:sz="0" w:space="0" w:color="auto"/>
                <w:right w:val="none" w:sz="0" w:space="0" w:color="auto"/>
              </w:divBdr>
              <w:divsChild>
                <w:div w:id="690959197">
                  <w:marLeft w:val="0"/>
                  <w:marRight w:val="0"/>
                  <w:marTop w:val="0"/>
                  <w:marBottom w:val="0"/>
                  <w:divBdr>
                    <w:top w:val="none" w:sz="0" w:space="0" w:color="auto"/>
                    <w:left w:val="none" w:sz="0" w:space="0" w:color="auto"/>
                    <w:bottom w:val="none" w:sz="0" w:space="0" w:color="auto"/>
                    <w:right w:val="none" w:sz="0" w:space="0" w:color="auto"/>
                  </w:divBdr>
                  <w:divsChild>
                    <w:div w:id="1215699073">
                      <w:marLeft w:val="0"/>
                      <w:marRight w:val="0"/>
                      <w:marTop w:val="0"/>
                      <w:marBottom w:val="0"/>
                      <w:divBdr>
                        <w:top w:val="none" w:sz="0" w:space="0" w:color="auto"/>
                        <w:left w:val="none" w:sz="0" w:space="0" w:color="auto"/>
                        <w:bottom w:val="none" w:sz="0" w:space="0" w:color="auto"/>
                        <w:right w:val="none" w:sz="0" w:space="0" w:color="auto"/>
                      </w:divBdr>
                      <w:divsChild>
                        <w:div w:id="1694501437">
                          <w:marLeft w:val="0"/>
                          <w:marRight w:val="0"/>
                          <w:marTop w:val="0"/>
                          <w:marBottom w:val="0"/>
                          <w:divBdr>
                            <w:top w:val="none" w:sz="0" w:space="0" w:color="auto"/>
                            <w:left w:val="none" w:sz="0" w:space="0" w:color="auto"/>
                            <w:bottom w:val="none" w:sz="0" w:space="0" w:color="auto"/>
                            <w:right w:val="none" w:sz="0" w:space="0" w:color="auto"/>
                          </w:divBdr>
                          <w:divsChild>
                            <w:div w:id="14349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523061">
      <w:bodyDiv w:val="1"/>
      <w:marLeft w:val="0"/>
      <w:marRight w:val="0"/>
      <w:marTop w:val="0"/>
      <w:marBottom w:val="0"/>
      <w:divBdr>
        <w:top w:val="none" w:sz="0" w:space="0" w:color="auto"/>
        <w:left w:val="none" w:sz="0" w:space="0" w:color="auto"/>
        <w:bottom w:val="none" w:sz="0" w:space="0" w:color="auto"/>
        <w:right w:val="none" w:sz="0" w:space="0" w:color="auto"/>
      </w:divBdr>
      <w:divsChild>
        <w:div w:id="37703807">
          <w:marLeft w:val="0"/>
          <w:marRight w:val="0"/>
          <w:marTop w:val="0"/>
          <w:marBottom w:val="0"/>
          <w:divBdr>
            <w:top w:val="none" w:sz="0" w:space="0" w:color="auto"/>
            <w:left w:val="none" w:sz="0" w:space="0" w:color="auto"/>
            <w:bottom w:val="none" w:sz="0" w:space="0" w:color="auto"/>
            <w:right w:val="none" w:sz="0" w:space="0" w:color="auto"/>
          </w:divBdr>
          <w:divsChild>
            <w:div w:id="25954815">
              <w:marLeft w:val="0"/>
              <w:marRight w:val="0"/>
              <w:marTop w:val="0"/>
              <w:marBottom w:val="0"/>
              <w:divBdr>
                <w:top w:val="none" w:sz="0" w:space="0" w:color="auto"/>
                <w:left w:val="none" w:sz="0" w:space="0" w:color="auto"/>
                <w:bottom w:val="none" w:sz="0" w:space="0" w:color="auto"/>
                <w:right w:val="none" w:sz="0" w:space="0" w:color="auto"/>
              </w:divBdr>
              <w:divsChild>
                <w:div w:id="867645277">
                  <w:marLeft w:val="0"/>
                  <w:marRight w:val="0"/>
                  <w:marTop w:val="0"/>
                  <w:marBottom w:val="0"/>
                  <w:divBdr>
                    <w:top w:val="none" w:sz="0" w:space="0" w:color="auto"/>
                    <w:left w:val="none" w:sz="0" w:space="0" w:color="auto"/>
                    <w:bottom w:val="none" w:sz="0" w:space="0" w:color="auto"/>
                    <w:right w:val="none" w:sz="0" w:space="0" w:color="auto"/>
                  </w:divBdr>
                  <w:divsChild>
                    <w:div w:id="1792356830">
                      <w:marLeft w:val="0"/>
                      <w:marRight w:val="0"/>
                      <w:marTop w:val="0"/>
                      <w:marBottom w:val="0"/>
                      <w:divBdr>
                        <w:top w:val="none" w:sz="0" w:space="0" w:color="auto"/>
                        <w:left w:val="none" w:sz="0" w:space="0" w:color="auto"/>
                        <w:bottom w:val="none" w:sz="0" w:space="0" w:color="auto"/>
                        <w:right w:val="none" w:sz="0" w:space="0" w:color="auto"/>
                      </w:divBdr>
                      <w:divsChild>
                        <w:div w:id="2055545314">
                          <w:marLeft w:val="0"/>
                          <w:marRight w:val="0"/>
                          <w:marTop w:val="0"/>
                          <w:marBottom w:val="0"/>
                          <w:divBdr>
                            <w:top w:val="none" w:sz="0" w:space="0" w:color="auto"/>
                            <w:left w:val="none" w:sz="0" w:space="0" w:color="auto"/>
                            <w:bottom w:val="none" w:sz="0" w:space="0" w:color="auto"/>
                            <w:right w:val="none" w:sz="0" w:space="0" w:color="auto"/>
                          </w:divBdr>
                          <w:divsChild>
                            <w:div w:id="208282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009652">
      <w:bodyDiv w:val="1"/>
      <w:marLeft w:val="0"/>
      <w:marRight w:val="0"/>
      <w:marTop w:val="0"/>
      <w:marBottom w:val="0"/>
      <w:divBdr>
        <w:top w:val="none" w:sz="0" w:space="0" w:color="auto"/>
        <w:left w:val="none" w:sz="0" w:space="0" w:color="auto"/>
        <w:bottom w:val="none" w:sz="0" w:space="0" w:color="auto"/>
        <w:right w:val="none" w:sz="0" w:space="0" w:color="auto"/>
      </w:divBdr>
    </w:div>
    <w:div w:id="1063061191">
      <w:bodyDiv w:val="1"/>
      <w:marLeft w:val="0"/>
      <w:marRight w:val="0"/>
      <w:marTop w:val="0"/>
      <w:marBottom w:val="0"/>
      <w:divBdr>
        <w:top w:val="none" w:sz="0" w:space="0" w:color="auto"/>
        <w:left w:val="none" w:sz="0" w:space="0" w:color="auto"/>
        <w:bottom w:val="none" w:sz="0" w:space="0" w:color="auto"/>
        <w:right w:val="none" w:sz="0" w:space="0" w:color="auto"/>
      </w:divBdr>
    </w:div>
    <w:div w:id="1264072697">
      <w:bodyDiv w:val="1"/>
      <w:marLeft w:val="0"/>
      <w:marRight w:val="0"/>
      <w:marTop w:val="0"/>
      <w:marBottom w:val="0"/>
      <w:divBdr>
        <w:top w:val="none" w:sz="0" w:space="0" w:color="auto"/>
        <w:left w:val="none" w:sz="0" w:space="0" w:color="auto"/>
        <w:bottom w:val="none" w:sz="0" w:space="0" w:color="auto"/>
        <w:right w:val="none" w:sz="0" w:space="0" w:color="auto"/>
      </w:divBdr>
    </w:div>
    <w:div w:id="1270115544">
      <w:bodyDiv w:val="1"/>
      <w:marLeft w:val="0"/>
      <w:marRight w:val="0"/>
      <w:marTop w:val="0"/>
      <w:marBottom w:val="0"/>
      <w:divBdr>
        <w:top w:val="none" w:sz="0" w:space="0" w:color="auto"/>
        <w:left w:val="none" w:sz="0" w:space="0" w:color="auto"/>
        <w:bottom w:val="none" w:sz="0" w:space="0" w:color="auto"/>
        <w:right w:val="none" w:sz="0" w:space="0" w:color="auto"/>
      </w:divBdr>
      <w:divsChild>
        <w:div w:id="1376929292">
          <w:marLeft w:val="0"/>
          <w:marRight w:val="0"/>
          <w:marTop w:val="0"/>
          <w:marBottom w:val="0"/>
          <w:divBdr>
            <w:top w:val="none" w:sz="0" w:space="0" w:color="auto"/>
            <w:left w:val="none" w:sz="0" w:space="0" w:color="auto"/>
            <w:bottom w:val="none" w:sz="0" w:space="0" w:color="auto"/>
            <w:right w:val="none" w:sz="0" w:space="0" w:color="auto"/>
          </w:divBdr>
          <w:divsChild>
            <w:div w:id="1987858860">
              <w:marLeft w:val="0"/>
              <w:marRight w:val="0"/>
              <w:marTop w:val="0"/>
              <w:marBottom w:val="0"/>
              <w:divBdr>
                <w:top w:val="none" w:sz="0" w:space="0" w:color="auto"/>
                <w:left w:val="none" w:sz="0" w:space="0" w:color="auto"/>
                <w:bottom w:val="none" w:sz="0" w:space="0" w:color="auto"/>
                <w:right w:val="none" w:sz="0" w:space="0" w:color="auto"/>
              </w:divBdr>
              <w:divsChild>
                <w:div w:id="1156723899">
                  <w:marLeft w:val="0"/>
                  <w:marRight w:val="0"/>
                  <w:marTop w:val="0"/>
                  <w:marBottom w:val="0"/>
                  <w:divBdr>
                    <w:top w:val="none" w:sz="0" w:space="0" w:color="auto"/>
                    <w:left w:val="none" w:sz="0" w:space="0" w:color="auto"/>
                    <w:bottom w:val="none" w:sz="0" w:space="0" w:color="auto"/>
                    <w:right w:val="none" w:sz="0" w:space="0" w:color="auto"/>
                  </w:divBdr>
                  <w:divsChild>
                    <w:div w:id="1575965620">
                      <w:marLeft w:val="0"/>
                      <w:marRight w:val="0"/>
                      <w:marTop w:val="0"/>
                      <w:marBottom w:val="0"/>
                      <w:divBdr>
                        <w:top w:val="none" w:sz="0" w:space="0" w:color="auto"/>
                        <w:left w:val="none" w:sz="0" w:space="0" w:color="auto"/>
                        <w:bottom w:val="none" w:sz="0" w:space="0" w:color="auto"/>
                        <w:right w:val="none" w:sz="0" w:space="0" w:color="auto"/>
                      </w:divBdr>
                      <w:divsChild>
                        <w:div w:id="1488863903">
                          <w:marLeft w:val="0"/>
                          <w:marRight w:val="0"/>
                          <w:marTop w:val="0"/>
                          <w:marBottom w:val="0"/>
                          <w:divBdr>
                            <w:top w:val="none" w:sz="0" w:space="0" w:color="auto"/>
                            <w:left w:val="none" w:sz="0" w:space="0" w:color="auto"/>
                            <w:bottom w:val="none" w:sz="0" w:space="0" w:color="auto"/>
                            <w:right w:val="none" w:sz="0" w:space="0" w:color="auto"/>
                          </w:divBdr>
                          <w:divsChild>
                            <w:div w:id="70879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614289">
      <w:bodyDiv w:val="1"/>
      <w:marLeft w:val="0"/>
      <w:marRight w:val="0"/>
      <w:marTop w:val="0"/>
      <w:marBottom w:val="0"/>
      <w:divBdr>
        <w:top w:val="none" w:sz="0" w:space="0" w:color="auto"/>
        <w:left w:val="none" w:sz="0" w:space="0" w:color="auto"/>
        <w:bottom w:val="none" w:sz="0" w:space="0" w:color="auto"/>
        <w:right w:val="none" w:sz="0" w:space="0" w:color="auto"/>
      </w:divBdr>
      <w:divsChild>
        <w:div w:id="1883521745">
          <w:marLeft w:val="0"/>
          <w:marRight w:val="0"/>
          <w:marTop w:val="0"/>
          <w:marBottom w:val="0"/>
          <w:divBdr>
            <w:top w:val="none" w:sz="0" w:space="0" w:color="auto"/>
            <w:left w:val="none" w:sz="0" w:space="0" w:color="auto"/>
            <w:bottom w:val="none" w:sz="0" w:space="0" w:color="auto"/>
            <w:right w:val="none" w:sz="0" w:space="0" w:color="auto"/>
          </w:divBdr>
          <w:divsChild>
            <w:div w:id="1459377367">
              <w:marLeft w:val="0"/>
              <w:marRight w:val="0"/>
              <w:marTop w:val="0"/>
              <w:marBottom w:val="0"/>
              <w:divBdr>
                <w:top w:val="none" w:sz="0" w:space="0" w:color="auto"/>
                <w:left w:val="none" w:sz="0" w:space="0" w:color="auto"/>
                <w:bottom w:val="none" w:sz="0" w:space="0" w:color="auto"/>
                <w:right w:val="none" w:sz="0" w:space="0" w:color="auto"/>
              </w:divBdr>
              <w:divsChild>
                <w:div w:id="1091969475">
                  <w:marLeft w:val="0"/>
                  <w:marRight w:val="0"/>
                  <w:marTop w:val="0"/>
                  <w:marBottom w:val="0"/>
                  <w:divBdr>
                    <w:top w:val="none" w:sz="0" w:space="0" w:color="auto"/>
                    <w:left w:val="none" w:sz="0" w:space="0" w:color="auto"/>
                    <w:bottom w:val="none" w:sz="0" w:space="0" w:color="auto"/>
                    <w:right w:val="none" w:sz="0" w:space="0" w:color="auto"/>
                  </w:divBdr>
                  <w:divsChild>
                    <w:div w:id="1323464978">
                      <w:marLeft w:val="0"/>
                      <w:marRight w:val="0"/>
                      <w:marTop w:val="0"/>
                      <w:marBottom w:val="0"/>
                      <w:divBdr>
                        <w:top w:val="none" w:sz="0" w:space="0" w:color="auto"/>
                        <w:left w:val="none" w:sz="0" w:space="0" w:color="auto"/>
                        <w:bottom w:val="none" w:sz="0" w:space="0" w:color="auto"/>
                        <w:right w:val="none" w:sz="0" w:space="0" w:color="auto"/>
                      </w:divBdr>
                      <w:divsChild>
                        <w:div w:id="1181237585">
                          <w:marLeft w:val="0"/>
                          <w:marRight w:val="0"/>
                          <w:marTop w:val="0"/>
                          <w:marBottom w:val="0"/>
                          <w:divBdr>
                            <w:top w:val="none" w:sz="0" w:space="0" w:color="auto"/>
                            <w:left w:val="none" w:sz="0" w:space="0" w:color="auto"/>
                            <w:bottom w:val="none" w:sz="0" w:space="0" w:color="auto"/>
                            <w:right w:val="none" w:sz="0" w:space="0" w:color="auto"/>
                          </w:divBdr>
                          <w:divsChild>
                            <w:div w:id="130993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674404">
      <w:bodyDiv w:val="1"/>
      <w:marLeft w:val="0"/>
      <w:marRight w:val="0"/>
      <w:marTop w:val="0"/>
      <w:marBottom w:val="0"/>
      <w:divBdr>
        <w:top w:val="none" w:sz="0" w:space="0" w:color="auto"/>
        <w:left w:val="none" w:sz="0" w:space="0" w:color="auto"/>
        <w:bottom w:val="none" w:sz="0" w:space="0" w:color="auto"/>
        <w:right w:val="none" w:sz="0" w:space="0" w:color="auto"/>
      </w:divBdr>
      <w:divsChild>
        <w:div w:id="683285322">
          <w:marLeft w:val="0"/>
          <w:marRight w:val="0"/>
          <w:marTop w:val="0"/>
          <w:marBottom w:val="0"/>
          <w:divBdr>
            <w:top w:val="none" w:sz="0" w:space="0" w:color="auto"/>
            <w:left w:val="none" w:sz="0" w:space="0" w:color="auto"/>
            <w:bottom w:val="none" w:sz="0" w:space="0" w:color="auto"/>
            <w:right w:val="none" w:sz="0" w:space="0" w:color="auto"/>
          </w:divBdr>
          <w:divsChild>
            <w:div w:id="47806987">
              <w:marLeft w:val="0"/>
              <w:marRight w:val="0"/>
              <w:marTop w:val="0"/>
              <w:marBottom w:val="0"/>
              <w:divBdr>
                <w:top w:val="none" w:sz="0" w:space="0" w:color="auto"/>
                <w:left w:val="none" w:sz="0" w:space="0" w:color="auto"/>
                <w:bottom w:val="none" w:sz="0" w:space="0" w:color="auto"/>
                <w:right w:val="none" w:sz="0" w:space="0" w:color="auto"/>
              </w:divBdr>
              <w:divsChild>
                <w:div w:id="178735139">
                  <w:marLeft w:val="0"/>
                  <w:marRight w:val="0"/>
                  <w:marTop w:val="0"/>
                  <w:marBottom w:val="0"/>
                  <w:divBdr>
                    <w:top w:val="none" w:sz="0" w:space="0" w:color="auto"/>
                    <w:left w:val="none" w:sz="0" w:space="0" w:color="auto"/>
                    <w:bottom w:val="none" w:sz="0" w:space="0" w:color="auto"/>
                    <w:right w:val="none" w:sz="0" w:space="0" w:color="auto"/>
                  </w:divBdr>
                  <w:divsChild>
                    <w:div w:id="1420562303">
                      <w:marLeft w:val="0"/>
                      <w:marRight w:val="0"/>
                      <w:marTop w:val="0"/>
                      <w:marBottom w:val="0"/>
                      <w:divBdr>
                        <w:top w:val="none" w:sz="0" w:space="0" w:color="auto"/>
                        <w:left w:val="none" w:sz="0" w:space="0" w:color="auto"/>
                        <w:bottom w:val="none" w:sz="0" w:space="0" w:color="auto"/>
                        <w:right w:val="none" w:sz="0" w:space="0" w:color="auto"/>
                      </w:divBdr>
                      <w:divsChild>
                        <w:div w:id="1799109501">
                          <w:marLeft w:val="0"/>
                          <w:marRight w:val="0"/>
                          <w:marTop w:val="0"/>
                          <w:marBottom w:val="0"/>
                          <w:divBdr>
                            <w:top w:val="none" w:sz="0" w:space="0" w:color="auto"/>
                            <w:left w:val="none" w:sz="0" w:space="0" w:color="auto"/>
                            <w:bottom w:val="none" w:sz="0" w:space="0" w:color="auto"/>
                            <w:right w:val="none" w:sz="0" w:space="0" w:color="auto"/>
                          </w:divBdr>
                          <w:divsChild>
                            <w:div w:id="151850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878214">
      <w:bodyDiv w:val="1"/>
      <w:marLeft w:val="0"/>
      <w:marRight w:val="0"/>
      <w:marTop w:val="0"/>
      <w:marBottom w:val="0"/>
      <w:divBdr>
        <w:top w:val="none" w:sz="0" w:space="0" w:color="auto"/>
        <w:left w:val="none" w:sz="0" w:space="0" w:color="auto"/>
        <w:bottom w:val="none" w:sz="0" w:space="0" w:color="auto"/>
        <w:right w:val="none" w:sz="0" w:space="0" w:color="auto"/>
      </w:divBdr>
      <w:divsChild>
        <w:div w:id="1446849676">
          <w:marLeft w:val="0"/>
          <w:marRight w:val="0"/>
          <w:marTop w:val="0"/>
          <w:marBottom w:val="0"/>
          <w:divBdr>
            <w:top w:val="none" w:sz="0" w:space="0" w:color="auto"/>
            <w:left w:val="none" w:sz="0" w:space="0" w:color="auto"/>
            <w:bottom w:val="none" w:sz="0" w:space="0" w:color="auto"/>
            <w:right w:val="none" w:sz="0" w:space="0" w:color="auto"/>
          </w:divBdr>
          <w:divsChild>
            <w:div w:id="191378791">
              <w:marLeft w:val="0"/>
              <w:marRight w:val="0"/>
              <w:marTop w:val="0"/>
              <w:marBottom w:val="0"/>
              <w:divBdr>
                <w:top w:val="none" w:sz="0" w:space="0" w:color="auto"/>
                <w:left w:val="none" w:sz="0" w:space="0" w:color="auto"/>
                <w:bottom w:val="none" w:sz="0" w:space="0" w:color="auto"/>
                <w:right w:val="none" w:sz="0" w:space="0" w:color="auto"/>
              </w:divBdr>
              <w:divsChild>
                <w:div w:id="935289082">
                  <w:marLeft w:val="0"/>
                  <w:marRight w:val="0"/>
                  <w:marTop w:val="0"/>
                  <w:marBottom w:val="0"/>
                  <w:divBdr>
                    <w:top w:val="none" w:sz="0" w:space="0" w:color="auto"/>
                    <w:left w:val="none" w:sz="0" w:space="0" w:color="auto"/>
                    <w:bottom w:val="none" w:sz="0" w:space="0" w:color="auto"/>
                    <w:right w:val="none" w:sz="0" w:space="0" w:color="auto"/>
                  </w:divBdr>
                  <w:divsChild>
                    <w:div w:id="1813713863">
                      <w:marLeft w:val="0"/>
                      <w:marRight w:val="0"/>
                      <w:marTop w:val="0"/>
                      <w:marBottom w:val="0"/>
                      <w:divBdr>
                        <w:top w:val="none" w:sz="0" w:space="0" w:color="auto"/>
                        <w:left w:val="none" w:sz="0" w:space="0" w:color="auto"/>
                        <w:bottom w:val="none" w:sz="0" w:space="0" w:color="auto"/>
                        <w:right w:val="none" w:sz="0" w:space="0" w:color="auto"/>
                      </w:divBdr>
                      <w:divsChild>
                        <w:div w:id="399988868">
                          <w:marLeft w:val="0"/>
                          <w:marRight w:val="0"/>
                          <w:marTop w:val="0"/>
                          <w:marBottom w:val="0"/>
                          <w:divBdr>
                            <w:top w:val="none" w:sz="0" w:space="0" w:color="auto"/>
                            <w:left w:val="none" w:sz="0" w:space="0" w:color="auto"/>
                            <w:bottom w:val="none" w:sz="0" w:space="0" w:color="auto"/>
                            <w:right w:val="none" w:sz="0" w:space="0" w:color="auto"/>
                          </w:divBdr>
                          <w:divsChild>
                            <w:div w:id="187230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6970396">
      <w:bodyDiv w:val="1"/>
      <w:marLeft w:val="0"/>
      <w:marRight w:val="0"/>
      <w:marTop w:val="0"/>
      <w:marBottom w:val="0"/>
      <w:divBdr>
        <w:top w:val="none" w:sz="0" w:space="0" w:color="auto"/>
        <w:left w:val="none" w:sz="0" w:space="0" w:color="auto"/>
        <w:bottom w:val="none" w:sz="0" w:space="0" w:color="auto"/>
        <w:right w:val="none" w:sz="0" w:space="0" w:color="auto"/>
      </w:divBdr>
      <w:divsChild>
        <w:div w:id="1646353478">
          <w:marLeft w:val="0"/>
          <w:marRight w:val="0"/>
          <w:marTop w:val="0"/>
          <w:marBottom w:val="0"/>
          <w:divBdr>
            <w:top w:val="none" w:sz="0" w:space="0" w:color="auto"/>
            <w:left w:val="none" w:sz="0" w:space="0" w:color="auto"/>
            <w:bottom w:val="none" w:sz="0" w:space="0" w:color="auto"/>
            <w:right w:val="none" w:sz="0" w:space="0" w:color="auto"/>
          </w:divBdr>
          <w:divsChild>
            <w:div w:id="1558740873">
              <w:marLeft w:val="0"/>
              <w:marRight w:val="0"/>
              <w:marTop w:val="0"/>
              <w:marBottom w:val="0"/>
              <w:divBdr>
                <w:top w:val="none" w:sz="0" w:space="0" w:color="auto"/>
                <w:left w:val="none" w:sz="0" w:space="0" w:color="auto"/>
                <w:bottom w:val="none" w:sz="0" w:space="0" w:color="auto"/>
                <w:right w:val="none" w:sz="0" w:space="0" w:color="auto"/>
              </w:divBdr>
              <w:divsChild>
                <w:div w:id="409278778">
                  <w:marLeft w:val="0"/>
                  <w:marRight w:val="0"/>
                  <w:marTop w:val="0"/>
                  <w:marBottom w:val="0"/>
                  <w:divBdr>
                    <w:top w:val="none" w:sz="0" w:space="0" w:color="auto"/>
                    <w:left w:val="none" w:sz="0" w:space="0" w:color="auto"/>
                    <w:bottom w:val="none" w:sz="0" w:space="0" w:color="auto"/>
                    <w:right w:val="none" w:sz="0" w:space="0" w:color="auto"/>
                  </w:divBdr>
                  <w:divsChild>
                    <w:div w:id="1065446838">
                      <w:marLeft w:val="0"/>
                      <w:marRight w:val="0"/>
                      <w:marTop w:val="0"/>
                      <w:marBottom w:val="0"/>
                      <w:divBdr>
                        <w:top w:val="none" w:sz="0" w:space="0" w:color="auto"/>
                        <w:left w:val="none" w:sz="0" w:space="0" w:color="auto"/>
                        <w:bottom w:val="none" w:sz="0" w:space="0" w:color="auto"/>
                        <w:right w:val="none" w:sz="0" w:space="0" w:color="auto"/>
                      </w:divBdr>
                      <w:divsChild>
                        <w:div w:id="968899369">
                          <w:marLeft w:val="0"/>
                          <w:marRight w:val="0"/>
                          <w:marTop w:val="0"/>
                          <w:marBottom w:val="0"/>
                          <w:divBdr>
                            <w:top w:val="none" w:sz="0" w:space="0" w:color="auto"/>
                            <w:left w:val="none" w:sz="0" w:space="0" w:color="auto"/>
                            <w:bottom w:val="none" w:sz="0" w:space="0" w:color="auto"/>
                            <w:right w:val="none" w:sz="0" w:space="0" w:color="auto"/>
                          </w:divBdr>
                          <w:divsChild>
                            <w:div w:id="1681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2242</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Nanuli Janiashvili</cp:lastModifiedBy>
  <cp:revision>4</cp:revision>
  <dcterms:created xsi:type="dcterms:W3CDTF">2026-05-05T01:49:00Z</dcterms:created>
  <dcterms:modified xsi:type="dcterms:W3CDTF">2026-06-04T11:17:00Z</dcterms:modified>
</cp:coreProperties>
</file>