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C94" w:rsidRPr="00EC0DBE" w:rsidRDefault="002A0C94" w:rsidP="002A0C94">
      <w:pPr>
        <w:jc w:val="center"/>
        <w:rPr>
          <w:rFonts w:cstheme="minorHAnsi"/>
          <w:b/>
          <w:lang w:val="ka-GE"/>
        </w:rPr>
      </w:pPr>
      <w:r w:rsidRPr="00EC0DBE">
        <w:rPr>
          <w:rFonts w:cstheme="minorHAnsi"/>
          <w:b/>
          <w:lang w:val="ka-GE"/>
        </w:rPr>
        <w:t>შეფუთვის ფურცელი</w:t>
      </w:r>
      <w:r w:rsidRPr="00EC0DBE">
        <w:rPr>
          <w:rFonts w:cstheme="minorHAnsi"/>
          <w:b/>
          <w:lang w:val="en-GB"/>
        </w:rPr>
        <w:t xml:space="preserve">: </w:t>
      </w:r>
      <w:r w:rsidRPr="00EC0DBE">
        <w:rPr>
          <w:rFonts w:cstheme="minorHAnsi"/>
          <w:b/>
          <w:lang w:val="ka-GE"/>
        </w:rPr>
        <w:t>მომხმარებლისთვის განკუთვნილი ინფორმაცია</w:t>
      </w:r>
    </w:p>
    <w:p w:rsidR="002A0C94" w:rsidRPr="00FE17E2" w:rsidRDefault="002A0C94" w:rsidP="002A0C94">
      <w:pPr>
        <w:jc w:val="center"/>
        <w:rPr>
          <w:rFonts w:cstheme="minorHAnsi"/>
          <w:b/>
          <w:sz w:val="20"/>
          <w:szCs w:val="20"/>
          <w:lang w:val="ka-GE"/>
        </w:rPr>
      </w:pPr>
    </w:p>
    <w:p w:rsidR="002A0C94" w:rsidRPr="00FE17E2" w:rsidRDefault="002A0C94" w:rsidP="002A0C94">
      <w:pPr>
        <w:rPr>
          <w:rFonts w:cstheme="minorHAnsi"/>
          <w:b/>
          <w:sz w:val="20"/>
          <w:szCs w:val="20"/>
          <w:lang w:val="ka-GE"/>
        </w:rPr>
      </w:pPr>
      <w:r w:rsidRPr="00FE17E2">
        <w:rPr>
          <w:rFonts w:cstheme="minorHAnsi"/>
          <w:b/>
          <w:sz w:val="20"/>
          <w:szCs w:val="20"/>
          <w:lang w:val="ka-GE"/>
        </w:rPr>
        <w:t xml:space="preserve">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 5-50 გბკ, რადიონუკლიდის გენერატორი</w:t>
      </w:r>
    </w:p>
    <w:p w:rsidR="002A0C94" w:rsidRPr="00FE17E2" w:rsidRDefault="002A0C94" w:rsidP="002A0C94">
      <w:pPr>
        <w:rPr>
          <w:rFonts w:cstheme="minorHAnsi"/>
          <w:b/>
          <w:sz w:val="20"/>
          <w:szCs w:val="20"/>
          <w:lang w:val="ka-GE"/>
        </w:rPr>
      </w:pPr>
      <w:r w:rsidRPr="00FE17E2">
        <w:rPr>
          <w:rFonts w:cstheme="minorHAnsi"/>
          <w:b/>
          <w:sz w:val="20"/>
          <w:szCs w:val="20"/>
          <w:lang w:val="ka-GE"/>
        </w:rPr>
        <w:t>ინტრავენური  ან თვალის წვეთების სახით</w:t>
      </w:r>
    </w:p>
    <w:p w:rsidR="002A0C94" w:rsidRPr="00FE17E2" w:rsidRDefault="002A0C94" w:rsidP="00EC0DBE">
      <w:pPr>
        <w:spacing w:after="0" w:line="240" w:lineRule="auto"/>
        <w:rPr>
          <w:rFonts w:cstheme="minorHAnsi"/>
          <w:b/>
          <w:i/>
          <w:sz w:val="20"/>
          <w:szCs w:val="20"/>
          <w:lang w:val="ka-GE"/>
        </w:rPr>
      </w:pPr>
      <w:r w:rsidRPr="00FE17E2">
        <w:rPr>
          <w:rFonts w:cstheme="minorHAnsi"/>
          <w:b/>
          <w:i/>
          <w:sz w:val="20"/>
          <w:szCs w:val="20"/>
          <w:lang w:val="ka-GE"/>
        </w:rPr>
        <w:t>აქტიური ინგრედიენტი:</w:t>
      </w:r>
    </w:p>
    <w:p w:rsidR="002A0C94" w:rsidRPr="00FE17E2" w:rsidRDefault="002A0C94" w:rsidP="00EC0DBE">
      <w:pPr>
        <w:spacing w:after="0" w:line="240" w:lineRule="auto"/>
        <w:rPr>
          <w:rFonts w:cstheme="minorHAnsi"/>
          <w:sz w:val="20"/>
          <w:szCs w:val="20"/>
          <w:lang w:val="ka-GE"/>
        </w:rPr>
      </w:pPr>
      <w:r w:rsidRPr="00FE17E2">
        <w:rPr>
          <w:rFonts w:cstheme="minorHAnsi"/>
          <w:sz w:val="20"/>
          <w:szCs w:val="20"/>
          <w:lang w:val="ka-GE"/>
        </w:rPr>
        <w:t>საწყისი ნუკლიდი:</w:t>
      </w:r>
    </w:p>
    <w:p w:rsidR="002A0C94" w:rsidRPr="00FE17E2" w:rsidRDefault="002A0C94" w:rsidP="00EC0DBE">
      <w:pPr>
        <w:spacing w:after="0" w:line="240" w:lineRule="auto"/>
        <w:rPr>
          <w:rFonts w:cstheme="minorHAnsi"/>
          <w:sz w:val="20"/>
          <w:szCs w:val="20"/>
          <w:lang w:val="ka-GE"/>
        </w:rPr>
      </w:pPr>
      <w:r w:rsidRPr="00FE17E2">
        <w:rPr>
          <w:rFonts w:cstheme="minorHAnsi"/>
          <w:sz w:val="20"/>
          <w:szCs w:val="20"/>
          <w:lang w:val="ka-GE"/>
        </w:rPr>
        <w:t>ნატრიუმის მოლიბდატი (Na</w:t>
      </w:r>
      <w:r w:rsidRPr="00FE17E2">
        <w:rPr>
          <w:rFonts w:cstheme="minorHAnsi"/>
          <w:sz w:val="20"/>
          <w:szCs w:val="20"/>
          <w:vertAlign w:val="superscript"/>
          <w:lang w:val="ka-GE"/>
        </w:rPr>
        <w:t>99</w:t>
      </w:r>
      <w:r w:rsidRPr="00FE17E2">
        <w:rPr>
          <w:rFonts w:cstheme="minorHAnsi"/>
          <w:sz w:val="20"/>
          <w:szCs w:val="20"/>
          <w:lang w:val="ka-GE"/>
        </w:rPr>
        <w:t>MoO</w:t>
      </w:r>
      <w:r w:rsidRPr="00FE17E2">
        <w:rPr>
          <w:rFonts w:cstheme="minorHAnsi"/>
          <w:sz w:val="20"/>
          <w:szCs w:val="20"/>
          <w:vertAlign w:val="subscript"/>
          <w:lang w:val="ka-GE"/>
        </w:rPr>
        <w:t>4</w:t>
      </w:r>
      <w:r w:rsidRPr="00FE17E2">
        <w:rPr>
          <w:rFonts w:cstheme="minorHAnsi"/>
          <w:sz w:val="20"/>
          <w:szCs w:val="20"/>
          <w:lang w:val="ka-GE"/>
        </w:rPr>
        <w:t xml:space="preserve">)         5-50 გბკ / გენერატორი </w:t>
      </w:r>
      <w:r w:rsidRPr="00FE17E2">
        <w:rPr>
          <w:rFonts w:cstheme="minorHAnsi"/>
          <w:sz w:val="20"/>
          <w:szCs w:val="20"/>
          <w:lang w:val="ka-GE"/>
        </w:rPr>
        <w:tab/>
      </w:r>
    </w:p>
    <w:p w:rsidR="002A0C94" w:rsidRPr="00FE17E2" w:rsidRDefault="002A0C94" w:rsidP="00EC0DBE">
      <w:pPr>
        <w:spacing w:line="240" w:lineRule="auto"/>
        <w:ind w:left="3600"/>
        <w:rPr>
          <w:rFonts w:cstheme="minorHAnsi"/>
          <w:sz w:val="20"/>
          <w:szCs w:val="20"/>
          <w:lang w:val="ka-GE"/>
        </w:rPr>
      </w:pPr>
      <w:r w:rsidRPr="00FE17E2">
        <w:rPr>
          <w:rFonts w:cstheme="minorHAnsi"/>
          <w:sz w:val="20"/>
          <w:szCs w:val="20"/>
          <w:lang w:val="ka-GE"/>
        </w:rPr>
        <w:t xml:space="preserve">        (Mo-99 რადიოაქტიურობა კალიბრაციის დღეზე)</w:t>
      </w:r>
    </w:p>
    <w:p w:rsidR="002A0C94" w:rsidRPr="00FE17E2" w:rsidRDefault="002A0C94" w:rsidP="00EC0DBE">
      <w:pPr>
        <w:spacing w:after="0" w:line="240" w:lineRule="auto"/>
        <w:rPr>
          <w:rFonts w:cstheme="minorHAnsi"/>
          <w:sz w:val="20"/>
          <w:szCs w:val="20"/>
          <w:lang w:val="ka-GE"/>
        </w:rPr>
      </w:pPr>
      <w:r w:rsidRPr="00FE17E2">
        <w:rPr>
          <w:rFonts w:cstheme="minorHAnsi"/>
          <w:sz w:val="20"/>
          <w:szCs w:val="20"/>
          <w:lang w:val="ka-GE"/>
        </w:rPr>
        <w:t>წარმოებული ნუკლიდი:</w:t>
      </w:r>
    </w:p>
    <w:p w:rsidR="002A0C94" w:rsidRPr="00FE17E2" w:rsidRDefault="002A0C94" w:rsidP="00EC0DBE">
      <w:pPr>
        <w:spacing w:after="0" w:line="240" w:lineRule="auto"/>
        <w:rPr>
          <w:rFonts w:cstheme="minorHAnsi"/>
          <w:sz w:val="20"/>
          <w:szCs w:val="20"/>
          <w:lang w:val="ka-GE"/>
        </w:rPr>
      </w:pPr>
      <w:r w:rsidRPr="00FE17E2">
        <w:rPr>
          <w:rFonts w:cstheme="minorHAnsi"/>
          <w:sz w:val="20"/>
          <w:szCs w:val="20"/>
          <w:lang w:val="ka-GE"/>
        </w:rPr>
        <w:t>ნატრიუმის (</w:t>
      </w:r>
      <w:r w:rsidRPr="00FE17E2">
        <w:rPr>
          <w:rFonts w:cstheme="minorHAnsi"/>
          <w:sz w:val="20"/>
          <w:szCs w:val="20"/>
          <w:vertAlign w:val="superscript"/>
          <w:lang w:val="ka-GE"/>
        </w:rPr>
        <w:t>99m</w:t>
      </w:r>
      <w:r w:rsidRPr="00FE17E2">
        <w:rPr>
          <w:rFonts w:cstheme="minorHAnsi"/>
          <w:sz w:val="20"/>
          <w:szCs w:val="20"/>
          <w:lang w:val="ka-GE"/>
        </w:rPr>
        <w:t xml:space="preserve">) პერტექნეტატი                (მიღებული </w:t>
      </w:r>
      <w:r w:rsidRPr="00FE17E2">
        <w:rPr>
          <w:rFonts w:cstheme="minorHAnsi"/>
          <w:sz w:val="20"/>
          <w:szCs w:val="20"/>
          <w:vertAlign w:val="superscript"/>
          <w:lang w:val="ka-GE"/>
        </w:rPr>
        <w:t>99</w:t>
      </w:r>
      <w:r w:rsidRPr="00FE17E2">
        <w:rPr>
          <w:rFonts w:cstheme="minorHAnsi"/>
          <w:sz w:val="20"/>
          <w:szCs w:val="20"/>
          <w:lang w:val="ka-GE"/>
        </w:rPr>
        <w:t>Mo/</w:t>
      </w:r>
      <w:r w:rsidRPr="00FE17E2">
        <w:rPr>
          <w:rFonts w:cstheme="minorHAnsi"/>
          <w:sz w:val="20"/>
          <w:szCs w:val="20"/>
          <w:vertAlign w:val="superscript"/>
          <w:lang w:val="ka-GE"/>
        </w:rPr>
        <w:t>99m</w:t>
      </w:r>
      <w:r w:rsidRPr="00FE17E2">
        <w:rPr>
          <w:rFonts w:cstheme="minorHAnsi"/>
          <w:sz w:val="20"/>
          <w:szCs w:val="20"/>
          <w:lang w:val="ka-GE"/>
        </w:rPr>
        <w:t>Tc გენერატორის სისტემით)</w:t>
      </w:r>
    </w:p>
    <w:p w:rsidR="002A0C94" w:rsidRPr="00FE17E2" w:rsidRDefault="002A0C94" w:rsidP="00EC0DBE">
      <w:pPr>
        <w:spacing w:line="240" w:lineRule="auto"/>
        <w:rPr>
          <w:rFonts w:cstheme="minorHAnsi"/>
          <w:sz w:val="20"/>
          <w:szCs w:val="20"/>
          <w:lang w:val="ka-GE"/>
        </w:rPr>
      </w:pPr>
    </w:p>
    <w:p w:rsidR="002A0C94" w:rsidRPr="00FE17E2" w:rsidRDefault="002A0C94" w:rsidP="00EC0DBE">
      <w:pPr>
        <w:spacing w:after="0" w:line="240" w:lineRule="auto"/>
        <w:rPr>
          <w:rFonts w:cstheme="minorHAnsi"/>
          <w:b/>
          <w:i/>
          <w:sz w:val="20"/>
          <w:szCs w:val="20"/>
          <w:lang w:val="ka-GE"/>
        </w:rPr>
      </w:pPr>
      <w:r w:rsidRPr="00FE17E2">
        <w:rPr>
          <w:rFonts w:cstheme="minorHAnsi"/>
          <w:b/>
          <w:i/>
          <w:sz w:val="20"/>
          <w:szCs w:val="20"/>
          <w:lang w:val="ka-GE"/>
        </w:rPr>
        <w:t>შემავსებლები:</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ალუმინის ოქსიდი, მოლიბდენის ტრიოქსიდი, ნატრიუმის ჰიდროქსიდი, მარილმჟავა, წყალბადის ზეჟანგი და ნატრიუმის ქლორიდის იზოტონური ხსნარი.</w:t>
      </w:r>
    </w:p>
    <w:tbl>
      <w:tblPr>
        <w:tblStyle w:val="a5"/>
        <w:tblW w:w="9493" w:type="dxa"/>
        <w:tblLook w:val="04A0" w:firstRow="1" w:lastRow="0" w:firstColumn="1" w:lastColumn="0" w:noHBand="0" w:noVBand="1"/>
      </w:tblPr>
      <w:tblGrid>
        <w:gridCol w:w="9493"/>
      </w:tblGrid>
      <w:tr w:rsidR="002A0C94" w:rsidRPr="00FE17E2" w:rsidTr="00EC0DBE">
        <w:trPr>
          <w:trHeight w:val="2526"/>
        </w:trPr>
        <w:tc>
          <w:tcPr>
            <w:tcW w:w="9493" w:type="dxa"/>
          </w:tcPr>
          <w:p w:rsidR="002A0C94" w:rsidRPr="00FE17E2" w:rsidRDefault="002A0C94" w:rsidP="000335C6">
            <w:pPr>
              <w:ind w:right="176"/>
              <w:jc w:val="both"/>
              <w:rPr>
                <w:rFonts w:cstheme="minorHAnsi"/>
                <w:b/>
                <w:sz w:val="20"/>
                <w:szCs w:val="20"/>
                <w:lang w:val="ka-GE"/>
              </w:rPr>
            </w:pPr>
            <w:r w:rsidRPr="00FE17E2">
              <w:rPr>
                <w:rFonts w:cstheme="minorHAnsi"/>
                <w:b/>
                <w:sz w:val="20"/>
                <w:szCs w:val="20"/>
                <w:lang w:val="ka-GE"/>
              </w:rPr>
              <w:t>მედიკამენტის გამოყენებამდე მთლიანად ყურადღებით გაეცანით ამ ინსტრუქციას, რადგან ის თქვენთვის მნიშვნელოვან ინფორმაციას შეიცავს.</w:t>
            </w:r>
          </w:p>
          <w:p w:rsidR="002A0C94" w:rsidRPr="00FE17E2" w:rsidRDefault="002A0C94" w:rsidP="002A0C94">
            <w:pPr>
              <w:pStyle w:val="a3"/>
              <w:numPr>
                <w:ilvl w:val="0"/>
                <w:numId w:val="3"/>
              </w:numPr>
              <w:ind w:left="454" w:right="176"/>
              <w:jc w:val="both"/>
              <w:rPr>
                <w:rFonts w:cstheme="minorHAnsi"/>
                <w:i/>
                <w:sz w:val="20"/>
                <w:szCs w:val="20"/>
                <w:lang w:val="en-GB"/>
              </w:rPr>
            </w:pPr>
            <w:r w:rsidRPr="00FE17E2">
              <w:rPr>
                <w:rFonts w:cstheme="minorHAnsi"/>
                <w:i/>
                <w:sz w:val="20"/>
                <w:szCs w:val="20"/>
                <w:lang w:val="ka-GE"/>
              </w:rPr>
              <w:t>შეინახეთ ეს ინსტრუქცია. შესაძლოა, მისი წაკითხვა კვლავ დაგჭირდეთ.</w:t>
            </w:r>
          </w:p>
          <w:p w:rsidR="002A0C94" w:rsidRPr="00FE17E2" w:rsidRDefault="002A0C94" w:rsidP="002A0C94">
            <w:pPr>
              <w:pStyle w:val="a3"/>
              <w:numPr>
                <w:ilvl w:val="0"/>
                <w:numId w:val="3"/>
              </w:numPr>
              <w:ind w:left="454" w:right="176"/>
              <w:jc w:val="both"/>
              <w:rPr>
                <w:rFonts w:cstheme="minorHAnsi"/>
                <w:i/>
                <w:sz w:val="20"/>
                <w:szCs w:val="20"/>
                <w:lang w:val="en-GB"/>
              </w:rPr>
            </w:pPr>
            <w:r w:rsidRPr="00FE17E2">
              <w:rPr>
                <w:rFonts w:cstheme="minorHAnsi"/>
                <w:i/>
                <w:sz w:val="20"/>
                <w:szCs w:val="20"/>
                <w:lang w:val="ka-GE"/>
              </w:rPr>
              <w:t>დამატებითი კითხვების შემთხვევაში, მიმართეთ თქვენს ექიმს ან ფარმაცევტს.</w:t>
            </w:r>
          </w:p>
          <w:p w:rsidR="002A0C94" w:rsidRPr="00FE17E2" w:rsidRDefault="002A0C94" w:rsidP="002A0C94">
            <w:pPr>
              <w:pStyle w:val="a3"/>
              <w:numPr>
                <w:ilvl w:val="0"/>
                <w:numId w:val="3"/>
              </w:numPr>
              <w:ind w:left="454" w:right="176"/>
              <w:jc w:val="both"/>
              <w:rPr>
                <w:rFonts w:cstheme="minorHAnsi"/>
                <w:i/>
                <w:sz w:val="20"/>
                <w:szCs w:val="20"/>
                <w:lang w:val="en-GB"/>
              </w:rPr>
            </w:pPr>
            <w:r w:rsidRPr="00FE17E2">
              <w:rPr>
                <w:rFonts w:cstheme="minorHAnsi"/>
                <w:i/>
                <w:sz w:val="20"/>
                <w:szCs w:val="20"/>
                <w:lang w:val="ka-GE"/>
              </w:rPr>
              <w:t>ეს წამალი თქვენ დაგენიშნათ, არ გადასცეთ ის სხვებს.</w:t>
            </w:r>
          </w:p>
          <w:p w:rsidR="002A0C94" w:rsidRPr="00FE17E2" w:rsidRDefault="002A0C94" w:rsidP="002A0C94">
            <w:pPr>
              <w:pStyle w:val="a3"/>
              <w:numPr>
                <w:ilvl w:val="0"/>
                <w:numId w:val="3"/>
              </w:numPr>
              <w:ind w:left="454" w:right="176"/>
              <w:jc w:val="both"/>
              <w:rPr>
                <w:rFonts w:cstheme="minorHAnsi"/>
                <w:i/>
                <w:sz w:val="20"/>
                <w:szCs w:val="20"/>
                <w:lang w:val="en-GB"/>
              </w:rPr>
            </w:pPr>
            <w:r w:rsidRPr="00FE17E2">
              <w:rPr>
                <w:rFonts w:cstheme="minorHAnsi"/>
                <w:i/>
                <w:sz w:val="20"/>
                <w:szCs w:val="20"/>
                <w:lang w:val="ka-GE"/>
              </w:rPr>
              <w:t xml:space="preserve">გთხოვთ ზედმიწევნით დაიცვათ ამ ინსტრუქციაში მოცემული მითითებები. არ მიიღოთ თქვენთვის დანიშნულ და რეკომენდირებულ დოზაზე </w:t>
            </w:r>
            <w:r w:rsidRPr="00FE17E2">
              <w:rPr>
                <w:rFonts w:cstheme="minorHAnsi"/>
                <w:b/>
                <w:i/>
                <w:sz w:val="20"/>
                <w:szCs w:val="20"/>
                <w:lang w:val="ka-GE"/>
              </w:rPr>
              <w:t>მაღალი ან დაბალი</w:t>
            </w:r>
            <w:r w:rsidRPr="00FE17E2">
              <w:rPr>
                <w:rFonts w:cstheme="minorHAnsi"/>
                <w:i/>
                <w:sz w:val="20"/>
                <w:szCs w:val="20"/>
                <w:lang w:val="ka-GE"/>
              </w:rPr>
              <w:t xml:space="preserve"> დოზა.</w:t>
            </w:r>
          </w:p>
          <w:p w:rsidR="002A0C94" w:rsidRPr="00FE17E2" w:rsidRDefault="002A0C94" w:rsidP="002A0C94">
            <w:pPr>
              <w:pStyle w:val="a3"/>
              <w:numPr>
                <w:ilvl w:val="0"/>
                <w:numId w:val="3"/>
              </w:numPr>
              <w:ind w:left="454" w:right="176"/>
              <w:jc w:val="both"/>
              <w:rPr>
                <w:rFonts w:cstheme="minorHAnsi"/>
                <w:sz w:val="20"/>
                <w:szCs w:val="20"/>
                <w:lang w:val="ka-GE"/>
              </w:rPr>
            </w:pPr>
            <w:r w:rsidRPr="00FE17E2">
              <w:rPr>
                <w:rFonts w:cstheme="minorHAnsi"/>
                <w:i/>
                <w:sz w:val="20"/>
                <w:szCs w:val="20"/>
                <w:lang w:val="ka-GE"/>
              </w:rPr>
              <w:t>საავადმყოფოში ან ექიმთან მოხვედრის შემთხვევაში, მიაწოდეთ ექიმს ინფორმაცია ამ მედიკამენტის გამოყენების შესახებ.</w:t>
            </w:r>
          </w:p>
        </w:tc>
      </w:tr>
    </w:tbl>
    <w:p w:rsidR="002A0C94" w:rsidRPr="00FE17E2" w:rsidRDefault="002A0C94" w:rsidP="002A0C94">
      <w:pPr>
        <w:jc w:val="both"/>
        <w:rPr>
          <w:rFonts w:cstheme="minorHAnsi"/>
          <w:sz w:val="20"/>
          <w:szCs w:val="20"/>
          <w:lang w:val="ka-GE"/>
        </w:rPr>
      </w:pPr>
    </w:p>
    <w:p w:rsidR="002A0C94" w:rsidRPr="00FE17E2" w:rsidRDefault="002A0C94" w:rsidP="00EC0DBE">
      <w:pPr>
        <w:spacing w:line="240" w:lineRule="auto"/>
        <w:jc w:val="both"/>
        <w:rPr>
          <w:rFonts w:cstheme="minorHAnsi"/>
          <w:b/>
          <w:sz w:val="20"/>
          <w:szCs w:val="20"/>
          <w:lang w:val="ka-GE"/>
        </w:rPr>
      </w:pPr>
      <w:r w:rsidRPr="00FE17E2">
        <w:rPr>
          <w:rFonts w:cstheme="minorHAnsi"/>
          <w:b/>
          <w:sz w:val="20"/>
          <w:szCs w:val="20"/>
          <w:lang w:val="ka-GE"/>
        </w:rPr>
        <w:t>ამ ინსტრუქციაში წაიკითხავთ:</w:t>
      </w:r>
    </w:p>
    <w:p w:rsidR="002A0C94" w:rsidRPr="00FE17E2" w:rsidRDefault="002A0C94" w:rsidP="00EC0DBE">
      <w:pPr>
        <w:spacing w:after="0" w:line="240" w:lineRule="auto"/>
        <w:jc w:val="both"/>
        <w:rPr>
          <w:rFonts w:cstheme="minorHAnsi"/>
          <w:b/>
          <w:i/>
          <w:sz w:val="20"/>
          <w:szCs w:val="20"/>
          <w:lang w:val="ka-GE"/>
        </w:rPr>
      </w:pPr>
      <w:r w:rsidRPr="00FE17E2">
        <w:rPr>
          <w:rFonts w:cstheme="minorHAnsi"/>
          <w:b/>
          <w:i/>
          <w:sz w:val="20"/>
          <w:szCs w:val="20"/>
          <w:lang w:val="ka-GE"/>
        </w:rPr>
        <w:t>1. რა არის მონ</w:t>
      </w:r>
      <w:r w:rsidRPr="00EC0DBE">
        <w:rPr>
          <w:rFonts w:cstheme="minorHAnsi"/>
          <w:b/>
          <w:i/>
          <w:sz w:val="20"/>
          <w:szCs w:val="20"/>
          <w:lang w:val="ka-GE"/>
        </w:rPr>
        <w:t>.</w:t>
      </w:r>
      <w:r w:rsidRPr="00FE17E2">
        <w:rPr>
          <w:rFonts w:cstheme="minorHAnsi"/>
          <w:b/>
          <w:i/>
          <w:sz w:val="20"/>
          <w:szCs w:val="20"/>
          <w:lang w:val="ka-GE"/>
        </w:rPr>
        <w:t xml:space="preserve">ტეკ </w:t>
      </w:r>
      <w:r w:rsidRPr="00EC0DBE">
        <w:rPr>
          <w:rFonts w:cstheme="minorHAnsi"/>
          <w:b/>
          <w:i/>
          <w:sz w:val="20"/>
          <w:szCs w:val="20"/>
          <w:vertAlign w:val="superscript"/>
          <w:lang w:val="ka-GE"/>
        </w:rPr>
        <w:t>99</w:t>
      </w:r>
      <w:r w:rsidRPr="00EC0DBE">
        <w:rPr>
          <w:rFonts w:cstheme="minorHAnsi"/>
          <w:b/>
          <w:i/>
          <w:sz w:val="20"/>
          <w:szCs w:val="20"/>
          <w:lang w:val="ka-GE"/>
        </w:rPr>
        <w:t xml:space="preserve">Mo / </w:t>
      </w:r>
      <w:r w:rsidRPr="00EC0DBE">
        <w:rPr>
          <w:rFonts w:cstheme="minorHAnsi"/>
          <w:b/>
          <w:i/>
          <w:sz w:val="20"/>
          <w:szCs w:val="20"/>
          <w:vertAlign w:val="superscript"/>
          <w:lang w:val="ka-GE"/>
        </w:rPr>
        <w:t>99m</w:t>
      </w:r>
      <w:r w:rsidRPr="00EC0DBE">
        <w:rPr>
          <w:rFonts w:cstheme="minorHAnsi"/>
          <w:b/>
          <w:i/>
          <w:sz w:val="20"/>
          <w:szCs w:val="20"/>
          <w:lang w:val="ka-GE"/>
        </w:rPr>
        <w:t xml:space="preserve">Tc </w:t>
      </w:r>
      <w:r w:rsidRPr="00FE17E2">
        <w:rPr>
          <w:rFonts w:cstheme="minorHAnsi"/>
          <w:b/>
          <w:i/>
          <w:sz w:val="20"/>
          <w:szCs w:val="20"/>
          <w:lang w:val="ka-GE"/>
        </w:rPr>
        <w:t>გენერატორი და რისთვის გამოიყენება ის?</w:t>
      </w:r>
    </w:p>
    <w:p w:rsidR="002A0C94" w:rsidRPr="00FE17E2" w:rsidRDefault="002A0C94" w:rsidP="00EC0DBE">
      <w:pPr>
        <w:spacing w:after="0" w:line="240" w:lineRule="auto"/>
        <w:jc w:val="both"/>
        <w:rPr>
          <w:rFonts w:cstheme="minorHAnsi"/>
          <w:b/>
          <w:i/>
          <w:sz w:val="20"/>
          <w:szCs w:val="20"/>
          <w:lang w:val="ka-GE"/>
        </w:rPr>
      </w:pPr>
      <w:r w:rsidRPr="00FE17E2">
        <w:rPr>
          <w:rFonts w:cstheme="minorHAnsi"/>
          <w:b/>
          <w:i/>
          <w:sz w:val="20"/>
          <w:szCs w:val="20"/>
          <w:lang w:val="ka-GE"/>
        </w:rPr>
        <w:t xml:space="preserve">2. რა უნდა იცოდეთ მონ.ტეკ </w:t>
      </w:r>
      <w:r w:rsidRPr="00FE17E2">
        <w:rPr>
          <w:rFonts w:cstheme="minorHAnsi"/>
          <w:b/>
          <w:i/>
          <w:sz w:val="20"/>
          <w:szCs w:val="20"/>
          <w:vertAlign w:val="superscript"/>
          <w:lang w:val="ka-GE"/>
        </w:rPr>
        <w:t>99</w:t>
      </w:r>
      <w:r w:rsidRPr="00FE17E2">
        <w:rPr>
          <w:rFonts w:cstheme="minorHAnsi"/>
          <w:b/>
          <w:i/>
          <w:sz w:val="20"/>
          <w:szCs w:val="20"/>
          <w:lang w:val="ka-GE"/>
        </w:rPr>
        <w:t xml:space="preserve">Mo / </w:t>
      </w:r>
      <w:r w:rsidRPr="00FE17E2">
        <w:rPr>
          <w:rFonts w:cstheme="minorHAnsi"/>
          <w:b/>
          <w:i/>
          <w:sz w:val="20"/>
          <w:szCs w:val="20"/>
          <w:vertAlign w:val="superscript"/>
          <w:lang w:val="ka-GE"/>
        </w:rPr>
        <w:t>99m</w:t>
      </w:r>
      <w:r w:rsidRPr="00FE17E2">
        <w:rPr>
          <w:rFonts w:cstheme="minorHAnsi"/>
          <w:b/>
          <w:i/>
          <w:sz w:val="20"/>
          <w:szCs w:val="20"/>
          <w:lang w:val="ka-GE"/>
        </w:rPr>
        <w:t>Tc გენერატორის მიღებამდე</w:t>
      </w:r>
    </w:p>
    <w:p w:rsidR="002A0C94" w:rsidRPr="00FE17E2" w:rsidRDefault="002A0C94" w:rsidP="00EC0DBE">
      <w:pPr>
        <w:spacing w:after="0" w:line="240" w:lineRule="auto"/>
        <w:jc w:val="both"/>
        <w:rPr>
          <w:rFonts w:cstheme="minorHAnsi"/>
          <w:b/>
          <w:i/>
          <w:sz w:val="20"/>
          <w:szCs w:val="20"/>
          <w:lang w:val="ka-GE"/>
        </w:rPr>
      </w:pPr>
      <w:r w:rsidRPr="00FE17E2">
        <w:rPr>
          <w:rFonts w:cstheme="minorHAnsi"/>
          <w:b/>
          <w:i/>
          <w:sz w:val="20"/>
          <w:szCs w:val="20"/>
          <w:lang w:val="ka-GE"/>
        </w:rPr>
        <w:t xml:space="preserve">3. როგორ გამოიყენება მონ.ტეკ </w:t>
      </w:r>
      <w:r w:rsidRPr="00FE17E2">
        <w:rPr>
          <w:rFonts w:cstheme="minorHAnsi"/>
          <w:b/>
          <w:i/>
          <w:sz w:val="20"/>
          <w:szCs w:val="20"/>
          <w:vertAlign w:val="superscript"/>
          <w:lang w:val="ka-GE"/>
        </w:rPr>
        <w:t>99</w:t>
      </w:r>
      <w:r w:rsidRPr="00FE17E2">
        <w:rPr>
          <w:rFonts w:cstheme="minorHAnsi"/>
          <w:b/>
          <w:i/>
          <w:sz w:val="20"/>
          <w:szCs w:val="20"/>
          <w:lang w:val="ka-GE"/>
        </w:rPr>
        <w:t xml:space="preserve">Mo / </w:t>
      </w:r>
      <w:r w:rsidRPr="00FE17E2">
        <w:rPr>
          <w:rFonts w:cstheme="minorHAnsi"/>
          <w:b/>
          <w:i/>
          <w:sz w:val="20"/>
          <w:szCs w:val="20"/>
          <w:vertAlign w:val="superscript"/>
          <w:lang w:val="ka-GE"/>
        </w:rPr>
        <w:t>99m</w:t>
      </w:r>
      <w:r w:rsidRPr="00FE17E2">
        <w:rPr>
          <w:rFonts w:cstheme="minorHAnsi"/>
          <w:b/>
          <w:i/>
          <w:sz w:val="20"/>
          <w:szCs w:val="20"/>
          <w:lang w:val="ka-GE"/>
        </w:rPr>
        <w:t>Tc გენერატორი?</w:t>
      </w:r>
    </w:p>
    <w:p w:rsidR="002A0C94" w:rsidRPr="00FE17E2" w:rsidRDefault="002A0C94" w:rsidP="00EC0DBE">
      <w:pPr>
        <w:spacing w:after="0" w:line="240" w:lineRule="auto"/>
        <w:jc w:val="both"/>
        <w:rPr>
          <w:rFonts w:cstheme="minorHAnsi"/>
          <w:b/>
          <w:i/>
          <w:sz w:val="20"/>
          <w:szCs w:val="20"/>
          <w:lang w:val="ka-GE"/>
        </w:rPr>
      </w:pPr>
      <w:r w:rsidRPr="00FE17E2">
        <w:rPr>
          <w:rFonts w:cstheme="minorHAnsi"/>
          <w:b/>
          <w:i/>
          <w:sz w:val="20"/>
          <w:szCs w:val="20"/>
          <w:lang w:val="ka-GE"/>
        </w:rPr>
        <w:t>4. შესაძლო გვერდითი ეფექტები</w:t>
      </w:r>
    </w:p>
    <w:p w:rsidR="002A0C94" w:rsidRPr="00FE17E2" w:rsidRDefault="002A0C94" w:rsidP="00EC0DBE">
      <w:pPr>
        <w:spacing w:after="0" w:line="240" w:lineRule="auto"/>
        <w:jc w:val="both"/>
        <w:rPr>
          <w:rFonts w:cstheme="minorHAnsi"/>
          <w:b/>
          <w:i/>
          <w:sz w:val="20"/>
          <w:szCs w:val="20"/>
          <w:lang w:val="ka-GE"/>
        </w:rPr>
      </w:pPr>
      <w:r w:rsidRPr="00FE17E2">
        <w:rPr>
          <w:rFonts w:cstheme="minorHAnsi"/>
          <w:b/>
          <w:i/>
          <w:sz w:val="20"/>
          <w:szCs w:val="20"/>
          <w:lang w:val="ka-GE"/>
        </w:rPr>
        <w:t xml:space="preserve">5. მონ.ტეკ </w:t>
      </w:r>
      <w:r w:rsidRPr="00FE17E2">
        <w:rPr>
          <w:rFonts w:cstheme="minorHAnsi"/>
          <w:b/>
          <w:i/>
          <w:sz w:val="20"/>
          <w:szCs w:val="20"/>
          <w:vertAlign w:val="superscript"/>
          <w:lang w:val="ka-GE"/>
        </w:rPr>
        <w:t>99</w:t>
      </w:r>
      <w:r w:rsidRPr="00FE17E2">
        <w:rPr>
          <w:rFonts w:cstheme="minorHAnsi"/>
          <w:b/>
          <w:i/>
          <w:sz w:val="20"/>
          <w:szCs w:val="20"/>
          <w:lang w:val="ka-GE"/>
        </w:rPr>
        <w:t xml:space="preserve">Mo / </w:t>
      </w:r>
      <w:r w:rsidRPr="00FE17E2">
        <w:rPr>
          <w:rFonts w:cstheme="minorHAnsi"/>
          <w:b/>
          <w:i/>
          <w:sz w:val="20"/>
          <w:szCs w:val="20"/>
          <w:vertAlign w:val="superscript"/>
          <w:lang w:val="ka-GE"/>
        </w:rPr>
        <w:t>99m</w:t>
      </w:r>
      <w:r w:rsidRPr="00FE17E2">
        <w:rPr>
          <w:rFonts w:cstheme="minorHAnsi"/>
          <w:b/>
          <w:i/>
          <w:sz w:val="20"/>
          <w:szCs w:val="20"/>
          <w:lang w:val="ka-GE"/>
        </w:rPr>
        <w:t>Tc გენერატორის შენახვის წესი</w:t>
      </w:r>
    </w:p>
    <w:p w:rsidR="002A0C94" w:rsidRPr="00FE17E2" w:rsidRDefault="002A0C94" w:rsidP="00EC0DBE">
      <w:pPr>
        <w:spacing w:line="240" w:lineRule="auto"/>
        <w:jc w:val="both"/>
        <w:rPr>
          <w:rFonts w:cstheme="minorHAnsi"/>
          <w:b/>
          <w:sz w:val="20"/>
          <w:szCs w:val="20"/>
          <w:lang w:val="ka-GE"/>
        </w:rPr>
      </w:pPr>
    </w:p>
    <w:p w:rsidR="002A0C94" w:rsidRPr="00FE17E2" w:rsidRDefault="002A0C94" w:rsidP="00EC0DBE">
      <w:pPr>
        <w:spacing w:line="240" w:lineRule="auto"/>
        <w:rPr>
          <w:rFonts w:cstheme="minorHAnsi"/>
          <w:sz w:val="20"/>
          <w:szCs w:val="20"/>
          <w:lang w:val="ka-GE"/>
        </w:rPr>
      </w:pPr>
      <w:r w:rsidRPr="00FE17E2">
        <w:rPr>
          <w:rFonts w:cstheme="minorHAnsi"/>
          <w:b/>
          <w:sz w:val="20"/>
          <w:szCs w:val="20"/>
          <w:lang w:val="ka-GE"/>
        </w:rPr>
        <w:t xml:space="preserve">1. რა არის 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 და რისთვის გამოიყენება ის?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ეს მედიკამენტი არის რადიოფარმაცევტული პროდუქტი, რომელიც მხოლოდ დიაგნოსტიკური მიზნებისთვის გამოიყენება.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 არის სისტემა, რომელიც დიაგნოსტიკური მიზნებისთვის განკუთვნილი ნატრიუმის პერტექნეტატის (</w:t>
      </w:r>
      <w:r w:rsidRPr="00FE17E2">
        <w:rPr>
          <w:rFonts w:cstheme="minorHAnsi"/>
          <w:sz w:val="20"/>
          <w:szCs w:val="20"/>
          <w:vertAlign w:val="superscript"/>
          <w:lang w:val="ka-GE"/>
        </w:rPr>
        <w:t>99m</w:t>
      </w:r>
      <w:r w:rsidRPr="00FE17E2">
        <w:rPr>
          <w:rFonts w:cstheme="minorHAnsi"/>
          <w:sz w:val="20"/>
          <w:szCs w:val="20"/>
          <w:lang w:val="ka-GE"/>
        </w:rPr>
        <w:t>Tc) ხსნარის მისაღებად გამოიყენება. ნატრიუმის პერტექნეტატი (</w:t>
      </w:r>
      <w:r w:rsidRPr="00FE17E2">
        <w:rPr>
          <w:rFonts w:cstheme="minorHAnsi"/>
          <w:sz w:val="20"/>
          <w:szCs w:val="20"/>
          <w:vertAlign w:val="superscript"/>
          <w:lang w:val="ka-GE"/>
        </w:rPr>
        <w:t>99m</w:t>
      </w:r>
      <w:r w:rsidRPr="00FE17E2">
        <w:rPr>
          <w:rFonts w:cstheme="minorHAnsi"/>
          <w:sz w:val="20"/>
          <w:szCs w:val="20"/>
          <w:lang w:val="ka-GE"/>
        </w:rPr>
        <w:t>Tc) ტექნეციუმის ელემენტის რადიოაქტიურ იზოტოპს წარმოადგენს და ძალიან მოკლე ნახევარდაშლის პერიოდით ხასიათდება. ამ მიზეზით, გამოყენების ცენტრებში მას გენერატორად წოდებული სისტემის საშუალებით იღებენ.</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გენერატორის ხსნარი მცირედ რადიოაქტიურია. ხსნარი შეიძლება პირდაპირ თქვენ დაგენიშნოთ ან გამოყენებული იქნას სხვადასხვა ნაერთის მონიშვნის მიზნით, თქვენში არსებული დაავადების შესასწავლად.</w:t>
      </w:r>
    </w:p>
    <w:p w:rsidR="002A0C94" w:rsidRPr="00FE17E2" w:rsidRDefault="002A0C94" w:rsidP="002A0C94">
      <w:pPr>
        <w:jc w:val="both"/>
        <w:rPr>
          <w:rFonts w:cstheme="minorHAnsi"/>
          <w:sz w:val="20"/>
          <w:szCs w:val="20"/>
          <w:lang w:val="ka-GE"/>
        </w:rPr>
      </w:pPr>
      <w:r w:rsidRPr="00FE17E2">
        <w:rPr>
          <w:rFonts w:cstheme="minorHAnsi"/>
          <w:sz w:val="20"/>
          <w:szCs w:val="20"/>
          <w:lang w:val="ka-GE"/>
        </w:rPr>
        <w:t>ეს პრეპარატი ინტრავენური ინექციის ან თვალებში ჩაწვეთების გზით გამოიყენება.</w:t>
      </w:r>
    </w:p>
    <w:p w:rsidR="002A0C94" w:rsidRPr="00FE17E2" w:rsidRDefault="002A0C94" w:rsidP="002A0C94">
      <w:pPr>
        <w:jc w:val="both"/>
        <w:rPr>
          <w:rFonts w:cstheme="minorHAnsi"/>
          <w:sz w:val="20"/>
          <w:szCs w:val="20"/>
          <w:lang w:val="ka-GE"/>
        </w:rPr>
      </w:pPr>
      <w:r w:rsidRPr="00FE17E2">
        <w:rPr>
          <w:rFonts w:cstheme="minorHAnsi"/>
          <w:sz w:val="20"/>
          <w:szCs w:val="20"/>
          <w:lang w:val="ka-GE"/>
        </w:rPr>
        <w:t xml:space="preserve">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 ფარისებრი ჯირკვლის, სანერწყვე ჯირკვლების, კუჭ-ნაწლავის ტრაქტის ან თვალის საცრემლე არხების გამოკვლევისთვის გამოიყენება.</w:t>
      </w:r>
    </w:p>
    <w:p w:rsidR="00EC0DBE" w:rsidRDefault="00EC0DBE" w:rsidP="002A0C94">
      <w:pPr>
        <w:jc w:val="both"/>
        <w:rPr>
          <w:rFonts w:cstheme="minorHAnsi"/>
          <w:sz w:val="20"/>
          <w:szCs w:val="20"/>
          <w:lang w:val="ka-GE"/>
        </w:rPr>
      </w:pPr>
    </w:p>
    <w:p w:rsidR="002A0C94" w:rsidRPr="00FE17E2" w:rsidRDefault="002A0C94" w:rsidP="002A0C94">
      <w:pPr>
        <w:jc w:val="both"/>
        <w:rPr>
          <w:rFonts w:cstheme="minorHAnsi"/>
          <w:sz w:val="20"/>
          <w:szCs w:val="20"/>
          <w:lang w:val="ka-GE"/>
        </w:rPr>
      </w:pPr>
      <w:r w:rsidRPr="00FE17E2">
        <w:rPr>
          <w:rFonts w:cstheme="minorHAnsi"/>
          <w:sz w:val="20"/>
          <w:szCs w:val="20"/>
          <w:lang w:val="ka-GE"/>
        </w:rPr>
        <w:lastRenderedPageBreak/>
        <w:t>ექიმმა შესაძლოა ეს პრეპარატი სხვა მიზნებისთვისაც გამოიყენოს. თუ დამატებითი კითხვები გაგიჩნდებათ, მიმართეთ თქვენს ექიმს.</w:t>
      </w:r>
    </w:p>
    <w:p w:rsidR="002A0C94" w:rsidRPr="00FE17E2" w:rsidRDefault="002A0C94" w:rsidP="002A0C94">
      <w:pPr>
        <w:jc w:val="both"/>
        <w:rPr>
          <w:rFonts w:cstheme="minorHAnsi"/>
          <w:sz w:val="20"/>
          <w:szCs w:val="20"/>
          <w:lang w:val="ka-GE"/>
        </w:rPr>
      </w:pPr>
      <w:r w:rsidRPr="00FE17E2">
        <w:rPr>
          <w:rFonts w:cstheme="minorHAnsi"/>
          <w:sz w:val="20"/>
          <w:szCs w:val="20"/>
          <w:lang w:val="ka-GE"/>
        </w:rPr>
        <w:t xml:space="preserve">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 გამოყენება მცირე დოზით რადიოაქტიურობასთან ექსპოზიციას გულისხმობს. თქვენი ექიმი და ბირთვული მედიცინის სპეციალისტი მიიჩნევენ, რომ რადიოფარმაცევტული საშუალების გამოყენებით ჩატარებული პროცედურისგან თქვენ მიერ მიღებული კლინიკური სარგებელი რადიაციით გამოწვეულ რისკებს გადაწონის.</w:t>
      </w:r>
    </w:p>
    <w:p w:rsidR="002A0C94" w:rsidRPr="00FE17E2" w:rsidRDefault="002A0C94" w:rsidP="002A0C94">
      <w:pPr>
        <w:rPr>
          <w:rFonts w:cstheme="minorHAnsi"/>
          <w:b/>
          <w:sz w:val="20"/>
          <w:szCs w:val="20"/>
          <w:lang w:val="ka-GE"/>
        </w:rPr>
      </w:pPr>
      <w:r w:rsidRPr="00FE17E2">
        <w:rPr>
          <w:rFonts w:cstheme="minorHAnsi"/>
          <w:b/>
          <w:sz w:val="20"/>
          <w:szCs w:val="20"/>
          <w:lang w:val="ka-GE"/>
        </w:rPr>
        <w:t>2. რა უნდა იცოდეთ მონ.ტეკ</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გენერატორის მიღებამდე</w:t>
      </w:r>
    </w:p>
    <w:p w:rsidR="002A0C94" w:rsidRPr="00FE17E2" w:rsidRDefault="002A0C94" w:rsidP="002A0C94">
      <w:pPr>
        <w:spacing w:after="0"/>
        <w:jc w:val="both"/>
        <w:rPr>
          <w:rFonts w:cstheme="minorHAnsi"/>
          <w:b/>
          <w:sz w:val="20"/>
          <w:szCs w:val="20"/>
          <w:lang w:val="ka-GE"/>
        </w:rPr>
      </w:pPr>
      <w:r w:rsidRPr="00FE17E2">
        <w:rPr>
          <w:rFonts w:cstheme="minorHAnsi"/>
          <w:b/>
          <w:sz w:val="20"/>
          <w:szCs w:val="20"/>
          <w:lang w:val="ka-GE"/>
        </w:rPr>
        <w:t xml:space="preserve">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გენერატორის გამოყენება დაუშვებელია</w:t>
      </w:r>
    </w:p>
    <w:p w:rsidR="002A0C94" w:rsidRPr="00FE17E2" w:rsidRDefault="002A0C94" w:rsidP="002A0C94">
      <w:pPr>
        <w:jc w:val="both"/>
        <w:rPr>
          <w:rFonts w:cstheme="minorHAnsi"/>
          <w:sz w:val="20"/>
          <w:szCs w:val="20"/>
          <w:lang w:val="ka-GE"/>
        </w:rPr>
      </w:pPr>
      <w:r w:rsidRPr="00FE17E2">
        <w:rPr>
          <w:rFonts w:cstheme="minorHAnsi"/>
          <w:sz w:val="20"/>
          <w:szCs w:val="20"/>
          <w:lang w:val="ka-GE"/>
        </w:rPr>
        <w:t xml:space="preserve">თუ თქვენ ხსნარში შემავალი აქტიური ნივთიერების, ნატრიუმის პერტექნეტატის </w:t>
      </w:r>
      <w:r w:rsidRPr="00FE17E2">
        <w:rPr>
          <w:rFonts w:cstheme="minorHAnsi"/>
          <w:sz w:val="20"/>
          <w:szCs w:val="20"/>
          <w:vertAlign w:val="superscript"/>
          <w:lang w:val="ka-GE"/>
        </w:rPr>
        <w:t>99m</w:t>
      </w:r>
      <w:r w:rsidRPr="00FE17E2">
        <w:rPr>
          <w:rFonts w:cstheme="minorHAnsi"/>
          <w:sz w:val="20"/>
          <w:szCs w:val="20"/>
          <w:lang w:val="ka-GE"/>
        </w:rPr>
        <w:t>Tc ან რომელიმე სხვა ინგრედიენტის ან მონიშნული რადიოფარმაცევტული ნაერთის რომელიმე კომპონენტის მიმართ ალერგიული ხართ.</w:t>
      </w:r>
    </w:p>
    <w:p w:rsidR="002A0C94" w:rsidRPr="00FE17E2" w:rsidRDefault="002A0C94" w:rsidP="002A0C94">
      <w:pPr>
        <w:jc w:val="both"/>
        <w:rPr>
          <w:rFonts w:cstheme="minorHAnsi"/>
          <w:sz w:val="20"/>
          <w:szCs w:val="20"/>
          <w:lang w:val="ka-GE"/>
        </w:rPr>
      </w:pPr>
      <w:r w:rsidRPr="00FE17E2">
        <w:rPr>
          <w:rFonts w:cstheme="minorHAnsi"/>
          <w:sz w:val="20"/>
          <w:szCs w:val="20"/>
          <w:lang w:val="ka-GE"/>
        </w:rPr>
        <w:t xml:space="preserve">თუ თქვენ </w:t>
      </w:r>
      <w:r w:rsidRPr="00FE17E2">
        <w:rPr>
          <w:rFonts w:cstheme="minorHAnsi"/>
          <w:sz w:val="20"/>
          <w:szCs w:val="20"/>
          <w:vertAlign w:val="superscript"/>
          <w:lang w:val="ka-GE"/>
        </w:rPr>
        <w:t>99m</w:t>
      </w:r>
      <w:r w:rsidRPr="00FE17E2">
        <w:rPr>
          <w:rFonts w:cstheme="minorHAnsi"/>
          <w:sz w:val="20"/>
          <w:szCs w:val="20"/>
          <w:lang w:val="ka-GE"/>
        </w:rPr>
        <w:t>Tc-ით მონიშნულ ფარმაცევტულ პრეპარატს იყენებთ, აუცილებლად უნდა წაიკითხოთ უკუჩვენებების შესახებ ინფორმაცია, რომელიც რადიოფარმაცევტული პრეპარატის კომპლექტის პროდუქტის მახასიათებლების შემაჯამებელ დოკუმენტსა და შეფუთვის ინსტრუქციაში არის მოცემული.</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 xml:space="preserve">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გენერატორთან დაკავშირებით განსაკუთრებული სიფრთხილის გამოჩენაა საჭირო</w:t>
      </w:r>
    </w:p>
    <w:p w:rsidR="002A0C94" w:rsidRPr="00FE17E2" w:rsidRDefault="002A0C94" w:rsidP="00EC0DBE">
      <w:pPr>
        <w:spacing w:line="240" w:lineRule="auto"/>
        <w:jc w:val="both"/>
        <w:rPr>
          <w:rFonts w:cstheme="minorHAnsi"/>
          <w:sz w:val="20"/>
          <w:szCs w:val="20"/>
          <w:lang w:val="ka-GE"/>
        </w:rPr>
      </w:pPr>
      <w:proofErr w:type="gramStart"/>
      <w:r w:rsidRPr="00FE17E2">
        <w:rPr>
          <w:rFonts w:cstheme="minorHAnsi"/>
          <w:sz w:val="20"/>
          <w:szCs w:val="20"/>
          <w:lang w:val="en-GB"/>
        </w:rPr>
        <w:t>მონ.ტეკ</w:t>
      </w:r>
      <w:proofErr w:type="gramEnd"/>
      <w:r w:rsidRPr="00FE17E2">
        <w:rPr>
          <w:rFonts w:cstheme="minorHAnsi"/>
          <w:sz w:val="20"/>
          <w:szCs w:val="20"/>
          <w:lang w:val="ka-GE"/>
        </w:rPr>
        <w:t xml:space="preserve"> </w:t>
      </w:r>
      <w:r w:rsidRPr="00FE17E2">
        <w:rPr>
          <w:rFonts w:cstheme="minorHAnsi"/>
          <w:sz w:val="20"/>
          <w:szCs w:val="20"/>
          <w:vertAlign w:val="superscript"/>
          <w:lang w:val="en-GB"/>
        </w:rPr>
        <w:t>99</w:t>
      </w:r>
      <w:r w:rsidRPr="00FE17E2">
        <w:rPr>
          <w:rFonts w:cstheme="minorHAnsi"/>
          <w:sz w:val="20"/>
          <w:szCs w:val="20"/>
          <w:lang w:val="en-GB"/>
        </w:rPr>
        <w:t xml:space="preserve">Mo / </w:t>
      </w:r>
      <w:r w:rsidRPr="00FE17E2">
        <w:rPr>
          <w:rFonts w:cstheme="minorHAnsi"/>
          <w:sz w:val="20"/>
          <w:szCs w:val="20"/>
          <w:vertAlign w:val="superscript"/>
          <w:lang w:val="en-GB"/>
        </w:rPr>
        <w:t>99m</w:t>
      </w:r>
      <w:r w:rsidRPr="00FE17E2">
        <w:rPr>
          <w:rFonts w:cstheme="minorHAnsi"/>
          <w:sz w:val="20"/>
          <w:szCs w:val="20"/>
          <w:lang w:val="en-GB"/>
        </w:rPr>
        <w:t xml:space="preserve">Tc </w:t>
      </w:r>
      <w:r w:rsidRPr="00FE17E2">
        <w:rPr>
          <w:rFonts w:cstheme="minorHAnsi"/>
          <w:sz w:val="20"/>
          <w:szCs w:val="20"/>
          <w:lang w:val="ka-GE"/>
        </w:rPr>
        <w:t xml:space="preserve">გენერატორის გამოყენებამდე გაესაუბრეთ ბირთვული მედიცინის სპეციალისტს </w:t>
      </w:r>
    </w:p>
    <w:p w:rsidR="002A0C94" w:rsidRPr="00FE17E2" w:rsidRDefault="002A0C94" w:rsidP="00EC0DBE">
      <w:pPr>
        <w:pStyle w:val="a3"/>
        <w:numPr>
          <w:ilvl w:val="0"/>
          <w:numId w:val="4"/>
        </w:numPr>
        <w:spacing w:line="240" w:lineRule="auto"/>
        <w:rPr>
          <w:rFonts w:cstheme="minorHAnsi"/>
          <w:sz w:val="20"/>
          <w:szCs w:val="20"/>
          <w:lang w:val="ka-GE"/>
        </w:rPr>
      </w:pPr>
      <w:r w:rsidRPr="00FE17E2">
        <w:rPr>
          <w:rFonts w:cstheme="minorHAnsi"/>
          <w:sz w:val="20"/>
          <w:szCs w:val="20"/>
          <w:lang w:val="ka-GE"/>
        </w:rPr>
        <w:t>თუ ორსულად ხართ ან ეჭვი გაქვთ ორსულობაზე</w:t>
      </w:r>
    </w:p>
    <w:p w:rsidR="002A0C94" w:rsidRPr="00FE17E2" w:rsidRDefault="002A0C94" w:rsidP="00EC0DBE">
      <w:pPr>
        <w:pStyle w:val="a3"/>
        <w:numPr>
          <w:ilvl w:val="0"/>
          <w:numId w:val="4"/>
        </w:numPr>
        <w:spacing w:line="240" w:lineRule="auto"/>
        <w:rPr>
          <w:rFonts w:cstheme="minorHAnsi"/>
          <w:sz w:val="20"/>
          <w:szCs w:val="20"/>
          <w:lang w:val="ka-GE"/>
        </w:rPr>
      </w:pPr>
      <w:r w:rsidRPr="00FE17E2">
        <w:rPr>
          <w:rFonts w:cstheme="minorHAnsi"/>
          <w:sz w:val="20"/>
          <w:szCs w:val="20"/>
          <w:lang w:val="ka-GE"/>
        </w:rPr>
        <w:t>თუ მეძუძური დედა ხართ</w:t>
      </w:r>
    </w:p>
    <w:p w:rsidR="002A0C94" w:rsidRPr="00FE17E2" w:rsidRDefault="002A0C94" w:rsidP="00EC0DBE">
      <w:pPr>
        <w:pStyle w:val="a3"/>
        <w:numPr>
          <w:ilvl w:val="0"/>
          <w:numId w:val="4"/>
        </w:numPr>
        <w:spacing w:line="240" w:lineRule="auto"/>
        <w:jc w:val="both"/>
        <w:rPr>
          <w:rFonts w:cstheme="minorHAnsi"/>
          <w:sz w:val="20"/>
          <w:szCs w:val="20"/>
          <w:lang w:val="ka-GE"/>
        </w:rPr>
      </w:pPr>
      <w:r w:rsidRPr="00FE17E2">
        <w:rPr>
          <w:rFonts w:cstheme="minorHAnsi"/>
          <w:sz w:val="20"/>
          <w:szCs w:val="20"/>
          <w:lang w:val="ka-GE"/>
        </w:rPr>
        <w:t>თუ 18 წელზე უმცროსი ასაკის ხართ</w:t>
      </w:r>
    </w:p>
    <w:p w:rsidR="002A0C94" w:rsidRPr="00FE17E2" w:rsidRDefault="002A0C94" w:rsidP="00EC0DBE">
      <w:pPr>
        <w:pStyle w:val="a3"/>
        <w:numPr>
          <w:ilvl w:val="0"/>
          <w:numId w:val="4"/>
        </w:numPr>
        <w:spacing w:line="240" w:lineRule="auto"/>
        <w:jc w:val="both"/>
        <w:rPr>
          <w:rFonts w:cstheme="minorHAnsi"/>
          <w:sz w:val="20"/>
          <w:szCs w:val="20"/>
          <w:lang w:val="ka-GE"/>
        </w:rPr>
      </w:pPr>
      <w:r w:rsidRPr="00FE17E2">
        <w:rPr>
          <w:rFonts w:cstheme="minorHAnsi"/>
          <w:sz w:val="20"/>
          <w:szCs w:val="20"/>
          <w:lang w:val="ka-GE"/>
        </w:rPr>
        <w:t>თუ გაწუხებთ თირკმლის ფუნქციის რაიმე სახის დარღვევა. რადიაციასთან ექსპოზიციის მინიმუმამდე დაყვანისთვის, სპეციალისტმა შესაძლოა პრეპარატის მიღებიდან პირველი ექვსი საათის განმავლობაში დიდი რაოდენობით სითხეების მიღება და შარდის ბუშტის რეგულარულად დაცლა გთხოვოთ.</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Tc-99m ნატრიუმის პერტექნეტატი ორსულობისას დედიდან ნაყოფს თავისუფალი პერტექნეტატის (კომპლექსთან შეუკავშირებელი) სახით გადაეცემა. ამ მიზეზით, ორსულობაზე ეჭვის არსებობისას, გთხოვთ ამ მედიკამენტის მიღებამდე ორსულობის ტესტი ჩაიტაროთ.</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თუ თქვენ შვილოსნობის უნარის მქონე ქალი ხართ, ყველა ანალიზი და ტესტი მენსტრუალური ციკლიდან 10 დღის განმავლობაში უნდა ჩატარდეს. გთხოვთ, ამის შესახებ მიაწოდოთ ინფორმაცია თქვენს ექიმს.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გთხოვთ, გაესაუბროთ ექიმს, თუ ამ გაფრთხილებებიდან რომელიმე თქვენ შეგეხებათ, თუნდაც წარსულში.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 ხსნარის განზავება და მიწოდება შესაბამისი მომზადების მქონე პერსონალის მიერ ხდება. საავადმყოფო პასუხისმგებელია რადიოაქტიური სამედიცინო პროდუქტების მართვასა და მოცილებაზე. ამ პროდუქტის დამუშავება და მიწოდება მხოლოდ რადიოაქტიური მასალების უსაფრთხო მართვაში შესაბამისი მომზადებისა და კვალიფიკაციის მქონე პირების მიერ მოხდება.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თქვენი ექიმი შეგატყობინებთ, დაგჭირდებათ თუ არა რაიმე სხვა განსაკუთრებული სიფრთხილის ზომების მიღება ამ პროდუქტის გამოყენების შემდეგ.</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 xml:space="preserve">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გენერატორის მიღება საკვებთან და სასმელთან ერთად</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მისი მიღების მეთოდების გათვალისწინებით,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გენერატორს საკვებთან და სასმელთან ურთიერთქმედებაში არ შედის.</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ორსულობა</w:t>
      </w:r>
    </w:p>
    <w:p w:rsidR="002A0C94" w:rsidRPr="00FE17E2" w:rsidRDefault="002A0C94" w:rsidP="00EC0DBE">
      <w:pPr>
        <w:spacing w:line="240" w:lineRule="auto"/>
        <w:jc w:val="both"/>
        <w:rPr>
          <w:rFonts w:cstheme="minorHAnsi"/>
          <w:i/>
          <w:sz w:val="20"/>
          <w:szCs w:val="20"/>
          <w:lang w:val="ka-GE"/>
        </w:rPr>
      </w:pPr>
      <w:r w:rsidRPr="00FE17E2">
        <w:rPr>
          <w:rFonts w:cstheme="minorHAnsi"/>
          <w:i/>
          <w:sz w:val="20"/>
          <w:szCs w:val="20"/>
          <w:lang w:val="ka-GE"/>
        </w:rPr>
        <w:t>ნებისმიერი მედიკამენტის მიღებამდე, გაესაუბრეთ თქვენს ექიმს.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 მიღებამდე თქვენს ექიმს უნდა შეატყობინოთ, თუ არსებობს ალბათობა ორსულად იყოთ, თუ მენსტრუაცია დაგიგვიანდათ ან თუ ძუძუთი კვებავთ. გთხოვთ გაესაუბროთ თქვენს ექიმს.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თუ ორსულად ხართ, თქვენი ექიმი სარგებელსა და რისკებს შეაფასებს და ამ მედიკამენტს მხოლოდ იმ შემთხვევაში დაგინიშნავთ, თუ ის თქვენთვის აბსულუტურად აუცილებელია.</w:t>
      </w:r>
    </w:p>
    <w:p w:rsidR="002A0C94" w:rsidRPr="00FE17E2" w:rsidRDefault="002A0C94" w:rsidP="00EC0DBE">
      <w:pPr>
        <w:spacing w:line="240" w:lineRule="auto"/>
        <w:jc w:val="both"/>
        <w:rPr>
          <w:rFonts w:cstheme="minorHAnsi"/>
          <w:i/>
          <w:sz w:val="20"/>
          <w:szCs w:val="20"/>
          <w:lang w:val="ka-GE"/>
        </w:rPr>
      </w:pPr>
      <w:r w:rsidRPr="00FE17E2">
        <w:rPr>
          <w:rFonts w:cstheme="minorHAnsi"/>
          <w:i/>
          <w:sz w:val="20"/>
          <w:szCs w:val="20"/>
          <w:lang w:val="ka-GE"/>
        </w:rPr>
        <w:lastRenderedPageBreak/>
        <w:t>გაესაუბრეთ თქვენს ექიმს ან ფარმაცევტს ამ მედიკამენტის გამოყენებამდე, თუ ორსულად ხართ ან არსებობს ალბათობა ორსულად იყოთ.</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ძუძუთი კვება</w:t>
      </w:r>
    </w:p>
    <w:p w:rsidR="002A0C94" w:rsidRPr="00FE17E2" w:rsidRDefault="002A0C94" w:rsidP="00EC0DBE">
      <w:pPr>
        <w:spacing w:line="240" w:lineRule="auto"/>
        <w:rPr>
          <w:rFonts w:cstheme="minorHAnsi"/>
          <w:i/>
          <w:sz w:val="20"/>
          <w:szCs w:val="20"/>
          <w:lang w:val="ka-GE"/>
        </w:rPr>
      </w:pPr>
      <w:r w:rsidRPr="00FE17E2">
        <w:rPr>
          <w:rFonts w:cstheme="minorHAnsi"/>
          <w:i/>
          <w:sz w:val="20"/>
          <w:szCs w:val="20"/>
          <w:lang w:val="ka-GE"/>
        </w:rPr>
        <w:t>ნებისმიერი მედიკამენტის მიღებამდე, გაესაუბრეთ თქვენს ექიმს ან ფარმაცევტს.</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თუ მეძუძური დედა ხართ, ამ მედიკამენტის მიღებამდე რჩევისთვის მიმართეთ ბირთვული მედიცინის სპეციალისტს.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თუ ამ მედიკამენტს იღებთ, თქვენ არ უნდა კვებოთ ჩვილი ძუძუთი, რადგან მცირე რადიოაქტიურობა შესაძლოა რძით გადაეცეს. შესაბამისად, თქვენმა ექიმმა შესაძლოა გამოკვლევა ძუძუთი კვების დასრულებამდე გადაავადის ან შესაძლოა ძუძუთი კვების შეწყვეტა გთხოვოთ. თუ კვლევის გადავადება შესაძლებელი არ არის, თქვენ უნდა:</w:t>
      </w:r>
    </w:p>
    <w:p w:rsidR="002A0C94" w:rsidRPr="00FE17E2" w:rsidRDefault="002A0C94" w:rsidP="00EC0DBE">
      <w:pPr>
        <w:pStyle w:val="a3"/>
        <w:numPr>
          <w:ilvl w:val="0"/>
          <w:numId w:val="5"/>
        </w:numPr>
        <w:spacing w:line="240" w:lineRule="auto"/>
        <w:jc w:val="both"/>
        <w:rPr>
          <w:rFonts w:cstheme="minorHAnsi"/>
          <w:sz w:val="20"/>
          <w:szCs w:val="20"/>
          <w:lang w:val="ka-GE"/>
        </w:rPr>
      </w:pPr>
      <w:r w:rsidRPr="00FE17E2">
        <w:rPr>
          <w:rFonts w:cstheme="minorHAnsi"/>
          <w:sz w:val="20"/>
          <w:szCs w:val="20"/>
          <w:lang w:val="ka-GE"/>
        </w:rPr>
        <w:t>გადააგდოთ გამოყოფილი რძე</w:t>
      </w:r>
    </w:p>
    <w:p w:rsidR="002A0C94" w:rsidRPr="00FE17E2" w:rsidRDefault="002A0C94" w:rsidP="00EC0DBE">
      <w:pPr>
        <w:pStyle w:val="a3"/>
        <w:numPr>
          <w:ilvl w:val="0"/>
          <w:numId w:val="5"/>
        </w:numPr>
        <w:spacing w:line="240" w:lineRule="auto"/>
        <w:jc w:val="both"/>
        <w:rPr>
          <w:rFonts w:cstheme="minorHAnsi"/>
          <w:sz w:val="20"/>
          <w:szCs w:val="20"/>
          <w:lang w:val="ka-GE"/>
        </w:rPr>
      </w:pPr>
      <w:r w:rsidRPr="00FE17E2">
        <w:rPr>
          <w:rFonts w:cstheme="minorHAnsi"/>
          <w:sz w:val="20"/>
          <w:szCs w:val="20"/>
          <w:lang w:val="ka-GE"/>
        </w:rPr>
        <w:t>შეწყვიტოთ ძუძუთი კვება მინიმუმ 12 საათის განმავლობაში.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გთხოვთ, შეეკითხოთ ბირთვული მედიცინის სპეციალისტს, თუ როდის შეგიძლიათ ძუძუთი კვების გაგრძელება.</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მონტეკის მიღებამდე თქვენ უნდა:</w:t>
      </w:r>
    </w:p>
    <w:p w:rsidR="002A0C94" w:rsidRPr="00FE17E2" w:rsidRDefault="002A0C94" w:rsidP="00EC0DBE">
      <w:pPr>
        <w:pStyle w:val="a3"/>
        <w:numPr>
          <w:ilvl w:val="0"/>
          <w:numId w:val="6"/>
        </w:numPr>
        <w:spacing w:line="240" w:lineRule="auto"/>
        <w:jc w:val="both"/>
        <w:rPr>
          <w:rFonts w:cstheme="minorHAnsi"/>
          <w:sz w:val="20"/>
          <w:szCs w:val="20"/>
          <w:lang w:val="ka-GE"/>
        </w:rPr>
      </w:pPr>
      <w:r w:rsidRPr="00FE17E2">
        <w:rPr>
          <w:rFonts w:cstheme="minorHAnsi"/>
          <w:sz w:val="20"/>
          <w:szCs w:val="20"/>
          <w:lang w:val="ka-GE"/>
        </w:rPr>
        <w:t>დალიოთ დიდი რაოდენობით სითხე გამოკვლევის დაწყებამდე, იმისათვის, რომ კვლევის შემდეგ პირველი საათების განმავლობაში რაც შეიძლება ხშირად მოშარდოთ.</w:t>
      </w:r>
    </w:p>
    <w:p w:rsidR="002A0C94" w:rsidRPr="00FE17E2" w:rsidRDefault="002A0C94" w:rsidP="00EC0DBE">
      <w:pPr>
        <w:pStyle w:val="a3"/>
        <w:numPr>
          <w:ilvl w:val="0"/>
          <w:numId w:val="6"/>
        </w:numPr>
        <w:spacing w:line="240" w:lineRule="auto"/>
        <w:jc w:val="both"/>
        <w:rPr>
          <w:rFonts w:cstheme="minorHAnsi"/>
          <w:sz w:val="20"/>
          <w:szCs w:val="20"/>
          <w:lang w:val="ka-GE"/>
        </w:rPr>
      </w:pPr>
      <w:r w:rsidRPr="00FE17E2">
        <w:rPr>
          <w:rFonts w:cstheme="minorHAnsi"/>
          <w:sz w:val="20"/>
          <w:szCs w:val="20"/>
          <w:lang w:val="ka-GE"/>
        </w:rPr>
        <w:t>მშიერი იყოთ მეკელის დივერტიკულის სცინტიგრაფიამდე 3-4 საათის განმავლობაში, რათა წვრილი ნაწლავის პერისტალტიკა მინიმუმამდე იქნას დაყვანილი.</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ავტომობილის მართვა და მექანიზმების გამოყენება</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ამ მედიკამენტს ავტომობილის მართვის ან მექანიზმების გამოყენების უნარზე</w:t>
      </w:r>
      <w:r w:rsidRPr="00FE17E2">
        <w:rPr>
          <w:rFonts w:cstheme="minorHAnsi"/>
          <w:sz w:val="20"/>
          <w:szCs w:val="20"/>
          <w:lang w:val="en-GB"/>
        </w:rPr>
        <w:t xml:space="preserve"> </w:t>
      </w:r>
      <w:r w:rsidRPr="00FE17E2">
        <w:rPr>
          <w:rFonts w:cstheme="minorHAnsi"/>
          <w:sz w:val="20"/>
          <w:szCs w:val="20"/>
          <w:lang w:val="ka-GE"/>
        </w:rPr>
        <w:t>უარყოფითი გავლენა არ აქვს.</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 xml:space="preserve">მნიშვნელოვანი ინფომაცია 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გენერატორის ზოგიერთი ინგრედიენტის შესახებ</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თუ თქვენ არ გაქვთ მომატებული მგრძნობელობა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 რომელიმე ინგრედიენტის მიმართ, ამ ინგრედიენტების მიმართ რაიმე უარყოფითი ეფექტი მოსალოდნელი არ არის.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ნატრიუმის პერტექნეტატის (</w:t>
      </w:r>
      <w:r w:rsidRPr="00FE17E2">
        <w:rPr>
          <w:rFonts w:cstheme="minorHAnsi"/>
          <w:sz w:val="20"/>
          <w:szCs w:val="20"/>
          <w:vertAlign w:val="superscript"/>
          <w:lang w:val="ka-GE"/>
        </w:rPr>
        <w:t>99m</w:t>
      </w:r>
      <w:r w:rsidRPr="00FE17E2">
        <w:rPr>
          <w:rFonts w:cstheme="minorHAnsi"/>
          <w:sz w:val="20"/>
          <w:szCs w:val="20"/>
          <w:lang w:val="ka-GE"/>
        </w:rPr>
        <w:t xml:space="preserve">Tc) ხსნარი, რომელიც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გენერატორისგან მიიღება, ნატრიუმს (ქლორიდი, ჰიდროქსიდი) შეიცავს. თუმცა, რადგან შემცველობა 1 მლ დოზაზე 23 მგ ნატრიუმზე ნაკლებია, ნატრიუმთან დაკავშირებით სპეციფიური გაფრთხილება აუცილებელი არ არის.</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სხვა მედიკამენტების გამოყენება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გთხოვთ, პროცედურის მეთვალყურე ბირთვული მედიცინის სპეციალისტს უთხრათ, თუ იღებთ ან ცოტა ხნის წინ იღებდით რაიმე სხვა მედიკამენტს, მათ შორის ურეცეპტოდ გაცემულ პრეპარატებს, რადგან მათ შესაძლოა გამოსახულებების ინტერპრეტაციას ხელი შეუშალონ.</w:t>
      </w:r>
    </w:p>
    <w:p w:rsidR="002A0C94" w:rsidRPr="00FE17E2" w:rsidRDefault="002A0C94" w:rsidP="00EC0DBE">
      <w:pPr>
        <w:pStyle w:val="a3"/>
        <w:numPr>
          <w:ilvl w:val="0"/>
          <w:numId w:val="7"/>
        </w:numPr>
        <w:spacing w:line="240" w:lineRule="auto"/>
        <w:jc w:val="both"/>
        <w:rPr>
          <w:rFonts w:cstheme="minorHAnsi"/>
          <w:sz w:val="20"/>
          <w:szCs w:val="20"/>
          <w:lang w:val="ka-GE"/>
        </w:rPr>
      </w:pPr>
      <w:r w:rsidRPr="00FE17E2">
        <w:rPr>
          <w:rFonts w:cstheme="minorHAnsi"/>
          <w:sz w:val="20"/>
          <w:szCs w:val="20"/>
          <w:lang w:val="ka-GE"/>
        </w:rPr>
        <w:t>ისეთი წამლები, როგორიცაა ატროპინი ან იზოპრენალინი (გულის დაავადებისთვის)</w:t>
      </w:r>
    </w:p>
    <w:p w:rsidR="002A0C94" w:rsidRPr="00FE17E2" w:rsidRDefault="002A0C94" w:rsidP="00EC0DBE">
      <w:pPr>
        <w:pStyle w:val="a3"/>
        <w:numPr>
          <w:ilvl w:val="0"/>
          <w:numId w:val="7"/>
        </w:numPr>
        <w:spacing w:line="240" w:lineRule="auto"/>
        <w:jc w:val="both"/>
        <w:rPr>
          <w:rFonts w:cstheme="minorHAnsi"/>
          <w:sz w:val="20"/>
          <w:szCs w:val="20"/>
          <w:lang w:val="ka-GE"/>
        </w:rPr>
      </w:pPr>
      <w:r w:rsidRPr="00FE17E2">
        <w:rPr>
          <w:rFonts w:cstheme="minorHAnsi"/>
          <w:sz w:val="20"/>
          <w:szCs w:val="20"/>
          <w:lang w:val="ka-GE"/>
        </w:rPr>
        <w:t>ტკივილგამაყუჩებლები</w:t>
      </w:r>
    </w:p>
    <w:p w:rsidR="002A0C94" w:rsidRPr="00FE17E2" w:rsidRDefault="002A0C94" w:rsidP="00EC0DBE">
      <w:pPr>
        <w:pStyle w:val="a3"/>
        <w:numPr>
          <w:ilvl w:val="0"/>
          <w:numId w:val="7"/>
        </w:numPr>
        <w:spacing w:line="240" w:lineRule="auto"/>
        <w:jc w:val="both"/>
        <w:rPr>
          <w:rFonts w:cstheme="minorHAnsi"/>
          <w:sz w:val="20"/>
          <w:szCs w:val="20"/>
          <w:lang w:val="ka-GE"/>
        </w:rPr>
      </w:pPr>
      <w:r w:rsidRPr="00FE17E2">
        <w:rPr>
          <w:rFonts w:cstheme="minorHAnsi"/>
          <w:sz w:val="20"/>
          <w:szCs w:val="20"/>
          <w:lang w:val="ka-GE"/>
        </w:rPr>
        <w:t>ფარისებრი ჯირკვლის ჰორმონები (ფარისებრი ჯირკვლის ჰორმონის დეფიციტის სამკურნალოდ)</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თიოციანატი (ანტითიროიდული საშუალება)</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კუჭის მჟავიანობის დამაქვეითებელი საშუალებები</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სულფონამიდები (ინფექციებისთვის)</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ნივთიერებები, რომლებიც ტინ-</w:t>
      </w:r>
      <w:r w:rsidRPr="00FE17E2">
        <w:rPr>
          <w:rFonts w:cstheme="minorHAnsi"/>
          <w:sz w:val="20"/>
          <w:szCs w:val="20"/>
          <w:lang w:val="en-GB"/>
        </w:rPr>
        <w:t>II</w:t>
      </w:r>
      <w:r w:rsidRPr="00FE17E2">
        <w:rPr>
          <w:rFonts w:cstheme="minorHAnsi"/>
          <w:sz w:val="20"/>
          <w:szCs w:val="20"/>
          <w:lang w:val="ka-GE"/>
        </w:rPr>
        <w:t xml:space="preserve"> იონებს შეიცავს</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საფაღარათო საშუალებები</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იოდის შემცველი საკონტრასტო ნივთიერება</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ბარიუმის სულფატი</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მეტოტრექსატი (კიბოსთვის და სხვა ავთვისებიანი პათოლოგიებისთვის)</w:t>
      </w:r>
    </w:p>
    <w:p w:rsidR="002A0C94" w:rsidRPr="00FE17E2" w:rsidRDefault="002A0C94" w:rsidP="00EC0DBE">
      <w:pPr>
        <w:pStyle w:val="a3"/>
        <w:numPr>
          <w:ilvl w:val="0"/>
          <w:numId w:val="7"/>
        </w:numPr>
        <w:spacing w:line="240" w:lineRule="auto"/>
        <w:rPr>
          <w:rFonts w:cstheme="minorHAnsi"/>
          <w:sz w:val="20"/>
          <w:szCs w:val="20"/>
          <w:lang w:val="ka-GE"/>
        </w:rPr>
      </w:pPr>
      <w:r w:rsidRPr="00FE17E2">
        <w:rPr>
          <w:rFonts w:cstheme="minorHAnsi"/>
          <w:sz w:val="20"/>
          <w:szCs w:val="20"/>
          <w:lang w:val="ka-GE"/>
        </w:rPr>
        <w:t>პერქლორატი (ანტითიროიდული საშუალება)</w:t>
      </w:r>
    </w:p>
    <w:p w:rsidR="002A0C94" w:rsidRPr="00FE17E2" w:rsidRDefault="002A0C94" w:rsidP="00EC0DBE">
      <w:pPr>
        <w:spacing w:line="240" w:lineRule="auto"/>
        <w:rPr>
          <w:rFonts w:cstheme="minorHAnsi"/>
          <w:i/>
          <w:sz w:val="20"/>
          <w:szCs w:val="20"/>
          <w:lang w:val="ka-GE"/>
        </w:rPr>
      </w:pPr>
      <w:r w:rsidRPr="00FE17E2">
        <w:rPr>
          <w:rFonts w:cstheme="minorHAnsi"/>
          <w:i/>
          <w:sz w:val="20"/>
          <w:szCs w:val="20"/>
          <w:lang w:val="ka-GE"/>
        </w:rPr>
        <w:t>გთხოვთ, შეატყობინოთ თქვენს ექიმს ან ფარმაცევტს თუ იღებთ ან ცოტა ხნის წინ იღებდით რაიმე სხვა მედიკამენტს, მათ შორის ურეცეპტოდ გაცემულ მედიკამენტებს.</w:t>
      </w:r>
    </w:p>
    <w:p w:rsidR="00EC0DBE" w:rsidRDefault="00EC0DBE" w:rsidP="00EC0DBE">
      <w:pPr>
        <w:spacing w:after="0" w:line="240" w:lineRule="auto"/>
        <w:rPr>
          <w:rFonts w:cstheme="minorHAnsi"/>
          <w:b/>
          <w:sz w:val="20"/>
          <w:szCs w:val="20"/>
          <w:lang w:val="en-GB"/>
        </w:rPr>
      </w:pPr>
    </w:p>
    <w:p w:rsidR="00EC0DBE" w:rsidRDefault="00EC0DBE" w:rsidP="00EC0DBE">
      <w:pPr>
        <w:spacing w:after="0" w:line="240" w:lineRule="auto"/>
        <w:rPr>
          <w:rFonts w:cstheme="minorHAnsi"/>
          <w:b/>
          <w:sz w:val="20"/>
          <w:szCs w:val="20"/>
          <w:lang w:val="en-GB"/>
        </w:rPr>
      </w:pPr>
    </w:p>
    <w:p w:rsidR="00EC0DBE" w:rsidRDefault="00EC0DBE" w:rsidP="00EC0DBE">
      <w:pPr>
        <w:spacing w:after="0" w:line="240" w:lineRule="auto"/>
        <w:rPr>
          <w:rFonts w:cstheme="minorHAnsi"/>
          <w:b/>
          <w:sz w:val="20"/>
          <w:szCs w:val="20"/>
          <w:lang w:val="en-GB"/>
        </w:rPr>
      </w:pPr>
    </w:p>
    <w:p w:rsidR="00EC0DBE" w:rsidRDefault="00EC0DBE" w:rsidP="00EC0DBE">
      <w:pPr>
        <w:spacing w:after="0" w:line="240" w:lineRule="auto"/>
        <w:rPr>
          <w:rFonts w:cstheme="minorHAnsi"/>
          <w:b/>
          <w:sz w:val="20"/>
          <w:szCs w:val="20"/>
          <w:lang w:val="en-GB"/>
        </w:rPr>
      </w:pPr>
    </w:p>
    <w:p w:rsidR="00EC0DBE" w:rsidRDefault="00EC0DBE" w:rsidP="00EC0DBE">
      <w:pPr>
        <w:spacing w:after="0" w:line="240" w:lineRule="auto"/>
        <w:rPr>
          <w:rFonts w:cstheme="minorHAnsi"/>
          <w:b/>
          <w:sz w:val="20"/>
          <w:szCs w:val="20"/>
          <w:lang w:val="en-GB"/>
        </w:rPr>
      </w:pP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en-GB"/>
        </w:rPr>
        <w:t>3</w:t>
      </w:r>
      <w:r w:rsidRPr="00FE17E2">
        <w:rPr>
          <w:rFonts w:cstheme="minorHAnsi"/>
          <w:b/>
          <w:sz w:val="20"/>
          <w:szCs w:val="20"/>
          <w:lang w:val="ka-GE"/>
        </w:rPr>
        <w:t xml:space="preserve">. როგორ გამოიყენება </w:t>
      </w:r>
      <w:proofErr w:type="gramStart"/>
      <w:r w:rsidRPr="00FE17E2">
        <w:rPr>
          <w:rFonts w:cstheme="minorHAnsi"/>
          <w:b/>
          <w:sz w:val="20"/>
          <w:szCs w:val="20"/>
          <w:lang w:val="ka-GE"/>
        </w:rPr>
        <w:t>მონ.ტეკ</w:t>
      </w:r>
      <w:proofErr w:type="gramEnd"/>
      <w:r w:rsidRPr="00FE17E2">
        <w:rPr>
          <w:rFonts w:cstheme="minorHAnsi"/>
          <w:b/>
          <w:sz w:val="20"/>
          <w:szCs w:val="20"/>
          <w:lang w:val="ka-GE"/>
        </w:rPr>
        <w:t xml:space="preserve">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 xml:space="preserve">Tc გენერატორი? </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რადიოფარმაცევტული პრეპარატების დანიშვნა მხოლოდ ბირთვული მედიცინის სპეციალისტების მიერ ბირთვული მედიცინის ცენტრებში უნდა მოხდეს.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რადიოფარმაცევტული პროდუქტების გამოყენება, დამუშავება და მოცილება მკაცრი კანონებით რეგულირდება.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 გამოყენება მხოლოდ სპეციალურ კონტროლირებულ სივრცეებში მოხდება. ამ პროდუქტის დამუშავება და თქვენთვის მოწოდება მოხდება მხოლოდ მის უსაფრთხო გამოყენებაში მომზადებული და კვალიფიცირებული პირების მიერ. ეს პირები ამ პროდუქტის უსაფრთხო გამოყენებისთვის განსაკუთრებულ ზომებს მიიღებენ და მათი მოქმედებების შესახებ შესაბამის ინფორმაციას მოგაწვდიან.</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სწორი მიწოდების ინსტრუქციები და დოზის / მიღების სიხშირე</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ბირთვული მედიცინის სპეციალისტი, რომელიც პროცედურას მეთვალყურეობას უწევს, გადაწყვეტს, თუ რა რაოდენობა უნდა იქნას გამოყენებული თქვენს შემთხვევაში. ეს იქნება უმცირესი რაოდენობა, რომელიც აუცილებელი იქნება საჭირო ინფორმაციის მისაღებად. მოზრდილებში რეკომენდირებული რაოდენობა, როგორც წესი, 2-800 მბეკ ფარგლებში მერყეობს (მეგა ბეკერელი, ერთეული რომელიც რადიოაქტიურობის საზომად გამოიყენება).</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გამოყენება ბავშვებსა და მოზარდებში</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ბავშვებსა და მოზარდებში, მისაღები რაოდენობა ბავშვის წონაზე იქნება მორგებული.</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მიღების მეთოდი და გზა</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ეს მედიკამენტი ინტრავენური ინექციის ან თვალებში ჩაწვეთების გზით გამოიყენება.</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თქვენი ავადმყოფობიდან გამომდინარე, თქვენი ექიმი განსაზღვრავს და მოგაწოდებთ წამლის თქვენთვის შესაფერის დოზას.</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პროცედურის ხანგრძლივობა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ბირთვული მედიცინის სპეციალისტი შეგატყობინებთ პროცედურის ჩვეულ ხანგრძლივობას.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ბირთვული მედიცინის სპეციალისტი შეგატყობინებთ, დაგჭირდებათ თუ არა ამ წამლის მიღების შემდეგ რაიმე განსაკუთრებული სიფრთხილის ზომების მიღება. თუ რაიმე შეკითხვა გაგიჩნდებათ, დაუკავშირდით ბირთვული მედიცინის ექიმს.</w:t>
      </w:r>
    </w:p>
    <w:p w:rsidR="002A0C94" w:rsidRPr="00FE17E2" w:rsidRDefault="002A0C94" w:rsidP="00EC0DBE">
      <w:pPr>
        <w:spacing w:line="240" w:lineRule="auto"/>
        <w:jc w:val="both"/>
        <w:rPr>
          <w:rFonts w:cstheme="minorHAnsi"/>
          <w:i/>
          <w:sz w:val="20"/>
          <w:szCs w:val="20"/>
          <w:lang w:val="ka-GE"/>
        </w:rPr>
      </w:pPr>
      <w:r w:rsidRPr="00FE17E2">
        <w:rPr>
          <w:rFonts w:cstheme="minorHAnsi"/>
          <w:i/>
          <w:sz w:val="20"/>
          <w:szCs w:val="20"/>
          <w:lang w:val="ka-GE"/>
        </w:rPr>
        <w:t xml:space="preserve">თუ ფიქრობთ, რომ მონ.ტეკ </w:t>
      </w:r>
      <w:r w:rsidRPr="00FE17E2">
        <w:rPr>
          <w:rFonts w:cstheme="minorHAnsi"/>
          <w:i/>
          <w:sz w:val="20"/>
          <w:szCs w:val="20"/>
          <w:vertAlign w:val="superscript"/>
          <w:lang w:val="ka-GE"/>
        </w:rPr>
        <w:t>99</w:t>
      </w:r>
      <w:r w:rsidRPr="00FE17E2">
        <w:rPr>
          <w:rFonts w:cstheme="minorHAnsi"/>
          <w:i/>
          <w:sz w:val="20"/>
          <w:szCs w:val="20"/>
          <w:lang w:val="ka-GE"/>
        </w:rPr>
        <w:t xml:space="preserve">Mo / </w:t>
      </w:r>
      <w:r w:rsidRPr="00FE17E2">
        <w:rPr>
          <w:rFonts w:cstheme="minorHAnsi"/>
          <w:i/>
          <w:sz w:val="20"/>
          <w:szCs w:val="20"/>
          <w:vertAlign w:val="superscript"/>
          <w:lang w:val="ka-GE"/>
        </w:rPr>
        <w:t>99m</w:t>
      </w:r>
      <w:r w:rsidRPr="00FE17E2">
        <w:rPr>
          <w:rFonts w:cstheme="minorHAnsi"/>
          <w:i/>
          <w:sz w:val="20"/>
          <w:szCs w:val="20"/>
          <w:lang w:val="ka-GE"/>
        </w:rPr>
        <w:t>Tc გენერატორის ეფექტი ზედმეტად ძლიერი ან ზედმეტად სუსტია, გთხოვთ გაესაუბროთ თქვენს ექიმს ან ფარმაცევტს.</w:t>
      </w:r>
    </w:p>
    <w:p w:rsidR="002A0C94" w:rsidRPr="00FE17E2" w:rsidRDefault="002A0C94" w:rsidP="00EC0DBE">
      <w:pPr>
        <w:spacing w:line="240" w:lineRule="auto"/>
        <w:jc w:val="both"/>
        <w:rPr>
          <w:rFonts w:cstheme="minorHAnsi"/>
          <w:b/>
          <w:sz w:val="20"/>
          <w:szCs w:val="20"/>
          <w:lang w:val="ka-GE"/>
        </w:rPr>
      </w:pPr>
      <w:r w:rsidRPr="00FE17E2">
        <w:rPr>
          <w:rFonts w:cstheme="minorHAnsi"/>
          <w:b/>
          <w:sz w:val="20"/>
          <w:szCs w:val="20"/>
          <w:lang w:val="ka-GE"/>
        </w:rPr>
        <w:t>სხვადასხვა ასაკობრივი ჯგუფები</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გამოყენება ბავშვებში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ბავშვებში დასანიშნი დოზა მკურნალი ექიმის მიერ განისაზღვრება და დაინიშნება.</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გამოყენება მოხუცებში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ასაკოვან პაციენტებში დოზის სპეციფიური მოდიფიკაცია საჭირო არ არის. ის აგრეთვე ისაღვრება და ინიშნება მკურნალი ექიმის მიერ.</w:t>
      </w:r>
    </w:p>
    <w:p w:rsidR="002A0C94" w:rsidRPr="00FE17E2" w:rsidRDefault="002A0C94" w:rsidP="00EC0DBE">
      <w:pPr>
        <w:spacing w:line="240" w:lineRule="auto"/>
        <w:jc w:val="both"/>
        <w:rPr>
          <w:rFonts w:cstheme="minorHAnsi"/>
          <w:b/>
          <w:sz w:val="20"/>
          <w:szCs w:val="20"/>
          <w:lang w:val="ka-GE"/>
        </w:rPr>
      </w:pPr>
      <w:r w:rsidRPr="00FE17E2">
        <w:rPr>
          <w:rFonts w:cstheme="minorHAnsi"/>
          <w:b/>
          <w:sz w:val="20"/>
          <w:szCs w:val="20"/>
          <w:lang w:val="ka-GE"/>
        </w:rPr>
        <w:t>პაციენტების განსაკუთრებული პოპულაციები</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თირკმლის/ღვიძლის ფუნქციის დარღვევა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საჭიროა ფრთხილად აიწონოს ამ პაციენტებში მისაღები აქტივობა, რადგან შესაძლოა  რადიაციასთან მომატებულ ექსპოზიციას ჰქონდეს ადგილი.</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თუ ნატრიუმის პერტექნეტატი (</w:t>
      </w:r>
      <w:r w:rsidRPr="00FE17E2">
        <w:rPr>
          <w:rFonts w:cstheme="minorHAnsi"/>
          <w:b/>
          <w:sz w:val="20"/>
          <w:szCs w:val="20"/>
          <w:vertAlign w:val="superscript"/>
          <w:lang w:val="ka-GE"/>
        </w:rPr>
        <w:t>99m</w:t>
      </w:r>
      <w:r w:rsidRPr="00FE17E2">
        <w:rPr>
          <w:rFonts w:cstheme="minorHAnsi"/>
          <w:b/>
          <w:sz w:val="20"/>
          <w:szCs w:val="20"/>
          <w:lang w:val="ka-GE"/>
        </w:rPr>
        <w:t>Tc) თქვენთვის საჭიროზე მეტი რაოდენობით მოგეწოდათ</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დოზის გადაჭარბება ნაკლებად მოსალოდნელია, რადგან თქვენ მონტეკის მხოლოდ ერთ დოზას მიიღებთ, რომელიც ზუსტად იქნება კონტროლირებული პროცედურაზე ზედამხედველი ბირთვული მედიცინის სპეციალისტის მიერ. თუმცა, დოზის გადაჭარბების შემთხვევაში, თქვენ შესაბამისი მკურნალობა ჩაგიტარდებათ.</w:t>
      </w:r>
    </w:p>
    <w:p w:rsidR="002A0C94" w:rsidRPr="00FE17E2" w:rsidRDefault="002A0C94" w:rsidP="00EC0DBE">
      <w:pPr>
        <w:spacing w:after="0" w:line="240" w:lineRule="auto"/>
        <w:jc w:val="both"/>
        <w:rPr>
          <w:rFonts w:cstheme="minorHAnsi"/>
          <w:sz w:val="20"/>
          <w:szCs w:val="20"/>
          <w:lang w:val="ka-GE"/>
        </w:rPr>
      </w:pPr>
      <w:r w:rsidRPr="00FE17E2">
        <w:rPr>
          <w:rFonts w:cstheme="minorHAnsi"/>
          <w:sz w:val="20"/>
          <w:szCs w:val="20"/>
          <w:lang w:val="ka-GE"/>
        </w:rPr>
        <w:t>დოზის გადაჭარბების ეფექტი უცნობია.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რადიოაქტიურობით გამოწვეული დაზიანებების რისკი მოიმატებს. შესაბამისად, ექიმი გირჩევთ დიდი რაოდენობით სითხე მიიღოთ და ხშირად მოშარდოთ, რათა ამ მედიკამენტის ორგანიზმიდან შარდით გამოყოფა დაჩქარდეს.</w:t>
      </w:r>
    </w:p>
    <w:p w:rsidR="00EC0DBE" w:rsidRDefault="00EC0DBE" w:rsidP="00EC0DBE">
      <w:pPr>
        <w:spacing w:after="0" w:line="240" w:lineRule="auto"/>
        <w:rPr>
          <w:rFonts w:cstheme="minorHAnsi"/>
          <w:b/>
          <w:sz w:val="20"/>
          <w:szCs w:val="20"/>
          <w:lang w:val="ka-GE"/>
        </w:rPr>
      </w:pPr>
    </w:p>
    <w:p w:rsidR="00EC0DBE" w:rsidRDefault="00EC0DBE" w:rsidP="00EC0DBE">
      <w:pPr>
        <w:spacing w:after="0" w:line="240" w:lineRule="auto"/>
        <w:rPr>
          <w:rFonts w:cstheme="minorHAnsi"/>
          <w:b/>
          <w:sz w:val="20"/>
          <w:szCs w:val="20"/>
          <w:lang w:val="ka-GE"/>
        </w:rPr>
      </w:pP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lastRenderedPageBreak/>
        <w:t xml:space="preserve">თუ 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გენერატორის გამოყენება დაგავიწყდებათ</w:t>
      </w:r>
    </w:p>
    <w:p w:rsidR="002A0C94" w:rsidRPr="00FE17E2" w:rsidRDefault="002A0C94" w:rsidP="00EC0DBE">
      <w:pPr>
        <w:spacing w:after="0" w:line="240" w:lineRule="auto"/>
        <w:rPr>
          <w:rFonts w:cstheme="minorHAnsi"/>
          <w:i/>
          <w:sz w:val="20"/>
          <w:szCs w:val="20"/>
          <w:lang w:val="ka-GE"/>
        </w:rPr>
      </w:pPr>
      <w:r w:rsidRPr="00FE17E2">
        <w:rPr>
          <w:rFonts w:cstheme="minorHAnsi"/>
          <w:i/>
          <w:sz w:val="20"/>
          <w:szCs w:val="20"/>
          <w:lang w:val="ka-GE"/>
        </w:rPr>
        <w:t>არ მიიღოთ ორმაგი დოზა გამოტოვებული დოზების ასანაზღაურებლად.</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 xml:space="preserve">ეს შემთხვევა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გენერატორს არ ეხება, რადგან ის მხოლოდ უშუალოდ ექიმის მიერ, დიაგნოსტიკის მიზნით გამოიყენება.</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 xml:space="preserve">თუ მონ.ტეკ </w:t>
      </w:r>
      <w:r w:rsidRPr="00FE17E2">
        <w:rPr>
          <w:rFonts w:cstheme="minorHAnsi"/>
          <w:b/>
          <w:sz w:val="20"/>
          <w:szCs w:val="20"/>
          <w:vertAlign w:val="superscript"/>
          <w:lang w:val="ka-GE"/>
        </w:rPr>
        <w:t>99</w:t>
      </w:r>
      <w:r w:rsidRPr="00FE17E2">
        <w:rPr>
          <w:rFonts w:cstheme="minorHAnsi"/>
          <w:b/>
          <w:sz w:val="20"/>
          <w:szCs w:val="20"/>
          <w:lang w:val="ka-GE"/>
        </w:rPr>
        <w:t xml:space="preserve">Mo / </w:t>
      </w:r>
      <w:r w:rsidRPr="00FE17E2">
        <w:rPr>
          <w:rFonts w:cstheme="minorHAnsi"/>
          <w:b/>
          <w:sz w:val="20"/>
          <w:szCs w:val="20"/>
          <w:vertAlign w:val="superscript"/>
          <w:lang w:val="ka-GE"/>
        </w:rPr>
        <w:t>99m</w:t>
      </w:r>
      <w:r w:rsidRPr="00FE17E2">
        <w:rPr>
          <w:rFonts w:cstheme="minorHAnsi"/>
          <w:b/>
          <w:sz w:val="20"/>
          <w:szCs w:val="20"/>
          <w:lang w:val="ka-GE"/>
        </w:rPr>
        <w:t>Tc გენერატორის მიღებას შეწყვეტთ</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 xml:space="preserve">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 სამედიცინო მკურნალობის მიზნით არ გამოიყენება.</w:t>
      </w: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4. შესაძლო გვერდითი ეფექტები</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 xml:space="preserve">ყველა მედიკამენტის მსგავსად,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გენერატორმაც შეიძლება გამოიწვიოს გვერდითი ეფექტები იმ პაციენტებში, რომლებსაც რომელიმე ინგრედიენტის მიმართ მომატებული მგრძნობელობა აქვთ.</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თქვენი ექიმი მიიჩნევს, რომ სარგებელი, რომელსაც თქვენ რადიოფარმაცევტული პრეპარატისგან მიიღებთ, რადიაციით გამოწვეულ რისკს გადაწონის.</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ამ დასანიშნი რადიოფარმაცევტული პრეპარატის მიწოდებისას ორგანიზმში მცირე რაოდენობით მაიონიზებელი რადიაცია შეიყვანება, რომელიც კიბოს და მემკვიდრული პათოლოგიების ძალიან დაბალ რისკთან არის დაკავშირებული.</w:t>
      </w:r>
    </w:p>
    <w:p w:rsidR="002A0C94" w:rsidRPr="00FE17E2" w:rsidRDefault="002A0C94" w:rsidP="00EC0DBE">
      <w:pPr>
        <w:spacing w:line="240" w:lineRule="auto"/>
        <w:rPr>
          <w:rFonts w:cstheme="minorHAnsi"/>
          <w:sz w:val="20"/>
          <w:szCs w:val="20"/>
          <w:lang w:val="ka-GE"/>
        </w:rPr>
      </w:pPr>
      <w:r w:rsidRPr="00FE17E2">
        <w:rPr>
          <w:rFonts w:cstheme="minorHAnsi"/>
          <w:sz w:val="20"/>
          <w:szCs w:val="20"/>
          <w:lang w:val="ka-GE"/>
        </w:rPr>
        <w:t>შესაძლო გვერდითი ეფექტები ქვემოთ არის ჩამოთვლილი - სიხშირე უცნობია, რადგან მისი დადგენა ხელმისაწვდომი მონაცემებიდან შეუძლებელია:</w:t>
      </w:r>
    </w:p>
    <w:p w:rsidR="002A0C94" w:rsidRPr="00FE17E2" w:rsidRDefault="002A0C94" w:rsidP="00EC0DBE">
      <w:pPr>
        <w:pStyle w:val="a3"/>
        <w:numPr>
          <w:ilvl w:val="0"/>
          <w:numId w:val="6"/>
        </w:numPr>
        <w:spacing w:line="240" w:lineRule="auto"/>
        <w:ind w:left="630" w:hanging="450"/>
        <w:rPr>
          <w:rFonts w:cstheme="minorHAnsi"/>
          <w:sz w:val="20"/>
          <w:szCs w:val="20"/>
          <w:lang w:val="ka-GE"/>
        </w:rPr>
      </w:pPr>
      <w:r w:rsidRPr="00FE17E2">
        <w:rPr>
          <w:rFonts w:cstheme="minorHAnsi"/>
          <w:sz w:val="20"/>
          <w:szCs w:val="20"/>
          <w:lang w:val="ka-GE"/>
        </w:rPr>
        <w:t>ალერგიული რეაქციები, ისეთი სიმპტომებით, როგორიცაა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კანის გამონაყარი, ქავილი</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ჭინჭრის ციება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სხვადასხვა ადგილის, მაგალითად სახის შეშუპება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სუნთქვის გაძნელება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კანის სიწითლე</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კომა</w:t>
      </w:r>
    </w:p>
    <w:p w:rsidR="002A0C94" w:rsidRPr="00FE17E2" w:rsidRDefault="002A0C94" w:rsidP="00EC0DBE">
      <w:pPr>
        <w:pStyle w:val="a3"/>
        <w:numPr>
          <w:ilvl w:val="0"/>
          <w:numId w:val="6"/>
        </w:numPr>
        <w:tabs>
          <w:tab w:val="left" w:pos="810"/>
        </w:tabs>
        <w:spacing w:line="240" w:lineRule="auto"/>
        <w:ind w:left="630" w:hanging="450"/>
        <w:rPr>
          <w:rFonts w:cstheme="minorHAnsi"/>
          <w:sz w:val="20"/>
          <w:szCs w:val="20"/>
          <w:lang w:val="ka-GE"/>
        </w:rPr>
      </w:pPr>
      <w:r w:rsidRPr="00FE17E2">
        <w:rPr>
          <w:rFonts w:cstheme="minorHAnsi"/>
          <w:sz w:val="20"/>
          <w:szCs w:val="20"/>
          <w:lang w:val="ka-GE"/>
        </w:rPr>
        <w:t>სისხლის მიმოქცევასთან დაკავშირებული რეაქციები, ისეთი სიმპტომებით, როგორიცაა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გულისცემის სიხშირის მომატება, გულისცემის სიხშირის დაქვეითება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გულის წასვლა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მხედველობის დაბინდვა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თავბრუსხვევა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თავის ტკივილი</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წამოხურება</w:t>
      </w:r>
    </w:p>
    <w:p w:rsidR="002A0C94" w:rsidRPr="00FE17E2" w:rsidRDefault="002A0C94" w:rsidP="00EC0DBE">
      <w:pPr>
        <w:pStyle w:val="a3"/>
        <w:numPr>
          <w:ilvl w:val="0"/>
          <w:numId w:val="6"/>
        </w:numPr>
        <w:spacing w:line="240" w:lineRule="auto"/>
        <w:ind w:left="630" w:hanging="450"/>
        <w:rPr>
          <w:rFonts w:cstheme="minorHAnsi"/>
          <w:sz w:val="20"/>
          <w:szCs w:val="20"/>
          <w:lang w:val="ka-GE"/>
        </w:rPr>
      </w:pPr>
      <w:r w:rsidRPr="00FE17E2">
        <w:rPr>
          <w:rFonts w:cstheme="minorHAnsi"/>
          <w:sz w:val="20"/>
          <w:szCs w:val="20"/>
          <w:lang w:val="ka-GE"/>
        </w:rPr>
        <w:t>კუჭ-ნაწლავის დარღვევები, ისეთი სიმპტომებით, როგორიცაა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ღებინება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გულისრევა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ფაღარათი</w:t>
      </w:r>
    </w:p>
    <w:p w:rsidR="002A0C94" w:rsidRPr="00FE17E2" w:rsidRDefault="002A0C94" w:rsidP="00EC0DBE">
      <w:pPr>
        <w:pStyle w:val="a3"/>
        <w:numPr>
          <w:ilvl w:val="0"/>
          <w:numId w:val="6"/>
        </w:numPr>
        <w:spacing w:line="240" w:lineRule="auto"/>
        <w:ind w:left="630" w:hanging="450"/>
        <w:rPr>
          <w:rFonts w:cstheme="minorHAnsi"/>
          <w:sz w:val="20"/>
          <w:szCs w:val="20"/>
          <w:lang w:val="ka-GE"/>
        </w:rPr>
      </w:pPr>
      <w:r w:rsidRPr="00FE17E2">
        <w:rPr>
          <w:rFonts w:cstheme="minorHAnsi"/>
          <w:sz w:val="20"/>
          <w:szCs w:val="20"/>
          <w:lang w:val="ka-GE"/>
        </w:rPr>
        <w:t>ინექციის ადგილის რეაქციები, ისეთი სიმპტომებით, როგორიცაა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კანის ანთება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ტკივილი</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შეშუპება</w:t>
      </w:r>
    </w:p>
    <w:p w:rsidR="002A0C94" w:rsidRPr="00FE17E2" w:rsidRDefault="002A0C94" w:rsidP="00EC0DBE">
      <w:pPr>
        <w:pStyle w:val="a3"/>
        <w:numPr>
          <w:ilvl w:val="1"/>
          <w:numId w:val="6"/>
        </w:numPr>
        <w:spacing w:line="240" w:lineRule="auto"/>
        <w:ind w:left="630" w:hanging="450"/>
        <w:rPr>
          <w:rFonts w:cstheme="minorHAnsi"/>
          <w:sz w:val="20"/>
          <w:szCs w:val="20"/>
          <w:lang w:val="ka-GE"/>
        </w:rPr>
      </w:pPr>
      <w:r w:rsidRPr="00FE17E2">
        <w:rPr>
          <w:rFonts w:cstheme="minorHAnsi"/>
          <w:sz w:val="20"/>
          <w:szCs w:val="20"/>
          <w:lang w:val="ka-GE"/>
        </w:rPr>
        <w:t>სიწითლე</w:t>
      </w:r>
    </w:p>
    <w:p w:rsidR="002A0C94" w:rsidRPr="00FE17E2" w:rsidRDefault="002A0C94" w:rsidP="00EC0DBE">
      <w:pPr>
        <w:spacing w:after="0" w:line="240" w:lineRule="auto"/>
        <w:jc w:val="both"/>
        <w:rPr>
          <w:rFonts w:cstheme="minorHAnsi"/>
          <w:sz w:val="20"/>
          <w:szCs w:val="20"/>
          <w:lang w:val="ka-GE"/>
        </w:rPr>
      </w:pPr>
      <w:r w:rsidRPr="00FE17E2">
        <w:rPr>
          <w:rFonts w:cstheme="minorHAnsi"/>
          <w:sz w:val="20"/>
          <w:szCs w:val="20"/>
          <w:lang w:val="ka-GE"/>
        </w:rPr>
        <w:t>გვერდითი ეფექტების შეტყობინება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თუ რაიმე გვერდითი ეფექტი გაგივითარდებათ, გაესაუბრეთ თქვენს ექიმს, ფარმაცეტს ან ექთანს. ეს მოიცავს ნებისმიერ შესაძლო გვერდით ეფექტს, რომელიც ამ ბროშურაში მოცემული არ არის. თქვენ აგრეთვე შეგიძლიათ გვერდითი ეფექტები პირდაპირ, ნაციონალური შეტყობინების სისტემის გამოყენებით შეატყობინოთ. გვერდითი ეფექტების შეტყობინების გზით, თქვენ შეგიძლიათ დახმარება გაუწიოთ ამ წამლის უსაფრთხოების შესახებ მეტი ინფორმაციის მოპოვებას.</w:t>
      </w:r>
    </w:p>
    <w:p w:rsidR="002A0C94" w:rsidRPr="00FE17E2" w:rsidRDefault="002A0C94" w:rsidP="00EC0DBE">
      <w:pPr>
        <w:spacing w:line="240" w:lineRule="auto"/>
        <w:jc w:val="both"/>
        <w:rPr>
          <w:rFonts w:cstheme="minorHAnsi"/>
          <w:i/>
          <w:sz w:val="20"/>
          <w:szCs w:val="20"/>
          <w:lang w:val="ka-GE"/>
        </w:rPr>
      </w:pPr>
      <w:r w:rsidRPr="00FE17E2">
        <w:rPr>
          <w:rFonts w:cstheme="minorHAnsi"/>
          <w:i/>
          <w:sz w:val="20"/>
          <w:szCs w:val="20"/>
          <w:lang w:val="ka-GE"/>
        </w:rPr>
        <w:t>თუ რომელიმე გვერდითი ეფექტი სერიოზული გახდება, ან თუ თქვენ შენიშნავთ რაიმე ისეთ გვერდით ეფექტს, რომელიც ამ ბროშურაში მოცემული არ არის, გთხოვთ შეატყობინოთ ექიმს ან ფარმაცევტს.</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 xml:space="preserve">5. როგორი ინახება </w:t>
      </w:r>
      <w:r w:rsidRPr="000335C6">
        <w:rPr>
          <w:rFonts w:cstheme="minorHAnsi"/>
          <w:b/>
          <w:sz w:val="20"/>
          <w:szCs w:val="20"/>
          <w:lang w:val="ka-GE"/>
        </w:rPr>
        <w:t>მონ.ტეკ</w:t>
      </w:r>
      <w:r w:rsidRPr="00FE17E2">
        <w:rPr>
          <w:rFonts w:cstheme="minorHAnsi"/>
          <w:b/>
          <w:sz w:val="20"/>
          <w:szCs w:val="20"/>
          <w:lang w:val="ka-GE"/>
        </w:rPr>
        <w:t xml:space="preserve"> </w:t>
      </w:r>
      <w:r w:rsidRPr="000335C6">
        <w:rPr>
          <w:rFonts w:cstheme="minorHAnsi"/>
          <w:b/>
          <w:sz w:val="20"/>
          <w:szCs w:val="20"/>
          <w:vertAlign w:val="superscript"/>
          <w:lang w:val="ka-GE"/>
        </w:rPr>
        <w:t>99</w:t>
      </w:r>
      <w:r w:rsidRPr="000335C6">
        <w:rPr>
          <w:rFonts w:cstheme="minorHAnsi"/>
          <w:b/>
          <w:sz w:val="20"/>
          <w:szCs w:val="20"/>
          <w:lang w:val="ka-GE"/>
        </w:rPr>
        <w:t xml:space="preserve">Mo / </w:t>
      </w:r>
      <w:r w:rsidRPr="000335C6">
        <w:rPr>
          <w:rFonts w:cstheme="minorHAnsi"/>
          <w:b/>
          <w:sz w:val="20"/>
          <w:szCs w:val="20"/>
          <w:vertAlign w:val="superscript"/>
          <w:lang w:val="ka-GE"/>
        </w:rPr>
        <w:t>99m</w:t>
      </w:r>
      <w:r w:rsidRPr="000335C6">
        <w:rPr>
          <w:rFonts w:cstheme="minorHAnsi"/>
          <w:b/>
          <w:sz w:val="20"/>
          <w:szCs w:val="20"/>
          <w:lang w:val="ka-GE"/>
        </w:rPr>
        <w:t xml:space="preserve">Tc </w:t>
      </w:r>
      <w:r w:rsidRPr="00FE17E2">
        <w:rPr>
          <w:rFonts w:cstheme="minorHAnsi"/>
          <w:b/>
          <w:sz w:val="20"/>
          <w:szCs w:val="20"/>
          <w:lang w:val="ka-GE"/>
        </w:rPr>
        <w:t>გენერატორი?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თქვენ ამ მედიკამენტის შენახვა არ მოგიწევთ. ამ მედიკამენტის შენახვა წარმოადგენს სპეციალისტის პასუხისმგებლობას, შესაბამის დაწესებულებაში. რადიოფარმაცევტული პრეპარატების შენახვა მოხდება რადიოაქტიური მასალების შესახებ ნაციონალური რეგულაციების თანახმად.</w:t>
      </w:r>
    </w:p>
    <w:p w:rsidR="00EC0DBE" w:rsidRDefault="00EC0DBE" w:rsidP="002A0C94">
      <w:pPr>
        <w:jc w:val="both"/>
        <w:rPr>
          <w:rFonts w:cstheme="minorHAnsi"/>
          <w:sz w:val="20"/>
          <w:szCs w:val="20"/>
          <w:lang w:val="ka-GE"/>
        </w:rPr>
      </w:pPr>
    </w:p>
    <w:p w:rsidR="00EC0DBE" w:rsidRDefault="00EC0DBE" w:rsidP="002A0C94">
      <w:pPr>
        <w:jc w:val="both"/>
        <w:rPr>
          <w:rFonts w:cstheme="minorHAnsi"/>
          <w:sz w:val="20"/>
          <w:szCs w:val="20"/>
          <w:lang w:val="ka-GE"/>
        </w:rPr>
      </w:pP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ეს ინფორმაცია მხოლოდ სპეციალისტებისთვის არის განკუთვნილი.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 შენახვა უნდა მოხდეს საავადმყოფოებში ან გამოყენების ცენტრებში თავისივე ორიგინალ შეფუთვაში, 25</w:t>
      </w:r>
      <w:r w:rsidRPr="00FE17E2">
        <w:rPr>
          <w:rFonts w:cstheme="minorHAnsi"/>
          <w:sz w:val="20"/>
          <w:szCs w:val="20"/>
          <w:lang w:val="en-GB"/>
        </w:rPr>
        <w:sym w:font="Symbol" w:char="F0B0"/>
      </w:r>
      <w:r w:rsidRPr="00FE17E2">
        <w:rPr>
          <w:rFonts w:cstheme="minorHAnsi"/>
          <w:sz w:val="20"/>
          <w:szCs w:val="20"/>
          <w:lang w:val="ka-GE"/>
        </w:rPr>
        <w:t>C-ზე დაბალ ოთახის ტემპერატურაზე.</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გენერატორის ვარგისიანობის ვადა არის მისი წარმოების თარიღიდან 21 დღე და მისი კალიბრაციის თარიღიდან 15 დღე.</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vertAlign w:val="superscript"/>
          <w:lang w:val="ka-GE"/>
        </w:rPr>
        <w:t>99m</w:t>
      </w:r>
      <w:r w:rsidRPr="00FE17E2">
        <w:rPr>
          <w:rFonts w:cstheme="minorHAnsi"/>
          <w:sz w:val="20"/>
          <w:szCs w:val="20"/>
          <w:lang w:val="ka-GE"/>
        </w:rPr>
        <w:t>Tc ნატრიუმის პერტექნეტატის ხსნარი (ელუატი), რომელიც გენერატორისგან მიიღება, უნდა ინახებოდეს ტყვიის დამცავში 25</w:t>
      </w:r>
      <w:r w:rsidRPr="00FE17E2">
        <w:rPr>
          <w:rFonts w:cstheme="minorHAnsi"/>
          <w:sz w:val="20"/>
          <w:szCs w:val="20"/>
          <w:lang w:val="en-GB"/>
        </w:rPr>
        <w:sym w:font="Symbol" w:char="F0B0"/>
      </w:r>
      <w:r w:rsidRPr="00FE17E2">
        <w:rPr>
          <w:rFonts w:cstheme="minorHAnsi"/>
          <w:sz w:val="20"/>
          <w:szCs w:val="20"/>
          <w:lang w:val="ka-GE"/>
        </w:rPr>
        <w:t>C-ზე დაბალ ტემპერატურაზე და მისი გამოყენება 12 საათის ვადაში უნდა მოხდეს.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კომპლექტის ეტიკეტირების შემდეგ, ვარგისიანობის ამოწურვის თარიღი უნდა შედარდეს ეტიკეტირებული პროდუქტის ვარგისიანობის ამოწურვის თარიღს და გათვალისწინებული უნდა იქნას მათგან უფრო მოკლე.</w:t>
      </w:r>
    </w:p>
    <w:p w:rsidR="002A0C94" w:rsidRPr="00FE17E2" w:rsidRDefault="002A0C94" w:rsidP="00EC0DBE">
      <w:pPr>
        <w:spacing w:line="240" w:lineRule="auto"/>
        <w:jc w:val="both"/>
        <w:rPr>
          <w:rFonts w:cstheme="minorHAnsi"/>
          <w:i/>
          <w:sz w:val="20"/>
          <w:szCs w:val="20"/>
          <w:lang w:val="ka-GE"/>
        </w:rPr>
      </w:pPr>
      <w:r w:rsidRPr="00FE17E2">
        <w:rPr>
          <w:rFonts w:cstheme="minorHAnsi"/>
          <w:i/>
          <w:sz w:val="20"/>
          <w:szCs w:val="20"/>
          <w:lang w:val="ka-GE"/>
        </w:rPr>
        <w:t xml:space="preserve">შეინახეთ მონ.ტეკ </w:t>
      </w:r>
      <w:r w:rsidRPr="00FE17E2">
        <w:rPr>
          <w:rFonts w:cstheme="minorHAnsi"/>
          <w:i/>
          <w:sz w:val="20"/>
          <w:szCs w:val="20"/>
          <w:vertAlign w:val="superscript"/>
          <w:lang w:val="ka-GE"/>
        </w:rPr>
        <w:t>99</w:t>
      </w:r>
      <w:r w:rsidRPr="00FE17E2">
        <w:rPr>
          <w:rFonts w:cstheme="minorHAnsi"/>
          <w:i/>
          <w:sz w:val="20"/>
          <w:szCs w:val="20"/>
          <w:lang w:val="ka-GE"/>
        </w:rPr>
        <w:t xml:space="preserve">Mo / </w:t>
      </w:r>
      <w:r w:rsidRPr="00FE17E2">
        <w:rPr>
          <w:rFonts w:cstheme="minorHAnsi"/>
          <w:i/>
          <w:sz w:val="20"/>
          <w:szCs w:val="20"/>
          <w:vertAlign w:val="superscript"/>
          <w:lang w:val="ka-GE"/>
        </w:rPr>
        <w:t>99m</w:t>
      </w:r>
      <w:r w:rsidRPr="00FE17E2">
        <w:rPr>
          <w:rFonts w:cstheme="minorHAnsi"/>
          <w:i/>
          <w:sz w:val="20"/>
          <w:szCs w:val="20"/>
          <w:lang w:val="ka-GE"/>
        </w:rPr>
        <w:t>Tc გენერატორი თავის ორიგინალ შეფუთვაში, ბავშვებისთვის დაფარულ და მიუწვდომელ ადგილზე.</w:t>
      </w:r>
    </w:p>
    <w:p w:rsidR="002A0C94" w:rsidRPr="00FE17E2" w:rsidRDefault="002A0C94" w:rsidP="00EC0DBE">
      <w:pPr>
        <w:spacing w:line="240" w:lineRule="auto"/>
        <w:jc w:val="both"/>
        <w:rPr>
          <w:rFonts w:cstheme="minorHAnsi"/>
          <w:b/>
          <w:sz w:val="20"/>
          <w:szCs w:val="20"/>
          <w:lang w:val="ka-GE"/>
        </w:rPr>
      </w:pPr>
      <w:r w:rsidRPr="00FE17E2">
        <w:rPr>
          <w:rFonts w:cstheme="minorHAnsi"/>
          <w:b/>
          <w:sz w:val="20"/>
          <w:szCs w:val="20"/>
          <w:lang w:val="ka-GE"/>
        </w:rPr>
        <w:t>გამოიყენეთ ვარგისიანობის ამოწურვის თარიღის გათვალისწინებით.</w:t>
      </w:r>
    </w:p>
    <w:p w:rsidR="002A0C94" w:rsidRPr="00FE17E2" w:rsidRDefault="002A0C94" w:rsidP="00EC0DBE">
      <w:pPr>
        <w:spacing w:line="240" w:lineRule="auto"/>
        <w:jc w:val="both"/>
        <w:rPr>
          <w:rFonts w:cstheme="minorHAnsi"/>
          <w:i/>
          <w:sz w:val="20"/>
          <w:szCs w:val="20"/>
          <w:lang w:val="ka-GE"/>
        </w:rPr>
      </w:pPr>
      <w:r w:rsidRPr="00FE17E2">
        <w:rPr>
          <w:rFonts w:cstheme="minorHAnsi"/>
          <w:i/>
          <w:sz w:val="20"/>
          <w:szCs w:val="20"/>
          <w:lang w:val="ka-GE"/>
        </w:rPr>
        <w:t xml:space="preserve">არ გამოიყენოთ მონ.ტეკ </w:t>
      </w:r>
      <w:r w:rsidRPr="00FE17E2">
        <w:rPr>
          <w:rFonts w:cstheme="minorHAnsi"/>
          <w:i/>
          <w:sz w:val="20"/>
          <w:szCs w:val="20"/>
          <w:vertAlign w:val="superscript"/>
          <w:lang w:val="ka-GE"/>
        </w:rPr>
        <w:t>99</w:t>
      </w:r>
      <w:r w:rsidRPr="00FE17E2">
        <w:rPr>
          <w:rFonts w:cstheme="minorHAnsi"/>
          <w:i/>
          <w:sz w:val="20"/>
          <w:szCs w:val="20"/>
          <w:lang w:val="ka-GE"/>
        </w:rPr>
        <w:t xml:space="preserve">Mo / </w:t>
      </w:r>
      <w:r w:rsidRPr="00FE17E2">
        <w:rPr>
          <w:rFonts w:cstheme="minorHAnsi"/>
          <w:i/>
          <w:sz w:val="20"/>
          <w:szCs w:val="20"/>
          <w:vertAlign w:val="superscript"/>
          <w:lang w:val="ka-GE"/>
        </w:rPr>
        <w:t>99m</w:t>
      </w:r>
      <w:r w:rsidRPr="00FE17E2">
        <w:rPr>
          <w:rFonts w:cstheme="minorHAnsi"/>
          <w:i/>
          <w:sz w:val="20"/>
          <w:szCs w:val="20"/>
          <w:lang w:val="ka-GE"/>
        </w:rPr>
        <w:t>Tc გენერატორი შეფუთვაზე მოცემული ვარგისიანობის თარიღის გასვლის შემდეგ.</w:t>
      </w:r>
    </w:p>
    <w:p w:rsidR="002A0C94" w:rsidRPr="00FE17E2" w:rsidRDefault="002A0C94" w:rsidP="002A0C94">
      <w:pPr>
        <w:spacing w:after="0"/>
        <w:rPr>
          <w:rFonts w:cstheme="minorHAnsi"/>
          <w:b/>
          <w:i/>
          <w:sz w:val="20"/>
          <w:szCs w:val="20"/>
          <w:lang w:val="ka-GE"/>
        </w:rPr>
      </w:pPr>
      <w:r w:rsidRPr="00FE17E2">
        <w:rPr>
          <w:rFonts w:cstheme="minorHAnsi"/>
          <w:b/>
          <w:i/>
          <w:sz w:val="20"/>
          <w:szCs w:val="20"/>
          <w:lang w:val="ka-GE"/>
        </w:rPr>
        <w:t>საბაზრო წარმოების ნებართვის მფლობელი:</w:t>
      </w:r>
    </w:p>
    <w:p w:rsidR="002A0C94" w:rsidRPr="00F62E46" w:rsidRDefault="00F62E46" w:rsidP="00F62E46">
      <w:pPr>
        <w:spacing w:after="0" w:line="240" w:lineRule="auto"/>
        <w:jc w:val="both"/>
        <w:rPr>
          <w:rFonts w:cstheme="minorHAnsi"/>
          <w:sz w:val="20"/>
          <w:szCs w:val="20"/>
          <w:lang w:val="ka-GE"/>
        </w:rPr>
      </w:pPr>
      <w:r w:rsidRPr="00F62E46">
        <w:rPr>
          <w:rFonts w:cstheme="minorHAnsi"/>
          <w:sz w:val="20"/>
          <w:szCs w:val="20"/>
          <w:lang w:val="ka-GE"/>
        </w:rPr>
        <w:t>Curium Nükleer Tıp A.Ş.TÜBİTAK MAM Teknoparkı</w:t>
      </w:r>
    </w:p>
    <w:p w:rsidR="00F62E46" w:rsidRPr="00F62E46" w:rsidRDefault="00F62E46" w:rsidP="00F62E46">
      <w:pPr>
        <w:spacing w:after="0" w:line="240" w:lineRule="auto"/>
        <w:jc w:val="both"/>
        <w:rPr>
          <w:rFonts w:cstheme="minorHAnsi"/>
          <w:sz w:val="20"/>
          <w:szCs w:val="20"/>
          <w:lang w:val="ka-GE"/>
        </w:rPr>
      </w:pPr>
      <w:r w:rsidRPr="00F62E46">
        <w:rPr>
          <w:rFonts w:cstheme="minorHAnsi"/>
          <w:sz w:val="20"/>
          <w:szCs w:val="20"/>
          <w:lang w:val="ka-GE"/>
        </w:rPr>
        <w:t xml:space="preserve">41470 Gebze Kocaeli </w:t>
      </w:r>
      <w:r>
        <w:rPr>
          <w:rFonts w:cstheme="minorHAnsi"/>
          <w:sz w:val="20"/>
          <w:szCs w:val="20"/>
          <w:lang w:val="ka-GE"/>
        </w:rPr>
        <w:t>თურქეთი</w:t>
      </w:r>
      <w:r w:rsidRPr="00F62E46">
        <w:rPr>
          <w:rFonts w:cstheme="minorHAnsi"/>
          <w:sz w:val="20"/>
          <w:szCs w:val="20"/>
          <w:lang w:val="ka-GE"/>
        </w:rPr>
        <w:t xml:space="preserve"> </w:t>
      </w:r>
    </w:p>
    <w:p w:rsidR="0057192C" w:rsidRPr="00FE17E2" w:rsidRDefault="0057192C" w:rsidP="0057192C">
      <w:pPr>
        <w:spacing w:after="0"/>
        <w:rPr>
          <w:rFonts w:cstheme="minorHAnsi"/>
          <w:sz w:val="20"/>
          <w:szCs w:val="20"/>
          <w:lang w:val="ka-GE"/>
        </w:rPr>
      </w:pPr>
      <w:r w:rsidRPr="00FE17E2">
        <w:rPr>
          <w:rFonts w:cstheme="minorHAnsi"/>
          <w:sz w:val="20"/>
          <w:szCs w:val="20"/>
          <w:lang w:val="ka-GE"/>
        </w:rPr>
        <w:t xml:space="preserve">ტელ: +90 262 648 02 00 </w:t>
      </w:r>
    </w:p>
    <w:p w:rsidR="0057192C" w:rsidRPr="00FE17E2" w:rsidRDefault="0057192C" w:rsidP="0057192C">
      <w:pPr>
        <w:spacing w:after="0"/>
        <w:rPr>
          <w:rFonts w:cstheme="minorHAnsi"/>
          <w:sz w:val="20"/>
          <w:szCs w:val="20"/>
          <w:lang w:val="ka-GE"/>
        </w:rPr>
      </w:pPr>
      <w:r w:rsidRPr="00FE17E2">
        <w:rPr>
          <w:rFonts w:cstheme="minorHAnsi"/>
          <w:sz w:val="20"/>
          <w:szCs w:val="20"/>
          <w:lang w:val="ka-GE"/>
        </w:rPr>
        <w:t xml:space="preserve">ფაქსი: +90 262 646 40 39 </w:t>
      </w:r>
    </w:p>
    <w:p w:rsidR="00F62E46" w:rsidRDefault="00F62E46" w:rsidP="002A0C94">
      <w:pPr>
        <w:rPr>
          <w:rFonts w:cstheme="minorHAnsi"/>
          <w:b/>
          <w:i/>
          <w:sz w:val="20"/>
          <w:szCs w:val="20"/>
          <w:lang w:val="ka-GE"/>
        </w:rPr>
      </w:pPr>
    </w:p>
    <w:p w:rsidR="002A0C94" w:rsidRPr="00FE17E2" w:rsidRDefault="002A0C94" w:rsidP="00EC0DBE">
      <w:pPr>
        <w:spacing w:after="0" w:line="240" w:lineRule="auto"/>
        <w:rPr>
          <w:rFonts w:cstheme="minorHAnsi"/>
          <w:b/>
          <w:i/>
          <w:sz w:val="20"/>
          <w:szCs w:val="20"/>
          <w:lang w:val="ka-GE"/>
        </w:rPr>
      </w:pPr>
      <w:r w:rsidRPr="00FE17E2">
        <w:rPr>
          <w:rFonts w:cstheme="minorHAnsi"/>
          <w:b/>
          <w:i/>
          <w:sz w:val="20"/>
          <w:szCs w:val="20"/>
          <w:lang w:val="ka-GE"/>
        </w:rPr>
        <w:t xml:space="preserve">მწარმოებელი: </w:t>
      </w:r>
    </w:p>
    <w:p w:rsidR="00F62E46" w:rsidRPr="00F62E46" w:rsidRDefault="00F62E46" w:rsidP="00EC0DBE">
      <w:pPr>
        <w:spacing w:after="0" w:line="240" w:lineRule="auto"/>
        <w:jc w:val="both"/>
        <w:rPr>
          <w:rFonts w:cstheme="minorHAnsi"/>
          <w:sz w:val="20"/>
          <w:szCs w:val="20"/>
          <w:lang w:val="ka-GE"/>
        </w:rPr>
      </w:pPr>
      <w:r w:rsidRPr="00F62E46">
        <w:rPr>
          <w:rFonts w:cstheme="minorHAnsi"/>
          <w:sz w:val="20"/>
          <w:szCs w:val="20"/>
          <w:lang w:val="ka-GE"/>
        </w:rPr>
        <w:t>Curium Nükleer Tıp A.Ş.TÜBİTAK MAM Teknoparkı</w:t>
      </w:r>
    </w:p>
    <w:p w:rsidR="00F62E46" w:rsidRPr="00F62E46" w:rsidRDefault="00F62E46" w:rsidP="00EC0DBE">
      <w:pPr>
        <w:spacing w:after="0" w:line="240" w:lineRule="auto"/>
        <w:jc w:val="both"/>
        <w:rPr>
          <w:rFonts w:cstheme="minorHAnsi"/>
          <w:sz w:val="20"/>
          <w:szCs w:val="20"/>
          <w:lang w:val="ka-GE"/>
        </w:rPr>
      </w:pPr>
      <w:r w:rsidRPr="00F62E46">
        <w:rPr>
          <w:rFonts w:cstheme="minorHAnsi"/>
          <w:sz w:val="20"/>
          <w:szCs w:val="20"/>
          <w:lang w:val="ka-GE"/>
        </w:rPr>
        <w:t xml:space="preserve">41470 Gebze Kocaeli </w:t>
      </w:r>
      <w:r>
        <w:rPr>
          <w:rFonts w:cstheme="minorHAnsi"/>
          <w:sz w:val="20"/>
          <w:szCs w:val="20"/>
          <w:lang w:val="ka-GE"/>
        </w:rPr>
        <w:t>თურქეთი</w:t>
      </w:r>
      <w:r w:rsidRPr="00F62E46">
        <w:rPr>
          <w:rFonts w:cstheme="minorHAnsi"/>
          <w:sz w:val="20"/>
          <w:szCs w:val="20"/>
          <w:lang w:val="ka-GE"/>
        </w:rPr>
        <w:t xml:space="preserve"> </w:t>
      </w:r>
    </w:p>
    <w:p w:rsidR="002A0C94" w:rsidRPr="00FE17E2" w:rsidRDefault="002A0C94" w:rsidP="00EC0DBE">
      <w:pPr>
        <w:spacing w:after="0" w:line="240" w:lineRule="auto"/>
        <w:rPr>
          <w:rFonts w:cstheme="minorHAnsi"/>
          <w:sz w:val="20"/>
          <w:szCs w:val="20"/>
          <w:lang w:val="ka-GE"/>
        </w:rPr>
      </w:pPr>
      <w:r w:rsidRPr="00FE17E2">
        <w:rPr>
          <w:rFonts w:cstheme="minorHAnsi"/>
          <w:sz w:val="20"/>
          <w:szCs w:val="20"/>
          <w:lang w:val="ka-GE"/>
        </w:rPr>
        <w:t xml:space="preserve">ტელ: +90 262 648 02 00 </w:t>
      </w:r>
    </w:p>
    <w:p w:rsidR="002A0C94" w:rsidRPr="00FE17E2" w:rsidRDefault="002A0C94" w:rsidP="00EC0DBE">
      <w:pPr>
        <w:spacing w:after="0" w:line="240" w:lineRule="auto"/>
        <w:rPr>
          <w:rFonts w:cstheme="minorHAnsi"/>
          <w:sz w:val="20"/>
          <w:szCs w:val="20"/>
          <w:lang w:val="ka-GE"/>
        </w:rPr>
      </w:pPr>
      <w:r w:rsidRPr="00FE17E2">
        <w:rPr>
          <w:rFonts w:cstheme="minorHAnsi"/>
          <w:sz w:val="20"/>
          <w:szCs w:val="20"/>
          <w:lang w:val="ka-GE"/>
        </w:rPr>
        <w:t xml:space="preserve">ფაქსი: +90 262 646 40 39 </w:t>
      </w:r>
    </w:p>
    <w:p w:rsidR="00F62E46" w:rsidRDefault="00F62E46" w:rsidP="00EC0DBE">
      <w:pPr>
        <w:spacing w:after="0" w:line="240" w:lineRule="auto"/>
        <w:rPr>
          <w:rFonts w:cstheme="minorHAnsi"/>
          <w:sz w:val="20"/>
          <w:szCs w:val="20"/>
          <w:lang w:val="ka-GE"/>
        </w:rPr>
      </w:pPr>
    </w:p>
    <w:p w:rsidR="002A0C94" w:rsidRPr="00FE17E2" w:rsidRDefault="002A0C94" w:rsidP="00EC0DBE">
      <w:pPr>
        <w:spacing w:line="240" w:lineRule="auto"/>
        <w:jc w:val="both"/>
        <w:rPr>
          <w:rFonts w:cstheme="minorHAnsi"/>
          <w:sz w:val="20"/>
          <w:szCs w:val="20"/>
          <w:lang w:val="ka-GE"/>
        </w:rPr>
      </w:pPr>
      <w:bookmarkStart w:id="0" w:name="_GoBack"/>
      <w:bookmarkEnd w:id="0"/>
      <w:r w:rsidRPr="00FE17E2">
        <w:rPr>
          <w:rFonts w:cstheme="minorHAnsi"/>
          <w:sz w:val="20"/>
          <w:szCs w:val="20"/>
          <w:lang w:val="ka-GE"/>
        </w:rPr>
        <w:t>შემდეგი ინფორმაცია მოწოდებულია სამედიცინო პერსონალისთვის, რომელიც ამ მედიკამენტს დანიშნავს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ნატრიუმის პერტექნეტატის ხსნარი, რომელიც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გენერატორისგან მიიღება, რადიოაქტიურია. ამ მიზეზით, ამ ხსნარის შემცველი ფლაკონი მოთავსებული იყოს და უნდა ინახებოდეს შესაბამის ტყვიის დამცავში.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პაციენტის დოზის მომზადებისა და შეყვანის საფეხურები ასეპტიური ტექნიკების დაცვით უნდა წარიმართოს.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მიუხედავად იმისა, რომ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 xml:space="preserve">Tc გენერატორის ელუცირება ნებისმიერ დროს არის შესაძლებელი, ელუატიდან მიღებული </w:t>
      </w:r>
      <w:r w:rsidRPr="00FE17E2">
        <w:rPr>
          <w:rFonts w:cstheme="minorHAnsi"/>
          <w:sz w:val="20"/>
          <w:szCs w:val="20"/>
          <w:vertAlign w:val="superscript"/>
          <w:lang w:val="ka-GE"/>
        </w:rPr>
        <w:t>99m</w:t>
      </w:r>
      <w:r w:rsidRPr="00FE17E2">
        <w:rPr>
          <w:rFonts w:cstheme="minorHAnsi"/>
          <w:sz w:val="20"/>
          <w:szCs w:val="20"/>
          <w:lang w:val="ka-GE"/>
        </w:rPr>
        <w:t>Tc-ის დონე პირველ და ბოლო ელუციას შორის დროზე არის დამოკიდებული.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პაციენტების, თანამშრომლების და სხვა ადამიანების რადიაციასთან არასაჭირო ექსპოზიციის თავიდან აცილებისთვის შესაბამისი დამცავი საშუალებები უნდა იყოს ხელმისაწვდომი.</w:t>
      </w:r>
    </w:p>
    <w:p w:rsidR="002A0C94" w:rsidRPr="00035C9D" w:rsidRDefault="002A0C94" w:rsidP="00EC0DBE">
      <w:pPr>
        <w:spacing w:line="240" w:lineRule="auto"/>
        <w:jc w:val="both"/>
        <w:rPr>
          <w:rFonts w:cstheme="minorHAnsi"/>
          <w:sz w:val="20"/>
          <w:szCs w:val="20"/>
          <w:lang w:val="ka-GE"/>
        </w:rPr>
      </w:pPr>
      <w:r w:rsidRPr="00FE17E2">
        <w:rPr>
          <w:rFonts w:cstheme="minorHAnsi"/>
          <w:sz w:val="20"/>
          <w:szCs w:val="20"/>
          <w:vertAlign w:val="superscript"/>
          <w:lang w:val="ka-GE"/>
        </w:rPr>
        <w:t>99m</w:t>
      </w:r>
      <w:r w:rsidRPr="00FE17E2">
        <w:rPr>
          <w:rFonts w:cstheme="minorHAnsi"/>
          <w:sz w:val="20"/>
          <w:szCs w:val="20"/>
          <w:lang w:val="ka-GE"/>
        </w:rPr>
        <w:t>Tc ნატრიუმის პერტექნეტატის ელუატი, რომელიც ელუციის</w:t>
      </w:r>
      <w:r w:rsidRPr="00035C9D">
        <w:rPr>
          <w:rFonts w:cstheme="minorHAnsi"/>
          <w:sz w:val="20"/>
          <w:szCs w:val="20"/>
          <w:lang w:val="ka-GE"/>
        </w:rPr>
        <w:t xml:space="preserve"> </w:t>
      </w:r>
      <w:r w:rsidRPr="00FE17E2">
        <w:rPr>
          <w:rFonts w:cstheme="minorHAnsi"/>
          <w:sz w:val="20"/>
          <w:szCs w:val="20"/>
          <w:lang w:val="ka-GE"/>
        </w:rPr>
        <w:t>გზით მიიღება</w:t>
      </w:r>
      <w:r w:rsidRPr="00035C9D">
        <w:rPr>
          <w:rFonts w:cstheme="minorHAnsi"/>
          <w:sz w:val="20"/>
          <w:szCs w:val="20"/>
          <w:lang w:val="ka-GE"/>
        </w:rPr>
        <w:t>,</w:t>
      </w:r>
      <w:r w:rsidRPr="00FE17E2">
        <w:rPr>
          <w:rFonts w:cstheme="minorHAnsi"/>
          <w:sz w:val="20"/>
          <w:szCs w:val="20"/>
          <w:lang w:val="ka-GE"/>
        </w:rPr>
        <w:t xml:space="preserve"> ტყვიის დამცავში უნდა ინახებოდეს და თუ ის გამჭვირვალე არ არის, მისი გამოყენება არ უნდა მოხდეს.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ელუატი ელუციის თარიღისა და დროის შემდეგ 12 საათის განმავლობაში გამოიყენება, 25</w:t>
      </w:r>
      <w:r w:rsidRPr="00FE17E2">
        <w:rPr>
          <w:rFonts w:cstheme="minorHAnsi"/>
          <w:sz w:val="20"/>
          <w:szCs w:val="20"/>
          <w:lang w:val="ka-GE"/>
        </w:rPr>
        <w:sym w:font="Symbol" w:char="F0B0"/>
      </w:r>
      <w:r w:rsidRPr="00FE17E2">
        <w:rPr>
          <w:rFonts w:cstheme="minorHAnsi"/>
          <w:sz w:val="20"/>
          <w:szCs w:val="20"/>
          <w:lang w:val="ka-GE"/>
        </w:rPr>
        <w:t>C-ზე დაბალ ოთახის ტემპერატურაზე.</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როგორც გენერატორისთვის, გამოყენებული ვაკუუმ-ფლაკონები და გამოყენების შემდეგ დარჩნილი სხვა ნარჩენები და ნალექი რადიოაქტიურია, და მათი მოცილება შესაბამისი ნაციონალური და საერთაშორისო რეგულაციების დაცვით უნდა მოხდეს.</w:t>
      </w:r>
    </w:p>
    <w:p w:rsidR="002A0C94" w:rsidRPr="00FE17E2" w:rsidRDefault="002A0C94" w:rsidP="00EC0DBE">
      <w:pPr>
        <w:spacing w:after="0" w:line="240" w:lineRule="auto"/>
        <w:jc w:val="both"/>
        <w:rPr>
          <w:rFonts w:cstheme="minorHAnsi"/>
          <w:sz w:val="20"/>
          <w:szCs w:val="20"/>
          <w:u w:val="single"/>
          <w:lang w:val="ka-GE"/>
        </w:rPr>
      </w:pPr>
      <w:r w:rsidRPr="00FE17E2">
        <w:rPr>
          <w:rFonts w:cstheme="minorHAnsi"/>
          <w:sz w:val="20"/>
          <w:szCs w:val="20"/>
          <w:u w:val="single"/>
          <w:lang w:val="ka-GE"/>
        </w:rPr>
        <w:lastRenderedPageBreak/>
        <w:t>მომზადების მეთოდი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მომხმარებლის მიერ რადიოფარმაცევტული საშუალებების მომზადება უნდა მოხდეს  მეთოდებით, რომლებიც აკმაყოფილებს როგორც რადიაციის უსაფრთხოების, აგრეთვე ფარმაცევტული პროდუქტის ხარისხის მოთხოვნებს. გამოყენებული უნდა იქნას ასეპტიკის შესაბამისი პროცედურები, რომლებიც რადიოფარმაცევტული პროდუქტებისთვის კარგი ფარმაცევტული წარმოების პრაქტიკის მოთხოვნებს აკმაყოფილებს.</w:t>
      </w:r>
    </w:p>
    <w:p w:rsidR="002A0C94" w:rsidRPr="00FE17E2" w:rsidRDefault="002A0C94" w:rsidP="00EC0DBE">
      <w:pPr>
        <w:spacing w:after="0" w:line="240" w:lineRule="auto"/>
        <w:rPr>
          <w:rFonts w:cstheme="minorHAnsi"/>
          <w:sz w:val="20"/>
          <w:szCs w:val="20"/>
          <w:u w:val="single"/>
          <w:lang w:val="ka-GE"/>
        </w:rPr>
      </w:pPr>
      <w:r w:rsidRPr="00FE17E2">
        <w:rPr>
          <w:rFonts w:cstheme="minorHAnsi"/>
          <w:sz w:val="20"/>
          <w:szCs w:val="20"/>
          <w:u w:val="single"/>
          <w:lang w:val="ka-GE"/>
        </w:rPr>
        <w:t xml:space="preserve">მონ.ტეკ </w:t>
      </w:r>
      <w:r w:rsidRPr="00FE17E2">
        <w:rPr>
          <w:rFonts w:cstheme="minorHAnsi"/>
          <w:sz w:val="20"/>
          <w:szCs w:val="20"/>
          <w:u w:val="single"/>
          <w:vertAlign w:val="superscript"/>
          <w:lang w:val="ka-GE"/>
        </w:rPr>
        <w:t>99</w:t>
      </w:r>
      <w:r w:rsidRPr="00FE17E2">
        <w:rPr>
          <w:rFonts w:cstheme="minorHAnsi"/>
          <w:sz w:val="20"/>
          <w:szCs w:val="20"/>
          <w:u w:val="single"/>
          <w:lang w:val="ka-GE"/>
        </w:rPr>
        <w:t xml:space="preserve">Mo / </w:t>
      </w:r>
      <w:r w:rsidRPr="00FE17E2">
        <w:rPr>
          <w:rFonts w:cstheme="minorHAnsi"/>
          <w:sz w:val="20"/>
          <w:szCs w:val="20"/>
          <w:u w:val="single"/>
          <w:vertAlign w:val="superscript"/>
          <w:lang w:val="ka-GE"/>
        </w:rPr>
        <w:t>99m</w:t>
      </w:r>
      <w:r w:rsidRPr="00FE17E2">
        <w:rPr>
          <w:rFonts w:cstheme="minorHAnsi"/>
          <w:sz w:val="20"/>
          <w:szCs w:val="20"/>
          <w:u w:val="single"/>
          <w:lang w:val="ka-GE"/>
        </w:rPr>
        <w:t>Tc გენერატორის გამოყენების (ელუცირების) ინსტრუქციები:</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უსაფრთხო დამუშავება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გენერატორების უსაფრთხოდ აღებისა და ტრანსპორტირებისთვის სიფრთხილის გამოჩენაა საჭირო. ხელით დამუშავების აქტივობებით გამოწვეული დაზიანების რისკის შემცირებისთვის უნდა დაიცვათ ხელით დამუშავების ოპერაციების ადგილობრივი რეგულაციები.</w:t>
      </w:r>
    </w:p>
    <w:p w:rsidR="002A0C94" w:rsidRPr="00FE17E2" w:rsidRDefault="002A0C94" w:rsidP="00EC0DBE">
      <w:pPr>
        <w:spacing w:after="0" w:line="240" w:lineRule="auto"/>
        <w:jc w:val="both"/>
        <w:rPr>
          <w:rFonts w:cstheme="minorHAnsi"/>
          <w:b/>
          <w:sz w:val="20"/>
          <w:szCs w:val="20"/>
          <w:lang w:val="ka-GE"/>
        </w:rPr>
      </w:pPr>
      <w:r w:rsidRPr="00FE17E2">
        <w:rPr>
          <w:rFonts w:cstheme="minorHAnsi"/>
          <w:b/>
          <w:sz w:val="20"/>
          <w:szCs w:val="20"/>
          <w:lang w:val="ka-GE"/>
        </w:rPr>
        <w:t>ელუციის ინსტრუქციები</w:t>
      </w:r>
    </w:p>
    <w:p w:rsidR="002A0C94" w:rsidRPr="00FE17E2" w:rsidRDefault="002A0C94" w:rsidP="00A3219E">
      <w:pPr>
        <w:spacing w:after="0" w:line="240" w:lineRule="auto"/>
        <w:jc w:val="both"/>
        <w:rPr>
          <w:rFonts w:cstheme="minorHAnsi"/>
          <w:sz w:val="20"/>
          <w:szCs w:val="20"/>
          <w:lang w:val="ka-GE"/>
        </w:rPr>
      </w:pPr>
      <w:r w:rsidRPr="00FE17E2">
        <w:rPr>
          <w:rFonts w:cstheme="minorHAnsi"/>
          <w:sz w:val="20"/>
          <w:szCs w:val="20"/>
          <w:lang w:val="ka-GE"/>
        </w:rPr>
        <w:t>ელუცირებისთვის გამოყენებული დაწესებულებები რადიოლოგიური საშუალებების უსაფრთხო დამუშავების შესაბამის რეგულაციებს უნდა აკმაყოფილებდეს. გენერატორის ელუციის პროცესში გენერატორის ელუატის სტერილურობის უზრუნველყოფისთვის მკაცრ ასეპტიურ ტექნიკებს უნდა მიმართოთ.</w:t>
      </w:r>
    </w:p>
    <w:p w:rsidR="002A0C94" w:rsidRPr="00FE17E2" w:rsidRDefault="002A0C94" w:rsidP="00A3219E">
      <w:pPr>
        <w:spacing w:after="0" w:line="240" w:lineRule="auto"/>
        <w:jc w:val="both"/>
        <w:rPr>
          <w:rFonts w:cstheme="minorHAnsi"/>
          <w:sz w:val="20"/>
          <w:szCs w:val="20"/>
          <w:lang w:val="ka-GE"/>
        </w:rPr>
      </w:pPr>
      <w:r w:rsidRPr="00FE17E2">
        <w:rPr>
          <w:rFonts w:cstheme="minorHAnsi"/>
          <w:sz w:val="20"/>
          <w:szCs w:val="20"/>
          <w:lang w:val="ka-GE"/>
        </w:rPr>
        <w:t>არადამაკმაყოფილებელი ეფექტურობის თავიდან აცილებისთვის, მნიშვნელოვანია დაიცვათ ელუციის საფეხურების ქვემოთ მოცემული თანმიმდევრობა.</w:t>
      </w:r>
    </w:p>
    <w:p w:rsidR="00A3219E" w:rsidRDefault="00A3219E" w:rsidP="00EC0DBE">
      <w:pPr>
        <w:spacing w:after="0" w:line="240" w:lineRule="auto"/>
        <w:rPr>
          <w:rFonts w:cstheme="minorHAnsi"/>
          <w:b/>
          <w:sz w:val="20"/>
          <w:szCs w:val="20"/>
          <w:lang w:val="ka-GE"/>
        </w:rPr>
      </w:pPr>
    </w:p>
    <w:p w:rsidR="002A0C94" w:rsidRPr="00FE17E2" w:rsidRDefault="002A0C94" w:rsidP="00EC0DBE">
      <w:pPr>
        <w:spacing w:after="0" w:line="240" w:lineRule="auto"/>
        <w:rPr>
          <w:rFonts w:cstheme="minorHAnsi"/>
          <w:b/>
          <w:sz w:val="20"/>
          <w:szCs w:val="20"/>
          <w:lang w:val="ka-GE"/>
        </w:rPr>
      </w:pPr>
      <w:r w:rsidRPr="00FE17E2">
        <w:rPr>
          <w:rFonts w:cstheme="minorHAnsi"/>
          <w:b/>
          <w:sz w:val="20"/>
          <w:szCs w:val="20"/>
          <w:lang w:val="ka-GE"/>
        </w:rPr>
        <w:t>პირველი ელუცია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გენერატორისგან სტერილური, იზოტონური </w:t>
      </w:r>
      <w:r w:rsidRPr="00FE17E2">
        <w:rPr>
          <w:rFonts w:cstheme="minorHAnsi"/>
          <w:sz w:val="20"/>
          <w:szCs w:val="20"/>
          <w:vertAlign w:val="superscript"/>
          <w:lang w:val="ka-GE"/>
        </w:rPr>
        <w:t>99m</w:t>
      </w:r>
      <w:r w:rsidRPr="00FE17E2">
        <w:rPr>
          <w:rFonts w:cstheme="minorHAnsi"/>
          <w:sz w:val="20"/>
          <w:szCs w:val="20"/>
          <w:lang w:val="ka-GE"/>
        </w:rPr>
        <w:t>Tc პერტექნეტატის ხსნარის მისაღებად, გთხოვთ, ელუციის პროცედურა ჩაატაროთ ქვემოთ აღწერილის შესაბამისად. გენერატორის ელუციის პროცესი ილუსტრირებულია ნახაზში 1, რომლითაც შეგიძლიათ ელუციის პროცესში იხელმძღვანელოთ.</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1.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 და NaCl 0.9% შემცველი ფლაკონები და ევაკუირებული (ცარიელი) ფლაკონები ასეპტიურ პირობებში მზადდება და, შესაბამისად, ხსნარი, რომელიც ელუციის გზით მიიღება, სტერილური, არაპიროგენული და იზოტონური იქნება.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2. თქვენივე უსაფრთხოებისთვის და პროდუქტის უსაფრთხოებისთვის, ელუციის პროცესში დაიცავით ასეპტიური მუშაობის წესები.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3. პროცესის დაწყებამდე გაიკეთეთ ნიღაბი და სტერილური ერთჯერადი ხელთათმანები.</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4. ამოიღეთ გენერატორი და თანმხლები აქსესუარები თავიანთი შეფუთვებიდან. მოათავსეთ გენერატორი სწორ, ჰორიზონტალურ ზედაპირზე, შესაბამისად სანქცირებულ და დაცულ სივრცეში. </w:t>
      </w:r>
      <w:r w:rsidRPr="00FE17E2">
        <w:rPr>
          <w:rFonts w:cstheme="minorHAnsi"/>
          <w:b/>
          <w:sz w:val="20"/>
          <w:szCs w:val="20"/>
          <w:lang w:val="ka-GE"/>
        </w:rPr>
        <w:t xml:space="preserve">არ ამოიღოთ </w:t>
      </w:r>
      <w:r w:rsidRPr="00FE17E2">
        <w:rPr>
          <w:rFonts w:cstheme="minorHAnsi"/>
          <w:sz w:val="20"/>
          <w:szCs w:val="20"/>
          <w:lang w:val="ka-GE"/>
        </w:rPr>
        <w:t xml:space="preserve"> ნემსის დამცავი ფლაკონები სანამ პირველი ელუციის ჩატარებისთვის მზად არ იქნებით.</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5. აიღეთ ნატრიუმის ქლორიდის 9 მგ/მლ (0.9%) საინექციო ხსნარის ფლაკონი, რომელიც ნატრიუმის ქლორიდის 9 მგ/მლ (0.9%) საინექციო ხსნარის საჭირო რაოდენობას შეიცავს.</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6. მოხსენით საცობი ნატრიუმის ქლორიდის 9 მგ/მლ (0.9%) საინექციო ხსნარის ფლაკონს და გაწმინდეთ ნატრიუმის ქლორიდის 9 მგ/მლ (0.9%) საინექციო ხსნარის ფლაკონის სახურავი მოწოდებული  </w:t>
      </w:r>
      <w:r>
        <w:rPr>
          <w:rFonts w:cstheme="minorHAnsi"/>
          <w:sz w:val="20"/>
          <w:szCs w:val="20"/>
          <w:lang w:val="ka-GE"/>
        </w:rPr>
        <w:t>ტამპპონის</w:t>
      </w:r>
      <w:r w:rsidRPr="00FE17E2">
        <w:rPr>
          <w:rFonts w:cstheme="minorHAnsi"/>
          <w:sz w:val="20"/>
          <w:szCs w:val="20"/>
          <w:lang w:val="ka-GE"/>
        </w:rPr>
        <w:t xml:space="preserve"> გამოყენებით</w:t>
      </w:r>
      <w:r>
        <w:rPr>
          <w:rFonts w:cstheme="minorHAnsi"/>
          <w:sz w:val="20"/>
          <w:szCs w:val="20"/>
          <w:lang w:val="ka-GE"/>
        </w:rPr>
        <w:t xml:space="preserve">, რომელიც შეიცავს  </w:t>
      </w:r>
      <w:r w:rsidRPr="00FA1352">
        <w:rPr>
          <w:rFonts w:cstheme="minorHAnsi"/>
          <w:sz w:val="20"/>
          <w:szCs w:val="20"/>
          <w:lang w:val="ka-GE"/>
        </w:rPr>
        <w:t xml:space="preserve">70%-იან </w:t>
      </w:r>
      <w:r>
        <w:rPr>
          <w:rFonts w:cstheme="minorHAnsi"/>
          <w:sz w:val="20"/>
          <w:szCs w:val="20"/>
          <w:lang w:val="ka-GE"/>
        </w:rPr>
        <w:t>იზოპროპილის სპირტს</w:t>
      </w:r>
      <w:r w:rsidRPr="00FE17E2">
        <w:rPr>
          <w:rFonts w:cstheme="minorHAnsi"/>
          <w:sz w:val="20"/>
          <w:szCs w:val="20"/>
          <w:lang w:val="ka-GE"/>
        </w:rPr>
        <w:t xml:space="preserve"> და აცადეთ გაშრობა.</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7. მოხსენით გენერატორს თავსახური და ამოიღეთ ფლაკონები, რომლებიც ნემსს იცავს</w:t>
      </w:r>
      <w:r>
        <w:rPr>
          <w:rFonts w:cstheme="minorHAnsi"/>
          <w:sz w:val="20"/>
          <w:szCs w:val="20"/>
          <w:lang w:val="ka-GE"/>
        </w:rPr>
        <w:t xml:space="preserve"> (სურათი 1, პოზიცია </w:t>
      </w:r>
      <w:r w:rsidRPr="00CB7DE9">
        <w:rPr>
          <w:rFonts w:cstheme="minorHAnsi"/>
          <w:sz w:val="20"/>
          <w:szCs w:val="20"/>
          <w:lang w:val="ka-GE"/>
        </w:rPr>
        <w:t>A)</w:t>
      </w:r>
      <w:r w:rsidRPr="00FE17E2">
        <w:rPr>
          <w:rFonts w:cstheme="minorHAnsi"/>
          <w:sz w:val="20"/>
          <w:szCs w:val="20"/>
          <w:lang w:val="ka-GE"/>
        </w:rPr>
        <w:t>.</w:t>
      </w:r>
    </w:p>
    <w:p w:rsidR="002A0C94" w:rsidRPr="00035C9D" w:rsidRDefault="002A0C94" w:rsidP="00EC0DBE">
      <w:pPr>
        <w:spacing w:line="240" w:lineRule="auto"/>
        <w:jc w:val="both"/>
        <w:rPr>
          <w:rFonts w:cstheme="minorHAnsi"/>
          <w:sz w:val="20"/>
          <w:szCs w:val="20"/>
          <w:lang w:val="ka-GE"/>
        </w:rPr>
      </w:pPr>
      <w:r w:rsidRPr="00FE17E2">
        <w:rPr>
          <w:rFonts w:cstheme="minorHAnsi"/>
          <w:sz w:val="20"/>
          <w:szCs w:val="20"/>
          <w:lang w:val="ka-GE"/>
        </w:rPr>
        <w:t>8. მოათავსეთ ნატრიუმის ქლორიდის 9 მგ/მლ საინექციო ხსნარის ფლაკონი ამ ნემსზე (ნახ. 1, პოზიცია A), და დარწმუნდით რომ ის სრულად არის მიბჯენილი ჩასადები ბუდის ძირზე.</w:t>
      </w:r>
    </w:p>
    <w:p w:rsidR="002A0C94" w:rsidRPr="00FE17E2" w:rsidRDefault="002A0C94" w:rsidP="00EC0DBE">
      <w:pPr>
        <w:spacing w:line="240" w:lineRule="auto"/>
        <w:jc w:val="both"/>
        <w:rPr>
          <w:rFonts w:cstheme="minorHAnsi"/>
          <w:sz w:val="20"/>
          <w:szCs w:val="20"/>
          <w:lang w:val="ka-GE"/>
        </w:rPr>
      </w:pPr>
      <w:r w:rsidRPr="00FE17E2">
        <w:rPr>
          <w:rFonts w:cstheme="minorHAnsi"/>
          <w:sz w:val="20"/>
          <w:szCs w:val="20"/>
          <w:lang w:val="ka-GE"/>
        </w:rPr>
        <w:t xml:space="preserve">9. აიღეთ ევაკუირებული (ცარიელი) საელუციო ფლაკონი და გაწმინდეთ საელუციო ფლაკონის სახურავი მოწოდებული </w:t>
      </w:r>
      <w:r>
        <w:rPr>
          <w:rFonts w:cstheme="minorHAnsi"/>
          <w:sz w:val="20"/>
          <w:szCs w:val="20"/>
          <w:lang w:val="ka-GE"/>
        </w:rPr>
        <w:t xml:space="preserve">ტამპონის </w:t>
      </w:r>
      <w:r w:rsidRPr="00FE17E2">
        <w:rPr>
          <w:rFonts w:cstheme="minorHAnsi"/>
          <w:sz w:val="20"/>
          <w:szCs w:val="20"/>
          <w:lang w:val="ka-GE"/>
        </w:rPr>
        <w:t>გამოყენებით</w:t>
      </w:r>
      <w:r>
        <w:rPr>
          <w:rFonts w:cstheme="minorHAnsi"/>
          <w:sz w:val="20"/>
          <w:szCs w:val="20"/>
          <w:lang w:val="ka-GE"/>
        </w:rPr>
        <w:t xml:space="preserve">, რომელიც შეიცავს  </w:t>
      </w:r>
      <w:r w:rsidRPr="00FA1352">
        <w:rPr>
          <w:rFonts w:cstheme="minorHAnsi"/>
          <w:sz w:val="20"/>
          <w:szCs w:val="20"/>
          <w:lang w:val="ka-GE"/>
        </w:rPr>
        <w:t xml:space="preserve">70%-იან </w:t>
      </w:r>
      <w:r>
        <w:rPr>
          <w:rFonts w:cstheme="minorHAnsi"/>
          <w:sz w:val="20"/>
          <w:szCs w:val="20"/>
          <w:lang w:val="ka-GE"/>
        </w:rPr>
        <w:t>იზოპროპილის სპირტს</w:t>
      </w:r>
      <w:r w:rsidRPr="00FE17E2">
        <w:rPr>
          <w:rFonts w:cstheme="minorHAnsi"/>
          <w:sz w:val="20"/>
          <w:szCs w:val="20"/>
          <w:lang w:val="ka-GE"/>
        </w:rPr>
        <w:t xml:space="preserve">  და აცადეთ გაშრობა. საელუციო ფლაკონის დამცავის შიგნით საელუციო ფლაკონის მოთავსებამდე აგრეთვე გაწმინდეთ დამცავის ფლაკონთან საკონტაქტო ზედაპირები მოწოდებული </w:t>
      </w:r>
      <w:r>
        <w:rPr>
          <w:rFonts w:cstheme="minorHAnsi"/>
          <w:sz w:val="20"/>
          <w:szCs w:val="20"/>
          <w:lang w:val="ka-GE"/>
        </w:rPr>
        <w:t>ტამპონის</w:t>
      </w:r>
      <w:r w:rsidRPr="00FE17E2">
        <w:rPr>
          <w:rFonts w:cstheme="minorHAnsi"/>
          <w:sz w:val="20"/>
          <w:szCs w:val="20"/>
          <w:lang w:val="ka-GE"/>
        </w:rPr>
        <w:t xml:space="preserve"> გამოყენებით</w:t>
      </w:r>
      <w:r>
        <w:rPr>
          <w:rFonts w:cstheme="minorHAnsi"/>
          <w:sz w:val="20"/>
          <w:szCs w:val="20"/>
          <w:lang w:val="ka-GE"/>
        </w:rPr>
        <w:t xml:space="preserve">, რომელიც შეიცავს  </w:t>
      </w:r>
      <w:r w:rsidRPr="00FA1352">
        <w:rPr>
          <w:rFonts w:cstheme="minorHAnsi"/>
          <w:sz w:val="20"/>
          <w:szCs w:val="20"/>
          <w:lang w:val="ka-GE"/>
        </w:rPr>
        <w:t xml:space="preserve">70%-იან </w:t>
      </w:r>
      <w:r>
        <w:rPr>
          <w:rFonts w:cstheme="minorHAnsi"/>
          <w:sz w:val="20"/>
          <w:szCs w:val="20"/>
          <w:lang w:val="ka-GE"/>
        </w:rPr>
        <w:t>იზოპროპილის სპირტს, და აცადეთ გაშრობა. შემდეგ, მოათავსეთ საელუციო ფლაკონი საელუციო ფლაკონის დამცავი ფარის შიგნით</w:t>
      </w:r>
      <w:r w:rsidRPr="00FE17E2">
        <w:rPr>
          <w:rFonts w:cstheme="minorHAnsi"/>
          <w:sz w:val="20"/>
          <w:szCs w:val="20"/>
          <w:lang w:val="ka-GE"/>
        </w:rPr>
        <w:t xml:space="preserve">. </w:t>
      </w:r>
    </w:p>
    <w:p w:rsidR="002A0C94" w:rsidRPr="00FE17E2" w:rsidRDefault="002A0C94" w:rsidP="00A3219E">
      <w:pPr>
        <w:spacing w:line="240" w:lineRule="auto"/>
        <w:jc w:val="both"/>
        <w:rPr>
          <w:rFonts w:cstheme="minorHAnsi"/>
          <w:sz w:val="20"/>
          <w:szCs w:val="20"/>
          <w:lang w:val="ka-GE"/>
        </w:rPr>
      </w:pPr>
      <w:r w:rsidRPr="00FE17E2">
        <w:rPr>
          <w:rFonts w:cstheme="minorHAnsi"/>
          <w:sz w:val="20"/>
          <w:szCs w:val="20"/>
          <w:lang w:val="ka-GE"/>
        </w:rPr>
        <w:t xml:space="preserve">10. მოათავსეთ ნემსზე მომზადებული დამცავი, რომელიც საელუციო ფლაკონს შეიცავს  (ნახ. 1, პოზიცია B). გთხოვთ, დარწმუნდეთ, რომ საელუციო ფლაკონის დამცავის ნემსის ნახვრეტი </w:t>
      </w:r>
      <w:r>
        <w:rPr>
          <w:rFonts w:cstheme="minorHAnsi"/>
          <w:sz w:val="20"/>
          <w:szCs w:val="20"/>
          <w:lang w:val="ka-GE"/>
        </w:rPr>
        <w:t>დგუშს</w:t>
      </w:r>
      <w:r w:rsidRPr="00FE17E2">
        <w:rPr>
          <w:rFonts w:cstheme="minorHAnsi"/>
          <w:sz w:val="20"/>
          <w:szCs w:val="20"/>
          <w:lang w:val="ka-GE"/>
        </w:rPr>
        <w:t xml:space="preserve"> ერგება.</w:t>
      </w:r>
      <w:r>
        <w:rPr>
          <w:rFonts w:cstheme="minorHAnsi"/>
          <w:sz w:val="20"/>
          <w:szCs w:val="20"/>
          <w:lang w:val="ka-GE"/>
        </w:rPr>
        <w:t xml:space="preserve"> </w:t>
      </w:r>
      <w:r w:rsidRPr="00153C03">
        <w:rPr>
          <w:rFonts w:cstheme="minorHAnsi"/>
          <w:sz w:val="20"/>
          <w:szCs w:val="20"/>
          <w:lang w:val="ka-GE"/>
        </w:rPr>
        <w:t>დგუში წარმოადგენს უმოძრაო ზამბაროვან სისტემას. იგი გამოიყენება ნემსის დაცვის მიზნით</w:t>
      </w:r>
      <w:r>
        <w:rPr>
          <w:rFonts w:cstheme="minorHAnsi"/>
          <w:sz w:val="20"/>
          <w:szCs w:val="20"/>
          <w:lang w:val="ka-GE"/>
        </w:rPr>
        <w:t>.</w:t>
      </w:r>
      <w:r w:rsidRPr="00FE17E2">
        <w:rPr>
          <w:rFonts w:cstheme="minorHAnsi"/>
          <w:sz w:val="20"/>
          <w:szCs w:val="20"/>
          <w:lang w:val="ka-GE"/>
        </w:rPr>
        <w:t xml:space="preserve"> სხვა შემთხვევაში, ნემსი შესაძლოა დაზიანდეს ან გატყდეს. დააწექით დამცავს, რათა</w:t>
      </w:r>
      <w:r>
        <w:rPr>
          <w:rFonts w:cstheme="minorHAnsi"/>
          <w:sz w:val="20"/>
          <w:szCs w:val="20"/>
          <w:lang w:val="ka-GE"/>
        </w:rPr>
        <w:t xml:space="preserve"> დარწმუნდეთ, </w:t>
      </w:r>
      <w:r>
        <w:rPr>
          <w:rFonts w:cstheme="minorHAnsi"/>
          <w:sz w:val="20"/>
          <w:szCs w:val="20"/>
          <w:lang w:val="ka-GE"/>
        </w:rPr>
        <w:lastRenderedPageBreak/>
        <w:t xml:space="preserve">რომ </w:t>
      </w:r>
      <w:r w:rsidRPr="00FE17E2">
        <w:rPr>
          <w:rFonts w:cstheme="minorHAnsi"/>
          <w:sz w:val="20"/>
          <w:szCs w:val="20"/>
          <w:lang w:val="ka-GE"/>
        </w:rPr>
        <w:t xml:space="preserve"> </w:t>
      </w:r>
      <w:r w:rsidRPr="00363299">
        <w:rPr>
          <w:rFonts w:cstheme="minorHAnsi"/>
          <w:sz w:val="20"/>
          <w:szCs w:val="20"/>
          <w:lang w:val="ka-GE"/>
        </w:rPr>
        <w:t xml:space="preserve">ელუციის ფლაკონის ფარი ჩაკეტილია დგუშზე და </w:t>
      </w:r>
      <w:r w:rsidRPr="00FE17E2">
        <w:rPr>
          <w:rFonts w:cstheme="minorHAnsi"/>
          <w:sz w:val="20"/>
          <w:szCs w:val="20"/>
          <w:lang w:val="ka-GE"/>
        </w:rPr>
        <w:t>ფლაკონი სრულად მოთავს</w:t>
      </w:r>
      <w:r>
        <w:rPr>
          <w:rFonts w:cstheme="minorHAnsi"/>
          <w:sz w:val="20"/>
          <w:szCs w:val="20"/>
          <w:lang w:val="ka-GE"/>
        </w:rPr>
        <w:t>ებულია</w:t>
      </w:r>
      <w:r w:rsidRPr="00FE17E2">
        <w:rPr>
          <w:rFonts w:cstheme="minorHAnsi"/>
          <w:sz w:val="20"/>
          <w:szCs w:val="20"/>
          <w:lang w:val="ka-GE"/>
        </w:rPr>
        <w:t xml:space="preserve"> საელუციო ნემსზე.</w:t>
      </w:r>
    </w:p>
    <w:p w:rsidR="002A0C94" w:rsidRPr="00FE17E2" w:rsidRDefault="002A0C94" w:rsidP="00A3219E">
      <w:pPr>
        <w:spacing w:line="240" w:lineRule="auto"/>
        <w:jc w:val="both"/>
        <w:rPr>
          <w:rFonts w:cstheme="minorHAnsi"/>
          <w:sz w:val="20"/>
          <w:szCs w:val="20"/>
          <w:lang w:val="ka-GE"/>
        </w:rPr>
      </w:pPr>
      <w:r w:rsidRPr="00FE17E2">
        <w:rPr>
          <w:rFonts w:cstheme="minorHAnsi"/>
          <w:sz w:val="20"/>
          <w:szCs w:val="20"/>
          <w:lang w:val="ka-GE"/>
        </w:rPr>
        <w:t xml:space="preserve">11. </w:t>
      </w:r>
      <w:r>
        <w:rPr>
          <w:rFonts w:cstheme="minorHAnsi"/>
          <w:sz w:val="20"/>
          <w:szCs w:val="20"/>
          <w:lang w:val="ka-GE"/>
        </w:rPr>
        <w:t xml:space="preserve"> </w:t>
      </w:r>
      <w:r w:rsidRPr="000F1D1A">
        <w:rPr>
          <w:rFonts w:cstheme="minorHAnsi"/>
          <w:sz w:val="20"/>
          <w:szCs w:val="20"/>
          <w:lang w:val="ka-GE"/>
        </w:rPr>
        <w:t>გენერატორიდან ელუცია იწყება მაშინ, როდესაც ელუციის ფლაკონის ფარი ბოლომდე ჩაიწევა შესასვლელში</w:t>
      </w:r>
      <w:r>
        <w:rPr>
          <w:rFonts w:cstheme="minorHAnsi"/>
          <w:sz w:val="20"/>
          <w:szCs w:val="20"/>
          <w:lang w:val="ka-GE"/>
        </w:rPr>
        <w:t xml:space="preserve">  </w:t>
      </w:r>
      <w:r w:rsidRPr="00FE17E2">
        <w:rPr>
          <w:rFonts w:cstheme="minorHAnsi"/>
          <w:sz w:val="20"/>
          <w:szCs w:val="20"/>
          <w:lang w:val="ka-GE"/>
        </w:rPr>
        <w:t>და პერტექნეტატის ხსნარი ევაკუირებულ ფლაკონში გროვდება. ნატრიუმის ქლორიდის 9 მგ/მლ (0.9%) საინექციო ხსნარის შუშაში შესაძლოა ჰაერის ბუშტები წარმოიქმნას და ამ შუშაში ხსნარის დონე დაიწევს.</w:t>
      </w:r>
    </w:p>
    <w:p w:rsidR="002A0C94" w:rsidRPr="00FE17E2" w:rsidRDefault="002A0C94" w:rsidP="00A3219E">
      <w:pPr>
        <w:spacing w:line="240" w:lineRule="auto"/>
        <w:jc w:val="both"/>
        <w:rPr>
          <w:rFonts w:cstheme="minorHAnsi"/>
          <w:sz w:val="20"/>
          <w:szCs w:val="20"/>
          <w:lang w:val="ka-GE"/>
        </w:rPr>
      </w:pPr>
      <w:r w:rsidRPr="00FE17E2">
        <w:rPr>
          <w:rFonts w:cstheme="minorHAnsi"/>
          <w:sz w:val="20"/>
          <w:szCs w:val="20"/>
          <w:lang w:val="ka-GE"/>
        </w:rPr>
        <w:t>12. დაიცადეთ მინიმუმ 3 წუთი</w:t>
      </w:r>
      <w:r w:rsidRPr="00FE17E2">
        <w:rPr>
          <w:rFonts w:cstheme="minorHAnsi"/>
          <w:sz w:val="20"/>
          <w:szCs w:val="20"/>
          <w:lang w:val="en-GB"/>
        </w:rPr>
        <w:t xml:space="preserve"> </w:t>
      </w:r>
      <w:r w:rsidRPr="00FE17E2">
        <w:rPr>
          <w:rFonts w:cstheme="minorHAnsi"/>
          <w:sz w:val="20"/>
          <w:szCs w:val="20"/>
          <w:lang w:val="ka-GE"/>
        </w:rPr>
        <w:t xml:space="preserve">ელუციის პროცესის დასრულებამდე. </w:t>
      </w:r>
      <w:r w:rsidRPr="00FE17E2">
        <w:rPr>
          <w:rFonts w:cstheme="minorHAnsi"/>
          <w:b/>
          <w:sz w:val="20"/>
          <w:szCs w:val="20"/>
          <w:lang w:val="ka-GE"/>
        </w:rPr>
        <w:t>არ ამოიღოთ ნატრიუმის ქლორიდის 9 მგ/მლ (0.9%) საინექციო ხსნარის ფლაკონი ან საელუციო ფლაკონი ელუციის პროცესის დასრულებამდე.</w:t>
      </w:r>
    </w:p>
    <w:p w:rsidR="002A0C94" w:rsidRPr="00FE17E2" w:rsidRDefault="002A0C94" w:rsidP="00A3219E">
      <w:pPr>
        <w:spacing w:line="240" w:lineRule="auto"/>
        <w:jc w:val="both"/>
        <w:rPr>
          <w:rFonts w:cstheme="minorHAnsi"/>
          <w:sz w:val="20"/>
          <w:szCs w:val="20"/>
          <w:lang w:val="ka-GE"/>
        </w:rPr>
      </w:pPr>
      <w:r w:rsidRPr="00FE17E2">
        <w:rPr>
          <w:rFonts w:cstheme="minorHAnsi"/>
          <w:sz w:val="20"/>
          <w:szCs w:val="20"/>
          <w:lang w:val="ka-GE"/>
        </w:rPr>
        <w:t>1</w:t>
      </w:r>
      <w:r>
        <w:rPr>
          <w:rFonts w:cstheme="minorHAnsi"/>
          <w:sz w:val="20"/>
          <w:szCs w:val="20"/>
          <w:lang w:val="ka-GE"/>
        </w:rPr>
        <w:t>3</w:t>
      </w:r>
      <w:r w:rsidRPr="00FE17E2">
        <w:rPr>
          <w:rFonts w:cstheme="minorHAnsi"/>
          <w:sz w:val="20"/>
          <w:szCs w:val="20"/>
          <w:lang w:val="ka-GE"/>
        </w:rPr>
        <w:t xml:space="preserve">. </w:t>
      </w:r>
      <w:r w:rsidRPr="00013B70">
        <w:rPr>
          <w:rFonts w:cstheme="minorHAnsi"/>
          <w:sz w:val="20"/>
          <w:szCs w:val="20"/>
          <w:lang w:val="ka-GE"/>
        </w:rPr>
        <w:t xml:space="preserve">ელუციის დასრულების შემდეგ, ვერტიკალურად ზემოთ ასწიეთ ელუციის ფლაკონის ფარი. შესაძლოა იგრძნოთ წინააღმდეგობა, სანამ ელუციის ფლაკონის ფარი დგუშს მოსცილდება, განაგრძეთ ელუციის ფლაკონის ფარის ვერტიკალურად ზემოთ აწევა წინააღმდეგობის დასაძლევად და დგუშისგან მოსაცილებლად. </w:t>
      </w:r>
      <w:r w:rsidRPr="00FE17E2">
        <w:rPr>
          <w:rFonts w:cstheme="minorHAnsi"/>
          <w:sz w:val="20"/>
          <w:szCs w:val="20"/>
          <w:lang w:val="ka-GE"/>
        </w:rPr>
        <w:t>ტყვიის დამცავზე მოათავსეთ ეტიკეტი, რომელზეც დატანილია ელუციის აქტივობა, ხსნარის მოცულობა და ელუციის დრო.</w:t>
      </w:r>
    </w:p>
    <w:p w:rsidR="002A0C94" w:rsidRPr="00FE17E2" w:rsidRDefault="002A0C94" w:rsidP="00A3219E">
      <w:pPr>
        <w:spacing w:line="240" w:lineRule="auto"/>
        <w:jc w:val="both"/>
        <w:rPr>
          <w:rFonts w:cstheme="minorHAnsi"/>
          <w:sz w:val="20"/>
          <w:szCs w:val="20"/>
          <w:lang w:val="ka-GE"/>
        </w:rPr>
      </w:pPr>
      <w:r w:rsidRPr="00FE17E2">
        <w:rPr>
          <w:rFonts w:cstheme="minorHAnsi"/>
          <w:sz w:val="20"/>
          <w:szCs w:val="20"/>
          <w:lang w:val="ka-GE"/>
        </w:rPr>
        <w:t>1</w:t>
      </w:r>
      <w:r>
        <w:rPr>
          <w:rFonts w:cstheme="minorHAnsi"/>
          <w:sz w:val="20"/>
          <w:szCs w:val="20"/>
          <w:lang w:val="ka-GE"/>
        </w:rPr>
        <w:t>4</w:t>
      </w:r>
      <w:r w:rsidRPr="00FE17E2">
        <w:rPr>
          <w:rFonts w:cstheme="minorHAnsi"/>
          <w:sz w:val="20"/>
          <w:szCs w:val="20"/>
          <w:lang w:val="ka-GE"/>
        </w:rPr>
        <w:t>. დატოვეთ ნატრიუმის ქლორიდის 9 მგ/მლ (0.9%) საინექციო ხსნარის ცარიელი ფლაკონი ადგილზე შემდეგ ელუციამდე სტერილობის შენარჩუნებისთვის.</w:t>
      </w:r>
    </w:p>
    <w:p w:rsidR="002A0C94" w:rsidRPr="00FE17E2" w:rsidRDefault="002A0C94" w:rsidP="00A3219E">
      <w:pPr>
        <w:spacing w:after="0" w:line="240" w:lineRule="auto"/>
        <w:jc w:val="both"/>
        <w:rPr>
          <w:rFonts w:cstheme="minorHAnsi"/>
          <w:b/>
          <w:sz w:val="20"/>
          <w:szCs w:val="20"/>
          <w:lang w:val="ka-GE"/>
        </w:rPr>
      </w:pPr>
      <w:r w:rsidRPr="00FE17E2">
        <w:rPr>
          <w:rFonts w:cstheme="minorHAnsi"/>
          <w:b/>
          <w:sz w:val="20"/>
          <w:szCs w:val="20"/>
          <w:lang w:val="ka-GE"/>
        </w:rPr>
        <w:t>შემდეგი ელუცია</w:t>
      </w:r>
    </w:p>
    <w:p w:rsidR="002A0C94" w:rsidRPr="00FE17E2" w:rsidRDefault="002A0C94" w:rsidP="00A3219E">
      <w:pPr>
        <w:spacing w:line="240" w:lineRule="auto"/>
        <w:jc w:val="both"/>
        <w:rPr>
          <w:rFonts w:cstheme="minorHAnsi"/>
          <w:sz w:val="20"/>
          <w:szCs w:val="20"/>
          <w:lang w:val="ka-GE"/>
        </w:rPr>
      </w:pPr>
      <w:r w:rsidRPr="00FE17E2">
        <w:rPr>
          <w:rFonts w:cstheme="minorHAnsi"/>
          <w:sz w:val="20"/>
          <w:szCs w:val="20"/>
          <w:lang w:val="ka-GE"/>
        </w:rPr>
        <w:t>შესაბამისი მოცულობის ნატრიუმის ქლორიდის 9 მგ/მლ (0.9%) საინექციო ხსნარის შემცველი ახალი დეზინფექცირებული ფლაკონის და საელუციო ფლაკონის გამოყენებით გაიმეორეთ საფეხურები 1-1</w:t>
      </w:r>
      <w:r>
        <w:rPr>
          <w:rFonts w:cstheme="minorHAnsi"/>
          <w:sz w:val="20"/>
          <w:szCs w:val="20"/>
          <w:lang w:val="ka-GE"/>
        </w:rPr>
        <w:t>4</w:t>
      </w:r>
      <w:r w:rsidRPr="00FE17E2">
        <w:rPr>
          <w:rFonts w:cstheme="minorHAnsi"/>
          <w:sz w:val="20"/>
          <w:szCs w:val="20"/>
          <w:lang w:val="ka-GE"/>
        </w:rPr>
        <w:t>.</w:t>
      </w:r>
    </w:p>
    <w:p w:rsidR="002A0C94" w:rsidRPr="00FE17E2" w:rsidRDefault="002A0C94" w:rsidP="00A3219E">
      <w:pPr>
        <w:spacing w:line="240" w:lineRule="auto"/>
        <w:jc w:val="both"/>
        <w:rPr>
          <w:rFonts w:cstheme="minorHAnsi"/>
          <w:sz w:val="20"/>
          <w:szCs w:val="20"/>
          <w:lang w:val="en-GB"/>
        </w:rPr>
      </w:pPr>
      <w:r w:rsidRPr="00FE17E2">
        <w:rPr>
          <w:rFonts w:cstheme="minorHAnsi"/>
          <w:sz w:val="20"/>
          <w:szCs w:val="20"/>
          <w:vertAlign w:val="superscript"/>
          <w:lang w:val="ka-GE"/>
        </w:rPr>
        <w:t>99m</w:t>
      </w:r>
      <w:r w:rsidRPr="00FE17E2">
        <w:rPr>
          <w:rFonts w:cstheme="minorHAnsi"/>
          <w:sz w:val="20"/>
          <w:szCs w:val="20"/>
          <w:lang w:val="ka-GE"/>
        </w:rPr>
        <w:t>Tc ნატრიუმის პერტექნეტატს გენერატორიდან შესაბამისი რაოდენობით იღებენ პროცედურის თანახმად და პაციენტებში ინტრავენური ინექციის ან თვალში ჩაწვეთების გზით შეჰყავთ და ტარდება სცინტიგრაფია.</w:t>
      </w:r>
    </w:p>
    <w:p w:rsidR="002A0C94" w:rsidRPr="00FE17E2" w:rsidRDefault="002A0C94" w:rsidP="00A3219E">
      <w:pPr>
        <w:spacing w:line="240" w:lineRule="auto"/>
        <w:jc w:val="both"/>
        <w:rPr>
          <w:rFonts w:cstheme="minorHAnsi"/>
          <w:sz w:val="20"/>
          <w:szCs w:val="20"/>
          <w:lang w:val="ka-GE"/>
        </w:rPr>
      </w:pPr>
      <w:r w:rsidRPr="00FE17E2">
        <w:rPr>
          <w:rFonts w:cstheme="minorHAnsi"/>
          <w:sz w:val="20"/>
          <w:szCs w:val="20"/>
          <w:lang w:val="ka-GE"/>
        </w:rPr>
        <w:t xml:space="preserve">პაციენტის დოზა იანგარიშება ცხრილში </w:t>
      </w:r>
      <w:r w:rsidR="007A5DE1">
        <w:rPr>
          <w:rFonts w:cstheme="minorHAnsi"/>
          <w:sz w:val="20"/>
          <w:szCs w:val="20"/>
          <w:lang w:val="ka-GE"/>
        </w:rPr>
        <w:t>3</w:t>
      </w:r>
      <w:r w:rsidRPr="00FE17E2">
        <w:rPr>
          <w:rFonts w:cstheme="minorHAnsi"/>
          <w:sz w:val="20"/>
          <w:szCs w:val="20"/>
          <w:lang w:val="ka-GE"/>
        </w:rPr>
        <w:t xml:space="preserve"> და ცხრილში</w:t>
      </w:r>
      <w:r w:rsidR="007A5DE1">
        <w:rPr>
          <w:rFonts w:cstheme="minorHAnsi"/>
          <w:sz w:val="20"/>
          <w:szCs w:val="20"/>
          <w:lang w:val="ka-GE"/>
        </w:rPr>
        <w:t xml:space="preserve"> 4</w:t>
      </w:r>
      <w:r w:rsidRPr="00FE17E2">
        <w:rPr>
          <w:rFonts w:cstheme="minorHAnsi"/>
          <w:sz w:val="20"/>
          <w:szCs w:val="20"/>
          <w:lang w:val="ka-GE"/>
        </w:rPr>
        <w:t xml:space="preserve"> მოცემული კოეფიციენტების გამოყენებით და პაციენტისთვის მიწოდებამდე იზომება რადიოაქტიურობის მაჩვენებელი.</w:t>
      </w:r>
    </w:p>
    <w:p w:rsidR="00A3219E" w:rsidRDefault="002A0C94" w:rsidP="00A3219E">
      <w:pPr>
        <w:spacing w:line="240" w:lineRule="auto"/>
        <w:jc w:val="both"/>
        <w:rPr>
          <w:rFonts w:cstheme="minorHAnsi"/>
          <w:sz w:val="20"/>
          <w:szCs w:val="20"/>
          <w:lang w:val="ka-GE"/>
        </w:rPr>
      </w:pPr>
      <w:r w:rsidRPr="00FE17E2">
        <w:rPr>
          <w:rFonts w:cstheme="minorHAnsi"/>
          <w:sz w:val="20"/>
          <w:szCs w:val="20"/>
          <w:lang w:val="ka-GE"/>
        </w:rPr>
        <w:t xml:space="preserve">პარენტერალურად მისაღები ყველა პრეპარატის ანალოგიურად, შეამოწმეთ </w:t>
      </w:r>
      <w:r w:rsidRPr="00FE17E2">
        <w:rPr>
          <w:rFonts w:cstheme="minorHAnsi"/>
          <w:sz w:val="20"/>
          <w:szCs w:val="20"/>
          <w:vertAlign w:val="superscript"/>
          <w:lang w:val="ka-GE"/>
        </w:rPr>
        <w:t>99m</w:t>
      </w:r>
      <w:r w:rsidRPr="00FE17E2">
        <w:rPr>
          <w:rFonts w:cstheme="minorHAnsi"/>
          <w:sz w:val="20"/>
          <w:szCs w:val="20"/>
          <w:lang w:val="ka-GE"/>
        </w:rPr>
        <w:t>Tc ნატრიუმის პერტექნეტატის ხსნარი ფიზიკურად პაციენტისთვის მიწოდებამდე. არ შეუყვანოთ პაციენტს ფერშეცვლილი ან ნაწილაკების შემცვლელი ხსნარი.</w:t>
      </w:r>
    </w:p>
    <w:p w:rsidR="002A0C94" w:rsidRPr="00FE17E2" w:rsidRDefault="002A0C94" w:rsidP="00A3219E">
      <w:pPr>
        <w:spacing w:line="240" w:lineRule="auto"/>
        <w:jc w:val="center"/>
        <w:rPr>
          <w:rFonts w:cstheme="minorHAnsi"/>
          <w:sz w:val="20"/>
          <w:szCs w:val="20"/>
          <w:lang w:val="ka-GE"/>
        </w:rPr>
      </w:pPr>
      <w:r w:rsidRPr="00FE17E2">
        <w:rPr>
          <w:rFonts w:cstheme="minorHAnsi"/>
          <w:noProof/>
          <w:sz w:val="20"/>
          <w:szCs w:val="20"/>
          <w:lang w:val="ru-RU" w:eastAsia="ru-RU"/>
        </w:rPr>
        <w:drawing>
          <wp:inline distT="0" distB="0" distL="0" distR="0" wp14:anchorId="6FD0E678" wp14:editId="3C268201">
            <wp:extent cx="2334638" cy="3135823"/>
            <wp:effectExtent l="0" t="0" r="889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ution.jpg"/>
                    <pic:cNvPicPr/>
                  </pic:nvPicPr>
                  <pic:blipFill>
                    <a:blip r:embed="rId7">
                      <a:extLst>
                        <a:ext uri="{28A0092B-C50C-407E-A947-70E740481C1C}">
                          <a14:useLocalDpi xmlns:a14="http://schemas.microsoft.com/office/drawing/2010/main" val="0"/>
                        </a:ext>
                      </a:extLst>
                    </a:blip>
                    <a:stretch>
                      <a:fillRect/>
                    </a:stretch>
                  </pic:blipFill>
                  <pic:spPr>
                    <a:xfrm>
                      <a:off x="0" y="0"/>
                      <a:ext cx="2338276" cy="3140709"/>
                    </a:xfrm>
                    <a:prstGeom prst="rect">
                      <a:avLst/>
                    </a:prstGeom>
                  </pic:spPr>
                </pic:pic>
              </a:graphicData>
            </a:graphic>
          </wp:inline>
        </w:drawing>
      </w:r>
    </w:p>
    <w:p w:rsidR="002A0C94" w:rsidRPr="00FE17E2" w:rsidRDefault="002A0C94" w:rsidP="002A0C94">
      <w:pPr>
        <w:jc w:val="center"/>
        <w:rPr>
          <w:rFonts w:cstheme="minorHAnsi"/>
          <w:sz w:val="20"/>
          <w:szCs w:val="20"/>
          <w:lang w:val="ka-GE"/>
        </w:rPr>
      </w:pPr>
      <w:r w:rsidRPr="00FE17E2">
        <w:rPr>
          <w:rFonts w:cstheme="minorHAnsi"/>
          <w:sz w:val="20"/>
          <w:szCs w:val="20"/>
          <w:lang w:val="ka-GE"/>
        </w:rPr>
        <w:t xml:space="preserve">ნახაზი 1 - მონ.ტეკ </w:t>
      </w:r>
      <w:r w:rsidRPr="00FE17E2">
        <w:rPr>
          <w:rFonts w:cstheme="minorHAnsi"/>
          <w:sz w:val="20"/>
          <w:szCs w:val="20"/>
          <w:vertAlign w:val="superscript"/>
          <w:lang w:val="ka-GE"/>
        </w:rPr>
        <w:t>99</w:t>
      </w:r>
      <w:r w:rsidRPr="00FE17E2">
        <w:rPr>
          <w:rFonts w:cstheme="minorHAnsi"/>
          <w:sz w:val="20"/>
          <w:szCs w:val="20"/>
          <w:lang w:val="ka-GE"/>
        </w:rPr>
        <w:t xml:space="preserve">Mo / </w:t>
      </w:r>
      <w:r w:rsidRPr="00FE17E2">
        <w:rPr>
          <w:rFonts w:cstheme="minorHAnsi"/>
          <w:sz w:val="20"/>
          <w:szCs w:val="20"/>
          <w:vertAlign w:val="superscript"/>
          <w:lang w:val="ka-GE"/>
        </w:rPr>
        <w:t>99m</w:t>
      </w:r>
      <w:r w:rsidRPr="00FE17E2">
        <w:rPr>
          <w:rFonts w:cstheme="minorHAnsi"/>
          <w:sz w:val="20"/>
          <w:szCs w:val="20"/>
          <w:lang w:val="ka-GE"/>
        </w:rPr>
        <w:t>Tc გენერატორის ელუციის დიაგრამა</w:t>
      </w:r>
    </w:p>
    <w:p w:rsidR="002A0C94" w:rsidRPr="00FE17E2" w:rsidRDefault="002A0C94" w:rsidP="002A0C94">
      <w:pPr>
        <w:rPr>
          <w:rFonts w:cstheme="minorHAnsi"/>
          <w:sz w:val="20"/>
          <w:szCs w:val="20"/>
          <w:lang w:val="ka-GE"/>
        </w:rPr>
      </w:pPr>
    </w:p>
    <w:p w:rsidR="00CB7DE9" w:rsidRDefault="00CB7DE9" w:rsidP="00CB7DE9">
      <w:pPr>
        <w:ind w:left="320" w:hanging="462"/>
        <w:rPr>
          <w:rFonts w:eastAsia="Times New Roman"/>
          <w:sz w:val="20"/>
          <w:szCs w:val="20"/>
        </w:rPr>
      </w:pPr>
      <w:bookmarkStart w:id="1" w:name="_Hlk82039912"/>
      <w:r>
        <w:rPr>
          <w:rFonts w:ascii="Sylfaen" w:eastAsia="Arial" w:hAnsi="Sylfaen" w:cs="Arial"/>
          <w:b/>
          <w:bCs/>
          <w:sz w:val="20"/>
          <w:szCs w:val="20"/>
          <w:lang w:val="ka-GE"/>
        </w:rPr>
        <w:t xml:space="preserve">ცხრილი </w:t>
      </w:r>
      <w:r>
        <w:rPr>
          <w:rFonts w:ascii="Arial" w:eastAsia="Arial" w:hAnsi="Arial" w:cs="Arial"/>
          <w:b/>
          <w:bCs/>
          <w:sz w:val="20"/>
          <w:szCs w:val="20"/>
        </w:rPr>
        <w:t xml:space="preserve">1:  </w:t>
      </w:r>
      <w:bookmarkEnd w:id="1"/>
      <w:r>
        <w:rPr>
          <w:rFonts w:eastAsia="Times New Roman"/>
          <w:sz w:val="20"/>
          <w:szCs w:val="20"/>
          <w:vertAlign w:val="superscript"/>
        </w:rPr>
        <w:t>99</w:t>
      </w:r>
      <w:r>
        <w:rPr>
          <w:rFonts w:eastAsia="Times New Roman"/>
          <w:sz w:val="20"/>
          <w:szCs w:val="20"/>
        </w:rPr>
        <w:t xml:space="preserve">Mo </w:t>
      </w:r>
      <w:r>
        <w:rPr>
          <w:rFonts w:ascii="Sylfaen" w:eastAsia="Times New Roman" w:hAnsi="Sylfaen"/>
          <w:sz w:val="20"/>
          <w:szCs w:val="20"/>
          <w:lang w:val="ka-GE"/>
        </w:rPr>
        <w:t>დაშლის ცხრილი</w:t>
      </w:r>
      <w:r>
        <w:rPr>
          <w:rFonts w:eastAsia="Times New Roman"/>
          <w:sz w:val="20"/>
          <w:szCs w:val="20"/>
        </w:rPr>
        <w:t xml:space="preserve"> (</w:t>
      </w:r>
      <w:r>
        <w:rPr>
          <w:rFonts w:eastAsia="Times New Roman"/>
          <w:sz w:val="20"/>
          <w:szCs w:val="20"/>
          <w:vertAlign w:val="superscript"/>
        </w:rPr>
        <w:t>99</w:t>
      </w:r>
      <w:r>
        <w:rPr>
          <w:rFonts w:eastAsia="Times New Roman"/>
          <w:sz w:val="20"/>
          <w:szCs w:val="20"/>
        </w:rPr>
        <w:t>Mo</w:t>
      </w:r>
      <w:r>
        <w:rPr>
          <w:rFonts w:ascii="Arial" w:eastAsia="Arial" w:hAnsi="Arial" w:cs="Arial"/>
          <w:b/>
          <w:bCs/>
          <w:sz w:val="20"/>
          <w:szCs w:val="20"/>
        </w:rPr>
        <w:t xml:space="preserve"> </w:t>
      </w:r>
      <w:r>
        <w:rPr>
          <w:rFonts w:ascii="Sylfaen" w:eastAsia="Times New Roman" w:hAnsi="Sylfaen"/>
          <w:sz w:val="20"/>
          <w:szCs w:val="20"/>
          <w:lang w:val="ka-GE"/>
        </w:rPr>
        <w:t>ნახევარდაშლის პერიოდი</w:t>
      </w:r>
      <w:r>
        <w:rPr>
          <w:rFonts w:ascii="Arial" w:eastAsia="Arial" w:hAnsi="Arial" w:cs="Arial"/>
          <w:b/>
          <w:bCs/>
          <w:sz w:val="20"/>
          <w:szCs w:val="20"/>
          <w:lang w:val="ka-GE"/>
        </w:rPr>
        <w:t xml:space="preserve"> </w:t>
      </w:r>
      <w:r>
        <w:rPr>
          <w:rFonts w:eastAsia="Times New Roman"/>
          <w:sz w:val="20"/>
          <w:szCs w:val="20"/>
        </w:rPr>
        <w:t xml:space="preserve">66 </w:t>
      </w:r>
      <w:r>
        <w:rPr>
          <w:rFonts w:ascii="Sylfaen" w:eastAsia="Times New Roman" w:hAnsi="Sylfaen"/>
          <w:sz w:val="20"/>
          <w:szCs w:val="20"/>
          <w:lang w:val="ka-GE"/>
        </w:rPr>
        <w:t>საათი</w:t>
      </w:r>
      <w:r>
        <w:rPr>
          <w:rFonts w:eastAsia="Times New Roman"/>
          <w:sz w:val="20"/>
          <w:szCs w:val="20"/>
        </w:rPr>
        <w:t>)</w:t>
      </w:r>
    </w:p>
    <w:tbl>
      <w:tblPr>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919"/>
        <w:gridCol w:w="864"/>
        <w:gridCol w:w="866"/>
        <w:gridCol w:w="866"/>
        <w:gridCol w:w="864"/>
        <w:gridCol w:w="866"/>
        <w:gridCol w:w="866"/>
        <w:gridCol w:w="866"/>
        <w:gridCol w:w="866"/>
        <w:gridCol w:w="810"/>
      </w:tblGrid>
      <w:tr w:rsidR="00CB7DE9" w:rsidTr="00CB7DE9">
        <w:trPr>
          <w:trHeight w:val="505"/>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jc w:val="center"/>
              <w:rPr>
                <w:rFonts w:ascii="Sylfaen" w:hAnsi="Sylfaen"/>
                <w:sz w:val="20"/>
                <w:szCs w:val="20"/>
                <w:lang w:val="ka-GE"/>
              </w:rPr>
            </w:pPr>
            <w:r>
              <w:rPr>
                <w:rFonts w:ascii="Sylfaen" w:hAnsi="Sylfaen"/>
                <w:sz w:val="20"/>
                <w:szCs w:val="20"/>
                <w:lang w:val="ka-GE"/>
              </w:rPr>
              <w:lastRenderedPageBreak/>
              <w:t>დრო</w:t>
            </w:r>
          </w:p>
          <w:p w:rsidR="00CB7DE9" w:rsidRDefault="00CB7DE9" w:rsidP="00AD647C">
            <w:pPr>
              <w:pStyle w:val="TableParagraph"/>
              <w:spacing w:before="1" w:line="237" w:lineRule="exact"/>
              <w:ind w:left="30"/>
              <w:jc w:val="center"/>
              <w:rPr>
                <w:sz w:val="20"/>
                <w:szCs w:val="20"/>
              </w:rPr>
            </w:pPr>
            <w:r>
              <w:rPr>
                <w:sz w:val="20"/>
                <w:szCs w:val="20"/>
              </w:rPr>
              <w:t>(</w:t>
            </w:r>
            <w:r>
              <w:rPr>
                <w:rFonts w:ascii="Sylfaen" w:hAnsi="Sylfaen"/>
                <w:sz w:val="20"/>
                <w:szCs w:val="20"/>
                <w:lang w:val="ka-GE"/>
              </w:rPr>
              <w:t>სთ</w:t>
            </w:r>
            <w:r>
              <w:rPr>
                <w:sz w:val="20"/>
                <w:szCs w:val="20"/>
              </w:rPr>
              <w:t>)</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62"/>
              <w:jc w:val="center"/>
              <w:rPr>
                <w:sz w:val="20"/>
                <w:szCs w:val="20"/>
              </w:rPr>
            </w:pPr>
            <w:r>
              <w:rPr>
                <w:sz w:val="20"/>
                <w:szCs w:val="20"/>
              </w:rPr>
              <w:t>0</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59"/>
              <w:jc w:val="center"/>
              <w:rPr>
                <w:sz w:val="20"/>
                <w:szCs w:val="20"/>
              </w:rPr>
            </w:pPr>
            <w:r>
              <w:rPr>
                <w:sz w:val="20"/>
                <w:szCs w:val="20"/>
              </w:rPr>
              <w:t>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61"/>
              <w:jc w:val="center"/>
              <w:rPr>
                <w:sz w:val="20"/>
                <w:szCs w:val="20"/>
              </w:rPr>
            </w:pPr>
            <w:r>
              <w:rPr>
                <w:sz w:val="20"/>
                <w:szCs w:val="20"/>
              </w:rPr>
              <w:t>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60"/>
              <w:jc w:val="center"/>
              <w:rPr>
                <w:sz w:val="20"/>
                <w:szCs w:val="20"/>
              </w:rPr>
            </w:pPr>
            <w:r>
              <w:rPr>
                <w:sz w:val="20"/>
                <w:szCs w:val="20"/>
              </w:rPr>
              <w:t>3</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62"/>
              <w:jc w:val="center"/>
              <w:rPr>
                <w:sz w:val="20"/>
                <w:szCs w:val="20"/>
              </w:rPr>
            </w:pPr>
            <w:r>
              <w:rPr>
                <w:sz w:val="20"/>
                <w:szCs w:val="20"/>
              </w:rPr>
              <w:t>4</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61"/>
              <w:jc w:val="center"/>
              <w:rPr>
                <w:sz w:val="20"/>
                <w:szCs w:val="20"/>
              </w:rPr>
            </w:pPr>
            <w:r>
              <w:rPr>
                <w:sz w:val="20"/>
                <w:szCs w:val="20"/>
              </w:rPr>
              <w:t>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59"/>
              <w:jc w:val="center"/>
              <w:rPr>
                <w:sz w:val="20"/>
                <w:szCs w:val="20"/>
              </w:rPr>
            </w:pPr>
            <w:r>
              <w:rPr>
                <w:sz w:val="20"/>
                <w:szCs w:val="20"/>
              </w:rPr>
              <w:t>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58"/>
              <w:jc w:val="center"/>
              <w:rPr>
                <w:sz w:val="20"/>
                <w:szCs w:val="20"/>
              </w:rPr>
            </w:pPr>
            <w:r>
              <w:rPr>
                <w:sz w:val="20"/>
                <w:szCs w:val="20"/>
              </w:rPr>
              <w:t>7</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57"/>
              <w:jc w:val="center"/>
              <w:rPr>
                <w:sz w:val="20"/>
                <w:szCs w:val="20"/>
              </w:rPr>
            </w:pPr>
            <w:r>
              <w:rPr>
                <w:sz w:val="20"/>
                <w:szCs w:val="20"/>
              </w:rPr>
              <w:t>8</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61"/>
              <w:jc w:val="center"/>
              <w:rPr>
                <w:sz w:val="20"/>
                <w:szCs w:val="20"/>
              </w:rPr>
            </w:pPr>
            <w:r>
              <w:rPr>
                <w:sz w:val="20"/>
                <w:szCs w:val="20"/>
              </w:rPr>
              <w:t>9</w:t>
            </w:r>
          </w:p>
        </w:tc>
      </w:tr>
      <w:tr w:rsidR="00CB7DE9" w:rsidTr="00CB7DE9">
        <w:trPr>
          <w:trHeight w:val="505"/>
        </w:trPr>
        <w:tc>
          <w:tcPr>
            <w:tcW w:w="703" w:type="dxa"/>
            <w:tcBorders>
              <w:top w:val="single" w:sz="4" w:space="0" w:color="000000"/>
              <w:left w:val="single" w:sz="4" w:space="0" w:color="000000"/>
              <w:bottom w:val="single" w:sz="4" w:space="0" w:color="000000"/>
              <w:right w:val="single" w:sz="4" w:space="0" w:color="000000"/>
            </w:tcBorders>
          </w:tcPr>
          <w:p w:rsidR="00CB7DE9" w:rsidRDefault="00CB7DE9" w:rsidP="00AD647C">
            <w:pPr>
              <w:pStyle w:val="TableParagraph"/>
              <w:spacing w:before="7" w:line="240" w:lineRule="auto"/>
              <w:rPr>
                <w:sz w:val="20"/>
                <w:szCs w:val="20"/>
              </w:rPr>
            </w:pPr>
          </w:p>
          <w:p w:rsidR="00CB7DE9" w:rsidRDefault="00CB7DE9" w:rsidP="00AD647C">
            <w:pPr>
              <w:pStyle w:val="TableParagraph"/>
              <w:spacing w:line="237" w:lineRule="exact"/>
              <w:ind w:right="97"/>
              <w:jc w:val="right"/>
              <w:rPr>
                <w:sz w:val="20"/>
                <w:szCs w:val="20"/>
              </w:rPr>
            </w:pPr>
            <w:r>
              <w:rPr>
                <w:sz w:val="20"/>
                <w:szCs w:val="20"/>
              </w:rPr>
              <w:t>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1.0000</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0.9896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0.9792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0.9690</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0.9589</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0.9488</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0.9389</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0.9291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0.9194</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0.9098</w:t>
            </w:r>
          </w:p>
        </w:tc>
      </w:tr>
      <w:tr w:rsidR="00CB7DE9"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10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0.9003</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0.8909</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0.8816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0.8724</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0.8633</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0.8542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0.8453</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0.8365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0.8278</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0.8191</w:t>
            </w:r>
          </w:p>
        </w:tc>
      </w:tr>
      <w:tr w:rsidR="00CB7DE9" w:rsidTr="00CB7DE9">
        <w:trPr>
          <w:trHeight w:val="277"/>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20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0.8105</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0.8021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0.7937</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0.7854</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0.7772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0.7691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0.7610</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0.7531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0.7452</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0.7374</w:t>
            </w:r>
          </w:p>
        </w:tc>
      </w:tr>
      <w:tr w:rsidR="00CB7DE9"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30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0.7297</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0.7221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0.7146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0.7071</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0.6997</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0.6924</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0.6852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0.6780</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0.6709</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0.6639</w:t>
            </w:r>
          </w:p>
        </w:tc>
      </w:tr>
      <w:tr w:rsidR="00CB7DE9" w:rsidTr="00CB7DE9">
        <w:trPr>
          <w:trHeight w:val="277"/>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40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0.6570</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0.6501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0.6433</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0.6366</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0.6300</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0.6234</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0.6169</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0.6104</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0.6040</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0.5977</w:t>
            </w:r>
          </w:p>
        </w:tc>
      </w:tr>
      <w:tr w:rsidR="00CB7DE9"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50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0.5915</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0.5853</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0.5792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0.5731</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0.5672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0.5612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0.5554</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0.5496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0.5438</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10"/>
              <w:jc w:val="center"/>
              <w:rPr>
                <w:sz w:val="20"/>
                <w:szCs w:val="20"/>
              </w:rPr>
            </w:pPr>
            <w:r>
              <w:rPr>
                <w:sz w:val="20"/>
                <w:szCs w:val="20"/>
              </w:rPr>
              <w:t>0.5381</w:t>
            </w:r>
          </w:p>
        </w:tc>
      </w:tr>
      <w:tr w:rsidR="00CB7DE9"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60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0.5325</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0.5270</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0.5215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0.5160</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0.5106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0.5053</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0.5000</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0.4948</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0.4896</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0.4845</w:t>
            </w:r>
          </w:p>
        </w:tc>
      </w:tr>
      <w:tr w:rsidR="00CB7DE9" w:rsidTr="00CB7DE9">
        <w:trPr>
          <w:trHeight w:val="292"/>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70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0.4794</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0.4744</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0.4695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0.4646</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0.4597</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0.4549</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0.4502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0.4454</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0.4408</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0.4362</w:t>
            </w:r>
          </w:p>
        </w:tc>
      </w:tr>
      <w:tr w:rsidR="00CB7DE9"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80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0.4316</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0.4271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0.4227</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0.4182</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0.4139</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0.4096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0.4053</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0.4010</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0.3968</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0.3927</w:t>
            </w:r>
          </w:p>
        </w:tc>
      </w:tr>
      <w:tr w:rsidR="00CB7DE9" w:rsidTr="00CB7DE9">
        <w:trPr>
          <w:trHeight w:val="277"/>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90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0.3886</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0.3845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0.3805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0.3765</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0.3726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0.3687</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0.3649</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0.3611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0.3573</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0.3536</w:t>
            </w:r>
          </w:p>
        </w:tc>
      </w:tr>
      <w:tr w:rsidR="00CB7DE9"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100</w:t>
            </w:r>
          </w:p>
        </w:tc>
        <w:tc>
          <w:tcPr>
            <w:tcW w:w="919"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5"/>
              <w:jc w:val="right"/>
              <w:rPr>
                <w:sz w:val="20"/>
                <w:szCs w:val="20"/>
              </w:rPr>
            </w:pPr>
            <w:r>
              <w:rPr>
                <w:sz w:val="20"/>
                <w:szCs w:val="20"/>
              </w:rPr>
              <w:t>0.3499</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9"/>
              <w:jc w:val="center"/>
              <w:rPr>
                <w:sz w:val="20"/>
                <w:szCs w:val="20"/>
              </w:rPr>
            </w:pPr>
            <w:r>
              <w:rPr>
                <w:sz w:val="20"/>
                <w:szCs w:val="20"/>
              </w:rPr>
              <w:t>0.3462</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7"/>
              <w:jc w:val="right"/>
              <w:rPr>
                <w:sz w:val="20"/>
                <w:szCs w:val="20"/>
              </w:rPr>
            </w:pPr>
            <w:r>
              <w:rPr>
                <w:sz w:val="20"/>
                <w:szCs w:val="20"/>
              </w:rPr>
              <w:t>0.3426</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0" w:right="76"/>
              <w:jc w:val="center"/>
              <w:rPr>
                <w:sz w:val="20"/>
                <w:szCs w:val="20"/>
              </w:rPr>
            </w:pPr>
            <w:r>
              <w:rPr>
                <w:sz w:val="20"/>
                <w:szCs w:val="20"/>
              </w:rPr>
              <w:t>0.3390</w:t>
            </w:r>
          </w:p>
        </w:tc>
        <w:tc>
          <w:tcPr>
            <w:tcW w:w="864"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4"/>
              <w:jc w:val="right"/>
              <w:rPr>
                <w:sz w:val="20"/>
                <w:szCs w:val="20"/>
              </w:rPr>
            </w:pPr>
            <w:r>
              <w:rPr>
                <w:sz w:val="20"/>
                <w:szCs w:val="20"/>
              </w:rPr>
              <w:t>0.3355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0.3320</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6"/>
              <w:jc w:val="center"/>
              <w:rPr>
                <w:sz w:val="20"/>
                <w:szCs w:val="20"/>
              </w:rPr>
            </w:pPr>
            <w:r>
              <w:rPr>
                <w:sz w:val="20"/>
                <w:szCs w:val="20"/>
              </w:rPr>
              <w:t>0.3285</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52"/>
              <w:rPr>
                <w:sz w:val="20"/>
                <w:szCs w:val="20"/>
              </w:rPr>
            </w:pPr>
            <w:r>
              <w:rPr>
                <w:sz w:val="20"/>
                <w:szCs w:val="20"/>
              </w:rPr>
              <w:t>0.3251</w:t>
            </w:r>
          </w:p>
        </w:tc>
        <w:tc>
          <w:tcPr>
            <w:tcW w:w="866"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right="93"/>
              <w:jc w:val="right"/>
              <w:rPr>
                <w:sz w:val="20"/>
                <w:szCs w:val="20"/>
              </w:rPr>
            </w:pPr>
            <w:r>
              <w:rPr>
                <w:sz w:val="20"/>
                <w:szCs w:val="20"/>
              </w:rPr>
              <w:t>0.3217</w:t>
            </w:r>
          </w:p>
        </w:tc>
        <w:tc>
          <w:tcPr>
            <w:tcW w:w="810" w:type="dxa"/>
            <w:tcBorders>
              <w:top w:val="single" w:sz="4" w:space="0" w:color="000000"/>
              <w:left w:val="single" w:sz="4" w:space="0" w:color="000000"/>
              <w:bottom w:val="single" w:sz="4" w:space="0" w:color="000000"/>
              <w:right w:val="single" w:sz="4" w:space="0" w:color="000000"/>
            </w:tcBorders>
            <w:hideMark/>
          </w:tcPr>
          <w:p w:rsidR="00CB7DE9" w:rsidRDefault="00CB7DE9" w:rsidP="00AD647C">
            <w:pPr>
              <w:pStyle w:val="TableParagraph"/>
              <w:spacing w:line="248" w:lineRule="exact"/>
              <w:ind w:left="132" w:right="74"/>
              <w:jc w:val="center"/>
              <w:rPr>
                <w:sz w:val="20"/>
                <w:szCs w:val="20"/>
              </w:rPr>
            </w:pPr>
            <w:r>
              <w:rPr>
                <w:sz w:val="20"/>
                <w:szCs w:val="20"/>
              </w:rPr>
              <w:t>0.3183</w:t>
            </w:r>
          </w:p>
        </w:tc>
      </w:tr>
    </w:tbl>
    <w:p w:rsidR="00F06373" w:rsidRDefault="00F06373" w:rsidP="00513970">
      <w:pPr>
        <w:rPr>
          <w:rFonts w:cstheme="minorHAnsi"/>
          <w:sz w:val="20"/>
          <w:szCs w:val="20"/>
          <w:lang w:val="en-GB"/>
        </w:rPr>
      </w:pPr>
    </w:p>
    <w:p w:rsidR="00F06373" w:rsidRPr="000D072C" w:rsidRDefault="00F06373" w:rsidP="000D072C">
      <w:pPr>
        <w:ind w:left="320" w:hanging="320"/>
        <w:rPr>
          <w:rFonts w:eastAsia="Times New Roman"/>
          <w:sz w:val="20"/>
          <w:szCs w:val="20"/>
        </w:rPr>
      </w:pPr>
      <w:r>
        <w:rPr>
          <w:rFonts w:ascii="Sylfaen" w:eastAsia="Arial" w:hAnsi="Sylfaen" w:cs="Arial"/>
          <w:b/>
          <w:bCs/>
          <w:sz w:val="20"/>
          <w:szCs w:val="20"/>
          <w:lang w:val="ka-GE"/>
        </w:rPr>
        <w:t>ცხრილი</w:t>
      </w:r>
      <w:r>
        <w:rPr>
          <w:rFonts w:ascii="Arial" w:eastAsia="Arial" w:hAnsi="Arial" w:cs="Arial"/>
          <w:b/>
          <w:bCs/>
          <w:sz w:val="20"/>
          <w:szCs w:val="20"/>
        </w:rPr>
        <w:t xml:space="preserve"> 2: </w:t>
      </w:r>
      <w:r>
        <w:rPr>
          <w:rFonts w:eastAsia="Times New Roman"/>
          <w:sz w:val="20"/>
          <w:szCs w:val="20"/>
          <w:vertAlign w:val="superscript"/>
        </w:rPr>
        <w:t>99m</w:t>
      </w:r>
      <w:r>
        <w:rPr>
          <w:rFonts w:eastAsia="Times New Roman"/>
          <w:sz w:val="20"/>
          <w:szCs w:val="20"/>
        </w:rPr>
        <w:t xml:space="preserve">Tc </w:t>
      </w:r>
      <w:r>
        <w:rPr>
          <w:rFonts w:ascii="Sylfaen" w:eastAsia="Times New Roman" w:hAnsi="Sylfaen"/>
          <w:sz w:val="20"/>
          <w:szCs w:val="20"/>
          <w:lang w:val="ka-GE"/>
        </w:rPr>
        <w:t>დაშლის ცხრილი</w:t>
      </w:r>
      <w:r>
        <w:rPr>
          <w:rFonts w:eastAsia="Times New Roman"/>
          <w:sz w:val="20"/>
          <w:szCs w:val="20"/>
        </w:rPr>
        <w:t xml:space="preserve"> (</w:t>
      </w:r>
      <w:r>
        <w:rPr>
          <w:rFonts w:eastAsia="Times New Roman"/>
          <w:sz w:val="20"/>
          <w:szCs w:val="20"/>
          <w:vertAlign w:val="superscript"/>
        </w:rPr>
        <w:t>99m</w:t>
      </w:r>
      <w:r>
        <w:rPr>
          <w:rFonts w:eastAsia="Times New Roman"/>
          <w:sz w:val="20"/>
          <w:szCs w:val="20"/>
        </w:rPr>
        <w:t>Tc</w:t>
      </w:r>
      <w:r>
        <w:rPr>
          <w:rFonts w:ascii="Arial" w:eastAsia="Arial" w:hAnsi="Arial" w:cs="Arial"/>
          <w:b/>
          <w:bCs/>
          <w:sz w:val="20"/>
          <w:szCs w:val="20"/>
        </w:rPr>
        <w:t xml:space="preserve"> </w:t>
      </w:r>
      <w:r>
        <w:rPr>
          <w:rFonts w:ascii="Sylfaen" w:eastAsia="Times New Roman" w:hAnsi="Sylfaen"/>
          <w:sz w:val="20"/>
          <w:szCs w:val="20"/>
          <w:lang w:val="ka-GE"/>
        </w:rPr>
        <w:t>ნახევარდაშლის პერიოდი</w:t>
      </w:r>
      <w:r>
        <w:rPr>
          <w:rFonts w:ascii="Arial" w:eastAsia="Arial" w:hAnsi="Arial" w:cs="Arial"/>
          <w:b/>
          <w:bCs/>
          <w:sz w:val="20"/>
          <w:szCs w:val="20"/>
        </w:rPr>
        <w:t xml:space="preserve">  </w:t>
      </w:r>
      <w:r>
        <w:rPr>
          <w:rFonts w:eastAsia="Times New Roman"/>
          <w:sz w:val="20"/>
          <w:szCs w:val="20"/>
        </w:rPr>
        <w:t xml:space="preserve">6,02 </w:t>
      </w:r>
      <w:r>
        <w:rPr>
          <w:rFonts w:ascii="Sylfaen" w:eastAsia="Times New Roman" w:hAnsi="Sylfaen"/>
          <w:sz w:val="20"/>
          <w:szCs w:val="20"/>
          <w:lang w:val="ka-GE"/>
        </w:rPr>
        <w:t>საათი</w:t>
      </w:r>
      <w:r>
        <w:rPr>
          <w:rFonts w:eastAsia="Times New Roman"/>
          <w:sz w:val="20"/>
          <w:szCs w:val="20"/>
        </w:rPr>
        <w:t>)</w:t>
      </w:r>
    </w:p>
    <w:tbl>
      <w:tblPr>
        <w:tblW w:w="994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971"/>
        <w:gridCol w:w="935"/>
        <w:gridCol w:w="935"/>
        <w:gridCol w:w="935"/>
        <w:gridCol w:w="935"/>
        <w:gridCol w:w="935"/>
        <w:gridCol w:w="935"/>
        <w:gridCol w:w="935"/>
        <w:gridCol w:w="935"/>
        <w:gridCol w:w="935"/>
      </w:tblGrid>
      <w:tr w:rsidR="00F06373" w:rsidTr="00513970">
        <w:trPr>
          <w:trHeight w:val="490"/>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7" w:lineRule="exact"/>
              <w:ind w:left="107"/>
              <w:rPr>
                <w:rFonts w:ascii="Sylfaen" w:hAnsi="Sylfaen"/>
                <w:sz w:val="20"/>
                <w:szCs w:val="20"/>
                <w:lang w:val="ka-GE"/>
              </w:rPr>
            </w:pPr>
            <w:r>
              <w:rPr>
                <w:rFonts w:ascii="Sylfaen" w:hAnsi="Sylfaen"/>
                <w:sz w:val="20"/>
                <w:szCs w:val="20"/>
                <w:lang w:val="ka-GE"/>
              </w:rPr>
              <w:t>წთ</w:t>
            </w:r>
          </w:p>
          <w:p w:rsidR="00F06373" w:rsidRDefault="00F06373" w:rsidP="00AD647C">
            <w:pPr>
              <w:pStyle w:val="TableParagraph"/>
              <w:spacing w:line="239" w:lineRule="exact"/>
              <w:ind w:left="107"/>
              <w:rPr>
                <w:rFonts w:ascii="Sylfaen" w:hAnsi="Sylfaen"/>
                <w:sz w:val="20"/>
                <w:szCs w:val="20"/>
                <w:lang w:val="ka-GE"/>
              </w:rPr>
            </w:pPr>
            <w:r>
              <w:rPr>
                <w:rFonts w:ascii="Sylfaen" w:hAnsi="Sylfaen"/>
                <w:sz w:val="20"/>
                <w:szCs w:val="20"/>
                <w:lang w:val="ka-GE"/>
              </w:rPr>
              <w:t>სთ</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64"/>
              <w:jc w:val="center"/>
              <w:rPr>
                <w:sz w:val="20"/>
                <w:szCs w:val="20"/>
              </w:rPr>
            </w:pPr>
            <w:r>
              <w:rPr>
                <w:sz w:val="20"/>
                <w:szCs w:val="20"/>
              </w:rPr>
              <w:t>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58"/>
              <w:jc w:val="center"/>
              <w:rPr>
                <w:sz w:val="20"/>
                <w:szCs w:val="20"/>
              </w:rPr>
            </w:pPr>
            <w:r>
              <w:rPr>
                <w:sz w:val="20"/>
                <w:szCs w:val="20"/>
              </w:rPr>
              <w:t>6</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8" w:right="69"/>
              <w:jc w:val="center"/>
              <w:rPr>
                <w:sz w:val="20"/>
                <w:szCs w:val="20"/>
              </w:rPr>
            </w:pPr>
            <w:r>
              <w:rPr>
                <w:sz w:val="20"/>
                <w:szCs w:val="20"/>
              </w:rPr>
              <w:t>12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8" w:right="69"/>
              <w:jc w:val="center"/>
              <w:rPr>
                <w:sz w:val="20"/>
                <w:szCs w:val="20"/>
              </w:rPr>
            </w:pPr>
            <w:r>
              <w:rPr>
                <w:sz w:val="20"/>
                <w:szCs w:val="20"/>
              </w:rPr>
              <w:t>18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11" w:right="69"/>
              <w:jc w:val="center"/>
              <w:rPr>
                <w:sz w:val="20"/>
                <w:szCs w:val="20"/>
              </w:rPr>
            </w:pPr>
            <w:r>
              <w:rPr>
                <w:sz w:val="20"/>
                <w:szCs w:val="20"/>
              </w:rPr>
              <w:t>24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16" w:right="69"/>
              <w:jc w:val="center"/>
              <w:rPr>
                <w:sz w:val="20"/>
                <w:szCs w:val="20"/>
              </w:rPr>
            </w:pPr>
            <w:r>
              <w:rPr>
                <w:sz w:val="20"/>
                <w:szCs w:val="20"/>
              </w:rPr>
              <w:t>30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19" w:right="69"/>
              <w:jc w:val="center"/>
              <w:rPr>
                <w:sz w:val="20"/>
                <w:szCs w:val="20"/>
              </w:rPr>
            </w:pPr>
            <w:r>
              <w:rPr>
                <w:sz w:val="20"/>
                <w:szCs w:val="20"/>
              </w:rPr>
              <w:t>36</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21" w:right="69"/>
              <w:jc w:val="center"/>
              <w:rPr>
                <w:sz w:val="20"/>
                <w:szCs w:val="20"/>
              </w:rPr>
            </w:pPr>
            <w:r>
              <w:rPr>
                <w:sz w:val="20"/>
                <w:szCs w:val="20"/>
              </w:rPr>
              <w:t>42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22" w:right="69"/>
              <w:jc w:val="center"/>
              <w:rPr>
                <w:sz w:val="20"/>
                <w:szCs w:val="20"/>
              </w:rPr>
            </w:pPr>
            <w:r>
              <w:rPr>
                <w:sz w:val="20"/>
                <w:szCs w:val="20"/>
              </w:rPr>
              <w:t>48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24" w:right="69"/>
              <w:jc w:val="center"/>
              <w:rPr>
                <w:sz w:val="20"/>
                <w:szCs w:val="20"/>
              </w:rPr>
            </w:pPr>
            <w:r>
              <w:rPr>
                <w:sz w:val="20"/>
                <w:szCs w:val="20"/>
              </w:rPr>
              <w:t>54</w:t>
            </w:r>
          </w:p>
        </w:tc>
      </w:tr>
      <w:tr w:rsidR="00F06373" w:rsidTr="00513970">
        <w:trPr>
          <w:trHeight w:val="281"/>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98"/>
              <w:jc w:val="right"/>
              <w:rPr>
                <w:sz w:val="20"/>
                <w:szCs w:val="20"/>
              </w:rPr>
            </w:pPr>
            <w:r>
              <w:rPr>
                <w:sz w:val="20"/>
                <w:szCs w:val="20"/>
              </w:rPr>
              <w:t>0</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97"/>
              <w:jc w:val="right"/>
              <w:rPr>
                <w:sz w:val="20"/>
                <w:szCs w:val="20"/>
              </w:rPr>
            </w:pPr>
            <w:r>
              <w:rPr>
                <w:sz w:val="20"/>
                <w:szCs w:val="20"/>
              </w:rPr>
              <w:t>1.0000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178"/>
              <w:rPr>
                <w:sz w:val="20"/>
                <w:szCs w:val="20"/>
              </w:rPr>
            </w:pPr>
            <w:r>
              <w:rPr>
                <w:sz w:val="20"/>
                <w:szCs w:val="20"/>
              </w:rPr>
              <w:t>0.9885</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96"/>
              <w:jc w:val="right"/>
              <w:rPr>
                <w:sz w:val="20"/>
                <w:szCs w:val="20"/>
              </w:rPr>
            </w:pPr>
            <w:r>
              <w:rPr>
                <w:sz w:val="20"/>
                <w:szCs w:val="20"/>
              </w:rPr>
              <w:t>0.9772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148" w:right="69"/>
              <w:jc w:val="center"/>
              <w:rPr>
                <w:sz w:val="20"/>
                <w:szCs w:val="20"/>
              </w:rPr>
            </w:pPr>
            <w:r>
              <w:rPr>
                <w:sz w:val="20"/>
                <w:szCs w:val="20"/>
              </w:rPr>
              <w:t>0.9660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94"/>
              <w:jc w:val="right"/>
              <w:rPr>
                <w:sz w:val="20"/>
                <w:szCs w:val="20"/>
              </w:rPr>
            </w:pPr>
            <w:r>
              <w:rPr>
                <w:sz w:val="20"/>
                <w:szCs w:val="20"/>
              </w:rPr>
              <w:t>0.9549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91"/>
              <w:jc w:val="right"/>
              <w:rPr>
                <w:sz w:val="20"/>
                <w:szCs w:val="20"/>
              </w:rPr>
            </w:pPr>
            <w:r>
              <w:rPr>
                <w:sz w:val="20"/>
                <w:szCs w:val="20"/>
              </w:rPr>
              <w:t>0.9439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76"/>
              <w:jc w:val="right"/>
              <w:rPr>
                <w:sz w:val="20"/>
                <w:szCs w:val="20"/>
              </w:rPr>
            </w:pPr>
            <w:r>
              <w:rPr>
                <w:sz w:val="20"/>
                <w:szCs w:val="20"/>
              </w:rPr>
              <w:t>0.9331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182"/>
              <w:rPr>
                <w:sz w:val="20"/>
                <w:szCs w:val="20"/>
              </w:rPr>
            </w:pPr>
            <w:r>
              <w:rPr>
                <w:sz w:val="20"/>
                <w:szCs w:val="20"/>
              </w:rPr>
              <w:t>0.9224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right="89"/>
              <w:jc w:val="right"/>
              <w:rPr>
                <w:sz w:val="20"/>
                <w:szCs w:val="20"/>
              </w:rPr>
            </w:pPr>
            <w:r>
              <w:rPr>
                <w:sz w:val="20"/>
                <w:szCs w:val="20"/>
              </w:rPr>
              <w:t>0.9118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48" w:lineRule="exact"/>
              <w:ind w:left="158" w:right="64"/>
              <w:jc w:val="center"/>
              <w:rPr>
                <w:sz w:val="20"/>
                <w:szCs w:val="20"/>
              </w:rPr>
            </w:pPr>
            <w:r>
              <w:rPr>
                <w:sz w:val="20"/>
                <w:szCs w:val="20"/>
              </w:rPr>
              <w:t>0.9014</w:t>
            </w:r>
          </w:p>
        </w:tc>
      </w:tr>
      <w:tr w:rsidR="00F06373"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8"/>
              <w:jc w:val="right"/>
              <w:rPr>
                <w:sz w:val="20"/>
                <w:szCs w:val="20"/>
              </w:rPr>
            </w:pPr>
            <w:r>
              <w:rPr>
                <w:sz w:val="20"/>
                <w:szCs w:val="20"/>
              </w:rPr>
              <w:t>1</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7"/>
              <w:jc w:val="right"/>
              <w:rPr>
                <w:sz w:val="20"/>
                <w:szCs w:val="20"/>
              </w:rPr>
            </w:pPr>
            <w:r>
              <w:rPr>
                <w:sz w:val="20"/>
                <w:szCs w:val="20"/>
              </w:rPr>
              <w:t>0.8910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78"/>
              <w:rPr>
                <w:sz w:val="20"/>
                <w:szCs w:val="20"/>
              </w:rPr>
            </w:pPr>
            <w:r>
              <w:rPr>
                <w:sz w:val="20"/>
                <w:szCs w:val="20"/>
              </w:rPr>
              <w:t>0.8808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6"/>
              <w:jc w:val="right"/>
              <w:rPr>
                <w:sz w:val="20"/>
                <w:szCs w:val="20"/>
              </w:rPr>
            </w:pPr>
            <w:r>
              <w:rPr>
                <w:sz w:val="20"/>
                <w:szCs w:val="20"/>
              </w:rPr>
              <w:t>0.8707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48" w:right="69"/>
              <w:jc w:val="center"/>
              <w:rPr>
                <w:sz w:val="20"/>
                <w:szCs w:val="20"/>
              </w:rPr>
            </w:pPr>
            <w:r>
              <w:rPr>
                <w:sz w:val="20"/>
                <w:szCs w:val="20"/>
              </w:rPr>
              <w:t>0.8607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4"/>
              <w:jc w:val="right"/>
              <w:rPr>
                <w:sz w:val="20"/>
                <w:szCs w:val="20"/>
              </w:rPr>
            </w:pPr>
            <w:r>
              <w:rPr>
                <w:sz w:val="20"/>
                <w:szCs w:val="20"/>
              </w:rPr>
              <w:t>0.8508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1"/>
              <w:jc w:val="right"/>
              <w:rPr>
                <w:sz w:val="20"/>
                <w:szCs w:val="20"/>
              </w:rPr>
            </w:pPr>
            <w:r>
              <w:rPr>
                <w:sz w:val="20"/>
                <w:szCs w:val="20"/>
              </w:rPr>
              <w:t>0.8411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76"/>
              <w:jc w:val="right"/>
              <w:rPr>
                <w:sz w:val="20"/>
                <w:szCs w:val="20"/>
              </w:rPr>
            </w:pPr>
            <w:r>
              <w:rPr>
                <w:sz w:val="20"/>
                <w:szCs w:val="20"/>
              </w:rPr>
              <w:t>0.8314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82"/>
              <w:rPr>
                <w:sz w:val="20"/>
                <w:szCs w:val="20"/>
              </w:rPr>
            </w:pPr>
            <w:r>
              <w:rPr>
                <w:sz w:val="20"/>
                <w:szCs w:val="20"/>
              </w:rPr>
              <w:t>0.8219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89"/>
              <w:jc w:val="right"/>
              <w:rPr>
                <w:sz w:val="20"/>
                <w:szCs w:val="20"/>
              </w:rPr>
            </w:pPr>
            <w:r>
              <w:rPr>
                <w:sz w:val="20"/>
                <w:szCs w:val="20"/>
              </w:rPr>
              <w:t>0.8124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58" w:right="60"/>
              <w:jc w:val="center"/>
              <w:rPr>
                <w:sz w:val="20"/>
                <w:szCs w:val="20"/>
              </w:rPr>
            </w:pPr>
            <w:r>
              <w:rPr>
                <w:sz w:val="20"/>
                <w:szCs w:val="20"/>
              </w:rPr>
              <w:t>0.8031</w:t>
            </w:r>
          </w:p>
        </w:tc>
      </w:tr>
      <w:tr w:rsidR="00F06373"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8"/>
              <w:jc w:val="right"/>
              <w:rPr>
                <w:sz w:val="20"/>
                <w:szCs w:val="20"/>
              </w:rPr>
            </w:pPr>
            <w:r>
              <w:rPr>
                <w:sz w:val="20"/>
                <w:szCs w:val="20"/>
              </w:rPr>
              <w:t>2</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7"/>
              <w:jc w:val="right"/>
              <w:rPr>
                <w:sz w:val="20"/>
                <w:szCs w:val="20"/>
              </w:rPr>
            </w:pPr>
            <w:r>
              <w:rPr>
                <w:sz w:val="20"/>
                <w:szCs w:val="20"/>
              </w:rPr>
              <w:t>0.7939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78"/>
              <w:rPr>
                <w:sz w:val="20"/>
                <w:szCs w:val="20"/>
              </w:rPr>
            </w:pPr>
            <w:r>
              <w:rPr>
                <w:sz w:val="20"/>
                <w:szCs w:val="20"/>
              </w:rPr>
              <w:t>0.7848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6"/>
              <w:jc w:val="right"/>
              <w:rPr>
                <w:sz w:val="20"/>
                <w:szCs w:val="20"/>
              </w:rPr>
            </w:pPr>
            <w:r>
              <w:rPr>
                <w:sz w:val="20"/>
                <w:szCs w:val="20"/>
              </w:rPr>
              <w:t>0.7758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48" w:right="69"/>
              <w:jc w:val="center"/>
              <w:rPr>
                <w:sz w:val="20"/>
                <w:szCs w:val="20"/>
              </w:rPr>
            </w:pPr>
            <w:r>
              <w:rPr>
                <w:sz w:val="20"/>
                <w:szCs w:val="20"/>
              </w:rPr>
              <w:t>0.7669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4"/>
              <w:jc w:val="right"/>
              <w:rPr>
                <w:sz w:val="20"/>
                <w:szCs w:val="20"/>
              </w:rPr>
            </w:pPr>
            <w:r>
              <w:rPr>
                <w:sz w:val="20"/>
                <w:szCs w:val="20"/>
              </w:rPr>
              <w:t>0.7581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1"/>
              <w:jc w:val="right"/>
              <w:rPr>
                <w:sz w:val="20"/>
                <w:szCs w:val="20"/>
              </w:rPr>
            </w:pPr>
            <w:r>
              <w:rPr>
                <w:sz w:val="20"/>
                <w:szCs w:val="20"/>
              </w:rPr>
              <w:t>0.7494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76"/>
              <w:jc w:val="right"/>
              <w:rPr>
                <w:sz w:val="20"/>
                <w:szCs w:val="20"/>
              </w:rPr>
            </w:pPr>
            <w:r>
              <w:rPr>
                <w:sz w:val="20"/>
                <w:szCs w:val="20"/>
              </w:rPr>
              <w:t>0.7408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82"/>
              <w:rPr>
                <w:sz w:val="20"/>
                <w:szCs w:val="20"/>
              </w:rPr>
            </w:pPr>
            <w:r>
              <w:rPr>
                <w:sz w:val="20"/>
                <w:szCs w:val="20"/>
              </w:rPr>
              <w:t>0.7323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89"/>
              <w:jc w:val="right"/>
              <w:rPr>
                <w:sz w:val="20"/>
                <w:szCs w:val="20"/>
              </w:rPr>
            </w:pPr>
            <w:r>
              <w:rPr>
                <w:sz w:val="20"/>
                <w:szCs w:val="20"/>
              </w:rPr>
              <w:t>0.7239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58" w:right="60"/>
              <w:jc w:val="center"/>
              <w:rPr>
                <w:sz w:val="20"/>
                <w:szCs w:val="20"/>
              </w:rPr>
            </w:pPr>
            <w:r>
              <w:rPr>
                <w:sz w:val="20"/>
                <w:szCs w:val="20"/>
              </w:rPr>
              <w:t>0.7156</w:t>
            </w:r>
          </w:p>
        </w:tc>
      </w:tr>
      <w:tr w:rsidR="00F06373"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8"/>
              <w:jc w:val="right"/>
              <w:rPr>
                <w:sz w:val="20"/>
                <w:szCs w:val="20"/>
              </w:rPr>
            </w:pPr>
            <w:r>
              <w:rPr>
                <w:sz w:val="20"/>
                <w:szCs w:val="20"/>
              </w:rPr>
              <w:t>3</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7"/>
              <w:jc w:val="right"/>
              <w:rPr>
                <w:sz w:val="20"/>
                <w:szCs w:val="20"/>
              </w:rPr>
            </w:pPr>
            <w:r>
              <w:rPr>
                <w:sz w:val="20"/>
                <w:szCs w:val="20"/>
              </w:rPr>
              <w:t>0.7074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78"/>
              <w:rPr>
                <w:sz w:val="20"/>
                <w:szCs w:val="20"/>
              </w:rPr>
            </w:pPr>
            <w:r>
              <w:rPr>
                <w:sz w:val="20"/>
                <w:szCs w:val="20"/>
              </w:rPr>
              <w:t>0.6993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6"/>
              <w:jc w:val="right"/>
              <w:rPr>
                <w:sz w:val="20"/>
                <w:szCs w:val="20"/>
              </w:rPr>
            </w:pPr>
            <w:r>
              <w:rPr>
                <w:sz w:val="20"/>
                <w:szCs w:val="20"/>
              </w:rPr>
              <w:t>0.6913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48" w:right="69"/>
              <w:jc w:val="center"/>
              <w:rPr>
                <w:sz w:val="20"/>
                <w:szCs w:val="20"/>
              </w:rPr>
            </w:pPr>
            <w:r>
              <w:rPr>
                <w:sz w:val="20"/>
                <w:szCs w:val="20"/>
              </w:rPr>
              <w:t>0.6833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4"/>
              <w:jc w:val="right"/>
              <w:rPr>
                <w:sz w:val="20"/>
                <w:szCs w:val="20"/>
              </w:rPr>
            </w:pPr>
            <w:r>
              <w:rPr>
                <w:sz w:val="20"/>
                <w:szCs w:val="20"/>
              </w:rPr>
              <w:t>0.6755</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1"/>
              <w:jc w:val="right"/>
              <w:rPr>
                <w:sz w:val="20"/>
                <w:szCs w:val="20"/>
              </w:rPr>
            </w:pPr>
            <w:r>
              <w:rPr>
                <w:sz w:val="20"/>
                <w:szCs w:val="20"/>
              </w:rPr>
              <w:t>0.6677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76"/>
              <w:jc w:val="right"/>
              <w:rPr>
                <w:sz w:val="20"/>
                <w:szCs w:val="20"/>
              </w:rPr>
            </w:pPr>
            <w:r>
              <w:rPr>
                <w:sz w:val="20"/>
                <w:szCs w:val="20"/>
              </w:rPr>
              <w:t>0.6601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82"/>
              <w:rPr>
                <w:sz w:val="20"/>
                <w:szCs w:val="20"/>
              </w:rPr>
            </w:pPr>
            <w:r>
              <w:rPr>
                <w:sz w:val="20"/>
                <w:szCs w:val="20"/>
              </w:rPr>
              <w:t>0.6525</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89"/>
              <w:jc w:val="right"/>
              <w:rPr>
                <w:sz w:val="20"/>
                <w:szCs w:val="20"/>
              </w:rPr>
            </w:pPr>
            <w:r>
              <w:rPr>
                <w:sz w:val="20"/>
                <w:szCs w:val="20"/>
              </w:rPr>
              <w:t>0.6450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58" w:right="60"/>
              <w:jc w:val="center"/>
              <w:rPr>
                <w:sz w:val="20"/>
                <w:szCs w:val="20"/>
              </w:rPr>
            </w:pPr>
            <w:r>
              <w:rPr>
                <w:sz w:val="20"/>
                <w:szCs w:val="20"/>
              </w:rPr>
              <w:t>0.6376</w:t>
            </w:r>
          </w:p>
        </w:tc>
      </w:tr>
      <w:tr w:rsidR="00F06373"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8"/>
              <w:jc w:val="right"/>
              <w:rPr>
                <w:sz w:val="20"/>
                <w:szCs w:val="20"/>
              </w:rPr>
            </w:pPr>
            <w:r>
              <w:rPr>
                <w:sz w:val="20"/>
                <w:szCs w:val="20"/>
              </w:rPr>
              <w:t>4</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7"/>
              <w:jc w:val="right"/>
              <w:rPr>
                <w:sz w:val="20"/>
                <w:szCs w:val="20"/>
              </w:rPr>
            </w:pPr>
            <w:r>
              <w:rPr>
                <w:sz w:val="20"/>
                <w:szCs w:val="20"/>
              </w:rPr>
              <w:t>0.6303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78"/>
              <w:rPr>
                <w:sz w:val="20"/>
                <w:szCs w:val="20"/>
              </w:rPr>
            </w:pPr>
            <w:r>
              <w:rPr>
                <w:sz w:val="20"/>
                <w:szCs w:val="20"/>
              </w:rPr>
              <w:t>0.6231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6"/>
              <w:jc w:val="right"/>
              <w:rPr>
                <w:sz w:val="20"/>
                <w:szCs w:val="20"/>
              </w:rPr>
            </w:pPr>
            <w:r>
              <w:rPr>
                <w:sz w:val="20"/>
                <w:szCs w:val="20"/>
              </w:rPr>
              <w:t>0.6159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48" w:right="69"/>
              <w:jc w:val="center"/>
              <w:rPr>
                <w:sz w:val="20"/>
                <w:szCs w:val="20"/>
              </w:rPr>
            </w:pPr>
            <w:r>
              <w:rPr>
                <w:sz w:val="20"/>
                <w:szCs w:val="20"/>
              </w:rPr>
              <w:t>0.6089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4"/>
              <w:jc w:val="right"/>
              <w:rPr>
                <w:sz w:val="20"/>
                <w:szCs w:val="20"/>
              </w:rPr>
            </w:pPr>
            <w:r>
              <w:rPr>
                <w:sz w:val="20"/>
                <w:szCs w:val="20"/>
              </w:rPr>
              <w:t>0.6019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1"/>
              <w:jc w:val="right"/>
              <w:rPr>
                <w:sz w:val="20"/>
                <w:szCs w:val="20"/>
              </w:rPr>
            </w:pPr>
            <w:r>
              <w:rPr>
                <w:sz w:val="20"/>
                <w:szCs w:val="20"/>
              </w:rPr>
              <w:t>0.5950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76"/>
              <w:jc w:val="right"/>
              <w:rPr>
                <w:sz w:val="20"/>
                <w:szCs w:val="20"/>
              </w:rPr>
            </w:pPr>
            <w:r>
              <w:rPr>
                <w:sz w:val="20"/>
                <w:szCs w:val="20"/>
              </w:rPr>
              <w:t>0.5881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82"/>
              <w:rPr>
                <w:sz w:val="20"/>
                <w:szCs w:val="20"/>
              </w:rPr>
            </w:pPr>
            <w:r>
              <w:rPr>
                <w:sz w:val="20"/>
                <w:szCs w:val="20"/>
              </w:rPr>
              <w:t>0.5814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89"/>
              <w:jc w:val="right"/>
              <w:rPr>
                <w:sz w:val="20"/>
                <w:szCs w:val="20"/>
              </w:rPr>
            </w:pPr>
            <w:r>
              <w:rPr>
                <w:sz w:val="20"/>
                <w:szCs w:val="20"/>
              </w:rPr>
              <w:t>0.5747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58" w:right="60"/>
              <w:jc w:val="center"/>
              <w:rPr>
                <w:sz w:val="20"/>
                <w:szCs w:val="20"/>
              </w:rPr>
            </w:pPr>
            <w:r>
              <w:rPr>
                <w:sz w:val="20"/>
                <w:szCs w:val="20"/>
              </w:rPr>
              <w:t>0.5681</w:t>
            </w:r>
          </w:p>
        </w:tc>
      </w:tr>
      <w:tr w:rsidR="00F06373"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8"/>
              <w:jc w:val="right"/>
              <w:rPr>
                <w:sz w:val="20"/>
                <w:szCs w:val="20"/>
              </w:rPr>
            </w:pPr>
            <w:r>
              <w:rPr>
                <w:sz w:val="20"/>
                <w:szCs w:val="20"/>
              </w:rPr>
              <w:t>5</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7"/>
              <w:jc w:val="right"/>
              <w:rPr>
                <w:sz w:val="20"/>
                <w:szCs w:val="20"/>
              </w:rPr>
            </w:pPr>
            <w:r>
              <w:rPr>
                <w:sz w:val="20"/>
                <w:szCs w:val="20"/>
              </w:rPr>
              <w:t>0.5616</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78"/>
              <w:rPr>
                <w:sz w:val="20"/>
                <w:szCs w:val="20"/>
              </w:rPr>
            </w:pPr>
            <w:r>
              <w:rPr>
                <w:sz w:val="20"/>
                <w:szCs w:val="20"/>
              </w:rPr>
              <w:t>0.5552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6"/>
              <w:jc w:val="right"/>
              <w:rPr>
                <w:sz w:val="20"/>
                <w:szCs w:val="20"/>
              </w:rPr>
            </w:pPr>
            <w:r>
              <w:rPr>
                <w:sz w:val="20"/>
                <w:szCs w:val="20"/>
              </w:rPr>
              <w:t>0.5488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48" w:right="69"/>
              <w:jc w:val="center"/>
              <w:rPr>
                <w:sz w:val="20"/>
                <w:szCs w:val="20"/>
              </w:rPr>
            </w:pPr>
            <w:r>
              <w:rPr>
                <w:sz w:val="20"/>
                <w:szCs w:val="20"/>
              </w:rPr>
              <w:t>0.5425</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4"/>
              <w:jc w:val="right"/>
              <w:rPr>
                <w:sz w:val="20"/>
                <w:szCs w:val="20"/>
              </w:rPr>
            </w:pPr>
            <w:r>
              <w:rPr>
                <w:sz w:val="20"/>
                <w:szCs w:val="20"/>
              </w:rPr>
              <w:t>0.5363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1"/>
              <w:jc w:val="right"/>
              <w:rPr>
                <w:sz w:val="20"/>
                <w:szCs w:val="20"/>
              </w:rPr>
            </w:pPr>
            <w:r>
              <w:rPr>
                <w:sz w:val="20"/>
                <w:szCs w:val="20"/>
              </w:rPr>
              <w:t>0.5301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76"/>
              <w:jc w:val="right"/>
              <w:rPr>
                <w:sz w:val="20"/>
                <w:szCs w:val="20"/>
              </w:rPr>
            </w:pPr>
            <w:r>
              <w:rPr>
                <w:sz w:val="20"/>
                <w:szCs w:val="20"/>
              </w:rPr>
              <w:t>0.5240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82"/>
              <w:rPr>
                <w:sz w:val="20"/>
                <w:szCs w:val="20"/>
              </w:rPr>
            </w:pPr>
            <w:r>
              <w:rPr>
                <w:sz w:val="20"/>
                <w:szCs w:val="20"/>
              </w:rPr>
              <w:t>0.5180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89"/>
              <w:jc w:val="right"/>
              <w:rPr>
                <w:sz w:val="20"/>
                <w:szCs w:val="20"/>
              </w:rPr>
            </w:pPr>
            <w:r>
              <w:rPr>
                <w:sz w:val="20"/>
                <w:szCs w:val="20"/>
              </w:rPr>
              <w:t>0.5121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58" w:right="60"/>
              <w:jc w:val="center"/>
              <w:rPr>
                <w:sz w:val="20"/>
                <w:szCs w:val="20"/>
              </w:rPr>
            </w:pPr>
            <w:r>
              <w:rPr>
                <w:sz w:val="20"/>
                <w:szCs w:val="20"/>
              </w:rPr>
              <w:t>0.5062</w:t>
            </w:r>
          </w:p>
        </w:tc>
      </w:tr>
      <w:tr w:rsidR="00F06373"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8"/>
              <w:jc w:val="right"/>
              <w:rPr>
                <w:sz w:val="20"/>
                <w:szCs w:val="20"/>
              </w:rPr>
            </w:pPr>
            <w:r>
              <w:rPr>
                <w:sz w:val="20"/>
                <w:szCs w:val="20"/>
              </w:rPr>
              <w:t>6</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7"/>
              <w:jc w:val="right"/>
              <w:rPr>
                <w:sz w:val="20"/>
                <w:szCs w:val="20"/>
              </w:rPr>
            </w:pPr>
            <w:r>
              <w:rPr>
                <w:sz w:val="20"/>
                <w:szCs w:val="20"/>
              </w:rPr>
              <w:t>0.5004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78"/>
              <w:rPr>
                <w:sz w:val="20"/>
                <w:szCs w:val="20"/>
              </w:rPr>
            </w:pPr>
            <w:r>
              <w:rPr>
                <w:sz w:val="20"/>
                <w:szCs w:val="20"/>
              </w:rPr>
              <w:t>0.4947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6"/>
              <w:jc w:val="right"/>
              <w:rPr>
                <w:sz w:val="20"/>
                <w:szCs w:val="20"/>
              </w:rPr>
            </w:pPr>
            <w:r>
              <w:rPr>
                <w:sz w:val="20"/>
                <w:szCs w:val="20"/>
              </w:rPr>
              <w:t>0.4890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48" w:right="69"/>
              <w:jc w:val="center"/>
              <w:rPr>
                <w:sz w:val="20"/>
                <w:szCs w:val="20"/>
              </w:rPr>
            </w:pPr>
            <w:r>
              <w:rPr>
                <w:sz w:val="20"/>
                <w:szCs w:val="20"/>
              </w:rPr>
              <w:t>0.4834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4"/>
              <w:jc w:val="right"/>
              <w:rPr>
                <w:sz w:val="20"/>
                <w:szCs w:val="20"/>
              </w:rPr>
            </w:pPr>
            <w:r>
              <w:rPr>
                <w:sz w:val="20"/>
                <w:szCs w:val="20"/>
              </w:rPr>
              <w:t>0.4778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1"/>
              <w:jc w:val="right"/>
              <w:rPr>
                <w:sz w:val="20"/>
                <w:szCs w:val="20"/>
              </w:rPr>
            </w:pPr>
            <w:r>
              <w:rPr>
                <w:sz w:val="20"/>
                <w:szCs w:val="20"/>
              </w:rPr>
              <w:t>0.4723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76"/>
              <w:jc w:val="right"/>
              <w:rPr>
                <w:sz w:val="20"/>
                <w:szCs w:val="20"/>
              </w:rPr>
            </w:pPr>
            <w:r>
              <w:rPr>
                <w:sz w:val="20"/>
                <w:szCs w:val="20"/>
              </w:rPr>
              <w:t>0.4669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82"/>
              <w:rPr>
                <w:sz w:val="20"/>
                <w:szCs w:val="20"/>
              </w:rPr>
            </w:pPr>
            <w:r>
              <w:rPr>
                <w:sz w:val="20"/>
                <w:szCs w:val="20"/>
              </w:rPr>
              <w:t>0.4616</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89"/>
              <w:jc w:val="right"/>
              <w:rPr>
                <w:sz w:val="20"/>
                <w:szCs w:val="20"/>
              </w:rPr>
            </w:pPr>
            <w:r>
              <w:rPr>
                <w:sz w:val="20"/>
                <w:szCs w:val="20"/>
              </w:rPr>
              <w:t>0.4563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58" w:right="60"/>
              <w:jc w:val="center"/>
              <w:rPr>
                <w:sz w:val="20"/>
                <w:szCs w:val="20"/>
              </w:rPr>
            </w:pPr>
            <w:r>
              <w:rPr>
                <w:sz w:val="20"/>
                <w:szCs w:val="20"/>
              </w:rPr>
              <w:t>0.4510</w:t>
            </w:r>
          </w:p>
        </w:tc>
      </w:tr>
      <w:tr w:rsidR="00F06373"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8"/>
              <w:jc w:val="right"/>
              <w:rPr>
                <w:sz w:val="20"/>
                <w:szCs w:val="20"/>
              </w:rPr>
            </w:pPr>
            <w:r>
              <w:rPr>
                <w:sz w:val="20"/>
                <w:szCs w:val="20"/>
              </w:rPr>
              <w:t>7</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7"/>
              <w:jc w:val="right"/>
              <w:rPr>
                <w:sz w:val="20"/>
                <w:szCs w:val="20"/>
              </w:rPr>
            </w:pPr>
            <w:r>
              <w:rPr>
                <w:sz w:val="20"/>
                <w:szCs w:val="20"/>
              </w:rPr>
              <w:t>0.4459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78"/>
              <w:rPr>
                <w:sz w:val="20"/>
                <w:szCs w:val="20"/>
              </w:rPr>
            </w:pPr>
            <w:r>
              <w:rPr>
                <w:sz w:val="20"/>
                <w:szCs w:val="20"/>
              </w:rPr>
              <w:t>0.4408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6"/>
              <w:jc w:val="right"/>
              <w:rPr>
                <w:sz w:val="20"/>
                <w:szCs w:val="20"/>
              </w:rPr>
            </w:pPr>
            <w:r>
              <w:rPr>
                <w:sz w:val="20"/>
                <w:szCs w:val="20"/>
              </w:rPr>
              <w:t>0.4357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48" w:right="69"/>
              <w:jc w:val="center"/>
              <w:rPr>
                <w:sz w:val="20"/>
                <w:szCs w:val="20"/>
              </w:rPr>
            </w:pPr>
            <w:r>
              <w:rPr>
                <w:sz w:val="20"/>
                <w:szCs w:val="20"/>
              </w:rPr>
              <w:t>0.4307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4"/>
              <w:jc w:val="right"/>
              <w:rPr>
                <w:sz w:val="20"/>
                <w:szCs w:val="20"/>
              </w:rPr>
            </w:pPr>
            <w:r>
              <w:rPr>
                <w:sz w:val="20"/>
                <w:szCs w:val="20"/>
              </w:rPr>
              <w:t>0.4258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1"/>
              <w:jc w:val="right"/>
              <w:rPr>
                <w:sz w:val="20"/>
                <w:szCs w:val="20"/>
              </w:rPr>
            </w:pPr>
            <w:r>
              <w:rPr>
                <w:sz w:val="20"/>
                <w:szCs w:val="20"/>
              </w:rPr>
              <w:t>0.4209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76"/>
              <w:jc w:val="right"/>
              <w:rPr>
                <w:sz w:val="20"/>
                <w:szCs w:val="20"/>
              </w:rPr>
            </w:pPr>
            <w:r>
              <w:rPr>
                <w:sz w:val="20"/>
                <w:szCs w:val="20"/>
              </w:rPr>
              <w:t>0.4160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82"/>
              <w:rPr>
                <w:sz w:val="20"/>
                <w:szCs w:val="20"/>
              </w:rPr>
            </w:pPr>
            <w:r>
              <w:rPr>
                <w:sz w:val="20"/>
                <w:szCs w:val="20"/>
              </w:rPr>
              <w:t>0.4113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89"/>
              <w:jc w:val="right"/>
              <w:rPr>
                <w:sz w:val="20"/>
                <w:szCs w:val="20"/>
              </w:rPr>
            </w:pPr>
            <w:r>
              <w:rPr>
                <w:sz w:val="20"/>
                <w:szCs w:val="20"/>
              </w:rPr>
              <w:t>0.4066</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58" w:right="60"/>
              <w:jc w:val="center"/>
              <w:rPr>
                <w:sz w:val="20"/>
                <w:szCs w:val="20"/>
              </w:rPr>
            </w:pPr>
            <w:r>
              <w:rPr>
                <w:sz w:val="20"/>
                <w:szCs w:val="20"/>
              </w:rPr>
              <w:t>0.4019</w:t>
            </w:r>
          </w:p>
        </w:tc>
      </w:tr>
      <w:tr w:rsidR="00F06373" w:rsidTr="00513970">
        <w:trPr>
          <w:trHeight w:val="246"/>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8"/>
              <w:jc w:val="right"/>
              <w:rPr>
                <w:sz w:val="20"/>
                <w:szCs w:val="20"/>
              </w:rPr>
            </w:pPr>
            <w:r>
              <w:rPr>
                <w:sz w:val="20"/>
                <w:szCs w:val="20"/>
              </w:rPr>
              <w:t>8</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7"/>
              <w:jc w:val="right"/>
              <w:rPr>
                <w:sz w:val="20"/>
                <w:szCs w:val="20"/>
              </w:rPr>
            </w:pPr>
            <w:r>
              <w:rPr>
                <w:sz w:val="20"/>
                <w:szCs w:val="20"/>
              </w:rPr>
              <w:t>0.3973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78"/>
              <w:rPr>
                <w:sz w:val="20"/>
                <w:szCs w:val="20"/>
              </w:rPr>
            </w:pPr>
            <w:r>
              <w:rPr>
                <w:sz w:val="20"/>
                <w:szCs w:val="20"/>
              </w:rPr>
              <w:t>0.3927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6"/>
              <w:jc w:val="right"/>
              <w:rPr>
                <w:sz w:val="20"/>
                <w:szCs w:val="20"/>
              </w:rPr>
            </w:pPr>
            <w:r>
              <w:rPr>
                <w:sz w:val="20"/>
                <w:szCs w:val="20"/>
              </w:rPr>
              <w:t>0.3882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48" w:right="69"/>
              <w:jc w:val="center"/>
              <w:rPr>
                <w:sz w:val="20"/>
                <w:szCs w:val="20"/>
              </w:rPr>
            </w:pPr>
            <w:r>
              <w:rPr>
                <w:sz w:val="20"/>
                <w:szCs w:val="20"/>
              </w:rPr>
              <w:t>0.3838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4"/>
              <w:jc w:val="right"/>
              <w:rPr>
                <w:sz w:val="20"/>
                <w:szCs w:val="20"/>
              </w:rPr>
            </w:pPr>
            <w:r>
              <w:rPr>
                <w:sz w:val="20"/>
                <w:szCs w:val="20"/>
              </w:rPr>
              <w:t>0.3794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1"/>
              <w:jc w:val="right"/>
              <w:rPr>
                <w:sz w:val="20"/>
                <w:szCs w:val="20"/>
              </w:rPr>
            </w:pPr>
            <w:r>
              <w:rPr>
                <w:sz w:val="20"/>
                <w:szCs w:val="20"/>
              </w:rPr>
              <w:t>0.3750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76"/>
              <w:jc w:val="right"/>
              <w:rPr>
                <w:sz w:val="20"/>
                <w:szCs w:val="20"/>
              </w:rPr>
            </w:pPr>
            <w:r>
              <w:rPr>
                <w:sz w:val="20"/>
                <w:szCs w:val="20"/>
              </w:rPr>
              <w:t>0.3707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82"/>
              <w:rPr>
                <w:sz w:val="20"/>
                <w:szCs w:val="20"/>
              </w:rPr>
            </w:pPr>
            <w:r>
              <w:rPr>
                <w:sz w:val="20"/>
                <w:szCs w:val="20"/>
              </w:rPr>
              <w:t>0.3664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89"/>
              <w:jc w:val="right"/>
              <w:rPr>
                <w:sz w:val="20"/>
                <w:szCs w:val="20"/>
              </w:rPr>
            </w:pPr>
            <w:r>
              <w:rPr>
                <w:sz w:val="20"/>
                <w:szCs w:val="20"/>
              </w:rPr>
              <w:t>0.3622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58" w:right="60"/>
              <w:jc w:val="center"/>
              <w:rPr>
                <w:sz w:val="20"/>
                <w:szCs w:val="20"/>
              </w:rPr>
            </w:pPr>
            <w:r>
              <w:rPr>
                <w:sz w:val="20"/>
                <w:szCs w:val="20"/>
              </w:rPr>
              <w:t>0.3581</w:t>
            </w:r>
          </w:p>
        </w:tc>
      </w:tr>
      <w:tr w:rsidR="00F06373"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8"/>
              <w:jc w:val="right"/>
              <w:rPr>
                <w:sz w:val="20"/>
                <w:szCs w:val="20"/>
              </w:rPr>
            </w:pPr>
            <w:r>
              <w:rPr>
                <w:sz w:val="20"/>
                <w:szCs w:val="20"/>
              </w:rPr>
              <w:t>9</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7"/>
              <w:jc w:val="right"/>
              <w:rPr>
                <w:sz w:val="20"/>
                <w:szCs w:val="20"/>
              </w:rPr>
            </w:pPr>
            <w:r>
              <w:rPr>
                <w:sz w:val="20"/>
                <w:szCs w:val="20"/>
              </w:rPr>
              <w:t>0.3540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78"/>
              <w:rPr>
                <w:sz w:val="20"/>
                <w:szCs w:val="20"/>
              </w:rPr>
            </w:pPr>
            <w:r>
              <w:rPr>
                <w:sz w:val="20"/>
                <w:szCs w:val="20"/>
              </w:rPr>
              <w:t>0.3499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6"/>
              <w:jc w:val="right"/>
              <w:rPr>
                <w:sz w:val="20"/>
                <w:szCs w:val="20"/>
              </w:rPr>
            </w:pPr>
            <w:r>
              <w:rPr>
                <w:sz w:val="20"/>
                <w:szCs w:val="20"/>
              </w:rPr>
              <w:t>0.3459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48" w:right="69"/>
              <w:jc w:val="center"/>
              <w:rPr>
                <w:sz w:val="20"/>
                <w:szCs w:val="20"/>
              </w:rPr>
            </w:pPr>
            <w:r>
              <w:rPr>
                <w:sz w:val="20"/>
                <w:szCs w:val="20"/>
              </w:rPr>
              <w:t>0.3419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4"/>
              <w:jc w:val="right"/>
              <w:rPr>
                <w:sz w:val="20"/>
                <w:szCs w:val="20"/>
              </w:rPr>
            </w:pPr>
            <w:r>
              <w:rPr>
                <w:sz w:val="20"/>
                <w:szCs w:val="20"/>
              </w:rPr>
              <w:t>0.3380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1"/>
              <w:jc w:val="right"/>
              <w:rPr>
                <w:sz w:val="20"/>
                <w:szCs w:val="20"/>
              </w:rPr>
            </w:pPr>
            <w:r>
              <w:rPr>
                <w:sz w:val="20"/>
                <w:szCs w:val="20"/>
              </w:rPr>
              <w:t>0.3341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76"/>
              <w:jc w:val="right"/>
              <w:rPr>
                <w:sz w:val="20"/>
                <w:szCs w:val="20"/>
              </w:rPr>
            </w:pPr>
            <w:r>
              <w:rPr>
                <w:sz w:val="20"/>
                <w:szCs w:val="20"/>
              </w:rPr>
              <w:t>0.3303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82"/>
              <w:rPr>
                <w:sz w:val="20"/>
                <w:szCs w:val="20"/>
              </w:rPr>
            </w:pPr>
            <w:r>
              <w:rPr>
                <w:sz w:val="20"/>
                <w:szCs w:val="20"/>
              </w:rPr>
              <w:t>0.3265</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89"/>
              <w:jc w:val="right"/>
              <w:rPr>
                <w:sz w:val="20"/>
                <w:szCs w:val="20"/>
              </w:rPr>
            </w:pPr>
            <w:r>
              <w:rPr>
                <w:sz w:val="20"/>
                <w:szCs w:val="20"/>
              </w:rPr>
              <w:t>0.3228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58" w:right="60"/>
              <w:jc w:val="center"/>
              <w:rPr>
                <w:sz w:val="20"/>
                <w:szCs w:val="20"/>
              </w:rPr>
            </w:pPr>
            <w:r>
              <w:rPr>
                <w:sz w:val="20"/>
                <w:szCs w:val="20"/>
              </w:rPr>
              <w:t>0.3191</w:t>
            </w:r>
          </w:p>
        </w:tc>
      </w:tr>
      <w:tr w:rsidR="00F06373"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8"/>
              <w:jc w:val="right"/>
              <w:rPr>
                <w:sz w:val="20"/>
                <w:szCs w:val="20"/>
              </w:rPr>
            </w:pPr>
            <w:r>
              <w:rPr>
                <w:sz w:val="20"/>
                <w:szCs w:val="20"/>
              </w:rPr>
              <w:t>10</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7"/>
              <w:jc w:val="right"/>
              <w:rPr>
                <w:sz w:val="20"/>
                <w:szCs w:val="20"/>
              </w:rPr>
            </w:pPr>
            <w:r>
              <w:rPr>
                <w:sz w:val="20"/>
                <w:szCs w:val="20"/>
              </w:rPr>
              <w:t>0.3154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78"/>
              <w:rPr>
                <w:sz w:val="20"/>
                <w:szCs w:val="20"/>
              </w:rPr>
            </w:pPr>
            <w:r>
              <w:rPr>
                <w:sz w:val="20"/>
                <w:szCs w:val="20"/>
              </w:rPr>
              <w:t>0.3118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6"/>
              <w:jc w:val="right"/>
              <w:rPr>
                <w:sz w:val="20"/>
                <w:szCs w:val="20"/>
              </w:rPr>
            </w:pPr>
            <w:r>
              <w:rPr>
                <w:sz w:val="20"/>
                <w:szCs w:val="20"/>
              </w:rPr>
              <w:t>0.3882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48" w:right="69"/>
              <w:jc w:val="center"/>
              <w:rPr>
                <w:sz w:val="20"/>
                <w:szCs w:val="20"/>
              </w:rPr>
            </w:pPr>
            <w:r>
              <w:rPr>
                <w:sz w:val="20"/>
                <w:szCs w:val="20"/>
              </w:rPr>
              <w:t>0.3047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4"/>
              <w:jc w:val="right"/>
              <w:rPr>
                <w:sz w:val="20"/>
                <w:szCs w:val="20"/>
              </w:rPr>
            </w:pPr>
            <w:r>
              <w:rPr>
                <w:sz w:val="20"/>
                <w:szCs w:val="20"/>
              </w:rPr>
              <w:t>0.3012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1"/>
              <w:jc w:val="right"/>
              <w:rPr>
                <w:sz w:val="20"/>
                <w:szCs w:val="20"/>
              </w:rPr>
            </w:pPr>
            <w:r>
              <w:rPr>
                <w:sz w:val="20"/>
                <w:szCs w:val="20"/>
              </w:rPr>
              <w:t>0.2977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76"/>
              <w:jc w:val="right"/>
              <w:rPr>
                <w:sz w:val="20"/>
                <w:szCs w:val="20"/>
              </w:rPr>
            </w:pPr>
            <w:r>
              <w:rPr>
                <w:sz w:val="20"/>
                <w:szCs w:val="20"/>
              </w:rPr>
              <w:t>0.2943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82"/>
              <w:rPr>
                <w:sz w:val="20"/>
                <w:szCs w:val="20"/>
              </w:rPr>
            </w:pPr>
            <w:r>
              <w:rPr>
                <w:sz w:val="20"/>
                <w:szCs w:val="20"/>
              </w:rPr>
              <w:t>0.2909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89"/>
              <w:jc w:val="right"/>
              <w:rPr>
                <w:sz w:val="20"/>
                <w:szCs w:val="20"/>
              </w:rPr>
            </w:pPr>
            <w:r>
              <w:rPr>
                <w:sz w:val="20"/>
                <w:szCs w:val="20"/>
              </w:rPr>
              <w:t>0.2876</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58" w:right="60"/>
              <w:jc w:val="center"/>
              <w:rPr>
                <w:sz w:val="20"/>
                <w:szCs w:val="20"/>
              </w:rPr>
            </w:pPr>
            <w:r>
              <w:rPr>
                <w:sz w:val="20"/>
                <w:szCs w:val="20"/>
              </w:rPr>
              <w:t>0.2843</w:t>
            </w:r>
          </w:p>
        </w:tc>
      </w:tr>
      <w:tr w:rsidR="00F06373"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8"/>
              <w:jc w:val="right"/>
              <w:rPr>
                <w:sz w:val="20"/>
                <w:szCs w:val="20"/>
              </w:rPr>
            </w:pPr>
            <w:r>
              <w:rPr>
                <w:sz w:val="20"/>
                <w:szCs w:val="20"/>
              </w:rPr>
              <w:t>11</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7"/>
              <w:jc w:val="right"/>
              <w:rPr>
                <w:sz w:val="20"/>
                <w:szCs w:val="20"/>
              </w:rPr>
            </w:pPr>
            <w:r>
              <w:rPr>
                <w:sz w:val="20"/>
                <w:szCs w:val="20"/>
              </w:rPr>
              <w:t>0.2810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78"/>
              <w:rPr>
                <w:sz w:val="20"/>
                <w:szCs w:val="20"/>
              </w:rPr>
            </w:pPr>
            <w:r>
              <w:rPr>
                <w:sz w:val="20"/>
                <w:szCs w:val="20"/>
              </w:rPr>
              <w:t>0.2778</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6"/>
              <w:jc w:val="right"/>
              <w:rPr>
                <w:sz w:val="20"/>
                <w:szCs w:val="20"/>
              </w:rPr>
            </w:pPr>
            <w:r>
              <w:rPr>
                <w:sz w:val="20"/>
                <w:szCs w:val="20"/>
              </w:rPr>
              <w:t>0.2746</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48" w:right="69"/>
              <w:jc w:val="center"/>
              <w:rPr>
                <w:sz w:val="20"/>
                <w:szCs w:val="20"/>
              </w:rPr>
            </w:pPr>
            <w:r>
              <w:rPr>
                <w:sz w:val="20"/>
                <w:szCs w:val="20"/>
              </w:rPr>
              <w:t>0.2715</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4"/>
              <w:jc w:val="right"/>
              <w:rPr>
                <w:sz w:val="20"/>
                <w:szCs w:val="20"/>
              </w:rPr>
            </w:pPr>
            <w:r>
              <w:rPr>
                <w:sz w:val="20"/>
                <w:szCs w:val="20"/>
              </w:rPr>
              <w:t>0.2684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91"/>
              <w:jc w:val="right"/>
              <w:rPr>
                <w:sz w:val="20"/>
                <w:szCs w:val="20"/>
              </w:rPr>
            </w:pPr>
            <w:r>
              <w:rPr>
                <w:sz w:val="20"/>
                <w:szCs w:val="20"/>
              </w:rPr>
              <w:t>0.2653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76"/>
              <w:jc w:val="right"/>
              <w:rPr>
                <w:sz w:val="20"/>
                <w:szCs w:val="20"/>
              </w:rPr>
            </w:pPr>
            <w:r>
              <w:rPr>
                <w:sz w:val="20"/>
                <w:szCs w:val="20"/>
              </w:rPr>
              <w:t>0.2622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82"/>
              <w:rPr>
                <w:sz w:val="20"/>
                <w:szCs w:val="20"/>
              </w:rPr>
            </w:pPr>
            <w:r>
              <w:rPr>
                <w:sz w:val="20"/>
                <w:szCs w:val="20"/>
              </w:rPr>
              <w:t>0.2592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right="89"/>
              <w:jc w:val="right"/>
              <w:rPr>
                <w:sz w:val="20"/>
                <w:szCs w:val="20"/>
              </w:rPr>
            </w:pPr>
            <w:r>
              <w:rPr>
                <w:sz w:val="20"/>
                <w:szCs w:val="20"/>
              </w:rPr>
              <w:t>0.2562</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2" w:lineRule="exact"/>
              <w:ind w:left="158" w:right="60"/>
              <w:jc w:val="center"/>
              <w:rPr>
                <w:sz w:val="20"/>
                <w:szCs w:val="20"/>
              </w:rPr>
            </w:pPr>
            <w:r>
              <w:rPr>
                <w:sz w:val="20"/>
                <w:szCs w:val="20"/>
              </w:rPr>
              <w:t>0.2533</w:t>
            </w:r>
          </w:p>
        </w:tc>
      </w:tr>
      <w:tr w:rsidR="00F06373" w:rsidTr="00513970">
        <w:trPr>
          <w:trHeight w:val="246"/>
        </w:trPr>
        <w:tc>
          <w:tcPr>
            <w:tcW w:w="560"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8"/>
              <w:jc w:val="right"/>
              <w:rPr>
                <w:sz w:val="20"/>
                <w:szCs w:val="20"/>
              </w:rPr>
            </w:pPr>
            <w:r>
              <w:rPr>
                <w:sz w:val="20"/>
                <w:szCs w:val="20"/>
              </w:rPr>
              <w:t>12</w:t>
            </w:r>
          </w:p>
        </w:tc>
        <w:tc>
          <w:tcPr>
            <w:tcW w:w="971"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7"/>
              <w:jc w:val="right"/>
              <w:rPr>
                <w:sz w:val="20"/>
                <w:szCs w:val="20"/>
              </w:rPr>
            </w:pPr>
            <w:r>
              <w:rPr>
                <w:sz w:val="20"/>
                <w:szCs w:val="20"/>
              </w:rPr>
              <w:t>0.2504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78"/>
              <w:rPr>
                <w:sz w:val="20"/>
                <w:szCs w:val="20"/>
              </w:rPr>
            </w:pPr>
            <w:r>
              <w:rPr>
                <w:sz w:val="20"/>
                <w:szCs w:val="20"/>
              </w:rPr>
              <w:t>0.2475</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6"/>
              <w:jc w:val="right"/>
              <w:rPr>
                <w:sz w:val="20"/>
                <w:szCs w:val="20"/>
              </w:rPr>
            </w:pPr>
            <w:r>
              <w:rPr>
                <w:sz w:val="20"/>
                <w:szCs w:val="20"/>
              </w:rPr>
              <w:t>0.2447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48" w:right="69"/>
              <w:jc w:val="center"/>
              <w:rPr>
                <w:sz w:val="20"/>
                <w:szCs w:val="20"/>
              </w:rPr>
            </w:pPr>
            <w:r>
              <w:rPr>
                <w:sz w:val="20"/>
                <w:szCs w:val="20"/>
              </w:rPr>
              <w:t>0.2419</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4"/>
              <w:jc w:val="right"/>
              <w:rPr>
                <w:sz w:val="20"/>
                <w:szCs w:val="20"/>
              </w:rPr>
            </w:pPr>
            <w:r>
              <w:rPr>
                <w:sz w:val="20"/>
                <w:szCs w:val="20"/>
              </w:rPr>
              <w:t>0.2391</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91"/>
              <w:jc w:val="right"/>
              <w:rPr>
                <w:sz w:val="20"/>
                <w:szCs w:val="20"/>
              </w:rPr>
            </w:pPr>
            <w:r>
              <w:rPr>
                <w:sz w:val="20"/>
                <w:szCs w:val="20"/>
              </w:rPr>
              <w:t>0.2364</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76"/>
              <w:jc w:val="right"/>
              <w:rPr>
                <w:sz w:val="20"/>
                <w:szCs w:val="20"/>
              </w:rPr>
            </w:pPr>
            <w:r>
              <w:rPr>
                <w:sz w:val="20"/>
                <w:szCs w:val="20"/>
              </w:rPr>
              <w:t>0.2337</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82"/>
              <w:rPr>
                <w:sz w:val="20"/>
                <w:szCs w:val="20"/>
              </w:rPr>
            </w:pPr>
            <w:r>
              <w:rPr>
                <w:sz w:val="20"/>
                <w:szCs w:val="20"/>
              </w:rPr>
              <w:t>0.2310</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right="89"/>
              <w:jc w:val="right"/>
              <w:rPr>
                <w:sz w:val="20"/>
                <w:szCs w:val="20"/>
              </w:rPr>
            </w:pPr>
            <w:r>
              <w:rPr>
                <w:sz w:val="20"/>
                <w:szCs w:val="20"/>
              </w:rPr>
              <w:t>0.2283</w:t>
            </w:r>
          </w:p>
        </w:tc>
        <w:tc>
          <w:tcPr>
            <w:tcW w:w="935" w:type="dxa"/>
            <w:tcBorders>
              <w:top w:val="single" w:sz="4" w:space="0" w:color="000000"/>
              <w:left w:val="single" w:sz="4" w:space="0" w:color="000000"/>
              <w:bottom w:val="single" w:sz="4" w:space="0" w:color="000000"/>
              <w:right w:val="single" w:sz="4" w:space="0" w:color="000000"/>
            </w:tcBorders>
            <w:hideMark/>
          </w:tcPr>
          <w:p w:rsidR="00F06373" w:rsidRDefault="00F06373" w:rsidP="00AD647C">
            <w:pPr>
              <w:pStyle w:val="TableParagraph"/>
              <w:spacing w:line="234" w:lineRule="exact"/>
              <w:ind w:left="158" w:right="60"/>
              <w:jc w:val="center"/>
              <w:rPr>
                <w:sz w:val="20"/>
                <w:szCs w:val="20"/>
              </w:rPr>
            </w:pPr>
            <w:r>
              <w:rPr>
                <w:sz w:val="20"/>
                <w:szCs w:val="20"/>
              </w:rPr>
              <w:t>0.2557</w:t>
            </w:r>
          </w:p>
        </w:tc>
      </w:tr>
    </w:tbl>
    <w:p w:rsidR="00F06373" w:rsidRDefault="00F06373" w:rsidP="00F06373">
      <w:pPr>
        <w:ind w:left="450"/>
        <w:rPr>
          <w:sz w:val="20"/>
          <w:szCs w:val="20"/>
        </w:rPr>
      </w:pPr>
    </w:p>
    <w:p w:rsidR="000D072C" w:rsidRDefault="000D072C" w:rsidP="000D072C">
      <w:pPr>
        <w:spacing w:after="0" w:line="240" w:lineRule="auto"/>
        <w:ind w:left="450" w:hanging="876"/>
        <w:rPr>
          <w:rFonts w:ascii="Sylfaen" w:eastAsia="Times New Roman" w:hAnsi="Sylfaen"/>
          <w:sz w:val="20"/>
          <w:szCs w:val="20"/>
          <w:lang w:val="ka-GE"/>
        </w:rPr>
      </w:pPr>
      <w:r>
        <w:rPr>
          <w:rFonts w:ascii="Sylfaen" w:eastAsia="Arial" w:hAnsi="Sylfaen" w:cs="Arial"/>
          <w:b/>
          <w:bCs/>
          <w:sz w:val="18"/>
          <w:szCs w:val="18"/>
          <w:lang w:val="ka-GE"/>
        </w:rPr>
        <w:t>ცხრილი</w:t>
      </w:r>
      <w:r>
        <w:rPr>
          <w:rFonts w:ascii="Sylfaen" w:eastAsia="Arial" w:hAnsi="Sylfaen" w:cs="Arial"/>
          <w:b/>
          <w:bCs/>
          <w:sz w:val="18"/>
          <w:szCs w:val="18"/>
        </w:rPr>
        <w:t xml:space="preserve"> 3: </w:t>
      </w:r>
      <w:r>
        <w:rPr>
          <w:rFonts w:ascii="Sylfaen" w:eastAsia="Times New Roman" w:hAnsi="Sylfaen"/>
          <w:sz w:val="20"/>
          <w:szCs w:val="20"/>
          <w:lang w:val="ka-GE"/>
        </w:rPr>
        <w:t xml:space="preserve">ფაქტორები, რომლებიც იძლევა </w:t>
      </w:r>
      <w:r>
        <w:rPr>
          <w:rFonts w:ascii="Sylfaen" w:eastAsia="Times New Roman" w:hAnsi="Sylfaen"/>
          <w:sz w:val="20"/>
          <w:szCs w:val="20"/>
          <w:vertAlign w:val="superscript"/>
        </w:rPr>
        <w:t>99m</w:t>
      </w:r>
      <w:r>
        <w:rPr>
          <w:rFonts w:ascii="Sylfaen" w:eastAsia="Times New Roman" w:hAnsi="Sylfaen"/>
          <w:sz w:val="20"/>
          <w:szCs w:val="20"/>
        </w:rPr>
        <w:t xml:space="preserve">Tc </w:t>
      </w:r>
      <w:r>
        <w:rPr>
          <w:rFonts w:ascii="Sylfaen" w:eastAsia="Times New Roman" w:hAnsi="Sylfaen"/>
          <w:sz w:val="20"/>
          <w:szCs w:val="20"/>
          <w:lang w:val="ka-GE"/>
        </w:rPr>
        <w:t>ზრდის საშუალებას წინა ელუციიდან სხვადასხვა დროს</w:t>
      </w:r>
    </w:p>
    <w:p w:rsidR="000D072C" w:rsidRDefault="000D072C" w:rsidP="000D072C">
      <w:pPr>
        <w:spacing w:after="0" w:line="240" w:lineRule="auto"/>
        <w:ind w:left="450"/>
        <w:jc w:val="center"/>
        <w:rPr>
          <w:rFonts w:ascii="Sylfaen" w:eastAsia="Times New Roman" w:hAnsi="Sylfaen"/>
          <w:sz w:val="20"/>
          <w:szCs w:val="20"/>
          <w:lang w:val="ka-GE"/>
        </w:rPr>
      </w:pPr>
      <w:r>
        <w:rPr>
          <w:rFonts w:ascii="Sylfaen" w:eastAsia="Times New Roman" w:hAnsi="Sylfaen"/>
          <w:sz w:val="20"/>
          <w:szCs w:val="20"/>
        </w:rPr>
        <w:t>(</w:t>
      </w:r>
      <w:r>
        <w:rPr>
          <w:rFonts w:ascii="Sylfaen" w:eastAsia="Times New Roman" w:hAnsi="Sylfaen"/>
          <w:sz w:val="20"/>
          <w:szCs w:val="20"/>
          <w:vertAlign w:val="superscript"/>
        </w:rPr>
        <w:t>99m</w:t>
      </w:r>
      <w:r>
        <w:rPr>
          <w:rFonts w:ascii="Sylfaen" w:eastAsia="Times New Roman" w:hAnsi="Sylfaen"/>
          <w:sz w:val="20"/>
          <w:szCs w:val="20"/>
        </w:rPr>
        <w:t xml:space="preserve">Tc </w:t>
      </w:r>
      <w:r>
        <w:rPr>
          <w:rFonts w:ascii="Sylfaen" w:eastAsia="Times New Roman" w:hAnsi="Sylfaen"/>
          <w:sz w:val="20"/>
          <w:szCs w:val="20"/>
          <w:lang w:val="ka-GE"/>
        </w:rPr>
        <w:t>ნახევარდაშლის პერიოდი</w:t>
      </w:r>
      <w:r>
        <w:rPr>
          <w:rFonts w:ascii="Sylfaen" w:eastAsia="Times New Roman" w:hAnsi="Sylfaen"/>
          <w:sz w:val="20"/>
          <w:szCs w:val="20"/>
        </w:rPr>
        <w:t xml:space="preserve"> 6.02 </w:t>
      </w:r>
      <w:r>
        <w:rPr>
          <w:rFonts w:ascii="Sylfaen" w:eastAsia="Times New Roman" w:hAnsi="Sylfaen"/>
          <w:sz w:val="20"/>
          <w:szCs w:val="20"/>
          <w:lang w:val="ka-GE"/>
        </w:rPr>
        <w:t>საათი)</w:t>
      </w:r>
    </w:p>
    <w:tbl>
      <w:tblPr>
        <w:tblpPr w:leftFromText="180" w:rightFromText="180" w:vertAnchor="text" w:horzAnchor="margin" w:tblpXSpec="center" w:tblpY="282"/>
        <w:tblW w:w="97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9"/>
        <w:gridCol w:w="875"/>
        <w:gridCol w:w="748"/>
        <w:gridCol w:w="875"/>
        <w:gridCol w:w="748"/>
        <w:gridCol w:w="873"/>
        <w:gridCol w:w="748"/>
        <w:gridCol w:w="873"/>
        <w:gridCol w:w="748"/>
        <w:gridCol w:w="875"/>
        <w:gridCol w:w="745"/>
        <w:gridCol w:w="875"/>
      </w:tblGrid>
      <w:tr w:rsidR="000D072C"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88" w:right="73" w:hanging="88"/>
              <w:jc w:val="center"/>
              <w:rPr>
                <w:b/>
                <w:sz w:val="18"/>
                <w:szCs w:val="18"/>
              </w:rPr>
            </w:pPr>
            <w:r>
              <w:rPr>
                <w:rFonts w:ascii="Sylfaen" w:hAnsi="Sylfaen" w:cs="Sylfaen"/>
                <w:b/>
                <w:sz w:val="18"/>
                <w:szCs w:val="18"/>
              </w:rPr>
              <w:t>საათი</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5"/>
              <w:jc w:val="center"/>
              <w:rPr>
                <w:b/>
                <w:sz w:val="18"/>
                <w:szCs w:val="18"/>
              </w:rPr>
            </w:pPr>
            <w:r>
              <w:rPr>
                <w:rFonts w:ascii="Sylfaen" w:hAnsi="Sylfaen" w:cs="Sylfaen"/>
                <w:b/>
                <w:sz w:val="18"/>
                <w:szCs w:val="18"/>
              </w:rPr>
              <w:t>ფაქტორი</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b/>
                <w:sz w:val="18"/>
                <w:szCs w:val="18"/>
              </w:rPr>
            </w:pPr>
            <w:r>
              <w:rPr>
                <w:rFonts w:ascii="Sylfaen" w:hAnsi="Sylfaen" w:cs="Sylfaen"/>
                <w:b/>
                <w:sz w:val="18"/>
                <w:szCs w:val="18"/>
              </w:rPr>
              <w:t>საათი</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7"/>
              <w:jc w:val="center"/>
              <w:rPr>
                <w:b/>
                <w:sz w:val="18"/>
                <w:szCs w:val="18"/>
              </w:rPr>
            </w:pPr>
            <w:r>
              <w:rPr>
                <w:rFonts w:ascii="Sylfaen" w:hAnsi="Sylfaen" w:cs="Sylfaen"/>
                <w:b/>
                <w:sz w:val="18"/>
                <w:szCs w:val="18"/>
              </w:rPr>
              <w:t>ფაქტორი</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b/>
                <w:sz w:val="18"/>
                <w:szCs w:val="18"/>
              </w:rPr>
            </w:pPr>
            <w:r>
              <w:rPr>
                <w:rFonts w:ascii="Sylfaen" w:hAnsi="Sylfaen" w:cs="Sylfaen"/>
                <w:b/>
                <w:sz w:val="18"/>
                <w:szCs w:val="18"/>
              </w:rPr>
              <w:t>საათი</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1"/>
              <w:jc w:val="center"/>
              <w:rPr>
                <w:b/>
                <w:sz w:val="18"/>
                <w:szCs w:val="18"/>
              </w:rPr>
            </w:pPr>
            <w:r>
              <w:rPr>
                <w:rFonts w:ascii="Sylfaen" w:hAnsi="Sylfaen" w:cs="Sylfaen"/>
                <w:b/>
                <w:sz w:val="18"/>
                <w:szCs w:val="18"/>
              </w:rPr>
              <w:t>ფაქტორი</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b/>
                <w:sz w:val="18"/>
                <w:szCs w:val="18"/>
              </w:rPr>
            </w:pPr>
            <w:r>
              <w:rPr>
                <w:rFonts w:ascii="Sylfaen" w:hAnsi="Sylfaen" w:cs="Sylfaen"/>
                <w:b/>
                <w:sz w:val="18"/>
                <w:szCs w:val="18"/>
              </w:rPr>
              <w:t>საათი</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93"/>
              <w:jc w:val="center"/>
              <w:rPr>
                <w:b/>
                <w:sz w:val="18"/>
                <w:szCs w:val="18"/>
              </w:rPr>
            </w:pPr>
            <w:r>
              <w:rPr>
                <w:rFonts w:ascii="Sylfaen" w:hAnsi="Sylfaen" w:cs="Sylfaen"/>
                <w:b/>
                <w:sz w:val="18"/>
                <w:szCs w:val="18"/>
              </w:rPr>
              <w:t>ფაქტორი</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6" w:right="90"/>
              <w:jc w:val="center"/>
              <w:rPr>
                <w:b/>
                <w:sz w:val="18"/>
                <w:szCs w:val="18"/>
              </w:rPr>
            </w:pPr>
            <w:r>
              <w:rPr>
                <w:rFonts w:ascii="Sylfaen" w:hAnsi="Sylfaen" w:cs="Sylfaen"/>
                <w:b/>
                <w:sz w:val="18"/>
                <w:szCs w:val="18"/>
              </w:rPr>
              <w:t>საათი</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5" w:right="90"/>
              <w:jc w:val="center"/>
              <w:rPr>
                <w:b/>
                <w:sz w:val="18"/>
                <w:szCs w:val="18"/>
              </w:rPr>
            </w:pPr>
            <w:r>
              <w:rPr>
                <w:rFonts w:ascii="Sylfaen" w:hAnsi="Sylfaen" w:cs="Sylfaen"/>
                <w:b/>
                <w:sz w:val="18"/>
                <w:szCs w:val="18"/>
              </w:rPr>
              <w:t>ფაქტორი</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4" w:right="92"/>
              <w:jc w:val="center"/>
              <w:rPr>
                <w:b/>
                <w:sz w:val="18"/>
                <w:szCs w:val="18"/>
              </w:rPr>
            </w:pPr>
            <w:r>
              <w:rPr>
                <w:rFonts w:ascii="Sylfaen" w:hAnsi="Sylfaen" w:cs="Sylfaen"/>
                <w:b/>
                <w:sz w:val="18"/>
                <w:szCs w:val="18"/>
              </w:rPr>
              <w:t>საათი</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18"/>
              <w:rPr>
                <w:b/>
                <w:sz w:val="18"/>
                <w:szCs w:val="18"/>
              </w:rPr>
            </w:pPr>
            <w:r>
              <w:rPr>
                <w:rFonts w:ascii="Sylfaen" w:hAnsi="Sylfaen" w:cs="Sylfaen"/>
                <w:b/>
                <w:sz w:val="18"/>
                <w:szCs w:val="18"/>
              </w:rPr>
              <w:t>ფაქტორი</w:t>
            </w:r>
          </w:p>
        </w:tc>
      </w:tr>
      <w:tr w:rsidR="000D072C" w:rsidTr="00513970">
        <w:trPr>
          <w:trHeight w:val="298"/>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6"/>
              <w:jc w:val="center"/>
              <w:rPr>
                <w:sz w:val="18"/>
                <w:szCs w:val="18"/>
              </w:rPr>
            </w:pPr>
            <w:r>
              <w:rPr>
                <w:sz w:val="18"/>
                <w:szCs w:val="18"/>
              </w:rPr>
              <w:t>1</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00" w:right="85"/>
              <w:jc w:val="center"/>
              <w:rPr>
                <w:sz w:val="18"/>
                <w:szCs w:val="18"/>
              </w:rPr>
            </w:pPr>
            <w:r>
              <w:rPr>
                <w:sz w:val="18"/>
                <w:szCs w:val="18"/>
              </w:rPr>
              <w:t>0.094</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
              <w:jc w:val="center"/>
              <w:rPr>
                <w:sz w:val="18"/>
                <w:szCs w:val="18"/>
              </w:rPr>
            </w:pPr>
            <w:r>
              <w:rPr>
                <w:sz w:val="18"/>
                <w:szCs w:val="18"/>
              </w:rPr>
              <w:t>9</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00" w:right="87"/>
              <w:jc w:val="center"/>
              <w:rPr>
                <w:sz w:val="18"/>
                <w:szCs w:val="18"/>
              </w:rPr>
            </w:pPr>
            <w:r>
              <w:rPr>
                <w:sz w:val="18"/>
                <w:szCs w:val="18"/>
              </w:rPr>
              <w:t>0.579</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7" w:right="90"/>
              <w:jc w:val="center"/>
              <w:rPr>
                <w:sz w:val="18"/>
                <w:szCs w:val="18"/>
              </w:rPr>
            </w:pPr>
            <w:r>
              <w:rPr>
                <w:sz w:val="18"/>
                <w:szCs w:val="18"/>
              </w:rPr>
              <w:t>17</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9" w:right="91"/>
              <w:jc w:val="center"/>
              <w:rPr>
                <w:sz w:val="18"/>
                <w:szCs w:val="18"/>
              </w:rPr>
            </w:pPr>
            <w:r>
              <w:rPr>
                <w:sz w:val="18"/>
                <w:szCs w:val="18"/>
              </w:rPr>
              <w:t>0.788</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8" w:right="89"/>
              <w:jc w:val="center"/>
              <w:rPr>
                <w:sz w:val="18"/>
                <w:szCs w:val="18"/>
              </w:rPr>
            </w:pPr>
            <w:r>
              <w:rPr>
                <w:sz w:val="18"/>
                <w:szCs w:val="18"/>
              </w:rPr>
              <w:t>25</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9" w:right="93"/>
              <w:jc w:val="center"/>
              <w:rPr>
                <w:sz w:val="18"/>
                <w:szCs w:val="18"/>
              </w:rPr>
            </w:pPr>
            <w:r>
              <w:rPr>
                <w:sz w:val="18"/>
                <w:szCs w:val="18"/>
              </w:rPr>
              <w:t>0.879</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7" w:right="90"/>
              <w:jc w:val="center"/>
              <w:rPr>
                <w:sz w:val="18"/>
                <w:szCs w:val="18"/>
              </w:rPr>
            </w:pPr>
            <w:r>
              <w:rPr>
                <w:sz w:val="18"/>
                <w:szCs w:val="18"/>
              </w:rPr>
              <w:t>33</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6" w:right="90"/>
              <w:jc w:val="center"/>
              <w:rPr>
                <w:sz w:val="18"/>
                <w:szCs w:val="18"/>
              </w:rPr>
            </w:pPr>
            <w:r>
              <w:rPr>
                <w:sz w:val="18"/>
                <w:szCs w:val="18"/>
              </w:rPr>
              <w:t>0.918</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4" w:right="91"/>
              <w:jc w:val="center"/>
              <w:rPr>
                <w:sz w:val="18"/>
                <w:szCs w:val="18"/>
              </w:rPr>
            </w:pPr>
            <w:r>
              <w:rPr>
                <w:sz w:val="18"/>
                <w:szCs w:val="18"/>
              </w:rPr>
              <w:t>41</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83"/>
              <w:rPr>
                <w:sz w:val="18"/>
                <w:szCs w:val="18"/>
              </w:rPr>
            </w:pPr>
            <w:r>
              <w:rPr>
                <w:sz w:val="18"/>
                <w:szCs w:val="18"/>
              </w:rPr>
              <w:t>0.935</w:t>
            </w:r>
          </w:p>
        </w:tc>
      </w:tr>
      <w:tr w:rsidR="000D072C"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6"/>
              <w:jc w:val="center"/>
              <w:rPr>
                <w:sz w:val="18"/>
                <w:szCs w:val="18"/>
              </w:rPr>
            </w:pPr>
            <w:r>
              <w:rPr>
                <w:sz w:val="18"/>
                <w:szCs w:val="18"/>
              </w:rPr>
              <w:t>2</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5"/>
              <w:jc w:val="center"/>
              <w:rPr>
                <w:sz w:val="18"/>
                <w:szCs w:val="18"/>
              </w:rPr>
            </w:pPr>
            <w:r>
              <w:rPr>
                <w:sz w:val="18"/>
                <w:szCs w:val="18"/>
              </w:rPr>
              <w:t>0.179</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10</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7"/>
              <w:jc w:val="center"/>
              <w:rPr>
                <w:sz w:val="18"/>
                <w:szCs w:val="18"/>
              </w:rPr>
            </w:pPr>
            <w:r>
              <w:rPr>
                <w:sz w:val="18"/>
                <w:szCs w:val="18"/>
              </w:rPr>
              <w:t>0.615</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18</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1"/>
              <w:jc w:val="center"/>
              <w:rPr>
                <w:sz w:val="18"/>
                <w:szCs w:val="18"/>
              </w:rPr>
            </w:pPr>
            <w:r>
              <w:rPr>
                <w:sz w:val="18"/>
                <w:szCs w:val="18"/>
              </w:rPr>
              <w:t>0.804</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26</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3"/>
              <w:jc w:val="center"/>
              <w:rPr>
                <w:sz w:val="18"/>
                <w:szCs w:val="18"/>
              </w:rPr>
            </w:pPr>
            <w:r>
              <w:rPr>
                <w:sz w:val="18"/>
                <w:szCs w:val="18"/>
              </w:rPr>
              <w:t>0.884</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34</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6" w:right="90"/>
              <w:jc w:val="center"/>
              <w:rPr>
                <w:sz w:val="18"/>
                <w:szCs w:val="18"/>
              </w:rPr>
            </w:pPr>
            <w:r>
              <w:rPr>
                <w:sz w:val="18"/>
                <w:szCs w:val="18"/>
              </w:rPr>
              <w:t>0.921</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4" w:right="91"/>
              <w:jc w:val="center"/>
              <w:rPr>
                <w:sz w:val="18"/>
                <w:szCs w:val="18"/>
              </w:rPr>
            </w:pPr>
            <w:r>
              <w:rPr>
                <w:sz w:val="18"/>
                <w:szCs w:val="18"/>
              </w:rPr>
              <w:t>42</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83"/>
              <w:rPr>
                <w:sz w:val="18"/>
                <w:szCs w:val="18"/>
              </w:rPr>
            </w:pPr>
            <w:r>
              <w:rPr>
                <w:sz w:val="18"/>
                <w:szCs w:val="18"/>
              </w:rPr>
              <w:t>0.937</w:t>
            </w:r>
          </w:p>
        </w:tc>
      </w:tr>
      <w:tr w:rsidR="000D072C"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6"/>
              <w:jc w:val="center"/>
              <w:rPr>
                <w:sz w:val="18"/>
                <w:szCs w:val="18"/>
              </w:rPr>
            </w:pPr>
            <w:r>
              <w:rPr>
                <w:sz w:val="18"/>
                <w:szCs w:val="18"/>
              </w:rPr>
              <w:t>3</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5"/>
              <w:jc w:val="center"/>
              <w:rPr>
                <w:sz w:val="18"/>
                <w:szCs w:val="18"/>
              </w:rPr>
            </w:pPr>
            <w:r>
              <w:rPr>
                <w:sz w:val="18"/>
                <w:szCs w:val="18"/>
              </w:rPr>
              <w:t>0.256</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11</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7"/>
              <w:jc w:val="center"/>
              <w:rPr>
                <w:sz w:val="18"/>
                <w:szCs w:val="18"/>
              </w:rPr>
            </w:pPr>
            <w:r>
              <w:rPr>
                <w:sz w:val="18"/>
                <w:szCs w:val="18"/>
              </w:rPr>
              <w:t>0.648</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19</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1"/>
              <w:jc w:val="center"/>
              <w:rPr>
                <w:sz w:val="18"/>
                <w:szCs w:val="18"/>
              </w:rPr>
            </w:pPr>
            <w:r>
              <w:rPr>
                <w:sz w:val="18"/>
                <w:szCs w:val="18"/>
              </w:rPr>
              <w:t>0.818</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27</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3"/>
              <w:jc w:val="center"/>
              <w:rPr>
                <w:sz w:val="18"/>
                <w:szCs w:val="18"/>
              </w:rPr>
            </w:pPr>
            <w:r>
              <w:rPr>
                <w:sz w:val="18"/>
                <w:szCs w:val="18"/>
              </w:rPr>
              <w:t>0.892</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35</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6" w:right="90"/>
              <w:jc w:val="center"/>
              <w:rPr>
                <w:sz w:val="18"/>
                <w:szCs w:val="18"/>
              </w:rPr>
            </w:pPr>
            <w:r>
              <w:rPr>
                <w:sz w:val="18"/>
                <w:szCs w:val="18"/>
              </w:rPr>
              <w:t>0.924</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4" w:right="91"/>
              <w:jc w:val="center"/>
              <w:rPr>
                <w:sz w:val="18"/>
                <w:szCs w:val="18"/>
              </w:rPr>
            </w:pPr>
            <w:r>
              <w:rPr>
                <w:sz w:val="18"/>
                <w:szCs w:val="18"/>
              </w:rPr>
              <w:t>43</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83"/>
              <w:rPr>
                <w:sz w:val="18"/>
                <w:szCs w:val="18"/>
              </w:rPr>
            </w:pPr>
            <w:r>
              <w:rPr>
                <w:sz w:val="18"/>
                <w:szCs w:val="18"/>
              </w:rPr>
              <w:t>0.938</w:t>
            </w:r>
          </w:p>
        </w:tc>
      </w:tr>
      <w:tr w:rsidR="000D072C" w:rsidTr="00513970">
        <w:trPr>
          <w:trHeight w:val="298"/>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6"/>
              <w:jc w:val="center"/>
              <w:rPr>
                <w:sz w:val="18"/>
                <w:szCs w:val="18"/>
              </w:rPr>
            </w:pPr>
            <w:r>
              <w:rPr>
                <w:sz w:val="18"/>
                <w:szCs w:val="18"/>
              </w:rPr>
              <w:t>4</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00" w:right="85"/>
              <w:jc w:val="center"/>
              <w:rPr>
                <w:sz w:val="18"/>
                <w:szCs w:val="18"/>
              </w:rPr>
            </w:pPr>
            <w:r>
              <w:rPr>
                <w:sz w:val="18"/>
                <w:szCs w:val="18"/>
              </w:rPr>
              <w:t>0.324</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8" w:right="89"/>
              <w:jc w:val="center"/>
              <w:rPr>
                <w:sz w:val="18"/>
                <w:szCs w:val="18"/>
              </w:rPr>
            </w:pPr>
            <w:r>
              <w:rPr>
                <w:sz w:val="18"/>
                <w:szCs w:val="18"/>
              </w:rPr>
              <w:t>12</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00" w:right="87"/>
              <w:jc w:val="center"/>
              <w:rPr>
                <w:sz w:val="18"/>
                <w:szCs w:val="18"/>
              </w:rPr>
            </w:pPr>
            <w:r>
              <w:rPr>
                <w:sz w:val="18"/>
                <w:szCs w:val="18"/>
              </w:rPr>
              <w:t>0.678</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7" w:right="90"/>
              <w:jc w:val="center"/>
              <w:rPr>
                <w:sz w:val="18"/>
                <w:szCs w:val="18"/>
              </w:rPr>
            </w:pPr>
            <w:r>
              <w:rPr>
                <w:sz w:val="18"/>
                <w:szCs w:val="18"/>
              </w:rPr>
              <w:t>20</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9" w:right="91"/>
              <w:jc w:val="center"/>
              <w:rPr>
                <w:sz w:val="18"/>
                <w:szCs w:val="18"/>
              </w:rPr>
            </w:pPr>
            <w:r>
              <w:rPr>
                <w:sz w:val="18"/>
                <w:szCs w:val="18"/>
              </w:rPr>
              <w:t>0.831</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8" w:right="89"/>
              <w:jc w:val="center"/>
              <w:rPr>
                <w:sz w:val="18"/>
                <w:szCs w:val="18"/>
              </w:rPr>
            </w:pPr>
            <w:r>
              <w:rPr>
                <w:sz w:val="18"/>
                <w:szCs w:val="18"/>
              </w:rPr>
              <w:t>28</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9" w:right="93"/>
              <w:jc w:val="center"/>
              <w:rPr>
                <w:sz w:val="18"/>
                <w:szCs w:val="18"/>
              </w:rPr>
            </w:pPr>
            <w:r>
              <w:rPr>
                <w:sz w:val="18"/>
                <w:szCs w:val="18"/>
              </w:rPr>
              <w:t>0.898</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7" w:right="90"/>
              <w:jc w:val="center"/>
              <w:rPr>
                <w:sz w:val="18"/>
                <w:szCs w:val="18"/>
              </w:rPr>
            </w:pPr>
            <w:r>
              <w:rPr>
                <w:sz w:val="18"/>
                <w:szCs w:val="18"/>
              </w:rPr>
              <w:t>36</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6" w:right="90"/>
              <w:jc w:val="center"/>
              <w:rPr>
                <w:sz w:val="18"/>
                <w:szCs w:val="18"/>
              </w:rPr>
            </w:pPr>
            <w:r>
              <w:rPr>
                <w:sz w:val="18"/>
                <w:szCs w:val="18"/>
              </w:rPr>
              <w:t>0.926</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4" w:right="91"/>
              <w:jc w:val="center"/>
              <w:rPr>
                <w:sz w:val="18"/>
                <w:szCs w:val="18"/>
              </w:rPr>
            </w:pPr>
            <w:r>
              <w:rPr>
                <w:sz w:val="18"/>
                <w:szCs w:val="18"/>
              </w:rPr>
              <w:t>44</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83"/>
              <w:rPr>
                <w:sz w:val="18"/>
                <w:szCs w:val="18"/>
              </w:rPr>
            </w:pPr>
            <w:r>
              <w:rPr>
                <w:sz w:val="18"/>
                <w:szCs w:val="18"/>
              </w:rPr>
              <w:t>0.940</w:t>
            </w:r>
          </w:p>
        </w:tc>
      </w:tr>
      <w:tr w:rsidR="000D072C"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6"/>
              <w:jc w:val="center"/>
              <w:rPr>
                <w:sz w:val="18"/>
                <w:szCs w:val="18"/>
              </w:rPr>
            </w:pPr>
            <w:r>
              <w:rPr>
                <w:sz w:val="18"/>
                <w:szCs w:val="18"/>
              </w:rPr>
              <w:t>5</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5"/>
              <w:jc w:val="center"/>
              <w:rPr>
                <w:sz w:val="18"/>
                <w:szCs w:val="18"/>
              </w:rPr>
            </w:pPr>
            <w:r>
              <w:rPr>
                <w:sz w:val="18"/>
                <w:szCs w:val="18"/>
              </w:rPr>
              <w:t>0.386</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13</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7"/>
              <w:jc w:val="center"/>
              <w:rPr>
                <w:sz w:val="18"/>
                <w:szCs w:val="18"/>
              </w:rPr>
            </w:pPr>
            <w:r>
              <w:rPr>
                <w:sz w:val="18"/>
                <w:szCs w:val="18"/>
              </w:rPr>
              <w:t>0.705</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21</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1"/>
              <w:jc w:val="center"/>
              <w:rPr>
                <w:sz w:val="18"/>
                <w:szCs w:val="18"/>
              </w:rPr>
            </w:pPr>
            <w:r>
              <w:rPr>
                <w:sz w:val="18"/>
                <w:szCs w:val="18"/>
              </w:rPr>
              <w:t>0.843</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29</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3"/>
              <w:jc w:val="center"/>
              <w:rPr>
                <w:sz w:val="18"/>
                <w:szCs w:val="18"/>
              </w:rPr>
            </w:pPr>
            <w:r>
              <w:rPr>
                <w:sz w:val="18"/>
                <w:szCs w:val="18"/>
              </w:rPr>
              <w:t>0.903</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37</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6" w:right="90"/>
              <w:jc w:val="center"/>
              <w:rPr>
                <w:sz w:val="18"/>
                <w:szCs w:val="18"/>
              </w:rPr>
            </w:pPr>
            <w:r>
              <w:rPr>
                <w:sz w:val="18"/>
                <w:szCs w:val="18"/>
              </w:rPr>
              <w:t>0.929</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4" w:right="91"/>
              <w:jc w:val="center"/>
              <w:rPr>
                <w:sz w:val="18"/>
                <w:szCs w:val="18"/>
              </w:rPr>
            </w:pPr>
            <w:r>
              <w:rPr>
                <w:sz w:val="18"/>
                <w:szCs w:val="18"/>
              </w:rPr>
              <w:t>45</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83"/>
              <w:rPr>
                <w:sz w:val="18"/>
                <w:szCs w:val="18"/>
              </w:rPr>
            </w:pPr>
            <w:r>
              <w:rPr>
                <w:sz w:val="18"/>
                <w:szCs w:val="18"/>
              </w:rPr>
              <w:t>0.941</w:t>
            </w:r>
          </w:p>
        </w:tc>
      </w:tr>
      <w:tr w:rsidR="000D072C"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6"/>
              <w:jc w:val="center"/>
              <w:rPr>
                <w:sz w:val="18"/>
                <w:szCs w:val="18"/>
              </w:rPr>
            </w:pPr>
            <w:r>
              <w:rPr>
                <w:sz w:val="18"/>
                <w:szCs w:val="18"/>
              </w:rPr>
              <w:t>6</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5"/>
              <w:jc w:val="center"/>
              <w:rPr>
                <w:sz w:val="18"/>
                <w:szCs w:val="18"/>
              </w:rPr>
            </w:pPr>
            <w:r>
              <w:rPr>
                <w:sz w:val="18"/>
                <w:szCs w:val="18"/>
              </w:rPr>
              <w:t>0.442</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14</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7"/>
              <w:jc w:val="center"/>
              <w:rPr>
                <w:sz w:val="18"/>
                <w:szCs w:val="18"/>
              </w:rPr>
            </w:pPr>
            <w:r>
              <w:rPr>
                <w:sz w:val="18"/>
                <w:szCs w:val="18"/>
              </w:rPr>
              <w:t>0.729</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22</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1"/>
              <w:jc w:val="center"/>
              <w:rPr>
                <w:sz w:val="18"/>
                <w:szCs w:val="18"/>
              </w:rPr>
            </w:pPr>
            <w:r>
              <w:rPr>
                <w:sz w:val="18"/>
                <w:szCs w:val="18"/>
              </w:rPr>
              <w:t>0.853</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30</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3"/>
              <w:jc w:val="center"/>
              <w:rPr>
                <w:sz w:val="18"/>
                <w:szCs w:val="18"/>
              </w:rPr>
            </w:pPr>
            <w:r>
              <w:rPr>
                <w:sz w:val="18"/>
                <w:szCs w:val="18"/>
              </w:rPr>
              <w:t>0.907</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38</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6" w:right="90"/>
              <w:jc w:val="center"/>
              <w:rPr>
                <w:sz w:val="18"/>
                <w:szCs w:val="18"/>
              </w:rPr>
            </w:pPr>
            <w:r>
              <w:rPr>
                <w:sz w:val="18"/>
                <w:szCs w:val="18"/>
              </w:rPr>
              <w:t>0.930</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4" w:right="91"/>
              <w:jc w:val="center"/>
              <w:rPr>
                <w:sz w:val="18"/>
                <w:szCs w:val="18"/>
              </w:rPr>
            </w:pPr>
            <w:r>
              <w:rPr>
                <w:sz w:val="18"/>
                <w:szCs w:val="18"/>
              </w:rPr>
              <w:t>46</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83"/>
              <w:rPr>
                <w:sz w:val="18"/>
                <w:szCs w:val="18"/>
              </w:rPr>
            </w:pPr>
            <w:r>
              <w:rPr>
                <w:sz w:val="18"/>
                <w:szCs w:val="18"/>
              </w:rPr>
              <w:t>0.941</w:t>
            </w:r>
          </w:p>
        </w:tc>
      </w:tr>
      <w:tr w:rsidR="000D072C" w:rsidTr="00513970">
        <w:trPr>
          <w:trHeight w:val="298"/>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6"/>
              <w:jc w:val="center"/>
              <w:rPr>
                <w:sz w:val="18"/>
                <w:szCs w:val="18"/>
              </w:rPr>
            </w:pPr>
            <w:r>
              <w:rPr>
                <w:sz w:val="18"/>
                <w:szCs w:val="18"/>
              </w:rPr>
              <w:t>7</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00" w:right="85"/>
              <w:jc w:val="center"/>
              <w:rPr>
                <w:sz w:val="18"/>
                <w:szCs w:val="18"/>
              </w:rPr>
            </w:pPr>
            <w:r>
              <w:rPr>
                <w:sz w:val="18"/>
                <w:szCs w:val="18"/>
              </w:rPr>
              <w:t>0.492</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8" w:right="89"/>
              <w:jc w:val="center"/>
              <w:rPr>
                <w:sz w:val="18"/>
                <w:szCs w:val="18"/>
              </w:rPr>
            </w:pPr>
            <w:r>
              <w:rPr>
                <w:sz w:val="18"/>
                <w:szCs w:val="18"/>
              </w:rPr>
              <w:t>15</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00" w:right="87"/>
              <w:jc w:val="center"/>
              <w:rPr>
                <w:sz w:val="18"/>
                <w:szCs w:val="18"/>
              </w:rPr>
            </w:pPr>
            <w:r>
              <w:rPr>
                <w:sz w:val="18"/>
                <w:szCs w:val="18"/>
              </w:rPr>
              <w:t>0.751</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7" w:right="90"/>
              <w:jc w:val="center"/>
              <w:rPr>
                <w:sz w:val="18"/>
                <w:szCs w:val="18"/>
              </w:rPr>
            </w:pPr>
            <w:r>
              <w:rPr>
                <w:sz w:val="18"/>
                <w:szCs w:val="18"/>
              </w:rPr>
              <w:t>23</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9" w:right="91"/>
              <w:jc w:val="center"/>
              <w:rPr>
                <w:sz w:val="18"/>
                <w:szCs w:val="18"/>
              </w:rPr>
            </w:pPr>
            <w:r>
              <w:rPr>
                <w:sz w:val="18"/>
                <w:szCs w:val="18"/>
              </w:rPr>
              <w:t>0.863</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8" w:right="89"/>
              <w:jc w:val="center"/>
              <w:rPr>
                <w:sz w:val="18"/>
                <w:szCs w:val="18"/>
              </w:rPr>
            </w:pPr>
            <w:r>
              <w:rPr>
                <w:sz w:val="18"/>
                <w:szCs w:val="18"/>
              </w:rPr>
              <w:t>31</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9" w:right="93"/>
              <w:jc w:val="center"/>
              <w:rPr>
                <w:sz w:val="18"/>
                <w:szCs w:val="18"/>
              </w:rPr>
            </w:pPr>
            <w:r>
              <w:rPr>
                <w:sz w:val="18"/>
                <w:szCs w:val="18"/>
              </w:rPr>
              <w:t>0.911</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7" w:right="90"/>
              <w:jc w:val="center"/>
              <w:rPr>
                <w:sz w:val="18"/>
                <w:szCs w:val="18"/>
              </w:rPr>
            </w:pPr>
            <w:r>
              <w:rPr>
                <w:sz w:val="18"/>
                <w:szCs w:val="18"/>
              </w:rPr>
              <w:t>39</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6" w:right="90"/>
              <w:jc w:val="center"/>
              <w:rPr>
                <w:sz w:val="18"/>
                <w:szCs w:val="18"/>
              </w:rPr>
            </w:pPr>
            <w:r>
              <w:rPr>
                <w:sz w:val="18"/>
                <w:szCs w:val="18"/>
              </w:rPr>
              <w:t>0.932</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94" w:right="91"/>
              <w:jc w:val="center"/>
              <w:rPr>
                <w:sz w:val="18"/>
                <w:szCs w:val="18"/>
              </w:rPr>
            </w:pPr>
            <w:r>
              <w:rPr>
                <w:sz w:val="18"/>
                <w:szCs w:val="18"/>
              </w:rPr>
              <w:t>47</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1" w:lineRule="exact"/>
              <w:ind w:left="183"/>
              <w:rPr>
                <w:sz w:val="18"/>
                <w:szCs w:val="18"/>
              </w:rPr>
            </w:pPr>
            <w:r>
              <w:rPr>
                <w:sz w:val="18"/>
                <w:szCs w:val="18"/>
              </w:rPr>
              <w:t>0.941</w:t>
            </w:r>
          </w:p>
        </w:tc>
      </w:tr>
      <w:tr w:rsidR="000D072C"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6"/>
              <w:jc w:val="center"/>
              <w:rPr>
                <w:sz w:val="18"/>
                <w:szCs w:val="18"/>
              </w:rPr>
            </w:pPr>
            <w:r>
              <w:rPr>
                <w:sz w:val="18"/>
                <w:szCs w:val="18"/>
              </w:rPr>
              <w:t>8</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5"/>
              <w:jc w:val="center"/>
              <w:rPr>
                <w:sz w:val="18"/>
                <w:szCs w:val="18"/>
              </w:rPr>
            </w:pPr>
            <w:r>
              <w:rPr>
                <w:sz w:val="18"/>
                <w:szCs w:val="18"/>
              </w:rPr>
              <w:t>0.538</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16</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00" w:right="87"/>
              <w:jc w:val="center"/>
              <w:rPr>
                <w:sz w:val="18"/>
                <w:szCs w:val="18"/>
              </w:rPr>
            </w:pPr>
            <w:r>
              <w:rPr>
                <w:sz w:val="18"/>
                <w:szCs w:val="18"/>
              </w:rPr>
              <w:t>0.771</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24</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1"/>
              <w:jc w:val="center"/>
              <w:rPr>
                <w:sz w:val="18"/>
                <w:szCs w:val="18"/>
              </w:rPr>
            </w:pPr>
            <w:r>
              <w:rPr>
                <w:sz w:val="18"/>
                <w:szCs w:val="18"/>
              </w:rPr>
              <w:t>0.871</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8" w:right="89"/>
              <w:jc w:val="center"/>
              <w:rPr>
                <w:sz w:val="18"/>
                <w:szCs w:val="18"/>
              </w:rPr>
            </w:pPr>
            <w:r>
              <w:rPr>
                <w:sz w:val="18"/>
                <w:szCs w:val="18"/>
              </w:rPr>
              <w:t>32</w:t>
            </w:r>
          </w:p>
        </w:tc>
        <w:tc>
          <w:tcPr>
            <w:tcW w:w="873"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9" w:right="93"/>
              <w:jc w:val="center"/>
              <w:rPr>
                <w:sz w:val="18"/>
                <w:szCs w:val="18"/>
              </w:rPr>
            </w:pPr>
            <w:r>
              <w:rPr>
                <w:sz w:val="18"/>
                <w:szCs w:val="18"/>
              </w:rPr>
              <w:t>0.915</w:t>
            </w:r>
          </w:p>
        </w:tc>
        <w:tc>
          <w:tcPr>
            <w:tcW w:w="748"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7" w:right="90"/>
              <w:jc w:val="center"/>
              <w:rPr>
                <w:sz w:val="18"/>
                <w:szCs w:val="18"/>
              </w:rPr>
            </w:pPr>
            <w:r>
              <w:rPr>
                <w:sz w:val="18"/>
                <w:szCs w:val="18"/>
              </w:rPr>
              <w:t>40</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6" w:right="90"/>
              <w:jc w:val="center"/>
              <w:rPr>
                <w:sz w:val="18"/>
                <w:szCs w:val="18"/>
              </w:rPr>
            </w:pPr>
            <w:r>
              <w:rPr>
                <w:sz w:val="18"/>
                <w:szCs w:val="18"/>
              </w:rPr>
              <w:t>0.934</w:t>
            </w:r>
          </w:p>
        </w:tc>
        <w:tc>
          <w:tcPr>
            <w:tcW w:w="74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94" w:right="91"/>
              <w:jc w:val="center"/>
              <w:rPr>
                <w:sz w:val="18"/>
                <w:szCs w:val="18"/>
              </w:rPr>
            </w:pPr>
            <w:r>
              <w:rPr>
                <w:sz w:val="18"/>
                <w:szCs w:val="18"/>
              </w:rPr>
              <w:t>48</w:t>
            </w:r>
          </w:p>
        </w:tc>
        <w:tc>
          <w:tcPr>
            <w:tcW w:w="875" w:type="dxa"/>
            <w:tcBorders>
              <w:top w:val="single" w:sz="6" w:space="0" w:color="000000"/>
              <w:left w:val="single" w:sz="6" w:space="0" w:color="000000"/>
              <w:bottom w:val="single" w:sz="6" w:space="0" w:color="000000"/>
              <w:right w:val="single" w:sz="6" w:space="0" w:color="000000"/>
            </w:tcBorders>
            <w:hideMark/>
          </w:tcPr>
          <w:p w:rsidR="000D072C" w:rsidRDefault="000D072C" w:rsidP="000D072C">
            <w:pPr>
              <w:pStyle w:val="TableParagraph"/>
              <w:spacing w:line="234" w:lineRule="exact"/>
              <w:ind w:left="183"/>
              <w:rPr>
                <w:sz w:val="18"/>
                <w:szCs w:val="18"/>
              </w:rPr>
            </w:pPr>
            <w:r>
              <w:rPr>
                <w:sz w:val="18"/>
                <w:szCs w:val="18"/>
              </w:rPr>
              <w:t>0.942</w:t>
            </w:r>
          </w:p>
        </w:tc>
      </w:tr>
    </w:tbl>
    <w:p w:rsidR="000D072C" w:rsidRDefault="000D072C" w:rsidP="000D072C">
      <w:pPr>
        <w:ind w:left="450"/>
        <w:jc w:val="center"/>
        <w:rPr>
          <w:rFonts w:ascii="Sylfaen" w:eastAsia="Times New Roman" w:hAnsi="Sylfaen"/>
          <w:sz w:val="20"/>
          <w:szCs w:val="20"/>
          <w:lang w:val="ka-GE"/>
        </w:rPr>
      </w:pPr>
    </w:p>
    <w:p w:rsidR="000D072C" w:rsidRDefault="000D072C" w:rsidP="000D072C">
      <w:pPr>
        <w:ind w:left="450"/>
        <w:jc w:val="center"/>
        <w:rPr>
          <w:sz w:val="20"/>
          <w:szCs w:val="20"/>
        </w:rPr>
      </w:pPr>
    </w:p>
    <w:p w:rsidR="00F06373" w:rsidRDefault="00F06373" w:rsidP="002A0C94">
      <w:pPr>
        <w:jc w:val="right"/>
        <w:rPr>
          <w:rFonts w:cstheme="minorHAnsi"/>
          <w:sz w:val="20"/>
          <w:szCs w:val="20"/>
          <w:lang w:val="en-GB"/>
        </w:rPr>
      </w:pPr>
    </w:p>
    <w:p w:rsidR="00F06373" w:rsidRDefault="00F06373" w:rsidP="002A0C94">
      <w:pPr>
        <w:jc w:val="right"/>
        <w:rPr>
          <w:rFonts w:cstheme="minorHAnsi"/>
          <w:sz w:val="20"/>
          <w:szCs w:val="20"/>
          <w:lang w:val="en-GB"/>
        </w:rPr>
      </w:pPr>
    </w:p>
    <w:p w:rsidR="00F06373" w:rsidRDefault="00F06373" w:rsidP="002A0C94">
      <w:pPr>
        <w:jc w:val="right"/>
        <w:rPr>
          <w:rFonts w:cstheme="minorHAnsi"/>
          <w:sz w:val="20"/>
          <w:szCs w:val="20"/>
          <w:lang w:val="en-GB"/>
        </w:rPr>
      </w:pPr>
    </w:p>
    <w:p w:rsidR="00CB7DE9" w:rsidRPr="00FE17E2" w:rsidRDefault="00CB7DE9" w:rsidP="002A0C94">
      <w:pPr>
        <w:jc w:val="right"/>
        <w:rPr>
          <w:rFonts w:cstheme="minorHAnsi"/>
          <w:sz w:val="20"/>
          <w:szCs w:val="20"/>
          <w:lang w:val="en-GB"/>
        </w:rPr>
        <w:sectPr w:rsidR="00CB7DE9" w:rsidRPr="00FE17E2" w:rsidSect="00FE17E2">
          <w:footerReference w:type="even" r:id="rId8"/>
          <w:footerReference w:type="default" r:id="rId9"/>
          <w:footerReference w:type="first" r:id="rId10"/>
          <w:pgSz w:w="11906" w:h="16838"/>
          <w:pgMar w:top="900" w:right="1115" w:bottom="990" w:left="1702" w:header="720" w:footer="557" w:gutter="0"/>
          <w:cols w:space="720"/>
          <w:titlePg/>
        </w:sectPr>
      </w:pPr>
    </w:p>
    <w:p w:rsidR="002A0C94" w:rsidRPr="00FE17E2" w:rsidRDefault="000D072C" w:rsidP="000D072C">
      <w:pPr>
        <w:spacing w:after="18" w:line="265" w:lineRule="auto"/>
        <w:ind w:left="-5"/>
        <w:jc w:val="center"/>
        <w:rPr>
          <w:rFonts w:cstheme="minorHAnsi"/>
          <w:sz w:val="20"/>
          <w:szCs w:val="20"/>
          <w:lang w:val="ka-GE"/>
        </w:rPr>
      </w:pPr>
      <w:r>
        <w:rPr>
          <w:noProof/>
          <w:sz w:val="20"/>
          <w:szCs w:val="20"/>
          <w:lang w:val="ru-RU" w:eastAsia="ru-RU"/>
        </w:rPr>
        <w:lastRenderedPageBreak/>
        <w:drawing>
          <wp:inline distT="0" distB="0" distL="0" distR="0" wp14:anchorId="76447F46" wp14:editId="3CD39026">
            <wp:extent cx="8650849" cy="592601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cstate="print">
                      <a:extLst>
                        <a:ext uri="{28A0092B-C50C-407E-A947-70E740481C1C}">
                          <a14:useLocalDpi xmlns:a14="http://schemas.microsoft.com/office/drawing/2010/main" val="0"/>
                        </a:ext>
                      </a:extLst>
                    </a:blip>
                    <a:srcRect b="7778"/>
                    <a:stretch/>
                  </pic:blipFill>
                  <pic:spPr bwMode="auto">
                    <a:xfrm>
                      <a:off x="0" y="0"/>
                      <a:ext cx="8691353" cy="5953762"/>
                    </a:xfrm>
                    <a:prstGeom prst="rect">
                      <a:avLst/>
                    </a:prstGeom>
                    <a:ln>
                      <a:noFill/>
                    </a:ln>
                    <a:extLst>
                      <a:ext uri="{53640926-AAD7-44D8-BBD7-CCE9431645EC}">
                        <a14:shadowObscured xmlns:a14="http://schemas.microsoft.com/office/drawing/2010/main"/>
                      </a:ext>
                    </a:extLst>
                  </pic:spPr>
                </pic:pic>
              </a:graphicData>
            </a:graphic>
          </wp:inline>
        </w:drawing>
      </w:r>
    </w:p>
    <w:p w:rsidR="000B3CEA" w:rsidRDefault="000B3CEA"/>
    <w:sectPr w:rsidR="000B3CEA" w:rsidSect="000D072C">
      <w:pgSz w:w="15840" w:h="12240" w:orient="landscape"/>
      <w:pgMar w:top="993"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52F" w:rsidRDefault="0098452F">
      <w:pPr>
        <w:spacing w:after="0" w:line="240" w:lineRule="auto"/>
      </w:pPr>
      <w:r>
        <w:separator/>
      </w:r>
    </w:p>
  </w:endnote>
  <w:endnote w:type="continuationSeparator" w:id="0">
    <w:p w:rsidR="0098452F" w:rsidRDefault="00984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A2" w:rsidRDefault="002A0C94">
    <w:pPr>
      <w:spacing w:after="0"/>
      <w:ind w:right="18"/>
      <w:jc w:val="center"/>
    </w:pPr>
    <w:r>
      <w:rPr>
        <w:noProof/>
        <w:lang w:val="ru-RU" w:eastAsia="ru-RU"/>
      </w:rPr>
      <w:drawing>
        <wp:anchor distT="0" distB="0" distL="114300" distR="114300" simplePos="0" relativeHeight="251659264" behindDoc="0" locked="0" layoutInCell="1" allowOverlap="0" wp14:anchorId="4A35B8A2" wp14:editId="09F8F6AC">
          <wp:simplePos x="0" y="0"/>
          <wp:positionH relativeFrom="page">
            <wp:posOffset>5677688</wp:posOffset>
          </wp:positionH>
          <wp:positionV relativeFrom="page">
            <wp:posOffset>9759882</wp:posOffset>
          </wp:positionV>
          <wp:extent cx="1186147" cy="578839"/>
          <wp:effectExtent l="0" t="0" r="0" b="0"/>
          <wp:wrapSquare wrapText="bothSides"/>
          <wp:docPr id="4" name="Picture 14"/>
          <wp:cNvGraphicFramePr/>
          <a:graphic xmlns:a="http://schemas.openxmlformats.org/drawingml/2006/main">
            <a:graphicData uri="http://schemas.openxmlformats.org/drawingml/2006/picture">
              <pic:pic xmlns:pic="http://schemas.openxmlformats.org/drawingml/2006/picture">
                <pic:nvPicPr>
                  <pic:cNvPr id="1451" name="Picture 1451"/>
                  <pic:cNvPicPr/>
                </pic:nvPicPr>
                <pic:blipFill>
                  <a:blip r:embed="rId1"/>
                  <a:stretch>
                    <a:fillRect/>
                  </a:stretch>
                </pic:blipFill>
                <pic:spPr>
                  <a:xfrm>
                    <a:off x="0" y="0"/>
                    <a:ext cx="1186147" cy="578839"/>
                  </a:xfrm>
                  <a:prstGeom prst="rect">
                    <a:avLst/>
                  </a:prstGeom>
                </pic:spPr>
              </pic:pic>
            </a:graphicData>
          </a:graphic>
        </wp:anchor>
      </w:drawing>
    </w:r>
    <w:r>
      <w:fldChar w:fldCharType="begin"/>
    </w:r>
    <w:r>
      <w:instrText xml:space="preserve"> PAGE   \* MERGEFORMAT </w:instrText>
    </w:r>
    <w:r>
      <w:fldChar w:fldCharType="separate"/>
    </w:r>
    <w:r>
      <w:rPr>
        <w:noProof/>
      </w:rPr>
      <w:t>10</w:t>
    </w:r>
    <w:r>
      <w:fldChar w:fldCharType="end"/>
    </w:r>
    <w:r>
      <w:t>/</w:t>
    </w:r>
    <w:fldSimple w:instr=" NUMPAGES   \* MERGEFORMAT ">
      <w:r>
        <w:rPr>
          <w:noProof/>
        </w:rPr>
        <w:t>10</w:t>
      </w:r>
    </w:fldSimple>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A2" w:rsidRPr="00FE17E2" w:rsidRDefault="002A0C94">
    <w:pPr>
      <w:spacing w:after="0"/>
      <w:ind w:right="18"/>
      <w:jc w:val="center"/>
      <w:rPr>
        <w:rFonts w:ascii="Sylfaen" w:hAnsi="Sylfaen"/>
        <w:sz w:val="18"/>
        <w:szCs w:val="18"/>
      </w:rPr>
    </w:pPr>
    <w:r w:rsidRPr="00FE17E2">
      <w:rPr>
        <w:rFonts w:ascii="Sylfaen" w:hAnsi="Sylfaen"/>
        <w:sz w:val="18"/>
        <w:szCs w:val="18"/>
      </w:rPr>
      <w:fldChar w:fldCharType="begin"/>
    </w:r>
    <w:r w:rsidRPr="00FE17E2">
      <w:rPr>
        <w:rFonts w:ascii="Sylfaen" w:hAnsi="Sylfaen"/>
        <w:sz w:val="18"/>
        <w:szCs w:val="18"/>
      </w:rPr>
      <w:instrText xml:space="preserve"> PAGE   \* MERGEFORMAT </w:instrText>
    </w:r>
    <w:r w:rsidRPr="00FE17E2">
      <w:rPr>
        <w:rFonts w:ascii="Sylfaen" w:hAnsi="Sylfaen"/>
        <w:sz w:val="18"/>
        <w:szCs w:val="18"/>
      </w:rPr>
      <w:fldChar w:fldCharType="separate"/>
    </w:r>
    <w:r w:rsidR="00C22BA4">
      <w:rPr>
        <w:rFonts w:ascii="Sylfaen" w:hAnsi="Sylfaen"/>
        <w:noProof/>
        <w:sz w:val="18"/>
        <w:szCs w:val="18"/>
      </w:rPr>
      <w:t>7</w:t>
    </w:r>
    <w:r w:rsidRPr="00FE17E2">
      <w:rPr>
        <w:rFonts w:ascii="Sylfaen" w:hAnsi="Sylfaen"/>
        <w:sz w:val="18"/>
        <w:szCs w:val="18"/>
      </w:rPr>
      <w:fldChar w:fldCharType="end"/>
    </w:r>
    <w:r w:rsidRPr="00FE17E2">
      <w:rPr>
        <w:rFonts w:ascii="Sylfaen" w:hAnsi="Sylfaen"/>
        <w:sz w:val="18"/>
        <w:szCs w:val="18"/>
      </w:rPr>
      <w:t>/</w:t>
    </w:r>
    <w:r w:rsidRPr="00FE17E2">
      <w:rPr>
        <w:rFonts w:ascii="Sylfaen" w:hAnsi="Sylfaen"/>
        <w:sz w:val="18"/>
        <w:szCs w:val="18"/>
      </w:rPr>
      <w:fldChar w:fldCharType="begin"/>
    </w:r>
    <w:r w:rsidRPr="00FE17E2">
      <w:rPr>
        <w:rFonts w:ascii="Sylfaen" w:hAnsi="Sylfaen"/>
        <w:sz w:val="18"/>
        <w:szCs w:val="18"/>
      </w:rPr>
      <w:instrText xml:space="preserve"> NUMPAGES   \* MERGEFORMAT </w:instrText>
    </w:r>
    <w:r w:rsidRPr="00FE17E2">
      <w:rPr>
        <w:rFonts w:ascii="Sylfaen" w:hAnsi="Sylfaen"/>
        <w:sz w:val="18"/>
        <w:szCs w:val="18"/>
      </w:rPr>
      <w:fldChar w:fldCharType="separate"/>
    </w:r>
    <w:r w:rsidR="00C22BA4">
      <w:rPr>
        <w:rFonts w:ascii="Sylfaen" w:hAnsi="Sylfaen"/>
        <w:noProof/>
        <w:sz w:val="18"/>
        <w:szCs w:val="18"/>
      </w:rPr>
      <w:t>10</w:t>
    </w:r>
    <w:r w:rsidRPr="00FE17E2">
      <w:rPr>
        <w:rFonts w:ascii="Sylfaen" w:hAnsi="Sylfaen"/>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A2" w:rsidRDefault="002A0C94">
    <w:pPr>
      <w:spacing w:after="0"/>
      <w:ind w:right="18"/>
      <w:jc w:val="center"/>
    </w:pPr>
    <w:r>
      <w:fldChar w:fldCharType="begin"/>
    </w:r>
    <w:r>
      <w:instrText xml:space="preserve"> PAGE   \* MERGEFORMAT </w:instrText>
    </w:r>
    <w:r>
      <w:fldChar w:fldCharType="separate"/>
    </w:r>
    <w:r w:rsidR="00C22BA4">
      <w:rPr>
        <w:noProof/>
      </w:rPr>
      <w:t>1</w:t>
    </w:r>
    <w:r>
      <w:fldChar w:fldCharType="end"/>
    </w:r>
    <w:r>
      <w:t>/</w:t>
    </w:r>
    <w:fldSimple w:instr=" NUMPAGES   \* MERGEFORMAT ">
      <w:r w:rsidR="00C22BA4">
        <w:rPr>
          <w:noProof/>
        </w:rPr>
        <w:t>10</w:t>
      </w:r>
    </w:fldSimple>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52F" w:rsidRDefault="0098452F">
      <w:pPr>
        <w:spacing w:after="0" w:line="240" w:lineRule="auto"/>
      </w:pPr>
      <w:r>
        <w:separator/>
      </w:r>
    </w:p>
  </w:footnote>
  <w:footnote w:type="continuationSeparator" w:id="0">
    <w:p w:rsidR="0098452F" w:rsidRDefault="00984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7332"/>
    <w:multiLevelType w:val="hybridMultilevel"/>
    <w:tmpl w:val="BD888A2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E376080"/>
    <w:multiLevelType w:val="hybridMultilevel"/>
    <w:tmpl w:val="D654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76C24"/>
    <w:multiLevelType w:val="hybridMultilevel"/>
    <w:tmpl w:val="03E6C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30AFE"/>
    <w:multiLevelType w:val="hybridMultilevel"/>
    <w:tmpl w:val="4E0C9FA2"/>
    <w:lvl w:ilvl="0" w:tplc="FD48474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587DC6"/>
    <w:multiLevelType w:val="hybridMultilevel"/>
    <w:tmpl w:val="2CA4EE66"/>
    <w:lvl w:ilvl="0" w:tplc="F258B57E">
      <w:start w:val="2"/>
      <w:numFmt w:val="bullet"/>
      <w:lvlText w:val="-"/>
      <w:lvlJc w:val="left"/>
      <w:pPr>
        <w:ind w:left="720" w:hanging="360"/>
      </w:pPr>
      <w:rPr>
        <w:rFonts w:ascii="Sylfaen" w:eastAsiaTheme="minorHAnsi" w:hAnsi="Sylfaen" w:cstheme="minorBidi" w:hint="default"/>
      </w:rPr>
    </w:lvl>
    <w:lvl w:ilvl="1" w:tplc="F258B57E">
      <w:start w:val="2"/>
      <w:numFmt w:val="bullet"/>
      <w:lvlText w:val="-"/>
      <w:lvlJc w:val="left"/>
      <w:pPr>
        <w:ind w:left="1440" w:hanging="360"/>
      </w:pPr>
      <w:rPr>
        <w:rFonts w:ascii="Sylfaen" w:eastAsiaTheme="minorHAnsi" w:hAnsi="Sylfaen"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F7E2E"/>
    <w:multiLevelType w:val="hybridMultilevel"/>
    <w:tmpl w:val="DE40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606B0B"/>
    <w:multiLevelType w:val="multilevel"/>
    <w:tmpl w:val="339E8B0C"/>
    <w:lvl w:ilvl="0">
      <w:start w:val="1"/>
      <w:numFmt w:val="decimal"/>
      <w:lvlText w:val="%1."/>
      <w:lvlJc w:val="left"/>
      <w:pPr>
        <w:ind w:left="1778" w:hanging="360"/>
      </w:pPr>
      <w:rPr>
        <w:color w:val="auto"/>
      </w:rPr>
    </w:lvl>
    <w:lvl w:ilvl="1">
      <w:start w:val="1"/>
      <w:numFmt w:val="decimal"/>
      <w:lvlText w:val="%1.%2."/>
      <w:lvlJc w:val="left"/>
      <w:pPr>
        <w:ind w:left="792"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6"/>
  </w:num>
  <w:num w:numId="3">
    <w:abstractNumId w:val="2"/>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C94"/>
    <w:rsid w:val="000B3CEA"/>
    <w:rsid w:val="000D072C"/>
    <w:rsid w:val="00150295"/>
    <w:rsid w:val="002A0C94"/>
    <w:rsid w:val="004B145E"/>
    <w:rsid w:val="004D13F2"/>
    <w:rsid w:val="00513970"/>
    <w:rsid w:val="0057192C"/>
    <w:rsid w:val="007A5DE1"/>
    <w:rsid w:val="0098452F"/>
    <w:rsid w:val="00985A47"/>
    <w:rsid w:val="009E47E3"/>
    <w:rsid w:val="00A3219E"/>
    <w:rsid w:val="00A715C2"/>
    <w:rsid w:val="00B7775A"/>
    <w:rsid w:val="00C22BA4"/>
    <w:rsid w:val="00CB7DE9"/>
    <w:rsid w:val="00EC0DBE"/>
    <w:rsid w:val="00F06373"/>
    <w:rsid w:val="00F62E46"/>
    <w:rsid w:val="00FB5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BAE0A2-9667-4EE2-84E4-B010AAF5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C94"/>
    <w:rPr>
      <w:lang w:val="en-US"/>
    </w:rPr>
  </w:style>
  <w:style w:type="paragraph" w:styleId="1">
    <w:name w:val="heading 1"/>
    <w:basedOn w:val="a"/>
    <w:next w:val="a"/>
    <w:link w:val="10"/>
    <w:uiPriority w:val="9"/>
    <w:qFormat/>
    <w:rsid w:val="002A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A0C94"/>
    <w:pPr>
      <w:keepNext/>
      <w:keepLines/>
      <w:spacing w:after="120" w:line="240" w:lineRule="auto"/>
      <w:outlineLvl w:val="1"/>
    </w:pPr>
    <w:rPr>
      <w:rFonts w:ascii="Sylfaen" w:eastAsiaTheme="majorEastAsia" w:hAnsi="Sylfaen" w:cstheme="majorBidi"/>
      <w:b/>
      <w:sz w:val="26"/>
      <w:szCs w:val="26"/>
      <w:lang w:val="ka-GE"/>
    </w:rPr>
  </w:style>
  <w:style w:type="paragraph" w:styleId="3">
    <w:name w:val="heading 3"/>
    <w:basedOn w:val="a"/>
    <w:next w:val="a"/>
    <w:link w:val="30"/>
    <w:uiPriority w:val="9"/>
    <w:unhideWhenUsed/>
    <w:qFormat/>
    <w:rsid w:val="002A0C94"/>
    <w:pPr>
      <w:keepNext/>
      <w:keepLines/>
      <w:spacing w:before="240" w:after="120" w:line="240" w:lineRule="auto"/>
      <w:outlineLvl w:val="2"/>
    </w:pPr>
    <w:rPr>
      <w:rFonts w:ascii="Sylfaen" w:eastAsiaTheme="majorEastAsia" w:hAnsi="Sylfaen" w:cstheme="majorBidi"/>
      <w:b/>
      <w:sz w:val="24"/>
      <w:szCs w:val="24"/>
      <w:lang w:val="ka-GE"/>
    </w:rPr>
  </w:style>
  <w:style w:type="paragraph" w:styleId="4">
    <w:name w:val="heading 4"/>
    <w:basedOn w:val="a"/>
    <w:next w:val="a"/>
    <w:link w:val="40"/>
    <w:uiPriority w:val="9"/>
    <w:unhideWhenUsed/>
    <w:qFormat/>
    <w:rsid w:val="002A0C94"/>
    <w:pPr>
      <w:keepNext/>
      <w:keepLines/>
      <w:spacing w:before="40" w:after="120" w:line="240" w:lineRule="auto"/>
      <w:outlineLvl w:val="3"/>
    </w:pPr>
    <w:rPr>
      <w:rFonts w:ascii="Sylfaen" w:eastAsiaTheme="majorEastAsia" w:hAnsi="Sylfaen" w:cstheme="majorBidi"/>
      <w:b/>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0C94"/>
    <w:rPr>
      <w:rFonts w:asciiTheme="majorHAnsi" w:eastAsiaTheme="majorEastAsia" w:hAnsiTheme="majorHAnsi" w:cstheme="majorBidi"/>
      <w:color w:val="2E74B5" w:themeColor="accent1" w:themeShade="BF"/>
      <w:sz w:val="32"/>
      <w:szCs w:val="32"/>
      <w:lang w:val="en-US"/>
    </w:rPr>
  </w:style>
  <w:style w:type="character" w:customStyle="1" w:styleId="20">
    <w:name w:val="Заголовок 2 Знак"/>
    <w:basedOn w:val="a0"/>
    <w:link w:val="2"/>
    <w:uiPriority w:val="9"/>
    <w:rsid w:val="002A0C94"/>
    <w:rPr>
      <w:rFonts w:ascii="Sylfaen" w:eastAsiaTheme="majorEastAsia" w:hAnsi="Sylfaen" w:cstheme="majorBidi"/>
      <w:b/>
      <w:sz w:val="26"/>
      <w:szCs w:val="26"/>
      <w:lang w:val="ka-GE"/>
    </w:rPr>
  </w:style>
  <w:style w:type="character" w:customStyle="1" w:styleId="30">
    <w:name w:val="Заголовок 3 Знак"/>
    <w:basedOn w:val="a0"/>
    <w:link w:val="3"/>
    <w:uiPriority w:val="9"/>
    <w:rsid w:val="002A0C94"/>
    <w:rPr>
      <w:rFonts w:ascii="Sylfaen" w:eastAsiaTheme="majorEastAsia" w:hAnsi="Sylfaen" w:cstheme="majorBidi"/>
      <w:b/>
      <w:sz w:val="24"/>
      <w:szCs w:val="24"/>
      <w:lang w:val="ka-GE"/>
    </w:rPr>
  </w:style>
  <w:style w:type="character" w:customStyle="1" w:styleId="40">
    <w:name w:val="Заголовок 4 Знак"/>
    <w:basedOn w:val="a0"/>
    <w:link w:val="4"/>
    <w:uiPriority w:val="9"/>
    <w:rsid w:val="002A0C94"/>
    <w:rPr>
      <w:rFonts w:ascii="Sylfaen" w:eastAsiaTheme="majorEastAsia" w:hAnsi="Sylfaen" w:cstheme="majorBidi"/>
      <w:b/>
      <w:iCs/>
      <w:lang w:val="en-US"/>
    </w:rPr>
  </w:style>
  <w:style w:type="paragraph" w:customStyle="1" w:styleId="NeutralHeading">
    <w:name w:val="Neutral Heading"/>
    <w:basedOn w:val="a"/>
    <w:next w:val="a"/>
    <w:link w:val="NeutralHeadingChar"/>
    <w:qFormat/>
    <w:rsid w:val="002A0C94"/>
    <w:pPr>
      <w:spacing w:before="240" w:after="120" w:line="240" w:lineRule="auto"/>
    </w:pPr>
    <w:rPr>
      <w:rFonts w:ascii="Sylfaen" w:hAnsi="Sylfaen" w:cs="Calibri"/>
      <w:b/>
      <w:sz w:val="24"/>
      <w:lang w:val="ka-GE"/>
    </w:rPr>
  </w:style>
  <w:style w:type="character" w:customStyle="1" w:styleId="NeutralHeadingChar">
    <w:name w:val="Neutral Heading Char"/>
    <w:basedOn w:val="a0"/>
    <w:link w:val="NeutralHeading"/>
    <w:rsid w:val="002A0C94"/>
    <w:rPr>
      <w:rFonts w:ascii="Sylfaen" w:hAnsi="Sylfaen" w:cs="Calibri"/>
      <w:b/>
      <w:sz w:val="24"/>
      <w:lang w:val="ka-GE"/>
    </w:rPr>
  </w:style>
  <w:style w:type="paragraph" w:customStyle="1" w:styleId="NormalTxt">
    <w:name w:val="Normal Txt"/>
    <w:basedOn w:val="a"/>
    <w:link w:val="NormalTxtChar"/>
    <w:qFormat/>
    <w:rsid w:val="002A0C94"/>
    <w:pPr>
      <w:spacing w:after="120" w:line="240" w:lineRule="auto"/>
    </w:pPr>
    <w:rPr>
      <w:rFonts w:ascii="Sylfaen" w:hAnsi="Sylfaen" w:cs="Calibri"/>
      <w:lang w:val="ka-GE"/>
    </w:rPr>
  </w:style>
  <w:style w:type="character" w:customStyle="1" w:styleId="NormalTxtChar">
    <w:name w:val="Normal Txt Char"/>
    <w:basedOn w:val="a0"/>
    <w:link w:val="NormalTxt"/>
    <w:rsid w:val="002A0C94"/>
    <w:rPr>
      <w:rFonts w:ascii="Sylfaen" w:hAnsi="Sylfaen" w:cs="Calibri"/>
      <w:lang w:val="ka-GE"/>
    </w:rPr>
  </w:style>
  <w:style w:type="paragraph" w:styleId="a3">
    <w:name w:val="List Paragraph"/>
    <w:basedOn w:val="a"/>
    <w:uiPriority w:val="34"/>
    <w:qFormat/>
    <w:rsid w:val="002A0C94"/>
    <w:pPr>
      <w:ind w:left="720"/>
      <w:contextualSpacing/>
    </w:pPr>
  </w:style>
  <w:style w:type="character" w:styleId="a4">
    <w:name w:val="Hyperlink"/>
    <w:basedOn w:val="a0"/>
    <w:uiPriority w:val="99"/>
    <w:unhideWhenUsed/>
    <w:rsid w:val="002A0C94"/>
    <w:rPr>
      <w:color w:val="0563C1" w:themeColor="hyperlink"/>
      <w:u w:val="single"/>
    </w:rPr>
  </w:style>
  <w:style w:type="table" w:styleId="a5">
    <w:name w:val="Table Grid"/>
    <w:basedOn w:val="a1"/>
    <w:uiPriority w:val="39"/>
    <w:rsid w:val="002A0C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A0C94"/>
    <w:pPr>
      <w:spacing w:after="0" w:line="240" w:lineRule="auto"/>
    </w:pPr>
    <w:rPr>
      <w:rFonts w:eastAsiaTheme="minorEastAsia"/>
      <w:lang w:val="en-US"/>
    </w:rPr>
    <w:tblPr>
      <w:tblCellMar>
        <w:top w:w="0" w:type="dxa"/>
        <w:left w:w="0" w:type="dxa"/>
        <w:bottom w:w="0" w:type="dxa"/>
        <w:right w:w="0" w:type="dxa"/>
      </w:tblCellMar>
    </w:tblPr>
  </w:style>
  <w:style w:type="paragraph" w:styleId="a6">
    <w:name w:val="header"/>
    <w:basedOn w:val="a"/>
    <w:link w:val="a7"/>
    <w:uiPriority w:val="99"/>
    <w:unhideWhenUsed/>
    <w:rsid w:val="002A0C94"/>
    <w:pPr>
      <w:tabs>
        <w:tab w:val="center" w:pos="4680"/>
        <w:tab w:val="right" w:pos="9360"/>
      </w:tabs>
      <w:spacing w:after="0" w:line="240" w:lineRule="auto"/>
    </w:pPr>
  </w:style>
  <w:style w:type="character" w:customStyle="1" w:styleId="a7">
    <w:name w:val="Верхний колонтитул Знак"/>
    <w:basedOn w:val="a0"/>
    <w:link w:val="a6"/>
    <w:uiPriority w:val="99"/>
    <w:rsid w:val="002A0C94"/>
    <w:rPr>
      <w:lang w:val="en-US"/>
    </w:rPr>
  </w:style>
  <w:style w:type="character" w:customStyle="1" w:styleId="a8">
    <w:name w:val="Без интервала Знак"/>
    <w:basedOn w:val="a0"/>
    <w:link w:val="a9"/>
    <w:uiPriority w:val="1"/>
    <w:locked/>
    <w:rsid w:val="002A0C94"/>
  </w:style>
  <w:style w:type="paragraph" w:styleId="a9">
    <w:name w:val="No Spacing"/>
    <w:link w:val="a8"/>
    <w:uiPriority w:val="1"/>
    <w:qFormat/>
    <w:rsid w:val="002A0C94"/>
    <w:pPr>
      <w:spacing w:after="0" w:line="240" w:lineRule="auto"/>
    </w:pPr>
  </w:style>
  <w:style w:type="paragraph" w:styleId="aa">
    <w:name w:val="Revision"/>
    <w:hidden/>
    <w:uiPriority w:val="99"/>
    <w:semiHidden/>
    <w:rsid w:val="002A0C94"/>
    <w:pPr>
      <w:spacing w:after="0" w:line="240" w:lineRule="auto"/>
    </w:pPr>
    <w:rPr>
      <w:lang w:val="en-US"/>
    </w:rPr>
  </w:style>
  <w:style w:type="paragraph" w:styleId="ab">
    <w:name w:val="Balloon Text"/>
    <w:basedOn w:val="a"/>
    <w:link w:val="ac"/>
    <w:uiPriority w:val="99"/>
    <w:semiHidden/>
    <w:unhideWhenUsed/>
    <w:rsid w:val="002A0C9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A0C94"/>
    <w:rPr>
      <w:rFonts w:ascii="Segoe UI" w:hAnsi="Segoe UI" w:cs="Segoe UI"/>
      <w:sz w:val="18"/>
      <w:szCs w:val="18"/>
      <w:lang w:val="en-US"/>
    </w:rPr>
  </w:style>
  <w:style w:type="paragraph" w:customStyle="1" w:styleId="TableParagraph">
    <w:name w:val="Table Paragraph"/>
    <w:basedOn w:val="a"/>
    <w:uiPriority w:val="1"/>
    <w:qFormat/>
    <w:rsid w:val="00CB7DE9"/>
    <w:pPr>
      <w:widowControl w:val="0"/>
      <w:autoSpaceDE w:val="0"/>
      <w:autoSpaceDN w:val="0"/>
      <w:spacing w:after="0" w:line="256" w:lineRule="exac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3605</Words>
  <Characters>20549</Characters>
  <Application>Microsoft Office Word</Application>
  <DocSecurity>0</DocSecurity>
  <Lines>171</Lines>
  <Paragraphs>48</Paragraphs>
  <ScaleCrop>false</ScaleCrop>
  <Company/>
  <LinksUpToDate>false</LinksUpToDate>
  <CharactersWithSpaces>24106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2025-05-14T10:42:00Z</dcterms:created>
  <dcterms:modified xsi:type="dcterms:W3CDTF">2026-07-19T15:34:00Z</dcterms:modified>
</cp:coreProperties>
</file>