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DC59" w14:textId="449AC2E3" w:rsidR="007505E0" w:rsidRPr="005935E0" w:rsidRDefault="007505E0" w:rsidP="002D0E04">
      <w:pPr>
        <w:spacing w:after="120" w:line="276" w:lineRule="auto"/>
        <w:jc w:val="center"/>
        <w:rPr>
          <w:rFonts w:ascii="Sylfaen" w:eastAsia="Times New Roman" w:hAnsi="Sylfaen" w:cs="Sylfaen"/>
          <w:b/>
          <w:sz w:val="24"/>
          <w:szCs w:val="24"/>
          <w:lang w:val="ka-GE"/>
        </w:rPr>
      </w:pPr>
      <w:r w:rsidRPr="005935E0">
        <w:rPr>
          <w:rFonts w:ascii="Sylfaen" w:eastAsia="Times New Roman" w:hAnsi="Sylfaen" w:cs="Sylfaen"/>
          <w:b/>
          <w:sz w:val="24"/>
          <w:szCs w:val="24"/>
          <w:lang w:val="ka-GE"/>
        </w:rPr>
        <w:t>გამოყენების</w:t>
      </w:r>
      <w:r w:rsidR="002D0E04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  </w:t>
      </w:r>
      <w:r w:rsidRPr="005935E0">
        <w:rPr>
          <w:rFonts w:ascii="Sylfaen" w:eastAsia="Times New Roman" w:hAnsi="Sylfaen" w:cs="Sylfaen"/>
          <w:b/>
          <w:sz w:val="24"/>
          <w:szCs w:val="24"/>
          <w:lang w:val="ka-GE"/>
        </w:rPr>
        <w:t>ინსტრუქცია</w:t>
      </w:r>
    </w:p>
    <w:p w14:paraId="5B333066" w14:textId="77777777" w:rsidR="007505E0" w:rsidRPr="005935E0" w:rsidRDefault="007505E0" w:rsidP="007505E0">
      <w:pPr>
        <w:spacing w:after="120" w:line="276" w:lineRule="auto"/>
        <w:jc w:val="center"/>
        <w:rPr>
          <w:rStyle w:val="Strong"/>
          <w:rFonts w:ascii="Sylfaen" w:hAnsi="Sylfaen" w:cs="Sylfaen"/>
          <w:sz w:val="24"/>
          <w:szCs w:val="24"/>
          <w:shd w:val="clear" w:color="auto" w:fill="FFFFFF"/>
        </w:rPr>
      </w:pPr>
      <w:proofErr w:type="spellStart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დომისინი</w:t>
      </w:r>
      <w:proofErr w:type="spellEnd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</w:rPr>
        <w:t xml:space="preserve"> MR</w:t>
      </w:r>
    </w:p>
    <w:p w14:paraId="55D4B2BD" w14:textId="77777777" w:rsidR="007505E0" w:rsidRPr="005935E0" w:rsidRDefault="007505E0" w:rsidP="007505E0">
      <w:pPr>
        <w:spacing w:after="120" w:line="276" w:lineRule="auto"/>
        <w:jc w:val="center"/>
        <w:rPr>
          <w:rStyle w:val="Strong"/>
          <w:rFonts w:ascii="Sylfaen" w:hAnsi="Sylfaen" w:cs="Sylfaen"/>
          <w:sz w:val="24"/>
          <w:szCs w:val="24"/>
          <w:shd w:val="clear" w:color="auto" w:fill="FFFFFF"/>
        </w:rPr>
      </w:pP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(</w:t>
      </w: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</w:rPr>
        <w:t>DOMISIN MR)</w:t>
      </w:r>
    </w:p>
    <w:p w14:paraId="5BD9D5E6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sz w:val="24"/>
          <w:szCs w:val="24"/>
          <w:shd w:val="clear" w:color="auto" w:fill="FFFFFF"/>
        </w:rPr>
      </w:pP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სავაჭრო დასახელება: </w:t>
      </w:r>
      <w:proofErr w:type="spellStart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დომისინი</w:t>
      </w:r>
      <w:proofErr w:type="spellEnd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</w:rPr>
        <w:t>MR</w:t>
      </w:r>
    </w:p>
    <w:p w14:paraId="4EEFBF35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</w:pPr>
      <w:proofErr w:type="spellStart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</w:rPr>
        <w:t>საერთაშორისო</w:t>
      </w:r>
      <w:proofErr w:type="spellEnd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</w:rPr>
        <w:t>არადაპატენტებული</w:t>
      </w:r>
      <w:proofErr w:type="spellEnd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</w:rPr>
        <w:t>სახელწოდება</w:t>
      </w:r>
      <w:proofErr w:type="spellEnd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</w:rPr>
        <w:t xml:space="preserve">: </w:t>
      </w:r>
      <w:proofErr w:type="spellStart"/>
      <w:r w:rsidRPr="005935E0">
        <w:rPr>
          <w:rFonts w:ascii="Times New Roman" w:hAnsi="Times New Roman"/>
          <w:sz w:val="24"/>
          <w:szCs w:val="24"/>
        </w:rPr>
        <w:t>тrimetazidine</w:t>
      </w:r>
      <w:proofErr w:type="spellEnd"/>
      <w:r w:rsidRPr="005935E0">
        <w:rPr>
          <w:rFonts w:ascii="Times New Roman" w:hAnsi="Times New Roman"/>
          <w:sz w:val="24"/>
          <w:szCs w:val="24"/>
        </w:rPr>
        <w:t>.</w:t>
      </w:r>
    </w:p>
    <w:p w14:paraId="5E87283F" w14:textId="5F022C6C" w:rsidR="007505E0" w:rsidRPr="005935E0" w:rsidRDefault="007505E0" w:rsidP="007505E0">
      <w:pPr>
        <w:spacing w:after="120" w:line="276" w:lineRule="auto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შემადგენლობა</w:t>
      </w:r>
      <w:r w:rsidRPr="005935E0">
        <w:rPr>
          <w:rStyle w:val="Strong"/>
          <w:rFonts w:ascii="Sylfaen" w:hAnsi="Sylfaen"/>
          <w:sz w:val="24"/>
          <w:szCs w:val="24"/>
          <w:shd w:val="clear" w:color="auto" w:fill="FFFFFF"/>
          <w:lang w:val="ka-GE"/>
        </w:rPr>
        <w:t>:</w:t>
      </w:r>
      <w:r w:rsidRPr="005935E0">
        <w:rPr>
          <w:rFonts w:ascii="Sylfaen" w:hAnsi="Sylfaen"/>
          <w:sz w:val="24"/>
          <w:szCs w:val="24"/>
          <w:lang w:val="ka-GE"/>
        </w:rPr>
        <w:br/>
      </w:r>
      <w:r w:rsidRPr="005935E0">
        <w:rPr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მოქმედი</w:t>
      </w:r>
      <w:r w:rsidRPr="005935E0">
        <w:rPr>
          <w:rFonts w:ascii="Sylfaen" w:hAnsi="Sylfaen"/>
          <w:i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ნივთიერება</w:t>
      </w:r>
      <w:r w:rsidRPr="005935E0">
        <w:rPr>
          <w:rFonts w:ascii="Sylfaen" w:hAnsi="Sylfaen"/>
          <w:i/>
          <w:sz w:val="24"/>
          <w:szCs w:val="24"/>
          <w:shd w:val="clear" w:color="auto" w:fill="FFFFFF"/>
          <w:lang w:val="ka-GE"/>
        </w:rPr>
        <w:t>: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ტრიმეტაზიდინი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;</w:t>
      </w:r>
      <w:r w:rsidRPr="005935E0">
        <w:rPr>
          <w:rFonts w:ascii="Sylfaen" w:hAnsi="Sylfaen"/>
          <w:sz w:val="24"/>
          <w:szCs w:val="24"/>
          <w:lang w:val="ka-GE"/>
        </w:rPr>
        <w:br/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1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ტაბლეტი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შეიცავს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დიჰიდროქლორიდს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35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მგ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;</w:t>
      </w:r>
      <w:r w:rsidRPr="002D0E04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  </w:t>
      </w:r>
      <w:r w:rsidRPr="005935E0">
        <w:rPr>
          <w:rFonts w:ascii="Sylfaen" w:hAnsi="Sylfaen"/>
          <w:sz w:val="24"/>
          <w:szCs w:val="24"/>
          <w:lang w:val="ka-GE"/>
        </w:rPr>
        <w:br/>
      </w:r>
      <w:r w:rsidRPr="005935E0">
        <w:rPr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დამხმარე</w:t>
      </w:r>
      <w:r w:rsidRPr="005935E0">
        <w:rPr>
          <w:rFonts w:ascii="Sylfaen" w:hAnsi="Sylfaen"/>
          <w:i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ნივთიერებები</w:t>
      </w:r>
      <w:r w:rsidRPr="005935E0">
        <w:rPr>
          <w:rFonts w:ascii="Sylfaen" w:hAnsi="Sylfaen"/>
          <w:i/>
          <w:sz w:val="24"/>
          <w:szCs w:val="24"/>
          <w:shd w:val="clear" w:color="auto" w:fill="FFFFFF"/>
          <w:lang w:val="ka-GE"/>
        </w:rPr>
        <w:t>: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მანიტოლი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(E 421),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მიკროკრისტალური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ცელულოზა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,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გლიკოლის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მონტანას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ცვილი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მაგნიუმის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სტეარატი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ამონიუმ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-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მეტაკრილატის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კოპოლიმერი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(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ტიპი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B),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შემომგარსავი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ნივთიერება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ოპადრაი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II ვარდისფერი (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რკინის</w:t>
      </w:r>
      <w:r w:rsidRPr="002D0E04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წითელი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ოქსიდი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(E 172),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პოლიეთილენგლიკოლი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რკინის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ყვითელი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ოქსიდი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(E 172),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პოლივინილის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სპირტი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ტალკი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ტიტანის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დიოქსიდი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(E 171),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რკინის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შავი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ოქსიდი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(E 172).</w:t>
      </w:r>
      <w:r w:rsidRPr="005935E0">
        <w:rPr>
          <w:rFonts w:ascii="Sylfaen" w:hAnsi="Sylfaen"/>
          <w:sz w:val="24"/>
          <w:szCs w:val="24"/>
          <w:lang w:val="ka-GE"/>
        </w:rPr>
        <w:br/>
      </w:r>
      <w:proofErr w:type="spellStart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სამკურნალწამლო</w:t>
      </w:r>
      <w:proofErr w:type="spellEnd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ფორმა</w:t>
      </w:r>
      <w:r w:rsidRPr="005935E0">
        <w:rPr>
          <w:rStyle w:val="Strong"/>
          <w:rFonts w:ascii="Sylfaen" w:hAnsi="Sylfaen"/>
          <w:sz w:val="24"/>
          <w:szCs w:val="24"/>
          <w:shd w:val="clear" w:color="auto" w:fill="FFFFFF"/>
          <w:lang w:val="ka-GE"/>
        </w:rPr>
        <w:t>.</w:t>
      </w:r>
      <w:r w:rsidRPr="005935E0">
        <w:rPr>
          <w:rFonts w:ascii="Sylfaen" w:hAnsi="Sylfaen"/>
          <w:sz w:val="24"/>
          <w:szCs w:val="24"/>
          <w:lang w:val="ka-GE"/>
        </w:rPr>
        <w:br/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აპკიანი</w:t>
      </w:r>
      <w:proofErr w:type="spellEnd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გარსით დაფარული ტაბლეტები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მოდიფიცირებული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გამოთავისუფლებით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.</w:t>
      </w:r>
    </w:p>
    <w:p w14:paraId="021FEA7B" w14:textId="77777777" w:rsidR="007505E0" w:rsidRPr="005935E0" w:rsidRDefault="007505E0" w:rsidP="007505E0">
      <w:pPr>
        <w:spacing w:after="120" w:line="276" w:lineRule="auto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აღწერა: </w:t>
      </w: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მრგვალი ფორმის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ტაბლეტებიორმხრივად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ამობურცული, დაფარული ვარდისფერი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აპკიანი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გარსით</w:t>
      </w: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.</w:t>
      </w: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განივ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გადატეხილზე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ჩანს ორი ფენა.</w:t>
      </w: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br/>
      </w:r>
      <w:proofErr w:type="spellStart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ფარმაკოთერაპიული</w:t>
      </w:r>
      <w:proofErr w:type="spellEnd"/>
      <w:r w:rsidRPr="005935E0">
        <w:rPr>
          <w:rStyle w:val="Strong"/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ჯგუფი</w:t>
      </w:r>
      <w:r w:rsidRPr="005935E0">
        <w:rPr>
          <w:rStyle w:val="Strong"/>
          <w:rFonts w:ascii="Sylfaen" w:hAnsi="Sylfaen"/>
          <w:sz w:val="24"/>
          <w:szCs w:val="24"/>
          <w:shd w:val="clear" w:color="auto" w:fill="FFFFFF"/>
          <w:lang w:val="ka-GE"/>
        </w:rPr>
        <w:t>.</w:t>
      </w:r>
      <w:r w:rsidRPr="005935E0">
        <w:rPr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კარდიოლოგიური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პრეპარატები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.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ტრიმეტაზიდინი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. </w:t>
      </w:r>
    </w:p>
    <w:p w14:paraId="1D733240" w14:textId="77777777" w:rsidR="007505E0" w:rsidRPr="005935E0" w:rsidRDefault="007505E0" w:rsidP="007505E0">
      <w:pPr>
        <w:spacing w:after="120" w:line="276" w:lineRule="auto"/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</w:pP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ათქ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-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კოდი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:  C01EB15.</w:t>
      </w:r>
      <w:r w:rsidRPr="005935E0">
        <w:rPr>
          <w:rFonts w:ascii="Sylfaen" w:hAnsi="Sylfaen"/>
          <w:sz w:val="24"/>
          <w:szCs w:val="24"/>
          <w:lang w:val="ka-GE"/>
        </w:rPr>
        <w:br/>
      </w: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ფარმაკოლოგიური თვისებები</w:t>
      </w:r>
    </w:p>
    <w:p w14:paraId="675B7241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i/>
          <w:sz w:val="24"/>
          <w:szCs w:val="24"/>
          <w:shd w:val="clear" w:color="auto" w:fill="FFFFFF"/>
          <w:lang w:val="ka-GE"/>
        </w:rPr>
      </w:pPr>
      <w:proofErr w:type="spellStart"/>
      <w:r w:rsidRPr="005935E0">
        <w:rPr>
          <w:rStyle w:val="Strong"/>
          <w:rFonts w:ascii="Sylfaen" w:hAnsi="Sylfaen" w:cs="Sylfaen"/>
          <w:b w:val="0"/>
          <w:i/>
          <w:sz w:val="24"/>
          <w:szCs w:val="24"/>
          <w:shd w:val="clear" w:color="auto" w:fill="FFFFFF"/>
          <w:lang w:val="ka-GE"/>
        </w:rPr>
        <w:t>ფარმაკოდინამიკა</w:t>
      </w:r>
      <w:proofErr w:type="spellEnd"/>
    </w:p>
    <w:p w14:paraId="3A3B1083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 w:cs="Sylfaen"/>
          <w:sz w:val="24"/>
          <w:szCs w:val="24"/>
          <w:u w:val="single"/>
          <w:lang w:val="ka-GE"/>
        </w:rPr>
      </w:pPr>
      <w:r w:rsidRPr="005935E0">
        <w:rPr>
          <w:rStyle w:val="tlid-translation"/>
          <w:rFonts w:ascii="Sylfaen" w:hAnsi="Sylfaen" w:cs="Sylfaen"/>
          <w:sz w:val="24"/>
          <w:szCs w:val="24"/>
          <w:u w:val="single"/>
          <w:lang w:val="ka-GE"/>
        </w:rPr>
        <w:t>მოქმედების მექანიზმი</w:t>
      </w:r>
    </w:p>
    <w:p w14:paraId="06F556D2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ენერგეტიკული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მეტაბოლიზმის შენარჩუნების გზით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იმ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უჯრედებში, რომლებიც განიცდიან ჰიპოქსიას ან იშემიას, 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ტრიმეტაზიდინი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ხელს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უშლის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ატფ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-ის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უჯრედშიდა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დონის შემცირებას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რითაც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უზრუნველყოფს იონური ტუმბოებისა და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ტრანსმემბრანული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ნატრიუმ -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კალიუმის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ნაკადის სათანადო ფუნქციონირებას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უჯრედული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ჰომეოსტაზის შენარჩუნების პირობებში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ტრიმეტაზიდინი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აინჰიბირებს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 ცხიმოვანი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მჟავების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β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-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და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ჟანგვას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გრძელჯაჭვიანი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 3-კე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ტოაცილ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 (3-КАТ)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თიოლაზას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 ბლოკირების გზით, რაც ზრდის გლუკოზის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დაჟანგვას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.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იშემიის პირობებში, უჯრედებში გლუკოზის დაჟანგვის საშუალებით ენერგიის მიღება საჭიროებს ნაკლებ ჟანგბადს, ცხიმოვანი მჟავების ბეტა-დაჟანგვის საშუალებით ენერგიის მიღების პროცესთან შედარებით. </w:t>
      </w:r>
    </w:p>
    <w:p w14:paraId="0D1078FB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გლუკოზის დაჟანგვის პროცესის გაძლიერება ახდენს ენერგეტიკული პროცესების ოპტიმიზაციას უჯრედებში და ხელს უწყობს ენერგიის მეტაბოლიზმს იშემიის პირობებში. </w:t>
      </w:r>
    </w:p>
    <w:p w14:paraId="4BFDDB9F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u w:val="single"/>
          <w:shd w:val="clear" w:color="auto" w:fill="FFFFFF"/>
          <w:lang w:val="ka-GE"/>
        </w:rPr>
      </w:pP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u w:val="single"/>
          <w:shd w:val="clear" w:color="auto" w:fill="FFFFFF"/>
          <w:lang w:val="ka-GE"/>
        </w:rPr>
        <w:t>ფარმაკოდინამიკური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u w:val="single"/>
          <w:shd w:val="clear" w:color="auto" w:fill="FFFFFF"/>
          <w:lang w:val="ka-GE"/>
        </w:rPr>
        <w:t xml:space="preserve"> ეფექტები</w:t>
      </w:r>
    </w:p>
    <w:p w14:paraId="64DF4391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lastRenderedPageBreak/>
        <w:t xml:space="preserve">გულის იშემიური დაავადების მქონე პაციენტებში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მოქმედებს როგორც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მეტაბოლური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აგენტი, რომელიც ინარჩუნებს მაღალი ენერგიის ფოსფატის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უჯრედშიდა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დონეს მიოკარდიუმში. ეფექტი მიიღწევა თანმხლები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ჰემოდინამიკური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ცვლილებების გარეშე.</w:t>
      </w:r>
    </w:p>
    <w:p w14:paraId="64300597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u w:val="single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b w:val="0"/>
          <w:sz w:val="24"/>
          <w:szCs w:val="24"/>
          <w:u w:val="single"/>
          <w:shd w:val="clear" w:color="auto" w:fill="FFFFFF"/>
          <w:lang w:val="ka-GE"/>
        </w:rPr>
        <w:t>კლინიკური ეფექტურობა და უსაფრთხოება</w:t>
      </w:r>
    </w:p>
    <w:p w14:paraId="21534B9F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ცნობილია, რომ კლინიკურ კვლევებში ნაჩვენებია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ეფექტურობა და უსაფრთხოება სტაბილური სტენოკარდიის მქონე პაციენტების სამკურნალოდ, როგორც მონოთერაპიის სახით, ასევე სხვა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ანტიანგინალური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პრეპარატების დამატების შემთხვევაში მათი არასაკმარისი ეფექტურობისას.</w:t>
      </w:r>
    </w:p>
    <w:p w14:paraId="1388DD78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TRIMPOL-II კვლევა.</w:t>
      </w: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რანდომიზებულ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, ორმაგად ბრმა,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პლაცებოზე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კონტროლირებად კვლევაში 426 პაციენტის მონაწილეობით, დღეში 60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მგ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დამატებამ 100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მგ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მეტოპროლოლში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(50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მგ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ორჯერ დღეში) 12 კვირის განმავლობაში აჩვენა მნიშვნელოვანი გაუმჯობესება სავარჯიშო ტესტის ქულების და კლინიკური სიმპტომების გაუმჯობესებასთან შედარებით, ვიდრე პლაცებოს მიღებისას: მთლიანი დატვირთვის ხანგრძლივობა +20,1 c, p = 0,023; მთლიანი შესრულებული სამუშაო - +0,54 MET c, p = 0,001; დრო ST სეგმენტის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დაქვეიების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გამოჩენამდე 1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მმ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-ით - +33,4 c, p = 0,003; სტენოკარდიის შეტევამდე დრო - +33,9 c, p&lt;0,001; სტენოკარდიის შეტევების რაოდენობა/კვირაში – -0,73, p = 0,014; ხანმოკლე მოქმედების ნიტრატების გამოყენება/კვირაში - 0,63, p = 0,032,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ჰემოდინამიკური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მაჩვენებლების ცვლილების გარეშე. </w:t>
      </w:r>
    </w:p>
    <w:p w14:paraId="04A4FBBF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</w:pPr>
      <w:r w:rsidRPr="005935E0">
        <w:rPr>
          <w:rFonts w:ascii="Times New Roman" w:hAnsi="Times New Roman"/>
          <w:b/>
          <w:i/>
          <w:sz w:val="24"/>
          <w:szCs w:val="24"/>
          <w:lang w:val="ka-GE"/>
        </w:rPr>
        <w:t>SELLIER</w:t>
      </w:r>
      <w:r w:rsidRPr="005935E0">
        <w:rPr>
          <w:rStyle w:val="Emphasis"/>
          <w:rFonts w:ascii="Sylfaen" w:hAnsi="Sylfaen" w:cs="Sylfaen"/>
          <w:b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კვლევა</w:t>
      </w: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.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რანდომიზებულმა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, ორმაგად ბრმა,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პლაცებოზე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კონტროლირებადმა 223 პაციენტის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მონაწიეიბით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, აჩვენა, რომ პაციენტების ქვეჯგუფში (n = 173), რომლებსაც დაემატათ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, მოდიფიცირებული გამოთავისუფლების ტაბლეტები, 35 მილიგრამობით (დღეში ორჯერ)  50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მგ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ატენოლოლთან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(დღეში ერთხელ) 8 კვირის განმავლობაში აღინიშნა დროის მნიშვნელოვანი  ზრდა (+34,4 </w:t>
      </w:r>
      <w:r w:rsidRPr="005935E0">
        <w:rPr>
          <w:rFonts w:ascii="Times New Roman" w:hAnsi="Times New Roman"/>
          <w:sz w:val="24"/>
          <w:szCs w:val="24"/>
          <w:lang w:val="ka-GE"/>
        </w:rPr>
        <w:t>с</w:t>
      </w: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, p = 0,03) ST სეგმენტის დაქვეითების გამოვლენამდე 1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მმ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-ით ტესტებში, ვიდრე პლაცებოს მიღებისას პრეპარატის მიღებიდან 12 საათის შემდეგ. ასევე დადასტურებულია სტენოკარდიის შეტევის დაწყებამდე დროის მაჩვენებლით (p = 0.049) ნამდვილი სხვაობა.  სხვა მაჩვენებლებით მეორადი საბოლოო წერტილები პაციენტების ორ ჯგუფს შორის პაციენტების ორ ჯგუფს შორის ნამდვილი სხვაობა არ გამოვლენილა (დატვირთვის საერთო ხანგრძლივობა,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საეღტო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 შესრულებული სამუშაო და კლინიკური საბოლოო წერტილები).</w:t>
      </w:r>
    </w:p>
    <w:p w14:paraId="485A75E0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VASCO კვლევა.</w:t>
      </w: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რანდომიზებულ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, ორმაგად ბრმა კვლევაში, რომელშიც მონაწილეობდა 1962 პაციენტი, რომელიც გაგრძელდა 3 თვე, დღეში 50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მგ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ატენოლოლით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თერაპიასთან ამატებდნენ 70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მგ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დღეში ან 140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მგ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, ან პლაცებოს. სიმპტომატური და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უსიმპტომო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პაციენტების ზოგად პოპულაციაში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ტრიმეტაზიდინმა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არ აჩვენა რაიმე სარგებელი როგორც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ერგომეტრიული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მაჩვენბელებით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(ვარჯიშის საერთო დრო, ST სეგმენტის დაქვეითებამდე დრო 1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მმ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და დრო სტენოკარდიის შეტევამდე), ასევე კლინიკური საბოლოო წერტილების თვალსაზრისით. თუმცა, სიმპტომების მქონე პაციენტების ქვეჯგუფის პოსტ-ჰოკ ანალიზმა (n = 1574) აჩვენა, რომ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140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მგ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/დღეში დოზის გამოყენებისას მნიშვნელოვნად გაუმჯობესდა ვარჯიშის ზოგადი დრო (+23.8 </w:t>
      </w:r>
      <w:r w:rsidRPr="005935E0">
        <w:rPr>
          <w:rFonts w:ascii="Times New Roman" w:hAnsi="Times New Roman"/>
          <w:sz w:val="24"/>
          <w:szCs w:val="24"/>
          <w:lang w:val="ka-GE"/>
        </w:rPr>
        <w:t>с</w:t>
      </w: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+13.1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პლაცებოსთან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ერთად; p = 0.001) და სტენოკარდიის შეტევამდე დრო  (+46.3 </w:t>
      </w:r>
      <w:r w:rsidRPr="005935E0">
        <w:rPr>
          <w:rFonts w:ascii="Times New Roman" w:hAnsi="Times New Roman"/>
          <w:sz w:val="24"/>
          <w:szCs w:val="24"/>
          <w:lang w:val="ka-GE"/>
        </w:rPr>
        <w:t>с</w:t>
      </w: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წინააღმდეგ +32.5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პლაცებოსთან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; p = 0.005).</w:t>
      </w:r>
    </w:p>
    <w:p w14:paraId="5168E1A6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i/>
          <w:sz w:val="24"/>
          <w:szCs w:val="24"/>
          <w:shd w:val="clear" w:color="auto" w:fill="FFFFFF"/>
          <w:lang w:val="ka-GE"/>
        </w:rPr>
      </w:pPr>
      <w:proofErr w:type="spellStart"/>
      <w:r w:rsidRPr="005935E0">
        <w:rPr>
          <w:rStyle w:val="Strong"/>
          <w:rFonts w:ascii="Sylfaen" w:hAnsi="Sylfaen" w:cs="Sylfaen"/>
          <w:b w:val="0"/>
          <w:i/>
          <w:sz w:val="24"/>
          <w:szCs w:val="24"/>
          <w:shd w:val="clear" w:color="auto" w:fill="FFFFFF"/>
          <w:lang w:val="ka-GE"/>
        </w:rPr>
        <w:t>ფარმაკოკინეტიკა</w:t>
      </w:r>
      <w:proofErr w:type="spellEnd"/>
      <w:r w:rsidRPr="005935E0">
        <w:rPr>
          <w:rStyle w:val="Strong"/>
          <w:rFonts w:ascii="Sylfaen" w:hAnsi="Sylfaen" w:cs="Sylfaen"/>
          <w:b w:val="0"/>
          <w:i/>
          <w:sz w:val="24"/>
          <w:szCs w:val="24"/>
          <w:shd w:val="clear" w:color="auto" w:fill="FFFFFF"/>
          <w:lang w:val="ka-GE"/>
        </w:rPr>
        <w:t>.</w:t>
      </w:r>
    </w:p>
    <w:p w14:paraId="3FA57DE3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</w:pP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lastRenderedPageBreak/>
        <w:t>ტრიმეტაზიდინის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მაქსიმალური კონცენტრაცია სისხლში აღინიშნება ტაბლეტის მიღებიდან საშუალოდ 5 საათის შემდეგ. დღის განმავლობაში სისხლის პლაზმაში კონცენტრაცია სტაბილურია: ტაბლეტის მიღებიდან 11 საათის განმავლობაში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პლაზმური კონცენტრაცია უდრის ან აღემატება მაქსიმალური კონცენტრაციის 75%-ს.</w:t>
      </w:r>
    </w:p>
    <w:p w14:paraId="4ADB4C79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სტაბილური კონცენტრაციის მდგომარეობა დგინდება გვიან მე-60 საათისთვის. საკვების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მიღებსა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არ მოქმედებს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ფარმაკოკინეტიკური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მახასიათებლებზე.</w:t>
      </w:r>
    </w:p>
    <w:p w14:paraId="5A11A415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განაწილების მოცულობა შეადგენს 4,8 ლ/კგ,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ცილებთან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შეკავშირება დაბალია და შეადგენს 16%.</w:t>
      </w:r>
    </w:p>
    <w:p w14:paraId="71D0A992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</w:pP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გამოიყოფა ძირითადად შარდით, უმეტესად უცვლელი სახით.</w:t>
      </w:r>
    </w:p>
    <w:p w14:paraId="6D062E1D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</w:pP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ნახევარგამოყოფის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პერიოდი შეადგენს საშუალოდ 7 საათს ჯანმრთელ მოხალისეებში და 12 საათს ხანდაზმულებისთვის.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სრული ელიმინაცია არის თირკმლის კლირენსის შედეგი, რომელიც პირდაპირ კავშირშია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კრეატინინის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კლირენსთან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და უფრო მცირე ზომით ღვიძლის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კლირენსთან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, რომელიც ასაკთან ერთად მცირდება.</w:t>
      </w:r>
    </w:p>
    <w:p w14:paraId="2123F3EA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u w:val="single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b w:val="0"/>
          <w:sz w:val="24"/>
          <w:szCs w:val="24"/>
          <w:u w:val="single"/>
          <w:shd w:val="clear" w:color="auto" w:fill="FFFFFF"/>
          <w:lang w:val="ka-GE"/>
        </w:rPr>
        <w:t>პაციენტების სპეციალური ჯგუფები</w:t>
      </w:r>
    </w:p>
    <w:p w14:paraId="7B5128B4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</w:rPr>
      </w:pPr>
      <w:r w:rsidRPr="005935E0">
        <w:rPr>
          <w:rStyle w:val="Strong"/>
          <w:rFonts w:ascii="Sylfaen" w:hAnsi="Sylfaen" w:cs="Sylfaen"/>
          <w:b w:val="0"/>
          <w:i/>
          <w:sz w:val="24"/>
          <w:szCs w:val="24"/>
          <w:shd w:val="clear" w:color="auto" w:fill="FFFFFF"/>
          <w:lang w:val="ka-GE"/>
        </w:rPr>
        <w:t>ხანდაზმული პაციენტები.</w:t>
      </w: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</w:p>
    <w:p w14:paraId="73937347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ჩატარდა სპეციალური კლინიკური კვლევა ხანდაზმული პაციენტების მონაწილეობით, რომლებიც მკურნალობდნენ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ტრიმეტაზიდინით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35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მგ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(1 ტაბლეტი) 2-ჯერ დღეში. კინეტიკური პოპულაციის მეთოდით ჩატარებულმა ანალიზმა აჩვენა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კონცენტრაციის ზრდა სისხლის პლაზმაში. ხანდაზმულ პაციენტებში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კონცენტრაციის მომატება შესაძლებელია თირკმელების ფუნქციის ასაკთან დაკავშირებული დაქვეითების გამო. 75-84 წლის ან ≥ 85 წელზე უფროსი ასაკის პაციენტებში ჩატარებულმა სპეციალურმა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ფარმაკოკინეტიკურმა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კვლევამ აჩვენა, რომ თირკმელების ზომიერი უკმარისობის მქონე პაციენტებში (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კრეატინინის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კლირენსი 30-60 მლ/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წთ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),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კონცენტრაცია გაიზარდა 1.0 და 1.3-ჯერ, ახალგაზრდა პაციენტებთან (30-65 წლამდე) შედარებით, თირკმლის ზომიერი უკმარისობით.</w:t>
      </w:r>
    </w:p>
    <w:p w14:paraId="7ABA6E97" w14:textId="77777777" w:rsidR="007505E0" w:rsidRPr="005935E0" w:rsidRDefault="007505E0" w:rsidP="007505E0">
      <w:pPr>
        <w:spacing w:after="120" w:line="276" w:lineRule="auto"/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b w:val="0"/>
          <w:i/>
          <w:sz w:val="24"/>
          <w:szCs w:val="24"/>
          <w:shd w:val="clear" w:color="auto" w:fill="FFFFFF"/>
          <w:lang w:val="ka-GE"/>
        </w:rPr>
        <w:t>თირკმლის ფუნქციის დარღვევა.</w:t>
      </w: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კონცენტრაცია სისხლში იზრდება 1,7-ჯერ თირკმლის ზომიერი უკმარისობის მქონე პაციენტებში (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კრეატინინის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კლირენსი - 30-60 მლ/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წთ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) და 3,1-ჯერ თირკმლის მძიმე უკმარისობის მქონე პაციენტებში (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კრეატინინის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კლირენსი &lt; 30 მლ/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წთ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) თირკმელების ნორმალური ფუნქციის მქონე ჯანმრთელ მოხალისეებთან შედარებით. ამ პოპულაციაში არ აღინიშნა უსაფრთხოების არანაირი დამატებითი პრობლემა, ზოგად </w:t>
      </w:r>
      <w:proofErr w:type="spellStart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პოპულაციასთან</w:t>
      </w:r>
      <w:proofErr w:type="spellEnd"/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 xml:space="preserve"> შედარებით.</w:t>
      </w:r>
      <w:r w:rsidRPr="005935E0">
        <w:rPr>
          <w:rFonts w:ascii="Sylfaen" w:hAnsi="Sylfaen"/>
          <w:bCs/>
          <w:sz w:val="24"/>
          <w:szCs w:val="24"/>
          <w:shd w:val="clear" w:color="auto" w:fill="FFFFFF"/>
        </w:rPr>
        <w:br/>
      </w:r>
      <w:proofErr w:type="spellStart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</w:rPr>
        <w:t>ჩვენებ</w:t>
      </w:r>
      <w:proofErr w:type="spellEnd"/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ები</w:t>
      </w:r>
      <w:r w:rsidRPr="005935E0">
        <w:rPr>
          <w:rStyle w:val="Strong"/>
          <w:rFonts w:ascii="Sylfaen" w:hAnsi="Sylfaen"/>
          <w:sz w:val="24"/>
          <w:szCs w:val="24"/>
          <w:shd w:val="clear" w:color="auto" w:fill="FFFFFF"/>
          <w:lang w:val="ka-GE"/>
        </w:rPr>
        <w:t>.</w:t>
      </w:r>
    </w:p>
    <w:p w14:paraId="5D31842D" w14:textId="52941854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i/>
          <w:sz w:val="24"/>
          <w:szCs w:val="24"/>
          <w:shd w:val="clear" w:color="auto" w:fill="FFFFFF"/>
        </w:rPr>
      </w:pPr>
      <w:r w:rsidRPr="005935E0">
        <w:rPr>
          <w:rStyle w:val="Strong"/>
          <w:rFonts w:ascii="Sylfaen" w:hAnsi="Sylfaen"/>
          <w:b w:val="0"/>
          <w:sz w:val="24"/>
          <w:szCs w:val="24"/>
          <w:shd w:val="clear" w:color="auto" w:fill="FFFFFF"/>
          <w:lang w:val="ka-GE"/>
        </w:rPr>
        <w:t>სტაბილური სტენოკარდიით დაავადებული მოზრდილი პაციენტების სიმპტომური მკურნალობა</w:t>
      </w:r>
      <w:r w:rsidRPr="005935E0">
        <w:rPr>
          <w:rStyle w:val="Strong"/>
          <w:rFonts w:ascii="Sylfaen" w:hAnsi="Sylfaen"/>
          <w:b w:val="0"/>
          <w:sz w:val="24"/>
          <w:szCs w:val="24"/>
          <w:shd w:val="clear" w:color="auto" w:fill="FFFFFF"/>
        </w:rPr>
        <w:t>,</w:t>
      </w:r>
      <w:r w:rsidRPr="005935E0">
        <w:rPr>
          <w:rStyle w:val="Strong"/>
          <w:rFonts w:ascii="Sylfaen" w:hAnsi="Sylfaen"/>
          <w:b w:val="0"/>
          <w:sz w:val="24"/>
          <w:szCs w:val="24"/>
          <w:shd w:val="clear" w:color="auto" w:fill="FFFFFF"/>
          <w:lang w:val="ka-GE"/>
        </w:rPr>
        <w:t xml:space="preserve"> როდესაც პირველი რიგის </w:t>
      </w:r>
      <w:proofErr w:type="spellStart"/>
      <w:r w:rsidRPr="005935E0">
        <w:rPr>
          <w:rStyle w:val="Strong"/>
          <w:rFonts w:ascii="Sylfaen" w:hAnsi="Sylfaen"/>
          <w:b w:val="0"/>
          <w:sz w:val="24"/>
          <w:szCs w:val="24"/>
          <w:shd w:val="clear" w:color="auto" w:fill="FFFFFF"/>
          <w:lang w:val="ka-GE"/>
        </w:rPr>
        <w:t>ანტიანგინალური</w:t>
      </w:r>
      <w:proofErr w:type="spellEnd"/>
      <w:r w:rsidRPr="005935E0">
        <w:rPr>
          <w:rStyle w:val="Strong"/>
          <w:rFonts w:ascii="Sylfaen" w:hAnsi="Sylfaen"/>
          <w:b w:val="0"/>
          <w:sz w:val="24"/>
          <w:szCs w:val="24"/>
          <w:shd w:val="clear" w:color="auto" w:fill="FFFFFF"/>
          <w:lang w:val="ka-GE"/>
        </w:rPr>
        <w:t xml:space="preserve"> სამკურნალო საშუალებები არასაკმარისად ეფექტურია ან ვერ გადაიტანება. </w:t>
      </w:r>
    </w:p>
    <w:p w14:paraId="4FA88CC9" w14:textId="77777777" w:rsidR="007505E0" w:rsidRPr="005935E0" w:rsidRDefault="007505E0" w:rsidP="007505E0">
      <w:pPr>
        <w:spacing w:after="120" w:line="276" w:lineRule="auto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გამოყენების მეთოდი</w:t>
      </w:r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</w:rPr>
        <w:t>და</w:t>
      </w:r>
      <w:proofErr w:type="spellEnd"/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</w:rPr>
        <w:t>დოზ</w:t>
      </w:r>
      <w:proofErr w:type="spellEnd"/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ები</w:t>
      </w:r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  <w:lang w:val="ka-GE"/>
        </w:rPr>
        <w:t>.</w:t>
      </w:r>
      <w:r w:rsidRPr="005935E0">
        <w:rPr>
          <w:rFonts w:ascii="Sylfaen" w:hAnsi="Sylfaen"/>
          <w:sz w:val="24"/>
          <w:szCs w:val="24"/>
        </w:rPr>
        <w:br/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პრეპარატი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მიიღება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პერორალურად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1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ტაბლეტი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2-</w:t>
      </w:r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ჯერ</w:t>
      </w:r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დღეში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,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დილას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და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საღამოს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კვების</w:t>
      </w:r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დროს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,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lastRenderedPageBreak/>
        <w:t>საკმა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რისი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რაოდენობის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წყლის დაყოლებით.</w:t>
      </w:r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მკურნალობის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კურსის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ხანგრძლივობას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განსაზღვრავს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ექიმი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ინდივიდუალურად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დაავადების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ხასიათისა და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მიმდინარეობის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შესაბამისად</w:t>
      </w:r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.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აუცილებლობის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შემთხვევაში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მკურნალობის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სქემა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შესაძლოა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გადაიხედოს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3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თვის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</w:rPr>
        <w:t>შემდეგ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</w:rPr>
        <w:t>.</w:t>
      </w:r>
    </w:p>
    <w:p w14:paraId="102DDE14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u w:val="single"/>
          <w:shd w:val="clear" w:color="auto" w:fill="FFFFFF"/>
          <w:lang w:val="ka-GE"/>
        </w:rPr>
      </w:pPr>
      <w:r w:rsidRPr="005935E0">
        <w:rPr>
          <w:rFonts w:ascii="Sylfaen" w:hAnsi="Sylfaen"/>
          <w:sz w:val="24"/>
          <w:szCs w:val="24"/>
          <w:u w:val="single"/>
          <w:shd w:val="clear" w:color="auto" w:fill="FFFFFF"/>
          <w:lang w:val="ka-GE"/>
        </w:rPr>
        <w:t>პაციენტების განსაკუთრებული ჯგუფები</w:t>
      </w:r>
    </w:p>
    <w:p w14:paraId="4AAD5DB0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i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/>
          <w:i/>
          <w:sz w:val="24"/>
          <w:szCs w:val="24"/>
          <w:shd w:val="clear" w:color="auto" w:fill="FFFFFF"/>
          <w:lang w:val="ka-GE"/>
        </w:rPr>
        <w:t>პაციენტები თირკმლის ფუნქციის დარღვევით</w:t>
      </w:r>
    </w:p>
    <w:p w14:paraId="77EFFA28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პაციენტებისათვის თირკმლის ფუნქციის ზომიერი დარღვევით (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კრეატინინის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კლირენსი 30-60 მლ/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წთ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) რეკომენდებული დოზაა 1 ტაბლეტი დღეში, დილით,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საუზმის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დროს.</w:t>
      </w:r>
    </w:p>
    <w:p w14:paraId="4C5CCCD6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i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/>
          <w:i/>
          <w:sz w:val="24"/>
          <w:szCs w:val="24"/>
          <w:shd w:val="clear" w:color="auto" w:fill="FFFFFF"/>
          <w:lang w:val="ka-GE"/>
        </w:rPr>
        <w:t>ხანდაზმული პაციენტები</w:t>
      </w:r>
    </w:p>
    <w:p w14:paraId="1F2B14C5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ხანდაზმული პაციენტები უფრო მგრძნობიარენი არიან 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მოქმედების მიმართ თირკმლის ფუნქციის ასაკობრივი დაქვეითების გამო. პაციენტებისათვის თირკმლის ფუნქციის ზომიერი დარღვევით (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კრეატინინის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კლირენსი 30-60 მლ/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წთ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) რეკომენდებული დოზაა 1 ტაბლეტი დღეში, დილით,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კვების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დროს.  </w:t>
      </w:r>
    </w:p>
    <w:p w14:paraId="52C89A0A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shd w:val="clear" w:color="auto" w:fill="FFFFFF"/>
        </w:rPr>
      </w:pP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ხანდაზმულ პაციენტებში დოზის 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ტიტრირება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უნდა მოხდეს სიფრთხილით.</w:t>
      </w:r>
    </w:p>
    <w:p w14:paraId="74CA4E9E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935E0">
        <w:rPr>
          <w:rFonts w:ascii="Sylfaen" w:hAnsi="Sylfaen"/>
          <w:b/>
          <w:i/>
          <w:sz w:val="24"/>
          <w:szCs w:val="24"/>
          <w:shd w:val="clear" w:color="auto" w:fill="FFFFFF"/>
        </w:rPr>
        <w:t>ბავშვები</w:t>
      </w:r>
      <w:proofErr w:type="spellEnd"/>
      <w:r w:rsidRPr="005935E0">
        <w:rPr>
          <w:rFonts w:ascii="Sylfaen" w:hAnsi="Sylfaen"/>
          <w:b/>
          <w:i/>
          <w:sz w:val="24"/>
          <w:szCs w:val="24"/>
          <w:shd w:val="clear" w:color="auto" w:fill="FFFFFF"/>
          <w:lang w:val="ka-GE"/>
        </w:rPr>
        <w:t>.</w:t>
      </w:r>
    </w:p>
    <w:p w14:paraId="1036ED33" w14:textId="77777777" w:rsidR="007505E0" w:rsidRPr="005935E0" w:rsidRDefault="007505E0" w:rsidP="007505E0">
      <w:pPr>
        <w:spacing w:after="120" w:line="276" w:lineRule="auto"/>
        <w:rPr>
          <w:rStyle w:val="Strong"/>
          <w:rFonts w:ascii="Sylfaen" w:hAnsi="Sylfaen"/>
          <w:b w:val="0"/>
          <w:bCs w:val="0"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/>
          <w:sz w:val="24"/>
          <w:szCs w:val="24"/>
          <w:lang w:val="ka-GE"/>
        </w:rPr>
        <w:t xml:space="preserve">ბავშვებში (18 წლამდე)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ტრიმეტაზიდინის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გამოყენების უსაფრთხოება და ეფექტურობა დადგენილი არ არის. მონაცემები არ მოიპოვება.</w:t>
      </w:r>
      <w:r w:rsidRPr="005935E0">
        <w:rPr>
          <w:rFonts w:ascii="Sylfaen" w:hAnsi="Sylfaen"/>
          <w:sz w:val="24"/>
          <w:szCs w:val="24"/>
        </w:rPr>
        <w:br/>
      </w:r>
      <w:proofErr w:type="spellStart"/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</w:rPr>
        <w:t>გვერდითი</w:t>
      </w:r>
      <w:proofErr w:type="spellEnd"/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</w:rPr>
        <w:t xml:space="preserve"> </w:t>
      </w: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რეაქციები</w:t>
      </w:r>
    </w:p>
    <w:p w14:paraId="2636834A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5935E0">
        <w:rPr>
          <w:rStyle w:val="Strong"/>
          <w:rFonts w:ascii="Sylfaen" w:hAnsi="Sylfaen"/>
          <w:b w:val="0"/>
          <w:sz w:val="24"/>
          <w:szCs w:val="24"/>
          <w:shd w:val="clear" w:color="auto" w:fill="FFFFFF"/>
          <w:lang w:val="ka-GE"/>
        </w:rPr>
        <w:t>გვერდითი ეფექტები,  განსაზღვრული როგორც გვერდითი მოვლენა, რომელიც შეიძლება</w:t>
      </w:r>
      <w:r w:rsidRPr="005935E0">
        <w:rPr>
          <w:rStyle w:val="Strong"/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/>
          <w:sz w:val="24"/>
          <w:szCs w:val="24"/>
          <w:lang w:val="ka-GE"/>
        </w:rPr>
        <w:t xml:space="preserve">დაკავშირებული იყოს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ტრიმეტაზიდინის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გამოყენებასთან, მოცემულია ქვემოთ გარკვეული სიხშირის შესაბამისად: ძალიან ხშირი (≥1/10); ხშირი (≥1/100, &lt;1/10); არა-ხშირი (≥1/1000, &lt;1/100); იშვიათი (≥1/10 000, &lt;1/1000); ძალიან იშვიათი (&lt; 1/10 000); სიხშირე უცნობია (განსაზღვრა შეუძლებელია ხელმისაწვდომი ინფორმაციის საფუძველზე):</w:t>
      </w:r>
      <w:r w:rsidRPr="005935E0">
        <w:rPr>
          <w:rFonts w:ascii="Sylfaen" w:hAnsi="Sylfaen"/>
          <w:sz w:val="24"/>
          <w:szCs w:val="24"/>
        </w:rPr>
        <w:br/>
      </w:r>
      <w:r w:rsidRPr="005935E0">
        <w:rPr>
          <w:rFonts w:ascii="Sylfaen" w:hAnsi="Sylfaen"/>
          <w:i/>
          <w:sz w:val="24"/>
          <w:szCs w:val="24"/>
          <w:lang w:val="ka-GE"/>
        </w:rPr>
        <w:t xml:space="preserve">- ნერვული სისტემის მხრივ: </w:t>
      </w:r>
      <w:r w:rsidRPr="005935E0">
        <w:rPr>
          <w:rFonts w:ascii="Sylfaen" w:hAnsi="Sylfaen"/>
          <w:sz w:val="24"/>
          <w:szCs w:val="24"/>
          <w:lang w:val="ka-GE"/>
        </w:rPr>
        <w:t xml:space="preserve"> ხშირი - თავის ტკივილი, თავბრუსხვევა; არც ისე ხშირი -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პარესტეზია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>, სიხშირე უცნობია - შესაძლებელია პარკინსონიზმის სიმპტომების აღმოცენება (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ტრემორი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აკინეზია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, კუნთების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ჰიპერტონუსი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>), არამდგრადი სიარული, „მოუსვენარი ფეხების“ სინდრომი და სხვა მოტორული დარღვევები, რომლებსაც აქვთ ზემოაღნიშნულთან კავშირი და გააჩნიათ შექცევადი ხასიათი პრეპარატის მოხსნის შემდეგ; ძილის დარღვევები (უძილობა, ძილიანობა);</w:t>
      </w:r>
    </w:p>
    <w:p w14:paraId="1457657C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5935E0">
        <w:rPr>
          <w:rFonts w:ascii="Sylfaen" w:hAnsi="Sylfaen"/>
          <w:i/>
          <w:sz w:val="24"/>
          <w:szCs w:val="24"/>
          <w:lang w:val="ka-GE"/>
        </w:rPr>
        <w:t xml:space="preserve">- სმენის ორგანოების და </w:t>
      </w:r>
      <w:proofErr w:type="spellStart"/>
      <w:r w:rsidRPr="005935E0">
        <w:rPr>
          <w:rFonts w:ascii="Sylfaen" w:hAnsi="Sylfaen"/>
          <w:i/>
          <w:sz w:val="24"/>
          <w:szCs w:val="24"/>
          <w:lang w:val="ka-GE"/>
        </w:rPr>
        <w:t>ვესტიბულური</w:t>
      </w:r>
      <w:proofErr w:type="spellEnd"/>
      <w:r w:rsidRPr="005935E0">
        <w:rPr>
          <w:rFonts w:ascii="Sylfaen" w:hAnsi="Sylfaen"/>
          <w:i/>
          <w:sz w:val="24"/>
          <w:szCs w:val="24"/>
          <w:lang w:val="ka-GE"/>
        </w:rPr>
        <w:t xml:space="preserve"> აპარატის მხრივ:</w:t>
      </w:r>
      <w:r w:rsidRPr="005935E0">
        <w:rPr>
          <w:rFonts w:ascii="Sylfaen" w:hAnsi="Sylfaen"/>
          <w:sz w:val="24"/>
          <w:szCs w:val="24"/>
          <w:lang w:val="ka-GE"/>
        </w:rPr>
        <w:t xml:space="preserve"> სიხშირე უცნობია -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ვერტიგო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>;</w:t>
      </w:r>
    </w:p>
    <w:p w14:paraId="77DCF0FA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5935E0">
        <w:rPr>
          <w:rFonts w:ascii="Sylfaen" w:hAnsi="Sylfaen"/>
          <w:sz w:val="24"/>
          <w:szCs w:val="24"/>
          <w:lang w:val="ka-GE"/>
        </w:rPr>
        <w:t xml:space="preserve">- </w:t>
      </w:r>
      <w:r w:rsidRPr="005935E0">
        <w:rPr>
          <w:rFonts w:ascii="Sylfaen" w:hAnsi="Sylfaen"/>
          <w:i/>
          <w:sz w:val="24"/>
          <w:szCs w:val="24"/>
          <w:lang w:val="ka-GE"/>
        </w:rPr>
        <w:t>გულის მხრივ:</w:t>
      </w:r>
      <w:r w:rsidRPr="005935E0">
        <w:rPr>
          <w:rFonts w:ascii="Sylfaen" w:hAnsi="Sylfaen"/>
          <w:sz w:val="24"/>
          <w:szCs w:val="24"/>
          <w:lang w:val="ka-GE"/>
        </w:rPr>
        <w:t xml:space="preserve"> იშვიათი - გულის ფრიალი,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ექსტრასისტოლია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>, ტაქიკარდია;</w:t>
      </w:r>
    </w:p>
    <w:p w14:paraId="7215AA18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5935E0">
        <w:rPr>
          <w:rFonts w:ascii="Sylfaen" w:hAnsi="Sylfaen"/>
          <w:i/>
          <w:sz w:val="24"/>
          <w:szCs w:val="24"/>
          <w:lang w:val="ka-GE"/>
        </w:rPr>
        <w:t>- სისხლძარღვების მხრივ:</w:t>
      </w:r>
      <w:r w:rsidRPr="005935E0">
        <w:rPr>
          <w:rFonts w:ascii="Sylfaen" w:hAnsi="Sylfaen"/>
          <w:sz w:val="24"/>
          <w:szCs w:val="24"/>
          <w:lang w:val="ka-GE"/>
        </w:rPr>
        <w:t xml:space="preserve"> იშვიათი - არტერიული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ორთოსტატიკური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, რომელიც შეიძლება ასოცირდებოდეს სისუსტესთან, თავბრუსხვევასთან ან დაცემასთან (კერძოდ პაციენტებში, რომლებიც ღებულობენ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ანტიჰიპერტენზიულ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პრეპარატებს); სახის გაწითლება;</w:t>
      </w:r>
    </w:p>
    <w:p w14:paraId="442B3D8D" w14:textId="77777777" w:rsidR="007505E0" w:rsidRPr="005935E0" w:rsidRDefault="007505E0" w:rsidP="007505E0">
      <w:pPr>
        <w:pStyle w:val="ListParagraph"/>
        <w:numPr>
          <w:ilvl w:val="0"/>
          <w:numId w:val="1"/>
        </w:numPr>
        <w:spacing w:after="120" w:line="276" w:lineRule="auto"/>
        <w:ind w:left="-180" w:firstLine="0"/>
        <w:jc w:val="both"/>
        <w:rPr>
          <w:rFonts w:ascii="Sylfaen" w:hAnsi="Sylfaen"/>
          <w:sz w:val="24"/>
          <w:szCs w:val="24"/>
          <w:lang w:val="ka-GE"/>
        </w:rPr>
      </w:pPr>
      <w:r w:rsidRPr="005935E0">
        <w:rPr>
          <w:rFonts w:ascii="Sylfaen" w:hAnsi="Sylfaen"/>
          <w:i/>
          <w:sz w:val="24"/>
          <w:szCs w:val="24"/>
          <w:lang w:val="ka-GE"/>
        </w:rPr>
        <w:t>საჭმლის მომნელებელი ტრაქტის მხრივ:</w:t>
      </w:r>
      <w:r w:rsidRPr="005935E0">
        <w:rPr>
          <w:rFonts w:ascii="Sylfaen" w:hAnsi="Sylfaen"/>
          <w:sz w:val="24"/>
          <w:szCs w:val="24"/>
          <w:lang w:val="ka-GE"/>
        </w:rPr>
        <w:t xml:space="preserve"> ხშირი -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აბდომინალური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ტკივილი, დიარეა,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დისპეპსია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>, გულისრევა და ღებინება; სიხშირე უცნობია - ყაბზობა;</w:t>
      </w:r>
    </w:p>
    <w:p w14:paraId="49E5142D" w14:textId="77777777" w:rsidR="007505E0" w:rsidRPr="005935E0" w:rsidRDefault="007505E0" w:rsidP="007505E0">
      <w:pPr>
        <w:pStyle w:val="ListParagraph"/>
        <w:numPr>
          <w:ilvl w:val="0"/>
          <w:numId w:val="1"/>
        </w:numPr>
        <w:spacing w:after="120" w:line="276" w:lineRule="auto"/>
        <w:ind w:left="-18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935E0">
        <w:rPr>
          <w:rFonts w:ascii="Sylfaen" w:hAnsi="Sylfaen"/>
          <w:i/>
          <w:sz w:val="24"/>
          <w:szCs w:val="24"/>
          <w:lang w:val="ka-GE"/>
        </w:rPr>
        <w:lastRenderedPageBreak/>
        <w:t>ჰეპატობილიარული</w:t>
      </w:r>
      <w:proofErr w:type="spellEnd"/>
      <w:r w:rsidRPr="005935E0">
        <w:rPr>
          <w:rFonts w:ascii="Sylfaen" w:hAnsi="Sylfaen"/>
          <w:i/>
          <w:sz w:val="24"/>
          <w:szCs w:val="24"/>
          <w:lang w:val="ka-GE"/>
        </w:rPr>
        <w:t xml:space="preserve"> სისტემის მხრივ:</w:t>
      </w:r>
      <w:r w:rsidRPr="005935E0">
        <w:rPr>
          <w:rFonts w:ascii="Sylfaen" w:hAnsi="Sylfaen"/>
          <w:sz w:val="24"/>
          <w:szCs w:val="24"/>
          <w:lang w:val="ka-GE"/>
        </w:rPr>
        <w:t xml:space="preserve"> სიხშირე უცნობია -ჰეპატიტი;</w:t>
      </w:r>
    </w:p>
    <w:p w14:paraId="7443E6E6" w14:textId="77777777" w:rsidR="007505E0" w:rsidRPr="005935E0" w:rsidRDefault="007505E0" w:rsidP="007505E0">
      <w:pPr>
        <w:pStyle w:val="ListParagraph"/>
        <w:spacing w:after="120" w:line="276" w:lineRule="auto"/>
        <w:ind w:left="-180"/>
        <w:jc w:val="both"/>
        <w:rPr>
          <w:rFonts w:ascii="Sylfaen" w:hAnsi="Sylfaen"/>
          <w:sz w:val="24"/>
          <w:szCs w:val="24"/>
          <w:lang w:val="ka-GE"/>
        </w:rPr>
      </w:pPr>
      <w:r w:rsidRPr="005935E0">
        <w:rPr>
          <w:rFonts w:ascii="Sylfaen" w:hAnsi="Sylfaen"/>
          <w:i/>
          <w:sz w:val="24"/>
          <w:szCs w:val="24"/>
        </w:rPr>
        <w:t xml:space="preserve">- </w:t>
      </w:r>
      <w:r w:rsidRPr="005935E0">
        <w:rPr>
          <w:rFonts w:ascii="Sylfaen" w:hAnsi="Sylfaen"/>
          <w:i/>
          <w:sz w:val="24"/>
          <w:szCs w:val="24"/>
          <w:lang w:val="ka-GE"/>
        </w:rPr>
        <w:t>კანისა და კანქვეშა ქსოვილების მხრივ:</w:t>
      </w:r>
      <w:r w:rsidRPr="005935E0">
        <w:rPr>
          <w:rFonts w:ascii="Sylfaen" w:hAnsi="Sylfaen"/>
          <w:sz w:val="24"/>
          <w:szCs w:val="24"/>
          <w:lang w:val="ka-GE"/>
        </w:rPr>
        <w:t xml:space="preserve"> ხშირი - გამონაყარი, ქავილი, ჭინჭრის ციება; სიხშირე უცნობია - მედიკამენტოზური რეაქცია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ეოზინოფილიით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და სისტემური სიმპტომებით (DRESS-სინდრომი), მწვავე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გენერალიზებული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ეგზანთემატოზური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პუსტულოზი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(იხ. ნაწილი "გამოყენების განსაკუთრებულობა"),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ანგიონევროზული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შეშუპება;</w:t>
      </w:r>
    </w:p>
    <w:p w14:paraId="6BFDFC9D" w14:textId="77777777" w:rsidR="007505E0" w:rsidRPr="005935E0" w:rsidRDefault="007505E0" w:rsidP="007505E0">
      <w:pPr>
        <w:pStyle w:val="ListParagraph"/>
        <w:spacing w:after="120" w:line="276" w:lineRule="auto"/>
        <w:ind w:left="-180"/>
        <w:jc w:val="both"/>
        <w:rPr>
          <w:rFonts w:ascii="Sylfaen" w:hAnsi="Sylfaen"/>
          <w:sz w:val="24"/>
          <w:szCs w:val="24"/>
          <w:lang w:val="ka-GE"/>
        </w:rPr>
      </w:pPr>
      <w:r w:rsidRPr="005935E0">
        <w:rPr>
          <w:rFonts w:ascii="Sylfaen" w:hAnsi="Sylfaen"/>
          <w:i/>
          <w:sz w:val="24"/>
          <w:szCs w:val="24"/>
        </w:rPr>
        <w:t xml:space="preserve">- </w:t>
      </w:r>
      <w:r w:rsidRPr="005935E0">
        <w:rPr>
          <w:rFonts w:ascii="Sylfaen" w:hAnsi="Sylfaen"/>
          <w:i/>
          <w:sz w:val="24"/>
          <w:szCs w:val="24"/>
          <w:lang w:val="ka-GE"/>
        </w:rPr>
        <w:t>სისხლისა და ლიმფური სისტემის მხრივ:</w:t>
      </w:r>
      <w:r w:rsidRPr="005935E0">
        <w:rPr>
          <w:rFonts w:ascii="Sylfaen" w:hAnsi="Sylfaen"/>
          <w:sz w:val="24"/>
          <w:szCs w:val="24"/>
          <w:lang w:val="ka-GE"/>
        </w:rPr>
        <w:t xml:space="preserve"> სიხშირე უცნობია -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აგრანულოციტოზი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თრომბოციტოპენია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>,</w:t>
      </w:r>
      <w:r w:rsidRPr="005935E0">
        <w:rPr>
          <w:rFonts w:ascii="Sylfaen" w:hAnsi="Sylfaen"/>
          <w:sz w:val="24"/>
          <w:szCs w:val="24"/>
        </w:rPr>
        <w:t xml:space="preserve">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თრომბოციტოპენიური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Fonts w:ascii="Sylfaen" w:hAnsi="Sylfaen"/>
          <w:sz w:val="24"/>
          <w:szCs w:val="24"/>
          <w:lang w:val="ka-GE"/>
        </w:rPr>
        <w:t>პურპურა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>;</w:t>
      </w:r>
    </w:p>
    <w:p w14:paraId="09D10501" w14:textId="77777777" w:rsidR="007505E0" w:rsidRPr="005935E0" w:rsidRDefault="007505E0" w:rsidP="007505E0">
      <w:pPr>
        <w:pStyle w:val="ListParagraph"/>
        <w:numPr>
          <w:ilvl w:val="0"/>
          <w:numId w:val="1"/>
        </w:numPr>
        <w:spacing w:after="120" w:line="276" w:lineRule="auto"/>
        <w:ind w:left="-180" w:firstLine="0"/>
        <w:jc w:val="both"/>
        <w:rPr>
          <w:rFonts w:ascii="Sylfaen" w:hAnsi="Sylfaen"/>
          <w:sz w:val="24"/>
          <w:szCs w:val="24"/>
          <w:lang w:val="ka-GE"/>
        </w:rPr>
      </w:pPr>
      <w:r w:rsidRPr="005935E0">
        <w:rPr>
          <w:rFonts w:ascii="Sylfaen" w:hAnsi="Sylfaen"/>
          <w:i/>
          <w:sz w:val="24"/>
          <w:szCs w:val="24"/>
          <w:lang w:val="ka-GE"/>
        </w:rPr>
        <w:t>ზოგადი დარღვევები:</w:t>
      </w:r>
      <w:r w:rsidRPr="005935E0">
        <w:rPr>
          <w:rFonts w:ascii="Sylfaen" w:hAnsi="Sylfaen"/>
          <w:sz w:val="24"/>
          <w:szCs w:val="24"/>
          <w:lang w:val="ka-GE"/>
        </w:rPr>
        <w:t xml:space="preserve"> ხშირი - ასთენია.</w:t>
      </w:r>
    </w:p>
    <w:p w14:paraId="32B9B57B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უკუჩვენებები</w:t>
      </w:r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  <w:lang w:val="ka-GE"/>
        </w:rPr>
        <w:t>.</w:t>
      </w:r>
      <w:r w:rsidRPr="005935E0">
        <w:rPr>
          <w:rFonts w:ascii="Sylfaen" w:hAnsi="Sylfaen"/>
          <w:sz w:val="24"/>
          <w:szCs w:val="24"/>
          <w:lang w:val="ka-GE"/>
        </w:rPr>
        <w:br/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- მომატებული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ინდივიდუალური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მგრძნობელობა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ან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პრეპარატის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ნებისმიერი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კომპონენტის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მიმართ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. </w:t>
      </w:r>
    </w:p>
    <w:p w14:paraId="1973F96A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-</w:t>
      </w:r>
      <w:r w:rsidRPr="005935E0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პარკინსონის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დაავადება, პარკინსონიზმის სიმპტომები, 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ტრემორი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, „მოუსვენარი ფეხების“ სინდრომი და სხვა მოტორული დარღვევები.</w:t>
      </w:r>
    </w:p>
    <w:p w14:paraId="11342729" w14:textId="77777777" w:rsidR="007505E0" w:rsidRPr="005935E0" w:rsidRDefault="007505E0" w:rsidP="007505E0">
      <w:pPr>
        <w:pStyle w:val="ListParagraph"/>
        <w:spacing w:after="120" w:line="276" w:lineRule="auto"/>
        <w:ind w:left="-180"/>
        <w:jc w:val="both"/>
        <w:rPr>
          <w:rFonts w:ascii="Sylfaen" w:hAnsi="Sylfaen"/>
          <w:sz w:val="24"/>
          <w:szCs w:val="24"/>
          <w:lang w:val="ka-GE"/>
        </w:rPr>
      </w:pP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- თირკმლის მძიმე უკმარისობა (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კრეატინინის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კლირენსი &lt;30 მლ/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წთ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).</w:t>
      </w:r>
    </w:p>
    <w:p w14:paraId="18CF0698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5935E0">
        <w:rPr>
          <w:rFonts w:ascii="Sylfaen" w:hAnsi="Sylfaen" w:cs="Sylfaen"/>
          <w:b/>
          <w:i/>
          <w:sz w:val="24"/>
          <w:szCs w:val="24"/>
          <w:lang w:val="ka-GE"/>
        </w:rPr>
        <w:t>დოზის</w:t>
      </w:r>
      <w:r w:rsidRPr="005935E0">
        <w:rPr>
          <w:rFonts w:ascii="Sylfaen" w:hAnsi="Sylfaen"/>
          <w:b/>
          <w:i/>
          <w:sz w:val="24"/>
          <w:szCs w:val="24"/>
          <w:lang w:val="ka-GE"/>
        </w:rPr>
        <w:t xml:space="preserve"> გადაჭარბება.</w:t>
      </w:r>
    </w:p>
    <w:p w14:paraId="593CBF9F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935E0">
        <w:rPr>
          <w:rFonts w:ascii="Sylfaen" w:hAnsi="Sylfaen"/>
          <w:sz w:val="24"/>
          <w:szCs w:val="24"/>
          <w:lang w:val="ka-GE"/>
        </w:rPr>
        <w:t>ტრიმეტაზიდინის</w:t>
      </w:r>
      <w:proofErr w:type="spellEnd"/>
      <w:r w:rsidRPr="005935E0">
        <w:rPr>
          <w:rFonts w:ascii="Sylfaen" w:hAnsi="Sylfaen"/>
          <w:sz w:val="24"/>
          <w:szCs w:val="24"/>
          <w:lang w:val="ka-GE"/>
        </w:rPr>
        <w:t xml:space="preserve"> დოზის გადაჭარბების შესახებ მონაცემების რაოდენობა შეზღუდულია. მკურნალობა სიმპტომურია.</w:t>
      </w:r>
    </w:p>
    <w:p w14:paraId="0A901EC4" w14:textId="77777777" w:rsidR="007505E0" w:rsidRPr="005935E0" w:rsidRDefault="007505E0" w:rsidP="007505E0">
      <w:pPr>
        <w:spacing w:after="120" w:line="276" w:lineRule="auto"/>
        <w:rPr>
          <w:rFonts w:ascii="Sylfaen" w:hAnsi="Sylfaen"/>
          <w:sz w:val="24"/>
          <w:szCs w:val="24"/>
          <w:lang w:val="ka-GE"/>
        </w:rPr>
      </w:pP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გამოყენების</w:t>
      </w:r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თავისებურებები</w:t>
      </w:r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  <w:lang w:val="ka-GE"/>
        </w:rPr>
        <w:t>.</w:t>
      </w:r>
      <w:r w:rsidRPr="005935E0">
        <w:rPr>
          <w:rFonts w:ascii="Sylfaen" w:hAnsi="Sylfaen"/>
          <w:sz w:val="24"/>
          <w:szCs w:val="24"/>
          <w:lang w:val="ka-GE"/>
        </w:rPr>
        <w:br/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პრეპარატი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არ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გამოიყენება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სტენოკარდიული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შეტევების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კუპირებისთვის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. ის არ უნდა დაინიშნოს არასტაბილური სტენოკარდიის ან მიოკარდიუმის ინფარქტის დროს პირველადი თერაპიის სახით 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პრეჰოსპიტალურ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ეტაპზე ან ჰოსპიტალიზაციის პირველ დღეებში. </w:t>
      </w:r>
    </w:p>
    <w:p w14:paraId="55F8FD2C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არასტაბილური სტენოკარდიის შეტევის განვითარებისას მიმდინარე თერაპიის ფონზე, აუცილებელია ავადმყოფობის მიმდინარეობის გადახედვა და პაციენტის მკურნალობის კორექტირება (მედიკამენტური მკურნალობა და </w:t>
      </w:r>
      <w:proofErr w:type="spellStart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რევასკულარიზაციის</w:t>
      </w:r>
      <w:proofErr w:type="spellEnd"/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შესაძლებლობა). </w:t>
      </w:r>
    </w:p>
    <w:p w14:paraId="4C15751F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/>
          <w:sz w:val="24"/>
          <w:szCs w:val="24"/>
          <w:lang w:val="ka-GE"/>
        </w:rPr>
      </w:pP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ტრიმეტაზიდინმა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 შეიძლება გამოიწვიოს ან გააუარესოს პარკინსონიზმის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სიმპტომები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ტრემორი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აკინეზია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,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კუნთების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ჰიპერტონუსი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),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რომლებიც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რეგულარულად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უნდა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შემოწმდეს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ხანდაზმული ასაკის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პაციენტებში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.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საეჭვო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შემთხვევებში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პაციენტები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უნდა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გაიგზავნოს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ნევროპათოლოგთან შესაბამისი გამოკვლევების ჩასატარებლად.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</w:p>
    <w:p w14:paraId="6E3B14EE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მოტორული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დარღვევების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გაჩენისას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როგორიცაა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პარკინსონიზმის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სიმპტომები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ტრემორი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, „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მოუსვენარი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ფეხების“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სინდრომი, არამდგრადი სიარული, პრეპარატი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უნდა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მოიხსნას.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მოტორული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დარღვევების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განვითარების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სიხშირე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დაბალია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.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ზოგადად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ისინი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შექცევადი ხასიათისაა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უმეტესობა პაციენტებში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უკუგანვითარდება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ტრიმეტაზიდინის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მიღების შეწყვეტიდან 4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თვის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განმავლობაში.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თუ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პარკინსონიზმის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სიმპტომები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კვლავ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გრძელდება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პრეპარატის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შეწყვეტის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შემდეგ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4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თვეზე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მეტი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დროის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განმავლობაში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უნდა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მიმართოთ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ნევროპათოლოგს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. </w:t>
      </w:r>
    </w:p>
    <w:p w14:paraId="6B9ED32A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 w:cs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/>
          <w:sz w:val="24"/>
          <w:szCs w:val="24"/>
          <w:lang w:val="ka-GE"/>
        </w:rPr>
        <w:lastRenderedPageBreak/>
        <w:t xml:space="preserve">შესაძლებელია დაცემის შემთხვევები, რომლებიც დაკავშირებულია არამდგრად სიარულთან ან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არტერიულ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ჰიპოტენზიასთან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, განსაკუთრებით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კი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ღებულობენ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ანტიჰიპერტენზიულ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 საშუალებებს. </w:t>
      </w:r>
    </w:p>
    <w:p w14:paraId="4717D0E4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 w:cs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გამოყენება საჭიროა სიფრთხილით შემდეგ პაციენტებში:</w:t>
      </w:r>
    </w:p>
    <w:p w14:paraId="77B5A48D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-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თირკმლის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ფუნქციის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ზომიერი დარღვევით (იხ. პუნქტი „გამოყენების წესი და დოზირება“ და „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“)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; </w:t>
      </w:r>
    </w:p>
    <w:p w14:paraId="0E769A61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-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ხანდაზმული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პაციენტები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(75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წელზე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მეტი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ასაკის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)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(იხ. პუნქტი „გამოყენების წესი და დოზირება“)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;</w:t>
      </w:r>
    </w:p>
    <w:p w14:paraId="770D371A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/>
          <w:i/>
          <w:sz w:val="24"/>
          <w:szCs w:val="24"/>
          <w:lang w:val="ka-GE"/>
        </w:rPr>
        <w:t>კანის მძიმე გვერდითი რეაქციები.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ტრიმეტაზიდინის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მიღებისას დაფიქსირდა კანის მძიმე გვერდითი რეაქციები, კერძოდ მედიკამენტოზური რეაქცია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ეოზინოფილიით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და სისტემური სიმპტომებით (DRESS-სინდრომი) და მწვავე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გენერალიზებული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ეგზანთემატოზური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პუსტულოზი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რომელიც შეიძლება იყოს სიცოცხლისთვის საშიში ან ფატალური (იხ. ნაწილი „გვერდითი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რექციები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“). პრეპარატის დანიშვნისას პაციენტი უნდა იყოს ინფორმირებული კანის მძიმე რეაქციების ნიშნებისა და სიმპტომების შესახებ და მკურნალობის დროს განხორციელდეს პაციენტის მდგომარეობის გულდასმით მონიტორინგი. ამ რეაქციების დამადასტურებელი ნიშნების გამოვლენის შემთხვევაში,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ტრიმეტაზიდინის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გამოყენება დაუყოვნებლივ უნდა შეწყდეს და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განიხილულ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იქნეს ალტერნატიული მკურნალობა (საჭიროების შემთხვევაში).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აქტიური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სუბსტანციის 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მოდიფიცირებული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(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შენელებული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)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გამოთავისუფლების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მისაღწევად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შეიქმნა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ტაბლეტის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სპეციალური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სტრუქტურა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(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მატრიცა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).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მოქმედი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ნივთიერება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რომელიც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უზრუნველყოფს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პრეპარატის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დომისინი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b w:val="0"/>
          <w:sz w:val="24"/>
          <w:szCs w:val="24"/>
          <w:shd w:val="clear" w:color="auto" w:fill="FFFFFF"/>
          <w:lang w:val="ka-GE"/>
        </w:rPr>
        <w:t>MR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თერაპიულ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ეფექტს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თანდათან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გამოთავისუფლდება ტაბლეტიდან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მის მიერ საჭმლის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მომნელებელ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სისტემაში გავლისას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.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თუმცა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ზოგიერთ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შემთხვევაში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მატრიცის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კარკასული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სტრუქტურა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შეიძლება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გამოვიდეს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ადამიანის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ორგანიზმიდან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ტაბლეტის სახით.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ეს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თავისებურება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არ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მოქმედებს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პრეპარატის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თერაპიულ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თვისებებზე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.</w:t>
      </w:r>
    </w:p>
    <w:p w14:paraId="5107E5AB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/>
          <w:sz w:val="24"/>
          <w:szCs w:val="24"/>
          <w:u w:val="single"/>
          <w:lang w:val="ka-GE"/>
        </w:rPr>
        <w:t>სპორტსმენები.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ეს სამკურნალო საშუალება შეიცავს აქტიურ ნივთიერებას, რომელმაც შეიძლება გამოიწვიოს </w:t>
      </w:r>
      <w:proofErr w:type="spellStart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>ანტიდოპინგ</w:t>
      </w:r>
      <w:proofErr w:type="spellEnd"/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ტესტის დადებითი შედეგი.</w:t>
      </w:r>
    </w:p>
    <w:p w14:paraId="3702A976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/>
          <w:i/>
          <w:sz w:val="24"/>
          <w:szCs w:val="24"/>
          <w:lang w:val="ka-GE"/>
        </w:rPr>
        <w:t xml:space="preserve">ეს სამკურნალო საშუალება შეიცავს </w:t>
      </w:r>
      <w:proofErr w:type="spellStart"/>
      <w:r w:rsidRPr="005935E0">
        <w:rPr>
          <w:rFonts w:ascii="Sylfaen" w:hAnsi="Sylfaen"/>
          <w:i/>
          <w:sz w:val="24"/>
          <w:szCs w:val="24"/>
          <w:lang w:val="ka-GE"/>
        </w:rPr>
        <w:t>მანიტოლს</w:t>
      </w:r>
      <w:proofErr w:type="spellEnd"/>
      <w:r w:rsidRPr="005935E0">
        <w:rPr>
          <w:rFonts w:ascii="Sylfaen" w:hAnsi="Sylfaen"/>
          <w:i/>
          <w:sz w:val="24"/>
          <w:szCs w:val="24"/>
          <w:lang w:val="ka-GE"/>
        </w:rPr>
        <w:t>, ამიტომ შეიძლება ჰქონდეს მსუბუქი საფაღარათო მოქმედება.</w:t>
      </w:r>
    </w:p>
    <w:p w14:paraId="7C2BF39F" w14:textId="77777777" w:rsidR="007505E0" w:rsidRPr="005935E0" w:rsidRDefault="007505E0" w:rsidP="007505E0">
      <w:pPr>
        <w:spacing w:after="120" w:line="276" w:lineRule="auto"/>
        <w:rPr>
          <w:rFonts w:ascii="Sylfaen" w:hAnsi="Sylfaen" w:cs="Sylfaen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გამოყენება</w:t>
      </w:r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ორსულობისა</w:t>
      </w:r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და</w:t>
      </w:r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ლაქტაციის</w:t>
      </w:r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i/>
          <w:sz w:val="24"/>
          <w:szCs w:val="24"/>
          <w:shd w:val="clear" w:color="auto" w:fill="FFFFFF"/>
          <w:lang w:val="ka-GE"/>
        </w:rPr>
        <w:t>პერიოდში</w:t>
      </w:r>
      <w:r w:rsidRPr="005935E0">
        <w:rPr>
          <w:rStyle w:val="Strong"/>
          <w:rFonts w:ascii="Sylfaen" w:hAnsi="Sylfaen"/>
          <w:i/>
          <w:sz w:val="24"/>
          <w:szCs w:val="24"/>
          <w:shd w:val="clear" w:color="auto" w:fill="FFFFFF"/>
          <w:lang w:val="ka-GE"/>
        </w:rPr>
        <w:t>.</w:t>
      </w:r>
      <w:r w:rsidRPr="005935E0">
        <w:rPr>
          <w:rFonts w:ascii="Sylfaen" w:hAnsi="Sylfaen"/>
          <w:sz w:val="24"/>
          <w:szCs w:val="24"/>
          <w:lang w:val="ka-GE"/>
        </w:rPr>
        <w:br/>
      </w:r>
      <w:r w:rsidRPr="005935E0">
        <w:rPr>
          <w:rFonts w:ascii="Sylfaen" w:hAnsi="Sylfaen" w:cs="Sylfaen"/>
          <w:sz w:val="24"/>
          <w:szCs w:val="24"/>
          <w:u w:val="single"/>
          <w:shd w:val="clear" w:color="auto" w:fill="FFFFFF"/>
          <w:lang w:val="ka-GE"/>
        </w:rPr>
        <w:t>ორსულობა</w:t>
      </w:r>
    </w:p>
    <w:p w14:paraId="3D2E2036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 w:cs="Sylfaen"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ორსულ ქალებში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გამოყენების შესახებ მონაცემები არ არსებობს. ცხოველებზე  კვლევებმა არ გამოავლინა პირდაპირი ან ირიბი საშიში ტოქსიკური ზემოქმედება რეპროდუქტიულ სისტემაზე. რაიმე სახის რისკის თავიდან ასაცილებლად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ტრიმეტიზიდინის</w:t>
      </w:r>
      <w:proofErr w:type="spellEnd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გამოყენება ორსულობისას რეკომენდირებული არ არის.</w:t>
      </w:r>
    </w:p>
    <w:p w14:paraId="2D967E6D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 w:cs="Sylfaen"/>
          <w:sz w:val="24"/>
          <w:szCs w:val="24"/>
          <w:u w:val="single"/>
          <w:shd w:val="clear" w:color="auto" w:fill="FFFFFF"/>
          <w:lang w:val="ka-GE"/>
        </w:rPr>
      </w:pPr>
      <w:r w:rsidRPr="005935E0">
        <w:rPr>
          <w:rFonts w:ascii="Sylfaen" w:hAnsi="Sylfaen" w:cs="Sylfaen"/>
          <w:sz w:val="24"/>
          <w:szCs w:val="24"/>
          <w:u w:val="single"/>
          <w:shd w:val="clear" w:color="auto" w:fill="FFFFFF"/>
          <w:lang w:val="ka-GE"/>
        </w:rPr>
        <w:t>ლაქტაცია</w:t>
      </w:r>
    </w:p>
    <w:p w14:paraId="017CE807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 w:cs="Sylfaen"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lastRenderedPageBreak/>
        <w:t xml:space="preserve">უცნობია, აღწევს თუ არა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ტრიმეტაზიდინი</w:t>
      </w:r>
      <w:proofErr w:type="spellEnd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ან მისი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მეტაბოლიტები</w:t>
      </w:r>
      <w:proofErr w:type="spellEnd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დედის რძეში. რაიმე სახის რისკის თავიდან ასაცილებლად ახალშობილებში და ჩვილებში, </w:t>
      </w:r>
      <w:proofErr w:type="spellStart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ტრიმეტაზიდინის</w:t>
      </w:r>
      <w:proofErr w:type="spellEnd"/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გამოყენება რეკომენდებული არ არის ძუძუთი კვების დროს.</w:t>
      </w:r>
    </w:p>
    <w:p w14:paraId="2FDE1283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 w:cs="Sylfaen"/>
          <w:b/>
          <w:i/>
          <w:sz w:val="24"/>
          <w:szCs w:val="24"/>
          <w:lang w:val="ka-GE"/>
        </w:rPr>
        <w:t>ავტოტრანსპორტის მართვის ან სხვა</w:t>
      </w:r>
      <w:r w:rsidRPr="005935E0">
        <w:rPr>
          <w:rStyle w:val="tlid-translation"/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b/>
          <w:i/>
          <w:sz w:val="24"/>
          <w:szCs w:val="24"/>
          <w:lang w:val="ka-GE"/>
        </w:rPr>
        <w:t>მექანიზმებთან მუშაობისას</w:t>
      </w:r>
      <w:r w:rsidRPr="005935E0">
        <w:rPr>
          <w:rStyle w:val="tlid-translation"/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b/>
          <w:i/>
          <w:sz w:val="24"/>
          <w:szCs w:val="24"/>
          <w:lang w:val="ka-GE"/>
        </w:rPr>
        <w:t>რეაქციის</w:t>
      </w:r>
      <w:r w:rsidRPr="005935E0">
        <w:rPr>
          <w:rStyle w:val="tlid-translation"/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b/>
          <w:i/>
          <w:sz w:val="24"/>
          <w:szCs w:val="24"/>
          <w:lang w:val="ka-GE"/>
        </w:rPr>
        <w:t>სიჩქარეზე</w:t>
      </w:r>
      <w:r w:rsidRPr="005935E0">
        <w:rPr>
          <w:rStyle w:val="tlid-translation"/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b/>
          <w:i/>
          <w:sz w:val="24"/>
          <w:szCs w:val="24"/>
          <w:lang w:val="ka-GE"/>
        </w:rPr>
        <w:t>ზემოქმედების უნარი</w:t>
      </w:r>
      <w:r w:rsidRPr="005935E0">
        <w:rPr>
          <w:rStyle w:val="tlid-translation"/>
          <w:rFonts w:ascii="Sylfaen" w:hAnsi="Sylfaen"/>
          <w:b/>
          <w:i/>
          <w:sz w:val="24"/>
          <w:szCs w:val="24"/>
          <w:lang w:val="ka-GE"/>
        </w:rPr>
        <w:t>.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</w:p>
    <w:p w14:paraId="7578E761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 w:cs="Sylfaen"/>
          <w:sz w:val="24"/>
          <w:szCs w:val="24"/>
          <w:lang w:val="ka-GE"/>
        </w:rPr>
      </w:pP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ტრიმეტაზიდინი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 არ ახდენს გავლენას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ჰემოდინამიკაზე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. 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დაფიქსირდა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თავბრუსხვევისა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და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ძილიანობის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შემთხვევები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,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რამაც შეიძლება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გავლენა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მოახდინოს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ავტოტრანსპორტის მართვის ან სხვა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მექანიზმებთან მუშაობის უნარზე.</w:t>
      </w:r>
    </w:p>
    <w:p w14:paraId="3A517DFF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 w:cs="Sylfaen"/>
          <w:b/>
          <w:i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 w:cs="Sylfaen"/>
          <w:b/>
          <w:i/>
          <w:sz w:val="24"/>
          <w:szCs w:val="24"/>
          <w:lang w:val="ka-GE"/>
        </w:rPr>
        <w:t>მედიკამენტოზური ურთიერთქმედება</w:t>
      </w:r>
      <w:r w:rsidRPr="005935E0">
        <w:rPr>
          <w:rStyle w:val="tlid-translation"/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635B6458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დღეისათვის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სხვა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სამკურნალო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საშუალებებთან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ურთიერთქმედების შესახებ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ცნობილი არ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 </w:t>
      </w: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არის</w:t>
      </w:r>
      <w:r w:rsidRPr="005935E0">
        <w:rPr>
          <w:rStyle w:val="tlid-translation"/>
          <w:rFonts w:ascii="Sylfaen" w:hAnsi="Sylfaen"/>
          <w:sz w:val="24"/>
          <w:szCs w:val="24"/>
          <w:lang w:val="ka-GE"/>
        </w:rPr>
        <w:t xml:space="preserve">. </w:t>
      </w:r>
    </w:p>
    <w:p w14:paraId="44257376" w14:textId="77777777" w:rsidR="007505E0" w:rsidRPr="005935E0" w:rsidRDefault="007505E0" w:rsidP="007505E0">
      <w:pPr>
        <w:spacing w:after="120" w:line="276" w:lineRule="auto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შეფუთვა</w:t>
      </w:r>
      <w:r w:rsidRPr="005935E0">
        <w:rPr>
          <w:rFonts w:ascii="Sylfaen" w:hAnsi="Sylfaen"/>
          <w:b/>
          <w:sz w:val="24"/>
          <w:szCs w:val="24"/>
          <w:shd w:val="clear" w:color="auto" w:fill="FFFFFF"/>
          <w:lang w:val="ka-GE"/>
        </w:rPr>
        <w:t>.</w:t>
      </w:r>
      <w:r w:rsidRPr="005935E0">
        <w:rPr>
          <w:rFonts w:ascii="Sylfaen" w:hAnsi="Sylfaen"/>
          <w:sz w:val="24"/>
          <w:szCs w:val="24"/>
          <w:lang w:val="ka-GE"/>
        </w:rPr>
        <w:br/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10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ტაბლეტი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ბლისტერში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; 6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ბლისტერი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მუყაოს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კოლოფში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.</w:t>
      </w:r>
      <w:r w:rsidRPr="005935E0">
        <w:rPr>
          <w:rFonts w:ascii="Sylfaen" w:hAnsi="Sylfaen"/>
          <w:sz w:val="24"/>
          <w:szCs w:val="24"/>
          <w:lang w:val="ka-GE"/>
        </w:rPr>
        <w:br/>
      </w:r>
      <w:r w:rsidRPr="005935E0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შენახვის</w:t>
      </w:r>
      <w:r w:rsidRPr="005935E0">
        <w:rPr>
          <w:rFonts w:ascii="Sylfaen" w:hAnsi="Sylfaen"/>
          <w:b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პირობები</w:t>
      </w:r>
      <w:r w:rsidRPr="005935E0">
        <w:rPr>
          <w:rFonts w:ascii="Sylfaen" w:hAnsi="Sylfaen"/>
          <w:b/>
          <w:sz w:val="24"/>
          <w:szCs w:val="24"/>
          <w:shd w:val="clear" w:color="auto" w:fill="FFFFFF"/>
          <w:lang w:val="ka-GE"/>
        </w:rPr>
        <w:t>.</w:t>
      </w:r>
    </w:p>
    <w:p w14:paraId="6BCB5A7E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ინახება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ორიგინალურ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შეფუთვაში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,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არაუმეტეს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25</w:t>
      </w:r>
      <w:r w:rsidRPr="005935E0">
        <w:rPr>
          <w:rFonts w:ascii="Sylfaen" w:hAnsi="Sylfaen"/>
          <w:sz w:val="24"/>
          <w:szCs w:val="24"/>
          <w:shd w:val="clear" w:color="auto" w:fill="FFFFFF"/>
          <w:vertAlign w:val="superscript"/>
          <w:lang w:val="ka-GE"/>
        </w:rPr>
        <w:t>0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C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ტემპერატურაზე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.</w:t>
      </w:r>
    </w:p>
    <w:p w14:paraId="735B91CD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ინახება ბავშვებისათვის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მიუწვდომელ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ადგილზე.</w:t>
      </w:r>
    </w:p>
    <w:p w14:paraId="1AF55365" w14:textId="77777777" w:rsidR="007505E0" w:rsidRPr="005935E0" w:rsidRDefault="007505E0" w:rsidP="007505E0">
      <w:pPr>
        <w:spacing w:after="120" w:line="276" w:lineRule="auto"/>
        <w:jc w:val="both"/>
        <w:rPr>
          <w:rStyle w:val="Strong"/>
          <w:rFonts w:ascii="Sylfaen" w:hAnsi="Sylfaen"/>
          <w:b w:val="0"/>
          <w:bCs w:val="0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ვარგისობის</w:t>
      </w:r>
      <w:r w:rsidRPr="005935E0">
        <w:rPr>
          <w:rStyle w:val="Strong"/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ვადა</w:t>
      </w:r>
      <w:r w:rsidRPr="005935E0">
        <w:rPr>
          <w:rStyle w:val="Strong"/>
          <w:rFonts w:ascii="Sylfaen" w:hAnsi="Sylfaen"/>
          <w:sz w:val="24"/>
          <w:szCs w:val="24"/>
          <w:shd w:val="clear" w:color="auto" w:fill="FFFFFF"/>
          <w:lang w:val="ka-GE"/>
        </w:rPr>
        <w:t>.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  3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წელი</w:t>
      </w:r>
      <w:r>
        <w:rPr>
          <w:rFonts w:ascii="Sylfaen" w:hAnsi="Sylfaen"/>
          <w:sz w:val="24"/>
          <w:szCs w:val="24"/>
          <w:shd w:val="clear" w:color="auto" w:fill="FFFFFF"/>
          <w:lang w:val="ka-GE"/>
        </w:rPr>
        <w:t>.</w:t>
      </w:r>
    </w:p>
    <w:p w14:paraId="508D0F26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გაცემის</w:t>
      </w:r>
      <w:r w:rsidRPr="005935E0">
        <w:rPr>
          <w:rStyle w:val="Strong"/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კატეგორია</w:t>
      </w:r>
    </w:p>
    <w:p w14:paraId="4E8B0D41" w14:textId="77777777" w:rsidR="007505E0" w:rsidRPr="005935E0" w:rsidRDefault="007505E0" w:rsidP="007505E0">
      <w:pPr>
        <w:autoSpaceDE w:val="0"/>
        <w:autoSpaceDN w:val="0"/>
        <w:adjustRightInd w:val="0"/>
        <w:spacing w:after="120" w:line="276" w:lineRule="auto"/>
        <w:jc w:val="both"/>
        <w:rPr>
          <w:rStyle w:val="Strong"/>
          <w:rFonts w:ascii="Sylfaen" w:hAnsi="Sylfaen" w:cs="Sylfaen"/>
          <w:b w:val="0"/>
          <w:bCs w:val="0"/>
          <w:noProof/>
          <w:sz w:val="24"/>
          <w:szCs w:val="24"/>
          <w:lang w:val="ka-GE"/>
        </w:rPr>
      </w:pPr>
      <w:r w:rsidRPr="005935E0">
        <w:rPr>
          <w:rFonts w:ascii="Sylfaen" w:hAnsi="Sylfaen" w:cs="Sylfaen"/>
          <w:noProof/>
          <w:sz w:val="24"/>
          <w:szCs w:val="24"/>
          <w:lang w:val="ka-GE"/>
        </w:rPr>
        <w:t>ფარმაცევტული</w:t>
      </w:r>
      <w:r w:rsidRPr="005935E0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935E0">
        <w:rPr>
          <w:rFonts w:ascii="Sylfaen" w:hAnsi="Sylfaen" w:cs="Sylfaen"/>
          <w:noProof/>
          <w:sz w:val="24"/>
          <w:szCs w:val="24"/>
          <w:lang w:val="ka-GE"/>
        </w:rPr>
        <w:t>პროდუქტის</w:t>
      </w:r>
      <w:r w:rsidRPr="005935E0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935E0">
        <w:rPr>
          <w:rFonts w:ascii="Sylfaen" w:hAnsi="Sylfaen" w:cs="Sylfaen"/>
          <w:noProof/>
          <w:sz w:val="24"/>
          <w:szCs w:val="24"/>
          <w:lang w:val="ka-GE"/>
        </w:rPr>
        <w:t>ჯგუფი III, გაიცემა რეცეპტის გარეშე.</w:t>
      </w:r>
    </w:p>
    <w:p w14:paraId="47885865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Style w:val="Strong"/>
          <w:rFonts w:ascii="Sylfaen" w:hAnsi="Sylfaen" w:cs="Sylfaen"/>
          <w:sz w:val="24"/>
          <w:szCs w:val="24"/>
          <w:shd w:val="clear" w:color="auto" w:fill="FFFFFF"/>
          <w:lang w:val="ka-GE"/>
        </w:rPr>
        <w:t>მწარმოებელი</w:t>
      </w:r>
      <w:r w:rsidRPr="005935E0">
        <w:rPr>
          <w:rStyle w:val="Strong"/>
          <w:rFonts w:ascii="Sylfaen" w:hAnsi="Sylfaen"/>
          <w:sz w:val="24"/>
          <w:szCs w:val="24"/>
          <w:shd w:val="clear" w:color="auto" w:fill="FFFFFF"/>
          <w:lang w:val="ka-GE"/>
        </w:rPr>
        <w:t>.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> </w:t>
      </w:r>
    </w:p>
    <w:p w14:paraId="54B3F61A" w14:textId="77777777" w:rsidR="007505E0" w:rsidRPr="005935E0" w:rsidRDefault="007505E0" w:rsidP="007505E0">
      <w:pPr>
        <w:spacing w:after="12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ka-GE"/>
        </w:rPr>
      </w:pP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შპს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“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ფარმა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 </w:t>
      </w:r>
      <w:r w:rsidRPr="005935E0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სტარტი</w:t>
      </w:r>
      <w:r w:rsidRPr="005935E0">
        <w:rPr>
          <w:rFonts w:ascii="Sylfaen" w:hAnsi="Sylfaen"/>
          <w:sz w:val="24"/>
          <w:szCs w:val="24"/>
          <w:shd w:val="clear" w:color="auto" w:fill="FFFFFF"/>
          <w:lang w:val="ka-GE"/>
        </w:rPr>
        <w:t xml:space="preserve">”, </w:t>
      </w:r>
    </w:p>
    <w:p w14:paraId="16F5345D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 w:cs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უკრაინა, 03124, ქ. კიევი, ვ. ჰაველის ბულვარი, 8.</w:t>
      </w:r>
    </w:p>
    <w:p w14:paraId="57E6A35C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 w:cs="Sylfaen"/>
          <w:b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 w:cs="Sylfaen"/>
          <w:b/>
          <w:sz w:val="24"/>
          <w:szCs w:val="24"/>
          <w:lang w:val="ka-GE"/>
        </w:rPr>
        <w:t>ორგანიზაციის მისამართი, რომელიც ღებულობს პრეტენზიებს სამკურნალო საშუალებების ხარისხზე მომხმარებლებისგან და პასუხისმგებელია სამკურნალო საშუალების უსაფრთხოებაზე პოსტ-</w:t>
      </w:r>
      <w:proofErr w:type="spellStart"/>
      <w:r w:rsidRPr="005935E0">
        <w:rPr>
          <w:rStyle w:val="tlid-translation"/>
          <w:rFonts w:ascii="Sylfaen" w:hAnsi="Sylfaen" w:cs="Sylfaen"/>
          <w:b/>
          <w:sz w:val="24"/>
          <w:szCs w:val="24"/>
          <w:lang w:val="ka-GE"/>
        </w:rPr>
        <w:t>რეგისტრაციულ</w:t>
      </w:r>
      <w:proofErr w:type="spellEnd"/>
      <w:r w:rsidRPr="005935E0">
        <w:rPr>
          <w:rStyle w:val="tlid-translation"/>
          <w:rFonts w:ascii="Sylfaen" w:hAnsi="Sylfaen" w:cs="Sylfaen"/>
          <w:b/>
          <w:sz w:val="24"/>
          <w:szCs w:val="24"/>
          <w:lang w:val="ka-GE"/>
        </w:rPr>
        <w:t xml:space="preserve"> დაკვირვებაზე საქართველოს ტერიტორიაზე.</w:t>
      </w:r>
    </w:p>
    <w:p w14:paraId="4615D684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 w:cs="Sylfaen"/>
          <w:sz w:val="24"/>
          <w:szCs w:val="24"/>
          <w:lang w:val="ka-GE"/>
        </w:rPr>
      </w:pP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Acino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Pharma</w:t>
      </w:r>
      <w:proofErr w:type="spellEnd"/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 AG-ს (შვეიცარიის კონფედერაცია) წარმომადგენლობა საქართველოში</w:t>
      </w:r>
    </w:p>
    <w:p w14:paraId="4ED3547A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 w:cs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საქართველო, 0102, თბილისი, კ. მარჯანიშვილის ქ. 5/ დ. უზნაძის ქ. 16-18</w:t>
      </w:r>
    </w:p>
    <w:p w14:paraId="1C5CB3F3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 w:cs="Sylfaen"/>
          <w:sz w:val="24"/>
          <w:szCs w:val="24"/>
          <w:lang w:val="ka-GE"/>
        </w:rPr>
      </w:pP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>ტელეფონი: +995 32 220 69 42</w:t>
      </w:r>
    </w:p>
    <w:p w14:paraId="2B702CC6" w14:textId="77777777" w:rsidR="007505E0" w:rsidRPr="005935E0" w:rsidRDefault="007505E0" w:rsidP="007505E0">
      <w:pPr>
        <w:spacing w:after="120" w:line="276" w:lineRule="auto"/>
        <w:jc w:val="both"/>
        <w:rPr>
          <w:sz w:val="24"/>
          <w:szCs w:val="24"/>
          <w:lang w:val="ka-GE"/>
        </w:rPr>
      </w:pPr>
      <w:r w:rsidRPr="005935E0">
        <w:rPr>
          <w:rStyle w:val="tlid-translation"/>
          <w:rFonts w:ascii="Sylfaen" w:hAnsi="Sylfaen" w:cs="Sylfaen"/>
          <w:sz w:val="24"/>
          <w:szCs w:val="24"/>
          <w:lang w:val="ka-GE"/>
        </w:rPr>
        <w:t xml:space="preserve">ელ-ფოსტა: </w:t>
      </w:r>
      <w:hyperlink r:id="rId7" w:history="1">
        <w:r w:rsidRPr="005935E0">
          <w:rPr>
            <w:rFonts w:ascii="Times New Roman" w:eastAsia="Times New Roman" w:hAnsi="Times New Roman"/>
            <w:sz w:val="24"/>
            <w:szCs w:val="24"/>
          </w:rPr>
          <w:t>PV_GE@acino.swiss</w:t>
        </w:r>
      </w:hyperlink>
      <w:r w:rsidRPr="005935E0">
        <w:rPr>
          <w:sz w:val="24"/>
          <w:szCs w:val="24"/>
          <w:lang w:val="ka-GE"/>
        </w:rPr>
        <w:t xml:space="preserve"> </w:t>
      </w:r>
    </w:p>
    <w:p w14:paraId="097263F3" w14:textId="77777777" w:rsidR="007505E0" w:rsidRPr="005935E0" w:rsidRDefault="007505E0" w:rsidP="007505E0">
      <w:pPr>
        <w:spacing w:after="120" w:line="276" w:lineRule="auto"/>
        <w:jc w:val="both"/>
        <w:rPr>
          <w:rStyle w:val="tlid-translation"/>
          <w:rFonts w:ascii="Sylfaen" w:hAnsi="Sylfaen" w:cs="Sylfaen"/>
          <w:sz w:val="24"/>
          <w:szCs w:val="24"/>
          <w:lang w:val="ka-GE"/>
        </w:rPr>
      </w:pPr>
    </w:p>
    <w:p w14:paraId="47A9F707" w14:textId="77777777" w:rsidR="00F85229" w:rsidRDefault="00F85229"/>
    <w:sectPr w:rsidR="00F85229" w:rsidSect="007505E0">
      <w:footerReference w:type="default" r:id="rId8"/>
      <w:pgSz w:w="12240" w:h="15840"/>
      <w:pgMar w:top="709" w:right="474" w:bottom="709" w:left="709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D8B34" w14:textId="77777777" w:rsidR="002B1066" w:rsidRDefault="002B1066">
      <w:pPr>
        <w:spacing w:after="0" w:line="240" w:lineRule="auto"/>
      </w:pPr>
      <w:r>
        <w:separator/>
      </w:r>
    </w:p>
  </w:endnote>
  <w:endnote w:type="continuationSeparator" w:id="0">
    <w:p w14:paraId="4CE86C77" w14:textId="77777777" w:rsidR="002B1066" w:rsidRDefault="002B1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127B7" w14:textId="77777777" w:rsidR="007737AC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040D4112" w14:textId="77777777" w:rsidR="007737AC" w:rsidRDefault="007737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ECB13" w14:textId="77777777" w:rsidR="002B1066" w:rsidRDefault="002B1066">
      <w:pPr>
        <w:spacing w:after="0" w:line="240" w:lineRule="auto"/>
      </w:pPr>
      <w:r>
        <w:separator/>
      </w:r>
    </w:p>
  </w:footnote>
  <w:footnote w:type="continuationSeparator" w:id="0">
    <w:p w14:paraId="33C7134D" w14:textId="77777777" w:rsidR="002B1066" w:rsidRDefault="002B1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F3CEE"/>
    <w:multiLevelType w:val="hybridMultilevel"/>
    <w:tmpl w:val="245066A4"/>
    <w:lvl w:ilvl="0" w:tplc="C83886F6"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669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29"/>
    <w:rsid w:val="002314A8"/>
    <w:rsid w:val="002B1066"/>
    <w:rsid w:val="002D0E04"/>
    <w:rsid w:val="006223AA"/>
    <w:rsid w:val="00643D78"/>
    <w:rsid w:val="007505E0"/>
    <w:rsid w:val="007737AC"/>
    <w:rsid w:val="00DC6B2C"/>
    <w:rsid w:val="00F8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7C156"/>
  <w15:chartTrackingRefBased/>
  <w15:docId w15:val="{5FD97E2B-B3FF-4B84-9528-21931F7F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a-G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5E0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2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2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2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2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2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2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2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2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2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2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22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uiPriority w:val="22"/>
    <w:qFormat/>
    <w:rsid w:val="007505E0"/>
    <w:rPr>
      <w:b/>
      <w:bCs/>
    </w:rPr>
  </w:style>
  <w:style w:type="character" w:customStyle="1" w:styleId="tlid-translation">
    <w:name w:val="tlid-translation"/>
    <w:basedOn w:val="DefaultParagraphFont"/>
    <w:rsid w:val="007505E0"/>
  </w:style>
  <w:style w:type="paragraph" w:styleId="Footer">
    <w:name w:val="footer"/>
    <w:basedOn w:val="Normal"/>
    <w:link w:val="FooterChar"/>
    <w:uiPriority w:val="99"/>
    <w:unhideWhenUsed/>
    <w:rsid w:val="007505E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505E0"/>
    <w:rPr>
      <w:rFonts w:ascii="Calibri" w:eastAsia="Calibri" w:hAnsi="Calibri" w:cs="Times New Roman"/>
      <w:kern w:val="0"/>
      <w:sz w:val="22"/>
      <w:szCs w:val="22"/>
      <w:lang w:val="x-none" w:eastAsia="x-none"/>
      <w14:ligatures w14:val="none"/>
    </w:rPr>
  </w:style>
  <w:style w:type="character" w:styleId="Emphasis">
    <w:name w:val="Emphasis"/>
    <w:uiPriority w:val="20"/>
    <w:qFormat/>
    <w:rsid w:val="007505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V_GE@acino.swis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2264</Words>
  <Characters>12906</Characters>
  <Application>Microsoft Office Word</Application>
  <DocSecurity>0</DocSecurity>
  <Lines>107</Lines>
  <Paragraphs>30</Paragraphs>
  <ScaleCrop>false</ScaleCrop>
  <Company/>
  <LinksUpToDate>false</LinksUpToDate>
  <CharactersWithSpaces>15140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Siradze</dc:creator>
  <cp:keywords/>
  <dc:description/>
  <cp:lastModifiedBy>Tsitsino Kobakhidze</cp:lastModifiedBy>
  <cp:revision>6</cp:revision>
  <dcterms:created xsi:type="dcterms:W3CDTF">2025-10-28T10:24:00Z</dcterms:created>
  <dcterms:modified xsi:type="dcterms:W3CDTF">2026-06-30T08:30:00Z</dcterms:modified>
</cp:coreProperties>
</file>