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F03BD" w14:textId="3A2C68BA" w:rsidR="00C61CAE" w:rsidRPr="00A57293" w:rsidRDefault="004B18D3" w:rsidP="00631905">
      <w:pPr>
        <w:spacing w:after="0" w:line="276" w:lineRule="auto"/>
        <w:jc w:val="center"/>
        <w:rPr>
          <w:b/>
          <w:bCs/>
          <w:sz w:val="24"/>
          <w:szCs w:val="24"/>
        </w:rPr>
      </w:pPr>
      <w:r w:rsidRPr="00A57293">
        <w:rPr>
          <w:b/>
          <w:bCs/>
          <w:sz w:val="24"/>
          <w:szCs w:val="24"/>
        </w:rPr>
        <w:t>გამოყენების ინსტრუქცია</w:t>
      </w:r>
    </w:p>
    <w:p w14:paraId="2925B633" w14:textId="7F65BF66" w:rsidR="004B18D3" w:rsidRPr="00A57293" w:rsidRDefault="007C3626" w:rsidP="00631905">
      <w:pPr>
        <w:spacing w:after="0" w:line="276" w:lineRule="auto"/>
        <w:jc w:val="center"/>
        <w:rPr>
          <w:b/>
          <w:bCs/>
          <w:sz w:val="24"/>
          <w:szCs w:val="24"/>
        </w:rPr>
      </w:pPr>
      <w:r w:rsidRPr="00A57293">
        <w:rPr>
          <w:b/>
          <w:bCs/>
          <w:sz w:val="24"/>
          <w:szCs w:val="24"/>
        </w:rPr>
        <w:t>ფოლიუმის მჟავა ასტრა</w:t>
      </w:r>
    </w:p>
    <w:p w14:paraId="1D68BDD2" w14:textId="3748247F" w:rsidR="004B18D3" w:rsidRPr="00A57293" w:rsidRDefault="004B18D3" w:rsidP="00631905">
      <w:pPr>
        <w:spacing w:after="0" w:line="276" w:lineRule="auto"/>
        <w:jc w:val="center"/>
        <w:rPr>
          <w:b/>
          <w:bCs/>
          <w:sz w:val="24"/>
          <w:szCs w:val="24"/>
        </w:rPr>
      </w:pPr>
      <w:r w:rsidRPr="00A57293">
        <w:rPr>
          <w:b/>
          <w:bCs/>
          <w:sz w:val="24"/>
          <w:szCs w:val="24"/>
        </w:rPr>
        <w:t>(</w:t>
      </w:r>
      <w:r w:rsidR="007C3626" w:rsidRPr="00A57293">
        <w:rPr>
          <w:b/>
          <w:bCs/>
          <w:sz w:val="24"/>
          <w:szCs w:val="24"/>
        </w:rPr>
        <w:t>Folic acid Astra</w:t>
      </w:r>
      <w:r w:rsidRPr="00A57293">
        <w:rPr>
          <w:b/>
          <w:bCs/>
          <w:sz w:val="24"/>
          <w:szCs w:val="24"/>
        </w:rPr>
        <w:t>)</w:t>
      </w:r>
    </w:p>
    <w:p w14:paraId="415B56A3" w14:textId="77777777" w:rsidR="004B18D3" w:rsidRPr="00A57293" w:rsidRDefault="004B18D3" w:rsidP="00631905">
      <w:pPr>
        <w:spacing w:after="0" w:line="276" w:lineRule="auto"/>
        <w:jc w:val="center"/>
        <w:rPr>
          <w:b/>
          <w:bCs/>
          <w:sz w:val="24"/>
          <w:szCs w:val="24"/>
        </w:rPr>
      </w:pPr>
    </w:p>
    <w:p w14:paraId="7EA0C49E" w14:textId="77777777" w:rsidR="004B18D3" w:rsidRPr="00A57293" w:rsidRDefault="004B18D3" w:rsidP="00631905">
      <w:pPr>
        <w:spacing w:after="0" w:line="276" w:lineRule="auto"/>
        <w:jc w:val="both"/>
        <w:rPr>
          <w:b/>
          <w:bCs/>
          <w:sz w:val="24"/>
          <w:szCs w:val="24"/>
        </w:rPr>
      </w:pPr>
      <w:r w:rsidRPr="00A57293">
        <w:rPr>
          <w:b/>
          <w:bCs/>
          <w:sz w:val="24"/>
          <w:szCs w:val="24"/>
        </w:rPr>
        <w:t>შემადგენლობა:</w:t>
      </w:r>
    </w:p>
    <w:p w14:paraId="78A3DBFA" w14:textId="4F460E30" w:rsidR="004B18D3" w:rsidRPr="00A57293" w:rsidRDefault="004B18D3" w:rsidP="00631905">
      <w:pPr>
        <w:spacing w:after="0" w:line="276" w:lineRule="auto"/>
        <w:jc w:val="both"/>
        <w:rPr>
          <w:b/>
          <w:bCs/>
          <w:sz w:val="24"/>
          <w:szCs w:val="24"/>
        </w:rPr>
      </w:pPr>
      <w:r w:rsidRPr="00A57293">
        <w:rPr>
          <w:sz w:val="24"/>
          <w:szCs w:val="24"/>
        </w:rPr>
        <w:t>მოქმედი ნივთიერება:</w:t>
      </w:r>
      <w:r w:rsidRPr="00A57293">
        <w:rPr>
          <w:b/>
          <w:bCs/>
          <w:sz w:val="24"/>
          <w:szCs w:val="24"/>
        </w:rPr>
        <w:t xml:space="preserve"> </w:t>
      </w:r>
      <w:r w:rsidR="007C3626" w:rsidRPr="00A57293">
        <w:rPr>
          <w:sz w:val="24"/>
          <w:szCs w:val="24"/>
        </w:rPr>
        <w:t>ფოლიუმის მჟავას ჰიდრატი</w:t>
      </w:r>
      <w:r w:rsidRPr="00A57293">
        <w:rPr>
          <w:sz w:val="24"/>
          <w:szCs w:val="24"/>
        </w:rPr>
        <w:t>;</w:t>
      </w:r>
    </w:p>
    <w:p w14:paraId="5F75C2ED" w14:textId="42F01213" w:rsidR="007C3626" w:rsidRPr="00A57293" w:rsidRDefault="007C3626" w:rsidP="00631905">
      <w:pPr>
        <w:spacing w:after="0" w:line="276" w:lineRule="auto"/>
        <w:jc w:val="both"/>
        <w:rPr>
          <w:sz w:val="24"/>
          <w:szCs w:val="24"/>
        </w:rPr>
      </w:pPr>
      <w:r w:rsidRPr="00A57293">
        <w:rPr>
          <w:sz w:val="24"/>
          <w:szCs w:val="24"/>
        </w:rPr>
        <w:t xml:space="preserve">1 ტაბლეტი შეიცავს 5 მგ ფოლიუმის მჟავას ჰიდრატს; </w:t>
      </w:r>
    </w:p>
    <w:p w14:paraId="11545B11" w14:textId="1EB4FDF6" w:rsidR="004B18D3" w:rsidRPr="00A57293" w:rsidRDefault="004B18D3" w:rsidP="00631905">
      <w:pPr>
        <w:spacing w:after="0" w:line="276" w:lineRule="auto"/>
        <w:jc w:val="both"/>
        <w:rPr>
          <w:sz w:val="24"/>
          <w:szCs w:val="24"/>
        </w:rPr>
      </w:pPr>
      <w:r w:rsidRPr="00A57293">
        <w:rPr>
          <w:sz w:val="24"/>
          <w:szCs w:val="24"/>
        </w:rPr>
        <w:t>დამხმარე ნივთიერებები:</w:t>
      </w:r>
      <w:r w:rsidRPr="00A57293">
        <w:rPr>
          <w:b/>
          <w:bCs/>
          <w:sz w:val="24"/>
          <w:szCs w:val="24"/>
        </w:rPr>
        <w:t xml:space="preserve"> </w:t>
      </w:r>
      <w:r w:rsidR="007C3626" w:rsidRPr="00A57293">
        <w:rPr>
          <w:sz w:val="24"/>
          <w:szCs w:val="24"/>
        </w:rPr>
        <w:t>მიკროკრისტალური ცელულოზა; ლაქტოზის მონოჰიდრატი; პოვიდონი; კროსპოვიდონი; მაგნიუმის სტეარატი.</w:t>
      </w:r>
    </w:p>
    <w:p w14:paraId="2C30D169" w14:textId="7FC7BA76" w:rsidR="004B18D3" w:rsidRPr="00A57293" w:rsidRDefault="004B18D3" w:rsidP="00631905">
      <w:pPr>
        <w:spacing w:after="0" w:line="276" w:lineRule="auto"/>
        <w:jc w:val="both"/>
        <w:rPr>
          <w:sz w:val="24"/>
          <w:szCs w:val="24"/>
        </w:rPr>
      </w:pPr>
      <w:r w:rsidRPr="00A57293">
        <w:rPr>
          <w:b/>
          <w:bCs/>
          <w:sz w:val="24"/>
          <w:szCs w:val="24"/>
        </w:rPr>
        <w:t>წამლის ფორმა.</w:t>
      </w:r>
      <w:r w:rsidRPr="00A57293">
        <w:rPr>
          <w:sz w:val="24"/>
          <w:szCs w:val="24"/>
        </w:rPr>
        <w:t xml:space="preserve"> </w:t>
      </w:r>
      <w:r w:rsidR="007C3626" w:rsidRPr="00A57293">
        <w:rPr>
          <w:sz w:val="24"/>
          <w:szCs w:val="24"/>
        </w:rPr>
        <w:t>ტაბლეტები.</w:t>
      </w:r>
    </w:p>
    <w:p w14:paraId="0D87ED03" w14:textId="5D15EE18" w:rsidR="007C3626" w:rsidRPr="00A57293" w:rsidRDefault="004B18D3" w:rsidP="00631905">
      <w:pPr>
        <w:spacing w:after="0" w:line="276" w:lineRule="auto"/>
        <w:jc w:val="both"/>
        <w:rPr>
          <w:sz w:val="24"/>
          <w:szCs w:val="24"/>
        </w:rPr>
      </w:pPr>
      <w:r w:rsidRPr="00A57293">
        <w:rPr>
          <w:sz w:val="24"/>
          <w:szCs w:val="24"/>
        </w:rPr>
        <w:t xml:space="preserve">ძირითადი ფიზიკურ-ქიმიური თვისებები: </w:t>
      </w:r>
      <w:r w:rsidR="007C3626" w:rsidRPr="00A57293">
        <w:rPr>
          <w:sz w:val="24"/>
          <w:szCs w:val="24"/>
        </w:rPr>
        <w:t>ღია ყვითელიდან ყვითლამდე შეფერილობის, ბრტყელცილინდრული ტაბლეტები დახრილი კიდეებით და გამყოფი ხაზით, ტაბლეტის ზედაპირზე დასაშვებია მცირე ნარინჯისფერი ჩანართების არსებობა.</w:t>
      </w:r>
    </w:p>
    <w:p w14:paraId="60020D85" w14:textId="4FFF3B04" w:rsidR="004B18D3" w:rsidRPr="00A57293" w:rsidRDefault="004B18D3" w:rsidP="00631905">
      <w:pPr>
        <w:spacing w:after="0" w:line="276" w:lineRule="auto"/>
        <w:jc w:val="both"/>
        <w:rPr>
          <w:b/>
          <w:bCs/>
          <w:sz w:val="24"/>
          <w:szCs w:val="24"/>
        </w:rPr>
      </w:pPr>
      <w:r w:rsidRPr="00A57293">
        <w:rPr>
          <w:b/>
          <w:bCs/>
          <w:sz w:val="24"/>
          <w:szCs w:val="24"/>
        </w:rPr>
        <w:t>ფარმაკოთერაპიული ჯგუფი.</w:t>
      </w:r>
    </w:p>
    <w:p w14:paraId="4F0F1033" w14:textId="384968EA" w:rsidR="007C3626" w:rsidRPr="00A57293" w:rsidRDefault="007C3626" w:rsidP="00631905">
      <w:pPr>
        <w:spacing w:after="0" w:line="276" w:lineRule="auto"/>
        <w:jc w:val="both"/>
        <w:rPr>
          <w:sz w:val="24"/>
          <w:szCs w:val="24"/>
        </w:rPr>
      </w:pPr>
      <w:r w:rsidRPr="00A57293">
        <w:rPr>
          <w:sz w:val="24"/>
          <w:szCs w:val="24"/>
        </w:rPr>
        <w:t xml:space="preserve">ფოლიუმის მჟავა და მისი წარმოებულები. ფოლიუმის მჟავა. </w:t>
      </w:r>
      <w:proofErr w:type="spellStart"/>
      <w:r w:rsidRPr="00A57293">
        <w:rPr>
          <w:sz w:val="24"/>
          <w:szCs w:val="24"/>
        </w:rPr>
        <w:t>ათქ</w:t>
      </w:r>
      <w:proofErr w:type="spellEnd"/>
      <w:r w:rsidRPr="00A57293">
        <w:rPr>
          <w:sz w:val="24"/>
          <w:szCs w:val="24"/>
        </w:rPr>
        <w:t xml:space="preserve"> კოდი B03BB01.</w:t>
      </w:r>
    </w:p>
    <w:p w14:paraId="3FC2904B" w14:textId="523825CD" w:rsidR="00C9012F" w:rsidRPr="00A57293" w:rsidRDefault="00C9012F" w:rsidP="00631905">
      <w:pPr>
        <w:spacing w:after="0" w:line="276" w:lineRule="auto"/>
        <w:jc w:val="both"/>
        <w:rPr>
          <w:b/>
          <w:bCs/>
          <w:sz w:val="24"/>
          <w:szCs w:val="24"/>
        </w:rPr>
      </w:pPr>
      <w:r w:rsidRPr="00A57293">
        <w:rPr>
          <w:b/>
          <w:bCs/>
          <w:sz w:val="24"/>
          <w:szCs w:val="24"/>
        </w:rPr>
        <w:t>ფარმაკოლოგიური თვისებები.</w:t>
      </w:r>
    </w:p>
    <w:p w14:paraId="60B00C86" w14:textId="1346CD57" w:rsidR="00C9012F" w:rsidRPr="00A57293" w:rsidRDefault="00C9012F" w:rsidP="00631905">
      <w:pPr>
        <w:spacing w:after="0" w:line="276" w:lineRule="auto"/>
        <w:jc w:val="both"/>
        <w:rPr>
          <w:sz w:val="24"/>
          <w:szCs w:val="24"/>
        </w:rPr>
      </w:pPr>
      <w:r w:rsidRPr="00A57293">
        <w:rPr>
          <w:sz w:val="24"/>
          <w:szCs w:val="24"/>
        </w:rPr>
        <w:t>ფარმაკოდინამიკა.</w:t>
      </w:r>
    </w:p>
    <w:p w14:paraId="07F063B6" w14:textId="218EDB4D" w:rsidR="007C3626" w:rsidRPr="00A57293" w:rsidRDefault="007C3626" w:rsidP="00631905">
      <w:pPr>
        <w:spacing w:after="0" w:line="276" w:lineRule="auto"/>
        <w:jc w:val="both"/>
        <w:rPr>
          <w:spacing w:val="4"/>
          <w:sz w:val="24"/>
          <w:szCs w:val="24"/>
        </w:rPr>
      </w:pPr>
      <w:r w:rsidRPr="00A57293">
        <w:rPr>
          <w:rFonts w:ascii="Sylfaen" w:hAnsi="Sylfaen" w:cs="Sylfaen"/>
          <w:spacing w:val="4"/>
          <w:sz w:val="24"/>
          <w:szCs w:val="24"/>
          <w:lang w:val="ru-RU"/>
        </w:rPr>
        <w:t>პრეპარატის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მიღების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შემდეგ</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ფოლიუმის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მჟავა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აღდგება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ტეტრაჰიდროფოლატამდე</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რომელიც</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ფუნქციონირებს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როგორც</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კოენზიმი</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და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მონაწილეობს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სხვადასხვა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მეტაბოლურ</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პროცესებში</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აუცილებელია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მეგალობლასტების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ნორმალური</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მომწიფებისა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და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ნორმობლასტების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ფორმირებისთვის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ასტიმულირებს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ერითროპოეზს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მონაწილეობს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ამინომჟავების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მათ</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შორის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მეთიონინის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სერინის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გლიცინის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და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ჰისტიდინის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ნუკლეინის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მჟავების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პურინების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და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პირიმიდინების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სინთეზში</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და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მონაწილეობს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ქოლინის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მეტაბოლიზმში</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ასრულებს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დამცავ</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როლს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ტერატოგენული</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ფაქტორებისგან</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გარდა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ამისა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ხელს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უწყობს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პლაცენტის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ნორმალურ</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მომწიფებას</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და</w:t>
      </w:r>
      <w:r w:rsidRPr="00A57293">
        <w:rPr>
          <w:rFonts w:ascii="Times New Roman" w:hAnsi="Times New Roman"/>
          <w:spacing w:val="4"/>
          <w:sz w:val="24"/>
          <w:szCs w:val="24"/>
          <w:lang w:val="ru-RU"/>
        </w:rPr>
        <w:t xml:space="preserve"> </w:t>
      </w:r>
      <w:r w:rsidRPr="00A57293">
        <w:rPr>
          <w:rFonts w:ascii="Sylfaen" w:hAnsi="Sylfaen" w:cs="Sylfaen"/>
          <w:spacing w:val="4"/>
          <w:sz w:val="24"/>
          <w:szCs w:val="24"/>
          <w:lang w:val="ru-RU"/>
        </w:rPr>
        <w:t>ფუნქციონირებას</w:t>
      </w:r>
      <w:r w:rsidRPr="00A57293">
        <w:rPr>
          <w:rFonts w:ascii="Times New Roman" w:hAnsi="Times New Roman"/>
          <w:spacing w:val="4"/>
          <w:sz w:val="24"/>
          <w:szCs w:val="24"/>
          <w:lang w:val="ru-RU"/>
        </w:rPr>
        <w:t>.</w:t>
      </w:r>
    </w:p>
    <w:p w14:paraId="431ADAB5" w14:textId="57FBD050" w:rsidR="007C3626" w:rsidRPr="00A57293" w:rsidRDefault="007C3626" w:rsidP="00631905">
      <w:pPr>
        <w:spacing w:after="0" w:line="276" w:lineRule="auto"/>
        <w:jc w:val="both"/>
        <w:rPr>
          <w:spacing w:val="4"/>
          <w:sz w:val="24"/>
          <w:szCs w:val="24"/>
        </w:rPr>
      </w:pPr>
      <w:r w:rsidRPr="00A57293">
        <w:rPr>
          <w:spacing w:val="4"/>
          <w:sz w:val="24"/>
          <w:szCs w:val="24"/>
        </w:rPr>
        <w:t>ფოლიუმის მჟავა მნიშვნელოვან როლს ასრულებს სპერმის მომწიფების პროცესში და შეიძლება გამოყენებულ იქნას მამაკაცის უნაყოფობის სამკურნალოდ.</w:t>
      </w:r>
    </w:p>
    <w:p w14:paraId="0F2AD46E" w14:textId="0C498527" w:rsidR="007C3626" w:rsidRPr="00A57293" w:rsidRDefault="007C3626" w:rsidP="00631905">
      <w:pPr>
        <w:spacing w:after="0" w:line="276" w:lineRule="auto"/>
        <w:jc w:val="both"/>
        <w:rPr>
          <w:spacing w:val="4"/>
          <w:sz w:val="24"/>
          <w:szCs w:val="24"/>
        </w:rPr>
      </w:pPr>
      <w:r w:rsidRPr="00A57293">
        <w:rPr>
          <w:spacing w:val="4"/>
          <w:sz w:val="24"/>
          <w:szCs w:val="24"/>
        </w:rPr>
        <w:t>ფოლიუმის მჟავის დეფიციტი იწვევს მეგალობლასტური ჰემატოპოეზის განვითარებას, რამაც ორსულ ქალებში შეიძლება გამოიწვიოს ნაყოფის თანდაყოლილი დეფექტები (ნერვული მილის დეფექტები, ჰიდროცეფალია და ა.შ.). ფოლიუმის მჟავის დეფიციტის ყველაზე სერიოზული შედეგია დაზიანებული ქსოვილის აღდგენის უნარის შემცირება.</w:t>
      </w:r>
    </w:p>
    <w:p w14:paraId="71A25637" w14:textId="3A87D482" w:rsidR="00251755" w:rsidRPr="00A57293" w:rsidRDefault="00251755" w:rsidP="00631905">
      <w:pPr>
        <w:spacing w:after="0" w:line="276" w:lineRule="auto"/>
        <w:jc w:val="both"/>
        <w:rPr>
          <w:sz w:val="24"/>
          <w:szCs w:val="24"/>
        </w:rPr>
      </w:pPr>
      <w:r w:rsidRPr="00A57293">
        <w:rPr>
          <w:sz w:val="24"/>
          <w:szCs w:val="24"/>
        </w:rPr>
        <w:t>ფარმაკოკინეტიკა.</w:t>
      </w:r>
    </w:p>
    <w:p w14:paraId="3DFA85B8" w14:textId="77777777" w:rsidR="007C3626" w:rsidRPr="00A57293" w:rsidRDefault="007C3626" w:rsidP="00631905">
      <w:pPr>
        <w:spacing w:after="0" w:line="276" w:lineRule="auto"/>
        <w:jc w:val="both"/>
        <w:rPr>
          <w:sz w:val="24"/>
          <w:szCs w:val="24"/>
        </w:rPr>
      </w:pPr>
      <w:r w:rsidRPr="00A57293">
        <w:rPr>
          <w:sz w:val="24"/>
          <w:szCs w:val="24"/>
        </w:rPr>
        <w:t>ფოლიუმის მჟავა კარგად შეიწოვება კუჭ-ნაწლავის ტრაქტიდან, ძირითადად თორმეტგოჯა ნაწლავიდან და წვრილი ნაწლავიდან. ის თანაბრად ნაწილდება ყველა ქსოვილში და შერჩევით კონცენტრირდება ცერებროსპინალურ სითხეში. პიკური პლაზმური კონცენტრაცია მიიღწევა პერორალური მიღებიდან 30-60 წუთის შემდეგ.</w:t>
      </w:r>
    </w:p>
    <w:p w14:paraId="5C05ED1E" w14:textId="005619CA" w:rsidR="007C3626" w:rsidRPr="00A57293" w:rsidRDefault="007C3626" w:rsidP="00631905">
      <w:pPr>
        <w:spacing w:after="0" w:line="276" w:lineRule="auto"/>
        <w:jc w:val="both"/>
        <w:rPr>
          <w:sz w:val="24"/>
          <w:szCs w:val="24"/>
        </w:rPr>
      </w:pPr>
      <w:r w:rsidRPr="00A57293">
        <w:rPr>
          <w:sz w:val="24"/>
          <w:szCs w:val="24"/>
        </w:rPr>
        <w:t xml:space="preserve">პლაზმასა და ღვიძლში ის მეტაბოლიზდება 5-მეთილტეტრაჰიდროფოლატად, აქტიურ ნივთიერებად, რომელიც უკავშირდება გლუტამინის მჟავას კოენზიმის წარმოსაქმნელად. ფოლატის მთლიანი მარაგის დაახლოებით 50% ინახება ღვიძლში. </w:t>
      </w:r>
      <w:r w:rsidRPr="00A57293">
        <w:rPr>
          <w:sz w:val="24"/>
          <w:szCs w:val="24"/>
        </w:rPr>
        <w:lastRenderedPageBreak/>
        <w:t>დაახლოებით 70% უკავშირდება პლაზმის ცილებს. ის გამოიყოფა შარდში გლომერულური ფილტრაციით. 5 მგ დოზირების შემდეგ, ის 5 საათის განმავლობაში გამოიყოფა შარდში.</w:t>
      </w:r>
    </w:p>
    <w:p w14:paraId="7B4CAD69" w14:textId="5176F79C" w:rsidR="00251755" w:rsidRPr="00A57293" w:rsidRDefault="00251755" w:rsidP="00631905">
      <w:pPr>
        <w:spacing w:after="0" w:line="276" w:lineRule="auto"/>
        <w:jc w:val="both"/>
        <w:rPr>
          <w:b/>
          <w:bCs/>
          <w:sz w:val="24"/>
          <w:szCs w:val="24"/>
        </w:rPr>
      </w:pPr>
      <w:r w:rsidRPr="00A57293">
        <w:rPr>
          <w:b/>
          <w:bCs/>
          <w:sz w:val="24"/>
          <w:szCs w:val="24"/>
        </w:rPr>
        <w:t>კლინიკური მახასიათებლები.</w:t>
      </w:r>
    </w:p>
    <w:p w14:paraId="2605C332" w14:textId="4A36B680" w:rsidR="00251755" w:rsidRPr="00A57293" w:rsidRDefault="00251755" w:rsidP="00631905">
      <w:pPr>
        <w:spacing w:after="0" w:line="276" w:lineRule="auto"/>
        <w:jc w:val="both"/>
        <w:rPr>
          <w:b/>
          <w:bCs/>
          <w:sz w:val="24"/>
          <w:szCs w:val="24"/>
        </w:rPr>
      </w:pPr>
      <w:r w:rsidRPr="00A57293">
        <w:rPr>
          <w:b/>
          <w:bCs/>
          <w:sz w:val="24"/>
          <w:szCs w:val="24"/>
        </w:rPr>
        <w:t>ჩვენებები.</w:t>
      </w:r>
    </w:p>
    <w:p w14:paraId="24B8485C" w14:textId="77777777" w:rsidR="007C3626" w:rsidRPr="00A57293" w:rsidRDefault="007C3626" w:rsidP="00631905">
      <w:pPr>
        <w:spacing w:after="0" w:line="276" w:lineRule="auto"/>
        <w:jc w:val="both"/>
        <w:rPr>
          <w:sz w:val="24"/>
          <w:szCs w:val="24"/>
        </w:rPr>
      </w:pPr>
      <w:r w:rsidRPr="00A57293">
        <w:rPr>
          <w:sz w:val="24"/>
          <w:szCs w:val="24"/>
        </w:rPr>
        <w:t>ფოლიუმის მჟავას დეფიციტთან დაკავშირებული ანემიების მკურნალობისა და პროფილაქტიკისთვის: მაკროციტური ანემია; მედიკამენტებითა და იონიზირებული გამოსხივებით გამოწვეული ანემია და ლეიკოპენია; მეგალობლასტური ანემია, პოსტრეზექციული ანემია; ანემია ნაწლავების ანთებითი დაავადებების დროს (კრონის დაავადება, წყლულოვანი კოლიტი), მალაბსორბციის სინდრომი (გლუტენის ენტეროპათია ან ცელიაკია), სპრუ.</w:t>
      </w:r>
    </w:p>
    <w:p w14:paraId="7E3C8422" w14:textId="33E88028" w:rsidR="007C3626" w:rsidRPr="00A57293" w:rsidRDefault="008B563B" w:rsidP="00631905">
      <w:pPr>
        <w:spacing w:after="0" w:line="276" w:lineRule="auto"/>
        <w:jc w:val="both"/>
        <w:rPr>
          <w:sz w:val="24"/>
          <w:szCs w:val="24"/>
        </w:rPr>
      </w:pPr>
      <w:r w:rsidRPr="00A57293">
        <w:rPr>
          <w:sz w:val="24"/>
          <w:szCs w:val="24"/>
        </w:rPr>
        <w:t>ორსულობის დაგეგმვისას და რისკის ქვეშ მყოფ ქალებში თანდაყოლილი დეფექტების განვითარების რისკის (ნერვის ღეროს დეფექტები: ჰიდროცეფალია, ცერებრალური თიაქარი, „მგლის ხახა“, „კურდღლის ტუჩი“ ) თავიდან ასაცილებლად.</w:t>
      </w:r>
    </w:p>
    <w:p w14:paraId="11636A6F" w14:textId="5DD07E8C" w:rsidR="008B563B" w:rsidRPr="00A57293" w:rsidRDefault="008B563B" w:rsidP="00631905">
      <w:pPr>
        <w:spacing w:after="0" w:line="276" w:lineRule="auto"/>
        <w:jc w:val="both"/>
        <w:rPr>
          <w:sz w:val="24"/>
          <w:szCs w:val="24"/>
        </w:rPr>
      </w:pPr>
      <w:r w:rsidRPr="00A57293">
        <w:rPr>
          <w:sz w:val="24"/>
          <w:szCs w:val="24"/>
        </w:rPr>
        <w:t>ფოლიუმის მჟავის დეფიციტი, რომელიც დაკავშირებულია არაბალანსირებულ ან არასრულფასოვან კვებასთან.</w:t>
      </w:r>
    </w:p>
    <w:p w14:paraId="3735838C" w14:textId="254AEA02" w:rsidR="007C3626" w:rsidRPr="00A57293" w:rsidRDefault="008B563B" w:rsidP="00631905">
      <w:pPr>
        <w:spacing w:after="0" w:line="276" w:lineRule="auto"/>
        <w:jc w:val="both"/>
        <w:rPr>
          <w:sz w:val="24"/>
          <w:szCs w:val="24"/>
        </w:rPr>
      </w:pPr>
      <w:r w:rsidRPr="00A57293">
        <w:rPr>
          <w:sz w:val="24"/>
          <w:szCs w:val="24"/>
        </w:rPr>
        <w:t>მამაკაცის უნაყოფობის სამკურნალოდ, რომელიც გამოწვეულია სპერმატოგენეზის შემცირებით (ოლიგოსპერმია).</w:t>
      </w:r>
    </w:p>
    <w:p w14:paraId="32065E82" w14:textId="52558E00" w:rsidR="00251755" w:rsidRPr="00A57293" w:rsidRDefault="00251755" w:rsidP="00631905">
      <w:pPr>
        <w:spacing w:after="0" w:line="276" w:lineRule="auto"/>
        <w:jc w:val="both"/>
        <w:rPr>
          <w:b/>
          <w:bCs/>
          <w:sz w:val="24"/>
          <w:szCs w:val="24"/>
        </w:rPr>
      </w:pPr>
      <w:r w:rsidRPr="00A57293">
        <w:rPr>
          <w:b/>
          <w:bCs/>
          <w:sz w:val="24"/>
          <w:szCs w:val="24"/>
        </w:rPr>
        <w:t>უკუჩვენებები.</w:t>
      </w:r>
    </w:p>
    <w:p w14:paraId="1A6D210B" w14:textId="77777777" w:rsidR="008B563B" w:rsidRPr="00A57293" w:rsidRDefault="008B563B" w:rsidP="00631905">
      <w:pPr>
        <w:spacing w:after="0" w:line="276" w:lineRule="auto"/>
        <w:jc w:val="both"/>
        <w:rPr>
          <w:sz w:val="24"/>
          <w:szCs w:val="24"/>
        </w:rPr>
      </w:pPr>
      <w:r w:rsidRPr="00A57293">
        <w:rPr>
          <w:sz w:val="24"/>
          <w:szCs w:val="24"/>
        </w:rPr>
        <w:t>ფოლიუმის მჟავას ან პრეპარატის სხვა კომპონენტების მიმართ მომატებული მგრძნობელობა, ავთვისებიანი ნეოპლაზმები, პერნიციოზული ანემია, არანამკურნალევი კობალამინის დეფიციტი.</w:t>
      </w:r>
    </w:p>
    <w:p w14:paraId="38820538" w14:textId="119BA09B" w:rsidR="00054A37" w:rsidRPr="00A57293" w:rsidRDefault="00054A37" w:rsidP="00631905">
      <w:pPr>
        <w:spacing w:after="0" w:line="276" w:lineRule="auto"/>
        <w:jc w:val="both"/>
        <w:rPr>
          <w:b/>
          <w:bCs/>
          <w:sz w:val="24"/>
          <w:szCs w:val="24"/>
        </w:rPr>
      </w:pPr>
      <w:r w:rsidRPr="00A57293">
        <w:rPr>
          <w:b/>
          <w:bCs/>
          <w:sz w:val="24"/>
          <w:szCs w:val="24"/>
        </w:rPr>
        <w:t>ურთიერთქმედება სხვა სამკურნალო საშუალებებთან და ურთიერთქმედების სხვა ფორმები</w:t>
      </w:r>
    </w:p>
    <w:p w14:paraId="2474D093" w14:textId="77777777" w:rsidR="008B563B" w:rsidRPr="00A57293" w:rsidRDefault="008B563B" w:rsidP="00631905">
      <w:pPr>
        <w:spacing w:after="0" w:line="276" w:lineRule="auto"/>
        <w:jc w:val="both"/>
        <w:rPr>
          <w:sz w:val="24"/>
          <w:szCs w:val="24"/>
        </w:rPr>
      </w:pPr>
      <w:r w:rsidRPr="00A57293">
        <w:rPr>
          <w:sz w:val="24"/>
          <w:szCs w:val="24"/>
        </w:rPr>
        <w:t>ფოლიუმის მჟავამ შეიძლება შეამციროს ფენობარბიტალის, ფენიტოინის და პრიმიდონის პლაზმური კონცენტრაციები, რითაც იზრდება ეპილეფსიური კრუნჩხვების რისკი. ფოლიუმის მჟავამ შეიძლება ხელი შეუშალოს მეტოტრექსატის ტოქსიკურ და თერაპიულ ეფექტებს. ანტიბაქტერიულმა პრეპარატებმა, ციკლოსერინმა, გლუტეთიმიდმა, ქლორამფენიკოლმა და კო-ტრიმოქსაზოლმა შეიძლება ხელი შეუშალონ ფოლატის მეტაბოლიზმს. ეთანოლმა და ასპირინმა შეიძლება გაზარდონ ფოლიუმის მჟავას გამოყოფა. ქოლესტირამინისა და ფოლიუმის მჟავას ერთდროულმა გამოყენებამ შეიძლება შეამციროს ან შეცვალოს შეწოვა. ამიტომ, მედიკამენტი უნდა მიიღოთ ქოლესტირამინის მიღებამდე 1 საათით ადრე ან 4-6 საათის შემდეგ.</w:t>
      </w:r>
    </w:p>
    <w:p w14:paraId="30C870B3" w14:textId="2EBFCA88" w:rsidR="008B563B" w:rsidRPr="00A57293" w:rsidRDefault="008B563B" w:rsidP="00631905">
      <w:pPr>
        <w:spacing w:after="0" w:line="276" w:lineRule="auto"/>
        <w:jc w:val="both"/>
        <w:rPr>
          <w:sz w:val="24"/>
          <w:szCs w:val="24"/>
        </w:rPr>
      </w:pPr>
      <w:r w:rsidRPr="00A57293">
        <w:rPr>
          <w:sz w:val="24"/>
          <w:szCs w:val="24"/>
        </w:rPr>
        <w:t xml:space="preserve">ფოლატები აძლიერებენ ლითიუმის ეფექტურობას. აზოტის ოქსიდმა შეიძლება გამოიწვიოს ფოლატის მწვავე დეფიციტი. თავიდან უნდა იქნას აცილებული ფტორურაცილთან ერთდროული გამოყენება. ალუმინის ან მაგნიუმის შემცველ ანტაციდებს შეუძლიათ ფოლატის შეწოვის შემცირება, ამიტომ პაციენტებს უნდა ურჩიონ ანტაციდების მიღება ფოლიუმის მჟავას მიღებიდან 2 საათის შემდეგ. ფოლიუმის მჟავას შეუძლია შეამციროს თუთიის შეწოვა ნაწლავში. ფოლატის დეფიციტი შეიძლება გამოწვეული იყოს ისეთი მედიკამენტებით, როგორიცაა პერორალური კონტრაცეპტივები, ტუბერკულოზის საწინააღმდეგო პრეპარატები, </w:t>
      </w:r>
      <w:r w:rsidRPr="00A57293">
        <w:rPr>
          <w:sz w:val="24"/>
          <w:szCs w:val="24"/>
        </w:rPr>
        <w:lastRenderedPageBreak/>
        <w:t>ფოლატის ანტაგონისტები, როგორიცაა პირიმეთამინი, ტრიამტერენი, ტრიმეტოპრიმი, სულფონამიდები, კრუნჩხვის საწინააღმდეგო საშუალებები, ქლორამფენიკოლი, ციტოსტატიკები და ტკივილგამაყუჩებლები.</w:t>
      </w:r>
    </w:p>
    <w:p w14:paraId="2FB1B60D" w14:textId="3376279E" w:rsidR="008B563B" w:rsidRPr="00A57293" w:rsidRDefault="008B563B" w:rsidP="00631905">
      <w:pPr>
        <w:spacing w:after="0" w:line="276" w:lineRule="auto"/>
        <w:jc w:val="both"/>
        <w:rPr>
          <w:sz w:val="24"/>
          <w:szCs w:val="24"/>
        </w:rPr>
      </w:pPr>
      <w:r w:rsidRPr="00A57293">
        <w:rPr>
          <w:sz w:val="24"/>
          <w:szCs w:val="24"/>
        </w:rPr>
        <w:t>არ შეიძლება სამკურნალო საშუალების გამოყენება მინერალურ მჟავებთან, ტუტე ნივთიერებებთან ან აღმდგენებთან ერთად, რადგან ეს გამოიწვევს ფოლიუმის მჟავას ინაქტივაციას.</w:t>
      </w:r>
    </w:p>
    <w:p w14:paraId="424E1995" w14:textId="14983EE6" w:rsidR="00054A37" w:rsidRPr="00A57293" w:rsidRDefault="00054A37" w:rsidP="00631905">
      <w:pPr>
        <w:spacing w:after="0" w:line="276" w:lineRule="auto"/>
        <w:jc w:val="both"/>
        <w:rPr>
          <w:b/>
          <w:bCs/>
          <w:sz w:val="24"/>
          <w:szCs w:val="24"/>
        </w:rPr>
      </w:pPr>
      <w:r w:rsidRPr="00A57293">
        <w:rPr>
          <w:b/>
          <w:bCs/>
          <w:sz w:val="24"/>
          <w:szCs w:val="24"/>
        </w:rPr>
        <w:t>გამოყენების თავისებურებები.</w:t>
      </w:r>
    </w:p>
    <w:p w14:paraId="4531745D" w14:textId="77777777" w:rsidR="008B563B" w:rsidRPr="00A57293" w:rsidRDefault="008B563B" w:rsidP="00631905">
      <w:pPr>
        <w:spacing w:after="0" w:line="276" w:lineRule="auto"/>
        <w:jc w:val="both"/>
        <w:rPr>
          <w:sz w:val="24"/>
          <w:szCs w:val="24"/>
        </w:rPr>
      </w:pPr>
      <w:r w:rsidRPr="00A57293">
        <w:rPr>
          <w:sz w:val="24"/>
          <w:szCs w:val="24"/>
        </w:rPr>
        <w:t>პრეპარატი სიფრთხილით უნდა დაინიშნოს უცნობი ეტიოლოგიის ანემიის მქონე პაციენტებში, რადგან ფოლიუმის მჟავამ შეიძლება ხელი შეუშალოს პერნიციოზული ანემიის დიაგნოზს, შეამსუბუქოს დაავადების ჰემატოლოგიური გამოვლინებები და ხელი შეუწყოს ნევროლოგიური გართულებების პროგრესირებას. პერნიციოზული ანემიის შემთხვევაში, პრეპარატი უნდა იქნას გამოყენებული მხოლოდ ციანოკობალამინთან ერთად, რადგან ფოლიუმის მჟავა, ჰემატოპოეზის სტიმულირებისას, არ უშლის ხელს ნევროლოგიური გართულებების (ფუნიკულარული მიელოზი და ა.შ.) განვითარებას. სპრუს დროს ფოლიუმის მჟავა უნდა იქნას გამოყენებული ასკორბინის მჟავასთან, ციანოკობალამინთან და ჰემოთერაპიასთან კომბინაციაში</w:t>
      </w:r>
    </w:p>
    <w:p w14:paraId="2912A5F2" w14:textId="77777777" w:rsidR="0079481B" w:rsidRPr="00A57293" w:rsidRDefault="0079481B" w:rsidP="00631905">
      <w:pPr>
        <w:spacing w:after="0" w:line="276" w:lineRule="auto"/>
        <w:jc w:val="both"/>
        <w:rPr>
          <w:sz w:val="24"/>
          <w:szCs w:val="24"/>
        </w:rPr>
      </w:pPr>
      <w:r w:rsidRPr="00A57293">
        <w:rPr>
          <w:sz w:val="24"/>
          <w:szCs w:val="24"/>
        </w:rPr>
        <w:t>სისხლში ციანოკობალამინის დონის შემცირების რისკის გამო, არ არის რეკომენდებული ფოლიუმის მჟავას ხანგრძლივი გამოყენება, განსაკუთრებით მაღალი დოზებით.</w:t>
      </w:r>
    </w:p>
    <w:p w14:paraId="512AD96A" w14:textId="1E7D2805" w:rsidR="008B563B" w:rsidRPr="00A57293" w:rsidRDefault="0079481B" w:rsidP="00631905">
      <w:pPr>
        <w:spacing w:after="0" w:line="276" w:lineRule="auto"/>
        <w:jc w:val="both"/>
        <w:rPr>
          <w:sz w:val="24"/>
          <w:szCs w:val="24"/>
        </w:rPr>
      </w:pPr>
      <w:r w:rsidRPr="00A57293">
        <w:rPr>
          <w:sz w:val="24"/>
          <w:szCs w:val="24"/>
        </w:rPr>
        <w:t xml:space="preserve">ფოლიუმის მჟავით მკურნალობისას აუცილებელია სისხლის მდგომარეობის სისტემატური მონიტორინგი. </w:t>
      </w:r>
    </w:p>
    <w:p w14:paraId="3646A68B" w14:textId="77777777" w:rsidR="0079481B" w:rsidRPr="00A57293" w:rsidRDefault="0079481B" w:rsidP="00631905">
      <w:pPr>
        <w:spacing w:after="0" w:line="276" w:lineRule="auto"/>
        <w:jc w:val="both"/>
        <w:rPr>
          <w:sz w:val="24"/>
          <w:szCs w:val="24"/>
        </w:rPr>
      </w:pPr>
      <w:r w:rsidRPr="00A57293">
        <w:rPr>
          <w:sz w:val="24"/>
          <w:szCs w:val="24"/>
        </w:rPr>
        <w:t>ტაბლეტები შეიცავს ლაქტოზას და შესაბამისად, არ არის რეკომენდებული მათი გამოყენება იმ პაციენტებისთვის, რომლებსაც აქვთ იშვიათი მემკვიდრეობითი პრობლემები გალაქტოზას აუტანლობით, ლაქტაზას მძიმე დეფიციტით ან გლუკოზა-გალაქტოზას მალაბსორბციით.</w:t>
      </w:r>
    </w:p>
    <w:p w14:paraId="1E23F570" w14:textId="30FC2878" w:rsidR="0079481B" w:rsidRPr="00A57293" w:rsidRDefault="0079481B" w:rsidP="00631905">
      <w:pPr>
        <w:spacing w:after="0" w:line="276" w:lineRule="auto"/>
        <w:jc w:val="both"/>
        <w:rPr>
          <w:sz w:val="24"/>
          <w:szCs w:val="24"/>
        </w:rPr>
      </w:pPr>
      <w:r w:rsidRPr="00A57293">
        <w:rPr>
          <w:sz w:val="24"/>
          <w:szCs w:val="24"/>
        </w:rPr>
        <w:t>ხანდაზმული პაციენტებისთვის ხანგრძლივი თერაპიის დაწყებამდე საჭიროა კობალამინის აბსორბციის ტესტირება.</w:t>
      </w:r>
    </w:p>
    <w:p w14:paraId="7F5F7191" w14:textId="686FC8D1" w:rsidR="008B563B" w:rsidRPr="00A57293" w:rsidRDefault="0079481B" w:rsidP="00631905">
      <w:pPr>
        <w:spacing w:after="0" w:line="276" w:lineRule="auto"/>
        <w:jc w:val="both"/>
        <w:rPr>
          <w:sz w:val="24"/>
          <w:szCs w:val="24"/>
        </w:rPr>
      </w:pPr>
      <w:r w:rsidRPr="00A57293">
        <w:rPr>
          <w:sz w:val="24"/>
          <w:szCs w:val="24"/>
        </w:rPr>
        <w:t>გამოყენება ორსულობის და ლაქტაციის პერიოდში.</w:t>
      </w:r>
    </w:p>
    <w:p w14:paraId="3242A165" w14:textId="5798AAC7" w:rsidR="0079481B" w:rsidRPr="00A57293" w:rsidRDefault="0079481B" w:rsidP="00631905">
      <w:pPr>
        <w:spacing w:after="0" w:line="276" w:lineRule="auto"/>
        <w:jc w:val="both"/>
        <w:rPr>
          <w:sz w:val="24"/>
          <w:szCs w:val="24"/>
        </w:rPr>
      </w:pPr>
      <w:r w:rsidRPr="00A57293">
        <w:rPr>
          <w:sz w:val="24"/>
          <w:szCs w:val="24"/>
        </w:rPr>
        <w:t>ეს მედიკამენტი არ არის განკუთვნილი ჯანმრთელი ორსული ქალებისთვის. ის ინიშნება ფოლატის დეფიციტის მქონე ორსულ ქალებსა და ორსულობის დაგეგმვის რისკის ქვეშ მყოფ ქალებში, ნაყოფის თანდაყოლილი დეფექტების, მათ შორის ნერვული ღეროს დეფექტების (ჰიდროცეფალია, ცერებრალური თიაქარი, „მგლის ხახა“, „კურდღლის ტუჩი“) თავიდან ასაცილებლად.</w:t>
      </w:r>
    </w:p>
    <w:p w14:paraId="5EBC4C4A" w14:textId="16DC7913" w:rsidR="0079481B" w:rsidRPr="00A57293" w:rsidRDefault="0079481B" w:rsidP="00631905">
      <w:pPr>
        <w:spacing w:after="0" w:line="276" w:lineRule="auto"/>
        <w:jc w:val="both"/>
        <w:rPr>
          <w:sz w:val="24"/>
          <w:szCs w:val="24"/>
        </w:rPr>
      </w:pPr>
      <w:r w:rsidRPr="00A57293">
        <w:rPr>
          <w:sz w:val="24"/>
          <w:szCs w:val="24"/>
        </w:rPr>
        <w:t>ამ მედიკამენტის გამოყენება შესაძლებელია ძუძუთი კვების დროს, რეკომენდებული დოზებით. ფოლიუმის მჟავა გამოიყოფა დედის რძეში.</w:t>
      </w:r>
    </w:p>
    <w:p w14:paraId="48068C3C" w14:textId="78C78F44" w:rsidR="0079481B" w:rsidRPr="00A57293" w:rsidRDefault="0079481B" w:rsidP="00631905">
      <w:pPr>
        <w:spacing w:after="0" w:line="276" w:lineRule="auto"/>
        <w:jc w:val="both"/>
        <w:rPr>
          <w:sz w:val="24"/>
          <w:szCs w:val="24"/>
        </w:rPr>
      </w:pPr>
      <w:r w:rsidRPr="00A57293">
        <w:rPr>
          <w:sz w:val="24"/>
          <w:szCs w:val="24"/>
        </w:rPr>
        <w:t xml:space="preserve">ფოლიუმის მჟავას დეფიციტი, ანუ ფოლატის მეტაბოლიზმის დარღვევა, დაკავშირებულია თანდაყოლილი დეფექტების და ზოგიერთი ნერვული მილის დეფექტის განვითარებასთან. ფოლატის მეტაბოლიზმში ჩარევამ ან ფოლატის დეფიციტმა, რომელიც გამოწვეულია გარკვეული მედიკამენტებით, როგორიცაა კრუნჩხვის საწინააღმდეგო და კიბოს საწინააღმდეგო პრეპარატები, შეიძლება გამოიწვიოს თანდაყოლილი ანომალიები ორსულობის ადრეულ ეტაპზე. ამ ვიტამინის </w:t>
      </w:r>
      <w:r w:rsidRPr="00A57293">
        <w:rPr>
          <w:sz w:val="24"/>
          <w:szCs w:val="24"/>
        </w:rPr>
        <w:lastRenderedPageBreak/>
        <w:t>ან მისი მეტაბოლიტების დეფიციტმა ასევე შეიძლება ხელი შეუწყოს სპონტანურ აბორტს და საშვილოსნოსშიდა ზრდის შეფერხებას.</w:t>
      </w:r>
    </w:p>
    <w:p w14:paraId="0A81F7FB" w14:textId="40564B70" w:rsidR="0079481B" w:rsidRPr="00A57293" w:rsidRDefault="0079481B" w:rsidP="00631905">
      <w:pPr>
        <w:spacing w:after="0" w:line="276" w:lineRule="auto"/>
        <w:jc w:val="both"/>
        <w:rPr>
          <w:sz w:val="24"/>
          <w:szCs w:val="24"/>
        </w:rPr>
      </w:pPr>
      <w:r w:rsidRPr="00A57293">
        <w:rPr>
          <w:sz w:val="24"/>
          <w:szCs w:val="24"/>
        </w:rPr>
        <w:t>რეაქციის სისწრაფეზე ზემოქმედების უნარი ავტომობილის მართვის ან მექანიზმებთან მუშაობის დროს.</w:t>
      </w:r>
    </w:p>
    <w:p w14:paraId="14FEE6A8" w14:textId="32D20526" w:rsidR="008B563B" w:rsidRPr="00A57293" w:rsidRDefault="0079481B" w:rsidP="00631905">
      <w:pPr>
        <w:spacing w:after="0" w:line="276" w:lineRule="auto"/>
        <w:jc w:val="both"/>
        <w:rPr>
          <w:sz w:val="24"/>
          <w:szCs w:val="24"/>
        </w:rPr>
      </w:pPr>
      <w:r w:rsidRPr="00A57293">
        <w:rPr>
          <w:sz w:val="24"/>
          <w:szCs w:val="24"/>
        </w:rPr>
        <w:t>სწორად გამოყენების შემთხვევაში, ფოლიუმის მჟავა გავლენას არ ახდენს ავტომობილის მართვის ან მექანიზმებთან მუშაობის უნარზე.</w:t>
      </w:r>
    </w:p>
    <w:p w14:paraId="68B04D9B" w14:textId="14622A56" w:rsidR="00ED2925" w:rsidRPr="00A57293" w:rsidRDefault="00ED2925" w:rsidP="00631905">
      <w:pPr>
        <w:spacing w:after="0" w:line="276" w:lineRule="auto"/>
        <w:jc w:val="both"/>
        <w:rPr>
          <w:b/>
          <w:bCs/>
          <w:sz w:val="24"/>
          <w:szCs w:val="24"/>
        </w:rPr>
      </w:pPr>
      <w:r w:rsidRPr="00A57293">
        <w:rPr>
          <w:b/>
          <w:bCs/>
          <w:sz w:val="24"/>
          <w:szCs w:val="24"/>
        </w:rPr>
        <w:t>გამოყენების წესი და დოზირება.</w:t>
      </w:r>
    </w:p>
    <w:p w14:paraId="618552D4" w14:textId="6983FDEB" w:rsidR="0079481B" w:rsidRPr="00A57293" w:rsidRDefault="0079481B" w:rsidP="00631905">
      <w:pPr>
        <w:spacing w:after="0" w:line="276" w:lineRule="auto"/>
        <w:jc w:val="both"/>
        <w:rPr>
          <w:sz w:val="24"/>
          <w:szCs w:val="24"/>
        </w:rPr>
      </w:pPr>
      <w:r w:rsidRPr="00A57293">
        <w:rPr>
          <w:sz w:val="24"/>
          <w:szCs w:val="24"/>
        </w:rPr>
        <w:t>სამკურნალო მიზნებისთვის ზრდასრულებსა და მეძუძურ ქალებს ენიშნებათ 2.5-5 მგ (1/2-1 ტაბლეტი) დღეში. მკურნალობის კურსი შეადგენს 20-30 დღეს. რეკომენდებულია ჩატარდეს ორიდან სამ კურსამდე, ერთთვიანი ინტერვალით. ამ მედიკამენტის ხანგრძლივი გამოყენებისას რეკომენდირებულია მისი კომბინაცია ვიტამინ B12-თან (ციანოკობალამინთან).</w:t>
      </w:r>
    </w:p>
    <w:p w14:paraId="47228A53" w14:textId="6A4B708C" w:rsidR="0079481B" w:rsidRPr="00A57293" w:rsidRDefault="0079481B" w:rsidP="00631905">
      <w:pPr>
        <w:spacing w:after="0" w:line="276" w:lineRule="auto"/>
        <w:jc w:val="both"/>
        <w:rPr>
          <w:sz w:val="24"/>
          <w:szCs w:val="24"/>
        </w:rPr>
      </w:pPr>
      <w:r w:rsidRPr="00A57293">
        <w:rPr>
          <w:sz w:val="24"/>
          <w:szCs w:val="24"/>
        </w:rPr>
        <w:t>ქალებისათვის, რომლებიც გეგმავენ ორსულობას და რისკის ქვეშ მყოფი ქალებისთვის, ნაყოფში ნერვული ღეროს თანდაყოლილი დეფექტების განვითარების თავიდან ასაცილებლად, ორსულობის დაწყებამდე 4 კვირის განმავლობაში ინიშნება 5 მგ (1 ტაბლეტი) დღეში და გრძელდება ორსულობის პირველი 3 თვის განმავლობაში.</w:t>
      </w:r>
    </w:p>
    <w:p w14:paraId="0594914D" w14:textId="543B6B15" w:rsidR="0079481B" w:rsidRPr="00A57293" w:rsidRDefault="00D253F8" w:rsidP="00631905">
      <w:pPr>
        <w:spacing w:after="0" w:line="276" w:lineRule="auto"/>
        <w:jc w:val="both"/>
        <w:rPr>
          <w:sz w:val="24"/>
          <w:szCs w:val="24"/>
        </w:rPr>
      </w:pPr>
      <w:r w:rsidRPr="00A57293">
        <w:rPr>
          <w:sz w:val="24"/>
          <w:szCs w:val="24"/>
        </w:rPr>
        <w:t>არაბალანსირებულ ან არასრულფასოვან კვებასთან დაკავშირებული ფოლიუმის მჟავას დეფიციტის პროფილაქტიკისთვის - 2.5-5 მგ (1/2-1 ტაბლეტი) დღეში. მკურნალობის კურსი 20-30 დღეა.</w:t>
      </w:r>
    </w:p>
    <w:p w14:paraId="25ECED94" w14:textId="29D18C79" w:rsidR="00D253F8" w:rsidRPr="00A57293" w:rsidRDefault="00D253F8" w:rsidP="00631905">
      <w:pPr>
        <w:spacing w:after="0" w:line="276" w:lineRule="auto"/>
        <w:jc w:val="both"/>
        <w:rPr>
          <w:sz w:val="24"/>
          <w:szCs w:val="24"/>
        </w:rPr>
      </w:pPr>
      <w:r w:rsidRPr="00A57293">
        <w:rPr>
          <w:sz w:val="24"/>
          <w:szCs w:val="24"/>
        </w:rPr>
        <w:t>1 თვის შემდეგ რეკომენდირებულია განმეორებითი მკურნალობის კურსი.</w:t>
      </w:r>
    </w:p>
    <w:p w14:paraId="4AC2CE42" w14:textId="7FAA2263" w:rsidR="00D253F8" w:rsidRPr="00A57293" w:rsidRDefault="00D253F8" w:rsidP="00631905">
      <w:pPr>
        <w:spacing w:after="0" w:line="276" w:lineRule="auto"/>
        <w:jc w:val="both"/>
        <w:rPr>
          <w:sz w:val="24"/>
          <w:szCs w:val="24"/>
        </w:rPr>
      </w:pPr>
      <w:r w:rsidRPr="00A57293">
        <w:rPr>
          <w:sz w:val="24"/>
          <w:szCs w:val="24"/>
        </w:rPr>
        <w:t>მეგალობლასტური ანემიის დროს, 4 თვის განმავლობაში, დღეში 5 მგ (1 ტაბლეტი) ფოლიუმის მჟავა ინიშნება (პროფილაქტიკისთვის რეკომენდებული დოზაა 2.5 მგ (1/2 ტაბლეტი) დღეში).</w:t>
      </w:r>
    </w:p>
    <w:p w14:paraId="4B9EB018" w14:textId="45FDCAEB" w:rsidR="0079481B" w:rsidRPr="00A57293" w:rsidRDefault="00D253F8" w:rsidP="00631905">
      <w:pPr>
        <w:spacing w:after="0" w:line="276" w:lineRule="auto"/>
        <w:jc w:val="both"/>
        <w:rPr>
          <w:sz w:val="24"/>
          <w:szCs w:val="24"/>
        </w:rPr>
      </w:pPr>
      <w:r w:rsidRPr="00A57293">
        <w:rPr>
          <w:sz w:val="24"/>
          <w:szCs w:val="24"/>
        </w:rPr>
        <w:t>პაციენტებსათვის, რომლებსაც აღენიშნებათ სპრუ, მაკროციტური ანემია, მალაბსორბცია და ნაწლავების ანთებითი დაავადება, რეკომენდებულია დღეში 5-15 მგ (1-3 ტაბლეტი) მიღება.</w:t>
      </w:r>
    </w:p>
    <w:p w14:paraId="3B9516D5" w14:textId="2008E060" w:rsidR="0079481B" w:rsidRPr="00A57293" w:rsidRDefault="00D253F8" w:rsidP="00631905">
      <w:pPr>
        <w:spacing w:after="0" w:line="276" w:lineRule="auto"/>
        <w:jc w:val="both"/>
        <w:rPr>
          <w:sz w:val="24"/>
          <w:szCs w:val="24"/>
        </w:rPr>
      </w:pPr>
      <w:r w:rsidRPr="00A57293">
        <w:rPr>
          <w:sz w:val="24"/>
          <w:szCs w:val="24"/>
        </w:rPr>
        <w:t>ცელიაკიის დროს რეკომენდებულია დღეში 5-15 მგ მიღება.</w:t>
      </w:r>
    </w:p>
    <w:p w14:paraId="4E7BC1A2" w14:textId="4289F45B" w:rsidR="00D253F8" w:rsidRPr="00A57293" w:rsidRDefault="00D253F8" w:rsidP="00631905">
      <w:pPr>
        <w:spacing w:after="0" w:line="276" w:lineRule="auto"/>
        <w:jc w:val="both"/>
        <w:rPr>
          <w:sz w:val="24"/>
          <w:szCs w:val="24"/>
        </w:rPr>
      </w:pPr>
      <w:r w:rsidRPr="00A57293">
        <w:rPr>
          <w:sz w:val="24"/>
          <w:szCs w:val="24"/>
        </w:rPr>
        <w:t>მამაკაცის უნაყოფობის სამკურნალოდ, რომელიც გამოწვეულია სპერმატოგენეზის შემცირებით (ოლიგოსპერმია), რეკომენდებული დოზაა 5 მგ (1 ტაბლეტი) დღეში. მკურნალობის ხანგრძლივობას განსაზღვრავს ექიმი ინდივიდუალურად.</w:t>
      </w:r>
    </w:p>
    <w:p w14:paraId="05E466A5" w14:textId="2570EF2B" w:rsidR="00D253F8" w:rsidRPr="00A57293" w:rsidRDefault="00D253F8" w:rsidP="00631905">
      <w:pPr>
        <w:spacing w:after="0" w:line="276" w:lineRule="auto"/>
        <w:jc w:val="both"/>
        <w:rPr>
          <w:sz w:val="24"/>
          <w:szCs w:val="24"/>
        </w:rPr>
      </w:pPr>
      <w:r w:rsidRPr="00A57293">
        <w:rPr>
          <w:sz w:val="24"/>
          <w:szCs w:val="24"/>
        </w:rPr>
        <w:t>ბავშვები.</w:t>
      </w:r>
    </w:p>
    <w:p w14:paraId="36AA0057" w14:textId="30E98E65" w:rsidR="0079481B" w:rsidRPr="00A57293" w:rsidRDefault="00D253F8" w:rsidP="00631905">
      <w:pPr>
        <w:spacing w:after="0" w:line="276" w:lineRule="auto"/>
        <w:jc w:val="both"/>
        <w:rPr>
          <w:sz w:val="24"/>
          <w:szCs w:val="24"/>
        </w:rPr>
      </w:pPr>
      <w:r w:rsidRPr="00A57293">
        <w:rPr>
          <w:sz w:val="24"/>
          <w:szCs w:val="24"/>
        </w:rPr>
        <w:t>არ გამოიყენება ბავშვებში.</w:t>
      </w:r>
    </w:p>
    <w:p w14:paraId="5170320B" w14:textId="51D6C0A9" w:rsidR="003A45AD" w:rsidRPr="00A57293" w:rsidRDefault="003A45AD" w:rsidP="00631905">
      <w:pPr>
        <w:spacing w:after="0" w:line="276" w:lineRule="auto"/>
        <w:jc w:val="both"/>
        <w:rPr>
          <w:b/>
          <w:bCs/>
          <w:sz w:val="24"/>
          <w:szCs w:val="24"/>
        </w:rPr>
      </w:pPr>
      <w:r w:rsidRPr="00A57293">
        <w:rPr>
          <w:b/>
          <w:bCs/>
          <w:sz w:val="24"/>
          <w:szCs w:val="24"/>
        </w:rPr>
        <w:t>დოზის გადაჭარბება.</w:t>
      </w:r>
    </w:p>
    <w:p w14:paraId="46715724" w14:textId="77777777" w:rsidR="00D253F8" w:rsidRPr="00A57293" w:rsidRDefault="00D253F8" w:rsidP="00631905">
      <w:pPr>
        <w:spacing w:after="0" w:line="276" w:lineRule="auto"/>
        <w:jc w:val="both"/>
        <w:rPr>
          <w:sz w:val="24"/>
          <w:szCs w:val="24"/>
        </w:rPr>
      </w:pPr>
      <w:r w:rsidRPr="00A57293">
        <w:rPr>
          <w:sz w:val="24"/>
          <w:szCs w:val="24"/>
        </w:rPr>
        <w:t>დოზის გადაჭარბების შემთხვევები არ დაფიქსირებულა. ძალიან დიდი დოზებით გამოყენებამ არ უნდა გამოიწვიოს პაციენტის დაზიანება.</w:t>
      </w:r>
    </w:p>
    <w:p w14:paraId="0528DBCB" w14:textId="77777777" w:rsidR="00D253F8" w:rsidRPr="00A57293" w:rsidRDefault="00D253F8" w:rsidP="00631905">
      <w:pPr>
        <w:spacing w:after="0" w:line="276" w:lineRule="auto"/>
        <w:jc w:val="both"/>
        <w:rPr>
          <w:sz w:val="24"/>
          <w:szCs w:val="24"/>
        </w:rPr>
      </w:pPr>
      <w:r w:rsidRPr="00A57293">
        <w:rPr>
          <w:sz w:val="24"/>
          <w:szCs w:val="24"/>
        </w:rPr>
        <w:t>ფოლიუმის მჟავას დოზის გადაჭარბებამ შეიძლება შენიღბოს B12 ვიტამინის დეფიციტი.</w:t>
      </w:r>
    </w:p>
    <w:p w14:paraId="0B84BAD0" w14:textId="77777777" w:rsidR="00D253F8" w:rsidRPr="00A57293" w:rsidRDefault="00D253F8" w:rsidP="00631905">
      <w:pPr>
        <w:spacing w:after="0" w:line="276" w:lineRule="auto"/>
        <w:jc w:val="both"/>
        <w:rPr>
          <w:sz w:val="24"/>
          <w:szCs w:val="24"/>
        </w:rPr>
      </w:pPr>
      <w:r w:rsidRPr="00A57293">
        <w:rPr>
          <w:sz w:val="24"/>
          <w:szCs w:val="24"/>
        </w:rPr>
        <w:t>რეკომენდებული დოზების ხანგრძლივმა და მნიშვნელოვანმა გადაჭარბებამ შეიძლება გამოიწვიოს ფოლატის კრისტალების საშიში დაგროვება, რაც იწვევს ინტოქსიკაციას და გვერდითი მოვლენების გაძლიერებას.</w:t>
      </w:r>
    </w:p>
    <w:p w14:paraId="44034167" w14:textId="63F5A327" w:rsidR="00D253F8" w:rsidRPr="00A57293" w:rsidRDefault="00D253F8" w:rsidP="00631905">
      <w:pPr>
        <w:spacing w:after="0" w:line="276" w:lineRule="auto"/>
        <w:jc w:val="both"/>
        <w:rPr>
          <w:sz w:val="24"/>
          <w:szCs w:val="24"/>
        </w:rPr>
      </w:pPr>
      <w:r w:rsidRPr="00A57293">
        <w:rPr>
          <w:sz w:val="24"/>
          <w:szCs w:val="24"/>
        </w:rPr>
        <w:t>მკურნალობა: მედიკამენტის მიღების შეწყვეტა, სიმპტომური თერაპია.</w:t>
      </w:r>
    </w:p>
    <w:p w14:paraId="40F2520E" w14:textId="51DDC60A" w:rsidR="009F2671" w:rsidRPr="00A57293" w:rsidRDefault="009F2671" w:rsidP="00631905">
      <w:pPr>
        <w:spacing w:after="0" w:line="276" w:lineRule="auto"/>
        <w:jc w:val="both"/>
        <w:rPr>
          <w:b/>
          <w:bCs/>
          <w:sz w:val="24"/>
          <w:szCs w:val="24"/>
        </w:rPr>
      </w:pPr>
      <w:r w:rsidRPr="00A57293">
        <w:rPr>
          <w:b/>
          <w:bCs/>
          <w:sz w:val="24"/>
          <w:szCs w:val="24"/>
        </w:rPr>
        <w:t>გვერდითი რეაქციები.</w:t>
      </w:r>
    </w:p>
    <w:p w14:paraId="1C8DF422" w14:textId="415A3AE2" w:rsidR="00D253F8" w:rsidRPr="00A57293" w:rsidRDefault="00D253F8" w:rsidP="00631905">
      <w:pPr>
        <w:spacing w:after="0" w:line="276" w:lineRule="auto"/>
        <w:jc w:val="both"/>
        <w:rPr>
          <w:sz w:val="24"/>
          <w:szCs w:val="24"/>
        </w:rPr>
      </w:pPr>
      <w:r w:rsidRPr="00A57293">
        <w:rPr>
          <w:sz w:val="24"/>
          <w:szCs w:val="24"/>
        </w:rPr>
        <w:lastRenderedPageBreak/>
        <w:t>„ფოლიუმის მჟავა ასტრა“ კარგად აიტანება.</w:t>
      </w:r>
    </w:p>
    <w:p w14:paraId="2EE14511" w14:textId="0CDB8497" w:rsidR="00D253F8" w:rsidRPr="00A57293" w:rsidRDefault="00D253F8" w:rsidP="00631905">
      <w:pPr>
        <w:spacing w:after="0" w:line="276" w:lineRule="auto"/>
        <w:jc w:val="both"/>
        <w:rPr>
          <w:sz w:val="24"/>
          <w:szCs w:val="24"/>
        </w:rPr>
      </w:pPr>
      <w:r w:rsidRPr="00A57293">
        <w:rPr>
          <w:sz w:val="24"/>
          <w:szCs w:val="24"/>
        </w:rPr>
        <w:t>გვერდითი მოვლენები კლასიფიცირებულია ორგანოთა სისტემების მიხედვით და წარმოდგენილია სიხშირის მიხედვით: ძალიან ხშირი (≥1/10) ≥ 10%; ხშირი (≥1/100 და &lt;1/10) &gt; 1% და &lt; 10%; არახშირი (≥1/1,000 და &lt; 1/100) &gt; 0.1% და &lt; 1%; იშვიათი (≥ 1/10,000, &lt; 1/1,000) 0.01% და &lt; 0.1%; ძალიან იშვიათი (&lt; 1/10,000) &lt; 0.01%, უცნობია (შეფასება შეუძლებელია არასაკმარისი მონაცემების გამო).</w:t>
      </w:r>
    </w:p>
    <w:p w14:paraId="0E746EC3" w14:textId="14DB5E32" w:rsidR="00D253F8" w:rsidRPr="00A57293" w:rsidRDefault="00D253F8" w:rsidP="00631905">
      <w:pPr>
        <w:spacing w:after="0" w:line="276" w:lineRule="auto"/>
        <w:jc w:val="both"/>
        <w:rPr>
          <w:sz w:val="24"/>
          <w:szCs w:val="24"/>
        </w:rPr>
      </w:pPr>
      <w:r w:rsidRPr="00A57293">
        <w:rPr>
          <w:sz w:val="24"/>
          <w:szCs w:val="24"/>
        </w:rPr>
        <w:t>კუჭ-ნაწლავის ტრაქტის მხრივ: იშვიათად - ანორექსია, გულისრევა, შებერილობა, მეტეორიზმი, ღებინება, სიმწარე პირში.</w:t>
      </w:r>
    </w:p>
    <w:p w14:paraId="23C9F7BF" w14:textId="58E5218A" w:rsidR="00D253F8" w:rsidRPr="00A57293" w:rsidRDefault="00D253F8" w:rsidP="00631905">
      <w:pPr>
        <w:spacing w:after="0" w:line="276" w:lineRule="auto"/>
        <w:jc w:val="both"/>
        <w:rPr>
          <w:sz w:val="24"/>
          <w:szCs w:val="24"/>
        </w:rPr>
      </w:pPr>
      <w:r w:rsidRPr="00A57293">
        <w:rPr>
          <w:sz w:val="24"/>
          <w:szCs w:val="24"/>
        </w:rPr>
        <w:t>იმუნური სისტემის მხრივ: იშვიათად - ჰიპერმგრძნობელობის რეაქციები, მათ შორის ერითემა, გამონაყარი, ქავილი, ჭინჭრის ციება, ქოშინი, ანაფილაქსიური რეაქციები, მათ შორის შოკი; არტერიული ჰიპოტენზია.</w:t>
      </w:r>
    </w:p>
    <w:p w14:paraId="16322A1D" w14:textId="3517ECEC" w:rsidR="00D253F8" w:rsidRPr="00A57293" w:rsidRDefault="00D253F8" w:rsidP="00631905">
      <w:pPr>
        <w:spacing w:after="0" w:line="276" w:lineRule="auto"/>
        <w:jc w:val="both"/>
        <w:rPr>
          <w:sz w:val="24"/>
          <w:szCs w:val="24"/>
        </w:rPr>
      </w:pPr>
      <w:r w:rsidRPr="00A57293">
        <w:rPr>
          <w:sz w:val="24"/>
          <w:szCs w:val="24"/>
        </w:rPr>
        <w:t>ცენტრალური ნერვული სისტემის მხრივ: ცხელება, ძილის დარღვევა, კრუნჩხვები.</w:t>
      </w:r>
    </w:p>
    <w:p w14:paraId="4907F8EF" w14:textId="0FD9ACF5" w:rsidR="00D253F8" w:rsidRPr="00A57293" w:rsidRDefault="00D253F8" w:rsidP="00631905">
      <w:pPr>
        <w:spacing w:after="0" w:line="276" w:lineRule="auto"/>
        <w:jc w:val="both"/>
        <w:rPr>
          <w:sz w:val="24"/>
          <w:szCs w:val="24"/>
        </w:rPr>
      </w:pPr>
      <w:r w:rsidRPr="00A57293">
        <w:rPr>
          <w:sz w:val="24"/>
          <w:szCs w:val="24"/>
        </w:rPr>
        <w:t>შარდგამომყოფი სისტემის მხრივ: თირკმლის მილაკებში ეპითელური უჯრედების ჰიპერტროფია და დისფუნქცია.</w:t>
      </w:r>
    </w:p>
    <w:p w14:paraId="10AEC189" w14:textId="50D9A7D2" w:rsidR="009F2671" w:rsidRPr="00A57293" w:rsidRDefault="009F2671" w:rsidP="00631905">
      <w:pPr>
        <w:spacing w:after="0" w:line="276" w:lineRule="auto"/>
        <w:jc w:val="both"/>
        <w:rPr>
          <w:b/>
          <w:bCs/>
          <w:sz w:val="24"/>
          <w:szCs w:val="24"/>
        </w:rPr>
      </w:pPr>
      <w:r w:rsidRPr="00A57293">
        <w:rPr>
          <w:b/>
          <w:bCs/>
          <w:sz w:val="24"/>
          <w:szCs w:val="24"/>
        </w:rPr>
        <w:t>ვარგისობის ვადა.</w:t>
      </w:r>
    </w:p>
    <w:p w14:paraId="316C8CC2" w14:textId="7D40E636" w:rsidR="009F2671" w:rsidRPr="00A57293" w:rsidRDefault="009F2671" w:rsidP="00631905">
      <w:pPr>
        <w:spacing w:after="0" w:line="276" w:lineRule="auto"/>
        <w:jc w:val="both"/>
        <w:rPr>
          <w:sz w:val="24"/>
          <w:szCs w:val="24"/>
        </w:rPr>
      </w:pPr>
      <w:r w:rsidRPr="00A57293">
        <w:rPr>
          <w:sz w:val="24"/>
          <w:szCs w:val="24"/>
        </w:rPr>
        <w:t>2 წელი.</w:t>
      </w:r>
    </w:p>
    <w:p w14:paraId="6B7753CC" w14:textId="3244ECE4" w:rsidR="009F2671" w:rsidRPr="00A57293" w:rsidRDefault="009F2671" w:rsidP="00631905">
      <w:pPr>
        <w:spacing w:after="0" w:line="276" w:lineRule="auto"/>
        <w:jc w:val="both"/>
        <w:rPr>
          <w:b/>
          <w:bCs/>
          <w:sz w:val="24"/>
          <w:szCs w:val="24"/>
        </w:rPr>
      </w:pPr>
      <w:r w:rsidRPr="00A57293">
        <w:rPr>
          <w:b/>
          <w:bCs/>
          <w:sz w:val="24"/>
          <w:szCs w:val="24"/>
        </w:rPr>
        <w:t>შენახვის პირობები.</w:t>
      </w:r>
    </w:p>
    <w:p w14:paraId="641812B2" w14:textId="4D1A1E30" w:rsidR="009F2671" w:rsidRPr="00A57293" w:rsidRDefault="009F2671" w:rsidP="00631905">
      <w:pPr>
        <w:spacing w:after="0" w:line="276" w:lineRule="auto"/>
        <w:jc w:val="both"/>
        <w:rPr>
          <w:sz w:val="24"/>
          <w:szCs w:val="24"/>
        </w:rPr>
      </w:pPr>
      <w:r w:rsidRPr="00A57293">
        <w:rPr>
          <w:sz w:val="24"/>
          <w:szCs w:val="24"/>
        </w:rPr>
        <w:t>ინახება ორიგინალ შეფუთვაში არაუმეტეს 25°C ტემპერატურაზე.</w:t>
      </w:r>
      <w:r w:rsidR="00D253F8" w:rsidRPr="00A57293">
        <w:rPr>
          <w:sz w:val="24"/>
          <w:szCs w:val="24"/>
        </w:rPr>
        <w:t xml:space="preserve"> </w:t>
      </w:r>
      <w:r w:rsidRPr="00A57293">
        <w:rPr>
          <w:sz w:val="24"/>
          <w:szCs w:val="24"/>
        </w:rPr>
        <w:t>ინახება ბავშვებისთვის მიუწვდომელ ადგილას.</w:t>
      </w:r>
    </w:p>
    <w:p w14:paraId="476EE8E0" w14:textId="35076F3F" w:rsidR="009F2671" w:rsidRPr="00A57293" w:rsidRDefault="009F2671" w:rsidP="00631905">
      <w:pPr>
        <w:spacing w:after="0" w:line="276" w:lineRule="auto"/>
        <w:jc w:val="both"/>
        <w:rPr>
          <w:b/>
          <w:bCs/>
          <w:sz w:val="24"/>
          <w:szCs w:val="24"/>
        </w:rPr>
      </w:pPr>
      <w:r w:rsidRPr="00A57293">
        <w:rPr>
          <w:b/>
          <w:bCs/>
          <w:sz w:val="24"/>
          <w:szCs w:val="24"/>
        </w:rPr>
        <w:t>შეფუთვა.</w:t>
      </w:r>
    </w:p>
    <w:p w14:paraId="2EBF6002" w14:textId="264D8D63" w:rsidR="009F2671" w:rsidRPr="00A57293" w:rsidRDefault="009F2671" w:rsidP="00631905">
      <w:pPr>
        <w:spacing w:after="0" w:line="276" w:lineRule="auto"/>
        <w:jc w:val="both"/>
        <w:rPr>
          <w:sz w:val="24"/>
          <w:szCs w:val="24"/>
        </w:rPr>
      </w:pPr>
      <w:r w:rsidRPr="00A57293">
        <w:rPr>
          <w:sz w:val="24"/>
          <w:szCs w:val="24"/>
        </w:rPr>
        <w:t xml:space="preserve">10 </w:t>
      </w:r>
      <w:r w:rsidR="00D253F8" w:rsidRPr="00A57293">
        <w:rPr>
          <w:sz w:val="24"/>
          <w:szCs w:val="24"/>
        </w:rPr>
        <w:t>ტაბლეტი</w:t>
      </w:r>
      <w:r w:rsidRPr="00A57293">
        <w:rPr>
          <w:sz w:val="24"/>
          <w:szCs w:val="24"/>
        </w:rPr>
        <w:t xml:space="preserve"> ბლისტერ</w:t>
      </w:r>
      <w:r w:rsidR="00D253F8" w:rsidRPr="00A57293">
        <w:rPr>
          <w:sz w:val="24"/>
          <w:szCs w:val="24"/>
        </w:rPr>
        <w:t>ში</w:t>
      </w:r>
      <w:r w:rsidRPr="00A57293">
        <w:rPr>
          <w:sz w:val="24"/>
          <w:szCs w:val="24"/>
        </w:rPr>
        <w:t xml:space="preserve">; </w:t>
      </w:r>
      <w:r w:rsidR="00D253F8" w:rsidRPr="00A57293">
        <w:rPr>
          <w:sz w:val="24"/>
          <w:szCs w:val="24"/>
        </w:rPr>
        <w:t>5</w:t>
      </w:r>
      <w:r w:rsidRPr="00A57293">
        <w:rPr>
          <w:sz w:val="24"/>
          <w:szCs w:val="24"/>
        </w:rPr>
        <w:t xml:space="preserve"> ბლისტერი </w:t>
      </w:r>
      <w:r w:rsidR="00D253F8" w:rsidRPr="00A57293">
        <w:rPr>
          <w:sz w:val="24"/>
          <w:szCs w:val="24"/>
        </w:rPr>
        <w:t xml:space="preserve">მუყაოს </w:t>
      </w:r>
      <w:r w:rsidRPr="00A57293">
        <w:rPr>
          <w:sz w:val="24"/>
          <w:szCs w:val="24"/>
        </w:rPr>
        <w:t>კოლოფში.</w:t>
      </w:r>
    </w:p>
    <w:p w14:paraId="2020BE93" w14:textId="77EBC93A" w:rsidR="009F2671" w:rsidRPr="00A57293" w:rsidRDefault="009F2671" w:rsidP="00631905">
      <w:pPr>
        <w:spacing w:after="0" w:line="276" w:lineRule="auto"/>
        <w:jc w:val="both"/>
        <w:rPr>
          <w:b/>
          <w:bCs/>
          <w:sz w:val="24"/>
          <w:szCs w:val="24"/>
        </w:rPr>
      </w:pPr>
      <w:r w:rsidRPr="00A57293">
        <w:rPr>
          <w:b/>
          <w:bCs/>
          <w:sz w:val="24"/>
          <w:szCs w:val="24"/>
        </w:rPr>
        <w:t>გაცემის რეჟიმი.</w:t>
      </w:r>
    </w:p>
    <w:p w14:paraId="351DA3A6" w14:textId="77777777" w:rsidR="00631905" w:rsidRPr="00A57293" w:rsidRDefault="00631905" w:rsidP="00631905">
      <w:pPr>
        <w:spacing w:after="0" w:line="276" w:lineRule="auto"/>
        <w:jc w:val="both"/>
        <w:rPr>
          <w:rFonts w:ascii="Sylfaen" w:eastAsia="SimSun" w:hAnsi="Sylfaen"/>
          <w:bCs/>
        </w:rPr>
      </w:pPr>
      <w:r w:rsidRPr="00A57293">
        <w:rPr>
          <w:rFonts w:ascii="Sylfaen" w:eastAsia="SimSun" w:hAnsi="Sylfaen"/>
          <w:bCs/>
        </w:rPr>
        <w:t>ფ</w:t>
      </w:r>
      <w:r w:rsidRPr="00A57293">
        <w:rPr>
          <w:rFonts w:ascii="Sylfaen" w:eastAsia="SimSun" w:hAnsi="Sylfaen" w:cs="Sylfaen"/>
          <w:bCs/>
        </w:rPr>
        <w:t>არმაცევტული</w:t>
      </w:r>
      <w:r w:rsidRPr="00A57293">
        <w:rPr>
          <w:rFonts w:ascii="AcadNusx" w:eastAsia="SimSun" w:hAnsi="AcadNusx"/>
          <w:bCs/>
        </w:rPr>
        <w:t xml:space="preserve"> </w:t>
      </w:r>
      <w:r w:rsidRPr="00A57293">
        <w:rPr>
          <w:rFonts w:ascii="Sylfaen" w:eastAsia="SimSun" w:hAnsi="Sylfaen" w:cs="Sylfaen"/>
          <w:bCs/>
        </w:rPr>
        <w:t>პროდუქტის</w:t>
      </w:r>
      <w:r w:rsidRPr="00A57293">
        <w:rPr>
          <w:rFonts w:ascii="AcadNusx" w:eastAsia="SimSun" w:hAnsi="AcadNusx"/>
          <w:bCs/>
        </w:rPr>
        <w:t xml:space="preserve"> </w:t>
      </w:r>
      <w:r w:rsidRPr="00A57293">
        <w:rPr>
          <w:rFonts w:ascii="Sylfaen" w:eastAsia="SimSun" w:hAnsi="Sylfaen" w:cs="Sylfaen"/>
          <w:bCs/>
        </w:rPr>
        <w:t>ჯგუფი</w:t>
      </w:r>
      <w:r w:rsidRPr="00A57293">
        <w:rPr>
          <w:rFonts w:ascii="AcadNusx" w:eastAsia="SimSun" w:hAnsi="AcadNusx"/>
          <w:bCs/>
        </w:rPr>
        <w:t xml:space="preserve"> I</w:t>
      </w:r>
      <w:r w:rsidRPr="00A57293">
        <w:rPr>
          <w:rFonts w:ascii="Sylfaen" w:eastAsia="SimSun" w:hAnsi="Sylfaen"/>
          <w:bCs/>
        </w:rPr>
        <w:t>I</w:t>
      </w:r>
      <w:r w:rsidRPr="00A57293">
        <w:rPr>
          <w:rFonts w:ascii="AcadNusx" w:eastAsia="SimSun" w:hAnsi="AcadNusx"/>
          <w:bCs/>
        </w:rPr>
        <w:t>I</w:t>
      </w:r>
      <w:r w:rsidRPr="00A57293">
        <w:rPr>
          <w:rFonts w:ascii="Sylfaen" w:eastAsia="SimSun" w:hAnsi="Sylfaen"/>
          <w:bCs/>
        </w:rPr>
        <w:t>, გაიცემა რეცეპტის გარეშე</w:t>
      </w:r>
    </w:p>
    <w:p w14:paraId="7E4CE861" w14:textId="27564EE6" w:rsidR="009F2671" w:rsidRPr="00A57293" w:rsidRDefault="009F2671" w:rsidP="00631905">
      <w:pPr>
        <w:spacing w:after="0" w:line="276" w:lineRule="auto"/>
        <w:jc w:val="both"/>
        <w:rPr>
          <w:b/>
          <w:bCs/>
          <w:sz w:val="24"/>
          <w:szCs w:val="24"/>
        </w:rPr>
      </w:pPr>
      <w:r w:rsidRPr="00A57293">
        <w:rPr>
          <w:b/>
          <w:bCs/>
          <w:sz w:val="24"/>
          <w:szCs w:val="24"/>
        </w:rPr>
        <w:t>მწარმოებელი.</w:t>
      </w:r>
    </w:p>
    <w:p w14:paraId="0D6E44BF" w14:textId="51316D7F" w:rsidR="009F2671" w:rsidRPr="00A57293" w:rsidRDefault="009F2671" w:rsidP="00631905">
      <w:pPr>
        <w:spacing w:after="0" w:line="276" w:lineRule="auto"/>
        <w:jc w:val="both"/>
        <w:rPr>
          <w:sz w:val="24"/>
          <w:szCs w:val="24"/>
        </w:rPr>
      </w:pPr>
      <w:r w:rsidRPr="00A57293">
        <w:rPr>
          <w:sz w:val="24"/>
          <w:szCs w:val="24"/>
        </w:rPr>
        <w:t>შპს „ასტრაფარმი“</w:t>
      </w:r>
    </w:p>
    <w:p w14:paraId="2AD3C3B6" w14:textId="77777777" w:rsidR="00FD710B" w:rsidRPr="00A57293" w:rsidRDefault="00FD710B" w:rsidP="00631905">
      <w:pPr>
        <w:spacing w:after="0" w:line="276" w:lineRule="auto"/>
        <w:jc w:val="both"/>
        <w:rPr>
          <w:b/>
          <w:bCs/>
          <w:sz w:val="24"/>
          <w:szCs w:val="24"/>
        </w:rPr>
      </w:pPr>
      <w:r w:rsidRPr="00A57293">
        <w:rPr>
          <w:b/>
          <w:bCs/>
          <w:sz w:val="24"/>
          <w:szCs w:val="24"/>
        </w:rPr>
        <w:t>მწარმოებლის ადგილმდებარეობა და საქმიანობის განხორციელების მისამართი.</w:t>
      </w:r>
    </w:p>
    <w:p w14:paraId="10645C74" w14:textId="0A407A8E" w:rsidR="009F2671" w:rsidRPr="00A57293" w:rsidRDefault="00FD710B" w:rsidP="00631905">
      <w:pPr>
        <w:spacing w:after="0" w:line="276" w:lineRule="auto"/>
        <w:jc w:val="both"/>
        <w:rPr>
          <w:sz w:val="24"/>
          <w:szCs w:val="24"/>
        </w:rPr>
      </w:pPr>
      <w:r w:rsidRPr="00A57293">
        <w:rPr>
          <w:sz w:val="24"/>
          <w:szCs w:val="24"/>
        </w:rPr>
        <w:t>08132, კიევის ოლქი, ბუჩანსკის რაიონი, ქ.ვიშნევოიე, კიევსკაიას ქუჩა, 6.</w:t>
      </w:r>
    </w:p>
    <w:p w14:paraId="2E864E8C" w14:textId="77777777" w:rsidR="00FD710B" w:rsidRPr="00A57293" w:rsidRDefault="00FD710B" w:rsidP="00631905">
      <w:pPr>
        <w:spacing w:after="0" w:line="276" w:lineRule="auto"/>
        <w:jc w:val="both"/>
        <w:rPr>
          <w:sz w:val="24"/>
          <w:szCs w:val="24"/>
        </w:rPr>
      </w:pPr>
    </w:p>
    <w:sectPr w:rsidR="00FD710B" w:rsidRPr="00A57293" w:rsidSect="00251755">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715"/>
    <w:rsid w:val="00054A37"/>
    <w:rsid w:val="000C558C"/>
    <w:rsid w:val="00251755"/>
    <w:rsid w:val="003A45AD"/>
    <w:rsid w:val="003C6E35"/>
    <w:rsid w:val="004B18D3"/>
    <w:rsid w:val="004D654F"/>
    <w:rsid w:val="00631905"/>
    <w:rsid w:val="0079481B"/>
    <w:rsid w:val="007C3626"/>
    <w:rsid w:val="007E3715"/>
    <w:rsid w:val="008B563B"/>
    <w:rsid w:val="008F120A"/>
    <w:rsid w:val="009F2671"/>
    <w:rsid w:val="00A059A1"/>
    <w:rsid w:val="00A57293"/>
    <w:rsid w:val="00AD663B"/>
    <w:rsid w:val="00C61CAE"/>
    <w:rsid w:val="00C9012F"/>
    <w:rsid w:val="00D253F8"/>
    <w:rsid w:val="00E67225"/>
    <w:rsid w:val="00ED2925"/>
    <w:rsid w:val="00FD710B"/>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FD257"/>
  <w15:chartTrackingRefBased/>
  <w15:docId w15:val="{1A118729-4FC4-43CA-A7AA-1A68E0BF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7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37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37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37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37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3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7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37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37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37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37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3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715"/>
    <w:rPr>
      <w:rFonts w:eastAsiaTheme="majorEastAsia" w:cstheme="majorBidi"/>
      <w:color w:val="272727" w:themeColor="text1" w:themeTint="D8"/>
    </w:rPr>
  </w:style>
  <w:style w:type="paragraph" w:styleId="Title">
    <w:name w:val="Title"/>
    <w:basedOn w:val="Normal"/>
    <w:next w:val="Normal"/>
    <w:link w:val="TitleChar"/>
    <w:uiPriority w:val="10"/>
    <w:qFormat/>
    <w:rsid w:val="007E3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715"/>
    <w:pPr>
      <w:spacing w:before="160"/>
      <w:jc w:val="center"/>
    </w:pPr>
    <w:rPr>
      <w:i/>
      <w:iCs/>
      <w:color w:val="404040" w:themeColor="text1" w:themeTint="BF"/>
    </w:rPr>
  </w:style>
  <w:style w:type="character" w:customStyle="1" w:styleId="QuoteChar">
    <w:name w:val="Quote Char"/>
    <w:basedOn w:val="DefaultParagraphFont"/>
    <w:link w:val="Quote"/>
    <w:uiPriority w:val="29"/>
    <w:rsid w:val="007E3715"/>
    <w:rPr>
      <w:i/>
      <w:iCs/>
      <w:color w:val="404040" w:themeColor="text1" w:themeTint="BF"/>
    </w:rPr>
  </w:style>
  <w:style w:type="paragraph" w:styleId="ListParagraph">
    <w:name w:val="List Paragraph"/>
    <w:basedOn w:val="Normal"/>
    <w:uiPriority w:val="34"/>
    <w:qFormat/>
    <w:rsid w:val="007E3715"/>
    <w:pPr>
      <w:ind w:left="720"/>
      <w:contextualSpacing/>
    </w:pPr>
  </w:style>
  <w:style w:type="character" w:styleId="IntenseEmphasis">
    <w:name w:val="Intense Emphasis"/>
    <w:basedOn w:val="DefaultParagraphFont"/>
    <w:uiPriority w:val="21"/>
    <w:qFormat/>
    <w:rsid w:val="007E3715"/>
    <w:rPr>
      <w:i/>
      <w:iCs/>
      <w:color w:val="2F5496" w:themeColor="accent1" w:themeShade="BF"/>
    </w:rPr>
  </w:style>
  <w:style w:type="paragraph" w:styleId="IntenseQuote">
    <w:name w:val="Intense Quote"/>
    <w:basedOn w:val="Normal"/>
    <w:next w:val="Normal"/>
    <w:link w:val="IntenseQuoteChar"/>
    <w:uiPriority w:val="30"/>
    <w:qFormat/>
    <w:rsid w:val="007E37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3715"/>
    <w:rPr>
      <w:i/>
      <w:iCs/>
      <w:color w:val="2F5496" w:themeColor="accent1" w:themeShade="BF"/>
    </w:rPr>
  </w:style>
  <w:style w:type="character" w:styleId="IntenseReference">
    <w:name w:val="Intense Reference"/>
    <w:basedOn w:val="DefaultParagraphFont"/>
    <w:uiPriority w:val="32"/>
    <w:qFormat/>
    <w:rsid w:val="007E37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1580</Words>
  <Characters>9007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8</cp:revision>
  <dcterms:created xsi:type="dcterms:W3CDTF">2025-12-15T17:44:00Z</dcterms:created>
  <dcterms:modified xsi:type="dcterms:W3CDTF">2026-05-07T06:28:00Z</dcterms:modified>
</cp:coreProperties>
</file>