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97CD9" w14:textId="779EC4B4" w:rsidR="00F809F9" w:rsidRPr="004D0299" w:rsidRDefault="00DF0B16" w:rsidP="004D0299">
      <w:pPr>
        <w:spacing w:after="0" w:line="276" w:lineRule="auto"/>
        <w:jc w:val="center"/>
        <w:rPr>
          <w:rFonts w:ascii="Sylfaen" w:hAnsi="Sylfaen"/>
          <w:b/>
          <w:bCs/>
          <w:sz w:val="24"/>
          <w:szCs w:val="24"/>
          <w:lang w:val="ka-GE"/>
        </w:rPr>
      </w:pPr>
      <w:r w:rsidRPr="004D0299">
        <w:rPr>
          <w:rFonts w:ascii="Sylfaen" w:hAnsi="Sylfaen"/>
          <w:b/>
          <w:bCs/>
          <w:sz w:val="24"/>
          <w:szCs w:val="24"/>
          <w:lang w:val="ka-GE"/>
        </w:rPr>
        <w:t>სამკურნალო საშუალების მოკლე დახასიათება</w:t>
      </w:r>
    </w:p>
    <w:p w14:paraId="20ED1446" w14:textId="77777777" w:rsidR="00C85EEC" w:rsidRPr="004D0299" w:rsidRDefault="00C85EEC" w:rsidP="004D0299">
      <w:pPr>
        <w:spacing w:after="0" w:line="276" w:lineRule="auto"/>
        <w:jc w:val="center"/>
        <w:rPr>
          <w:rFonts w:ascii="Sylfaen" w:hAnsi="Sylfaen"/>
          <w:b/>
          <w:bCs/>
          <w:sz w:val="24"/>
          <w:szCs w:val="24"/>
          <w:lang w:val="ka-GE"/>
        </w:rPr>
      </w:pPr>
    </w:p>
    <w:p w14:paraId="5FC21DD2" w14:textId="0692CAAE" w:rsidR="00DF0B16" w:rsidRPr="004D0299" w:rsidRDefault="00DF0B16"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1. სამკურნალო საშუალების დასახელება</w:t>
      </w:r>
    </w:p>
    <w:p w14:paraId="622CFCB8" w14:textId="677D7A89" w:rsidR="00DF0B16" w:rsidRPr="004D0299" w:rsidRDefault="00DF0B16" w:rsidP="004D0299">
      <w:pPr>
        <w:spacing w:after="0" w:line="276" w:lineRule="auto"/>
        <w:jc w:val="both"/>
        <w:rPr>
          <w:rFonts w:ascii="Sylfaen" w:hAnsi="Sylfaen"/>
          <w:sz w:val="24"/>
          <w:szCs w:val="24"/>
          <w:lang w:val="ka-GE"/>
        </w:rPr>
      </w:pPr>
      <w:r w:rsidRPr="004D0299">
        <w:rPr>
          <w:rFonts w:ascii="Sylfaen" w:hAnsi="Sylfaen"/>
          <w:sz w:val="24"/>
          <w:szCs w:val="24"/>
          <w:lang w:val="ka-GE"/>
        </w:rPr>
        <w:t>ტამოქსიფენი</w:t>
      </w:r>
    </w:p>
    <w:p w14:paraId="53D2CEBB" w14:textId="43F5688F" w:rsidR="00DF0B16" w:rsidRPr="004D0299" w:rsidRDefault="00DF0B16" w:rsidP="004D0299">
      <w:pPr>
        <w:spacing w:after="0" w:line="276" w:lineRule="auto"/>
        <w:jc w:val="both"/>
        <w:rPr>
          <w:rFonts w:ascii="Sylfaen" w:hAnsi="Sylfaen"/>
          <w:sz w:val="24"/>
          <w:szCs w:val="24"/>
          <w:lang w:val="ka-GE"/>
        </w:rPr>
      </w:pPr>
      <w:r w:rsidRPr="004D0299">
        <w:rPr>
          <w:rFonts w:ascii="Sylfaen" w:hAnsi="Sylfaen"/>
          <w:sz w:val="24"/>
          <w:szCs w:val="24"/>
          <w:lang w:val="ka-GE"/>
        </w:rPr>
        <w:t>20მგ</w:t>
      </w:r>
    </w:p>
    <w:p w14:paraId="38B90A65" w14:textId="77FBB77C" w:rsidR="00DF0B16" w:rsidRPr="004D0299" w:rsidRDefault="00DF0B16" w:rsidP="004D0299">
      <w:pPr>
        <w:spacing w:after="0" w:line="276" w:lineRule="auto"/>
        <w:jc w:val="both"/>
        <w:rPr>
          <w:rFonts w:ascii="Sylfaen" w:hAnsi="Sylfaen"/>
          <w:sz w:val="24"/>
          <w:szCs w:val="24"/>
          <w:lang w:val="ka-GE"/>
        </w:rPr>
      </w:pPr>
      <w:r w:rsidRPr="004D0299">
        <w:rPr>
          <w:rFonts w:ascii="Sylfaen" w:hAnsi="Sylfaen"/>
          <w:sz w:val="24"/>
          <w:szCs w:val="24"/>
          <w:lang w:val="ka-GE"/>
        </w:rPr>
        <w:t>აპკიანი გარსით დაფარული ტაბლეტები</w:t>
      </w:r>
    </w:p>
    <w:p w14:paraId="0EBB11C0" w14:textId="77A68317" w:rsidR="00DF0B16" w:rsidRPr="004D0299" w:rsidRDefault="00DF0B16"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2. თვისობრივი და რაოდენობრივი შემადგენლობა</w:t>
      </w:r>
    </w:p>
    <w:p w14:paraId="4A000270" w14:textId="719A2E0D" w:rsidR="00DF0B16" w:rsidRPr="004D0299" w:rsidRDefault="00DF0B16" w:rsidP="004D0299">
      <w:pPr>
        <w:spacing w:after="0" w:line="276" w:lineRule="auto"/>
        <w:jc w:val="both"/>
        <w:rPr>
          <w:rFonts w:ascii="Sylfaen" w:hAnsi="Sylfaen"/>
          <w:sz w:val="24"/>
          <w:szCs w:val="24"/>
          <w:lang w:val="ka-GE"/>
        </w:rPr>
      </w:pPr>
      <w:r w:rsidRPr="004D0299">
        <w:rPr>
          <w:rFonts w:ascii="Sylfaen" w:hAnsi="Sylfaen"/>
          <w:sz w:val="24"/>
          <w:szCs w:val="24"/>
          <w:lang w:val="ka-GE"/>
        </w:rPr>
        <w:t>თითოეული ტაბლეტი შეიცავს 30,4მგ ტამოქსიფენის ციტრატს, რაც 20მგ ტამოქსიფენის ექვივალენტურია.</w:t>
      </w:r>
    </w:p>
    <w:p w14:paraId="42E5997D" w14:textId="45CE0E9F" w:rsidR="00DF0B16" w:rsidRPr="004D0299" w:rsidRDefault="00DF0B16" w:rsidP="004D0299">
      <w:pPr>
        <w:spacing w:after="0" w:line="276" w:lineRule="auto"/>
        <w:jc w:val="both"/>
        <w:rPr>
          <w:rFonts w:ascii="Sylfaen" w:hAnsi="Sylfaen"/>
          <w:sz w:val="24"/>
          <w:szCs w:val="24"/>
          <w:lang w:val="ka-GE"/>
        </w:rPr>
      </w:pPr>
      <w:r w:rsidRPr="004D0299">
        <w:rPr>
          <w:rFonts w:ascii="Sylfaen" w:hAnsi="Sylfaen"/>
          <w:sz w:val="24"/>
          <w:szCs w:val="24"/>
          <w:lang w:val="ka-GE"/>
        </w:rPr>
        <w:t>დამხმარე ნივთიერებების სრული ჩამონათვალი მოყვანილია თავში 6.1</w:t>
      </w:r>
    </w:p>
    <w:p w14:paraId="0D13C5ED" w14:textId="75EBA902" w:rsidR="00DF0B16" w:rsidRPr="004D0299" w:rsidRDefault="00DF0B16"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3. წამლის ფორმა</w:t>
      </w:r>
    </w:p>
    <w:p w14:paraId="6CBFB141" w14:textId="31C95116" w:rsidR="00DF0B16" w:rsidRPr="004D0299" w:rsidRDefault="00DF0B16" w:rsidP="004D0299">
      <w:pPr>
        <w:spacing w:after="0" w:line="276" w:lineRule="auto"/>
        <w:jc w:val="both"/>
        <w:rPr>
          <w:rFonts w:ascii="Sylfaen" w:hAnsi="Sylfaen"/>
          <w:sz w:val="24"/>
          <w:szCs w:val="24"/>
          <w:lang w:val="ka-GE"/>
        </w:rPr>
      </w:pPr>
      <w:r w:rsidRPr="004D0299">
        <w:rPr>
          <w:rFonts w:ascii="Sylfaen" w:hAnsi="Sylfaen"/>
          <w:sz w:val="24"/>
          <w:szCs w:val="24"/>
          <w:lang w:val="ka-GE"/>
        </w:rPr>
        <w:t>აპკიანი გარსით დაფარული ტაბლეტები.</w:t>
      </w:r>
    </w:p>
    <w:p w14:paraId="13388BF1" w14:textId="53DAC818" w:rsidR="00DF0B16" w:rsidRPr="004D0299" w:rsidRDefault="00DF0B16" w:rsidP="004D0299">
      <w:pPr>
        <w:spacing w:after="0" w:line="276" w:lineRule="auto"/>
        <w:jc w:val="both"/>
        <w:rPr>
          <w:rFonts w:ascii="Sylfaen" w:hAnsi="Sylfaen"/>
          <w:sz w:val="24"/>
          <w:szCs w:val="24"/>
          <w:lang w:val="ka-GE"/>
        </w:rPr>
      </w:pPr>
      <w:r w:rsidRPr="004D0299">
        <w:rPr>
          <w:rFonts w:ascii="Sylfaen" w:hAnsi="Sylfaen"/>
          <w:sz w:val="24"/>
          <w:szCs w:val="24"/>
          <w:lang w:val="ka-GE"/>
        </w:rPr>
        <w:t>მრგვალი, ორმხრივამობურცული, ერთგვაროვანი თეთრი შეფერილობის, ცალ მხარეს გამყოფი ზოლით.</w:t>
      </w:r>
    </w:p>
    <w:p w14:paraId="0B3B31F0" w14:textId="52C5BE1F" w:rsidR="00DF0B16" w:rsidRPr="004D0299" w:rsidRDefault="00DF0B16"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4. კლინიკური მონაცემები</w:t>
      </w:r>
    </w:p>
    <w:p w14:paraId="071B8B2C" w14:textId="579FCEB1" w:rsidR="00DF0B16" w:rsidRPr="004D0299" w:rsidRDefault="00DF0B16"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4.1. გამოყენების ჩვენებები</w:t>
      </w:r>
    </w:p>
    <w:p w14:paraId="70B68491" w14:textId="77777777" w:rsidR="00DF0B16" w:rsidRPr="004D0299" w:rsidRDefault="00DF0B16" w:rsidP="004D0299">
      <w:pPr>
        <w:spacing w:after="0" w:line="276" w:lineRule="auto"/>
        <w:jc w:val="both"/>
        <w:rPr>
          <w:rFonts w:ascii="Sylfaen" w:hAnsi="Sylfaen"/>
          <w:sz w:val="24"/>
          <w:szCs w:val="24"/>
          <w:lang w:val="ka-GE"/>
        </w:rPr>
      </w:pPr>
      <w:r w:rsidRPr="004D0299">
        <w:rPr>
          <w:rFonts w:ascii="Sylfaen" w:hAnsi="Sylfaen"/>
          <w:sz w:val="24"/>
          <w:szCs w:val="24"/>
          <w:lang w:val="ka-GE"/>
        </w:rPr>
        <w:t>დამხმარე თერაპია სარძევე ჯირკვლის კიბოს პირველადი თერაპიის შემდეგ.</w:t>
      </w:r>
    </w:p>
    <w:p w14:paraId="28C92F8C" w14:textId="68650A9A" w:rsidR="00DF0B16" w:rsidRPr="004D0299" w:rsidRDefault="00DF0B16" w:rsidP="004D0299">
      <w:pPr>
        <w:spacing w:after="0" w:line="276" w:lineRule="auto"/>
        <w:jc w:val="both"/>
        <w:rPr>
          <w:rFonts w:ascii="Sylfaen" w:hAnsi="Sylfaen"/>
          <w:sz w:val="24"/>
          <w:szCs w:val="24"/>
          <w:lang w:val="ka-GE"/>
        </w:rPr>
      </w:pPr>
      <w:r w:rsidRPr="004D0299">
        <w:rPr>
          <w:rFonts w:ascii="Sylfaen" w:hAnsi="Sylfaen"/>
          <w:sz w:val="24"/>
          <w:szCs w:val="24"/>
          <w:lang w:val="ka-GE"/>
        </w:rPr>
        <w:t>სარძევე ჯირკვლის მეტასტაზური კიბო.</w:t>
      </w:r>
    </w:p>
    <w:p w14:paraId="0754A225" w14:textId="34FA1C5E" w:rsidR="00DF0B16" w:rsidRPr="004D0299" w:rsidRDefault="00DF0B16"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4.2. დოზირების რეჟიმი და გამოყენების წესი</w:t>
      </w:r>
    </w:p>
    <w:p w14:paraId="7A1F17DD" w14:textId="50782F0C" w:rsidR="00DF0B16" w:rsidRPr="004D0299" w:rsidRDefault="00DF0B16"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დოზირების რეჟიმი</w:t>
      </w:r>
    </w:p>
    <w:p w14:paraId="52FC94EA" w14:textId="77777777" w:rsidR="00DF0B16" w:rsidRPr="004D0299" w:rsidRDefault="00DF0B16" w:rsidP="004D0299">
      <w:pPr>
        <w:spacing w:after="0" w:line="276" w:lineRule="auto"/>
        <w:jc w:val="both"/>
        <w:rPr>
          <w:rFonts w:ascii="Sylfaen" w:hAnsi="Sylfaen"/>
          <w:sz w:val="24"/>
          <w:szCs w:val="24"/>
          <w:lang w:val="ka-GE"/>
        </w:rPr>
      </w:pPr>
      <w:r w:rsidRPr="004D0299">
        <w:rPr>
          <w:rFonts w:ascii="Sylfaen" w:hAnsi="Sylfaen"/>
          <w:sz w:val="24"/>
          <w:szCs w:val="24"/>
          <w:lang w:val="ka-GE"/>
        </w:rPr>
        <w:t>უმეტეს შემთხვევაში, ტამოქსიფენის დღიური დოზა 20-დან 40 მგ-მდე მერყეობს.</w:t>
      </w:r>
    </w:p>
    <w:p w14:paraId="2DB1C005" w14:textId="6CFB2A71" w:rsidR="00DF0B16" w:rsidRPr="004D0299" w:rsidRDefault="00DF0B16" w:rsidP="004D0299">
      <w:pPr>
        <w:spacing w:after="0" w:line="276" w:lineRule="auto"/>
        <w:jc w:val="both"/>
        <w:rPr>
          <w:rFonts w:ascii="Sylfaen" w:hAnsi="Sylfaen"/>
          <w:sz w:val="24"/>
          <w:szCs w:val="24"/>
          <w:lang w:val="ka-GE"/>
        </w:rPr>
      </w:pPr>
      <w:r w:rsidRPr="004D0299">
        <w:rPr>
          <w:rFonts w:ascii="Sylfaen" w:hAnsi="Sylfaen"/>
          <w:sz w:val="24"/>
          <w:szCs w:val="24"/>
          <w:lang w:val="ka-GE"/>
        </w:rPr>
        <w:t>როგორც წესი, ტამოქსიფენის 20 მგ დოზა საკმარისად ეფექტურია.</w:t>
      </w:r>
    </w:p>
    <w:p w14:paraId="7A982D5B" w14:textId="6E130818" w:rsidR="00DF0B16" w:rsidRPr="004D0299" w:rsidRDefault="00DF0B16" w:rsidP="004D0299">
      <w:pPr>
        <w:spacing w:after="0" w:line="276" w:lineRule="auto"/>
        <w:jc w:val="both"/>
        <w:rPr>
          <w:rFonts w:ascii="Sylfaen" w:hAnsi="Sylfaen"/>
          <w:sz w:val="24"/>
          <w:szCs w:val="24"/>
          <w:u w:val="single"/>
          <w:lang w:val="ka-GE"/>
        </w:rPr>
      </w:pPr>
      <w:r w:rsidRPr="004D0299">
        <w:rPr>
          <w:rFonts w:ascii="Sylfaen" w:hAnsi="Sylfaen"/>
          <w:sz w:val="24"/>
          <w:szCs w:val="24"/>
          <w:u w:val="single"/>
          <w:lang w:val="ka-GE"/>
        </w:rPr>
        <w:t>ბავშვები და მოზარდები</w:t>
      </w:r>
    </w:p>
    <w:p w14:paraId="6B2A6A4A" w14:textId="2C736207" w:rsidR="00DF0B16" w:rsidRPr="004D0299" w:rsidRDefault="00DF0B16" w:rsidP="004D0299">
      <w:pPr>
        <w:spacing w:after="0" w:line="276" w:lineRule="auto"/>
        <w:jc w:val="both"/>
        <w:rPr>
          <w:rFonts w:ascii="Sylfaen" w:hAnsi="Sylfaen"/>
          <w:sz w:val="24"/>
          <w:szCs w:val="24"/>
          <w:lang w:val="ka-GE"/>
        </w:rPr>
      </w:pPr>
      <w:r w:rsidRPr="004D0299">
        <w:rPr>
          <w:rFonts w:ascii="Sylfaen" w:hAnsi="Sylfaen"/>
          <w:sz w:val="24"/>
          <w:szCs w:val="24"/>
          <w:lang w:val="ka-GE"/>
        </w:rPr>
        <w:t>ტამოქსიფენი უკუნაჩვენებია ბავშვებისათვის (იხ.თავი 4.3)</w:t>
      </w:r>
    </w:p>
    <w:p w14:paraId="618463AF" w14:textId="742AF12D" w:rsidR="00DF0B16" w:rsidRPr="004D0299" w:rsidRDefault="00DF0B16"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გამოყენების წესი</w:t>
      </w:r>
    </w:p>
    <w:p w14:paraId="2DB96BAC" w14:textId="2BF6A2F1" w:rsidR="00DF0B16" w:rsidRPr="004D0299" w:rsidRDefault="00DF0B16" w:rsidP="004D0299">
      <w:pPr>
        <w:spacing w:after="0" w:line="276" w:lineRule="auto"/>
        <w:jc w:val="both"/>
        <w:rPr>
          <w:rFonts w:ascii="Sylfaen" w:hAnsi="Sylfaen"/>
          <w:sz w:val="24"/>
          <w:szCs w:val="24"/>
          <w:lang w:val="ka-GE"/>
        </w:rPr>
      </w:pPr>
      <w:r w:rsidRPr="004D0299">
        <w:rPr>
          <w:rFonts w:ascii="Sylfaen" w:hAnsi="Sylfaen"/>
          <w:sz w:val="24"/>
          <w:szCs w:val="24"/>
          <w:lang w:val="ka-GE"/>
        </w:rPr>
        <w:t>შიგნით მისაღებად. ტამოქსიფენის ტაბლეტები მიიღება მთლიანად, ჭამის დროს, საკმარისი რაოდენობის სითხის დაყოლებით (მაგ., ერთი ჭიქა წყალი).</w:t>
      </w:r>
    </w:p>
    <w:p w14:paraId="2E733AFE" w14:textId="2FD5B452" w:rsidR="00DF0B16" w:rsidRPr="004D0299" w:rsidRDefault="00DF0B16" w:rsidP="004D0299">
      <w:pPr>
        <w:spacing w:after="0" w:line="276" w:lineRule="auto"/>
        <w:jc w:val="both"/>
        <w:rPr>
          <w:rFonts w:ascii="Sylfaen" w:hAnsi="Sylfaen"/>
          <w:sz w:val="24"/>
          <w:szCs w:val="24"/>
          <w:lang w:val="ka-GE"/>
        </w:rPr>
      </w:pPr>
      <w:r w:rsidRPr="004D0299">
        <w:rPr>
          <w:rFonts w:ascii="Sylfaen" w:hAnsi="Sylfaen"/>
          <w:sz w:val="24"/>
          <w:szCs w:val="24"/>
          <w:lang w:val="ka-GE"/>
        </w:rPr>
        <w:t>ტამოქსიფენით მკურნალობა, როგორც წესი, ხანგრძლივია და უნდა ჩატარდეს გამოცდილი ონკოლოგის მეთვალყურეობის ქვეშ.</w:t>
      </w:r>
    </w:p>
    <w:p w14:paraId="34736D2E" w14:textId="722DE6EC" w:rsidR="00DF0B16" w:rsidRPr="004D0299" w:rsidRDefault="00DF0B16" w:rsidP="004D0299">
      <w:pPr>
        <w:spacing w:after="0" w:line="276" w:lineRule="auto"/>
        <w:jc w:val="both"/>
        <w:rPr>
          <w:rFonts w:ascii="Sylfaen" w:hAnsi="Sylfaen"/>
          <w:sz w:val="24"/>
          <w:szCs w:val="24"/>
          <w:lang w:val="ka-GE"/>
        </w:rPr>
      </w:pPr>
      <w:r w:rsidRPr="004D0299">
        <w:rPr>
          <w:rFonts w:ascii="Sylfaen" w:hAnsi="Sylfaen"/>
          <w:sz w:val="24"/>
          <w:szCs w:val="24"/>
          <w:lang w:val="ka-GE"/>
        </w:rPr>
        <w:t>ჰორმონ-რეცეპტორ-დადებითი სარძევე ჯირკვლის კიბოს ადრეული სტადიის ადიუვანტური თერაპიისთვის თერაპიის რეკომენდებული ხანგრძლივობა შეადგენს მინიმუმ 5 წელს. ტამოქსიფენით თერაპიის ოპტიმალური ხანგრძლივობა ჯერ კიდევ შესწავლის პროცესშია.</w:t>
      </w:r>
    </w:p>
    <w:p w14:paraId="6600CF2A" w14:textId="1F57E7C8" w:rsidR="00834735" w:rsidRPr="004D0299" w:rsidRDefault="00834735"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4.3. უკუჩვენებები</w:t>
      </w:r>
    </w:p>
    <w:p w14:paraId="0A63B88E" w14:textId="6C6129C3" w:rsidR="00834735" w:rsidRPr="004D0299" w:rsidRDefault="00834735" w:rsidP="004D0299">
      <w:pPr>
        <w:pStyle w:val="ListParagraph"/>
        <w:numPr>
          <w:ilvl w:val="0"/>
          <w:numId w:val="2"/>
        </w:numPr>
        <w:spacing w:after="0" w:line="276" w:lineRule="auto"/>
        <w:jc w:val="both"/>
        <w:rPr>
          <w:rFonts w:ascii="Sylfaen" w:hAnsi="Sylfaen"/>
          <w:sz w:val="24"/>
          <w:szCs w:val="24"/>
          <w:lang w:val="ka-GE"/>
        </w:rPr>
      </w:pPr>
      <w:r w:rsidRPr="004D0299">
        <w:rPr>
          <w:rFonts w:ascii="Sylfaen" w:hAnsi="Sylfaen"/>
          <w:sz w:val="24"/>
          <w:szCs w:val="24"/>
          <w:lang w:val="ka-GE"/>
        </w:rPr>
        <w:t>მომატებული მგრძნობელობა ტამოქსიფენის მოქმედი ნივთიერების ან თავი 6.1-ში ჩამოთვლილი ნებისმიერი დამხმარე ნივთიერების მიმართ.</w:t>
      </w:r>
    </w:p>
    <w:p w14:paraId="668C0F5B" w14:textId="11AF2D18" w:rsidR="00834735" w:rsidRPr="004D0299" w:rsidRDefault="00834735" w:rsidP="004D0299">
      <w:pPr>
        <w:pStyle w:val="ListParagraph"/>
        <w:numPr>
          <w:ilvl w:val="0"/>
          <w:numId w:val="2"/>
        </w:numPr>
        <w:spacing w:after="0" w:line="276" w:lineRule="auto"/>
        <w:jc w:val="both"/>
        <w:rPr>
          <w:rFonts w:ascii="Sylfaen" w:hAnsi="Sylfaen"/>
          <w:sz w:val="24"/>
          <w:szCs w:val="24"/>
          <w:lang w:val="ka-GE"/>
        </w:rPr>
      </w:pPr>
      <w:r w:rsidRPr="004D0299">
        <w:rPr>
          <w:rFonts w:ascii="Sylfaen" w:hAnsi="Sylfaen"/>
          <w:sz w:val="24"/>
          <w:szCs w:val="24"/>
          <w:lang w:val="ka-GE"/>
        </w:rPr>
        <w:t>ბავშვები და მოზარდები.</w:t>
      </w:r>
    </w:p>
    <w:p w14:paraId="29816971" w14:textId="0861B323" w:rsidR="00834735" w:rsidRPr="004D0299" w:rsidRDefault="00834735" w:rsidP="004D0299">
      <w:pPr>
        <w:pStyle w:val="ListParagraph"/>
        <w:numPr>
          <w:ilvl w:val="0"/>
          <w:numId w:val="2"/>
        </w:numPr>
        <w:spacing w:after="0" w:line="276" w:lineRule="auto"/>
        <w:jc w:val="both"/>
        <w:rPr>
          <w:rFonts w:ascii="Sylfaen" w:hAnsi="Sylfaen"/>
          <w:sz w:val="24"/>
          <w:szCs w:val="24"/>
          <w:lang w:val="ka-GE"/>
        </w:rPr>
      </w:pPr>
      <w:r w:rsidRPr="004D0299">
        <w:rPr>
          <w:rFonts w:ascii="Sylfaen" w:hAnsi="Sylfaen"/>
          <w:sz w:val="24"/>
          <w:szCs w:val="24"/>
          <w:lang w:val="ka-GE"/>
        </w:rPr>
        <w:t>ორსულობა.</w:t>
      </w:r>
    </w:p>
    <w:p w14:paraId="2721E8C8" w14:textId="7A6B2462" w:rsidR="00834735" w:rsidRPr="004D0299" w:rsidRDefault="00834735"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4.4. განსაკუთრებული მითითებები და სიფრთხილის ზომები გამოყენებისას</w:t>
      </w:r>
    </w:p>
    <w:p w14:paraId="7B5FAB26" w14:textId="02354DC7" w:rsidR="00834735" w:rsidRPr="004D0299" w:rsidRDefault="00834735" w:rsidP="004D0299">
      <w:pPr>
        <w:spacing w:after="0" w:line="276" w:lineRule="auto"/>
        <w:jc w:val="both"/>
        <w:rPr>
          <w:rFonts w:ascii="Sylfaen" w:hAnsi="Sylfaen"/>
          <w:sz w:val="24"/>
          <w:szCs w:val="24"/>
          <w:lang w:val="ka-GE"/>
        </w:rPr>
      </w:pPr>
      <w:r w:rsidRPr="004D0299">
        <w:rPr>
          <w:rFonts w:ascii="Sylfaen" w:hAnsi="Sylfaen"/>
          <w:sz w:val="24"/>
          <w:szCs w:val="24"/>
          <w:lang w:val="ka-GE"/>
        </w:rPr>
        <w:lastRenderedPageBreak/>
        <w:t>მძიმე თრომბოციტოპენიის, ლეიკოპენიის ან ჰიპერკალციემიის შემთხვევებში საჭიროა ინდივიდუალური რისკისა და სარგებლის შეფასება და მჭიდრო სამედიცინო მონიტორინგი.</w:t>
      </w:r>
    </w:p>
    <w:p w14:paraId="51F58570" w14:textId="12E0B823" w:rsidR="00834735" w:rsidRPr="004D0299" w:rsidRDefault="00834735" w:rsidP="004D0299">
      <w:pPr>
        <w:spacing w:after="0" w:line="276" w:lineRule="auto"/>
        <w:jc w:val="both"/>
        <w:rPr>
          <w:rFonts w:ascii="Sylfaen" w:hAnsi="Sylfaen"/>
          <w:sz w:val="24"/>
          <w:szCs w:val="24"/>
          <w:lang w:val="ka-GE"/>
        </w:rPr>
      </w:pPr>
      <w:r w:rsidRPr="004D0299">
        <w:rPr>
          <w:rFonts w:ascii="Sylfaen" w:hAnsi="Sylfaen"/>
          <w:sz w:val="24"/>
          <w:szCs w:val="24"/>
          <w:lang w:val="ka-GE"/>
        </w:rPr>
        <w:t>ტამოქსიფენით თერაპიის დროს რეგულარულად უნდა გაკონტროლდეს სისხლის სურათი (განსაკუთრებით თრომბოციტები), ღვიძლის ფუნქცია და შრატში კალციუმის დონე. ასევე რეკომენდებულია ტრიგლიცერიდების დონის მონიტორინგი.</w:t>
      </w:r>
    </w:p>
    <w:p w14:paraId="5204D069" w14:textId="23C8C222" w:rsidR="00834735" w:rsidRPr="004D0299" w:rsidRDefault="00834735" w:rsidP="004D0299">
      <w:pPr>
        <w:spacing w:after="0" w:line="276" w:lineRule="auto"/>
        <w:jc w:val="both"/>
        <w:rPr>
          <w:rFonts w:ascii="Sylfaen" w:hAnsi="Sylfaen"/>
          <w:sz w:val="24"/>
          <w:szCs w:val="24"/>
          <w:lang w:val="ka-GE"/>
        </w:rPr>
      </w:pPr>
      <w:r w:rsidRPr="004D0299">
        <w:rPr>
          <w:rFonts w:ascii="Sylfaen" w:hAnsi="Sylfaen"/>
          <w:sz w:val="24"/>
          <w:szCs w:val="24"/>
          <w:lang w:val="ka-GE"/>
        </w:rPr>
        <w:t>ტამოქსიფენით თერაპიის ფონზე ენდომეტრიუმის კიბოს და საშვილოსნოს სარკომის (პირველ რიგში ავთვისებიანი მიულერის შერეული სიმსივნეები) განვითარების გაზრდილი რისკის გამო, აუცილებელია პოსტმენოპაუზური ვაგინალური სისხლდენის, ასევე პრემენოპაუზურ პერიოდში არარეგულარული მენსტრუალური სისხლდენის ეტიოლოგიის გარკვევა. გამომწვევი მექანიზმი უცნობია; შესაძლოა, ის ტამოქსიფენის ესტროგენის მსგავს ეფექტს უკავშირდებოდეს. ყველა პაციენტი, რომელიც ამჟამად იღებს ან ადრე იღებდა ტამოქსიფენს და უჩივის გინეკოლოგიურ დარღვევებს, განსაკუთრებით ვაგინალურ სისხლდენას, დაუყოვნებლივ უნდა იქნას გამოკვლეული.</w:t>
      </w:r>
    </w:p>
    <w:p w14:paraId="67CC5602" w14:textId="4F11F675" w:rsidR="00834735" w:rsidRPr="004D0299" w:rsidRDefault="00834735" w:rsidP="004D0299">
      <w:pPr>
        <w:spacing w:after="0" w:line="276" w:lineRule="auto"/>
        <w:jc w:val="both"/>
        <w:rPr>
          <w:rFonts w:ascii="Sylfaen" w:hAnsi="Sylfaen"/>
          <w:sz w:val="24"/>
          <w:szCs w:val="24"/>
          <w:lang w:val="ka-GE"/>
        </w:rPr>
      </w:pPr>
      <w:r w:rsidRPr="004D0299">
        <w:rPr>
          <w:rFonts w:ascii="Sylfaen" w:hAnsi="Sylfaen"/>
          <w:sz w:val="24"/>
          <w:szCs w:val="24"/>
          <w:lang w:val="ka-GE"/>
        </w:rPr>
        <w:t>პაციენტებმა, რომლებსაც არ აქვთ ჩატარებული ჰისტერექტომია, ენდომეტრიუმის ცვლილებების გამოსავლენად, ესაჭიროებათ ყოველწლიური გინეკოლოგიური გამოკვლევა. სიმსივნის მეტასტაზების მქონე პაციენტებისთვის, შემდგომი გამოკვლევების სიხშირეს ექიმი განსაზღვრავს.</w:t>
      </w:r>
    </w:p>
    <w:p w14:paraId="7F28B6E6" w14:textId="715696EC" w:rsidR="00834735" w:rsidRPr="004D0299" w:rsidRDefault="00834735" w:rsidP="004D0299">
      <w:pPr>
        <w:spacing w:after="0" w:line="276" w:lineRule="auto"/>
        <w:jc w:val="both"/>
        <w:rPr>
          <w:rFonts w:ascii="Sylfaen" w:hAnsi="Sylfaen"/>
          <w:sz w:val="24"/>
          <w:szCs w:val="24"/>
          <w:lang w:val="ka-GE"/>
        </w:rPr>
      </w:pPr>
      <w:r w:rsidRPr="004D0299">
        <w:rPr>
          <w:rFonts w:ascii="Sylfaen" w:hAnsi="Sylfaen"/>
          <w:sz w:val="24"/>
          <w:szCs w:val="24"/>
          <w:lang w:val="ka-GE"/>
        </w:rPr>
        <w:t xml:space="preserve">პრემენოპაუზურ ქალებში, რომლებიც იღებენ ტამოქსიფენს სარძევე ჯირკვლის კიბოს სამკურნალოდ, ამ პრეპარატმა შეიძლება დათრგუნოს მენსტრუაცია (იხილეთ </w:t>
      </w:r>
      <w:r w:rsidR="00962DEB" w:rsidRPr="004D0299">
        <w:rPr>
          <w:rFonts w:ascii="Sylfaen" w:hAnsi="Sylfaen"/>
          <w:sz w:val="24"/>
          <w:szCs w:val="24"/>
          <w:lang w:val="ka-GE"/>
        </w:rPr>
        <w:t xml:space="preserve">თავი </w:t>
      </w:r>
      <w:r w:rsidRPr="004D0299">
        <w:rPr>
          <w:rFonts w:ascii="Sylfaen" w:hAnsi="Sylfaen"/>
          <w:sz w:val="24"/>
          <w:szCs w:val="24"/>
          <w:lang w:val="ka-GE"/>
        </w:rPr>
        <w:t>4.8).</w:t>
      </w:r>
    </w:p>
    <w:p w14:paraId="21E8D233" w14:textId="5048EA32" w:rsidR="00962DEB" w:rsidRPr="004D0299" w:rsidRDefault="00962DEB" w:rsidP="004D0299">
      <w:pPr>
        <w:spacing w:after="0" w:line="276" w:lineRule="auto"/>
        <w:jc w:val="both"/>
        <w:rPr>
          <w:rFonts w:ascii="Sylfaen" w:hAnsi="Sylfaen"/>
          <w:sz w:val="24"/>
          <w:szCs w:val="24"/>
          <w:lang w:val="ka-GE"/>
        </w:rPr>
      </w:pPr>
      <w:r w:rsidRPr="004D0299">
        <w:rPr>
          <w:rFonts w:ascii="Sylfaen" w:hAnsi="Sylfaen"/>
          <w:sz w:val="24"/>
          <w:szCs w:val="24"/>
          <w:lang w:val="ka-GE"/>
        </w:rPr>
        <w:t>ტამოქსიფენით თერაპიის დაწყებამდე უნდა ჩატარდეს ოფთალმოლოგიური გამოკვლევა. თუ ტამოქსიფენით მკურნალობის დროს განვითარდება მხედველობის დარღვევები (კატარაქტა და რეტინოპათია), დაუყოვნებლივ უნდა ჩატარდეს ოფთალმოლოგიური გამოკვლევა, ვინაიდან ზოგიერთი ეს დარღვევა, ადრეული გამოვლენის შემთხვევაში, შეიძლება მკურნალობის შეწყვეტის შემდეგ გაქრეს.</w:t>
      </w:r>
    </w:p>
    <w:p w14:paraId="184D6180" w14:textId="394F422B" w:rsidR="00962DEB" w:rsidRPr="004D0299" w:rsidRDefault="00962DEB" w:rsidP="004D0299">
      <w:pPr>
        <w:spacing w:after="0" w:line="276" w:lineRule="auto"/>
        <w:jc w:val="both"/>
        <w:rPr>
          <w:rFonts w:ascii="Sylfaen" w:hAnsi="Sylfaen"/>
          <w:sz w:val="24"/>
          <w:szCs w:val="24"/>
          <w:lang w:val="ka-GE"/>
        </w:rPr>
      </w:pPr>
      <w:r w:rsidRPr="004D0299">
        <w:rPr>
          <w:rFonts w:ascii="Sylfaen" w:hAnsi="Sylfaen"/>
          <w:sz w:val="24"/>
          <w:szCs w:val="24"/>
          <w:lang w:val="ka-GE"/>
        </w:rPr>
        <w:t>ტამოქსიფენის მიმღები სარძევე ჯირკვლის კიბოთი დაავადებული პაციენტების კლინიკურ კვლევებში აღწერილია სხვა ორგანოებში (ენდომეტრიუმის გარეთ და კონტრალატერალური სარძევე ჯირკვლის გარეთ) მეორე პირველადი სიმსივნეების ცალკეული შემთხვევები. პრეპარატთან მიზეზობრივი კავშირი დადგენილი არ არის, ამიტომ ამ მონაცემების კლინიკური მნიშვნელობა გაურკვეველია.</w:t>
      </w:r>
    </w:p>
    <w:p w14:paraId="30AA3DBE" w14:textId="2C52D707" w:rsidR="00962DEB" w:rsidRPr="004D0299" w:rsidRDefault="00962DEB" w:rsidP="004D0299">
      <w:pPr>
        <w:spacing w:after="0" w:line="276" w:lineRule="auto"/>
        <w:jc w:val="both"/>
        <w:rPr>
          <w:rFonts w:ascii="Sylfaen" w:hAnsi="Sylfaen"/>
          <w:sz w:val="24"/>
          <w:szCs w:val="24"/>
          <w:lang w:val="ka-GE"/>
        </w:rPr>
      </w:pPr>
      <w:r w:rsidRPr="004D0299">
        <w:rPr>
          <w:rFonts w:ascii="Sylfaen" w:hAnsi="Sylfaen"/>
          <w:sz w:val="24"/>
          <w:szCs w:val="24"/>
          <w:lang w:val="ka-GE"/>
        </w:rPr>
        <w:t>დაგვიანებული მიკროქირურგიული სარძევე ჯირკვლის რეკონსტრუქციის დროს, ტამოქსიფენმა შეიძლება გაზარდოს მიკროვასკულური გართულებების რისკი გადანერგილი ქსოვილების ადგილებში.</w:t>
      </w:r>
    </w:p>
    <w:p w14:paraId="010FFFE3" w14:textId="64041F98" w:rsidR="00962DEB" w:rsidRPr="004D0299" w:rsidRDefault="00962DEB" w:rsidP="004D0299">
      <w:pPr>
        <w:spacing w:after="0" w:line="276" w:lineRule="auto"/>
        <w:jc w:val="both"/>
        <w:rPr>
          <w:rFonts w:ascii="Sylfaen" w:hAnsi="Sylfaen"/>
          <w:sz w:val="24"/>
          <w:szCs w:val="24"/>
          <w:lang w:val="ka-GE"/>
        </w:rPr>
      </w:pPr>
      <w:r w:rsidRPr="004D0299">
        <w:rPr>
          <w:rFonts w:ascii="Sylfaen" w:hAnsi="Sylfaen"/>
          <w:sz w:val="24"/>
          <w:szCs w:val="24"/>
          <w:lang w:val="ka-GE"/>
        </w:rPr>
        <w:t>სამედიცინო ლიტერატურაში გამოქვეყნებული მონაცემები მიუთითებს, რომ CYP2D6 იზოენზიმის სუსტ მეტაბოლიზატორებს აქვთ ენდოქსიფენის, ტამოქსიფენის ერთ-ერთი ყველაზე მნიშვნელოვანი აქტიური მეტაბოლიტის, უფრო დაბალი პლაზმური კონცენტრაციები (იხ. თავი 5.2).</w:t>
      </w:r>
    </w:p>
    <w:p w14:paraId="0D3CF24C" w14:textId="67A047B9" w:rsidR="00962DEB" w:rsidRPr="004D0299" w:rsidRDefault="00962DEB" w:rsidP="004D0299">
      <w:pPr>
        <w:spacing w:after="0" w:line="276" w:lineRule="auto"/>
        <w:jc w:val="both"/>
        <w:rPr>
          <w:rFonts w:ascii="Sylfaen" w:hAnsi="Sylfaen"/>
          <w:sz w:val="24"/>
          <w:szCs w:val="24"/>
          <w:lang w:val="ka-GE"/>
        </w:rPr>
      </w:pPr>
      <w:r w:rsidRPr="004D0299">
        <w:rPr>
          <w:rFonts w:ascii="Sylfaen" w:hAnsi="Sylfaen"/>
          <w:sz w:val="24"/>
          <w:szCs w:val="24"/>
          <w:lang w:val="ka-GE"/>
        </w:rPr>
        <w:t xml:space="preserve">CYP2D6 ინჰიბიტორების ერთდროულმა მიღებამ შეიძლება გამოიწვიოს ენდოქსიფენის აქტიური მეტაბოლიტის კონცენტრაციის შემცირება. ამიტომ, ტამოქსიფენით მკურნალობის დროს, შეძლებისდაგვარად, თავი უნდა აარიდოთ ძლიერი CYP2D6 </w:t>
      </w:r>
      <w:r w:rsidRPr="004D0299">
        <w:rPr>
          <w:rFonts w:ascii="Sylfaen" w:hAnsi="Sylfaen"/>
          <w:sz w:val="24"/>
          <w:szCs w:val="24"/>
          <w:lang w:val="ka-GE"/>
        </w:rPr>
        <w:lastRenderedPageBreak/>
        <w:t>ინჰიბიტორების (როგორიცაა პაროქსეტინი, ფლუოქსეტინი, ქინიდინი, ცინაკალცეტი ან ბუპროპიონი) ერთდროულ გამოყენებას (იხ. თავები 4.5 და 5.2).</w:t>
      </w:r>
    </w:p>
    <w:p w14:paraId="0AEC76ED" w14:textId="1904FE6A" w:rsidR="00962DEB" w:rsidRPr="004D0299" w:rsidRDefault="00962DEB"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ბავშვები და მოზარდები</w:t>
      </w:r>
    </w:p>
    <w:p w14:paraId="6FA0E8DE" w14:textId="4BEBBF28" w:rsidR="00962DEB" w:rsidRPr="004D0299" w:rsidRDefault="00962DEB" w:rsidP="004D0299">
      <w:pPr>
        <w:spacing w:after="0" w:line="276" w:lineRule="auto"/>
        <w:jc w:val="both"/>
        <w:rPr>
          <w:rFonts w:ascii="Sylfaen" w:hAnsi="Sylfaen"/>
          <w:noProof/>
          <w:sz w:val="24"/>
          <w:szCs w:val="24"/>
          <w:lang w:val="ka-GE"/>
        </w:rPr>
      </w:pPr>
      <w:r w:rsidRPr="004D0299">
        <w:rPr>
          <w:rFonts w:ascii="Sylfaen" w:hAnsi="Sylfaen"/>
          <w:sz w:val="24"/>
          <w:szCs w:val="24"/>
          <w:lang w:val="ka-GE"/>
        </w:rPr>
        <w:t xml:space="preserve">არაკონტროლირებად კვლევაში, რომელშიც მაკ კიუნ-ოლბრაიტის სინდრომის მქონე </w:t>
      </w:r>
      <w:r w:rsidR="00A30A52" w:rsidRPr="004D0299">
        <w:rPr>
          <w:rFonts w:ascii="Sylfaen" w:hAnsi="Sylfaen"/>
          <w:sz w:val="24"/>
          <w:szCs w:val="24"/>
          <w:lang w:val="ka-GE"/>
        </w:rPr>
        <w:t>2-10 წლის ასაკის 2</w:t>
      </w:r>
      <w:r w:rsidRPr="004D0299">
        <w:rPr>
          <w:rFonts w:ascii="Sylfaen" w:hAnsi="Sylfaen"/>
          <w:sz w:val="24"/>
          <w:szCs w:val="24"/>
          <w:lang w:val="ka-GE"/>
        </w:rPr>
        <w:t xml:space="preserve">8 გოგონა მონაწილეობდა, და რომლებიც 12 თვის განმავლობაში დღეში ერთხელ იღებდნენ 20 მგ ტამოქსიფენს, საშვილოსნოს საშუალო მოცულობა გაიზარდა 6 თვის მკურნალობის შემდეგ და გაორმაგდა 1-წლიანი კვლევის ბოლოს. მიუხედავად იმისა, რომ ეს მონაცემები შეესაბამება ტამოქსიფენის ფარმაკოდინამიკურ თვისებებს, მიზეზობრივი </w:t>
      </w:r>
      <w:r w:rsidRPr="004D0299">
        <w:rPr>
          <w:rFonts w:ascii="Sylfaen" w:hAnsi="Sylfaen"/>
          <w:noProof/>
          <w:sz w:val="24"/>
          <w:szCs w:val="24"/>
          <w:lang w:val="ka-GE"/>
        </w:rPr>
        <w:t xml:space="preserve">კავშირი დადგენილი არ არის (იხ. </w:t>
      </w:r>
      <w:r w:rsidR="00A30A52" w:rsidRPr="004D0299">
        <w:rPr>
          <w:rFonts w:ascii="Sylfaen" w:hAnsi="Sylfaen"/>
          <w:noProof/>
          <w:sz w:val="24"/>
          <w:szCs w:val="24"/>
          <w:lang w:val="ka-GE"/>
        </w:rPr>
        <w:t>თავი</w:t>
      </w:r>
      <w:r w:rsidRPr="004D0299">
        <w:rPr>
          <w:rFonts w:ascii="Sylfaen" w:hAnsi="Sylfaen"/>
          <w:noProof/>
          <w:sz w:val="24"/>
          <w:szCs w:val="24"/>
          <w:lang w:val="ka-GE"/>
        </w:rPr>
        <w:t xml:space="preserve"> 5.1).</w:t>
      </w:r>
    </w:p>
    <w:p w14:paraId="1E4C6F98" w14:textId="491B5DF9" w:rsidR="00A30A52" w:rsidRPr="004D0299" w:rsidRDefault="00A30A52" w:rsidP="004D0299">
      <w:pPr>
        <w:spacing w:after="0" w:line="276" w:lineRule="auto"/>
        <w:jc w:val="both"/>
        <w:rPr>
          <w:rFonts w:ascii="Sylfaen" w:hAnsi="Sylfaen"/>
          <w:noProof/>
          <w:sz w:val="24"/>
          <w:szCs w:val="24"/>
          <w:lang w:val="ka-GE"/>
        </w:rPr>
      </w:pPr>
      <w:r w:rsidRPr="004D0299">
        <w:rPr>
          <w:rFonts w:ascii="Sylfaen" w:hAnsi="Sylfaen"/>
          <w:noProof/>
          <w:sz w:val="24"/>
          <w:szCs w:val="24"/>
          <w:lang w:val="ka-GE"/>
        </w:rPr>
        <w:t>ტამოქსიფენის გამოყენებასთან დაკავშირებით დაფიქსირებულია მძიმე კანის რეაქციები, მათ შორის სტივენს-ჯონსონის სინდრომი და ტოქსიკური ეპიდერმული ნეკროლიზი, რომლებიც შეიძლება სიცოცხლისთვის საშიში ან ლეტალური იყოს. პრეპარატის დანიშვნისას აუცილებელია პაციენტების სათანადოდ ინფორმირება ასეთი კანის რეაქციების ნიშნებისა და სიმპტომების შესახებ, ასევე მათი გულდასმით მონიტორინგი. ისეთი ნიშნებისა და სიმპტომების გამოვლენის შემთხვევაში, რაც მიუთითებს აღნიშნულ რეაქციებზე,  დაუყოვნებლივ უნდა შეწყდეს ტამოქსიფენის მიღება და განხილულ იქნას ალტერნატიული თერაპია (საჭიროების შემთხვევაში). თუ პაციენტს ტამოქსიფენით მკურნალობის ფონზე განუვითარდა ისეთი სერიოზული რეაქცია, როგორიცაა სტივენს-ჯონსონის სინდრომი ან ტოქსიკური ეპიდერმული ნეკროლიზი, პრეპარატის მიღება უნდა შეწყდეს და ამ პაციენტისთვის მომავალში აღარასოდეს იქნას გამოყენებული.</w:t>
      </w:r>
    </w:p>
    <w:p w14:paraId="2E114197" w14:textId="1BF586D8" w:rsidR="00A30A52" w:rsidRPr="004D0299" w:rsidRDefault="00A30A52" w:rsidP="004D0299">
      <w:pPr>
        <w:spacing w:after="0" w:line="276" w:lineRule="auto"/>
        <w:jc w:val="both"/>
        <w:rPr>
          <w:rFonts w:ascii="Sylfaen" w:hAnsi="Sylfaen"/>
          <w:sz w:val="24"/>
          <w:szCs w:val="24"/>
          <w:lang w:val="ka-GE"/>
        </w:rPr>
      </w:pPr>
      <w:r w:rsidRPr="004D0299">
        <w:rPr>
          <w:rFonts w:ascii="Sylfaen" w:hAnsi="Sylfaen"/>
          <w:sz w:val="24"/>
          <w:szCs w:val="24"/>
          <w:lang w:val="ka-GE"/>
        </w:rPr>
        <w:t>მემკვიდრეობითი ანგიონევროზული შეშუპების მქონე პაციენტებში ტამოქსიფენმა შეიძლება გამოიწვიოს ან გააუარესოს სიმპტომები.</w:t>
      </w:r>
    </w:p>
    <w:p w14:paraId="3542BADA" w14:textId="25E735F6" w:rsidR="00A30A52" w:rsidRPr="004D0299" w:rsidRDefault="00A30A52" w:rsidP="004D0299">
      <w:pPr>
        <w:spacing w:after="0" w:line="276" w:lineRule="auto"/>
        <w:jc w:val="both"/>
        <w:rPr>
          <w:rFonts w:ascii="Sylfaen" w:hAnsi="Sylfaen"/>
          <w:sz w:val="24"/>
          <w:szCs w:val="24"/>
          <w:lang w:val="ka-GE"/>
        </w:rPr>
      </w:pPr>
      <w:r w:rsidRPr="004D0299">
        <w:rPr>
          <w:rFonts w:ascii="Sylfaen" w:hAnsi="Sylfaen"/>
          <w:sz w:val="24"/>
          <w:szCs w:val="24"/>
          <w:lang w:val="ka-GE"/>
        </w:rPr>
        <w:t>ტამოქსიფენმა შეიძლება დადებითი შედეგები აჩვენოს დოპინგ-ტესტებში. ტამოქსიფენის, როგორც დოპინგის საშუალების გამოყენება შეიძლება საშიში იყოს თქვენი ჯანმრთელობისთვის.</w:t>
      </w:r>
    </w:p>
    <w:p w14:paraId="6DDD18C4" w14:textId="77777777" w:rsidR="00A30A52" w:rsidRPr="004D0299" w:rsidRDefault="00A30A52" w:rsidP="004D0299">
      <w:pPr>
        <w:spacing w:after="0" w:line="276" w:lineRule="auto"/>
        <w:jc w:val="both"/>
        <w:rPr>
          <w:rFonts w:ascii="Sylfaen" w:hAnsi="Sylfaen"/>
          <w:sz w:val="24"/>
          <w:szCs w:val="24"/>
          <w:lang w:val="ka-GE"/>
        </w:rPr>
      </w:pPr>
      <w:r w:rsidRPr="004D0299">
        <w:rPr>
          <w:rFonts w:ascii="Sylfaen" w:hAnsi="Sylfaen"/>
          <w:sz w:val="24"/>
          <w:szCs w:val="24"/>
          <w:lang w:val="ka-GE"/>
        </w:rPr>
        <w:t>პრეპარატი შეიცავს ლაქტოზას. იგი არ უნდა მიიღონ პაციენტებმა ისეთი იშვიათი მემკვიდრეობითი დარღვევების შემთხვევაში, როგორიცაა გალაქტოზის აუტანლობა, ლაქტაზის დეფიციტი ან გლუკოზა-გალაქტოზის მალაბსორბციის სინდრომი.</w:t>
      </w:r>
    </w:p>
    <w:p w14:paraId="560C002D" w14:textId="5A64FED3" w:rsidR="00A30A52" w:rsidRPr="004D0299" w:rsidRDefault="00A30A52" w:rsidP="004D0299">
      <w:pPr>
        <w:spacing w:after="0" w:line="276" w:lineRule="auto"/>
        <w:jc w:val="both"/>
        <w:rPr>
          <w:rFonts w:ascii="Sylfaen" w:hAnsi="Sylfaen"/>
          <w:sz w:val="24"/>
          <w:szCs w:val="24"/>
          <w:lang w:val="ka-GE"/>
        </w:rPr>
      </w:pPr>
      <w:r w:rsidRPr="004D0299">
        <w:rPr>
          <w:rFonts w:ascii="Sylfaen" w:hAnsi="Sylfaen"/>
          <w:sz w:val="24"/>
          <w:szCs w:val="24"/>
          <w:lang w:val="ka-GE"/>
        </w:rPr>
        <w:t>პრეპარატი შეიცავს ნატრიუმს - თითოეულ ტაბლეტში 1 მმოლზე (23 მგ) ნაკლები რაოდენობით, შესაბამისად  შეიძლება ჩაითვალოს რომ იგი თავისუფალია ნატრიუმისგან.</w:t>
      </w:r>
    </w:p>
    <w:p w14:paraId="6F90D591" w14:textId="67B05D7E" w:rsidR="00A30A52" w:rsidRPr="004D0299" w:rsidRDefault="00A30A52"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4.5. ურთიერთქმედება სხვა სამკურნალო საშუალებებთან და ურთიერთქმედების სხვა ფორმები</w:t>
      </w:r>
    </w:p>
    <w:p w14:paraId="73FF98EA" w14:textId="4D08AD96" w:rsidR="00A30A52" w:rsidRPr="004D0299" w:rsidRDefault="00A30A52" w:rsidP="004D0299">
      <w:pPr>
        <w:spacing w:after="0" w:line="276" w:lineRule="auto"/>
        <w:jc w:val="both"/>
        <w:rPr>
          <w:rFonts w:ascii="Sylfaen" w:hAnsi="Sylfaen"/>
          <w:sz w:val="24"/>
          <w:szCs w:val="24"/>
          <w:lang w:val="ka-GE"/>
        </w:rPr>
      </w:pPr>
      <w:r w:rsidRPr="004D0299">
        <w:rPr>
          <w:rFonts w:ascii="Sylfaen" w:hAnsi="Sylfaen"/>
          <w:sz w:val="24"/>
          <w:szCs w:val="24"/>
          <w:lang w:val="ka-GE"/>
        </w:rPr>
        <w:t>ტამოქსიფენით მკურნალობის დროს ჰორმონალური პრეპარატების, კერძოდ, ესტროგენის შემცველი ნებისმიერი პრეპარატის (მაგალითად, პერორალური კონტრაცეპტივების) გამოყენება დაუშვებელია, რადგან შესაძლოა შემცირდეს პრეპარატების ეფექტურობა.</w:t>
      </w:r>
    </w:p>
    <w:p w14:paraId="320DF7D5" w14:textId="5E3C9E29" w:rsidR="00A30A52" w:rsidRPr="004D0299" w:rsidRDefault="00906EAE" w:rsidP="004D0299">
      <w:pPr>
        <w:spacing w:after="0" w:line="276" w:lineRule="auto"/>
        <w:jc w:val="both"/>
        <w:rPr>
          <w:rFonts w:ascii="Sylfaen" w:hAnsi="Sylfaen"/>
          <w:sz w:val="24"/>
          <w:szCs w:val="24"/>
          <w:lang w:val="ka-GE"/>
        </w:rPr>
      </w:pPr>
      <w:r w:rsidRPr="004D0299">
        <w:rPr>
          <w:rFonts w:ascii="Sylfaen" w:hAnsi="Sylfaen"/>
          <w:sz w:val="24"/>
          <w:szCs w:val="24"/>
          <w:lang w:val="ka-GE"/>
        </w:rPr>
        <w:t>ტამოქსიფენისა და არომატაზას ინჰიბიტორი ლეტროზოლის, ერთდროული მიღებისას, ამ უკანასკნელის პლაზმური კონცენტრაცია 37%-ით შემცირდა. ტამოქსიფენის არომატაზას ინჰიბიტორებთან კომბინაციაში, როგორც დამხმარე თერაპიის გამოყენებამ, ტამოქსიფენის მონოთერაპიასთან შედარებით, არ აჩვენა ეფექტურობის ზრდა.</w:t>
      </w:r>
    </w:p>
    <w:p w14:paraId="568C85C7" w14:textId="79752371" w:rsidR="00906EAE" w:rsidRPr="004D0299" w:rsidRDefault="00906EAE" w:rsidP="004D0299">
      <w:pPr>
        <w:spacing w:after="0" w:line="276" w:lineRule="auto"/>
        <w:jc w:val="both"/>
        <w:rPr>
          <w:rFonts w:ascii="Sylfaen" w:hAnsi="Sylfaen"/>
          <w:sz w:val="24"/>
          <w:szCs w:val="24"/>
          <w:lang w:val="ka-GE"/>
        </w:rPr>
      </w:pPr>
      <w:r w:rsidRPr="004D0299">
        <w:rPr>
          <w:rFonts w:ascii="Sylfaen" w:hAnsi="Sylfaen"/>
          <w:sz w:val="24"/>
          <w:szCs w:val="24"/>
          <w:lang w:val="ka-GE"/>
        </w:rPr>
        <w:lastRenderedPageBreak/>
        <w:t>ტამოქსიფენით თერაპიის დროს არ შეიძლება ანტიაგრეგანტული პრეპარატების გამოყენება, რადგან ამან შეიძლება გაზარდოს სისხლდენის რისკი შესაძლო თრომბოციტოპენიურ ფაზაში.</w:t>
      </w:r>
    </w:p>
    <w:p w14:paraId="1DDDA13C" w14:textId="63CCA3E6" w:rsidR="00906EAE" w:rsidRPr="004D0299" w:rsidRDefault="00906EAE" w:rsidP="004D0299">
      <w:pPr>
        <w:spacing w:after="0" w:line="276" w:lineRule="auto"/>
        <w:jc w:val="both"/>
        <w:rPr>
          <w:rFonts w:ascii="Sylfaen" w:hAnsi="Sylfaen"/>
          <w:sz w:val="24"/>
          <w:szCs w:val="24"/>
          <w:lang w:val="ka-GE"/>
        </w:rPr>
      </w:pPr>
      <w:r w:rsidRPr="004D0299">
        <w:rPr>
          <w:rFonts w:ascii="Sylfaen" w:hAnsi="Sylfaen"/>
          <w:sz w:val="24"/>
          <w:szCs w:val="24"/>
          <w:lang w:val="ka-GE"/>
        </w:rPr>
        <w:t>ტამოქსიფენის კუმარინის ანტიკოაგულანტებთან ერთდროულმა გამოყენებამ შეიძლება გამოიწვიოს სისხლის კოაგულაციის პარამეტრების ცვლილებები (პროთრომბინის დროის გახანგრძლივება). ამიტომ, ასეთი პრეპარატების ერთდროული გამოყენებისას, აუცილებელია სისხლის კოაგულაციის პარამეტრების გულდასმითი მონიტორინგი (განსაკუთრებით თერაპიის დასაწყისში).</w:t>
      </w:r>
    </w:p>
    <w:p w14:paraId="3CB89C7A" w14:textId="4E4FC5A0" w:rsidR="00906EAE" w:rsidRPr="004D0299" w:rsidRDefault="00906EAE" w:rsidP="004D0299">
      <w:pPr>
        <w:spacing w:after="0" w:line="276" w:lineRule="auto"/>
        <w:jc w:val="both"/>
        <w:rPr>
          <w:rFonts w:ascii="Sylfaen" w:hAnsi="Sylfaen"/>
          <w:sz w:val="24"/>
          <w:szCs w:val="24"/>
          <w:lang w:val="ka-GE"/>
        </w:rPr>
      </w:pPr>
      <w:r w:rsidRPr="004D0299">
        <w:rPr>
          <w:rFonts w:ascii="Sylfaen" w:hAnsi="Sylfaen"/>
          <w:sz w:val="24"/>
          <w:szCs w:val="24"/>
          <w:lang w:val="ka-GE"/>
        </w:rPr>
        <w:t>არსებობს მონაცემები ტამოქსიფენით თერაპიის დროს თრომბოემბოლიური მოვლენების, მათ შორის ღრმა ვენების თრომბოზის და ფილტვის ემბოლიის შემთხვევების მომატების შესახებ (იხილეთ თავი 4.8). ამ მოვლენების სიხშირე იზრდება თანმხლები ქიმიოთერაპიის დროს. ტამოქსიფენი და მისი ძირითადი მეტაბოლიტები ციტოქრომ P450 ოქსიდაზების ძლიერი ინჰიბიტორებია. ტამოქსიფენის გავლენა ამ ფერმენტებით გააქტიურებული სხვა ციტოტოქსიკური პრეპარატების (მაგ., ციკლოფოსფამიდი) მეტაბოლიზმსა და ელიმინაციაზე დადგენილი არ არის.</w:t>
      </w:r>
    </w:p>
    <w:p w14:paraId="655D7200" w14:textId="3A9EF17F" w:rsidR="00906EAE" w:rsidRPr="004D0299" w:rsidRDefault="00906EAE" w:rsidP="004D0299">
      <w:pPr>
        <w:spacing w:after="0" w:line="276" w:lineRule="auto"/>
        <w:jc w:val="both"/>
        <w:rPr>
          <w:rFonts w:ascii="Sylfaen" w:hAnsi="Sylfaen"/>
          <w:sz w:val="24"/>
          <w:szCs w:val="24"/>
          <w:lang w:val="ka-GE"/>
        </w:rPr>
      </w:pPr>
      <w:r w:rsidRPr="004D0299">
        <w:rPr>
          <w:rFonts w:ascii="Sylfaen" w:hAnsi="Sylfaen"/>
          <w:sz w:val="24"/>
          <w:szCs w:val="24"/>
          <w:lang w:val="ka-GE"/>
        </w:rPr>
        <w:t>ცნობილია რომ ადამიანის ორგანიზმში ტამოქსიფენის ძირითადი მეტაბოლური გზა დემეთილირებაა, რომელსაც აკატალიზირებს CYP3A4 იზოენზიმი. ლიტერატურის მიხედვით, CYP3A4 ინდუქტორებთან (მაგ., რიფამპინი) ფარმაკოკინეტიკური ურთიერთქმედება ამცირებს ტამოქსიფენის დონეს პლაზმაში. ამ დაკვირვების კლინიკური მნიშვნელობა გაურკვეველია.</w:t>
      </w:r>
    </w:p>
    <w:p w14:paraId="7EA36B4D" w14:textId="645B24DC" w:rsidR="00906EAE" w:rsidRPr="004D0299" w:rsidRDefault="00906EAE" w:rsidP="004D0299">
      <w:pPr>
        <w:spacing w:after="0" w:line="276" w:lineRule="auto"/>
        <w:jc w:val="both"/>
        <w:rPr>
          <w:rFonts w:ascii="Sylfaen" w:hAnsi="Sylfaen"/>
          <w:sz w:val="24"/>
          <w:szCs w:val="24"/>
          <w:lang w:val="ka-GE"/>
        </w:rPr>
      </w:pPr>
      <w:r w:rsidRPr="004D0299">
        <w:rPr>
          <w:rFonts w:ascii="Sylfaen" w:hAnsi="Sylfaen"/>
          <w:sz w:val="24"/>
          <w:szCs w:val="24"/>
          <w:lang w:val="ka-GE"/>
        </w:rPr>
        <w:t>ლიტერატურული მონაცემები მიუთითებს ენდოქსიფენის, პრეპარატის ერთ-ერთი ყველაზე აქტიური ფორმის, პლაზმაში კონცენტრაციის 65-75%-ით შემცირებაზე CYP2D6 ინჰიბიტორებთან ფარმაკოკინეტიკური ურთიერთქმედების შედეგად. რამდენიმე კვლევამ აჩვენა ტამოქსიფენის ეფექტურობის შემცირება სეროტონინის შერჩევითი უკუმიტაცების ინჰიბიტორების (SSRI) კლასის გარკვეულ ანტიდეპრესანტებთან (მაგ., პაროქსეტინი) ერთად მიღებისას. ვინაიდან ტამოქსიფენის ეფექტურობის შემცირება ძლიერ CYP2D6 ინჰიბიტორებთან (როგორიცაა პაროქსეტინი, ფლუოქსეტინი, ქინიდინი, ცინაკალცეტი ან ბუპროპიონი) ერთად მიღებისას არ არის გამორიცხული, მათი თანმხლები გამოყენება შესაძლებლობის შემთხვევაში უნდა იქნას აცილებული (იხილეთ თავები 4.4 და 5.2).</w:t>
      </w:r>
    </w:p>
    <w:p w14:paraId="17A1ED1B" w14:textId="086E1D32" w:rsidR="00906EAE" w:rsidRPr="004D0299" w:rsidRDefault="00906EAE"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ბავშვები და მოზარდები</w:t>
      </w:r>
    </w:p>
    <w:p w14:paraId="0362BCE4" w14:textId="0ABF7D22" w:rsidR="00906EAE" w:rsidRPr="004D0299" w:rsidRDefault="00906EAE" w:rsidP="004D0299">
      <w:pPr>
        <w:spacing w:after="0" w:line="276" w:lineRule="auto"/>
        <w:jc w:val="both"/>
        <w:rPr>
          <w:rFonts w:ascii="Sylfaen" w:hAnsi="Sylfaen"/>
          <w:sz w:val="24"/>
          <w:szCs w:val="24"/>
          <w:lang w:val="ka-GE"/>
        </w:rPr>
      </w:pPr>
      <w:r w:rsidRPr="004D0299">
        <w:rPr>
          <w:rFonts w:ascii="Sylfaen" w:hAnsi="Sylfaen"/>
          <w:sz w:val="24"/>
          <w:szCs w:val="24"/>
          <w:lang w:val="ka-GE"/>
        </w:rPr>
        <w:t>ურთიერთქმედების კვლევები ჩატარებულია მხოლოდ ზრდასრულების მონაწილეობით.</w:t>
      </w:r>
    </w:p>
    <w:p w14:paraId="6F3034D3" w14:textId="7B547B10" w:rsidR="00906EAE" w:rsidRPr="004D0299" w:rsidRDefault="00906EAE"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4.6. ფერტილობა, ორსულობა და ძუძუთი კვება</w:t>
      </w:r>
    </w:p>
    <w:p w14:paraId="7302020E" w14:textId="11606782" w:rsidR="00906EAE" w:rsidRPr="004D0299" w:rsidRDefault="00906EAE" w:rsidP="004D0299">
      <w:pPr>
        <w:spacing w:after="0" w:line="276" w:lineRule="auto"/>
        <w:jc w:val="both"/>
        <w:rPr>
          <w:rFonts w:ascii="Sylfaen" w:hAnsi="Sylfaen"/>
          <w:sz w:val="24"/>
          <w:szCs w:val="24"/>
          <w:lang w:val="ka-GE"/>
        </w:rPr>
      </w:pPr>
      <w:r w:rsidRPr="004D0299">
        <w:rPr>
          <w:rFonts w:ascii="Sylfaen" w:hAnsi="Sylfaen"/>
          <w:sz w:val="24"/>
          <w:szCs w:val="24"/>
          <w:lang w:val="ka-GE"/>
        </w:rPr>
        <w:t xml:space="preserve">ორსულობისა და ძუძუთი კვების დროს ადამიანებში ტამოქსიფენის გამოყენების გამოცდილება არასაკმარისია. ცხოველებზე ჩატარებულმა კვლევებმა გამოავლინა რეპროდუქციული ტოქსიკურობა (იხ. თავი 5.3). ტამოქსიფენის მიღების შემდეგ ქალებში სპონტანური აბორტების, თანდაყოლილი მანკების და ნაყოფის სიკვდილის მცირე რაოდენობის შემთხვევები დაფიქსირდა; თუმცა, მიზეზობრივი კავშირი არ დადასტურებულა. ტამოქსიფენი უკუნაჩვენებია ორსულობის დროს (იხ. </w:t>
      </w:r>
      <w:r w:rsidR="00845FD1" w:rsidRPr="004D0299">
        <w:rPr>
          <w:rFonts w:ascii="Sylfaen" w:hAnsi="Sylfaen"/>
          <w:sz w:val="24"/>
          <w:szCs w:val="24"/>
          <w:lang w:val="ka-GE"/>
        </w:rPr>
        <w:t>თავი</w:t>
      </w:r>
      <w:r w:rsidRPr="004D0299">
        <w:rPr>
          <w:rFonts w:ascii="Sylfaen" w:hAnsi="Sylfaen"/>
          <w:sz w:val="24"/>
          <w:szCs w:val="24"/>
          <w:lang w:val="ka-GE"/>
        </w:rPr>
        <w:t xml:space="preserve"> 4.3). რეპროდუქციული პოტენციალის მქონე ქალებში გამოყენების დაწყებამდე აუცილებელია ორსულობის </w:t>
      </w:r>
      <w:r w:rsidR="00845FD1" w:rsidRPr="004D0299">
        <w:rPr>
          <w:rFonts w:ascii="Sylfaen" w:hAnsi="Sylfaen"/>
          <w:sz w:val="24"/>
          <w:szCs w:val="24"/>
          <w:lang w:val="ka-GE"/>
        </w:rPr>
        <w:t xml:space="preserve">ალბათობის </w:t>
      </w:r>
      <w:r w:rsidRPr="004D0299">
        <w:rPr>
          <w:rFonts w:ascii="Sylfaen" w:hAnsi="Sylfaen"/>
          <w:sz w:val="24"/>
          <w:szCs w:val="24"/>
          <w:lang w:val="ka-GE"/>
        </w:rPr>
        <w:t>გამორიცხვა.</w:t>
      </w:r>
    </w:p>
    <w:p w14:paraId="3A6F9DE6" w14:textId="41973720" w:rsidR="00845FD1" w:rsidRPr="004D0299" w:rsidRDefault="00845FD1" w:rsidP="004D0299">
      <w:pPr>
        <w:spacing w:after="0" w:line="276" w:lineRule="auto"/>
        <w:jc w:val="both"/>
        <w:rPr>
          <w:rFonts w:ascii="Sylfaen" w:hAnsi="Sylfaen"/>
          <w:sz w:val="24"/>
          <w:szCs w:val="24"/>
          <w:lang w:val="ka-GE"/>
        </w:rPr>
      </w:pPr>
      <w:r w:rsidRPr="004D0299">
        <w:rPr>
          <w:rFonts w:ascii="Sylfaen" w:hAnsi="Sylfaen"/>
          <w:sz w:val="24"/>
          <w:szCs w:val="24"/>
          <w:lang w:val="ka-GE"/>
        </w:rPr>
        <w:lastRenderedPageBreak/>
        <w:t>ქალებს უნდა მიეცეთ რეკომენდაცია თავი აარიდონ ორსულობას ტამოქსიფენით თერაპიის დროს და მისი დასრულებიდან ცხრა თვის განმავლობაში. თუ ორსულობა დადგება ტამოქსიფენით თერაპიის დროს ან მისი დასრულებიდან ცხრა თვის განმავლობაში, ქალები ინფორმირებული უნდა იყონ ნაყოფისთვის პოტენციური რისკის თაობაზე.</w:t>
      </w:r>
    </w:p>
    <w:p w14:paraId="612A8D95" w14:textId="2C2DC4ED" w:rsidR="00845FD1" w:rsidRPr="004D0299" w:rsidRDefault="00845FD1" w:rsidP="004D0299">
      <w:pPr>
        <w:spacing w:after="0" w:line="276" w:lineRule="auto"/>
        <w:jc w:val="both"/>
        <w:rPr>
          <w:rFonts w:ascii="Sylfaen" w:hAnsi="Sylfaen"/>
          <w:sz w:val="24"/>
          <w:szCs w:val="24"/>
          <w:lang w:val="ka-GE"/>
        </w:rPr>
      </w:pPr>
      <w:r w:rsidRPr="004D0299">
        <w:rPr>
          <w:rFonts w:ascii="Sylfaen" w:hAnsi="Sylfaen"/>
          <w:sz w:val="24"/>
          <w:szCs w:val="24"/>
          <w:lang w:val="ka-GE"/>
        </w:rPr>
        <w:t>ტამოქსიფენით თერაპიის დროს და მისი დასრულებიდან ცხრა თვის განმავლობაში, სქესობრივად აქტიურმა ქალებმა უნდა გამოიყენონ კონტრაცეფციის საიმედო ბარიერული ან სხვა არაჰორმონალური მეთოდები (იხილეთ აგრეთვე თავი 4.5).</w:t>
      </w:r>
    </w:p>
    <w:p w14:paraId="72E87DEE" w14:textId="65033AA2" w:rsidR="009B5BE5" w:rsidRPr="004D0299" w:rsidRDefault="009B5BE5"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ძუძუთი კვება</w:t>
      </w:r>
    </w:p>
    <w:p w14:paraId="48C58B9E" w14:textId="22E6BCF9" w:rsidR="009B5BE5" w:rsidRPr="004D0299" w:rsidRDefault="009B5BE5" w:rsidP="004D0299">
      <w:pPr>
        <w:spacing w:after="0" w:line="276" w:lineRule="auto"/>
        <w:jc w:val="both"/>
        <w:rPr>
          <w:rFonts w:ascii="Sylfaen" w:hAnsi="Sylfaen"/>
          <w:sz w:val="24"/>
          <w:szCs w:val="24"/>
          <w:lang w:val="ka-GE"/>
        </w:rPr>
      </w:pPr>
      <w:r w:rsidRPr="004D0299">
        <w:rPr>
          <w:rFonts w:ascii="Sylfaen" w:hAnsi="Sylfaen"/>
          <w:sz w:val="24"/>
          <w:szCs w:val="24"/>
          <w:lang w:val="ka-GE"/>
        </w:rPr>
        <w:t>შეზღუდული მონაცემები მიუთითებს, რომ ტამოქსიფენი და მისი აქტიური მეტაბოლიტები აღწევს ადამიანის დედის რძეში და მასში გროვდება, ამიტომ ძუძუთი კვების პერიოდში ამ პრეპარატის გამოყენება რეკომენდებული არ არის. ძუძუთი კვების შეწყვეტის ან ტამოქსიფენის გამოყენების შეწყვეტის შესახებ გადაწყვეტილება მიღებული უნდა იქნას დედისთვის თერაპიის მნიშვნელობის გათვალისწინებით.</w:t>
      </w:r>
    </w:p>
    <w:p w14:paraId="08EC5675" w14:textId="76CB3078" w:rsidR="009B5BE5" w:rsidRPr="004D0299" w:rsidRDefault="009B5BE5"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ფერტილობა</w:t>
      </w:r>
    </w:p>
    <w:p w14:paraId="6C0F705D" w14:textId="5DD5318B" w:rsidR="009B5BE5" w:rsidRPr="004D0299" w:rsidRDefault="009B5BE5" w:rsidP="004D0299">
      <w:pPr>
        <w:spacing w:after="0" w:line="276" w:lineRule="auto"/>
        <w:jc w:val="both"/>
        <w:rPr>
          <w:rFonts w:ascii="Sylfaen" w:hAnsi="Sylfaen"/>
          <w:sz w:val="24"/>
          <w:szCs w:val="24"/>
          <w:lang w:val="ka-GE"/>
        </w:rPr>
      </w:pPr>
      <w:r w:rsidRPr="004D0299">
        <w:rPr>
          <w:rFonts w:ascii="Sylfaen" w:hAnsi="Sylfaen"/>
          <w:sz w:val="24"/>
          <w:szCs w:val="24"/>
          <w:lang w:val="ka-GE"/>
        </w:rPr>
        <w:t>პრემენოპაუზურ ქალებში ტამოქსიფენმა შეიძლება დათრგუნოს მენსტრუაცია (იხ. თავი4.8). პრეკლინიკური კვლევების შედეგები წარმოდგენილია 5.3 ნაწილში.</w:t>
      </w:r>
    </w:p>
    <w:p w14:paraId="56DA7D35" w14:textId="6EFED4AB" w:rsidR="009B5BE5" w:rsidRPr="004D0299" w:rsidRDefault="009B5BE5"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4.7. ზეგავლენა სატრანსპორტო საშუალებების მართვისა და მექანიზმებთან მუშაობის უნარზე</w:t>
      </w:r>
    </w:p>
    <w:p w14:paraId="47ED38D6" w14:textId="152B3533" w:rsidR="009B5BE5" w:rsidRPr="004D0299" w:rsidRDefault="00BD5C50" w:rsidP="004D0299">
      <w:pPr>
        <w:spacing w:after="0" w:line="276" w:lineRule="auto"/>
        <w:jc w:val="both"/>
        <w:rPr>
          <w:rFonts w:ascii="Sylfaen" w:hAnsi="Sylfaen"/>
          <w:sz w:val="24"/>
          <w:szCs w:val="24"/>
          <w:lang w:val="ka-GE"/>
        </w:rPr>
      </w:pPr>
      <w:r w:rsidRPr="004D0299">
        <w:rPr>
          <w:rFonts w:ascii="Sylfaen" w:hAnsi="Sylfaen"/>
          <w:sz w:val="24"/>
          <w:szCs w:val="24"/>
          <w:lang w:val="ka-GE"/>
        </w:rPr>
        <w:t>ნაკლებსავარაუდოა ტამოქსიფენის ზემოქმედება ავტომობილის მართვისა და მექანიზმებთან მუშაობის უნარზე. თუმცა, ტამოქსიფენით თერაპიის დროს დაფიქსირებულია დაღლილობის, ცნობიერების დაბინდვის და მხედველობის დარღვევის შემთხვევები. პაციენტებმა, რომლებსაც აღენიშნებათ ეს სიმპტომები, სიფრთხილე უნდა გამოიჩინონ ავტომობილის მართვისა</w:t>
      </w:r>
      <w:r w:rsidR="003451F3" w:rsidRPr="004D0299">
        <w:rPr>
          <w:rFonts w:ascii="Sylfaen" w:hAnsi="Sylfaen"/>
          <w:sz w:val="24"/>
          <w:szCs w:val="24"/>
          <w:lang w:val="ka-GE"/>
        </w:rPr>
        <w:t>ს</w:t>
      </w:r>
      <w:r w:rsidRPr="004D0299">
        <w:rPr>
          <w:rFonts w:ascii="Sylfaen" w:hAnsi="Sylfaen"/>
          <w:sz w:val="24"/>
          <w:szCs w:val="24"/>
          <w:lang w:val="ka-GE"/>
        </w:rPr>
        <w:t xml:space="preserve"> და მექანიზმებთან მუშაობის დროს.</w:t>
      </w:r>
    </w:p>
    <w:p w14:paraId="35A4B27B" w14:textId="174977AA" w:rsidR="003451F3" w:rsidRPr="004D0299" w:rsidRDefault="003451F3"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4.8. არასასურველი რეაქციები</w:t>
      </w:r>
    </w:p>
    <w:p w14:paraId="788068D4" w14:textId="53DAAB3F" w:rsidR="003451F3" w:rsidRPr="004D0299" w:rsidRDefault="003451F3"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უსაფრთხოების პროფილის შეჯამება</w:t>
      </w:r>
    </w:p>
    <w:p w14:paraId="06E86024" w14:textId="6CAF0FE0" w:rsidR="003451F3" w:rsidRPr="004D0299" w:rsidRDefault="003451F3" w:rsidP="004D0299">
      <w:pPr>
        <w:spacing w:after="0" w:line="276" w:lineRule="auto"/>
        <w:jc w:val="both"/>
        <w:rPr>
          <w:rFonts w:ascii="Sylfaen" w:hAnsi="Sylfaen"/>
          <w:sz w:val="24"/>
          <w:szCs w:val="24"/>
          <w:lang w:val="ka-GE"/>
        </w:rPr>
      </w:pPr>
      <w:r w:rsidRPr="004D0299">
        <w:rPr>
          <w:rFonts w:ascii="Sylfaen" w:hAnsi="Sylfaen"/>
          <w:sz w:val="24"/>
          <w:szCs w:val="24"/>
          <w:lang w:val="ka-GE"/>
        </w:rPr>
        <w:t>გვერდითი მოვლენები შეიძლება დაკავშირებული იყოს ტამოქსიფენის მოქმედების ფარმაკოლოგიურ მექანიზმთან (მაგ., ალები, ვაგინალური სისხლდენა, ვაგინალური გამონადენი, სასქესო ორგანოების ქავილი, ტკივილი დაზიანებულ ადგილას) ან იყოს ზოგადი ხასიათის  (მაგ., კუჭ-ნაწლავური აუტანლობა, თავის ტკივილი, ცნობიერების დაბინდვა, სითხის შეკავება და ალოპეცია).</w:t>
      </w:r>
    </w:p>
    <w:p w14:paraId="1300F419" w14:textId="04318C73" w:rsidR="003451F3" w:rsidRPr="004D0299" w:rsidRDefault="003451F3"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გვერდითი მოვლენების ცხრილური ჩამონათვალი</w:t>
      </w:r>
    </w:p>
    <w:p w14:paraId="7BE5C867" w14:textId="1BD7D860" w:rsidR="003451F3" w:rsidRPr="004D0299" w:rsidRDefault="003451F3" w:rsidP="004D0299">
      <w:pPr>
        <w:spacing w:after="0" w:line="276" w:lineRule="auto"/>
        <w:jc w:val="both"/>
        <w:rPr>
          <w:rFonts w:ascii="Sylfaen" w:hAnsi="Sylfaen"/>
          <w:sz w:val="24"/>
          <w:szCs w:val="24"/>
          <w:lang w:val="ka-GE"/>
        </w:rPr>
      </w:pPr>
      <w:r w:rsidRPr="004D0299">
        <w:rPr>
          <w:rFonts w:ascii="Sylfaen" w:hAnsi="Sylfaen"/>
          <w:sz w:val="24"/>
          <w:szCs w:val="24"/>
          <w:lang w:val="ka-GE"/>
        </w:rPr>
        <w:t>თუ სხვაგვარად არ არის მითითებული, სიხშირის მაჩვენებლები გამოთვლილია 5-წლიანი მე-III ფაზის კლინიკური კვლევის დროს გამოვლენილი გვერდითი რეაქციების საფუძველზე, რომელშიც მონაწილეობდა 9366 პოსტმენოპაუზური ქალი ოპერაბელური სარძევე ჯირკვლის კიბოთი. თუ სხვა რამ არ არის მითითებული, შედარების ჯგუფში გვერდითი რეაქციების მაჩვენებლები არ იყო გათვალისწინებული და არც მკვლევარის შეფასებები მოვლენასა და პრეპარატს შორის შესაძლო მიზეზობრივი კავშირის შესახებ.</w:t>
      </w:r>
    </w:p>
    <w:p w14:paraId="5DC9BF1B" w14:textId="77777777" w:rsidR="003451F3" w:rsidRPr="004D0299" w:rsidRDefault="003451F3" w:rsidP="004D0299">
      <w:pPr>
        <w:spacing w:after="0" w:line="276" w:lineRule="auto"/>
        <w:jc w:val="both"/>
        <w:rPr>
          <w:rFonts w:ascii="Sylfaen" w:hAnsi="Sylfaen"/>
          <w:sz w:val="24"/>
          <w:szCs w:val="24"/>
          <w:lang w:val="ka-GE"/>
        </w:rPr>
      </w:pPr>
      <w:r w:rsidRPr="004D0299">
        <w:rPr>
          <w:rFonts w:ascii="Sylfaen" w:hAnsi="Sylfaen"/>
          <w:sz w:val="24"/>
          <w:szCs w:val="24"/>
          <w:lang w:val="ka-GE"/>
        </w:rPr>
        <w:t>გვერდითი მოვლენები სიხშირის მიხედვით კლასიფიცირდება შემდეგნაირად:</w:t>
      </w:r>
    </w:p>
    <w:p w14:paraId="1FB55F81" w14:textId="77777777" w:rsidR="003451F3" w:rsidRPr="004D0299" w:rsidRDefault="003451F3" w:rsidP="004D0299">
      <w:pPr>
        <w:spacing w:after="0" w:line="276" w:lineRule="auto"/>
        <w:jc w:val="both"/>
        <w:rPr>
          <w:rFonts w:ascii="Sylfaen" w:hAnsi="Sylfaen"/>
          <w:sz w:val="24"/>
          <w:szCs w:val="24"/>
          <w:lang w:val="ka-GE"/>
        </w:rPr>
      </w:pPr>
      <w:r w:rsidRPr="004D0299">
        <w:rPr>
          <w:rFonts w:ascii="Sylfaen" w:hAnsi="Sylfaen"/>
          <w:sz w:val="24"/>
          <w:szCs w:val="24"/>
          <w:lang w:val="ka-GE"/>
        </w:rPr>
        <w:t>ძალიან ხშირი (≥ 1/10);</w:t>
      </w:r>
    </w:p>
    <w:p w14:paraId="0C1D9289" w14:textId="77777777" w:rsidR="003451F3" w:rsidRPr="004D0299" w:rsidRDefault="003451F3" w:rsidP="004D0299">
      <w:pPr>
        <w:spacing w:after="0" w:line="276" w:lineRule="auto"/>
        <w:jc w:val="both"/>
        <w:rPr>
          <w:rFonts w:ascii="Sylfaen" w:hAnsi="Sylfaen"/>
          <w:sz w:val="24"/>
          <w:szCs w:val="24"/>
          <w:lang w:val="ka-GE"/>
        </w:rPr>
      </w:pPr>
      <w:r w:rsidRPr="004D0299">
        <w:rPr>
          <w:rFonts w:ascii="Sylfaen" w:hAnsi="Sylfaen"/>
          <w:sz w:val="24"/>
          <w:szCs w:val="24"/>
          <w:lang w:val="ka-GE"/>
        </w:rPr>
        <w:lastRenderedPageBreak/>
        <w:t>ხშირი (≥ 1/100 და &lt; 1/10);</w:t>
      </w:r>
    </w:p>
    <w:p w14:paraId="658B4DDC" w14:textId="77777777" w:rsidR="003451F3" w:rsidRPr="004D0299" w:rsidRDefault="003451F3" w:rsidP="004D0299">
      <w:pPr>
        <w:spacing w:after="0" w:line="276" w:lineRule="auto"/>
        <w:jc w:val="both"/>
        <w:rPr>
          <w:rFonts w:ascii="Sylfaen" w:hAnsi="Sylfaen"/>
          <w:sz w:val="24"/>
          <w:szCs w:val="24"/>
          <w:lang w:val="ka-GE"/>
        </w:rPr>
      </w:pPr>
      <w:r w:rsidRPr="004D0299">
        <w:rPr>
          <w:rFonts w:ascii="Sylfaen" w:hAnsi="Sylfaen"/>
          <w:sz w:val="24"/>
          <w:szCs w:val="24"/>
          <w:lang w:val="ka-GE"/>
        </w:rPr>
        <w:t>არახშირი (≥ 1/1,000 და &lt; 1/100);</w:t>
      </w:r>
    </w:p>
    <w:p w14:paraId="2C36E4B0" w14:textId="77777777" w:rsidR="003451F3" w:rsidRPr="004D0299" w:rsidRDefault="003451F3" w:rsidP="004D0299">
      <w:pPr>
        <w:spacing w:after="0" w:line="276" w:lineRule="auto"/>
        <w:jc w:val="both"/>
        <w:rPr>
          <w:rFonts w:ascii="Sylfaen" w:hAnsi="Sylfaen"/>
          <w:sz w:val="24"/>
          <w:szCs w:val="24"/>
          <w:lang w:val="ka-GE"/>
        </w:rPr>
      </w:pPr>
      <w:r w:rsidRPr="004D0299">
        <w:rPr>
          <w:rFonts w:ascii="Sylfaen" w:hAnsi="Sylfaen"/>
          <w:sz w:val="24"/>
          <w:szCs w:val="24"/>
          <w:lang w:val="ka-GE"/>
        </w:rPr>
        <w:t>იშვიათი (≥ 1/10,000 და &lt; 1/1,000);</w:t>
      </w:r>
    </w:p>
    <w:p w14:paraId="50EFFFC4" w14:textId="77777777" w:rsidR="003451F3" w:rsidRPr="004D0299" w:rsidRDefault="003451F3" w:rsidP="004D0299">
      <w:pPr>
        <w:spacing w:after="0" w:line="276" w:lineRule="auto"/>
        <w:jc w:val="both"/>
        <w:rPr>
          <w:rFonts w:ascii="Sylfaen" w:hAnsi="Sylfaen"/>
          <w:sz w:val="24"/>
          <w:szCs w:val="24"/>
          <w:lang w:val="ka-GE"/>
        </w:rPr>
      </w:pPr>
      <w:r w:rsidRPr="004D0299">
        <w:rPr>
          <w:rFonts w:ascii="Sylfaen" w:hAnsi="Sylfaen"/>
          <w:sz w:val="24"/>
          <w:szCs w:val="24"/>
          <w:lang w:val="ka-GE"/>
        </w:rPr>
        <w:t>ძალიან იშვიათი (&lt; 1/10,000);</w:t>
      </w:r>
    </w:p>
    <w:p w14:paraId="42949A6A" w14:textId="3984EF91" w:rsidR="003451F3" w:rsidRPr="004D0299" w:rsidRDefault="003451F3" w:rsidP="004D0299">
      <w:pPr>
        <w:spacing w:after="0" w:line="276" w:lineRule="auto"/>
        <w:jc w:val="both"/>
        <w:rPr>
          <w:rFonts w:ascii="Sylfaen" w:hAnsi="Sylfaen"/>
          <w:sz w:val="24"/>
          <w:szCs w:val="24"/>
          <w:lang w:val="ka-GE"/>
        </w:rPr>
      </w:pPr>
      <w:r w:rsidRPr="004D0299">
        <w:rPr>
          <w:rFonts w:ascii="Sylfaen" w:hAnsi="Sylfaen"/>
          <w:sz w:val="24"/>
          <w:szCs w:val="24"/>
          <w:lang w:val="ka-GE"/>
        </w:rPr>
        <w:t>სიხშირე დადგენილი არ არის (სიხშირის შეფასება არსებული მონაცემებით შეუძლებელია).</w:t>
      </w:r>
    </w:p>
    <w:p w14:paraId="3BE76292" w14:textId="48D5912D" w:rsidR="003451F3" w:rsidRPr="004D0299" w:rsidRDefault="003451F3"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დარღვევები სისხლისა და ლიმფური სისტემის მხრივ</w:t>
      </w:r>
    </w:p>
    <w:p w14:paraId="442F494F" w14:textId="485518FF" w:rsidR="003451F3" w:rsidRPr="004D0299" w:rsidRDefault="003451F3" w:rsidP="004D0299">
      <w:pPr>
        <w:spacing w:after="0" w:line="276" w:lineRule="auto"/>
        <w:jc w:val="both"/>
        <w:rPr>
          <w:rFonts w:ascii="Sylfaen" w:hAnsi="Sylfaen"/>
          <w:sz w:val="24"/>
          <w:szCs w:val="24"/>
          <w:lang w:val="ka-GE"/>
        </w:rPr>
      </w:pPr>
      <w:r w:rsidRPr="004D0299">
        <w:rPr>
          <w:rFonts w:ascii="Sylfaen" w:hAnsi="Sylfaen"/>
          <w:i/>
          <w:iCs/>
          <w:sz w:val="24"/>
          <w:szCs w:val="24"/>
          <w:lang w:val="ka-GE"/>
        </w:rPr>
        <w:t>ხშირი:</w:t>
      </w:r>
      <w:r w:rsidRPr="004D0299">
        <w:rPr>
          <w:rFonts w:ascii="Sylfaen" w:hAnsi="Sylfaen"/>
          <w:sz w:val="24"/>
          <w:szCs w:val="24"/>
          <w:lang w:val="ka-GE"/>
        </w:rPr>
        <w:t xml:space="preserve"> გარდამავალი ანემია</w:t>
      </w:r>
    </w:p>
    <w:p w14:paraId="03ACB719" w14:textId="25482382" w:rsidR="003451F3" w:rsidRPr="004D0299" w:rsidRDefault="003451F3" w:rsidP="004D0299">
      <w:pPr>
        <w:spacing w:after="0" w:line="276" w:lineRule="auto"/>
        <w:jc w:val="both"/>
        <w:rPr>
          <w:rFonts w:ascii="Sylfaen" w:hAnsi="Sylfaen"/>
          <w:sz w:val="24"/>
          <w:szCs w:val="24"/>
          <w:lang w:val="ka-GE"/>
        </w:rPr>
      </w:pPr>
      <w:r w:rsidRPr="004D0299">
        <w:rPr>
          <w:rFonts w:ascii="Sylfaen" w:hAnsi="Sylfaen"/>
          <w:i/>
          <w:iCs/>
          <w:sz w:val="24"/>
          <w:szCs w:val="24"/>
          <w:lang w:val="ka-GE"/>
        </w:rPr>
        <w:t>არახშირი:</w:t>
      </w:r>
      <w:r w:rsidRPr="004D0299">
        <w:rPr>
          <w:rFonts w:ascii="Sylfaen" w:hAnsi="Sylfaen"/>
          <w:sz w:val="24"/>
          <w:szCs w:val="24"/>
          <w:lang w:val="ka-GE"/>
        </w:rPr>
        <w:t xml:space="preserve"> ლეიკოპენია, გარდამავალი თრომბოციტოპენია (ჩვეულებრივ, 80000-დან 90000/µლ-მდე მნიშვნელობებით და ზოგჯერ უფრო ნაკლებით).</w:t>
      </w:r>
    </w:p>
    <w:p w14:paraId="5B870565" w14:textId="05A3F776" w:rsidR="003451F3" w:rsidRPr="004D0299" w:rsidRDefault="003451F3" w:rsidP="004D0299">
      <w:pPr>
        <w:spacing w:after="0" w:line="276" w:lineRule="auto"/>
        <w:jc w:val="both"/>
        <w:rPr>
          <w:rFonts w:ascii="Sylfaen" w:hAnsi="Sylfaen"/>
          <w:sz w:val="24"/>
          <w:szCs w:val="24"/>
          <w:lang w:val="ka-GE"/>
        </w:rPr>
      </w:pPr>
      <w:r w:rsidRPr="004D0299">
        <w:rPr>
          <w:rFonts w:ascii="Sylfaen" w:hAnsi="Sylfaen"/>
          <w:i/>
          <w:iCs/>
          <w:sz w:val="24"/>
          <w:szCs w:val="24"/>
          <w:lang w:val="ka-GE"/>
        </w:rPr>
        <w:t>იშვიათად:</w:t>
      </w:r>
      <w:r w:rsidRPr="004D0299">
        <w:rPr>
          <w:rFonts w:ascii="Sylfaen" w:hAnsi="Sylfaen"/>
          <w:sz w:val="24"/>
          <w:szCs w:val="24"/>
          <w:lang w:val="ka-GE"/>
        </w:rPr>
        <w:t xml:space="preserve"> აგრანულოციტოზი </w:t>
      </w:r>
      <w:r w:rsidRPr="004D0299">
        <w:rPr>
          <w:rFonts w:ascii="Sylfaen" w:hAnsi="Sylfaen"/>
          <w:sz w:val="24"/>
          <w:szCs w:val="24"/>
          <w:vertAlign w:val="superscript"/>
          <w:lang w:val="ka-GE"/>
        </w:rPr>
        <w:t>1</w:t>
      </w:r>
      <w:r w:rsidRPr="004D0299">
        <w:rPr>
          <w:rFonts w:ascii="Sylfaen" w:hAnsi="Sylfaen"/>
          <w:sz w:val="24"/>
          <w:szCs w:val="24"/>
          <w:lang w:val="ka-GE"/>
        </w:rPr>
        <w:t xml:space="preserve">, ნეიტროპენია </w:t>
      </w:r>
      <w:r w:rsidRPr="004D0299">
        <w:rPr>
          <w:rFonts w:ascii="Sylfaen" w:hAnsi="Sylfaen"/>
          <w:sz w:val="24"/>
          <w:szCs w:val="24"/>
          <w:vertAlign w:val="superscript"/>
          <w:lang w:val="ka-GE"/>
        </w:rPr>
        <w:t>1</w:t>
      </w:r>
      <w:r w:rsidRPr="004D0299">
        <w:rPr>
          <w:rFonts w:ascii="Sylfaen" w:hAnsi="Sylfaen"/>
          <w:sz w:val="24"/>
          <w:szCs w:val="24"/>
          <w:lang w:val="ka-GE"/>
        </w:rPr>
        <w:t>.</w:t>
      </w:r>
    </w:p>
    <w:p w14:paraId="7E5921E9" w14:textId="0B0DDC07" w:rsidR="006C12E8" w:rsidRPr="004D0299" w:rsidRDefault="006C12E8" w:rsidP="004D0299">
      <w:pPr>
        <w:spacing w:after="0" w:line="276" w:lineRule="auto"/>
        <w:jc w:val="both"/>
        <w:rPr>
          <w:rFonts w:ascii="Sylfaen" w:hAnsi="Sylfaen"/>
          <w:sz w:val="24"/>
          <w:szCs w:val="24"/>
        </w:rPr>
      </w:pPr>
      <w:r w:rsidRPr="004D0299">
        <w:rPr>
          <w:rFonts w:ascii="Sylfaen" w:hAnsi="Sylfaen"/>
          <w:i/>
          <w:iCs/>
          <w:sz w:val="24"/>
          <w:szCs w:val="24"/>
          <w:lang w:val="ka-GE"/>
        </w:rPr>
        <w:t>ძალიან იშვიათად:</w:t>
      </w:r>
      <w:r w:rsidRPr="004D0299">
        <w:rPr>
          <w:rFonts w:ascii="Sylfaen" w:hAnsi="Sylfaen"/>
          <w:sz w:val="24"/>
          <w:szCs w:val="24"/>
          <w:lang w:val="ka-GE"/>
        </w:rPr>
        <w:t xml:space="preserve"> მძიმე მეიტროპენია, პანციტოპენია </w:t>
      </w:r>
      <w:r w:rsidRPr="004D0299">
        <w:rPr>
          <w:rFonts w:ascii="Sylfaen" w:hAnsi="Sylfaen"/>
          <w:sz w:val="24"/>
          <w:szCs w:val="24"/>
          <w:vertAlign w:val="superscript"/>
          <w:lang w:val="ka-GE"/>
        </w:rPr>
        <w:t>3</w:t>
      </w:r>
      <w:r w:rsidRPr="004D0299">
        <w:rPr>
          <w:rFonts w:ascii="Sylfaen" w:hAnsi="Sylfaen"/>
          <w:sz w:val="24"/>
          <w:szCs w:val="24"/>
          <w:lang w:val="ka-GE"/>
        </w:rPr>
        <w:t>.</w:t>
      </w:r>
    </w:p>
    <w:p w14:paraId="2DBEAD25" w14:textId="3B333342" w:rsidR="00044078" w:rsidRPr="004D0299" w:rsidRDefault="00044078"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დარღვევები ნერვული სისტემის მხრივ</w:t>
      </w:r>
    </w:p>
    <w:p w14:paraId="3642487D" w14:textId="5BA4A023" w:rsidR="00044078" w:rsidRPr="004D0299" w:rsidRDefault="00044078" w:rsidP="004D0299">
      <w:pPr>
        <w:spacing w:after="0" w:line="276" w:lineRule="auto"/>
        <w:jc w:val="both"/>
        <w:rPr>
          <w:rFonts w:ascii="Sylfaen" w:hAnsi="Sylfaen"/>
          <w:sz w:val="24"/>
          <w:szCs w:val="24"/>
          <w:lang w:val="ka-GE"/>
        </w:rPr>
      </w:pPr>
      <w:r w:rsidRPr="004D0299">
        <w:rPr>
          <w:rFonts w:ascii="Sylfaen" w:hAnsi="Sylfaen"/>
          <w:i/>
          <w:iCs/>
          <w:sz w:val="24"/>
          <w:szCs w:val="24"/>
          <w:lang w:val="ka-GE"/>
        </w:rPr>
        <w:t xml:space="preserve">ხშირი: </w:t>
      </w:r>
      <w:r w:rsidRPr="004D0299">
        <w:rPr>
          <w:rFonts w:ascii="Sylfaen" w:hAnsi="Sylfaen"/>
          <w:sz w:val="24"/>
          <w:szCs w:val="24"/>
          <w:lang w:val="ka-GE"/>
        </w:rPr>
        <w:t>ცნობიერების დაბინდვა, თავის ტკივილი, სენსორული დარღვევები (მათ შორის პარესთეზია და დისგევზია).</w:t>
      </w:r>
    </w:p>
    <w:p w14:paraId="55A03615" w14:textId="4CE7D973" w:rsidR="00044078" w:rsidRPr="004D0299" w:rsidRDefault="00044078"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მხედველობის დარღვევები</w:t>
      </w:r>
    </w:p>
    <w:p w14:paraId="7632E652" w14:textId="6A00E80C" w:rsidR="00044078" w:rsidRPr="004D0299" w:rsidRDefault="00044078" w:rsidP="004D0299">
      <w:pPr>
        <w:spacing w:after="0" w:line="276" w:lineRule="auto"/>
        <w:jc w:val="both"/>
        <w:rPr>
          <w:rFonts w:ascii="Sylfaen" w:hAnsi="Sylfaen"/>
          <w:sz w:val="24"/>
          <w:szCs w:val="24"/>
          <w:lang w:val="ka-GE"/>
        </w:rPr>
      </w:pPr>
      <w:r w:rsidRPr="004D0299">
        <w:rPr>
          <w:rFonts w:ascii="Sylfaen" w:hAnsi="Sylfaen"/>
          <w:i/>
          <w:iCs/>
          <w:sz w:val="24"/>
          <w:szCs w:val="24"/>
          <w:lang w:val="ka-GE"/>
        </w:rPr>
        <w:t xml:space="preserve">ხშირი: </w:t>
      </w:r>
      <w:r w:rsidRPr="004D0299">
        <w:rPr>
          <w:rFonts w:ascii="Sylfaen" w:hAnsi="Sylfaen"/>
          <w:sz w:val="24"/>
          <w:szCs w:val="24"/>
          <w:lang w:val="ka-GE"/>
        </w:rPr>
        <w:t>მხედველობის დარღვევა (მხოლოდ ნაწილობრივ შექცევადი) კატარაქტის, რქოვანას შემღვრევის (იშვიათად) და(ან) რეტინოპათიის გამო. კატარაქტის განვითარების რისკი იზრდება ტამოქსიფენით თერაპიის ხანგრძლივობის შესაბამისად.</w:t>
      </w:r>
    </w:p>
    <w:p w14:paraId="758DF88D" w14:textId="490D40AD" w:rsidR="00044078" w:rsidRPr="004D0299" w:rsidRDefault="00044078" w:rsidP="004D0299">
      <w:pPr>
        <w:spacing w:after="0" w:line="276" w:lineRule="auto"/>
        <w:jc w:val="both"/>
        <w:rPr>
          <w:rFonts w:ascii="Sylfaen" w:hAnsi="Sylfaen"/>
          <w:sz w:val="24"/>
          <w:szCs w:val="24"/>
          <w:lang w:val="ka-GE"/>
        </w:rPr>
      </w:pPr>
      <w:r w:rsidRPr="004D0299">
        <w:rPr>
          <w:rFonts w:ascii="Sylfaen" w:hAnsi="Sylfaen"/>
          <w:i/>
          <w:iCs/>
          <w:sz w:val="24"/>
          <w:szCs w:val="24"/>
          <w:lang w:val="ka-GE"/>
        </w:rPr>
        <w:t>იშვიათი:</w:t>
      </w:r>
      <w:r w:rsidRPr="004D0299">
        <w:rPr>
          <w:rFonts w:ascii="Sylfaen" w:hAnsi="Sylfaen"/>
          <w:sz w:val="24"/>
          <w:szCs w:val="24"/>
          <w:lang w:val="ka-GE"/>
        </w:rPr>
        <w:t xml:space="preserve"> მხედველობის ნერვის ნეიროპათია</w:t>
      </w:r>
      <w:r w:rsidRPr="004D0299">
        <w:rPr>
          <w:rFonts w:ascii="Sylfaen" w:hAnsi="Sylfaen"/>
          <w:sz w:val="24"/>
          <w:szCs w:val="24"/>
          <w:vertAlign w:val="superscript"/>
          <w:lang w:val="ka-GE"/>
        </w:rPr>
        <w:t>1</w:t>
      </w:r>
      <w:r w:rsidRPr="004D0299">
        <w:rPr>
          <w:rFonts w:ascii="Sylfaen" w:hAnsi="Sylfaen"/>
          <w:sz w:val="24"/>
          <w:szCs w:val="24"/>
          <w:lang w:val="ka-GE"/>
        </w:rPr>
        <w:t>, მხედველობის ნერვის ნევრიტი (სიბრმავე განვითარდა შემთხვევათა მცირე რაოდენობაში).</w:t>
      </w:r>
    </w:p>
    <w:p w14:paraId="49ED5790" w14:textId="6B2E95CE" w:rsidR="00044078" w:rsidRPr="004D0299" w:rsidRDefault="00044078"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დარღვევები სასუნთქი სისტემის, გულმკერდის ორგანოების და შუასაყრის მხრივ</w:t>
      </w:r>
    </w:p>
    <w:p w14:paraId="1C770929" w14:textId="7535E0A4" w:rsidR="00044078" w:rsidRPr="004D0299" w:rsidRDefault="00044078" w:rsidP="004D0299">
      <w:pPr>
        <w:spacing w:after="0" w:line="276" w:lineRule="auto"/>
        <w:jc w:val="both"/>
        <w:rPr>
          <w:rFonts w:ascii="Sylfaen" w:hAnsi="Sylfaen"/>
          <w:sz w:val="24"/>
          <w:szCs w:val="24"/>
          <w:lang w:val="ka-GE"/>
        </w:rPr>
      </w:pPr>
      <w:r w:rsidRPr="004D0299">
        <w:rPr>
          <w:rFonts w:ascii="Sylfaen" w:hAnsi="Sylfaen"/>
          <w:i/>
          <w:iCs/>
          <w:sz w:val="24"/>
          <w:szCs w:val="24"/>
          <w:lang w:val="ka-GE"/>
        </w:rPr>
        <w:t xml:space="preserve">არახშირი: </w:t>
      </w:r>
      <w:r w:rsidRPr="004D0299">
        <w:rPr>
          <w:rFonts w:ascii="Sylfaen" w:hAnsi="Sylfaen"/>
          <w:sz w:val="24"/>
          <w:szCs w:val="24"/>
          <w:lang w:val="ka-GE"/>
        </w:rPr>
        <w:t>ინტერსტიციული პნევმონიტი.</w:t>
      </w:r>
    </w:p>
    <w:p w14:paraId="6B8A53A7" w14:textId="50B604C2" w:rsidR="00044078" w:rsidRPr="004D0299" w:rsidRDefault="00044078"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დარღვევები კუჭ-ნაწლავის ტრაქტის მხრივ</w:t>
      </w:r>
    </w:p>
    <w:p w14:paraId="34B820C2" w14:textId="77777777" w:rsidR="00044078" w:rsidRPr="004D0299" w:rsidRDefault="00044078" w:rsidP="004D0299">
      <w:pPr>
        <w:spacing w:after="0" w:line="276" w:lineRule="auto"/>
        <w:jc w:val="both"/>
        <w:rPr>
          <w:rFonts w:ascii="Sylfaen" w:hAnsi="Sylfaen"/>
          <w:sz w:val="24"/>
          <w:szCs w:val="24"/>
          <w:lang w:val="ka-GE"/>
        </w:rPr>
      </w:pPr>
      <w:r w:rsidRPr="004D0299">
        <w:rPr>
          <w:rFonts w:ascii="Sylfaen" w:hAnsi="Sylfaen"/>
          <w:i/>
          <w:iCs/>
          <w:sz w:val="24"/>
          <w:szCs w:val="24"/>
          <w:lang w:val="ka-GE"/>
        </w:rPr>
        <w:t>ძალიან ხშირი:</w:t>
      </w:r>
      <w:r w:rsidRPr="004D0299">
        <w:rPr>
          <w:rFonts w:ascii="Sylfaen" w:hAnsi="Sylfaen"/>
          <w:sz w:val="24"/>
          <w:szCs w:val="24"/>
          <w:lang w:val="ka-GE"/>
        </w:rPr>
        <w:t xml:space="preserve"> გულისრევა.</w:t>
      </w:r>
    </w:p>
    <w:p w14:paraId="2EF7E77E" w14:textId="71E160C3" w:rsidR="00044078" w:rsidRPr="004D0299" w:rsidRDefault="00044078" w:rsidP="004D0299">
      <w:pPr>
        <w:spacing w:after="0" w:line="276" w:lineRule="auto"/>
        <w:jc w:val="both"/>
        <w:rPr>
          <w:rFonts w:ascii="Sylfaen" w:hAnsi="Sylfaen"/>
          <w:sz w:val="24"/>
          <w:szCs w:val="24"/>
          <w:lang w:val="ka-GE"/>
        </w:rPr>
      </w:pPr>
      <w:r w:rsidRPr="004D0299">
        <w:rPr>
          <w:rFonts w:ascii="Sylfaen" w:hAnsi="Sylfaen"/>
          <w:i/>
          <w:iCs/>
          <w:sz w:val="24"/>
          <w:szCs w:val="24"/>
          <w:lang w:val="ka-GE"/>
        </w:rPr>
        <w:t>ხშირი:</w:t>
      </w:r>
      <w:r w:rsidRPr="004D0299">
        <w:rPr>
          <w:rFonts w:ascii="Sylfaen" w:hAnsi="Sylfaen"/>
          <w:sz w:val="24"/>
          <w:szCs w:val="24"/>
          <w:lang w:val="ka-GE"/>
        </w:rPr>
        <w:t xml:space="preserve"> ღებინება, დიარეა, ყაბზობა.</w:t>
      </w:r>
    </w:p>
    <w:p w14:paraId="6E4A1452" w14:textId="446EB2FE" w:rsidR="00044078" w:rsidRPr="004D0299" w:rsidRDefault="00044078"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დარღვევები კანისა და კანქვეშა ქსოვილების მხრივ</w:t>
      </w:r>
    </w:p>
    <w:p w14:paraId="65D59203" w14:textId="6B5123D9" w:rsidR="00044078" w:rsidRPr="004D0299" w:rsidRDefault="00044078" w:rsidP="004D0299">
      <w:pPr>
        <w:spacing w:after="0" w:line="276" w:lineRule="auto"/>
        <w:jc w:val="both"/>
        <w:rPr>
          <w:rFonts w:ascii="Sylfaen" w:hAnsi="Sylfaen"/>
          <w:sz w:val="24"/>
          <w:szCs w:val="24"/>
          <w:lang w:val="ka-GE"/>
        </w:rPr>
      </w:pPr>
      <w:r w:rsidRPr="004D0299">
        <w:rPr>
          <w:rFonts w:ascii="Sylfaen" w:hAnsi="Sylfaen"/>
          <w:i/>
          <w:iCs/>
          <w:sz w:val="24"/>
          <w:szCs w:val="24"/>
          <w:lang w:val="ka-GE"/>
        </w:rPr>
        <w:t>ძალიან ხშირი:</w:t>
      </w:r>
      <w:r w:rsidRPr="004D0299">
        <w:rPr>
          <w:rFonts w:ascii="Sylfaen" w:hAnsi="Sylfaen"/>
          <w:sz w:val="24"/>
          <w:szCs w:val="24"/>
          <w:lang w:val="ka-GE"/>
        </w:rPr>
        <w:t xml:space="preserve"> კანზე გამონაყარი (მათ შორის მულტიფორმული ერითემის</w:t>
      </w:r>
      <w:r w:rsidRPr="004D0299">
        <w:rPr>
          <w:rFonts w:ascii="Sylfaen" w:hAnsi="Sylfaen"/>
          <w:sz w:val="24"/>
          <w:szCs w:val="24"/>
          <w:vertAlign w:val="superscript"/>
          <w:lang w:val="ka-GE"/>
        </w:rPr>
        <w:t>1</w:t>
      </w:r>
      <w:r w:rsidRPr="004D0299">
        <w:rPr>
          <w:rFonts w:ascii="Sylfaen" w:hAnsi="Sylfaen"/>
          <w:sz w:val="24"/>
          <w:szCs w:val="24"/>
          <w:lang w:val="ka-GE"/>
        </w:rPr>
        <w:t>, სტივენს-ჯონსონის სინდრომის</w:t>
      </w:r>
      <w:r w:rsidRPr="004D0299">
        <w:rPr>
          <w:rFonts w:ascii="Sylfaen" w:hAnsi="Sylfaen"/>
          <w:sz w:val="24"/>
          <w:szCs w:val="24"/>
          <w:vertAlign w:val="superscript"/>
          <w:lang w:val="ka-GE"/>
        </w:rPr>
        <w:t>1</w:t>
      </w:r>
      <w:r w:rsidRPr="004D0299">
        <w:rPr>
          <w:rFonts w:ascii="Sylfaen" w:hAnsi="Sylfaen"/>
          <w:sz w:val="24"/>
          <w:szCs w:val="24"/>
          <w:lang w:val="ka-GE"/>
        </w:rPr>
        <w:t>, ბულოზური პემფიგოიდის</w:t>
      </w:r>
      <w:r w:rsidRPr="004D0299">
        <w:rPr>
          <w:rFonts w:ascii="Sylfaen" w:hAnsi="Sylfaen"/>
          <w:sz w:val="24"/>
          <w:szCs w:val="24"/>
          <w:vertAlign w:val="superscript"/>
          <w:lang w:val="ka-GE"/>
        </w:rPr>
        <w:t>1</w:t>
      </w:r>
      <w:r w:rsidRPr="004D0299">
        <w:rPr>
          <w:rFonts w:ascii="Sylfaen" w:hAnsi="Sylfaen"/>
          <w:sz w:val="24"/>
          <w:szCs w:val="24"/>
          <w:lang w:val="ka-GE"/>
        </w:rPr>
        <w:t xml:space="preserve"> იშვიათი შემთხვევები).</w:t>
      </w:r>
    </w:p>
    <w:p w14:paraId="22D91E37" w14:textId="25BB88B2" w:rsidR="00044078" w:rsidRPr="004D0299" w:rsidRDefault="00044078" w:rsidP="004D0299">
      <w:pPr>
        <w:spacing w:after="0" w:line="276" w:lineRule="auto"/>
        <w:jc w:val="both"/>
        <w:rPr>
          <w:rFonts w:ascii="Sylfaen" w:hAnsi="Sylfaen"/>
          <w:sz w:val="24"/>
          <w:szCs w:val="24"/>
          <w:lang w:val="ka-GE"/>
        </w:rPr>
      </w:pPr>
      <w:r w:rsidRPr="004D0299">
        <w:rPr>
          <w:rFonts w:ascii="Sylfaen" w:hAnsi="Sylfaen"/>
          <w:i/>
          <w:iCs/>
          <w:sz w:val="24"/>
          <w:szCs w:val="24"/>
          <w:lang w:val="ka-GE"/>
        </w:rPr>
        <w:t>ხშირი:</w:t>
      </w:r>
      <w:r w:rsidRPr="004D0299">
        <w:rPr>
          <w:rFonts w:ascii="Sylfaen" w:hAnsi="Sylfaen"/>
          <w:sz w:val="24"/>
          <w:szCs w:val="24"/>
          <w:lang w:val="ka-GE"/>
        </w:rPr>
        <w:t xml:space="preserve"> ალოპეცია, ჰიპერმგრძნობელობის რეაქციები, მათ შორის ანგიონევროზული შეშუპების იშვიათი შემთხვევები.</w:t>
      </w:r>
    </w:p>
    <w:p w14:paraId="2677DEB2" w14:textId="75617C5E" w:rsidR="00044078" w:rsidRPr="004D0299" w:rsidRDefault="00044078" w:rsidP="004D0299">
      <w:pPr>
        <w:spacing w:after="0" w:line="276" w:lineRule="auto"/>
        <w:jc w:val="both"/>
        <w:rPr>
          <w:rFonts w:ascii="Sylfaen" w:hAnsi="Sylfaen"/>
          <w:sz w:val="24"/>
          <w:szCs w:val="24"/>
          <w:lang w:val="ka-GE"/>
        </w:rPr>
      </w:pPr>
      <w:r w:rsidRPr="004D0299">
        <w:rPr>
          <w:rFonts w:ascii="Sylfaen" w:hAnsi="Sylfaen"/>
          <w:i/>
          <w:iCs/>
          <w:sz w:val="24"/>
          <w:szCs w:val="24"/>
          <w:lang w:val="ka-GE"/>
        </w:rPr>
        <w:t>იშვიათი</w:t>
      </w:r>
      <w:r w:rsidRPr="004D0299">
        <w:rPr>
          <w:rFonts w:ascii="Sylfaen" w:hAnsi="Sylfaen"/>
          <w:sz w:val="24"/>
          <w:szCs w:val="24"/>
          <w:lang w:val="ka-GE"/>
        </w:rPr>
        <w:t xml:space="preserve">: კანის ვასკულიტი </w:t>
      </w:r>
      <w:r w:rsidRPr="004D0299">
        <w:rPr>
          <w:rFonts w:ascii="Sylfaen" w:hAnsi="Sylfaen"/>
          <w:sz w:val="24"/>
          <w:szCs w:val="24"/>
          <w:vertAlign w:val="superscript"/>
          <w:lang w:val="ka-GE"/>
        </w:rPr>
        <w:t>1</w:t>
      </w:r>
      <w:r w:rsidRPr="004D0299">
        <w:rPr>
          <w:rFonts w:ascii="Sylfaen" w:hAnsi="Sylfaen"/>
          <w:sz w:val="24"/>
          <w:szCs w:val="24"/>
          <w:lang w:val="ka-GE"/>
        </w:rPr>
        <w:t>, ტოქსიკური ეპიდერმული ნეკროლიზი.</w:t>
      </w:r>
    </w:p>
    <w:p w14:paraId="37ED0B46" w14:textId="738E78D3" w:rsidR="00044078" w:rsidRPr="004D0299" w:rsidRDefault="00044078" w:rsidP="004D0299">
      <w:pPr>
        <w:spacing w:after="0" w:line="276" w:lineRule="auto"/>
        <w:jc w:val="both"/>
        <w:rPr>
          <w:rFonts w:ascii="Sylfaen" w:hAnsi="Sylfaen"/>
          <w:sz w:val="24"/>
          <w:szCs w:val="24"/>
          <w:lang w:val="ka-GE"/>
        </w:rPr>
      </w:pPr>
      <w:r w:rsidRPr="004D0299">
        <w:rPr>
          <w:rFonts w:ascii="Sylfaen" w:hAnsi="Sylfaen"/>
          <w:i/>
          <w:iCs/>
          <w:sz w:val="24"/>
          <w:szCs w:val="24"/>
          <w:lang w:val="ka-GE"/>
        </w:rPr>
        <w:t>ძალიან იშვიათი:</w:t>
      </w:r>
      <w:r w:rsidRPr="004D0299">
        <w:rPr>
          <w:rFonts w:ascii="Sylfaen" w:hAnsi="Sylfaen"/>
          <w:sz w:val="24"/>
          <w:szCs w:val="24"/>
          <w:lang w:val="ka-GE"/>
        </w:rPr>
        <w:t xml:space="preserve"> კანის წითელი მგლურა</w:t>
      </w:r>
      <w:r w:rsidRPr="004D0299">
        <w:rPr>
          <w:rFonts w:ascii="Sylfaen" w:hAnsi="Sylfaen"/>
          <w:sz w:val="24"/>
          <w:szCs w:val="24"/>
          <w:vertAlign w:val="superscript"/>
          <w:lang w:val="ka-GE"/>
        </w:rPr>
        <w:t xml:space="preserve"> 4</w:t>
      </w:r>
    </w:p>
    <w:p w14:paraId="3BBE1C1B" w14:textId="1E12BA71" w:rsidR="00044078" w:rsidRPr="004D0299" w:rsidRDefault="00721624"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დარღვევები ძვალ-კუნთოვანი სისტემისა და შემაერთებელი ქსოვილის მხრივ</w:t>
      </w:r>
    </w:p>
    <w:p w14:paraId="4F873679" w14:textId="2DDB4394" w:rsidR="00721624" w:rsidRPr="004D0299" w:rsidRDefault="00721624" w:rsidP="004D0299">
      <w:pPr>
        <w:spacing w:after="0" w:line="276" w:lineRule="auto"/>
        <w:jc w:val="both"/>
        <w:rPr>
          <w:rFonts w:ascii="Sylfaen" w:hAnsi="Sylfaen"/>
          <w:sz w:val="24"/>
          <w:szCs w:val="24"/>
          <w:lang w:val="ka-GE"/>
        </w:rPr>
      </w:pPr>
      <w:r w:rsidRPr="004D0299">
        <w:rPr>
          <w:rFonts w:ascii="Sylfaen" w:hAnsi="Sylfaen"/>
          <w:i/>
          <w:iCs/>
          <w:sz w:val="24"/>
          <w:szCs w:val="24"/>
          <w:lang w:val="ka-GE"/>
        </w:rPr>
        <w:t xml:space="preserve">ხშირად: </w:t>
      </w:r>
      <w:r w:rsidRPr="004D0299">
        <w:rPr>
          <w:rFonts w:ascii="Sylfaen" w:hAnsi="Sylfaen"/>
          <w:sz w:val="24"/>
          <w:szCs w:val="24"/>
          <w:lang w:val="ka-GE"/>
        </w:rPr>
        <w:t>მიალგია</w:t>
      </w:r>
    </w:p>
    <w:p w14:paraId="4FBC48CD" w14:textId="7636C9CD" w:rsidR="00721624" w:rsidRPr="004D0299" w:rsidRDefault="00721624"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დარღვევები ენდოკრინული სისტემის მხრივ</w:t>
      </w:r>
    </w:p>
    <w:p w14:paraId="2EE8BEBA" w14:textId="5DF90BED" w:rsidR="00721624" w:rsidRPr="004D0299" w:rsidRDefault="00721624" w:rsidP="004D0299">
      <w:pPr>
        <w:spacing w:after="0" w:line="276" w:lineRule="auto"/>
        <w:jc w:val="both"/>
        <w:rPr>
          <w:rFonts w:ascii="Sylfaen" w:hAnsi="Sylfaen"/>
          <w:sz w:val="24"/>
          <w:szCs w:val="24"/>
          <w:lang w:val="ka-GE"/>
        </w:rPr>
      </w:pPr>
      <w:r w:rsidRPr="004D0299">
        <w:rPr>
          <w:rFonts w:ascii="Sylfaen" w:hAnsi="Sylfaen"/>
          <w:i/>
          <w:iCs/>
          <w:sz w:val="24"/>
          <w:szCs w:val="24"/>
          <w:lang w:val="ka-GE"/>
        </w:rPr>
        <w:t xml:space="preserve">ხშირი: </w:t>
      </w:r>
      <w:r w:rsidRPr="004D0299">
        <w:rPr>
          <w:rFonts w:ascii="Sylfaen" w:hAnsi="Sylfaen"/>
          <w:sz w:val="24"/>
          <w:szCs w:val="24"/>
          <w:lang w:val="ka-GE"/>
        </w:rPr>
        <w:t>ჰიპერკალციემია ძვლის მეტასტაზების მქონე პაციენტებში, განსაკუთრებით მკურნალობის დასაწყისში.</w:t>
      </w:r>
    </w:p>
    <w:p w14:paraId="7ED591F8" w14:textId="77777777" w:rsidR="00721624" w:rsidRPr="004D0299" w:rsidRDefault="00721624"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მეტაბოლური და კვებითი დარღვევები</w:t>
      </w:r>
    </w:p>
    <w:p w14:paraId="624DD4F9" w14:textId="77777777" w:rsidR="00721624" w:rsidRPr="004D0299" w:rsidRDefault="00721624" w:rsidP="004D0299">
      <w:pPr>
        <w:spacing w:after="0" w:line="276" w:lineRule="auto"/>
        <w:jc w:val="both"/>
        <w:rPr>
          <w:rFonts w:ascii="Sylfaen" w:hAnsi="Sylfaen"/>
          <w:sz w:val="24"/>
          <w:szCs w:val="24"/>
          <w:lang w:val="ka-GE"/>
        </w:rPr>
      </w:pPr>
      <w:r w:rsidRPr="004D0299">
        <w:rPr>
          <w:rFonts w:ascii="Sylfaen" w:hAnsi="Sylfaen"/>
          <w:i/>
          <w:iCs/>
          <w:sz w:val="24"/>
          <w:szCs w:val="24"/>
          <w:lang w:val="ka-GE"/>
        </w:rPr>
        <w:t>ძალიან ხშირი:</w:t>
      </w:r>
      <w:r w:rsidRPr="004D0299">
        <w:rPr>
          <w:rFonts w:ascii="Sylfaen" w:hAnsi="Sylfaen"/>
          <w:sz w:val="24"/>
          <w:szCs w:val="24"/>
          <w:lang w:val="ka-GE"/>
        </w:rPr>
        <w:t xml:space="preserve"> სითხის შეკავება.</w:t>
      </w:r>
    </w:p>
    <w:p w14:paraId="5EF0344A" w14:textId="66CDFC43" w:rsidR="00721624" w:rsidRPr="004D0299" w:rsidRDefault="00721624" w:rsidP="004D0299">
      <w:pPr>
        <w:spacing w:after="0" w:line="276" w:lineRule="auto"/>
        <w:jc w:val="both"/>
        <w:rPr>
          <w:rFonts w:ascii="Sylfaen" w:hAnsi="Sylfaen"/>
          <w:sz w:val="24"/>
          <w:szCs w:val="24"/>
          <w:lang w:val="ka-GE"/>
        </w:rPr>
      </w:pPr>
      <w:r w:rsidRPr="004D0299">
        <w:rPr>
          <w:rFonts w:ascii="Sylfaen" w:hAnsi="Sylfaen"/>
          <w:i/>
          <w:iCs/>
          <w:sz w:val="24"/>
          <w:szCs w:val="24"/>
          <w:lang w:val="ka-GE"/>
        </w:rPr>
        <w:lastRenderedPageBreak/>
        <w:t>ხშირი:</w:t>
      </w:r>
      <w:r w:rsidRPr="004D0299">
        <w:rPr>
          <w:rFonts w:ascii="Sylfaen" w:hAnsi="Sylfaen"/>
          <w:sz w:val="24"/>
          <w:szCs w:val="24"/>
          <w:lang w:val="ka-GE"/>
        </w:rPr>
        <w:t xml:space="preserve"> შრატში ტრიგლიცერიდების დონის მომატება.</w:t>
      </w:r>
    </w:p>
    <w:p w14:paraId="364B773D" w14:textId="4012E0EF" w:rsidR="00721624" w:rsidRPr="004D0299" w:rsidRDefault="00721624" w:rsidP="004D0299">
      <w:pPr>
        <w:spacing w:after="0" w:line="276" w:lineRule="auto"/>
        <w:jc w:val="both"/>
        <w:rPr>
          <w:rFonts w:ascii="Sylfaen" w:hAnsi="Sylfaen"/>
          <w:sz w:val="24"/>
          <w:szCs w:val="24"/>
          <w:lang w:val="ka-GE"/>
        </w:rPr>
      </w:pPr>
      <w:r w:rsidRPr="004D0299">
        <w:rPr>
          <w:rFonts w:ascii="Sylfaen" w:hAnsi="Sylfaen"/>
          <w:i/>
          <w:iCs/>
          <w:sz w:val="24"/>
          <w:szCs w:val="24"/>
          <w:lang w:val="ka-GE"/>
        </w:rPr>
        <w:t>ძალიან იშვიათი:</w:t>
      </w:r>
      <w:r w:rsidRPr="004D0299">
        <w:rPr>
          <w:rFonts w:ascii="Sylfaen" w:hAnsi="Sylfaen"/>
          <w:sz w:val="24"/>
          <w:szCs w:val="24"/>
          <w:lang w:val="ka-GE"/>
        </w:rPr>
        <w:t xml:space="preserve"> მძიმე ჰიპერტრიგლიცერიდემია, ზოგჯერ პანკრეატიტით.</w:t>
      </w:r>
    </w:p>
    <w:p w14:paraId="04CD5D8A" w14:textId="187CBDAF" w:rsidR="00721624" w:rsidRPr="004D0299" w:rsidRDefault="00721624"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დარღვევები სისხლძარღვთა მხრივ</w:t>
      </w:r>
    </w:p>
    <w:p w14:paraId="0485A903" w14:textId="1DD7E2AB" w:rsidR="00721624" w:rsidRPr="004D0299" w:rsidRDefault="00721624" w:rsidP="004D0299">
      <w:pPr>
        <w:spacing w:after="0" w:line="276" w:lineRule="auto"/>
        <w:jc w:val="both"/>
        <w:rPr>
          <w:rFonts w:ascii="Sylfaen" w:hAnsi="Sylfaen"/>
          <w:sz w:val="24"/>
          <w:szCs w:val="24"/>
          <w:lang w:val="ka-GE"/>
        </w:rPr>
      </w:pPr>
      <w:r w:rsidRPr="004D0299">
        <w:rPr>
          <w:rFonts w:ascii="Sylfaen" w:hAnsi="Sylfaen"/>
          <w:i/>
          <w:iCs/>
          <w:sz w:val="24"/>
          <w:szCs w:val="24"/>
          <w:lang w:val="ka-GE"/>
        </w:rPr>
        <w:t>ხშირი:</w:t>
      </w:r>
      <w:r w:rsidRPr="004D0299">
        <w:rPr>
          <w:rFonts w:ascii="Sylfaen" w:hAnsi="Sylfaen"/>
          <w:sz w:val="24"/>
          <w:szCs w:val="24"/>
          <w:lang w:val="ka-GE"/>
        </w:rPr>
        <w:t xml:space="preserve"> იშემიური ცერებროვასკულური შემთხვევები, ფეხის კრუნჩხვები, თრომბოემბოლიური მოვლენები, მათ შორის ღრმა ვენების თრომბოზი, მიკროვასკულური თრომბოზი და ფილტვის ემბოლია. თრომბოემბოლიური მოვლენების რისკი იზრდება თანმხლები ქიმიოთერაპიის დროს.</w:t>
      </w:r>
    </w:p>
    <w:p w14:paraId="7E1F8A5E" w14:textId="24C42532" w:rsidR="00721624" w:rsidRPr="004D0299" w:rsidRDefault="00721624" w:rsidP="004D0299">
      <w:pPr>
        <w:spacing w:after="0" w:line="276" w:lineRule="auto"/>
        <w:jc w:val="both"/>
        <w:rPr>
          <w:rFonts w:ascii="Sylfaen" w:hAnsi="Sylfaen"/>
          <w:sz w:val="24"/>
          <w:szCs w:val="24"/>
          <w:lang w:val="ka-GE"/>
        </w:rPr>
      </w:pPr>
      <w:r w:rsidRPr="004D0299">
        <w:rPr>
          <w:rFonts w:ascii="Sylfaen" w:hAnsi="Sylfaen"/>
          <w:i/>
          <w:iCs/>
          <w:sz w:val="24"/>
          <w:szCs w:val="24"/>
          <w:lang w:val="ka-GE"/>
        </w:rPr>
        <w:t>არახშირი:</w:t>
      </w:r>
      <w:r w:rsidRPr="004D0299">
        <w:rPr>
          <w:rFonts w:ascii="Sylfaen" w:hAnsi="Sylfaen"/>
          <w:sz w:val="24"/>
          <w:szCs w:val="24"/>
          <w:lang w:val="ka-GE"/>
        </w:rPr>
        <w:t xml:space="preserve"> ინსულტი </w:t>
      </w:r>
      <w:r w:rsidRPr="004D0299">
        <w:rPr>
          <w:rFonts w:ascii="Sylfaen" w:hAnsi="Sylfaen"/>
          <w:sz w:val="24"/>
          <w:szCs w:val="24"/>
          <w:vertAlign w:val="superscript"/>
          <w:lang w:val="ka-GE"/>
        </w:rPr>
        <w:t>2</w:t>
      </w:r>
      <w:r w:rsidRPr="004D0299">
        <w:rPr>
          <w:rFonts w:ascii="Sylfaen" w:hAnsi="Sylfaen"/>
          <w:sz w:val="24"/>
          <w:szCs w:val="24"/>
          <w:lang w:val="ka-GE"/>
        </w:rPr>
        <w:t>.</w:t>
      </w:r>
    </w:p>
    <w:p w14:paraId="7E1FCB38" w14:textId="54562B80" w:rsidR="00721624" w:rsidRPr="004D0299" w:rsidRDefault="00721624"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ზოგადი დარღვევები და შეყვანის ადგილზე განვითარებული რეაქციები</w:t>
      </w:r>
    </w:p>
    <w:p w14:paraId="6F796709" w14:textId="77777777" w:rsidR="00721624" w:rsidRPr="004D0299" w:rsidRDefault="00721624" w:rsidP="004D0299">
      <w:pPr>
        <w:spacing w:after="0" w:line="276" w:lineRule="auto"/>
        <w:jc w:val="both"/>
        <w:rPr>
          <w:rFonts w:ascii="Sylfaen" w:hAnsi="Sylfaen"/>
          <w:sz w:val="24"/>
          <w:szCs w:val="24"/>
          <w:lang w:val="ka-GE"/>
        </w:rPr>
      </w:pPr>
      <w:r w:rsidRPr="004D0299">
        <w:rPr>
          <w:rFonts w:ascii="Sylfaen" w:hAnsi="Sylfaen"/>
          <w:i/>
          <w:iCs/>
          <w:sz w:val="24"/>
          <w:szCs w:val="24"/>
          <w:lang w:val="ka-GE"/>
        </w:rPr>
        <w:t>ძალიან ხშირი:</w:t>
      </w:r>
      <w:r w:rsidRPr="004D0299">
        <w:rPr>
          <w:rFonts w:ascii="Sylfaen" w:hAnsi="Sylfaen"/>
          <w:sz w:val="24"/>
          <w:szCs w:val="24"/>
          <w:lang w:val="ka-GE"/>
        </w:rPr>
        <w:t xml:space="preserve"> ალები, რომლებიც ნაწილობრივ დაკავშირებულია ტამოქსიფენის ანტიესტროგენულ მოქმედებასთან, დაღლილობა.</w:t>
      </w:r>
    </w:p>
    <w:p w14:paraId="08CFB8A7" w14:textId="2BDF8221" w:rsidR="00721624" w:rsidRPr="004D0299" w:rsidRDefault="00721624" w:rsidP="004D0299">
      <w:pPr>
        <w:spacing w:after="0" w:line="276" w:lineRule="auto"/>
        <w:jc w:val="both"/>
        <w:rPr>
          <w:rFonts w:ascii="Sylfaen" w:hAnsi="Sylfaen"/>
          <w:sz w:val="24"/>
          <w:szCs w:val="24"/>
          <w:lang w:val="ka-GE"/>
        </w:rPr>
      </w:pPr>
      <w:r w:rsidRPr="004D0299">
        <w:rPr>
          <w:rFonts w:ascii="Sylfaen" w:hAnsi="Sylfaen"/>
          <w:i/>
          <w:iCs/>
          <w:sz w:val="24"/>
          <w:szCs w:val="24"/>
          <w:lang w:val="ka-GE"/>
        </w:rPr>
        <w:t>იშვიათი:</w:t>
      </w:r>
      <w:r w:rsidRPr="004D0299">
        <w:rPr>
          <w:rFonts w:ascii="Sylfaen" w:hAnsi="Sylfaen"/>
          <w:sz w:val="24"/>
          <w:szCs w:val="24"/>
          <w:lang w:val="ka-GE"/>
        </w:rPr>
        <w:t xml:space="preserve"> ძვლების ტკივილი და ტკივილი დაზიანებული ქსოვილის არეში, როგორც ტამოქსიფენით თერაპიაზე პასუხი მკურნალობის კურსის დასაწყისში¹.</w:t>
      </w:r>
    </w:p>
    <w:p w14:paraId="388FFC89" w14:textId="7635AE4F" w:rsidR="00721624" w:rsidRPr="004D0299" w:rsidRDefault="00721624"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დარღვევები ღვიძლისა და სანაღვლე გზების მხრივ</w:t>
      </w:r>
    </w:p>
    <w:p w14:paraId="258C30E2" w14:textId="6ED3D3B5" w:rsidR="00721624" w:rsidRPr="004D0299" w:rsidRDefault="00721624" w:rsidP="004D0299">
      <w:pPr>
        <w:spacing w:after="0" w:line="276" w:lineRule="auto"/>
        <w:jc w:val="both"/>
        <w:rPr>
          <w:rFonts w:ascii="Sylfaen" w:hAnsi="Sylfaen"/>
          <w:sz w:val="24"/>
          <w:szCs w:val="24"/>
          <w:lang w:val="ka-GE"/>
        </w:rPr>
      </w:pPr>
      <w:r w:rsidRPr="004D0299">
        <w:rPr>
          <w:rFonts w:ascii="Sylfaen" w:hAnsi="Sylfaen"/>
          <w:i/>
          <w:iCs/>
          <w:sz w:val="24"/>
          <w:szCs w:val="24"/>
          <w:lang w:val="ka-GE"/>
        </w:rPr>
        <w:t>ხშირი:</w:t>
      </w:r>
      <w:r w:rsidRPr="004D0299">
        <w:rPr>
          <w:rFonts w:ascii="Sylfaen" w:hAnsi="Sylfaen"/>
          <w:sz w:val="24"/>
          <w:szCs w:val="24"/>
          <w:lang w:val="ka-GE"/>
        </w:rPr>
        <w:t xml:space="preserve"> ღვიძლის ფერმენტების</w:t>
      </w:r>
      <w:r w:rsidR="00C72DCD" w:rsidRPr="004D0299">
        <w:rPr>
          <w:rFonts w:ascii="Sylfaen" w:hAnsi="Sylfaen"/>
          <w:sz w:val="24"/>
          <w:szCs w:val="24"/>
          <w:lang w:val="ka-GE"/>
        </w:rPr>
        <w:t xml:space="preserve"> დონის </w:t>
      </w:r>
      <w:r w:rsidRPr="004D0299">
        <w:rPr>
          <w:rFonts w:ascii="Sylfaen" w:hAnsi="Sylfaen"/>
          <w:sz w:val="24"/>
          <w:szCs w:val="24"/>
          <w:lang w:val="ka-GE"/>
        </w:rPr>
        <w:t>ცვლილებები, ღვიძლის ცხიმოვანი დისტროფია.</w:t>
      </w:r>
    </w:p>
    <w:p w14:paraId="0E3C0780" w14:textId="77777777" w:rsidR="00721624" w:rsidRPr="004D0299" w:rsidRDefault="00721624" w:rsidP="004D0299">
      <w:pPr>
        <w:spacing w:after="0" w:line="276" w:lineRule="auto"/>
        <w:jc w:val="both"/>
        <w:rPr>
          <w:rFonts w:ascii="Sylfaen" w:hAnsi="Sylfaen"/>
          <w:sz w:val="24"/>
          <w:szCs w:val="24"/>
          <w:lang w:val="ka-GE"/>
        </w:rPr>
      </w:pPr>
      <w:r w:rsidRPr="004D0299">
        <w:rPr>
          <w:rFonts w:ascii="Sylfaen" w:hAnsi="Sylfaen"/>
          <w:i/>
          <w:iCs/>
          <w:sz w:val="24"/>
          <w:szCs w:val="24"/>
          <w:lang w:val="ka-GE"/>
        </w:rPr>
        <w:t>არახშირი:</w:t>
      </w:r>
      <w:r w:rsidRPr="004D0299">
        <w:rPr>
          <w:rFonts w:ascii="Sylfaen" w:hAnsi="Sylfaen"/>
          <w:sz w:val="24"/>
          <w:szCs w:val="24"/>
          <w:lang w:val="ka-GE"/>
        </w:rPr>
        <w:t xml:space="preserve"> ღვიძლის ციროზი.</w:t>
      </w:r>
    </w:p>
    <w:p w14:paraId="046D11DA" w14:textId="4FFE694C" w:rsidR="00721624" w:rsidRPr="004D0299" w:rsidRDefault="00721624" w:rsidP="004D0299">
      <w:pPr>
        <w:spacing w:after="0" w:line="276" w:lineRule="auto"/>
        <w:jc w:val="both"/>
        <w:rPr>
          <w:rFonts w:ascii="Sylfaen" w:hAnsi="Sylfaen"/>
          <w:sz w:val="24"/>
          <w:szCs w:val="24"/>
          <w:lang w:val="ka-GE"/>
        </w:rPr>
      </w:pPr>
      <w:r w:rsidRPr="004D0299">
        <w:rPr>
          <w:rFonts w:ascii="Sylfaen" w:hAnsi="Sylfaen"/>
          <w:i/>
          <w:iCs/>
          <w:sz w:val="24"/>
          <w:szCs w:val="24"/>
          <w:lang w:val="ka-GE"/>
        </w:rPr>
        <w:t>იშვიათი:</w:t>
      </w:r>
      <w:r w:rsidRPr="004D0299">
        <w:rPr>
          <w:rFonts w:ascii="Sylfaen" w:hAnsi="Sylfaen"/>
          <w:sz w:val="24"/>
          <w:szCs w:val="24"/>
          <w:lang w:val="ka-GE"/>
        </w:rPr>
        <w:t xml:space="preserve"> ქოლესტაზი</w:t>
      </w:r>
      <w:r w:rsidRPr="004D0299">
        <w:rPr>
          <w:rFonts w:ascii="Sylfaen" w:hAnsi="Sylfaen"/>
          <w:sz w:val="24"/>
          <w:szCs w:val="24"/>
          <w:vertAlign w:val="superscript"/>
          <w:lang w:val="ka-GE"/>
        </w:rPr>
        <w:t>1</w:t>
      </w:r>
      <w:r w:rsidRPr="004D0299">
        <w:rPr>
          <w:rFonts w:ascii="Sylfaen" w:hAnsi="Sylfaen"/>
          <w:sz w:val="24"/>
          <w:szCs w:val="24"/>
          <w:lang w:val="ka-GE"/>
        </w:rPr>
        <w:t>, ჰეპატიტი, სიყვითლე, ჰეპატოცელულარული ნეკროზი</w:t>
      </w:r>
      <w:r w:rsidRPr="004D0299">
        <w:rPr>
          <w:rFonts w:ascii="Sylfaen" w:hAnsi="Sylfaen"/>
          <w:sz w:val="24"/>
          <w:szCs w:val="24"/>
          <w:vertAlign w:val="superscript"/>
          <w:lang w:val="ka-GE"/>
        </w:rPr>
        <w:t>1</w:t>
      </w:r>
      <w:r w:rsidRPr="004D0299">
        <w:rPr>
          <w:rFonts w:ascii="Sylfaen" w:hAnsi="Sylfaen"/>
          <w:sz w:val="24"/>
          <w:szCs w:val="24"/>
          <w:lang w:val="ka-GE"/>
        </w:rPr>
        <w:t>, ჰეპატოცელულარული დაზიანება</w:t>
      </w:r>
      <w:r w:rsidRPr="004D0299">
        <w:rPr>
          <w:rFonts w:ascii="Sylfaen" w:hAnsi="Sylfaen"/>
          <w:sz w:val="24"/>
          <w:szCs w:val="24"/>
          <w:vertAlign w:val="superscript"/>
          <w:lang w:val="ka-GE"/>
        </w:rPr>
        <w:t>1</w:t>
      </w:r>
      <w:r w:rsidRPr="004D0299">
        <w:rPr>
          <w:rFonts w:ascii="Sylfaen" w:hAnsi="Sylfaen"/>
          <w:sz w:val="24"/>
          <w:szCs w:val="24"/>
          <w:lang w:val="ka-GE"/>
        </w:rPr>
        <w:t xml:space="preserve">, ღვიძლის მძიმე უკმარისობა. </w:t>
      </w:r>
      <w:r w:rsidR="00C72DCD" w:rsidRPr="004D0299">
        <w:rPr>
          <w:rFonts w:ascii="Sylfaen" w:hAnsi="Sylfaen"/>
          <w:sz w:val="24"/>
          <w:szCs w:val="24"/>
          <w:lang w:val="ka-GE"/>
        </w:rPr>
        <w:t>ღვიძლის უფრო მძიმე დაზიანებების ზოგიერთი შემთხვევა ლეტალური გამოსავლით დასრულდა.</w:t>
      </w:r>
    </w:p>
    <w:p w14:paraId="6E1A7481" w14:textId="1D0C1D68" w:rsidR="00C72DCD" w:rsidRPr="004D0299" w:rsidRDefault="00C72DCD"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სასქესო ორგანოებისა და სარძევე ჯირკვლების დარღვევები</w:t>
      </w:r>
    </w:p>
    <w:p w14:paraId="3D30D57D" w14:textId="77777777" w:rsidR="00C72DCD" w:rsidRPr="004D0299" w:rsidRDefault="00C72DCD" w:rsidP="004D0299">
      <w:pPr>
        <w:spacing w:after="0" w:line="276" w:lineRule="auto"/>
        <w:jc w:val="both"/>
        <w:rPr>
          <w:rFonts w:ascii="Sylfaen" w:hAnsi="Sylfaen"/>
          <w:sz w:val="24"/>
          <w:szCs w:val="24"/>
          <w:lang w:val="ka-GE"/>
        </w:rPr>
      </w:pPr>
      <w:r w:rsidRPr="004D0299">
        <w:rPr>
          <w:rFonts w:ascii="Sylfaen" w:hAnsi="Sylfaen"/>
          <w:i/>
          <w:iCs/>
          <w:sz w:val="24"/>
          <w:szCs w:val="24"/>
          <w:lang w:val="ka-GE"/>
        </w:rPr>
        <w:t>ძალიან ხშირი:</w:t>
      </w:r>
      <w:r w:rsidRPr="004D0299">
        <w:rPr>
          <w:rFonts w:ascii="Sylfaen" w:hAnsi="Sylfaen"/>
          <w:sz w:val="24"/>
          <w:szCs w:val="24"/>
          <w:lang w:val="ka-GE"/>
        </w:rPr>
        <w:t xml:space="preserve"> ვაგინალური გამონადენი, მენსტრუალური ციკლის დარღვევა, მათ შორის მენსტრუაციის დათრგუნვა პრემენოპაუზურ ქალებში</w:t>
      </w:r>
      <w:r w:rsidRPr="004D0299">
        <w:rPr>
          <w:rFonts w:ascii="Sylfaen" w:hAnsi="Sylfaen"/>
          <w:sz w:val="24"/>
          <w:szCs w:val="24"/>
          <w:vertAlign w:val="superscript"/>
          <w:lang w:val="ka-GE"/>
        </w:rPr>
        <w:t>3</w:t>
      </w:r>
      <w:r w:rsidRPr="004D0299">
        <w:rPr>
          <w:rFonts w:ascii="Sylfaen" w:hAnsi="Sylfaen"/>
          <w:sz w:val="24"/>
          <w:szCs w:val="24"/>
          <w:lang w:val="ka-GE"/>
        </w:rPr>
        <w:t>, ვაგინალური სისხლდენა.</w:t>
      </w:r>
    </w:p>
    <w:p w14:paraId="157AE3BF" w14:textId="5DE284C7" w:rsidR="00C72DCD" w:rsidRPr="004D0299" w:rsidRDefault="00C72DCD" w:rsidP="004D0299">
      <w:pPr>
        <w:spacing w:after="0" w:line="276" w:lineRule="auto"/>
        <w:jc w:val="both"/>
        <w:rPr>
          <w:rFonts w:ascii="Sylfaen" w:hAnsi="Sylfaen"/>
          <w:sz w:val="24"/>
          <w:szCs w:val="24"/>
          <w:lang w:val="ka-GE"/>
        </w:rPr>
      </w:pPr>
      <w:r w:rsidRPr="004D0299">
        <w:rPr>
          <w:rFonts w:ascii="Sylfaen" w:hAnsi="Sylfaen"/>
          <w:i/>
          <w:iCs/>
          <w:sz w:val="24"/>
          <w:szCs w:val="24"/>
          <w:lang w:val="ka-GE"/>
        </w:rPr>
        <w:t>ხშირი:</w:t>
      </w:r>
      <w:r w:rsidRPr="004D0299">
        <w:rPr>
          <w:rFonts w:ascii="Sylfaen" w:hAnsi="Sylfaen"/>
          <w:sz w:val="24"/>
          <w:szCs w:val="24"/>
          <w:lang w:val="ka-GE"/>
        </w:rPr>
        <w:t xml:space="preserve"> ვულვის ქავილი, საშვილოსნოს მიომის გადიდება, პროლიფერაციული ენდომეტრიუმის ცვლილებები (ენდომეტრიუმის ნეოპლაზმები, ენდომეტრიუმის ჰიპერპლაზია და პოლიპები და, უფრო იშვიათად, ენდომეტრიოზი</w:t>
      </w:r>
      <w:r w:rsidRPr="004D0299">
        <w:rPr>
          <w:rFonts w:ascii="Sylfaen" w:hAnsi="Sylfaen"/>
          <w:sz w:val="24"/>
          <w:szCs w:val="24"/>
          <w:vertAlign w:val="superscript"/>
          <w:lang w:val="ka-GE"/>
        </w:rPr>
        <w:t>1</w:t>
      </w:r>
      <w:r w:rsidRPr="004D0299">
        <w:rPr>
          <w:rFonts w:ascii="Sylfaen" w:hAnsi="Sylfaen"/>
          <w:sz w:val="24"/>
          <w:szCs w:val="24"/>
          <w:lang w:val="ka-GE"/>
        </w:rPr>
        <w:t>).</w:t>
      </w:r>
    </w:p>
    <w:p w14:paraId="74D0DA1F" w14:textId="560CB137" w:rsidR="00C72DCD" w:rsidRPr="004D0299" w:rsidRDefault="00C72DCD" w:rsidP="004D0299">
      <w:pPr>
        <w:spacing w:after="0" w:line="276" w:lineRule="auto"/>
        <w:jc w:val="both"/>
        <w:rPr>
          <w:rFonts w:ascii="Sylfaen" w:hAnsi="Sylfaen"/>
          <w:sz w:val="24"/>
          <w:szCs w:val="24"/>
          <w:lang w:val="ka-GE"/>
        </w:rPr>
      </w:pPr>
      <w:r w:rsidRPr="004D0299">
        <w:rPr>
          <w:rFonts w:ascii="Sylfaen" w:hAnsi="Sylfaen"/>
          <w:i/>
          <w:iCs/>
          <w:sz w:val="24"/>
          <w:szCs w:val="24"/>
          <w:lang w:val="ka-GE"/>
        </w:rPr>
        <w:t>არახშირი:</w:t>
      </w:r>
      <w:r w:rsidRPr="004D0299">
        <w:rPr>
          <w:rFonts w:ascii="Sylfaen" w:hAnsi="Sylfaen"/>
          <w:sz w:val="24"/>
          <w:szCs w:val="24"/>
          <w:lang w:val="ka-GE"/>
        </w:rPr>
        <w:t xml:space="preserve"> ენდომეტრიუმის კიბო.</w:t>
      </w:r>
    </w:p>
    <w:p w14:paraId="40D4C326" w14:textId="77777777" w:rsidR="00C72DCD" w:rsidRPr="004D0299" w:rsidRDefault="00C72DCD" w:rsidP="004D0299">
      <w:pPr>
        <w:spacing w:after="0" w:line="276" w:lineRule="auto"/>
        <w:jc w:val="both"/>
        <w:rPr>
          <w:rFonts w:ascii="Sylfaen" w:hAnsi="Sylfaen"/>
          <w:sz w:val="24"/>
          <w:szCs w:val="24"/>
          <w:lang w:val="ka-GE"/>
        </w:rPr>
      </w:pPr>
      <w:r w:rsidRPr="004D0299">
        <w:rPr>
          <w:rFonts w:ascii="Sylfaen" w:hAnsi="Sylfaen"/>
          <w:sz w:val="24"/>
          <w:szCs w:val="24"/>
          <w:lang w:val="ka-GE"/>
        </w:rPr>
        <w:t>ამჟამინდელი მონაცემები მიუთითებს, რომ ტამოქსიფენით თერაპიის ხანგრძლივობის ზრდასთან ერთად, ენდომეტრიუმის კიბოს განვითარების რისკი 2-4-ჯერ იზრდება იმ ქალებთან შედარებით, რომლებიც არ იღებენ ტამოქსიფენს.</w:t>
      </w:r>
    </w:p>
    <w:p w14:paraId="3FF76C8A" w14:textId="2B59D0AA" w:rsidR="00C72DCD" w:rsidRPr="004D0299" w:rsidRDefault="00C72DCD" w:rsidP="004D0299">
      <w:pPr>
        <w:spacing w:after="0" w:line="276" w:lineRule="auto"/>
        <w:jc w:val="both"/>
        <w:rPr>
          <w:rFonts w:ascii="Sylfaen" w:hAnsi="Sylfaen"/>
          <w:sz w:val="24"/>
          <w:szCs w:val="24"/>
          <w:lang w:val="ka-GE"/>
        </w:rPr>
      </w:pPr>
      <w:r w:rsidRPr="004D0299">
        <w:rPr>
          <w:rFonts w:ascii="Sylfaen" w:hAnsi="Sylfaen"/>
          <w:i/>
          <w:iCs/>
          <w:sz w:val="24"/>
          <w:szCs w:val="24"/>
          <w:lang w:val="ka-GE"/>
        </w:rPr>
        <w:t>იშვიათი:</w:t>
      </w:r>
      <w:r w:rsidRPr="004D0299">
        <w:rPr>
          <w:rFonts w:ascii="Sylfaen" w:hAnsi="Sylfaen"/>
          <w:sz w:val="24"/>
          <w:szCs w:val="24"/>
          <w:lang w:val="ka-GE"/>
        </w:rPr>
        <w:t xml:space="preserve"> საკვერცხის კისტები</w:t>
      </w:r>
      <w:r w:rsidRPr="004D0299">
        <w:rPr>
          <w:rFonts w:ascii="Sylfaen" w:hAnsi="Sylfaen"/>
          <w:sz w:val="24"/>
          <w:szCs w:val="24"/>
          <w:vertAlign w:val="superscript"/>
          <w:lang w:val="ka-GE"/>
        </w:rPr>
        <w:t>1</w:t>
      </w:r>
      <w:r w:rsidRPr="004D0299">
        <w:rPr>
          <w:rFonts w:ascii="Sylfaen" w:hAnsi="Sylfaen"/>
          <w:sz w:val="24"/>
          <w:szCs w:val="24"/>
          <w:lang w:val="ka-GE"/>
        </w:rPr>
        <w:t>, საშვილოსნოს სარკომა (ძირითადად ავთვისებიანი მიულერის შერეული სიმსივნეები), საშოს პოლიპები</w:t>
      </w:r>
      <w:r w:rsidRPr="004D0299">
        <w:rPr>
          <w:rFonts w:ascii="Sylfaen" w:hAnsi="Sylfaen"/>
          <w:sz w:val="24"/>
          <w:szCs w:val="24"/>
          <w:vertAlign w:val="superscript"/>
          <w:lang w:val="ka-GE"/>
        </w:rPr>
        <w:t>1</w:t>
      </w:r>
      <w:r w:rsidRPr="004D0299">
        <w:rPr>
          <w:rFonts w:ascii="Sylfaen" w:hAnsi="Sylfaen"/>
          <w:sz w:val="24"/>
          <w:szCs w:val="24"/>
          <w:lang w:val="ka-GE"/>
        </w:rPr>
        <w:t>.</w:t>
      </w:r>
    </w:p>
    <w:p w14:paraId="2FA6D3B7" w14:textId="47945361" w:rsidR="00C72DCD" w:rsidRPr="004D0299" w:rsidRDefault="00C72DCD"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თანდაყოლილი, ოჯახური და მემკვიდრეობითი დარღვევები</w:t>
      </w:r>
    </w:p>
    <w:p w14:paraId="204F9D7C" w14:textId="1DF7B1FC" w:rsidR="00C72DCD" w:rsidRPr="004D0299" w:rsidRDefault="00C72DCD" w:rsidP="004D0299">
      <w:pPr>
        <w:spacing w:after="0" w:line="276" w:lineRule="auto"/>
        <w:jc w:val="both"/>
        <w:rPr>
          <w:rFonts w:ascii="Sylfaen" w:hAnsi="Sylfaen"/>
          <w:sz w:val="24"/>
          <w:szCs w:val="24"/>
          <w:lang w:val="ka-GE"/>
        </w:rPr>
      </w:pPr>
      <w:r w:rsidRPr="004D0299">
        <w:rPr>
          <w:rFonts w:ascii="Sylfaen" w:hAnsi="Sylfaen"/>
          <w:i/>
          <w:iCs/>
          <w:sz w:val="24"/>
          <w:szCs w:val="24"/>
          <w:lang w:val="ka-GE"/>
        </w:rPr>
        <w:t>ძალიან იშვიათი:</w:t>
      </w:r>
      <w:r w:rsidRPr="004D0299">
        <w:rPr>
          <w:rFonts w:ascii="Sylfaen" w:hAnsi="Sylfaen"/>
          <w:sz w:val="24"/>
          <w:szCs w:val="24"/>
          <w:lang w:val="ka-GE"/>
        </w:rPr>
        <w:t xml:space="preserve"> კანის გვიანი პორფირია </w:t>
      </w:r>
      <w:r w:rsidRPr="004D0299">
        <w:rPr>
          <w:rFonts w:ascii="Sylfaen" w:hAnsi="Sylfaen"/>
          <w:sz w:val="24"/>
          <w:szCs w:val="24"/>
          <w:vertAlign w:val="superscript"/>
          <w:lang w:val="ka-GE"/>
        </w:rPr>
        <w:t>4</w:t>
      </w:r>
      <w:r w:rsidRPr="004D0299">
        <w:rPr>
          <w:rFonts w:ascii="Sylfaen" w:hAnsi="Sylfaen"/>
          <w:sz w:val="24"/>
          <w:szCs w:val="24"/>
          <w:lang w:val="ka-GE"/>
        </w:rPr>
        <w:t>.</w:t>
      </w:r>
    </w:p>
    <w:p w14:paraId="6A46077D" w14:textId="7E7598FA" w:rsidR="00C72DCD" w:rsidRPr="004D0299" w:rsidRDefault="00C72DCD"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ტრამვები, მოწამვლა და პროცედურული გართულებები</w:t>
      </w:r>
    </w:p>
    <w:p w14:paraId="4273CAEB" w14:textId="5628F2E4" w:rsidR="00C72DCD" w:rsidRPr="004D0299" w:rsidRDefault="00C72DCD" w:rsidP="004D0299">
      <w:pPr>
        <w:spacing w:after="0" w:line="276" w:lineRule="auto"/>
        <w:jc w:val="both"/>
        <w:rPr>
          <w:rFonts w:ascii="Sylfaen" w:hAnsi="Sylfaen"/>
          <w:sz w:val="24"/>
          <w:szCs w:val="24"/>
        </w:rPr>
      </w:pPr>
      <w:r w:rsidRPr="004D0299">
        <w:rPr>
          <w:rFonts w:ascii="Sylfaen" w:hAnsi="Sylfaen"/>
          <w:i/>
          <w:iCs/>
          <w:sz w:val="24"/>
          <w:szCs w:val="24"/>
          <w:lang w:val="ka-GE"/>
        </w:rPr>
        <w:t>ძალიან იშვიათი:</w:t>
      </w:r>
      <w:r w:rsidRPr="004D0299">
        <w:rPr>
          <w:rFonts w:ascii="Sylfaen" w:hAnsi="Sylfaen"/>
          <w:sz w:val="24"/>
          <w:szCs w:val="24"/>
          <w:lang w:val="ka-GE"/>
        </w:rPr>
        <w:t xml:space="preserve"> ადგილობრივი სხივური რეაქციების რეციდივი ადრე დასხივებულ არეალში.</w:t>
      </w:r>
    </w:p>
    <w:p w14:paraId="7BFAF974" w14:textId="5FEADAB3" w:rsidR="009D4F63" w:rsidRPr="004D0299" w:rsidRDefault="009D4F63" w:rsidP="004D0299">
      <w:pPr>
        <w:spacing w:after="0" w:line="276" w:lineRule="auto"/>
        <w:jc w:val="both"/>
        <w:rPr>
          <w:rFonts w:ascii="Sylfaen" w:hAnsi="Sylfaen"/>
          <w:sz w:val="24"/>
          <w:szCs w:val="24"/>
          <w:lang w:val="ka-GE"/>
        </w:rPr>
      </w:pPr>
      <w:r w:rsidRPr="004D0299">
        <w:rPr>
          <w:rFonts w:ascii="Sylfaen" w:hAnsi="Sylfaen"/>
          <w:sz w:val="24"/>
          <w:szCs w:val="24"/>
          <w:vertAlign w:val="superscript"/>
          <w:lang w:val="ka-GE"/>
        </w:rPr>
        <w:t xml:space="preserve">1 </w:t>
      </w:r>
      <w:r w:rsidRPr="004D0299">
        <w:rPr>
          <w:rFonts w:ascii="Sylfaen" w:hAnsi="Sylfaen"/>
          <w:sz w:val="24"/>
          <w:szCs w:val="24"/>
          <w:lang w:val="ka-GE"/>
        </w:rPr>
        <w:t xml:space="preserve">ATAC კვლევაში ეს გვერდითი რეაქცია ტამოქსიფენის ჯგუფში (n = 3904) არ გამოვლენილა. ეს გვერდითი რეაქცია სხვა კვლევებიდან ან სხვა წყაროებიდანაც არის აღწერილი. სიხშირე გამოთვლილია წერტილოვანი შეფასების 95%-იანი სანდოობის </w:t>
      </w:r>
      <w:r w:rsidRPr="004D0299">
        <w:rPr>
          <w:rFonts w:ascii="Sylfaen" w:hAnsi="Sylfaen"/>
          <w:sz w:val="24"/>
          <w:szCs w:val="24"/>
          <w:lang w:val="ka-GE"/>
        </w:rPr>
        <w:lastRenderedPageBreak/>
        <w:t>ინტერვალის ზედა ზღვრის გამოყენებით (3/x, სადაც x არის მონაწილეთა საერთო რაოდენობა, ანუ 3/3094). ამრიგად, 3/3094 შეესაბამება „იშვიათ“ კატეგორიას.</w:t>
      </w:r>
    </w:p>
    <w:p w14:paraId="4FD4FBCA" w14:textId="3350E78C" w:rsidR="009D4F63" w:rsidRPr="004D0299" w:rsidRDefault="009D4F63" w:rsidP="004D0299">
      <w:pPr>
        <w:spacing w:after="0" w:line="276" w:lineRule="auto"/>
        <w:jc w:val="both"/>
        <w:rPr>
          <w:rFonts w:ascii="Sylfaen" w:hAnsi="Sylfaen"/>
          <w:sz w:val="24"/>
          <w:szCs w:val="24"/>
          <w:lang w:val="ka-GE"/>
        </w:rPr>
      </w:pPr>
      <w:r w:rsidRPr="004D0299">
        <w:rPr>
          <w:rFonts w:ascii="Sylfaen" w:hAnsi="Sylfaen"/>
          <w:sz w:val="24"/>
          <w:szCs w:val="24"/>
          <w:vertAlign w:val="superscript"/>
          <w:lang w:val="ka-GE"/>
        </w:rPr>
        <w:t>2</w:t>
      </w:r>
      <w:r w:rsidRPr="004D0299">
        <w:rPr>
          <w:rFonts w:ascii="Sylfaen" w:hAnsi="Sylfaen"/>
          <w:sz w:val="24"/>
          <w:szCs w:val="24"/>
          <w:lang w:val="ka-GE"/>
        </w:rPr>
        <w:t xml:space="preserve"> NSABP P-1 კვლევის მონაცემებზე დაყრდნობით.</w:t>
      </w:r>
    </w:p>
    <w:p w14:paraId="41CFB3EF" w14:textId="2523588E" w:rsidR="009D4F63" w:rsidRPr="004D0299" w:rsidRDefault="009D4F63" w:rsidP="004D0299">
      <w:pPr>
        <w:spacing w:after="0" w:line="276" w:lineRule="auto"/>
        <w:jc w:val="both"/>
        <w:rPr>
          <w:rFonts w:ascii="Sylfaen" w:hAnsi="Sylfaen"/>
          <w:sz w:val="24"/>
          <w:szCs w:val="24"/>
          <w:lang w:val="ka-GE"/>
        </w:rPr>
      </w:pPr>
      <w:r w:rsidRPr="004D0299">
        <w:rPr>
          <w:rFonts w:ascii="Sylfaen" w:hAnsi="Sylfaen"/>
          <w:sz w:val="24"/>
          <w:szCs w:val="24"/>
          <w:vertAlign w:val="superscript"/>
          <w:lang w:val="ka-GE"/>
        </w:rPr>
        <w:t>3</w:t>
      </w:r>
      <w:r w:rsidRPr="004D0299">
        <w:rPr>
          <w:rFonts w:ascii="Sylfaen" w:hAnsi="Sylfaen"/>
          <w:sz w:val="24"/>
          <w:szCs w:val="24"/>
          <w:lang w:val="ka-GE"/>
        </w:rPr>
        <w:t xml:space="preserve"> არ ეფუძნება ATAC კვლევის მონაცემებს.</w:t>
      </w:r>
    </w:p>
    <w:p w14:paraId="5808F708" w14:textId="569A2D48" w:rsidR="009D4F63" w:rsidRPr="004D0299" w:rsidRDefault="009D4F63" w:rsidP="004D0299">
      <w:pPr>
        <w:spacing w:after="0" w:line="276" w:lineRule="auto"/>
        <w:jc w:val="both"/>
        <w:rPr>
          <w:rFonts w:ascii="Sylfaen" w:hAnsi="Sylfaen"/>
          <w:sz w:val="24"/>
          <w:szCs w:val="24"/>
          <w:lang w:val="ka-GE"/>
        </w:rPr>
      </w:pPr>
      <w:r w:rsidRPr="004D0299">
        <w:rPr>
          <w:rFonts w:ascii="Sylfaen" w:hAnsi="Sylfaen"/>
          <w:sz w:val="24"/>
          <w:szCs w:val="24"/>
          <w:vertAlign w:val="superscript"/>
          <w:lang w:val="ka-GE"/>
        </w:rPr>
        <w:t>4</w:t>
      </w:r>
      <w:r w:rsidRPr="004D0299">
        <w:rPr>
          <w:rFonts w:ascii="Sylfaen" w:hAnsi="Sylfaen"/>
          <w:sz w:val="24"/>
          <w:szCs w:val="24"/>
          <w:lang w:val="ka-GE"/>
        </w:rPr>
        <w:t xml:space="preserve"> ეს რეაქცია არ დაფიქსირებულა ATAC კვლევაში ან სხვა მასშტაბურ კლინიკურ კვლევებში. შემთხვევები გამოითვალა 95%-იანი სანდოობის ინტერვალის ზედა ზღვრის (ანუ 3/x, სადაც x არის 33201 პაციენტის საერთო რაოდენობა დიდ კლინიკურ კვლევებში) გამოყენებით, როგორც წერტილოვანი შეფასება. ამრიგად, 3/33201 შეესაბამება „ძალიან იშვიათი“ კატეგორიას.</w:t>
      </w:r>
    </w:p>
    <w:p w14:paraId="73C8023D" w14:textId="50D42142" w:rsidR="009D4F63" w:rsidRPr="004D0299" w:rsidRDefault="009D4F63" w:rsidP="004D0299">
      <w:pPr>
        <w:spacing w:after="0" w:line="276" w:lineRule="auto"/>
        <w:jc w:val="both"/>
        <w:rPr>
          <w:rFonts w:ascii="Sylfaen" w:hAnsi="Sylfaen"/>
          <w:i/>
          <w:iCs/>
          <w:sz w:val="24"/>
          <w:szCs w:val="24"/>
          <w:u w:val="single"/>
          <w:lang w:val="ka-GE"/>
        </w:rPr>
      </w:pPr>
      <w:r w:rsidRPr="004D0299">
        <w:rPr>
          <w:rFonts w:ascii="Sylfaen" w:hAnsi="Sylfaen"/>
          <w:i/>
          <w:iCs/>
          <w:sz w:val="24"/>
          <w:szCs w:val="24"/>
          <w:u w:val="single"/>
          <w:lang w:val="ka-GE"/>
        </w:rPr>
        <w:t xml:space="preserve">შეტყობინება საეჭვო გვერდითი რეაქციების შესახებ </w:t>
      </w:r>
    </w:p>
    <w:p w14:paraId="750CBF9C" w14:textId="613E3F15" w:rsidR="009D4F63" w:rsidRPr="004D0299" w:rsidRDefault="009D4F63" w:rsidP="004D0299">
      <w:pPr>
        <w:spacing w:after="0" w:line="276" w:lineRule="auto"/>
        <w:jc w:val="both"/>
        <w:rPr>
          <w:rFonts w:ascii="Sylfaen" w:hAnsi="Sylfaen"/>
          <w:sz w:val="24"/>
          <w:szCs w:val="24"/>
          <w:lang w:val="ka-GE"/>
        </w:rPr>
      </w:pPr>
      <w:r w:rsidRPr="004D0299">
        <w:rPr>
          <w:rFonts w:ascii="Sylfaen" w:hAnsi="Sylfaen"/>
          <w:sz w:val="24"/>
          <w:szCs w:val="24"/>
          <w:lang w:val="ka-GE"/>
        </w:rPr>
        <w:t>სამკურნალო საშუალების რეგისტრაციის შემდეგ მნიშვნელოვანია გაკეთდეს შეტყობინება საეჭვო გვერდითი რეაქციების შესახებ, რათა უზრუნველყოფილი იყოს სამკურნალო საშუალების სარგებლისა და რისკის ბალანსის მუდმივი მონიტორინგი. ჯანდაცვის სპეციალისტებს მოეთხოვებათ განახორციელონ შეტყობინება სამკურნალო საშუალების საეჭვო გვერდითი რეაქციების შესახებ, ეროვნული გვერდითი რეაქციების თაობაზე შეტყობინების სისტემის მეშვეობით.</w:t>
      </w:r>
    </w:p>
    <w:p w14:paraId="2C06E372" w14:textId="4ACB2466" w:rsidR="009D4F63" w:rsidRPr="004D0299" w:rsidRDefault="009D4F63"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4.9. დოზის გადაჭარბება</w:t>
      </w:r>
    </w:p>
    <w:p w14:paraId="6E40334B" w14:textId="24AD5071" w:rsidR="009D4F63" w:rsidRPr="004D0299" w:rsidRDefault="009D4F63" w:rsidP="004D0299">
      <w:pPr>
        <w:spacing w:after="0" w:line="276" w:lineRule="auto"/>
        <w:jc w:val="both"/>
        <w:rPr>
          <w:rFonts w:ascii="Sylfaen" w:hAnsi="Sylfaen"/>
          <w:sz w:val="24"/>
          <w:szCs w:val="24"/>
          <w:lang w:val="ka-GE"/>
        </w:rPr>
      </w:pPr>
      <w:r w:rsidRPr="004D0299">
        <w:rPr>
          <w:rFonts w:ascii="Sylfaen" w:hAnsi="Sylfaen"/>
          <w:sz w:val="24"/>
          <w:szCs w:val="24"/>
          <w:lang w:val="ka-GE"/>
        </w:rPr>
        <w:t>დოზის გადაჭარბების სიმპტომები</w:t>
      </w:r>
    </w:p>
    <w:p w14:paraId="27F3BFDE" w14:textId="77843D6A" w:rsidR="00DB0071" w:rsidRPr="004D0299" w:rsidRDefault="00DB0071" w:rsidP="004D0299">
      <w:pPr>
        <w:spacing w:after="0" w:line="276" w:lineRule="auto"/>
        <w:jc w:val="both"/>
        <w:rPr>
          <w:rFonts w:ascii="Sylfaen" w:hAnsi="Sylfaen"/>
          <w:sz w:val="24"/>
          <w:szCs w:val="24"/>
          <w:lang w:val="ka-GE"/>
        </w:rPr>
      </w:pPr>
      <w:r w:rsidRPr="004D0299">
        <w:rPr>
          <w:rFonts w:ascii="Sylfaen" w:hAnsi="Sylfaen"/>
          <w:sz w:val="24"/>
          <w:szCs w:val="24"/>
          <w:lang w:val="ka-GE"/>
        </w:rPr>
        <w:t>ადამიანებში დოზის გადაჭარბების შესახებ ძალიან ცოტა რამ არის ცნობილი. ელექტროკარდიოგრამაზე ცვლილებები (QT ინტერვალის გახანგრძლივება) დაფიქსირდა დღეში 160 მგ/მ</w:t>
      </w:r>
      <w:r w:rsidRPr="004D0299">
        <w:rPr>
          <w:rFonts w:ascii="Sylfaen" w:hAnsi="Sylfaen"/>
          <w:sz w:val="24"/>
          <w:szCs w:val="24"/>
          <w:vertAlign w:val="superscript"/>
          <w:lang w:val="ka-GE"/>
        </w:rPr>
        <w:t>2</w:t>
      </w:r>
      <w:r w:rsidRPr="004D0299">
        <w:rPr>
          <w:rFonts w:ascii="Sylfaen" w:hAnsi="Sylfaen"/>
          <w:sz w:val="24"/>
          <w:szCs w:val="24"/>
          <w:lang w:val="ka-GE"/>
        </w:rPr>
        <w:t xml:space="preserve"> და მეტი დოზით მიღებისას, ხოლო ნეიროტოქსიკურობა (ტრემორი, ჰიპერრეფლექსია, სიარულის არასტაბილურობა და თავბრუსხვევა) დაფიქსირდა დღეში 300 მგ/მ</w:t>
      </w:r>
      <w:r w:rsidRPr="004D0299">
        <w:rPr>
          <w:rFonts w:ascii="Sylfaen" w:hAnsi="Sylfaen"/>
          <w:sz w:val="24"/>
          <w:szCs w:val="24"/>
          <w:vertAlign w:val="superscript"/>
          <w:lang w:val="ka-GE"/>
        </w:rPr>
        <w:t xml:space="preserve">2 </w:t>
      </w:r>
      <w:r w:rsidRPr="004D0299">
        <w:rPr>
          <w:rFonts w:ascii="Sylfaen" w:hAnsi="Sylfaen"/>
          <w:sz w:val="24"/>
          <w:szCs w:val="24"/>
          <w:lang w:val="ka-GE"/>
        </w:rPr>
        <w:t>დოზით მიღებისას.</w:t>
      </w:r>
    </w:p>
    <w:p w14:paraId="2735092A" w14:textId="56AA8F01" w:rsidR="00DB0071" w:rsidRPr="004D0299" w:rsidRDefault="00DB0071" w:rsidP="004D0299">
      <w:pPr>
        <w:spacing w:after="0" w:line="276" w:lineRule="auto"/>
        <w:jc w:val="both"/>
        <w:rPr>
          <w:rFonts w:ascii="Sylfaen" w:hAnsi="Sylfaen"/>
          <w:sz w:val="24"/>
          <w:szCs w:val="24"/>
          <w:lang w:val="ka-GE"/>
        </w:rPr>
      </w:pPr>
      <w:r w:rsidRPr="004D0299">
        <w:rPr>
          <w:rFonts w:ascii="Sylfaen" w:hAnsi="Sylfaen"/>
          <w:sz w:val="24"/>
          <w:szCs w:val="24"/>
          <w:lang w:val="ka-GE"/>
        </w:rPr>
        <w:t>თეორიულად, დოზის გადაჭარბებამ შეიძლება გააძლიეროს ანტიესტროგენული გვერდითი მოვლენები. ცხოველებზე ჩატარებულმა კვლევებმა აჩვენა, რომ ძლიერმა ზედოზირებამ (თერაპიულ დოზაზე 100-200-ჯერ მეტი) ასევე შეიძლება გამოიწვიოს ესტროგენული ეფექტები.</w:t>
      </w:r>
    </w:p>
    <w:p w14:paraId="60F7BC70" w14:textId="2E4D5AD6" w:rsidR="009D4F63" w:rsidRPr="004D0299" w:rsidRDefault="00DB0071" w:rsidP="004D0299">
      <w:pPr>
        <w:spacing w:after="0" w:line="276" w:lineRule="auto"/>
        <w:jc w:val="both"/>
        <w:rPr>
          <w:rFonts w:ascii="Sylfaen" w:hAnsi="Sylfaen"/>
          <w:sz w:val="24"/>
          <w:szCs w:val="24"/>
          <w:u w:val="single"/>
          <w:lang w:val="ka-GE"/>
        </w:rPr>
      </w:pPr>
      <w:r w:rsidRPr="004D0299">
        <w:rPr>
          <w:rFonts w:ascii="Sylfaen" w:hAnsi="Sylfaen"/>
          <w:sz w:val="24"/>
          <w:szCs w:val="24"/>
          <w:u w:val="single"/>
          <w:lang w:val="ka-GE"/>
        </w:rPr>
        <w:t>ზედოზირების მკურნალობა</w:t>
      </w:r>
    </w:p>
    <w:p w14:paraId="68A2830F" w14:textId="186EF1D6" w:rsidR="00DB0071" w:rsidRPr="004D0299" w:rsidRDefault="00DB0071" w:rsidP="004D0299">
      <w:pPr>
        <w:spacing w:after="0" w:line="276" w:lineRule="auto"/>
        <w:jc w:val="both"/>
        <w:rPr>
          <w:rFonts w:ascii="Sylfaen" w:hAnsi="Sylfaen"/>
          <w:sz w:val="24"/>
          <w:szCs w:val="24"/>
          <w:lang w:val="ka-GE"/>
        </w:rPr>
      </w:pPr>
      <w:r w:rsidRPr="004D0299">
        <w:rPr>
          <w:rFonts w:ascii="Sylfaen" w:hAnsi="Sylfaen"/>
          <w:sz w:val="24"/>
          <w:szCs w:val="24"/>
          <w:lang w:val="ka-GE"/>
        </w:rPr>
        <w:t>სპეციფიკური ანტიდოტები არ არსებობს, მკურნალობა უნდა იყოს სიმპტომური.</w:t>
      </w:r>
    </w:p>
    <w:p w14:paraId="734065D9" w14:textId="77098123" w:rsidR="00DB0071" w:rsidRPr="004D0299" w:rsidRDefault="00DB0071"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5. ფარმაკოლოგიური თვისებები</w:t>
      </w:r>
    </w:p>
    <w:p w14:paraId="42AC0A89" w14:textId="409B1C09" w:rsidR="00DB0071" w:rsidRPr="004D0299" w:rsidRDefault="00DB0071"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5.1. ფარმაკოდინამიკური თვისებები</w:t>
      </w:r>
    </w:p>
    <w:p w14:paraId="6597E290" w14:textId="77777777" w:rsidR="00DB0071" w:rsidRPr="004D0299" w:rsidRDefault="00DB0071" w:rsidP="004D0299">
      <w:pPr>
        <w:spacing w:after="0" w:line="276" w:lineRule="auto"/>
        <w:jc w:val="both"/>
        <w:rPr>
          <w:rFonts w:ascii="Sylfaen" w:hAnsi="Sylfaen"/>
          <w:sz w:val="24"/>
          <w:szCs w:val="24"/>
          <w:lang w:val="ka-GE"/>
        </w:rPr>
      </w:pPr>
      <w:r w:rsidRPr="004D0299">
        <w:rPr>
          <w:rFonts w:ascii="Sylfaen" w:hAnsi="Sylfaen"/>
          <w:sz w:val="24"/>
          <w:szCs w:val="24"/>
          <w:lang w:val="ka-GE"/>
        </w:rPr>
        <w:t>ფარმაკოთერაპიული ჯგუფი: სიმსივნის საწინააღმდეგო და იმუნომოდულატორული საშუალებები; ენდოკრინული თერაპია, ჰორმონალური ანტაგონისტები და მონათესავე ანტიესტროგენული საშუალებები, ტამოქსიფენი.</w:t>
      </w:r>
    </w:p>
    <w:p w14:paraId="198F5286" w14:textId="1C07F809" w:rsidR="00DB0071" w:rsidRPr="004D0299" w:rsidRDefault="00DB0071" w:rsidP="004D0299">
      <w:pPr>
        <w:spacing w:after="0" w:line="276" w:lineRule="auto"/>
        <w:jc w:val="both"/>
        <w:rPr>
          <w:rFonts w:ascii="Sylfaen" w:hAnsi="Sylfaen"/>
          <w:sz w:val="24"/>
          <w:szCs w:val="24"/>
          <w:lang w:val="ka-GE"/>
        </w:rPr>
      </w:pPr>
      <w:r w:rsidRPr="004D0299">
        <w:rPr>
          <w:rFonts w:ascii="Sylfaen" w:hAnsi="Sylfaen"/>
          <w:sz w:val="24"/>
          <w:szCs w:val="24"/>
          <w:lang w:val="ka-GE"/>
        </w:rPr>
        <w:t>ათქ კოდი: L02BA01.</w:t>
      </w:r>
    </w:p>
    <w:p w14:paraId="78C3239E" w14:textId="3211C54A" w:rsidR="00DB0071" w:rsidRPr="004D0299" w:rsidRDefault="00DB0071" w:rsidP="004D0299">
      <w:pPr>
        <w:spacing w:after="0" w:line="276" w:lineRule="auto"/>
        <w:jc w:val="both"/>
        <w:rPr>
          <w:rFonts w:ascii="Sylfaen" w:hAnsi="Sylfaen"/>
          <w:sz w:val="24"/>
          <w:szCs w:val="24"/>
          <w:lang w:val="ka-GE"/>
        </w:rPr>
      </w:pPr>
      <w:r w:rsidRPr="004D0299">
        <w:rPr>
          <w:rFonts w:ascii="Sylfaen" w:hAnsi="Sylfaen"/>
          <w:sz w:val="24"/>
          <w:szCs w:val="24"/>
          <w:lang w:val="ka-GE"/>
        </w:rPr>
        <w:t xml:space="preserve">ტამოქსიფენი კონკურენტულად აფერხებს ესტროგენის შეკავშირებას მის ციტოპლაზმურ რეცეპტორებთან. ეს ანელებს უჯრედების დაყოფას ესტროგენის მიმართ მგრძნობიარე ქსოვილებში. მაგალითად, მეტასტაზური სარძევე ჯირკვლის კიბოს დროს, როდესაც სიმსივნურ ქსოვილში ესტროგენის რეცეპტორებია, სრული ან ნაწილობრივი რემისია აღინიშნება შემთხვევათა 50-60%-ში, განსაკუთრებით რბილი ქსოვილების ან ძვლების </w:t>
      </w:r>
      <w:r w:rsidRPr="004D0299">
        <w:rPr>
          <w:rFonts w:ascii="Sylfaen" w:hAnsi="Sylfaen"/>
          <w:sz w:val="24"/>
          <w:szCs w:val="24"/>
          <w:lang w:val="ka-GE"/>
        </w:rPr>
        <w:lastRenderedPageBreak/>
        <w:t>მეტასტაზების ადგილებში. ჰორმონ-რეცეპტორ-უარყოფითი სიმსივნეების, კერძოდ, მეტასტაზების შემთხვევებში, ობიექტური რემისია აღინიშნება  მხოლოდ შემთხვევათა დაახლოებით 10%-ში.</w:t>
      </w:r>
    </w:p>
    <w:p w14:paraId="6ECA6492" w14:textId="4AC08EDF" w:rsidR="00DB0071" w:rsidRPr="004D0299" w:rsidRDefault="00DB0071" w:rsidP="004D0299">
      <w:pPr>
        <w:spacing w:after="0" w:line="276" w:lineRule="auto"/>
        <w:jc w:val="both"/>
        <w:rPr>
          <w:rFonts w:ascii="Sylfaen" w:hAnsi="Sylfaen"/>
          <w:sz w:val="24"/>
          <w:szCs w:val="24"/>
          <w:lang w:val="ka-GE"/>
        </w:rPr>
      </w:pPr>
      <w:r w:rsidRPr="004D0299">
        <w:rPr>
          <w:rFonts w:ascii="Sylfaen" w:hAnsi="Sylfaen"/>
          <w:sz w:val="24"/>
          <w:szCs w:val="24"/>
          <w:lang w:val="ka-GE"/>
        </w:rPr>
        <w:t>ქალებში, რომლებსაც აღენიშნებოდათ ესტროგენ-რეცეპტორ-დადებითი სიმსივნეები ან უცნობი რეცეპტორული სტატუსის მქონე სიმსივნეები, ადიუვანტური ტამოქსიფენით თერაპია მნიშვნელოვნად ნაკლებ რეციდივებს და 10-წლიანი გადარჩენის მაღალ მაჩვენებლებს იწვევდა. გარდა ამისა, 5 წლიან თერაპიას მნიშვნელოვნად უკეთესი ეფექტი ჰქონდა, ვიდრე 1 ან 2 წლიან თერაპიას. ეს სარგებელი აშკარად დამოუკიდებელი იყო ასაკის, მენოპაუზის, ტამოქსიფენის დოზის ან დამატებითი ქიმიოთერაპიისგან.</w:t>
      </w:r>
    </w:p>
    <w:p w14:paraId="5835DE99" w14:textId="5303C146" w:rsidR="00DB0071" w:rsidRPr="004D0299" w:rsidRDefault="00DB0071" w:rsidP="004D0299">
      <w:pPr>
        <w:spacing w:after="0" w:line="276" w:lineRule="auto"/>
        <w:jc w:val="both"/>
        <w:rPr>
          <w:rFonts w:ascii="Sylfaen" w:hAnsi="Sylfaen"/>
          <w:sz w:val="24"/>
          <w:szCs w:val="24"/>
          <w:lang w:val="ka-GE"/>
        </w:rPr>
      </w:pPr>
      <w:r w:rsidRPr="004D0299">
        <w:rPr>
          <w:rFonts w:ascii="Sylfaen" w:hAnsi="Sylfaen"/>
          <w:sz w:val="24"/>
          <w:szCs w:val="24"/>
          <w:lang w:val="ka-GE"/>
        </w:rPr>
        <w:t>კლინიკური გამოცდილება აჩვენებს, რომ ტამოქსიფენი პოსტმენოპაუზურ ქალებში ამცირებს საერთო ქოლესტერინის და დაბალი სიმკვრივის ლიპოპროტეინების დონეს 10-20%-ით. გარდა ამისა, პრეპარატი, როგორც აღინიშნა, ინარჩუნებს ძვლის მინერალურ სიმკვრივეს პოსტმენოპაუზურ ქალებში.</w:t>
      </w:r>
    </w:p>
    <w:p w14:paraId="0F17DEDF" w14:textId="77777777" w:rsidR="00DB0071" w:rsidRPr="004D0299" w:rsidRDefault="00DB0071" w:rsidP="004D0299">
      <w:pPr>
        <w:spacing w:after="0" w:line="276" w:lineRule="auto"/>
        <w:jc w:val="both"/>
        <w:rPr>
          <w:rFonts w:ascii="Sylfaen" w:hAnsi="Sylfaen"/>
          <w:sz w:val="24"/>
          <w:szCs w:val="24"/>
          <w:u w:val="single"/>
          <w:lang w:val="ka-GE"/>
        </w:rPr>
      </w:pPr>
      <w:r w:rsidRPr="004D0299">
        <w:rPr>
          <w:rFonts w:ascii="Sylfaen" w:hAnsi="Sylfaen"/>
          <w:sz w:val="24"/>
          <w:szCs w:val="24"/>
          <w:u w:val="single"/>
          <w:lang w:val="ka-GE"/>
        </w:rPr>
        <w:t>CYP2D6 გენოტიპი</w:t>
      </w:r>
    </w:p>
    <w:p w14:paraId="21CDBE92" w14:textId="77777777" w:rsidR="00DB0071" w:rsidRPr="004D0299" w:rsidRDefault="00DB0071" w:rsidP="004D0299">
      <w:pPr>
        <w:spacing w:after="0" w:line="276" w:lineRule="auto"/>
        <w:jc w:val="both"/>
        <w:rPr>
          <w:rFonts w:ascii="Sylfaen" w:hAnsi="Sylfaen"/>
          <w:sz w:val="24"/>
          <w:szCs w:val="24"/>
          <w:lang w:val="ka-GE"/>
        </w:rPr>
      </w:pPr>
      <w:r w:rsidRPr="004D0299">
        <w:rPr>
          <w:rFonts w:ascii="Sylfaen" w:hAnsi="Sylfaen"/>
          <w:sz w:val="24"/>
          <w:szCs w:val="24"/>
          <w:lang w:val="ka-GE"/>
        </w:rPr>
        <w:t>CYP2D6 იზოენზიმის აქტივობის პოლიმორფიზმებმა შეიძლება გამოიწვიოს ტამოქსიფენით მკურნალობისას მიღწეული კლინიკური ეფექტის განსხვავებები. CYP2D6-ის სუსტ მეტაბოლიზატორებს შეიძლება განუვითარდეთ შემცირებული თერაპიული ეფექტი.</w:t>
      </w:r>
    </w:p>
    <w:p w14:paraId="521A79E3" w14:textId="6EC6D800" w:rsidR="00DB0071" w:rsidRPr="004D0299" w:rsidRDefault="00DB0071" w:rsidP="004D0299">
      <w:pPr>
        <w:spacing w:after="0" w:line="276" w:lineRule="auto"/>
        <w:jc w:val="both"/>
        <w:rPr>
          <w:rFonts w:ascii="Sylfaen" w:hAnsi="Sylfaen"/>
          <w:sz w:val="24"/>
          <w:szCs w:val="24"/>
          <w:lang w:val="ka-GE"/>
        </w:rPr>
      </w:pPr>
      <w:r w:rsidRPr="004D0299">
        <w:rPr>
          <w:rFonts w:ascii="Sylfaen" w:hAnsi="Sylfaen"/>
          <w:sz w:val="24"/>
          <w:szCs w:val="24"/>
          <w:lang w:val="ka-GE"/>
        </w:rPr>
        <w:t xml:space="preserve">ამ მონაცემების სრული მნიშვნელობა CYP2D6-ის სუსტ მეტაბოლიზატორებს ტამოქსიფენით მკურნალობისთვის არ არის შესწავლილი (იხილეთ </w:t>
      </w:r>
      <w:r w:rsidR="00E2141A" w:rsidRPr="004D0299">
        <w:rPr>
          <w:rFonts w:ascii="Sylfaen" w:hAnsi="Sylfaen"/>
          <w:sz w:val="24"/>
          <w:szCs w:val="24"/>
          <w:lang w:val="ka-GE"/>
        </w:rPr>
        <w:t>თავები</w:t>
      </w:r>
      <w:r w:rsidRPr="004D0299">
        <w:rPr>
          <w:rFonts w:ascii="Sylfaen" w:hAnsi="Sylfaen"/>
          <w:sz w:val="24"/>
          <w:szCs w:val="24"/>
          <w:lang w:val="ka-GE"/>
        </w:rPr>
        <w:t xml:space="preserve"> 4.4, 4.5 და 5.2).</w:t>
      </w:r>
    </w:p>
    <w:p w14:paraId="5D5972F5" w14:textId="786EAF13" w:rsidR="00E2141A" w:rsidRPr="004D0299" w:rsidRDefault="00E2141A" w:rsidP="004D0299">
      <w:pPr>
        <w:spacing w:after="0" w:line="276" w:lineRule="auto"/>
        <w:jc w:val="both"/>
        <w:rPr>
          <w:rFonts w:ascii="Sylfaen" w:hAnsi="Sylfaen"/>
          <w:sz w:val="24"/>
          <w:szCs w:val="24"/>
          <w:lang w:val="ka-GE"/>
        </w:rPr>
      </w:pPr>
      <w:r w:rsidRPr="004D0299">
        <w:rPr>
          <w:rFonts w:ascii="Sylfaen" w:hAnsi="Sylfaen"/>
          <w:sz w:val="24"/>
          <w:szCs w:val="24"/>
          <w:lang w:val="ka-GE"/>
        </w:rPr>
        <w:t>არსებული კლინიკური მონაცემები მიუთითებს, რომ პაციენტებს, რომლებიც CYP2D6 არაფუნქციური ალელის მიმართ ჰომოზიგოტურები არიან, შეიძლება განუვითარდეთ ტამოქსიფენის თერაპიული ეფექტურობის შემცირება სარძევე ჯირკვლის კიბოს მკურნალობისას. კლინიკური კვლევები ძირითადად ჩატარებულია პოსტმენოპაუზურ ქალებში (იხილეთ თავები 4.4 და 5.2).</w:t>
      </w:r>
    </w:p>
    <w:p w14:paraId="493F6789" w14:textId="112A0722" w:rsidR="00E2141A" w:rsidRPr="004D0299" w:rsidRDefault="00E2141A"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ბავშვები და მოზარდები</w:t>
      </w:r>
    </w:p>
    <w:p w14:paraId="1460576E" w14:textId="4D6D8E1A" w:rsidR="00E2141A" w:rsidRPr="004D0299" w:rsidRDefault="008B6073" w:rsidP="004D0299">
      <w:pPr>
        <w:spacing w:after="0" w:line="276" w:lineRule="auto"/>
        <w:jc w:val="both"/>
        <w:rPr>
          <w:rFonts w:ascii="Sylfaen" w:hAnsi="Sylfaen"/>
          <w:sz w:val="24"/>
          <w:szCs w:val="24"/>
          <w:lang w:val="ka-GE"/>
        </w:rPr>
      </w:pPr>
      <w:r w:rsidRPr="004D0299">
        <w:rPr>
          <w:rFonts w:ascii="Sylfaen" w:hAnsi="Sylfaen"/>
          <w:sz w:val="24"/>
          <w:szCs w:val="24"/>
          <w:lang w:val="ka-GE"/>
        </w:rPr>
        <w:t>ჩატარდა არაკონტროლირებადი</w:t>
      </w:r>
      <w:r w:rsidR="00E2141A" w:rsidRPr="004D0299">
        <w:rPr>
          <w:rFonts w:ascii="Sylfaen" w:hAnsi="Sylfaen"/>
          <w:sz w:val="24"/>
          <w:szCs w:val="24"/>
          <w:lang w:val="ka-GE"/>
        </w:rPr>
        <w:t xml:space="preserve"> კვლევა, რომელშიც მონაწილეობდა </w:t>
      </w:r>
      <w:r w:rsidRPr="004D0299">
        <w:rPr>
          <w:rFonts w:ascii="Sylfaen" w:hAnsi="Sylfaen"/>
          <w:sz w:val="24"/>
          <w:szCs w:val="24"/>
          <w:lang w:val="ka-GE"/>
        </w:rPr>
        <w:t xml:space="preserve">2-დან 10 წლამდე ასაკის 28 გოგონასგან შემდგარი </w:t>
      </w:r>
      <w:r w:rsidR="00E2141A" w:rsidRPr="004D0299">
        <w:rPr>
          <w:rFonts w:ascii="Sylfaen" w:hAnsi="Sylfaen"/>
          <w:sz w:val="24"/>
          <w:szCs w:val="24"/>
          <w:lang w:val="ka-GE"/>
        </w:rPr>
        <w:t>ჰეტეროგენული ჯგუფი</w:t>
      </w:r>
      <w:r w:rsidRPr="004D0299">
        <w:rPr>
          <w:rFonts w:ascii="Sylfaen" w:hAnsi="Sylfaen"/>
          <w:sz w:val="24"/>
          <w:szCs w:val="24"/>
          <w:lang w:val="ka-GE"/>
        </w:rPr>
        <w:t xml:space="preserve">, </w:t>
      </w:r>
      <w:r w:rsidR="00E2141A" w:rsidRPr="004D0299">
        <w:rPr>
          <w:rFonts w:ascii="Sylfaen" w:hAnsi="Sylfaen"/>
          <w:sz w:val="24"/>
          <w:szCs w:val="24"/>
          <w:lang w:val="ka-GE"/>
        </w:rPr>
        <w:t>რომლებიც განიცდიდნენ მაკ კიუნ-ოლბრაიტის სინდრომს და იღებდნენ პრეპარატს დღეში 20 მგ დოზით, მაქსიმუმ 12 თვის განმავლობაში.</w:t>
      </w:r>
      <w:r w:rsidRPr="004D0299">
        <w:rPr>
          <w:rFonts w:ascii="Sylfaen" w:hAnsi="Sylfaen"/>
          <w:sz w:val="24"/>
          <w:szCs w:val="24"/>
          <w:lang w:val="ka-GE"/>
        </w:rPr>
        <w:t xml:space="preserve"> </w:t>
      </w:r>
      <w:r w:rsidR="00E2141A" w:rsidRPr="004D0299">
        <w:rPr>
          <w:rFonts w:ascii="Sylfaen" w:hAnsi="Sylfaen"/>
          <w:sz w:val="24"/>
          <w:szCs w:val="24"/>
          <w:lang w:val="ka-GE"/>
        </w:rPr>
        <w:t>გოგონების შორის, რომლებიც კვლევის დაწყებამდე იუწყებოდნენ ვაგინალური სისხლდენის შესახებ, 62%</w:t>
      </w:r>
      <w:r w:rsidR="00E2141A" w:rsidRPr="004D0299">
        <w:rPr>
          <w:rFonts w:ascii="Sylfaen" w:hAnsi="Sylfaen"/>
          <w:sz w:val="24"/>
          <w:szCs w:val="24"/>
          <w:lang w:val="ka-GE"/>
        </w:rPr>
        <w:noBreakHyphen/>
        <w:t>მა (21 მონაწილიდან 13</w:t>
      </w:r>
      <w:r w:rsidRPr="004D0299">
        <w:rPr>
          <w:rFonts w:ascii="Sylfaen" w:hAnsi="Sylfaen"/>
          <w:sz w:val="24"/>
          <w:szCs w:val="24"/>
          <w:lang w:val="ka-GE"/>
        </w:rPr>
        <w:t>-მა</w:t>
      </w:r>
      <w:r w:rsidR="00E2141A" w:rsidRPr="004D0299">
        <w:rPr>
          <w:rFonts w:ascii="Sylfaen" w:hAnsi="Sylfaen"/>
          <w:sz w:val="24"/>
          <w:szCs w:val="24"/>
          <w:lang w:val="ka-GE"/>
        </w:rPr>
        <w:t>) პირველ 6 თვის განმავლობაში არ აღინიშნა სისხლდენა, ხოლო 33%</w:t>
      </w:r>
      <w:r w:rsidR="00E2141A" w:rsidRPr="004D0299">
        <w:rPr>
          <w:rFonts w:ascii="Sylfaen" w:hAnsi="Sylfaen"/>
          <w:sz w:val="24"/>
          <w:szCs w:val="24"/>
          <w:lang w:val="ka-GE"/>
        </w:rPr>
        <w:noBreakHyphen/>
      </w:r>
      <w:r w:rsidRPr="004D0299">
        <w:rPr>
          <w:rFonts w:ascii="Sylfaen" w:hAnsi="Sylfaen"/>
          <w:sz w:val="24"/>
          <w:szCs w:val="24"/>
          <w:lang w:val="ka-GE"/>
        </w:rPr>
        <w:t>ს</w:t>
      </w:r>
      <w:r w:rsidR="00E2141A" w:rsidRPr="004D0299">
        <w:rPr>
          <w:rFonts w:ascii="Sylfaen" w:hAnsi="Sylfaen"/>
          <w:sz w:val="24"/>
          <w:szCs w:val="24"/>
          <w:lang w:val="ka-GE"/>
        </w:rPr>
        <w:t xml:space="preserve"> (21 მონაწილიდან 7</w:t>
      </w:r>
      <w:r w:rsidRPr="004D0299">
        <w:rPr>
          <w:rFonts w:ascii="Sylfaen" w:hAnsi="Sylfaen"/>
          <w:sz w:val="24"/>
          <w:szCs w:val="24"/>
          <w:lang w:val="ka-GE"/>
        </w:rPr>
        <w:t>-ს</w:t>
      </w:r>
      <w:r w:rsidR="00E2141A" w:rsidRPr="004D0299">
        <w:rPr>
          <w:rFonts w:ascii="Sylfaen" w:hAnsi="Sylfaen"/>
          <w:sz w:val="24"/>
          <w:szCs w:val="24"/>
          <w:lang w:val="ka-GE"/>
        </w:rPr>
        <w:t>) მთელი კვლევის პერიოდში არ ჰქონდათ ვაგინალური სისხლდენა.</w:t>
      </w:r>
      <w:r w:rsidRPr="004D0299">
        <w:rPr>
          <w:rFonts w:ascii="Sylfaen" w:hAnsi="Sylfaen"/>
          <w:sz w:val="24"/>
          <w:szCs w:val="24"/>
          <w:lang w:val="ka-GE"/>
        </w:rPr>
        <w:t xml:space="preserve"> საშვილოსნოს საშუალო მოცულობა თერაპიის 6 თვის შემდეგ გაიზარდა და ერთწლიანი კვლევის ბოლოს გაორმაგდა. </w:t>
      </w:r>
      <w:r w:rsidR="00E2141A" w:rsidRPr="004D0299">
        <w:rPr>
          <w:rFonts w:ascii="Sylfaen" w:hAnsi="Sylfaen"/>
          <w:sz w:val="24"/>
          <w:szCs w:val="24"/>
          <w:lang w:val="ka-GE"/>
        </w:rPr>
        <w:t>მიუხედავად იმისა, რომ ეს მონაცემები შეესაბამება ტამოქსიფენის ფარმაკოდინამიკურ თვისებებს, მიზეზობრივ</w:t>
      </w:r>
      <w:r w:rsidRPr="004D0299">
        <w:rPr>
          <w:rFonts w:ascii="Sylfaen" w:hAnsi="Sylfaen"/>
          <w:sz w:val="24"/>
          <w:szCs w:val="24"/>
          <w:lang w:val="ka-GE"/>
        </w:rPr>
        <w:t>ი</w:t>
      </w:r>
      <w:r w:rsidR="00E2141A" w:rsidRPr="004D0299">
        <w:rPr>
          <w:rFonts w:ascii="Sylfaen" w:hAnsi="Sylfaen"/>
          <w:sz w:val="24"/>
          <w:szCs w:val="24"/>
          <w:lang w:val="ka-GE"/>
        </w:rPr>
        <w:t xml:space="preserve"> კავშირ</w:t>
      </w:r>
      <w:r w:rsidRPr="004D0299">
        <w:rPr>
          <w:rFonts w:ascii="Sylfaen" w:hAnsi="Sylfaen"/>
          <w:sz w:val="24"/>
          <w:szCs w:val="24"/>
          <w:lang w:val="ka-GE"/>
        </w:rPr>
        <w:t xml:space="preserve">ი დადგენილი არ არის </w:t>
      </w:r>
      <w:r w:rsidR="00E2141A" w:rsidRPr="004D0299">
        <w:rPr>
          <w:rFonts w:ascii="Sylfaen" w:hAnsi="Sylfaen"/>
          <w:sz w:val="24"/>
          <w:szCs w:val="24"/>
          <w:lang w:val="ka-GE"/>
        </w:rPr>
        <w:t xml:space="preserve">(იხ. </w:t>
      </w:r>
      <w:r w:rsidRPr="004D0299">
        <w:rPr>
          <w:rFonts w:ascii="Sylfaen" w:hAnsi="Sylfaen"/>
          <w:sz w:val="24"/>
          <w:szCs w:val="24"/>
          <w:lang w:val="ka-GE"/>
        </w:rPr>
        <w:t>თავი</w:t>
      </w:r>
      <w:r w:rsidR="00E2141A" w:rsidRPr="004D0299">
        <w:rPr>
          <w:rFonts w:ascii="Sylfaen" w:hAnsi="Sylfaen"/>
          <w:sz w:val="24"/>
          <w:szCs w:val="24"/>
          <w:lang w:val="ka-GE"/>
        </w:rPr>
        <w:t xml:space="preserve"> 4.4).</w:t>
      </w:r>
      <w:r w:rsidRPr="004D0299">
        <w:rPr>
          <w:rFonts w:ascii="Sylfaen" w:hAnsi="Sylfaen"/>
          <w:sz w:val="24"/>
          <w:szCs w:val="24"/>
          <w:lang w:val="ka-GE"/>
        </w:rPr>
        <w:t xml:space="preserve"> არ არსებობს მონაცემები ბავშვებში პრეპარატის ხანგრძლივი გამოყენების უსაფრთხოების შესახებ. კერძოდ, ტამოქსიფენის ხანგრძლივი გამოყენების გავლენა ზრდაზე, სქესობრივი მომწიფების პერიოდსა და საერთო განვითარებაზე არ არის შესწავლილი.</w:t>
      </w:r>
    </w:p>
    <w:p w14:paraId="7EF16B62" w14:textId="35203737" w:rsidR="008B6073" w:rsidRPr="004D0299" w:rsidRDefault="008B6073"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lastRenderedPageBreak/>
        <w:t>5.2. ფარმაკოკინეტიკური მახასიათებლები</w:t>
      </w:r>
    </w:p>
    <w:p w14:paraId="2FF30E06" w14:textId="5D635287" w:rsidR="008B6073" w:rsidRPr="004D0299" w:rsidRDefault="008B6073" w:rsidP="004D0299">
      <w:pPr>
        <w:spacing w:after="0" w:line="276" w:lineRule="auto"/>
        <w:jc w:val="both"/>
        <w:rPr>
          <w:rFonts w:ascii="Sylfaen" w:hAnsi="Sylfaen"/>
          <w:sz w:val="24"/>
          <w:szCs w:val="24"/>
          <w:lang w:val="ka-GE"/>
        </w:rPr>
      </w:pPr>
      <w:r w:rsidRPr="004D0299">
        <w:rPr>
          <w:rFonts w:ascii="Sylfaen" w:hAnsi="Sylfaen"/>
          <w:sz w:val="24"/>
          <w:szCs w:val="24"/>
          <w:lang w:val="ka-GE"/>
        </w:rPr>
        <w:t>ტამოქსიფენი კარგად შეიწოვება. ერთჯერადი პერორალური დოზის მიღების შემდეგ, სისხლის შრატში პიკური კონცენტრაცია მიიღწევა 4-7 საათში.</w:t>
      </w:r>
    </w:p>
    <w:p w14:paraId="4661DF68" w14:textId="5174AD65" w:rsidR="008B6073" w:rsidRPr="004D0299" w:rsidRDefault="008B6073" w:rsidP="004D0299">
      <w:pPr>
        <w:spacing w:after="0" w:line="276" w:lineRule="auto"/>
        <w:jc w:val="both"/>
        <w:rPr>
          <w:rFonts w:ascii="Sylfaen" w:hAnsi="Sylfaen"/>
          <w:sz w:val="24"/>
          <w:szCs w:val="24"/>
          <w:lang w:val="ka-GE"/>
        </w:rPr>
      </w:pPr>
      <w:r w:rsidRPr="004D0299">
        <w:rPr>
          <w:rFonts w:ascii="Sylfaen" w:hAnsi="Sylfaen"/>
          <w:sz w:val="24"/>
          <w:szCs w:val="24"/>
          <w:lang w:val="ka-GE"/>
        </w:rPr>
        <w:t>ტამოქსიფენი მაღალი დონით (98%) უკავშირდება პლაზმის ცილებს. პლაზმიდან ნახევარგამოყოფის საშუალო ტერმინალური პერიოდი 7 დღეა. ტამოქსიფენი ინტენსიურად მეტაბოლიზდება ძირითადად CYP3A4-ით N-დესმეთილტამოქსიფენად და შემდეგ CYP2D6-ით მის სხვა აქტიურ მეტაბოლიტად, 4-ჰიდროქსი-N-დესმეთილტამოქსიფენად (ენდოქსიფენი). პაციენტებში, რომლებსაც აქვთ CYP2D6 აქტივობის შემცირება, ენდოქსიფენის კონცენტრაცია დაახლოებით 75%-ით დაბალია, ვიდრე პაციენტებში, რომლებსაც აქვთ CYP2D6 ნორმალური აქტივობა. CYP2D6-ის ძლიერი ინჰიბიტორები ამცირებენ ენდოქსიფენის კონცენტრაციას პლაზმაში მსგავსი ხარისხით.</w:t>
      </w:r>
    </w:p>
    <w:p w14:paraId="042CEE69" w14:textId="5CFEE355" w:rsidR="008B6073" w:rsidRPr="004D0299" w:rsidRDefault="008B6073" w:rsidP="004D0299">
      <w:pPr>
        <w:spacing w:after="0" w:line="276" w:lineRule="auto"/>
        <w:jc w:val="both"/>
        <w:rPr>
          <w:rFonts w:ascii="Sylfaen" w:hAnsi="Sylfaen"/>
          <w:sz w:val="24"/>
          <w:szCs w:val="24"/>
          <w:lang w:val="ka-GE"/>
        </w:rPr>
      </w:pPr>
      <w:r w:rsidRPr="004D0299">
        <w:rPr>
          <w:rFonts w:ascii="Sylfaen" w:hAnsi="Sylfaen"/>
          <w:sz w:val="24"/>
          <w:szCs w:val="24"/>
          <w:lang w:val="ka-GE"/>
        </w:rPr>
        <w:t>შრატის ძირითადი მეტაბოლიტი, N-დესმეთილ ტამოქსიფენი და სხვა მეტაბოლიტები ავლენენ პრაქტიკულად იგივე ანტიესტროგენულ აქტივობას, რასაც საწყისი ნაერთი. ტამოქსიფენი და მისი მეტაბოლიტები გროვდება ღვიძლში, ფილტვებში, ტვინში, პანკრეასში, კანსა და ძვლებში. ფართო ენტეროჰეპატური რეცირკულაციის გამო, ტამოქსიფენი გროვდება შრატში ხანგრძლივი თერაპიის დროს. 20-40 მგ-ის ყოველდღიური მიღებისას, წონასწორული მდგომარეობა მიიღწევა არა უადრეს 4 კვირის შემდეგ.</w:t>
      </w:r>
    </w:p>
    <w:p w14:paraId="39641B21" w14:textId="31FF20F8" w:rsidR="008B6073" w:rsidRPr="004D0299" w:rsidRDefault="008B6073" w:rsidP="004D0299">
      <w:pPr>
        <w:spacing w:after="0" w:line="276" w:lineRule="auto"/>
        <w:jc w:val="both"/>
        <w:rPr>
          <w:rFonts w:ascii="Sylfaen" w:hAnsi="Sylfaen"/>
          <w:sz w:val="24"/>
          <w:szCs w:val="24"/>
          <w:lang w:val="ka-GE"/>
        </w:rPr>
      </w:pPr>
      <w:r w:rsidRPr="004D0299">
        <w:rPr>
          <w:rFonts w:ascii="Sylfaen" w:hAnsi="Sylfaen"/>
          <w:sz w:val="24"/>
          <w:szCs w:val="24"/>
          <w:lang w:val="ka-GE"/>
        </w:rPr>
        <w:t>გამოყოფა ძირითადად ხდება განავალთან ერთად მეტაბოლიტების სახით.</w:t>
      </w:r>
    </w:p>
    <w:p w14:paraId="23A0909A" w14:textId="036E3996" w:rsidR="008B6073" w:rsidRPr="004D0299" w:rsidRDefault="008B6073"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ბავშვები და მოზარდები</w:t>
      </w:r>
    </w:p>
    <w:p w14:paraId="36A3D87B" w14:textId="76E6F881" w:rsidR="008B6073" w:rsidRPr="004D0299" w:rsidRDefault="008B6073" w:rsidP="004D0299">
      <w:pPr>
        <w:spacing w:after="0" w:line="276" w:lineRule="auto"/>
        <w:jc w:val="both"/>
        <w:rPr>
          <w:rFonts w:ascii="Sylfaen" w:hAnsi="Sylfaen"/>
          <w:sz w:val="24"/>
          <w:szCs w:val="24"/>
          <w:lang w:val="ka-GE"/>
        </w:rPr>
      </w:pPr>
      <w:r w:rsidRPr="004D0299">
        <w:rPr>
          <w:rFonts w:ascii="Sylfaen" w:hAnsi="Sylfaen"/>
          <w:sz w:val="24"/>
          <w:szCs w:val="24"/>
          <w:lang w:val="ka-GE"/>
        </w:rPr>
        <w:t xml:space="preserve">მაკკუნ-ოლბრაიტის სინდრომის მქონე 2-დან 10 წლამდე ასაკის 28 გოგონაზე ჩატარებულ არაკონტროლირებად კვლევაში პრეპარატი ინიშნებოდა 20 მგ დოზით დღეში ერთხელ 12 თვის განმავლობაში. დაფიქსირდა კლირენსის ასაკობრივი შემცირება, ახალგაზრდა მონაწილეებში ექსპოზიციის 50%-მდე ზრდით ხანდაზმულ მონაწილეებთან შედარებით. </w:t>
      </w:r>
      <w:r w:rsidR="00C276E4" w:rsidRPr="004D0299">
        <w:rPr>
          <w:rFonts w:ascii="Sylfaen" w:hAnsi="Sylfaen"/>
          <w:sz w:val="24"/>
          <w:szCs w:val="24"/>
          <w:lang w:val="ka-GE"/>
        </w:rPr>
        <w:t xml:space="preserve">ამ დროს </w:t>
      </w:r>
      <w:r w:rsidRPr="004D0299">
        <w:rPr>
          <w:rFonts w:ascii="Sylfaen" w:hAnsi="Sylfaen"/>
          <w:sz w:val="24"/>
          <w:szCs w:val="24"/>
          <w:lang w:val="ka-GE"/>
        </w:rPr>
        <w:t xml:space="preserve">დაფიქსირდა </w:t>
      </w:r>
      <w:r w:rsidR="00C276E4" w:rsidRPr="004D0299">
        <w:rPr>
          <w:rFonts w:ascii="Sylfaen" w:hAnsi="Sylfaen"/>
          <w:sz w:val="24"/>
          <w:szCs w:val="24"/>
          <w:lang w:val="ka-GE"/>
        </w:rPr>
        <w:t xml:space="preserve">ასაკთან დაკავშირებული </w:t>
      </w:r>
      <w:r w:rsidRPr="004D0299">
        <w:rPr>
          <w:rFonts w:ascii="Sylfaen" w:hAnsi="Sylfaen"/>
          <w:sz w:val="24"/>
          <w:szCs w:val="24"/>
          <w:lang w:val="ka-GE"/>
        </w:rPr>
        <w:t>კლირენსის შემცირება, რაც ახალგაზრდა მონაწილეებში ზრდასრულებთან შედარებით ექსპოზიციის 50%-მდე ზრდას იწვევდა.</w:t>
      </w:r>
    </w:p>
    <w:p w14:paraId="15D85A69" w14:textId="6E46B969" w:rsidR="00C276E4" w:rsidRPr="004D0299" w:rsidRDefault="00C276E4"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5.3. უსაფრთხოების წინაკლინიკური მონაცემები</w:t>
      </w:r>
    </w:p>
    <w:p w14:paraId="2A43E37D" w14:textId="34A71E84" w:rsidR="00C276E4" w:rsidRPr="004D0299" w:rsidRDefault="00CF63E3" w:rsidP="004D0299">
      <w:pPr>
        <w:spacing w:after="0" w:line="276" w:lineRule="auto"/>
        <w:jc w:val="both"/>
        <w:rPr>
          <w:rFonts w:ascii="Sylfaen" w:hAnsi="Sylfaen"/>
          <w:sz w:val="24"/>
          <w:szCs w:val="24"/>
          <w:lang w:val="ka-GE"/>
        </w:rPr>
      </w:pPr>
      <w:r w:rsidRPr="004D0299">
        <w:rPr>
          <w:rFonts w:ascii="Sylfaen" w:hAnsi="Sylfaen"/>
          <w:sz w:val="24"/>
          <w:szCs w:val="24"/>
          <w:lang w:val="ka-GE"/>
        </w:rPr>
        <w:t>ვირთხებსა და თაგვებზე 15 თვის განმავლობაში ტარდებოდა მიმდინარე ქრონიკული ტოქსიკურობის კვლევები. ამ ცხოველებს აღენიშნათ რეპროდუქციული ორგანოების დაზიანების ჰისტოპათოლოგიური ნიშნები, რაც შეიძლება აიხსნას ტამოქსიფენის ფარმაკოლოგიური თვისებებით და რომლებიც, როგორც წესი, შექცევადი იყო. ასევე დაფიქსირდა კატარაქტის გამოვლენის შემთხვევები.</w:t>
      </w:r>
    </w:p>
    <w:p w14:paraId="0A4A8BEB" w14:textId="3AD31CD4" w:rsidR="00CF63E3" w:rsidRPr="004D0299" w:rsidRDefault="00CF63E3" w:rsidP="004D0299">
      <w:pPr>
        <w:spacing w:after="0" w:line="276" w:lineRule="auto"/>
        <w:jc w:val="both"/>
        <w:rPr>
          <w:rFonts w:ascii="Sylfaen" w:hAnsi="Sylfaen"/>
          <w:sz w:val="24"/>
          <w:szCs w:val="24"/>
          <w:lang w:val="ka-GE"/>
        </w:rPr>
      </w:pPr>
      <w:r w:rsidRPr="004D0299">
        <w:rPr>
          <w:rFonts w:ascii="Sylfaen" w:hAnsi="Sylfaen"/>
          <w:sz w:val="24"/>
          <w:szCs w:val="24"/>
          <w:lang w:val="ka-GE"/>
        </w:rPr>
        <w:t xml:space="preserve">სხვადასხვა </w:t>
      </w:r>
      <w:r w:rsidRPr="004D0299">
        <w:rPr>
          <w:rFonts w:ascii="Sylfaen" w:hAnsi="Sylfaen"/>
          <w:i/>
          <w:iCs/>
          <w:sz w:val="24"/>
          <w:szCs w:val="24"/>
          <w:lang w:val="ka-GE"/>
        </w:rPr>
        <w:t xml:space="preserve">in vivo </w:t>
      </w:r>
      <w:r w:rsidRPr="004D0299">
        <w:rPr>
          <w:rFonts w:ascii="Sylfaen" w:hAnsi="Sylfaen"/>
          <w:sz w:val="24"/>
          <w:szCs w:val="24"/>
          <w:lang w:val="ka-GE"/>
        </w:rPr>
        <w:t xml:space="preserve">და </w:t>
      </w:r>
      <w:r w:rsidRPr="004D0299">
        <w:rPr>
          <w:rFonts w:ascii="Sylfaen" w:hAnsi="Sylfaen"/>
          <w:i/>
          <w:iCs/>
          <w:sz w:val="24"/>
          <w:szCs w:val="24"/>
          <w:lang w:val="ka-GE"/>
        </w:rPr>
        <w:t>in vitro</w:t>
      </w:r>
      <w:r w:rsidRPr="004D0299">
        <w:rPr>
          <w:rFonts w:ascii="Sylfaen" w:hAnsi="Sylfaen"/>
          <w:sz w:val="24"/>
          <w:szCs w:val="24"/>
          <w:lang w:val="ka-GE"/>
        </w:rPr>
        <w:t xml:space="preserve"> სისტემებში ჩატარებულმა კვლევებმა დაადასტურა, რომ ტამოქსიფენი ღვიძლში აქტივაციის შემდეგ იძენს გენოტოქსიკურ პოტენციალს. ხანგრძლივმა კვლევებმა დააფიქსირა ღვიძლის სიმსივნეების წარმოქმნა ვირთხებში და სასქესო ორგანოების სიმსივნეების წარმოქმნა თაგვებში. ამ დასკვნების კლინიკური მნიშვნელობა გაურკვეველია.</w:t>
      </w:r>
    </w:p>
    <w:p w14:paraId="5005D20C" w14:textId="504CD12B" w:rsidR="00CF63E3" w:rsidRPr="004D0299" w:rsidRDefault="00C45A63" w:rsidP="004D0299">
      <w:pPr>
        <w:spacing w:after="0" w:line="276" w:lineRule="auto"/>
        <w:jc w:val="both"/>
        <w:rPr>
          <w:rFonts w:ascii="Sylfaen" w:hAnsi="Sylfaen"/>
          <w:sz w:val="24"/>
          <w:szCs w:val="24"/>
          <w:lang w:val="ka-GE"/>
        </w:rPr>
      </w:pPr>
      <w:r w:rsidRPr="004D0299">
        <w:rPr>
          <w:rFonts w:ascii="Sylfaen" w:hAnsi="Sylfaen"/>
          <w:sz w:val="24"/>
          <w:szCs w:val="24"/>
          <w:lang w:val="ka-GE"/>
        </w:rPr>
        <w:t>წინა</w:t>
      </w:r>
      <w:r w:rsidR="00CF63E3" w:rsidRPr="004D0299">
        <w:rPr>
          <w:rFonts w:ascii="Sylfaen" w:hAnsi="Sylfaen"/>
          <w:sz w:val="24"/>
          <w:szCs w:val="24"/>
          <w:lang w:val="ka-GE"/>
        </w:rPr>
        <w:t xml:space="preserve">კლინიკური და კლინიკური მონაცემები </w:t>
      </w:r>
      <w:r w:rsidRPr="004D0299">
        <w:rPr>
          <w:rFonts w:ascii="Sylfaen" w:hAnsi="Sylfaen"/>
          <w:sz w:val="24"/>
          <w:szCs w:val="24"/>
          <w:lang w:val="ka-GE"/>
        </w:rPr>
        <w:t xml:space="preserve">მიუთითებს </w:t>
      </w:r>
      <w:r w:rsidR="00CF63E3" w:rsidRPr="004D0299">
        <w:rPr>
          <w:rFonts w:ascii="Sylfaen" w:hAnsi="Sylfaen"/>
          <w:sz w:val="24"/>
          <w:szCs w:val="24"/>
          <w:lang w:val="ka-GE"/>
        </w:rPr>
        <w:t>ენდომეტრიუმის სიმსივნის წარმოქმნის მომატებულ რისკზე.</w:t>
      </w:r>
    </w:p>
    <w:p w14:paraId="7D5B8390" w14:textId="16C86425" w:rsidR="00CF63E3" w:rsidRPr="004D0299" w:rsidRDefault="00C45A63" w:rsidP="004D0299">
      <w:pPr>
        <w:spacing w:after="0" w:line="276" w:lineRule="auto"/>
        <w:jc w:val="both"/>
        <w:rPr>
          <w:rFonts w:ascii="Sylfaen" w:hAnsi="Sylfaen"/>
          <w:sz w:val="24"/>
          <w:szCs w:val="24"/>
          <w:lang w:val="ka-GE"/>
        </w:rPr>
      </w:pPr>
      <w:r w:rsidRPr="004D0299">
        <w:rPr>
          <w:rFonts w:ascii="Sylfaen" w:hAnsi="Sylfaen"/>
          <w:sz w:val="24"/>
          <w:szCs w:val="24"/>
          <w:lang w:val="ka-GE"/>
        </w:rPr>
        <w:lastRenderedPageBreak/>
        <w:t>მისი ანტიესტროგენული აქტივობის საფუძველზე, ითვლება, რომ ტამოქსიფენი თრგუნავს ოვულაციას და რეპროდუქციულ ციკლს მდედრ ვირთხებში. ტამოქსიფენის შეწყვეტის შემდეგ, ნაყოფიერება რამდენიმე კვირაში აღდგა. განვითარებასა ან რეპროდუქციულ ფუნქციაზე გავლენა არ დაფიქსირებულა იმ ვირთხების შთამომავლობაში, რომლებიც დაიბადნენ იმ დედებისგან, რომლებიც ადრე იღებდნენ ტამოქსიფენს.</w:t>
      </w:r>
    </w:p>
    <w:p w14:paraId="20B6A859" w14:textId="65828A9F" w:rsidR="00C45A63" w:rsidRPr="004D0299" w:rsidRDefault="00C45A63" w:rsidP="004D0299">
      <w:pPr>
        <w:spacing w:after="0" w:line="276" w:lineRule="auto"/>
        <w:jc w:val="both"/>
        <w:rPr>
          <w:rFonts w:ascii="Sylfaen" w:hAnsi="Sylfaen"/>
          <w:sz w:val="24"/>
          <w:szCs w:val="24"/>
          <w:lang w:val="ka-GE"/>
        </w:rPr>
      </w:pPr>
      <w:r w:rsidRPr="004D0299">
        <w:rPr>
          <w:rFonts w:ascii="Sylfaen" w:hAnsi="Sylfaen"/>
          <w:sz w:val="24"/>
          <w:szCs w:val="24"/>
          <w:lang w:val="ka-GE"/>
        </w:rPr>
        <w:t>ტამოქსიფენი დაბალი კონცენტრაციით აფერხებს იმპლანტაციას და 2 მგ/კგ/დღეში მეტი დოზით მიღებისას იწვევს აბორტს. ცხოველთა რამდენიმე სახეობაზე ჩატარებულმა ემბრიოტოქსიკურობის კვლევებმა არ გამოავლინა ტერატოგენული ეფექტების ნიშნები. ემბრიონის სიკვდილი დაფიქსირდა კურდღლებში 0.5 მგ/კგ/დღეში დოზირებისას.</w:t>
      </w:r>
    </w:p>
    <w:p w14:paraId="5C0CD2F9" w14:textId="4CEE2EFE" w:rsidR="00C45A63" w:rsidRPr="004D0299" w:rsidRDefault="00C45A63" w:rsidP="004D0299">
      <w:pPr>
        <w:spacing w:after="0" w:line="276" w:lineRule="auto"/>
        <w:jc w:val="both"/>
        <w:rPr>
          <w:rFonts w:ascii="Sylfaen" w:hAnsi="Sylfaen"/>
          <w:sz w:val="24"/>
          <w:szCs w:val="24"/>
          <w:lang w:val="ka-GE"/>
        </w:rPr>
      </w:pPr>
      <w:r w:rsidRPr="004D0299">
        <w:rPr>
          <w:rFonts w:ascii="Sylfaen" w:hAnsi="Sylfaen"/>
          <w:sz w:val="24"/>
          <w:szCs w:val="24"/>
          <w:lang w:val="ka-GE"/>
        </w:rPr>
        <w:t>ნაყოფის განვითარების დროს თაგვებში საშვილოსნოსშიდა ზემოქმედება, ასევე ახალშობილ ვირთხებსა და თაგვებში ტამოქსიფენის მიღება იწვევს ქალის რეპროდუქციული სისტემის დაზიანებას, რაც ვლინდება ზრდასრულ თაგვებში.</w:t>
      </w:r>
    </w:p>
    <w:p w14:paraId="688D9492" w14:textId="5A039541" w:rsidR="00001110" w:rsidRPr="004D0299" w:rsidRDefault="00001110" w:rsidP="004D0299">
      <w:pPr>
        <w:spacing w:after="0" w:line="276" w:lineRule="auto"/>
        <w:jc w:val="both"/>
        <w:rPr>
          <w:rFonts w:ascii="Sylfaen" w:hAnsi="Sylfaen"/>
          <w:sz w:val="24"/>
          <w:szCs w:val="24"/>
          <w:lang w:val="ka-GE"/>
        </w:rPr>
      </w:pPr>
      <w:r w:rsidRPr="004D0299">
        <w:rPr>
          <w:rFonts w:ascii="Sylfaen" w:hAnsi="Sylfaen"/>
          <w:sz w:val="24"/>
          <w:szCs w:val="24"/>
          <w:lang w:val="ka-GE"/>
        </w:rPr>
        <w:t>ზრდასრულ მდედრ ვირთხებში, პრეპარატის ხანგრძლივი გამოყენებისას 0.05 მგ/კგ/დღეში მეტი დოზით, რეპროდუქციული ორგანოების რეგრესიული ცვლილებებიც დაფიქსირდა. მამრ ვირთხებში, პრეპარატის ხანმოკლე და ხანგრძლივი გამოყენებისას, სათესლე ჯირკვლების წონა და სპერმატოგენეზი შემცირდა, რაც გამოწვეული იყო ჰიპოფიზში გონადოტროპინების სეკრეციის დათრგუნვით.</w:t>
      </w:r>
    </w:p>
    <w:p w14:paraId="5681C663" w14:textId="4997E179" w:rsidR="00001110" w:rsidRPr="004D0299" w:rsidRDefault="00001110"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6. ფარმაცევტული მახასიათებლები</w:t>
      </w:r>
    </w:p>
    <w:p w14:paraId="62B1BDE4" w14:textId="36FE277E" w:rsidR="00001110" w:rsidRPr="004D0299" w:rsidRDefault="00001110"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6.1. დამხმარე ნივთიერებების ჩამონათვალი</w:t>
      </w:r>
    </w:p>
    <w:p w14:paraId="4F3DE20B" w14:textId="2337D898" w:rsidR="00001110" w:rsidRPr="004D0299" w:rsidRDefault="00001110" w:rsidP="004D0299">
      <w:pPr>
        <w:spacing w:after="0" w:line="276" w:lineRule="auto"/>
        <w:jc w:val="both"/>
        <w:rPr>
          <w:rFonts w:ascii="Sylfaen" w:hAnsi="Sylfaen"/>
          <w:sz w:val="24"/>
          <w:szCs w:val="24"/>
          <w:lang w:val="ka-GE"/>
        </w:rPr>
      </w:pPr>
      <w:r w:rsidRPr="004D0299">
        <w:rPr>
          <w:rFonts w:ascii="Sylfaen" w:hAnsi="Sylfaen"/>
          <w:sz w:val="24"/>
          <w:szCs w:val="24"/>
          <w:lang w:val="ka-GE"/>
        </w:rPr>
        <w:t>ლაქტოზას მონოჰირდრატი</w:t>
      </w:r>
    </w:p>
    <w:p w14:paraId="307CFD1C" w14:textId="2F021EC7" w:rsidR="00001110" w:rsidRPr="004D0299" w:rsidRDefault="00001110" w:rsidP="004D0299">
      <w:pPr>
        <w:spacing w:after="0" w:line="276" w:lineRule="auto"/>
        <w:jc w:val="both"/>
        <w:rPr>
          <w:rFonts w:ascii="Sylfaen" w:hAnsi="Sylfaen"/>
          <w:sz w:val="24"/>
          <w:szCs w:val="24"/>
          <w:lang w:val="ka-GE"/>
        </w:rPr>
      </w:pPr>
      <w:r w:rsidRPr="004D0299">
        <w:rPr>
          <w:rFonts w:ascii="Sylfaen" w:hAnsi="Sylfaen"/>
          <w:sz w:val="24"/>
          <w:szCs w:val="24"/>
          <w:lang w:val="ka-GE"/>
        </w:rPr>
        <w:t>ნატრიუმის სახამებლის გლიკოლატი</w:t>
      </w:r>
    </w:p>
    <w:p w14:paraId="7F638970" w14:textId="1F0D47E1" w:rsidR="00001110" w:rsidRPr="004D0299" w:rsidRDefault="00001110" w:rsidP="004D0299">
      <w:pPr>
        <w:spacing w:after="0" w:line="276" w:lineRule="auto"/>
        <w:jc w:val="both"/>
        <w:rPr>
          <w:rFonts w:ascii="Sylfaen" w:hAnsi="Sylfaen"/>
          <w:sz w:val="24"/>
          <w:szCs w:val="24"/>
          <w:lang w:val="ka-GE"/>
        </w:rPr>
      </w:pPr>
      <w:r w:rsidRPr="004D0299">
        <w:rPr>
          <w:rFonts w:ascii="Sylfaen" w:hAnsi="Sylfaen"/>
          <w:sz w:val="24"/>
          <w:szCs w:val="24"/>
          <w:lang w:val="ka-GE"/>
        </w:rPr>
        <w:t>პოვიდონი (კოლლიდონ 25)</w:t>
      </w:r>
    </w:p>
    <w:p w14:paraId="5B8B3EFB" w14:textId="4CC4B0B0" w:rsidR="00001110" w:rsidRPr="004D0299" w:rsidRDefault="00001110" w:rsidP="004D0299">
      <w:pPr>
        <w:spacing w:after="0" w:line="276" w:lineRule="auto"/>
        <w:jc w:val="both"/>
        <w:rPr>
          <w:rFonts w:ascii="Sylfaen" w:hAnsi="Sylfaen"/>
          <w:sz w:val="24"/>
          <w:szCs w:val="24"/>
          <w:lang w:val="ka-GE"/>
        </w:rPr>
      </w:pPr>
      <w:r w:rsidRPr="004D0299">
        <w:rPr>
          <w:rFonts w:ascii="Sylfaen" w:hAnsi="Sylfaen"/>
          <w:sz w:val="24"/>
          <w:szCs w:val="24"/>
          <w:lang w:val="ka-GE"/>
        </w:rPr>
        <w:t>მიკროკრისტალური ცელულოზა</w:t>
      </w:r>
    </w:p>
    <w:p w14:paraId="30BB3518" w14:textId="7232401B" w:rsidR="00001110" w:rsidRPr="004D0299" w:rsidRDefault="00001110" w:rsidP="004D0299">
      <w:pPr>
        <w:spacing w:after="0" w:line="276" w:lineRule="auto"/>
        <w:jc w:val="both"/>
        <w:rPr>
          <w:rFonts w:ascii="Sylfaen" w:hAnsi="Sylfaen"/>
          <w:sz w:val="24"/>
          <w:szCs w:val="24"/>
          <w:lang w:val="ka-GE"/>
        </w:rPr>
      </w:pPr>
      <w:r w:rsidRPr="004D0299">
        <w:rPr>
          <w:rFonts w:ascii="Sylfaen" w:hAnsi="Sylfaen"/>
          <w:sz w:val="24"/>
          <w:szCs w:val="24"/>
          <w:lang w:val="ka-GE"/>
        </w:rPr>
        <w:t>მაგნიუმის სტეარატი</w:t>
      </w:r>
    </w:p>
    <w:p w14:paraId="0CD24FB0" w14:textId="3FCA5E77" w:rsidR="00001110" w:rsidRPr="004D0299" w:rsidRDefault="00001110" w:rsidP="004D0299">
      <w:pPr>
        <w:spacing w:after="0" w:line="276" w:lineRule="auto"/>
        <w:jc w:val="both"/>
        <w:rPr>
          <w:rFonts w:ascii="Sylfaen" w:hAnsi="Sylfaen"/>
          <w:sz w:val="24"/>
          <w:szCs w:val="24"/>
          <w:lang w:val="ka-GE"/>
        </w:rPr>
      </w:pPr>
      <w:r w:rsidRPr="004D0299">
        <w:rPr>
          <w:rFonts w:ascii="Sylfaen" w:hAnsi="Sylfaen"/>
          <w:sz w:val="24"/>
          <w:szCs w:val="24"/>
          <w:lang w:val="ka-GE"/>
        </w:rPr>
        <w:t>ტიტანის დიოქსიდი</w:t>
      </w:r>
    </w:p>
    <w:p w14:paraId="5196E4A7" w14:textId="1F04EFAC" w:rsidR="00001110" w:rsidRPr="004D0299" w:rsidRDefault="00001110" w:rsidP="004D0299">
      <w:pPr>
        <w:spacing w:after="0" w:line="276" w:lineRule="auto"/>
        <w:jc w:val="both"/>
        <w:rPr>
          <w:rFonts w:ascii="Sylfaen" w:hAnsi="Sylfaen"/>
          <w:sz w:val="24"/>
          <w:szCs w:val="24"/>
          <w:lang w:val="ka-GE"/>
        </w:rPr>
      </w:pPr>
      <w:r w:rsidRPr="004D0299">
        <w:rPr>
          <w:rFonts w:ascii="Sylfaen" w:hAnsi="Sylfaen"/>
          <w:sz w:val="24"/>
          <w:szCs w:val="24"/>
          <w:lang w:val="ka-GE"/>
        </w:rPr>
        <w:t>ჰიპრომელოზა</w:t>
      </w:r>
    </w:p>
    <w:p w14:paraId="1B6B495E" w14:textId="06A01E48" w:rsidR="00001110" w:rsidRPr="004D0299" w:rsidRDefault="00001110" w:rsidP="004D0299">
      <w:pPr>
        <w:spacing w:after="0" w:line="276" w:lineRule="auto"/>
        <w:jc w:val="both"/>
        <w:rPr>
          <w:rFonts w:ascii="Sylfaen" w:hAnsi="Sylfaen"/>
          <w:sz w:val="24"/>
          <w:szCs w:val="24"/>
          <w:lang w:val="ka-GE"/>
        </w:rPr>
      </w:pPr>
      <w:r w:rsidRPr="004D0299">
        <w:rPr>
          <w:rFonts w:ascii="Sylfaen" w:hAnsi="Sylfaen"/>
          <w:sz w:val="24"/>
          <w:szCs w:val="24"/>
          <w:lang w:val="ka-GE"/>
        </w:rPr>
        <w:t>მაკროგოლი 4000</w:t>
      </w:r>
    </w:p>
    <w:p w14:paraId="47B65D7D" w14:textId="0B77545B" w:rsidR="00001110" w:rsidRPr="004D0299" w:rsidRDefault="00001110"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6.2. შეუთავსებლობა</w:t>
      </w:r>
    </w:p>
    <w:p w14:paraId="7BEBE46C" w14:textId="3CA6E073" w:rsidR="00001110" w:rsidRPr="004D0299" w:rsidRDefault="00001110" w:rsidP="004D0299">
      <w:pPr>
        <w:spacing w:after="0" w:line="276" w:lineRule="auto"/>
        <w:jc w:val="both"/>
        <w:rPr>
          <w:rFonts w:ascii="Sylfaen" w:hAnsi="Sylfaen"/>
          <w:sz w:val="24"/>
          <w:szCs w:val="24"/>
          <w:lang w:val="ka-GE"/>
        </w:rPr>
      </w:pPr>
      <w:r w:rsidRPr="004D0299">
        <w:rPr>
          <w:rFonts w:ascii="Sylfaen" w:hAnsi="Sylfaen"/>
          <w:sz w:val="24"/>
          <w:szCs w:val="24"/>
          <w:lang w:val="ka-GE"/>
        </w:rPr>
        <w:t xml:space="preserve">არ </w:t>
      </w:r>
      <w:r w:rsidR="00B23454" w:rsidRPr="004D0299">
        <w:rPr>
          <w:rFonts w:ascii="Sylfaen" w:hAnsi="Sylfaen"/>
          <w:sz w:val="24"/>
          <w:szCs w:val="24"/>
          <w:lang w:val="ka-GE"/>
        </w:rPr>
        <w:t>არის აღნიშნული</w:t>
      </w:r>
    </w:p>
    <w:p w14:paraId="3FE251F5" w14:textId="2F802ED1" w:rsidR="00001110" w:rsidRPr="004D0299" w:rsidRDefault="00001110"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6.3. ვარგისობის ვადა</w:t>
      </w:r>
    </w:p>
    <w:p w14:paraId="6390E5E2" w14:textId="431AD347" w:rsidR="00001110" w:rsidRPr="004D0299" w:rsidRDefault="00001110" w:rsidP="004D0299">
      <w:pPr>
        <w:spacing w:after="0" w:line="276" w:lineRule="auto"/>
        <w:jc w:val="both"/>
        <w:rPr>
          <w:rFonts w:ascii="Sylfaen" w:hAnsi="Sylfaen"/>
          <w:sz w:val="24"/>
          <w:szCs w:val="24"/>
          <w:lang w:val="ka-GE"/>
        </w:rPr>
      </w:pPr>
      <w:r w:rsidRPr="004D0299">
        <w:rPr>
          <w:rFonts w:ascii="Sylfaen" w:hAnsi="Sylfaen"/>
          <w:sz w:val="24"/>
          <w:szCs w:val="24"/>
          <w:lang w:val="ka-GE"/>
        </w:rPr>
        <w:t>3 წელი. არ გამოიყენება შეფუთვაზე მითითებული ვარგისობის ვადის ამოწურვის შემდეგ.</w:t>
      </w:r>
    </w:p>
    <w:p w14:paraId="772833B1" w14:textId="75001362" w:rsidR="00001110" w:rsidRPr="004D0299" w:rsidRDefault="00001110"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6.4. განსაკუთრებული სიფრთხილის ზომები გამოყენებისას</w:t>
      </w:r>
    </w:p>
    <w:p w14:paraId="1EF49B14" w14:textId="594042E9" w:rsidR="00001110" w:rsidRPr="004D0299" w:rsidRDefault="00001110" w:rsidP="004D0299">
      <w:pPr>
        <w:spacing w:after="0" w:line="276" w:lineRule="auto"/>
        <w:jc w:val="both"/>
        <w:rPr>
          <w:rFonts w:ascii="Sylfaen" w:hAnsi="Sylfaen"/>
          <w:sz w:val="24"/>
          <w:szCs w:val="24"/>
          <w:lang w:val="ka-GE"/>
        </w:rPr>
      </w:pPr>
      <w:r w:rsidRPr="004D0299">
        <w:rPr>
          <w:rFonts w:ascii="Sylfaen" w:hAnsi="Sylfaen"/>
          <w:sz w:val="24"/>
          <w:szCs w:val="24"/>
          <w:lang w:val="ka-GE"/>
        </w:rPr>
        <w:t>შეინახეთ ბავშვებისთვის მიუწვდომელ ადგილას, არაუმეტეს 30°C ტემპერატურაზე.</w:t>
      </w:r>
    </w:p>
    <w:p w14:paraId="1153BF63" w14:textId="61398CBA" w:rsidR="00001110" w:rsidRPr="004D0299" w:rsidRDefault="00001110"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6.5. პირველადი შეფუთვის ბუნება და შიგთავსი</w:t>
      </w:r>
    </w:p>
    <w:p w14:paraId="77D8AA89" w14:textId="4BD82E39" w:rsidR="00001110" w:rsidRPr="004D0299" w:rsidRDefault="00001110" w:rsidP="004D0299">
      <w:pPr>
        <w:spacing w:after="0" w:line="276" w:lineRule="auto"/>
        <w:jc w:val="both"/>
        <w:rPr>
          <w:rFonts w:ascii="Sylfaen" w:hAnsi="Sylfaen"/>
          <w:sz w:val="24"/>
          <w:szCs w:val="24"/>
          <w:lang w:val="ka-GE"/>
        </w:rPr>
      </w:pPr>
      <w:r w:rsidRPr="004D0299">
        <w:rPr>
          <w:rFonts w:ascii="Sylfaen" w:hAnsi="Sylfaen"/>
          <w:sz w:val="24"/>
          <w:szCs w:val="24"/>
          <w:lang w:val="ka-GE"/>
        </w:rPr>
        <w:t>10 ტაბლეტი ბლისტერში.</w:t>
      </w:r>
    </w:p>
    <w:p w14:paraId="3F720DBC" w14:textId="6B53E606" w:rsidR="00001110" w:rsidRPr="004D0299" w:rsidRDefault="00001110" w:rsidP="004D0299">
      <w:pPr>
        <w:spacing w:after="0" w:line="276" w:lineRule="auto"/>
        <w:jc w:val="both"/>
        <w:rPr>
          <w:rFonts w:ascii="Sylfaen" w:hAnsi="Sylfaen"/>
          <w:sz w:val="24"/>
          <w:szCs w:val="24"/>
          <w:lang w:val="ka-GE"/>
        </w:rPr>
      </w:pPr>
      <w:r w:rsidRPr="004D0299">
        <w:rPr>
          <w:rFonts w:ascii="Sylfaen" w:hAnsi="Sylfaen"/>
          <w:sz w:val="24"/>
          <w:szCs w:val="24"/>
          <w:lang w:val="ka-GE"/>
        </w:rPr>
        <w:t>3 ბლისტერი ფურცელ-ჩანართთან ერთად მუყაოს კოლოფში.</w:t>
      </w:r>
    </w:p>
    <w:p w14:paraId="0CAC7549" w14:textId="1DE471C2" w:rsidR="00001110" w:rsidRPr="004D0299" w:rsidRDefault="00001110"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6.6. ამოყენებული სამკურნალო საშუალების ან სამკურნალო საშუალების გამოყენების შემდეგ მიღებული ნარჩენების განადგურების სპეციალური ზომები და პროდუქტთან დაკავშირებული სხვა მანიპულაციები</w:t>
      </w:r>
    </w:p>
    <w:p w14:paraId="5FECD3B3" w14:textId="0FD73DAC" w:rsidR="00001110" w:rsidRPr="004D0299" w:rsidRDefault="00B23454" w:rsidP="004D0299">
      <w:pPr>
        <w:spacing w:after="0" w:line="276" w:lineRule="auto"/>
        <w:jc w:val="both"/>
        <w:rPr>
          <w:rFonts w:ascii="Sylfaen" w:hAnsi="Sylfaen"/>
          <w:sz w:val="24"/>
          <w:szCs w:val="24"/>
          <w:lang w:val="ka-GE"/>
        </w:rPr>
      </w:pPr>
      <w:r w:rsidRPr="004D0299">
        <w:rPr>
          <w:rFonts w:ascii="Sylfaen" w:hAnsi="Sylfaen"/>
          <w:sz w:val="24"/>
          <w:szCs w:val="24"/>
          <w:lang w:val="ka-GE"/>
        </w:rPr>
        <w:t>არ არსებობს სპეციალური მოთხოვნები.</w:t>
      </w:r>
    </w:p>
    <w:p w14:paraId="4F65AD26" w14:textId="4DF79913" w:rsidR="00B23454" w:rsidRPr="004D0299" w:rsidRDefault="00B23454"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lastRenderedPageBreak/>
        <w:t>7. სარეგისტრაციო მოწმობის მფლობელი</w:t>
      </w:r>
    </w:p>
    <w:p w14:paraId="2EB8583A" w14:textId="6A35417E" w:rsidR="00B23454" w:rsidRPr="004D0299" w:rsidRDefault="00B23454" w:rsidP="004D0299">
      <w:pPr>
        <w:spacing w:after="0" w:line="276" w:lineRule="auto"/>
        <w:jc w:val="both"/>
        <w:rPr>
          <w:rFonts w:ascii="Sylfaen" w:hAnsi="Sylfaen"/>
          <w:sz w:val="24"/>
          <w:szCs w:val="24"/>
          <w:lang w:val="ka-GE"/>
        </w:rPr>
      </w:pPr>
      <w:r w:rsidRPr="004D0299">
        <w:rPr>
          <w:rFonts w:ascii="Sylfaen" w:hAnsi="Sylfaen"/>
          <w:sz w:val="24"/>
          <w:szCs w:val="24"/>
          <w:lang w:val="ka-GE"/>
        </w:rPr>
        <w:t>სანდოზ ფარმასიუტიკალს დ.დ.,  ვეროვშკოვას 57, 1000 ლუბლიანა, სლოვენია.</w:t>
      </w:r>
    </w:p>
    <w:p w14:paraId="181E78C2" w14:textId="2DEBE31A" w:rsidR="00B23454" w:rsidRPr="004D0299" w:rsidRDefault="00B23454"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მწარმოებელი</w:t>
      </w:r>
    </w:p>
    <w:p w14:paraId="2BA7F8B7" w14:textId="44196913" w:rsidR="00001110" w:rsidRPr="004D0299" w:rsidRDefault="00B23454" w:rsidP="004D0299">
      <w:pPr>
        <w:spacing w:after="0" w:line="276" w:lineRule="auto"/>
        <w:jc w:val="both"/>
        <w:rPr>
          <w:rFonts w:ascii="Sylfaen" w:hAnsi="Sylfaen"/>
          <w:sz w:val="24"/>
          <w:szCs w:val="24"/>
          <w:lang w:val="ka-GE"/>
        </w:rPr>
      </w:pPr>
      <w:proofErr w:type="spellStart"/>
      <w:r w:rsidRPr="004D0299">
        <w:rPr>
          <w:rFonts w:ascii="Sylfaen" w:hAnsi="Sylfaen"/>
          <w:sz w:val="24"/>
          <w:szCs w:val="24"/>
          <w:lang w:val="ka-GE"/>
        </w:rPr>
        <w:t>სალუტას</w:t>
      </w:r>
      <w:proofErr w:type="spellEnd"/>
      <w:r w:rsidRPr="004D0299">
        <w:rPr>
          <w:rFonts w:ascii="Sylfaen" w:hAnsi="Sylfaen"/>
          <w:sz w:val="24"/>
          <w:szCs w:val="24"/>
          <w:lang w:val="ka-GE"/>
        </w:rPr>
        <w:t xml:space="preserve"> ფარმა </w:t>
      </w:r>
      <w:proofErr w:type="spellStart"/>
      <w:r w:rsidRPr="004D0299">
        <w:rPr>
          <w:rFonts w:ascii="Sylfaen" w:hAnsi="Sylfaen"/>
          <w:sz w:val="24"/>
          <w:szCs w:val="24"/>
          <w:lang w:val="ka-GE"/>
        </w:rPr>
        <w:t>გმბჰ</w:t>
      </w:r>
      <w:proofErr w:type="spellEnd"/>
      <w:r w:rsidRPr="004D0299">
        <w:rPr>
          <w:rFonts w:ascii="Sylfaen" w:hAnsi="Sylfaen"/>
          <w:sz w:val="24"/>
          <w:szCs w:val="24"/>
          <w:lang w:val="ka-GE"/>
        </w:rPr>
        <w:t>, ოტტო-ფონ-</w:t>
      </w:r>
      <w:proofErr w:type="spellStart"/>
      <w:r w:rsidRPr="004D0299">
        <w:rPr>
          <w:rFonts w:ascii="Sylfaen" w:hAnsi="Sylfaen"/>
          <w:sz w:val="24"/>
          <w:szCs w:val="24"/>
          <w:lang w:val="ka-GE"/>
        </w:rPr>
        <w:t>გერიკე</w:t>
      </w:r>
      <w:proofErr w:type="spellEnd"/>
      <w:r w:rsidRPr="004D0299">
        <w:rPr>
          <w:rFonts w:ascii="Sylfaen" w:hAnsi="Sylfaen"/>
          <w:sz w:val="24"/>
          <w:szCs w:val="24"/>
          <w:lang w:val="ka-GE"/>
        </w:rPr>
        <w:t xml:space="preserve"> </w:t>
      </w:r>
      <w:proofErr w:type="spellStart"/>
      <w:r w:rsidRPr="004D0299">
        <w:rPr>
          <w:rFonts w:ascii="Sylfaen" w:hAnsi="Sylfaen"/>
          <w:sz w:val="24"/>
          <w:szCs w:val="24"/>
          <w:lang w:val="ka-GE"/>
        </w:rPr>
        <w:t>ალეე</w:t>
      </w:r>
      <w:proofErr w:type="spellEnd"/>
      <w:r w:rsidRPr="004D0299">
        <w:rPr>
          <w:rFonts w:ascii="Sylfaen" w:hAnsi="Sylfaen"/>
          <w:sz w:val="24"/>
          <w:szCs w:val="24"/>
          <w:lang w:val="ka-GE"/>
        </w:rPr>
        <w:t xml:space="preserve"> 1, 39179</w:t>
      </w:r>
      <w:r w:rsidR="00C85EEC" w:rsidRPr="004D0299">
        <w:rPr>
          <w:rFonts w:ascii="Sylfaen" w:hAnsi="Sylfaen"/>
          <w:sz w:val="24"/>
          <w:szCs w:val="24"/>
          <w:lang w:val="ka-GE"/>
        </w:rPr>
        <w:t xml:space="preserve"> </w:t>
      </w:r>
      <w:proofErr w:type="spellStart"/>
      <w:r w:rsidRPr="004D0299">
        <w:rPr>
          <w:rFonts w:ascii="Sylfaen" w:hAnsi="Sylfaen"/>
          <w:sz w:val="24"/>
          <w:szCs w:val="24"/>
          <w:lang w:val="ka-GE"/>
        </w:rPr>
        <w:t>ბარლებენი</w:t>
      </w:r>
      <w:proofErr w:type="spellEnd"/>
      <w:r w:rsidRPr="004D0299">
        <w:rPr>
          <w:rFonts w:ascii="Sylfaen" w:hAnsi="Sylfaen"/>
          <w:sz w:val="24"/>
          <w:szCs w:val="24"/>
          <w:lang w:val="ka-GE"/>
        </w:rPr>
        <w:t>, გერმანია - „</w:t>
      </w:r>
      <w:proofErr w:type="spellStart"/>
      <w:r w:rsidRPr="004D0299">
        <w:rPr>
          <w:rFonts w:ascii="Sylfaen" w:hAnsi="Sylfaen"/>
          <w:sz w:val="24"/>
          <w:szCs w:val="24"/>
          <w:lang w:val="ka-GE"/>
        </w:rPr>
        <w:t>სანდოზი</w:t>
      </w:r>
      <w:proofErr w:type="spellEnd"/>
      <w:r w:rsidRPr="004D0299">
        <w:rPr>
          <w:rFonts w:ascii="Sylfaen" w:hAnsi="Sylfaen"/>
          <w:sz w:val="24"/>
          <w:szCs w:val="24"/>
          <w:lang w:val="ka-GE"/>
        </w:rPr>
        <w:t>“-ს ჯგუფის კომპანია.</w:t>
      </w:r>
    </w:p>
    <w:p w14:paraId="1C543081" w14:textId="65943C71" w:rsidR="00B23454" w:rsidRPr="004D0299" w:rsidRDefault="00B23454"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8. სარეგისტრაციო მოწმობის მფლობელი</w:t>
      </w:r>
    </w:p>
    <w:p w14:paraId="590DD1BE" w14:textId="02343BBF" w:rsidR="00B23454" w:rsidRPr="004D0299" w:rsidRDefault="00B23454" w:rsidP="004D0299">
      <w:pPr>
        <w:spacing w:after="0" w:line="276" w:lineRule="auto"/>
        <w:jc w:val="both"/>
        <w:rPr>
          <w:rFonts w:ascii="Sylfaen" w:hAnsi="Sylfaen"/>
          <w:sz w:val="24"/>
          <w:szCs w:val="24"/>
          <w:lang w:val="ka-GE"/>
        </w:rPr>
      </w:pPr>
      <w:r w:rsidRPr="004D0299">
        <w:rPr>
          <w:rFonts w:ascii="Sylfaen" w:hAnsi="Sylfaen"/>
          <w:sz w:val="24"/>
          <w:szCs w:val="24"/>
          <w:lang w:val="ka-GE"/>
        </w:rPr>
        <w:t>არ არის აღნიშნული</w:t>
      </w:r>
    </w:p>
    <w:p w14:paraId="28E4BA12" w14:textId="7E219C3B" w:rsidR="00B23454" w:rsidRPr="004D0299" w:rsidRDefault="00B23454"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 xml:space="preserve">9. პირველადი რეგისტრაციის (რეგისტრაციის დადასტურების) თარიღი </w:t>
      </w:r>
    </w:p>
    <w:p w14:paraId="3449F7ED" w14:textId="7871FC14" w:rsidR="00B23454" w:rsidRPr="004D0299" w:rsidRDefault="00B23454" w:rsidP="004D0299">
      <w:pPr>
        <w:spacing w:after="0" w:line="276" w:lineRule="auto"/>
        <w:jc w:val="both"/>
        <w:rPr>
          <w:rFonts w:ascii="Sylfaen" w:hAnsi="Sylfaen"/>
          <w:sz w:val="24"/>
          <w:szCs w:val="24"/>
          <w:lang w:val="ka-GE"/>
        </w:rPr>
      </w:pPr>
      <w:r w:rsidRPr="004D0299">
        <w:rPr>
          <w:rFonts w:ascii="Sylfaen" w:hAnsi="Sylfaen"/>
          <w:sz w:val="24"/>
          <w:szCs w:val="24"/>
          <w:lang w:val="ka-GE"/>
        </w:rPr>
        <w:t>პირველადი რეგისტრაციის თარიღი: არ არის აღნიშნული</w:t>
      </w:r>
    </w:p>
    <w:p w14:paraId="636650E9" w14:textId="1B8CA639" w:rsidR="00B23454" w:rsidRPr="004D0299" w:rsidRDefault="00B23454" w:rsidP="004D0299">
      <w:pPr>
        <w:spacing w:after="0" w:line="276" w:lineRule="auto"/>
        <w:jc w:val="both"/>
        <w:rPr>
          <w:rFonts w:ascii="Sylfaen" w:hAnsi="Sylfaen"/>
          <w:sz w:val="24"/>
          <w:szCs w:val="24"/>
          <w:lang w:val="ka-GE"/>
        </w:rPr>
      </w:pPr>
      <w:r w:rsidRPr="004D0299">
        <w:rPr>
          <w:rFonts w:ascii="Sylfaen" w:hAnsi="Sylfaen"/>
          <w:sz w:val="24"/>
          <w:szCs w:val="24"/>
          <w:lang w:val="ka-GE"/>
        </w:rPr>
        <w:t>რეგისტრაციის უკანასკნელად დადასტურების (ხელახალი რეგისტრაციის) თარიღი: არ არის აღნიშნული</w:t>
      </w:r>
    </w:p>
    <w:p w14:paraId="7DD18B48" w14:textId="77B512BC" w:rsidR="00B23454" w:rsidRPr="004D0299" w:rsidRDefault="00B23454"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10. ტექსტის გადახედვა</w:t>
      </w:r>
    </w:p>
    <w:p w14:paraId="789CB167" w14:textId="47C977F1" w:rsidR="00B23454" w:rsidRPr="004D0299" w:rsidRDefault="00B23454" w:rsidP="004D0299">
      <w:pPr>
        <w:spacing w:after="0" w:line="276" w:lineRule="auto"/>
        <w:jc w:val="both"/>
        <w:rPr>
          <w:rFonts w:ascii="Sylfaen" w:hAnsi="Sylfaen"/>
          <w:sz w:val="24"/>
          <w:szCs w:val="24"/>
          <w:lang w:val="ka-GE"/>
        </w:rPr>
      </w:pPr>
      <w:r w:rsidRPr="004D0299">
        <w:rPr>
          <w:rFonts w:ascii="Sylfaen" w:hAnsi="Sylfaen"/>
          <w:sz w:val="24"/>
          <w:szCs w:val="24"/>
          <w:lang w:val="ka-GE"/>
        </w:rPr>
        <w:t>2024 წლის ივლისი</w:t>
      </w:r>
    </w:p>
    <w:p w14:paraId="170B2BE0" w14:textId="6F052F89" w:rsidR="00B23454" w:rsidRPr="004D0299" w:rsidRDefault="00B23454" w:rsidP="004D0299">
      <w:pPr>
        <w:spacing w:after="0" w:line="276" w:lineRule="auto"/>
        <w:jc w:val="both"/>
        <w:rPr>
          <w:rFonts w:ascii="Sylfaen" w:hAnsi="Sylfaen"/>
          <w:b/>
          <w:bCs/>
          <w:sz w:val="24"/>
          <w:szCs w:val="24"/>
          <w:lang w:val="ka-GE"/>
        </w:rPr>
      </w:pPr>
      <w:r w:rsidRPr="004D0299">
        <w:rPr>
          <w:rFonts w:ascii="Sylfaen" w:hAnsi="Sylfaen"/>
          <w:b/>
          <w:bCs/>
          <w:sz w:val="24"/>
          <w:szCs w:val="24"/>
          <w:lang w:val="ka-GE"/>
        </w:rPr>
        <w:t>გაცემის პირობები</w:t>
      </w:r>
      <w:r w:rsidR="004D0299" w:rsidRPr="004D0299">
        <w:rPr>
          <w:rFonts w:ascii="Sylfaen" w:hAnsi="Sylfaen"/>
          <w:b/>
          <w:bCs/>
          <w:sz w:val="24"/>
          <w:szCs w:val="24"/>
          <w:lang w:val="ka-GE"/>
        </w:rPr>
        <w:t xml:space="preserve"> -  </w:t>
      </w:r>
      <w:r w:rsidR="004D0299" w:rsidRPr="004D0299">
        <w:rPr>
          <w:rFonts w:ascii="Sylfaen" w:eastAsia="SimSun" w:hAnsi="Sylfaen"/>
          <w:bCs/>
          <w:sz w:val="24"/>
          <w:szCs w:val="24"/>
          <w:lang w:val="ka-GE"/>
        </w:rPr>
        <w:t xml:space="preserve">ფარმაცევტული პროდუქტის ჯგუფი II, გაიცემა ფორმა </w:t>
      </w:r>
      <w:r w:rsidR="004D0299" w:rsidRPr="004D0299">
        <w:rPr>
          <w:rFonts w:ascii="Sylfaen" w:hAnsi="Sylfaen"/>
          <w:sz w:val="24"/>
          <w:szCs w:val="24"/>
          <w:lang w:val="ka-GE"/>
        </w:rPr>
        <w:t>№</w:t>
      </w:r>
      <w:r w:rsidR="004D0299" w:rsidRPr="004D0299">
        <w:rPr>
          <w:rFonts w:ascii="Sylfaen" w:eastAsia="SimSun" w:hAnsi="Sylfaen"/>
          <w:bCs/>
          <w:sz w:val="24"/>
          <w:szCs w:val="24"/>
          <w:lang w:val="ka-GE"/>
        </w:rPr>
        <w:t>3 რეცეპტით</w:t>
      </w:r>
    </w:p>
    <w:p w14:paraId="6A7373D3" w14:textId="77777777" w:rsidR="00B23454" w:rsidRPr="004D0299" w:rsidRDefault="00B23454" w:rsidP="004D0299">
      <w:pPr>
        <w:spacing w:after="0" w:line="276" w:lineRule="auto"/>
        <w:jc w:val="both"/>
        <w:rPr>
          <w:rFonts w:ascii="Sylfaen" w:hAnsi="Sylfaen"/>
          <w:sz w:val="24"/>
          <w:szCs w:val="24"/>
          <w:lang w:val="ka-GE"/>
        </w:rPr>
      </w:pPr>
    </w:p>
    <w:p w14:paraId="02DFAC46" w14:textId="77777777" w:rsidR="00B23454" w:rsidRPr="004D0299" w:rsidRDefault="00B23454" w:rsidP="004D0299">
      <w:pPr>
        <w:spacing w:after="0" w:line="276" w:lineRule="auto"/>
        <w:jc w:val="both"/>
        <w:rPr>
          <w:rFonts w:ascii="Sylfaen" w:hAnsi="Sylfaen"/>
          <w:sz w:val="24"/>
          <w:szCs w:val="24"/>
          <w:lang w:val="ka-GE"/>
        </w:rPr>
      </w:pPr>
    </w:p>
    <w:p w14:paraId="041C0467" w14:textId="77777777" w:rsidR="00001110" w:rsidRPr="004D0299" w:rsidRDefault="00001110" w:rsidP="004D0299">
      <w:pPr>
        <w:spacing w:after="0" w:line="276" w:lineRule="auto"/>
        <w:jc w:val="both"/>
        <w:rPr>
          <w:rFonts w:ascii="Sylfaen" w:hAnsi="Sylfaen"/>
          <w:sz w:val="24"/>
          <w:szCs w:val="24"/>
          <w:lang w:val="ka-GE"/>
        </w:rPr>
      </w:pPr>
    </w:p>
    <w:sectPr w:rsidR="00001110" w:rsidRPr="004D0299" w:rsidSect="00C85EEC">
      <w:pgSz w:w="12240" w:h="15840"/>
      <w:pgMar w:top="720" w:right="99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134806"/>
    <w:multiLevelType w:val="hybridMultilevel"/>
    <w:tmpl w:val="25824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AB0FA4"/>
    <w:multiLevelType w:val="hybridMultilevel"/>
    <w:tmpl w:val="8054B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3827973">
    <w:abstractNumId w:val="0"/>
  </w:num>
  <w:num w:numId="2" w16cid:durableId="1240869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58E"/>
    <w:rsid w:val="00001110"/>
    <w:rsid w:val="00044078"/>
    <w:rsid w:val="0016158E"/>
    <w:rsid w:val="003451F3"/>
    <w:rsid w:val="004D0299"/>
    <w:rsid w:val="006C12E8"/>
    <w:rsid w:val="00721624"/>
    <w:rsid w:val="00834735"/>
    <w:rsid w:val="00845FD1"/>
    <w:rsid w:val="008B6073"/>
    <w:rsid w:val="00906EAE"/>
    <w:rsid w:val="00962DEB"/>
    <w:rsid w:val="009B5BE5"/>
    <w:rsid w:val="009D4F63"/>
    <w:rsid w:val="00A30A52"/>
    <w:rsid w:val="00AE245E"/>
    <w:rsid w:val="00B23454"/>
    <w:rsid w:val="00BD5C50"/>
    <w:rsid w:val="00C276E4"/>
    <w:rsid w:val="00C45A63"/>
    <w:rsid w:val="00C72DCD"/>
    <w:rsid w:val="00C85EEC"/>
    <w:rsid w:val="00CF63E3"/>
    <w:rsid w:val="00DB0071"/>
    <w:rsid w:val="00DF0B16"/>
    <w:rsid w:val="00E2141A"/>
    <w:rsid w:val="00F80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5277A"/>
  <w15:chartTrackingRefBased/>
  <w15:docId w15:val="{2674B79C-77E6-4A27-8E96-3BCDC3BAB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0B16"/>
    <w:pPr>
      <w:ind w:left="720"/>
      <w:contextualSpacing/>
    </w:pPr>
  </w:style>
  <w:style w:type="paragraph" w:styleId="NormalWeb">
    <w:name w:val="Normal (Web)"/>
    <w:basedOn w:val="Normal"/>
    <w:uiPriority w:val="99"/>
    <w:semiHidden/>
    <w:unhideWhenUsed/>
    <w:rsid w:val="00A30A5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140337">
      <w:bodyDiv w:val="1"/>
      <w:marLeft w:val="0"/>
      <w:marRight w:val="0"/>
      <w:marTop w:val="0"/>
      <w:marBottom w:val="0"/>
      <w:divBdr>
        <w:top w:val="none" w:sz="0" w:space="0" w:color="auto"/>
        <w:left w:val="none" w:sz="0" w:space="0" w:color="auto"/>
        <w:bottom w:val="none" w:sz="0" w:space="0" w:color="auto"/>
        <w:right w:val="none" w:sz="0" w:space="0" w:color="auto"/>
      </w:divBdr>
    </w:div>
    <w:div w:id="545138785">
      <w:bodyDiv w:val="1"/>
      <w:marLeft w:val="0"/>
      <w:marRight w:val="0"/>
      <w:marTop w:val="0"/>
      <w:marBottom w:val="0"/>
      <w:divBdr>
        <w:top w:val="none" w:sz="0" w:space="0" w:color="auto"/>
        <w:left w:val="none" w:sz="0" w:space="0" w:color="auto"/>
        <w:bottom w:val="none" w:sz="0" w:space="0" w:color="auto"/>
        <w:right w:val="none" w:sz="0" w:space="0" w:color="auto"/>
      </w:divBdr>
      <w:divsChild>
        <w:div w:id="1767380342">
          <w:marLeft w:val="0"/>
          <w:marRight w:val="0"/>
          <w:marTop w:val="0"/>
          <w:marBottom w:val="0"/>
          <w:divBdr>
            <w:top w:val="none" w:sz="0" w:space="0" w:color="auto"/>
            <w:left w:val="none" w:sz="0" w:space="0" w:color="auto"/>
            <w:bottom w:val="none" w:sz="0" w:space="0" w:color="auto"/>
            <w:right w:val="none" w:sz="0" w:space="0" w:color="auto"/>
          </w:divBdr>
          <w:divsChild>
            <w:div w:id="357851908">
              <w:marLeft w:val="0"/>
              <w:marRight w:val="0"/>
              <w:marTop w:val="100"/>
              <w:marBottom w:val="0"/>
              <w:divBdr>
                <w:top w:val="none" w:sz="0" w:space="0" w:color="auto"/>
                <w:left w:val="none" w:sz="0" w:space="0" w:color="auto"/>
                <w:bottom w:val="none" w:sz="0" w:space="0" w:color="auto"/>
                <w:right w:val="none" w:sz="0" w:space="0" w:color="auto"/>
              </w:divBdr>
              <w:divsChild>
                <w:div w:id="1993678640">
                  <w:marLeft w:val="0"/>
                  <w:marRight w:val="0"/>
                  <w:marTop w:val="0"/>
                  <w:marBottom w:val="0"/>
                  <w:divBdr>
                    <w:top w:val="none" w:sz="0" w:space="0" w:color="auto"/>
                    <w:left w:val="none" w:sz="0" w:space="0" w:color="auto"/>
                    <w:bottom w:val="none" w:sz="0" w:space="0" w:color="auto"/>
                    <w:right w:val="none" w:sz="0" w:space="0" w:color="auto"/>
                  </w:divBdr>
                </w:div>
              </w:divsChild>
            </w:div>
            <w:div w:id="997148786">
              <w:marLeft w:val="0"/>
              <w:marRight w:val="0"/>
              <w:marTop w:val="0"/>
              <w:marBottom w:val="0"/>
              <w:divBdr>
                <w:top w:val="none" w:sz="0" w:space="0" w:color="auto"/>
                <w:left w:val="none" w:sz="0" w:space="0" w:color="auto"/>
                <w:bottom w:val="none" w:sz="0" w:space="0" w:color="auto"/>
                <w:right w:val="none" w:sz="0" w:space="0" w:color="auto"/>
              </w:divBdr>
              <w:divsChild>
                <w:div w:id="105789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485818">
          <w:marLeft w:val="0"/>
          <w:marRight w:val="0"/>
          <w:marTop w:val="0"/>
          <w:marBottom w:val="0"/>
          <w:divBdr>
            <w:top w:val="none" w:sz="0" w:space="0" w:color="auto"/>
            <w:left w:val="none" w:sz="0" w:space="0" w:color="auto"/>
            <w:bottom w:val="none" w:sz="0" w:space="0" w:color="auto"/>
            <w:right w:val="none" w:sz="0" w:space="0" w:color="auto"/>
          </w:divBdr>
          <w:divsChild>
            <w:div w:id="1861233789">
              <w:marLeft w:val="0"/>
              <w:marRight w:val="0"/>
              <w:marTop w:val="0"/>
              <w:marBottom w:val="0"/>
              <w:divBdr>
                <w:top w:val="none" w:sz="0" w:space="0" w:color="auto"/>
                <w:left w:val="none" w:sz="0" w:space="0" w:color="auto"/>
                <w:bottom w:val="none" w:sz="0" w:space="0" w:color="auto"/>
                <w:right w:val="none" w:sz="0" w:space="0" w:color="auto"/>
              </w:divBdr>
              <w:divsChild>
                <w:div w:id="744835710">
                  <w:marLeft w:val="0"/>
                  <w:marRight w:val="0"/>
                  <w:marTop w:val="0"/>
                  <w:marBottom w:val="0"/>
                  <w:divBdr>
                    <w:top w:val="none" w:sz="0" w:space="0" w:color="auto"/>
                    <w:left w:val="none" w:sz="0" w:space="0" w:color="auto"/>
                    <w:bottom w:val="none" w:sz="0" w:space="0" w:color="auto"/>
                    <w:right w:val="none" w:sz="0" w:space="0" w:color="auto"/>
                  </w:divBdr>
                  <w:divsChild>
                    <w:div w:id="189191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061775">
      <w:bodyDiv w:val="1"/>
      <w:marLeft w:val="0"/>
      <w:marRight w:val="0"/>
      <w:marTop w:val="0"/>
      <w:marBottom w:val="0"/>
      <w:divBdr>
        <w:top w:val="none" w:sz="0" w:space="0" w:color="auto"/>
        <w:left w:val="none" w:sz="0" w:space="0" w:color="auto"/>
        <w:bottom w:val="none" w:sz="0" w:space="0" w:color="auto"/>
        <w:right w:val="none" w:sz="0" w:space="0" w:color="auto"/>
      </w:divBdr>
    </w:div>
    <w:div w:id="800927368">
      <w:bodyDiv w:val="1"/>
      <w:marLeft w:val="0"/>
      <w:marRight w:val="0"/>
      <w:marTop w:val="0"/>
      <w:marBottom w:val="0"/>
      <w:divBdr>
        <w:top w:val="none" w:sz="0" w:space="0" w:color="auto"/>
        <w:left w:val="none" w:sz="0" w:space="0" w:color="auto"/>
        <w:bottom w:val="none" w:sz="0" w:space="0" w:color="auto"/>
        <w:right w:val="none" w:sz="0" w:space="0" w:color="auto"/>
      </w:divBdr>
    </w:div>
    <w:div w:id="96554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CB5B7-21CC-46D3-BDFB-4CCAC31AF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12</Pages>
  <Words>3878</Words>
  <Characters>22106</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Eteri Chokheli</cp:lastModifiedBy>
  <cp:revision>12</cp:revision>
  <cp:lastPrinted>2026-05-05T09:51:00Z</cp:lastPrinted>
  <dcterms:created xsi:type="dcterms:W3CDTF">2026-03-26T07:57:00Z</dcterms:created>
  <dcterms:modified xsi:type="dcterms:W3CDTF">2026-06-01T10:51:00Z</dcterms:modified>
</cp:coreProperties>
</file>