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AE7D1" w14:textId="77777777" w:rsidR="004D60CA" w:rsidRPr="00FC5C72" w:rsidRDefault="00E3724D" w:rsidP="00785B18">
      <w:pPr>
        <w:spacing w:after="0" w:line="240" w:lineRule="auto"/>
        <w:jc w:val="center"/>
        <w:rPr>
          <w:b/>
          <w:bCs/>
          <w:sz w:val="28"/>
          <w:szCs w:val="28"/>
        </w:rPr>
      </w:pPr>
      <w:r w:rsidRPr="00FC5C72">
        <w:rPr>
          <w:b/>
          <w:bCs/>
          <w:sz w:val="28"/>
          <w:szCs w:val="28"/>
        </w:rPr>
        <w:t xml:space="preserve">ელიქვისის სამედიცინო </w:t>
      </w:r>
    </w:p>
    <w:p w14:paraId="3E680A4E" w14:textId="23979138" w:rsidR="00E3724D" w:rsidRPr="00FC5C72" w:rsidRDefault="00E3724D" w:rsidP="00785B18">
      <w:pPr>
        <w:spacing w:after="0" w:line="240" w:lineRule="auto"/>
        <w:jc w:val="center"/>
        <w:rPr>
          <w:b/>
          <w:bCs/>
          <w:sz w:val="28"/>
          <w:szCs w:val="28"/>
        </w:rPr>
      </w:pPr>
      <w:r w:rsidRPr="00FC5C72">
        <w:rPr>
          <w:b/>
          <w:bCs/>
          <w:sz w:val="28"/>
          <w:szCs w:val="28"/>
        </w:rPr>
        <w:t>გამოყენების ინსტრუქცია</w:t>
      </w:r>
    </w:p>
    <w:p w14:paraId="04F7AA4F" w14:textId="77777777" w:rsidR="00497DCB" w:rsidRPr="00FC5C72" w:rsidRDefault="00497DCB" w:rsidP="00785B18">
      <w:pPr>
        <w:spacing w:after="0" w:line="240" w:lineRule="auto"/>
        <w:jc w:val="center"/>
        <w:rPr>
          <w:b/>
          <w:bCs/>
          <w:sz w:val="28"/>
          <w:szCs w:val="28"/>
        </w:rPr>
      </w:pPr>
    </w:p>
    <w:p w14:paraId="2D2B039D" w14:textId="66367819" w:rsidR="00497DCB" w:rsidRPr="00FC5C72" w:rsidRDefault="00497DCB" w:rsidP="00785B18">
      <w:pPr>
        <w:spacing w:after="0" w:line="240" w:lineRule="auto"/>
        <w:jc w:val="center"/>
        <w:rPr>
          <w:b/>
          <w:bCs/>
          <w:sz w:val="28"/>
          <w:szCs w:val="28"/>
        </w:rPr>
      </w:pPr>
      <w:proofErr w:type="spellStart"/>
      <w:r w:rsidRPr="00FC5C72">
        <w:rPr>
          <w:rFonts w:ascii="Sylfaen" w:hAnsi="Sylfaen"/>
          <w:b/>
          <w:bCs/>
          <w:sz w:val="28"/>
          <w:szCs w:val="28"/>
        </w:rPr>
        <w:t>ელიქვისი</w:t>
      </w:r>
      <w:proofErr w:type="spellEnd"/>
    </w:p>
    <w:p w14:paraId="0287EA86" w14:textId="77777777" w:rsidR="00A659B5" w:rsidRPr="00FC5C72" w:rsidRDefault="00A659B5" w:rsidP="00785B18">
      <w:pPr>
        <w:spacing w:after="0" w:line="240" w:lineRule="auto"/>
        <w:jc w:val="center"/>
        <w:rPr>
          <w:b/>
          <w:bCs/>
          <w:sz w:val="28"/>
          <w:szCs w:val="28"/>
        </w:rPr>
      </w:pPr>
    </w:p>
    <w:p w14:paraId="0E0781C2" w14:textId="7AB45AD6" w:rsidR="00E3724D" w:rsidRPr="00FC5C72" w:rsidRDefault="00E3724D" w:rsidP="00785B18">
      <w:pPr>
        <w:spacing w:after="0" w:line="240" w:lineRule="auto"/>
        <w:jc w:val="both"/>
        <w:rPr>
          <w:sz w:val="24"/>
          <w:szCs w:val="24"/>
        </w:rPr>
      </w:pPr>
      <w:r w:rsidRPr="00FC5C72">
        <w:rPr>
          <w:b/>
          <w:bCs/>
          <w:sz w:val="24"/>
          <w:szCs w:val="24"/>
        </w:rPr>
        <w:t xml:space="preserve">პრეპარატის სავაჭრო დასახელება: </w:t>
      </w:r>
      <w:r w:rsidRPr="00FC5C72">
        <w:rPr>
          <w:sz w:val="24"/>
          <w:szCs w:val="24"/>
        </w:rPr>
        <w:t>ელიქვისი</w:t>
      </w:r>
    </w:p>
    <w:p w14:paraId="78C8BA8C" w14:textId="77777777" w:rsidR="00E3724D" w:rsidRPr="00FC5C72" w:rsidRDefault="00E3724D" w:rsidP="00785B18">
      <w:pPr>
        <w:spacing w:after="0" w:line="240" w:lineRule="auto"/>
        <w:jc w:val="both"/>
        <w:rPr>
          <w:sz w:val="24"/>
          <w:szCs w:val="24"/>
        </w:rPr>
      </w:pPr>
      <w:r w:rsidRPr="00FC5C72">
        <w:rPr>
          <w:b/>
          <w:bCs/>
          <w:sz w:val="24"/>
          <w:szCs w:val="24"/>
        </w:rPr>
        <w:t>მოქმედი ნივთიერება (საერთაშორისო არაპატენტირებული დასახელება)</w:t>
      </w:r>
      <w:r w:rsidRPr="00FC5C72">
        <w:rPr>
          <w:sz w:val="24"/>
          <w:szCs w:val="24"/>
        </w:rPr>
        <w:t>: აპიქსაბანი</w:t>
      </w:r>
    </w:p>
    <w:p w14:paraId="740DCAFC" w14:textId="475BAF85" w:rsidR="00E3724D" w:rsidRPr="00FC5C72" w:rsidRDefault="00E3724D" w:rsidP="00785B18">
      <w:pPr>
        <w:spacing w:after="0" w:line="240" w:lineRule="auto"/>
        <w:jc w:val="both"/>
        <w:rPr>
          <w:sz w:val="24"/>
          <w:szCs w:val="24"/>
        </w:rPr>
      </w:pPr>
      <w:r w:rsidRPr="00FC5C72">
        <w:rPr>
          <w:b/>
          <w:bCs/>
          <w:sz w:val="24"/>
          <w:szCs w:val="24"/>
        </w:rPr>
        <w:t>სამკურნალწამლო ფორმა</w:t>
      </w:r>
      <w:r w:rsidRPr="00FC5C72">
        <w:rPr>
          <w:sz w:val="24"/>
          <w:szCs w:val="24"/>
        </w:rPr>
        <w:t xml:space="preserve">: </w:t>
      </w:r>
      <w:r w:rsidR="008330B8" w:rsidRPr="00FC5C72">
        <w:rPr>
          <w:sz w:val="24"/>
          <w:szCs w:val="24"/>
        </w:rPr>
        <w:t>აპკიანი გარსით დაფარული ტაბლეტები, 2.5 მგ და 5 მგ</w:t>
      </w:r>
    </w:p>
    <w:p w14:paraId="23696C51" w14:textId="3DF3ECF4" w:rsidR="008330B8" w:rsidRPr="00FC5C72" w:rsidRDefault="008330B8" w:rsidP="00785B18">
      <w:pPr>
        <w:spacing w:after="0" w:line="240" w:lineRule="auto"/>
        <w:jc w:val="both"/>
        <w:rPr>
          <w:sz w:val="24"/>
          <w:szCs w:val="24"/>
        </w:rPr>
      </w:pPr>
      <w:r w:rsidRPr="00FC5C72">
        <w:rPr>
          <w:b/>
          <w:bCs/>
          <w:sz w:val="24"/>
          <w:szCs w:val="24"/>
        </w:rPr>
        <w:t>შემადგენლობა</w:t>
      </w:r>
      <w:r w:rsidRPr="00FC5C72">
        <w:rPr>
          <w:sz w:val="24"/>
          <w:szCs w:val="24"/>
        </w:rPr>
        <w:t>:</w:t>
      </w:r>
    </w:p>
    <w:p w14:paraId="51D61F36" w14:textId="46E11BAA" w:rsidR="008330B8" w:rsidRPr="00FC5C72" w:rsidRDefault="008330B8" w:rsidP="00785B18">
      <w:pPr>
        <w:spacing w:after="0" w:line="240" w:lineRule="auto"/>
        <w:jc w:val="both"/>
        <w:rPr>
          <w:sz w:val="24"/>
          <w:szCs w:val="24"/>
        </w:rPr>
      </w:pPr>
      <w:r w:rsidRPr="00FC5C72">
        <w:rPr>
          <w:sz w:val="24"/>
          <w:szCs w:val="24"/>
        </w:rPr>
        <w:t xml:space="preserve">ერთი ტაბლეტი შეიცავს: </w:t>
      </w:r>
    </w:p>
    <w:p w14:paraId="44EF2871" w14:textId="18ABB139" w:rsidR="008330B8" w:rsidRPr="00FC5C72" w:rsidRDefault="008330B8" w:rsidP="00785B18">
      <w:pPr>
        <w:spacing w:after="0" w:line="240" w:lineRule="auto"/>
        <w:jc w:val="both"/>
        <w:rPr>
          <w:sz w:val="24"/>
          <w:szCs w:val="24"/>
        </w:rPr>
      </w:pPr>
      <w:r w:rsidRPr="00FC5C72">
        <w:rPr>
          <w:i/>
          <w:iCs/>
          <w:sz w:val="24"/>
          <w:szCs w:val="24"/>
        </w:rPr>
        <w:t xml:space="preserve">აქტიურ ნივთიერებას: </w:t>
      </w:r>
      <w:r w:rsidRPr="00FC5C72">
        <w:rPr>
          <w:sz w:val="24"/>
          <w:szCs w:val="24"/>
        </w:rPr>
        <w:t xml:space="preserve">2.5 მგ ან 5 მგ აპიქსაბანს; </w:t>
      </w:r>
    </w:p>
    <w:p w14:paraId="0DBA8617" w14:textId="3D799B89" w:rsidR="008330B8" w:rsidRPr="00FC5C72" w:rsidRDefault="008330B8" w:rsidP="00785B18">
      <w:pPr>
        <w:spacing w:after="0" w:line="240" w:lineRule="auto"/>
        <w:jc w:val="both"/>
        <w:rPr>
          <w:sz w:val="24"/>
          <w:szCs w:val="24"/>
        </w:rPr>
      </w:pPr>
      <w:r w:rsidRPr="00FC5C72">
        <w:rPr>
          <w:sz w:val="24"/>
          <w:szCs w:val="24"/>
        </w:rPr>
        <w:t>დამხმარე ნივთიერებები, რომლებიც გასათვალისწინებელია სამკურნალო საშუალების შემადგენლობაში: ლაქტოზა უწყლო 50.25 მგ (2.5 მგ დოზირება), 100.5</w:t>
      </w:r>
      <w:r w:rsidR="007B3F54" w:rsidRPr="00FC5C72">
        <w:rPr>
          <w:sz w:val="24"/>
          <w:szCs w:val="24"/>
          <w:lang w:val="en-US"/>
        </w:rPr>
        <w:t>0</w:t>
      </w:r>
      <w:r w:rsidRPr="00FC5C72">
        <w:rPr>
          <w:sz w:val="24"/>
          <w:szCs w:val="24"/>
        </w:rPr>
        <w:t xml:space="preserve"> მგ (5 მგ დოზირება). </w:t>
      </w:r>
    </w:p>
    <w:p w14:paraId="2935C1F2" w14:textId="52382F89" w:rsidR="008330B8" w:rsidRPr="00FC5C72" w:rsidRDefault="008330B8" w:rsidP="00785B18">
      <w:pPr>
        <w:spacing w:after="0" w:line="240" w:lineRule="auto"/>
        <w:jc w:val="both"/>
        <w:rPr>
          <w:sz w:val="24"/>
          <w:szCs w:val="24"/>
        </w:rPr>
      </w:pPr>
      <w:r w:rsidRPr="00FC5C72">
        <w:rPr>
          <w:i/>
          <w:iCs/>
          <w:sz w:val="24"/>
          <w:szCs w:val="24"/>
        </w:rPr>
        <w:t>დამხმარე ნივთიერებები:</w:t>
      </w:r>
      <w:r w:rsidRPr="00FC5C72">
        <w:rPr>
          <w:sz w:val="24"/>
          <w:szCs w:val="24"/>
        </w:rPr>
        <w:t xml:space="preserve"> ლაქტოზა უწყლო, ცელულოზა მიკროკრისტალური, ნატრიუმის </w:t>
      </w:r>
      <w:proofErr w:type="spellStart"/>
      <w:r w:rsidRPr="00FC5C72">
        <w:rPr>
          <w:sz w:val="24"/>
          <w:szCs w:val="24"/>
        </w:rPr>
        <w:t>კროსკარმელოზა</w:t>
      </w:r>
      <w:proofErr w:type="spellEnd"/>
      <w:r w:rsidRPr="00FC5C72">
        <w:rPr>
          <w:sz w:val="24"/>
          <w:szCs w:val="24"/>
        </w:rPr>
        <w:t xml:space="preserve">, მაგნიუმის </w:t>
      </w:r>
      <w:proofErr w:type="spellStart"/>
      <w:r w:rsidRPr="00FC5C72">
        <w:rPr>
          <w:sz w:val="24"/>
          <w:szCs w:val="24"/>
        </w:rPr>
        <w:t>სტეარატი</w:t>
      </w:r>
      <w:proofErr w:type="spellEnd"/>
      <w:r w:rsidRPr="00FC5C72">
        <w:rPr>
          <w:sz w:val="24"/>
          <w:szCs w:val="24"/>
        </w:rPr>
        <w:t xml:space="preserve">, ნატრიუმის </w:t>
      </w:r>
      <w:proofErr w:type="spellStart"/>
      <w:r w:rsidRPr="00FC5C72">
        <w:rPr>
          <w:sz w:val="24"/>
          <w:szCs w:val="24"/>
        </w:rPr>
        <w:t>ლაურილსულფატი</w:t>
      </w:r>
      <w:proofErr w:type="spellEnd"/>
      <w:r w:rsidR="00645AA4" w:rsidRPr="00FC5C72">
        <w:rPr>
          <w:sz w:val="24"/>
          <w:szCs w:val="24"/>
        </w:rPr>
        <w:t>.</w:t>
      </w:r>
    </w:p>
    <w:p w14:paraId="79CBE0CB" w14:textId="78A574C1" w:rsidR="008330B8" w:rsidRPr="00FC5C72" w:rsidRDefault="008330B8" w:rsidP="00785B18">
      <w:pPr>
        <w:spacing w:after="0" w:line="240" w:lineRule="auto"/>
        <w:jc w:val="both"/>
        <w:rPr>
          <w:sz w:val="24"/>
          <w:szCs w:val="24"/>
        </w:rPr>
      </w:pPr>
      <w:r w:rsidRPr="00FC5C72">
        <w:rPr>
          <w:sz w:val="24"/>
          <w:szCs w:val="24"/>
        </w:rPr>
        <w:t xml:space="preserve">გარსის შემადგენლობა: </w:t>
      </w:r>
    </w:p>
    <w:p w14:paraId="7E7D04B3" w14:textId="0D3C4C8D" w:rsidR="008330B8" w:rsidRPr="00FC5C72" w:rsidRDefault="008330B8" w:rsidP="00785B18">
      <w:pPr>
        <w:spacing w:after="0" w:line="240" w:lineRule="auto"/>
        <w:jc w:val="both"/>
        <w:rPr>
          <w:sz w:val="24"/>
          <w:szCs w:val="24"/>
        </w:rPr>
      </w:pPr>
      <w:r w:rsidRPr="00FC5C72">
        <w:rPr>
          <w:i/>
          <w:iCs/>
          <w:sz w:val="24"/>
          <w:szCs w:val="24"/>
        </w:rPr>
        <w:t xml:space="preserve">2.5 მგ დოზირებისთვის - </w:t>
      </w:r>
      <w:r w:rsidRPr="00FC5C72">
        <w:rPr>
          <w:sz w:val="24"/>
          <w:szCs w:val="24"/>
        </w:rPr>
        <w:t>ოპადრაი</w:t>
      </w:r>
      <w:r w:rsidRPr="00FC5C72">
        <w:rPr>
          <w:sz w:val="24"/>
          <w:szCs w:val="24"/>
          <w:vertAlign w:val="superscript"/>
        </w:rPr>
        <w:t>®</w:t>
      </w:r>
      <w:r w:rsidRPr="00FC5C72">
        <w:rPr>
          <w:sz w:val="24"/>
          <w:szCs w:val="24"/>
        </w:rPr>
        <w:t xml:space="preserve"> II ყვითელი (ჰიპრომელოზა, ლაქტოზის მონოჰიდრატი, ტიტანის დიოქსიდი (E171), ტრიაცეტინი, საღებავი რკინის ყვითელი ოქსიდი (E172)); </w:t>
      </w:r>
    </w:p>
    <w:p w14:paraId="25385F78" w14:textId="1FA804B7" w:rsidR="008330B8" w:rsidRPr="00FC5C72" w:rsidRDefault="008330B8" w:rsidP="00785B18">
      <w:pPr>
        <w:spacing w:after="0" w:line="240" w:lineRule="auto"/>
        <w:jc w:val="both"/>
        <w:rPr>
          <w:sz w:val="24"/>
          <w:szCs w:val="24"/>
        </w:rPr>
      </w:pPr>
      <w:r w:rsidRPr="00FC5C72">
        <w:rPr>
          <w:i/>
          <w:iCs/>
          <w:sz w:val="24"/>
          <w:szCs w:val="24"/>
        </w:rPr>
        <w:t xml:space="preserve">5 მგ დოზირებისთვის - </w:t>
      </w:r>
      <w:r w:rsidRPr="00FC5C72">
        <w:rPr>
          <w:sz w:val="24"/>
          <w:szCs w:val="24"/>
        </w:rPr>
        <w:t>ოპადრაი</w:t>
      </w:r>
      <w:r w:rsidRPr="00FC5C72">
        <w:rPr>
          <w:sz w:val="24"/>
          <w:szCs w:val="24"/>
          <w:vertAlign w:val="superscript"/>
        </w:rPr>
        <w:t>®</w:t>
      </w:r>
      <w:r w:rsidRPr="00FC5C72">
        <w:rPr>
          <w:sz w:val="24"/>
          <w:szCs w:val="24"/>
        </w:rPr>
        <w:t xml:space="preserve"> II ვარდისფერი (ჰიპრომელოზა, ლაქტოზის მონოჰიდრატი, ტიტანის დიოქსიდი (E171), ტრიაცეტინი, საღებავი რკინის წითელი ოქსიდი (E172)).</w:t>
      </w:r>
    </w:p>
    <w:p w14:paraId="0BC999A7" w14:textId="2B8D96CE" w:rsidR="008330B8" w:rsidRPr="00FC5C72" w:rsidRDefault="008330B8" w:rsidP="00785B18">
      <w:pPr>
        <w:spacing w:after="0" w:line="240" w:lineRule="auto"/>
        <w:jc w:val="both"/>
        <w:rPr>
          <w:b/>
          <w:bCs/>
          <w:sz w:val="24"/>
          <w:szCs w:val="24"/>
        </w:rPr>
      </w:pPr>
      <w:r w:rsidRPr="00FC5C72">
        <w:rPr>
          <w:b/>
          <w:bCs/>
          <w:sz w:val="24"/>
          <w:szCs w:val="24"/>
        </w:rPr>
        <w:t xml:space="preserve">აღწერა: </w:t>
      </w:r>
    </w:p>
    <w:p w14:paraId="71DF38B2" w14:textId="2BABAF7C" w:rsidR="008330B8" w:rsidRPr="00FC5C72" w:rsidRDefault="008330B8" w:rsidP="00785B18">
      <w:pPr>
        <w:spacing w:after="0" w:line="240" w:lineRule="auto"/>
        <w:jc w:val="both"/>
        <w:rPr>
          <w:sz w:val="24"/>
          <w:szCs w:val="24"/>
        </w:rPr>
      </w:pPr>
      <w:r w:rsidRPr="00FC5C72">
        <w:rPr>
          <w:sz w:val="24"/>
          <w:szCs w:val="24"/>
        </w:rPr>
        <w:t>აპკიანი გარსით დაფარული ტაბლეტები</w:t>
      </w:r>
    </w:p>
    <w:p w14:paraId="7477E27D" w14:textId="55BBC80C" w:rsidR="008330B8" w:rsidRPr="00FC5C72" w:rsidRDefault="008330B8" w:rsidP="00785B18">
      <w:pPr>
        <w:spacing w:after="0" w:line="240" w:lineRule="auto"/>
        <w:jc w:val="both"/>
        <w:rPr>
          <w:sz w:val="24"/>
          <w:szCs w:val="24"/>
        </w:rPr>
      </w:pPr>
      <w:r w:rsidRPr="00FC5C72">
        <w:rPr>
          <w:sz w:val="24"/>
          <w:szCs w:val="24"/>
        </w:rPr>
        <w:t>ყვითელი, მრგვალი, ორმხრივამოზნექილი აპკიანი გარსით დაფარული ტაბლეტები, გრავირებით “893“ ერთ მხარეს და “</w:t>
      </w:r>
      <w:r w:rsidRPr="00FC5C72">
        <w:rPr>
          <w:rFonts w:ascii="Times New Roman" w:eastAsia="Times New Roman" w:hAnsi="Times New Roman"/>
          <w:snapToGrid w:val="0"/>
          <w:sz w:val="24"/>
          <w:szCs w:val="24"/>
          <w:lang w:eastAsia="ru-RU"/>
        </w:rPr>
        <w:t>2½</w:t>
      </w:r>
      <w:r w:rsidRPr="00FC5C72">
        <w:rPr>
          <w:sz w:val="24"/>
          <w:szCs w:val="24"/>
        </w:rPr>
        <w:t>“ მეორე მხარეს (2.5 მგ დოზირებ</w:t>
      </w:r>
      <w:r w:rsidR="00FA4FE2" w:rsidRPr="00FC5C72">
        <w:rPr>
          <w:sz w:val="24"/>
          <w:szCs w:val="24"/>
        </w:rPr>
        <w:t>ა</w:t>
      </w:r>
      <w:r w:rsidRPr="00FC5C72">
        <w:rPr>
          <w:sz w:val="24"/>
          <w:szCs w:val="24"/>
        </w:rPr>
        <w:t>).</w:t>
      </w:r>
    </w:p>
    <w:p w14:paraId="2DA6138B" w14:textId="7BB28BF9" w:rsidR="008330B8" w:rsidRPr="00FC5C72" w:rsidRDefault="008330B8" w:rsidP="00785B18">
      <w:pPr>
        <w:spacing w:after="0" w:line="240" w:lineRule="auto"/>
        <w:jc w:val="both"/>
        <w:rPr>
          <w:sz w:val="24"/>
          <w:szCs w:val="24"/>
        </w:rPr>
      </w:pPr>
      <w:r w:rsidRPr="00FC5C72">
        <w:rPr>
          <w:sz w:val="24"/>
          <w:szCs w:val="24"/>
        </w:rPr>
        <w:t>ვარდისფერი, ოვალური</w:t>
      </w:r>
      <w:r w:rsidR="00FA4FE2" w:rsidRPr="00FC5C72">
        <w:rPr>
          <w:sz w:val="24"/>
          <w:szCs w:val="24"/>
        </w:rPr>
        <w:t>,</w:t>
      </w:r>
      <w:r w:rsidRPr="00FC5C72">
        <w:rPr>
          <w:sz w:val="24"/>
          <w:szCs w:val="24"/>
        </w:rPr>
        <w:t xml:space="preserve"> ორმხრივამოზნექილი  აპკიანი გარსით დაფარული ტაბლეტები, გრავირებით “894“ ერთ მხარეს და “</w:t>
      </w:r>
      <w:r w:rsidRPr="00FC5C72">
        <w:rPr>
          <w:rFonts w:eastAsia="Times New Roman"/>
          <w:snapToGrid w:val="0"/>
          <w:sz w:val="24"/>
          <w:szCs w:val="24"/>
          <w:lang w:eastAsia="ru-RU"/>
        </w:rPr>
        <w:t>5</w:t>
      </w:r>
      <w:r w:rsidRPr="00FC5C72">
        <w:rPr>
          <w:sz w:val="24"/>
          <w:szCs w:val="24"/>
        </w:rPr>
        <w:t xml:space="preserve">“ მეორე მხარეს (5 </w:t>
      </w:r>
      <w:proofErr w:type="spellStart"/>
      <w:r w:rsidRPr="00FC5C72">
        <w:rPr>
          <w:sz w:val="24"/>
          <w:szCs w:val="24"/>
        </w:rPr>
        <w:t>მგ</w:t>
      </w:r>
      <w:proofErr w:type="spellEnd"/>
      <w:r w:rsidRPr="00FC5C72">
        <w:rPr>
          <w:sz w:val="24"/>
          <w:szCs w:val="24"/>
        </w:rPr>
        <w:t xml:space="preserve"> დოზირებ</w:t>
      </w:r>
      <w:r w:rsidR="00FA4FE2" w:rsidRPr="00FC5C72">
        <w:rPr>
          <w:sz w:val="24"/>
          <w:szCs w:val="24"/>
        </w:rPr>
        <w:t>ა</w:t>
      </w:r>
      <w:r w:rsidRPr="00FC5C72">
        <w:rPr>
          <w:sz w:val="24"/>
          <w:szCs w:val="24"/>
        </w:rPr>
        <w:t>).</w:t>
      </w:r>
    </w:p>
    <w:p w14:paraId="03BC9EE2" w14:textId="77777777" w:rsidR="00645AA4" w:rsidRPr="00FC5C72" w:rsidRDefault="00645AA4" w:rsidP="00785B18">
      <w:pPr>
        <w:spacing w:after="0" w:line="240" w:lineRule="auto"/>
        <w:jc w:val="both"/>
        <w:rPr>
          <w:sz w:val="24"/>
          <w:szCs w:val="24"/>
        </w:rPr>
      </w:pPr>
    </w:p>
    <w:p w14:paraId="14F3B662" w14:textId="77777777" w:rsidR="00467BC9" w:rsidRPr="00FC5C72" w:rsidRDefault="00467BC9" w:rsidP="00785B18">
      <w:pPr>
        <w:spacing w:after="0" w:line="240" w:lineRule="auto"/>
        <w:jc w:val="both"/>
        <w:rPr>
          <w:sz w:val="24"/>
          <w:szCs w:val="24"/>
        </w:rPr>
      </w:pPr>
      <w:r w:rsidRPr="00FC5C72">
        <w:rPr>
          <w:b/>
          <w:bCs/>
          <w:sz w:val="24"/>
          <w:szCs w:val="24"/>
        </w:rPr>
        <w:t xml:space="preserve">ფარმაკოთერაპიული ჯგუფი: </w:t>
      </w:r>
      <w:r w:rsidRPr="00FC5C72">
        <w:rPr>
          <w:sz w:val="24"/>
          <w:szCs w:val="24"/>
        </w:rPr>
        <w:t>ანტითრომბოზული პრეპარატები. Xa ფაქტორის პირდაპირი</w:t>
      </w:r>
      <w:r w:rsidRPr="00FC5C72">
        <w:rPr>
          <w:b/>
          <w:bCs/>
          <w:sz w:val="24"/>
          <w:szCs w:val="24"/>
        </w:rPr>
        <w:t xml:space="preserve"> </w:t>
      </w:r>
      <w:r w:rsidRPr="00FC5C72">
        <w:rPr>
          <w:sz w:val="24"/>
          <w:szCs w:val="24"/>
        </w:rPr>
        <w:t xml:space="preserve">ინჰიბიტორები. აპიქსაბანი. </w:t>
      </w:r>
    </w:p>
    <w:p w14:paraId="21BE7A5C" w14:textId="2368CFB9" w:rsidR="0013715F" w:rsidRPr="00FC5C72" w:rsidRDefault="00467BC9" w:rsidP="00785B18">
      <w:pPr>
        <w:spacing w:after="0" w:line="240" w:lineRule="auto"/>
        <w:jc w:val="both"/>
        <w:rPr>
          <w:sz w:val="24"/>
          <w:szCs w:val="24"/>
        </w:rPr>
      </w:pPr>
      <w:r w:rsidRPr="00FC5C72">
        <w:rPr>
          <w:b/>
          <w:bCs/>
          <w:sz w:val="24"/>
          <w:szCs w:val="24"/>
        </w:rPr>
        <w:t>ათქ კოდი</w:t>
      </w:r>
      <w:r w:rsidRPr="00FC5C72">
        <w:rPr>
          <w:sz w:val="24"/>
          <w:szCs w:val="24"/>
        </w:rPr>
        <w:t>: B01AF02</w:t>
      </w:r>
    </w:p>
    <w:p w14:paraId="06F5BDCF" w14:textId="1C7F5A42" w:rsidR="0013715F" w:rsidRPr="00FC5C72" w:rsidRDefault="0013715F" w:rsidP="00785B18">
      <w:pPr>
        <w:spacing w:after="0" w:line="240" w:lineRule="auto"/>
        <w:jc w:val="both"/>
        <w:rPr>
          <w:sz w:val="24"/>
          <w:szCs w:val="24"/>
        </w:rPr>
      </w:pPr>
    </w:p>
    <w:p w14:paraId="5CB66852" w14:textId="7438DEA5" w:rsidR="0013715F" w:rsidRPr="00FC5C72" w:rsidRDefault="0013715F" w:rsidP="00785B18">
      <w:pPr>
        <w:spacing w:after="0" w:line="240" w:lineRule="auto"/>
        <w:jc w:val="both"/>
        <w:rPr>
          <w:b/>
          <w:bCs/>
          <w:sz w:val="24"/>
          <w:szCs w:val="24"/>
        </w:rPr>
      </w:pPr>
      <w:r w:rsidRPr="00FC5C72">
        <w:rPr>
          <w:b/>
          <w:bCs/>
          <w:sz w:val="24"/>
          <w:szCs w:val="24"/>
        </w:rPr>
        <w:t>ფარმაკოლოგიური თვისებები</w:t>
      </w:r>
    </w:p>
    <w:p w14:paraId="44C251E8" w14:textId="14B5BB0B" w:rsidR="0013715F" w:rsidRPr="00FC5C72" w:rsidRDefault="0013715F" w:rsidP="00785B18">
      <w:pPr>
        <w:spacing w:after="0" w:line="240" w:lineRule="auto"/>
        <w:jc w:val="both"/>
        <w:rPr>
          <w:b/>
          <w:bCs/>
          <w:i/>
          <w:iCs/>
          <w:sz w:val="24"/>
          <w:szCs w:val="24"/>
        </w:rPr>
      </w:pPr>
      <w:r w:rsidRPr="00FC5C72">
        <w:rPr>
          <w:b/>
          <w:bCs/>
          <w:i/>
          <w:iCs/>
          <w:sz w:val="24"/>
          <w:szCs w:val="24"/>
        </w:rPr>
        <w:t xml:space="preserve">ფარმაკოდინამიკა </w:t>
      </w:r>
    </w:p>
    <w:p w14:paraId="1AD546D3" w14:textId="083E5962" w:rsidR="0013715F" w:rsidRPr="00FC5C72" w:rsidRDefault="0013715F" w:rsidP="00785B18">
      <w:pPr>
        <w:spacing w:after="0" w:line="240" w:lineRule="auto"/>
        <w:jc w:val="both"/>
        <w:rPr>
          <w:sz w:val="24"/>
          <w:szCs w:val="24"/>
        </w:rPr>
      </w:pPr>
      <w:r w:rsidRPr="00FC5C72">
        <w:rPr>
          <w:i/>
          <w:iCs/>
          <w:sz w:val="24"/>
          <w:szCs w:val="24"/>
        </w:rPr>
        <w:t>მოქმედების მექანიზმი</w:t>
      </w:r>
    </w:p>
    <w:p w14:paraId="5AF7A6FE" w14:textId="58E2008E" w:rsidR="0013715F" w:rsidRPr="00FC5C72" w:rsidRDefault="0013715F" w:rsidP="00785B18">
      <w:pPr>
        <w:spacing w:after="0" w:line="240" w:lineRule="auto"/>
        <w:jc w:val="both"/>
        <w:rPr>
          <w:sz w:val="24"/>
          <w:szCs w:val="24"/>
        </w:rPr>
      </w:pPr>
      <w:r w:rsidRPr="00FC5C72">
        <w:rPr>
          <w:sz w:val="24"/>
          <w:szCs w:val="24"/>
        </w:rPr>
        <w:t xml:space="preserve">აპიქსაბანი წარმოადგენს პერორალურად მისაღებ მძლავრ პირდაპირ ინჰიბიტორს, რომელიც შექცევადად და მაღალი შერჩევითობით აბლოკირებს Xa ფაქტორის </w:t>
      </w:r>
      <w:r w:rsidR="00FA4FE2" w:rsidRPr="00FC5C72">
        <w:rPr>
          <w:sz w:val="24"/>
          <w:szCs w:val="24"/>
        </w:rPr>
        <w:t xml:space="preserve">(FXa) </w:t>
      </w:r>
      <w:r w:rsidRPr="00FC5C72">
        <w:rPr>
          <w:sz w:val="24"/>
          <w:szCs w:val="24"/>
        </w:rPr>
        <w:t>აქტიურ ცენტრს. პრეპარატის ანტითრომბოზული აქტივობისთვის არ არის სა</w:t>
      </w:r>
      <w:r w:rsidR="00804D5F" w:rsidRPr="00FC5C72">
        <w:rPr>
          <w:sz w:val="24"/>
          <w:szCs w:val="24"/>
        </w:rPr>
        <w:t>ჭ</w:t>
      </w:r>
      <w:r w:rsidRPr="00FC5C72">
        <w:rPr>
          <w:sz w:val="24"/>
          <w:szCs w:val="24"/>
        </w:rPr>
        <w:t xml:space="preserve">ირო ანტითრომბინი III-ის არსებობა. აპიქსაბანი აინჰიბირებს როგორც თავისუფალ, ასევე კოლტთან შეკავშირებულ Xa ფაქტორს, ასევე პროთრომბინაზას აქტივობას. აპიქსაბანი </w:t>
      </w:r>
      <w:r w:rsidR="00093929" w:rsidRPr="00FC5C72">
        <w:rPr>
          <w:sz w:val="24"/>
          <w:szCs w:val="24"/>
        </w:rPr>
        <w:t xml:space="preserve">არ ახდენს </w:t>
      </w:r>
      <w:r w:rsidRPr="00FC5C72">
        <w:rPr>
          <w:sz w:val="24"/>
          <w:szCs w:val="24"/>
        </w:rPr>
        <w:t xml:space="preserve">უშუალო </w:t>
      </w:r>
      <w:r w:rsidR="00BF79CF" w:rsidRPr="00FC5C72">
        <w:rPr>
          <w:sz w:val="24"/>
          <w:szCs w:val="24"/>
        </w:rPr>
        <w:t>მოქმედებას თრომბოციტების აგრეგაციაზე, მაგრამ არაპირდაპირი გზით ახდე</w:t>
      </w:r>
      <w:r w:rsidR="00340000" w:rsidRPr="00FC5C72">
        <w:rPr>
          <w:sz w:val="24"/>
          <w:szCs w:val="24"/>
        </w:rPr>
        <w:t>ნ</w:t>
      </w:r>
      <w:r w:rsidR="00BF79CF" w:rsidRPr="00FC5C72">
        <w:rPr>
          <w:sz w:val="24"/>
          <w:szCs w:val="24"/>
        </w:rPr>
        <w:t xml:space="preserve">ს </w:t>
      </w:r>
      <w:r w:rsidR="00BF79CF" w:rsidRPr="00FC5C72">
        <w:rPr>
          <w:sz w:val="24"/>
          <w:szCs w:val="24"/>
        </w:rPr>
        <w:lastRenderedPageBreak/>
        <w:t>თრომბინით ინდუცირებული აგრეგაციის ინჰიბირებას</w:t>
      </w:r>
      <w:r w:rsidR="000E04C7" w:rsidRPr="00FC5C72">
        <w:rPr>
          <w:sz w:val="24"/>
          <w:szCs w:val="24"/>
        </w:rPr>
        <w:t xml:space="preserve">. Xa ფაქტორის ინჰიბირებით აპიქსაბანი ხელს უშლის თრომბინის წარმოქმნას და თრომბის ფორმირებას. ცხოველის მოდელებზე ჩატარებული აპიქსაბანის </w:t>
      </w:r>
      <w:r w:rsidR="00340000" w:rsidRPr="00FC5C72">
        <w:rPr>
          <w:sz w:val="24"/>
          <w:szCs w:val="24"/>
        </w:rPr>
        <w:t>პრეკლინიკური</w:t>
      </w:r>
      <w:r w:rsidR="000E04C7" w:rsidRPr="00FC5C72">
        <w:rPr>
          <w:sz w:val="24"/>
          <w:szCs w:val="24"/>
        </w:rPr>
        <w:t xml:space="preserve"> კვლევებით ნაჩვენებია მისი ანტითრომბოზული ეფექტიანობა არტერიული და ვენური თრომბოზის პროფილაქტიკაში ისეთი დოზებით გამოყენებისას, როდესაც ნარჩუნდება ჰემოსტაზი. </w:t>
      </w:r>
    </w:p>
    <w:p w14:paraId="2EBF3C71" w14:textId="797E9530" w:rsidR="000E04C7" w:rsidRPr="00FC5C72" w:rsidRDefault="000E04C7" w:rsidP="00785B18">
      <w:pPr>
        <w:spacing w:after="0" w:line="240" w:lineRule="auto"/>
        <w:jc w:val="both"/>
        <w:rPr>
          <w:sz w:val="24"/>
          <w:szCs w:val="24"/>
        </w:rPr>
      </w:pPr>
    </w:p>
    <w:p w14:paraId="082E3FFD" w14:textId="51EDAC74" w:rsidR="000E04C7" w:rsidRPr="00FC5C72" w:rsidRDefault="000E04C7" w:rsidP="00785B18">
      <w:pPr>
        <w:spacing w:after="0" w:line="240" w:lineRule="auto"/>
        <w:jc w:val="both"/>
        <w:rPr>
          <w:sz w:val="24"/>
          <w:szCs w:val="24"/>
        </w:rPr>
      </w:pPr>
      <w:r w:rsidRPr="00FC5C72">
        <w:rPr>
          <w:i/>
          <w:iCs/>
          <w:sz w:val="24"/>
          <w:szCs w:val="24"/>
        </w:rPr>
        <w:t>ფარმაკოდინამიკური ეფექტები</w:t>
      </w:r>
    </w:p>
    <w:p w14:paraId="25FDC671" w14:textId="6A047A4D" w:rsidR="000E04C7" w:rsidRPr="00FC5C72" w:rsidRDefault="000E04C7" w:rsidP="00785B18">
      <w:pPr>
        <w:spacing w:after="0" w:line="240" w:lineRule="auto"/>
        <w:jc w:val="both"/>
        <w:rPr>
          <w:sz w:val="24"/>
          <w:szCs w:val="24"/>
        </w:rPr>
      </w:pPr>
      <w:r w:rsidRPr="00FC5C72">
        <w:rPr>
          <w:sz w:val="24"/>
          <w:szCs w:val="24"/>
        </w:rPr>
        <w:t xml:space="preserve">აპიქსაბანის მოქმედების მექანიზმი (Xa ფაქტორის ინჰიბირება) აისახება მის ფარმაკოდინამიკურ ეფექტებზე. აპიქსაბანით Xa ფაქტორის ინჰიბირების შედეგად იზრდება სისხლის შედედების ისეთი მაჩვენებლების მნიშვნელობები, როგორიცაა პროთრომბინული დრო (პდ), </w:t>
      </w:r>
      <w:r w:rsidR="00CF44DC" w:rsidRPr="00FC5C72">
        <w:rPr>
          <w:sz w:val="24"/>
          <w:szCs w:val="24"/>
        </w:rPr>
        <w:t>საერთაშორისო ნორმალიზებული თანაფარდობა (</w:t>
      </w:r>
      <w:r w:rsidRPr="00FC5C72">
        <w:rPr>
          <w:sz w:val="24"/>
          <w:szCs w:val="24"/>
        </w:rPr>
        <w:t>სნთ</w:t>
      </w:r>
      <w:r w:rsidR="00CF44DC" w:rsidRPr="00FC5C72">
        <w:rPr>
          <w:sz w:val="24"/>
          <w:szCs w:val="24"/>
        </w:rPr>
        <w:t>)</w:t>
      </w:r>
      <w:r w:rsidRPr="00FC5C72">
        <w:rPr>
          <w:sz w:val="24"/>
          <w:szCs w:val="24"/>
        </w:rPr>
        <w:t xml:space="preserve"> და აქტივირებული პარციალური თრომბოპლასტინის დრო (აპთდ). </w:t>
      </w:r>
      <w:r w:rsidR="00CF44DC" w:rsidRPr="00FC5C72">
        <w:rPr>
          <w:sz w:val="24"/>
          <w:szCs w:val="24"/>
        </w:rPr>
        <w:t xml:space="preserve">მოზრდილებში სისხლის </w:t>
      </w:r>
      <w:r w:rsidRPr="00FC5C72">
        <w:rPr>
          <w:sz w:val="24"/>
          <w:szCs w:val="24"/>
        </w:rPr>
        <w:t xml:space="preserve">შედედების ამ ანალიზების შედეგების აღნიშნული ცვლილებები აპიქსაბანის </w:t>
      </w:r>
      <w:r w:rsidR="002D4F91" w:rsidRPr="00FC5C72">
        <w:rPr>
          <w:sz w:val="24"/>
          <w:szCs w:val="24"/>
        </w:rPr>
        <w:t>მოსალოდნელი</w:t>
      </w:r>
      <w:r w:rsidRPr="00FC5C72">
        <w:rPr>
          <w:sz w:val="24"/>
          <w:szCs w:val="24"/>
        </w:rPr>
        <w:t xml:space="preserve"> თერაპიული დოზებისას არ არის მაღალი და ხასიათდება მაღალი ვარიაბელურობით. ამ მაჩვენებლებით აპიქსაბანის ფარმაკოდინამიკური ეფექტების შეფასება რეკომენდებული არ არის. </w:t>
      </w:r>
      <w:r w:rsidR="00A66B04" w:rsidRPr="00FC5C72">
        <w:rPr>
          <w:sz w:val="24"/>
          <w:szCs w:val="24"/>
        </w:rPr>
        <w:t xml:space="preserve">თრომბინის გენერაციის ტესტში აპიქსაბანმა შეამცირა ენდოგენური თრომბინული პოტენციალი - ადამიანის სისხლის პლაზმაში თრომბინის წარმოქმნის მაჩვენებელი. </w:t>
      </w:r>
    </w:p>
    <w:p w14:paraId="58364223" w14:textId="6515850A" w:rsidR="00A66B04" w:rsidRPr="00FC5C72" w:rsidRDefault="00A66B04" w:rsidP="00785B18">
      <w:pPr>
        <w:spacing w:after="0" w:line="240" w:lineRule="auto"/>
        <w:jc w:val="both"/>
        <w:rPr>
          <w:sz w:val="24"/>
          <w:szCs w:val="24"/>
        </w:rPr>
      </w:pPr>
      <w:r w:rsidRPr="00FC5C72">
        <w:rPr>
          <w:sz w:val="24"/>
          <w:szCs w:val="24"/>
        </w:rPr>
        <w:t>აპიქსაბანი</w:t>
      </w:r>
      <w:r w:rsidR="00CF44DC" w:rsidRPr="00FC5C72">
        <w:rPr>
          <w:sz w:val="24"/>
          <w:szCs w:val="24"/>
        </w:rPr>
        <w:t xml:space="preserve"> ასევე ავლენს ანტი-</w:t>
      </w:r>
      <w:r w:rsidRPr="00FC5C72">
        <w:rPr>
          <w:sz w:val="24"/>
          <w:szCs w:val="24"/>
        </w:rPr>
        <w:t>Xa</w:t>
      </w:r>
      <w:r w:rsidR="00CF44DC" w:rsidRPr="00FC5C72">
        <w:rPr>
          <w:sz w:val="24"/>
          <w:szCs w:val="24"/>
        </w:rPr>
        <w:t>-</w:t>
      </w:r>
      <w:r w:rsidRPr="00FC5C72">
        <w:rPr>
          <w:sz w:val="24"/>
          <w:szCs w:val="24"/>
        </w:rPr>
        <w:t>ფაქტორ</w:t>
      </w:r>
      <w:r w:rsidR="00CF44DC" w:rsidRPr="00FC5C72">
        <w:rPr>
          <w:sz w:val="24"/>
          <w:szCs w:val="24"/>
        </w:rPr>
        <w:t xml:space="preserve">ულ </w:t>
      </w:r>
      <w:r w:rsidRPr="00FC5C72">
        <w:rPr>
          <w:sz w:val="24"/>
          <w:szCs w:val="24"/>
        </w:rPr>
        <w:t>აქტივობ</w:t>
      </w:r>
      <w:r w:rsidR="00CF44DC" w:rsidRPr="00FC5C72">
        <w:rPr>
          <w:sz w:val="24"/>
          <w:szCs w:val="24"/>
        </w:rPr>
        <w:t xml:space="preserve">ას, რაზეც მოწმობს </w:t>
      </w:r>
      <w:r w:rsidRPr="00FC5C72">
        <w:rPr>
          <w:sz w:val="24"/>
          <w:szCs w:val="24"/>
        </w:rPr>
        <w:t xml:space="preserve"> Xa ფაქტორის ფერმენტაციული აქტივობის დაქვეითებ</w:t>
      </w:r>
      <w:r w:rsidR="00CF44DC" w:rsidRPr="00FC5C72">
        <w:rPr>
          <w:sz w:val="24"/>
          <w:szCs w:val="24"/>
        </w:rPr>
        <w:t>ა</w:t>
      </w:r>
      <w:r w:rsidRPr="00FC5C72">
        <w:rPr>
          <w:sz w:val="24"/>
          <w:szCs w:val="24"/>
        </w:rPr>
        <w:t xml:space="preserve">, რომელიც განისაზღვრება </w:t>
      </w:r>
      <w:r w:rsidR="00CF44DC" w:rsidRPr="00FC5C72">
        <w:rPr>
          <w:sz w:val="24"/>
          <w:szCs w:val="24"/>
        </w:rPr>
        <w:t xml:space="preserve">ანტი-Xa-ფაქტორული აქტივობის </w:t>
      </w:r>
      <w:r w:rsidRPr="00FC5C72">
        <w:rPr>
          <w:sz w:val="24"/>
          <w:szCs w:val="24"/>
        </w:rPr>
        <w:t xml:space="preserve">განმსაზღვრელი </w:t>
      </w:r>
      <w:r w:rsidR="006817C7" w:rsidRPr="00FC5C72">
        <w:rPr>
          <w:sz w:val="24"/>
          <w:szCs w:val="24"/>
        </w:rPr>
        <w:t>მრავალი</w:t>
      </w:r>
      <w:r w:rsidRPr="00FC5C72">
        <w:rPr>
          <w:sz w:val="24"/>
          <w:szCs w:val="24"/>
        </w:rPr>
        <w:t xml:space="preserve"> კომერციული კომპლექტის საშუალები</w:t>
      </w:r>
      <w:r w:rsidR="006817C7" w:rsidRPr="00FC5C72">
        <w:rPr>
          <w:sz w:val="24"/>
          <w:szCs w:val="24"/>
        </w:rPr>
        <w:t>თ, თუმცა სხვადასხვა კომპლექტების გამოყენებით მიღებული შედეგები განსხვავდება. დღეისათვის ხელმისაწვდომია მხოლოდ Rotachrom</w:t>
      </w:r>
      <w:r w:rsidR="006817C7" w:rsidRPr="00FC5C72">
        <w:rPr>
          <w:sz w:val="24"/>
          <w:szCs w:val="24"/>
          <w:vertAlign w:val="superscript"/>
        </w:rPr>
        <w:t>®</w:t>
      </w:r>
      <w:r w:rsidR="006817C7" w:rsidRPr="00FC5C72">
        <w:rPr>
          <w:sz w:val="24"/>
          <w:szCs w:val="24"/>
        </w:rPr>
        <w:t xml:space="preserve">-ის </w:t>
      </w:r>
      <w:r w:rsidR="006F6485" w:rsidRPr="00FC5C72">
        <w:rPr>
          <w:sz w:val="24"/>
          <w:szCs w:val="24"/>
        </w:rPr>
        <w:t xml:space="preserve">ჰეპარინის </w:t>
      </w:r>
      <w:r w:rsidR="006817C7" w:rsidRPr="00FC5C72">
        <w:rPr>
          <w:sz w:val="24"/>
          <w:szCs w:val="24"/>
        </w:rPr>
        <w:t>გამოყენებით ჩატარებული ქრომოგენული ანალიზის მონაცემები, მიღებული</w:t>
      </w:r>
      <w:r w:rsidR="00CF44DC" w:rsidRPr="00FC5C72">
        <w:rPr>
          <w:sz w:val="24"/>
          <w:szCs w:val="24"/>
        </w:rPr>
        <w:t xml:space="preserve"> მოზრდილი პაციენტების მონაწილეობით ჩატარებული</w:t>
      </w:r>
      <w:r w:rsidR="006817C7" w:rsidRPr="00FC5C72">
        <w:rPr>
          <w:sz w:val="24"/>
          <w:szCs w:val="24"/>
        </w:rPr>
        <w:t xml:space="preserve"> კლინიკური კვლევების პროცესში. Xa ფაქტორის აქტივობის ინჰიბირება ავლენს პირდაპირ ხაზოვან დამოკიდებულებას პლაზმაში აპიქსაბანის კოცენტრაციაზე, მაქსიმალური მნიშვნელობების მიღწევით პიკური კონცენტრაციების დროს. კავშირი სისხლის პლაზმაში აპიქსაბანის კოცენტრაციასა</w:t>
      </w:r>
      <w:r w:rsidRPr="00FC5C72">
        <w:rPr>
          <w:sz w:val="24"/>
          <w:szCs w:val="24"/>
        </w:rPr>
        <w:t xml:space="preserve"> </w:t>
      </w:r>
      <w:r w:rsidR="006817C7" w:rsidRPr="00FC5C72">
        <w:rPr>
          <w:sz w:val="24"/>
          <w:szCs w:val="24"/>
        </w:rPr>
        <w:t xml:space="preserve">და Xa ფაქტორის აქტივობის ინჰიბირების შორის ინარჩუნებს ხაზოვნებას დოზების ფართო დიაპაზონში. </w:t>
      </w:r>
      <w:r w:rsidR="00F14D75" w:rsidRPr="00FC5C72">
        <w:rPr>
          <w:sz w:val="24"/>
          <w:szCs w:val="24"/>
        </w:rPr>
        <w:t xml:space="preserve">ბავშვთა ასაკის პაციენტების მონაწილეობით ჩატარებული აპიქსაბანის გამოყენების კვლევებით ნაჩვენებია, რომ ხაზოვანი დამოკიდებულება აპიქსაბანის კონცენტრაციასა და ანტი-Xa-ფაქტორულ აქტივობას შორის შეესაბამება იმ დამოკიდებულებას, რომელიც მანამდე აღინიშნა მოზრდილი პაციენტების კვლევებში. ეს ადასტურებს აპიქსაბანის, როგორც Xa ფაქტორის სელექციური ინჰიბიტორის  დოკუმენტურად დადასტურებულ მოქმედების მექანიზმს. ანტი-Xa-ფაქტორული აქტივობის ქვემოთ წარმოდგენილი შედეგები მიღებულია </w:t>
      </w:r>
      <w:r w:rsidR="00F14D75" w:rsidRPr="00FC5C72">
        <w:rPr>
          <w:rFonts w:ascii="Times New Roman" w:hAnsi="Times New Roman"/>
          <w:noProof/>
          <w:sz w:val="24"/>
          <w:szCs w:val="24"/>
          <w:lang w:val="uz-Cyrl-UZ"/>
        </w:rPr>
        <w:t>STA</w:t>
      </w:r>
      <w:r w:rsidR="00F14D75" w:rsidRPr="00FC5C72">
        <w:rPr>
          <w:rFonts w:ascii="Times New Roman" w:hAnsi="Times New Roman"/>
          <w:noProof/>
          <w:sz w:val="24"/>
          <w:szCs w:val="24"/>
          <w:vertAlign w:val="superscript"/>
          <w:lang w:val="uz-Cyrl-UZ"/>
        </w:rPr>
        <w:t>®</w:t>
      </w:r>
      <w:r w:rsidR="00F14D75" w:rsidRPr="00FC5C72">
        <w:rPr>
          <w:rFonts w:ascii="Times New Roman" w:hAnsi="Times New Roman"/>
          <w:noProof/>
          <w:sz w:val="24"/>
          <w:szCs w:val="24"/>
          <w:lang w:val="uz-Cyrl-UZ"/>
        </w:rPr>
        <w:t xml:space="preserve"> Liquid Anti-Xa Apixaban</w:t>
      </w:r>
      <w:r w:rsidR="00F14D75" w:rsidRPr="00FC5C72">
        <w:rPr>
          <w:noProof/>
          <w:sz w:val="24"/>
          <w:szCs w:val="24"/>
        </w:rPr>
        <w:t xml:space="preserve">-ის ანალიზის საშუალებით. </w:t>
      </w:r>
    </w:p>
    <w:p w14:paraId="123EF4F8" w14:textId="77777777" w:rsidR="00F14D75" w:rsidRPr="00FC5C72" w:rsidRDefault="00F14D75" w:rsidP="00785B18">
      <w:pPr>
        <w:spacing w:after="0" w:line="240" w:lineRule="auto"/>
        <w:jc w:val="both"/>
        <w:rPr>
          <w:sz w:val="24"/>
          <w:szCs w:val="24"/>
        </w:rPr>
      </w:pPr>
    </w:p>
    <w:p w14:paraId="44815BCF" w14:textId="14D0857B" w:rsidR="000B7203" w:rsidRPr="00FC5C72" w:rsidRDefault="006817C7" w:rsidP="00785B18">
      <w:pPr>
        <w:spacing w:after="0" w:line="240" w:lineRule="auto"/>
        <w:jc w:val="both"/>
        <w:rPr>
          <w:sz w:val="24"/>
          <w:szCs w:val="24"/>
        </w:rPr>
      </w:pPr>
      <w:r w:rsidRPr="00FC5C72">
        <w:rPr>
          <w:sz w:val="24"/>
          <w:szCs w:val="24"/>
        </w:rPr>
        <w:t xml:space="preserve">ქვემოთ </w:t>
      </w:r>
      <w:r w:rsidR="00EE194F" w:rsidRPr="00FC5C72">
        <w:rPr>
          <w:sz w:val="24"/>
          <w:szCs w:val="24"/>
        </w:rPr>
        <w:t>მოცემულ</w:t>
      </w:r>
      <w:r w:rsidRPr="00FC5C72">
        <w:rPr>
          <w:sz w:val="24"/>
          <w:szCs w:val="24"/>
        </w:rPr>
        <w:t xml:space="preserve"> ცხრილში </w:t>
      </w:r>
      <w:r w:rsidR="00F14D75" w:rsidRPr="00FC5C72">
        <w:rPr>
          <w:sz w:val="24"/>
          <w:szCs w:val="24"/>
        </w:rPr>
        <w:t xml:space="preserve">1 </w:t>
      </w:r>
      <w:r w:rsidRPr="00FC5C72">
        <w:rPr>
          <w:sz w:val="24"/>
          <w:szCs w:val="24"/>
        </w:rPr>
        <w:t>ნაჩვენებია</w:t>
      </w:r>
      <w:r w:rsidR="003D5594" w:rsidRPr="00FC5C72">
        <w:rPr>
          <w:sz w:val="24"/>
          <w:szCs w:val="24"/>
        </w:rPr>
        <w:t xml:space="preserve"> სისტემური ზემოქმედების</w:t>
      </w:r>
      <w:r w:rsidR="000B7203" w:rsidRPr="00FC5C72">
        <w:rPr>
          <w:sz w:val="24"/>
          <w:szCs w:val="24"/>
        </w:rPr>
        <w:t>ა</w:t>
      </w:r>
      <w:r w:rsidR="003D5594" w:rsidRPr="00FC5C72">
        <w:rPr>
          <w:sz w:val="24"/>
          <w:szCs w:val="24"/>
        </w:rPr>
        <w:t xml:space="preserve"> და ანტი-</w:t>
      </w:r>
      <w:r w:rsidR="000B7203" w:rsidRPr="00FC5C72">
        <w:rPr>
          <w:sz w:val="24"/>
          <w:szCs w:val="24"/>
        </w:rPr>
        <w:t>Xa ფაქტორ</w:t>
      </w:r>
      <w:r w:rsidR="001E2F9D" w:rsidRPr="00FC5C72">
        <w:rPr>
          <w:sz w:val="24"/>
          <w:szCs w:val="24"/>
        </w:rPr>
        <w:t>ული</w:t>
      </w:r>
      <w:r w:rsidR="000B7203" w:rsidRPr="00FC5C72">
        <w:rPr>
          <w:sz w:val="24"/>
          <w:szCs w:val="24"/>
        </w:rPr>
        <w:t xml:space="preserve"> აქტივობის </w:t>
      </w:r>
      <w:r w:rsidR="001E2F9D" w:rsidRPr="00FC5C72">
        <w:rPr>
          <w:sz w:val="24"/>
          <w:szCs w:val="24"/>
        </w:rPr>
        <w:t xml:space="preserve">მოსალოდნელი </w:t>
      </w:r>
      <w:r w:rsidR="000B7203" w:rsidRPr="00FC5C72">
        <w:rPr>
          <w:sz w:val="24"/>
          <w:szCs w:val="24"/>
        </w:rPr>
        <w:t>მაჩვენებლები სტაბილურ მდგომარეობაში თითოეული ჩვენებისთვის</w:t>
      </w:r>
      <w:r w:rsidR="004A1D5F" w:rsidRPr="00FC5C72">
        <w:rPr>
          <w:sz w:val="24"/>
          <w:szCs w:val="24"/>
        </w:rPr>
        <w:t xml:space="preserve"> მოზრდილებში</w:t>
      </w:r>
      <w:r w:rsidR="000B7203" w:rsidRPr="00FC5C72">
        <w:rPr>
          <w:sz w:val="24"/>
          <w:szCs w:val="24"/>
        </w:rPr>
        <w:t>. პაციენტებში მენჯ-ბარძაყის ან მუხლის სახსრის ენდოპროთეზირების შემდეგ ვენური თრომბოემბოლური გართულებების (ვთგ) პროფილაქტიკისთვის აპიქსაბანის მიღებისას ნაჩვენებია შედეგების მაქსიმალურიდან მინიმალურ დონემდე 1.6-ჯერ</w:t>
      </w:r>
      <w:r w:rsidR="004A1D5F" w:rsidRPr="00FC5C72">
        <w:rPr>
          <w:sz w:val="24"/>
          <w:szCs w:val="24"/>
        </w:rPr>
        <w:t>ზე ნაკლები</w:t>
      </w:r>
      <w:r w:rsidR="000B7203" w:rsidRPr="00FC5C72">
        <w:rPr>
          <w:sz w:val="24"/>
          <w:szCs w:val="24"/>
        </w:rPr>
        <w:t xml:space="preserve"> მერყეობა. წინაგულების არასარქვლოვანი </w:t>
      </w:r>
      <w:r w:rsidR="000B7203" w:rsidRPr="00FC5C72">
        <w:rPr>
          <w:sz w:val="24"/>
          <w:szCs w:val="24"/>
        </w:rPr>
        <w:lastRenderedPageBreak/>
        <w:t xml:space="preserve">ფიბრილაციის მქონე პაციენტებში, რომლებიც </w:t>
      </w:r>
      <w:r w:rsidR="008823CE" w:rsidRPr="00FC5C72">
        <w:rPr>
          <w:sz w:val="24"/>
          <w:szCs w:val="24"/>
        </w:rPr>
        <w:t xml:space="preserve">აპიქსაბანს </w:t>
      </w:r>
      <w:r w:rsidR="000B7203" w:rsidRPr="00FC5C72">
        <w:rPr>
          <w:sz w:val="24"/>
          <w:szCs w:val="24"/>
        </w:rPr>
        <w:t>იღებდნენ ინსულტის და სისტემური ემბოლიის პროფილაქტიკისთვის, ნაჩვენებია შედეგების მაქსიმალურიდან მინიმალურ დონემდე 1.7-ჯერ</w:t>
      </w:r>
      <w:r w:rsidR="00B91400" w:rsidRPr="00FC5C72">
        <w:rPr>
          <w:sz w:val="24"/>
          <w:szCs w:val="24"/>
        </w:rPr>
        <w:t>ზე ნაკლები</w:t>
      </w:r>
      <w:r w:rsidR="000B7203" w:rsidRPr="00FC5C72">
        <w:rPr>
          <w:sz w:val="24"/>
          <w:szCs w:val="24"/>
        </w:rPr>
        <w:t xml:space="preserve"> მერყეობა. პაციენტებში, რომლებიც იღებენ აპიქსაბანს </w:t>
      </w:r>
      <w:r w:rsidR="00B91400" w:rsidRPr="00FC5C72">
        <w:rPr>
          <w:sz w:val="24"/>
          <w:szCs w:val="24"/>
        </w:rPr>
        <w:t>ღრმა ვენების თრომბოზის</w:t>
      </w:r>
      <w:r w:rsidR="000B7203" w:rsidRPr="00FC5C72">
        <w:rPr>
          <w:sz w:val="24"/>
          <w:szCs w:val="24"/>
        </w:rPr>
        <w:t xml:space="preserve"> (</w:t>
      </w:r>
      <w:r w:rsidR="00B91400" w:rsidRPr="00FC5C72">
        <w:rPr>
          <w:sz w:val="24"/>
          <w:szCs w:val="24"/>
        </w:rPr>
        <w:t>ღვთ</w:t>
      </w:r>
      <w:r w:rsidR="000B7203" w:rsidRPr="00FC5C72">
        <w:rPr>
          <w:sz w:val="24"/>
          <w:szCs w:val="24"/>
        </w:rPr>
        <w:t xml:space="preserve">) და ფილტვის არტერიის თრომბოემბოლიის (ფათე) სამკურნალოდ ან ღრმა ვენების თრომბოზის (ღვთ) და ფილტვის არტერიის თრომბოემბოლიის (ფათე) </w:t>
      </w:r>
      <w:r w:rsidR="004578C4" w:rsidRPr="00FC5C72">
        <w:rPr>
          <w:sz w:val="24"/>
          <w:szCs w:val="24"/>
        </w:rPr>
        <w:t xml:space="preserve">რეციდივების </w:t>
      </w:r>
      <w:r w:rsidR="000B7203" w:rsidRPr="00FC5C72">
        <w:rPr>
          <w:sz w:val="24"/>
          <w:szCs w:val="24"/>
        </w:rPr>
        <w:t xml:space="preserve">პროფილაქტიკისთვის, ნაჩვენებია შედეგების 2.2-ჯერ ნაკლები მერყეობა მაქსიმალურ და მინიმალურ მნიშვნელობებს შორის. </w:t>
      </w:r>
    </w:p>
    <w:p w14:paraId="2CBDBCF6" w14:textId="77777777" w:rsidR="000B7203" w:rsidRPr="00FC5C72" w:rsidRDefault="000B7203" w:rsidP="00785B18">
      <w:pPr>
        <w:spacing w:after="0" w:line="240" w:lineRule="auto"/>
        <w:jc w:val="both"/>
        <w:rPr>
          <w:sz w:val="24"/>
          <w:szCs w:val="24"/>
        </w:rPr>
      </w:pPr>
    </w:p>
    <w:p w14:paraId="7EAAE836" w14:textId="43216EE4" w:rsidR="006817C7" w:rsidRPr="00FC5C72" w:rsidRDefault="000B7203" w:rsidP="00785B18">
      <w:pPr>
        <w:spacing w:after="0" w:line="240" w:lineRule="auto"/>
        <w:jc w:val="both"/>
        <w:rPr>
          <w:sz w:val="24"/>
          <w:szCs w:val="24"/>
        </w:rPr>
      </w:pPr>
      <w:r w:rsidRPr="00FC5C72">
        <w:rPr>
          <w:b/>
          <w:bCs/>
          <w:sz w:val="24"/>
          <w:szCs w:val="24"/>
        </w:rPr>
        <w:t xml:space="preserve">ცხრილი 1. </w:t>
      </w:r>
      <w:r w:rsidR="002D4F91" w:rsidRPr="00FC5C72">
        <w:rPr>
          <w:b/>
          <w:bCs/>
          <w:sz w:val="24"/>
          <w:szCs w:val="24"/>
        </w:rPr>
        <w:t>აპიქსაბანის სისტემური ზემოქმედების მოსალოდნელი დონე და მისი მოსალოდნელი ანტი-</w:t>
      </w:r>
      <w:r w:rsidR="002D4F91" w:rsidRPr="00FC5C72">
        <w:rPr>
          <w:b/>
          <w:bCs/>
          <w:sz w:val="24"/>
          <w:szCs w:val="24"/>
          <w:lang w:val="en-US"/>
        </w:rPr>
        <w:t>Xa</w:t>
      </w:r>
      <w:r w:rsidR="002D4F91" w:rsidRPr="00FC5C72">
        <w:rPr>
          <w:b/>
          <w:bCs/>
          <w:sz w:val="24"/>
          <w:szCs w:val="24"/>
          <w:lang w:val="ru-RU"/>
        </w:rPr>
        <w:t>-</w:t>
      </w:r>
      <w:r w:rsidR="002D4F91" w:rsidRPr="00FC5C72">
        <w:rPr>
          <w:b/>
          <w:bCs/>
          <w:sz w:val="24"/>
          <w:szCs w:val="24"/>
        </w:rPr>
        <w:t xml:space="preserve">ფაქტორული აქტივობა სტაბილურ მდგომარეობაში </w:t>
      </w:r>
      <w:r w:rsidRPr="00FC5C72">
        <w:rPr>
          <w:sz w:val="24"/>
          <w:szCs w:val="24"/>
        </w:rPr>
        <w:t xml:space="preserve"> </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1801"/>
        <w:gridCol w:w="1590"/>
        <w:gridCol w:w="2189"/>
        <w:gridCol w:w="2134"/>
      </w:tblGrid>
      <w:tr w:rsidR="00FC5C72" w:rsidRPr="00FC5C72" w14:paraId="6E9980CF" w14:textId="77777777" w:rsidTr="00773650">
        <w:trPr>
          <w:tblHeader/>
        </w:trPr>
        <w:tc>
          <w:tcPr>
            <w:tcW w:w="1085" w:type="pct"/>
            <w:tcBorders>
              <w:top w:val="single" w:sz="4" w:space="0" w:color="auto"/>
              <w:left w:val="single" w:sz="4" w:space="0" w:color="auto"/>
              <w:bottom w:val="single" w:sz="4" w:space="0" w:color="auto"/>
              <w:right w:val="single" w:sz="4" w:space="0" w:color="auto"/>
            </w:tcBorders>
          </w:tcPr>
          <w:p w14:paraId="2802D31E"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b/>
                <w:sz w:val="24"/>
                <w:szCs w:val="24"/>
                <w:lang w:eastAsia="ru-RU"/>
              </w:rPr>
            </w:pPr>
          </w:p>
        </w:tc>
        <w:tc>
          <w:tcPr>
            <w:tcW w:w="914" w:type="pct"/>
            <w:tcBorders>
              <w:top w:val="single" w:sz="4" w:space="0" w:color="auto"/>
              <w:left w:val="single" w:sz="4" w:space="0" w:color="auto"/>
              <w:bottom w:val="single" w:sz="4" w:space="0" w:color="auto"/>
              <w:right w:val="single" w:sz="4" w:space="0" w:color="auto"/>
            </w:tcBorders>
            <w:hideMark/>
          </w:tcPr>
          <w:p w14:paraId="0F69E7FD" w14:textId="5A95818B" w:rsidR="004A0390" w:rsidRPr="00FC5C72" w:rsidRDefault="004A0390" w:rsidP="00785B18">
            <w:pPr>
              <w:tabs>
                <w:tab w:val="left" w:pos="360"/>
              </w:tabs>
              <w:spacing w:before="60" w:after="60" w:line="240" w:lineRule="auto"/>
              <w:contextualSpacing/>
              <w:jc w:val="both"/>
              <w:rPr>
                <w:rFonts w:ascii="Sylfaen" w:eastAsia="Times New Roman" w:hAnsi="Sylfaen"/>
                <w:b/>
                <w:sz w:val="24"/>
                <w:szCs w:val="24"/>
                <w:lang w:eastAsia="ru-RU"/>
              </w:rPr>
            </w:pPr>
            <w:r w:rsidRPr="00FC5C72">
              <w:rPr>
                <w:rFonts w:ascii="Sylfaen" w:eastAsia="Times New Roman" w:hAnsi="Sylfaen"/>
                <w:b/>
                <w:sz w:val="24"/>
                <w:szCs w:val="24"/>
                <w:lang w:eastAsia="ru-RU"/>
              </w:rPr>
              <w:t>აპიქსაბანი</w:t>
            </w:r>
          </w:p>
          <w:p w14:paraId="6CF59053" w14:textId="015249FC" w:rsidR="004A0390" w:rsidRPr="00FC5C72" w:rsidRDefault="004A0390" w:rsidP="00785B18">
            <w:pPr>
              <w:tabs>
                <w:tab w:val="left" w:pos="360"/>
              </w:tabs>
              <w:spacing w:before="60" w:after="60" w:line="240" w:lineRule="auto"/>
              <w:contextualSpacing/>
              <w:jc w:val="both"/>
              <w:rPr>
                <w:rFonts w:ascii="Sylfaen" w:eastAsia="Times New Roman" w:hAnsi="Sylfaen"/>
                <w:b/>
                <w:sz w:val="24"/>
                <w:szCs w:val="24"/>
                <w:lang w:eastAsia="ru-RU"/>
              </w:rPr>
            </w:pPr>
            <w:r w:rsidRPr="00FC5C72">
              <w:rPr>
                <w:rFonts w:ascii="Times New Roman" w:eastAsia="Times New Roman" w:hAnsi="Times New Roman"/>
                <w:b/>
                <w:sz w:val="24"/>
                <w:szCs w:val="24"/>
                <w:lang w:eastAsia="ru-RU"/>
              </w:rPr>
              <w:t>C</w:t>
            </w:r>
            <w:r w:rsidRPr="00FC5C72">
              <w:rPr>
                <w:rFonts w:ascii="Times New Roman" w:eastAsia="Times New Roman" w:hAnsi="Times New Roman"/>
                <w:b/>
                <w:sz w:val="24"/>
                <w:szCs w:val="24"/>
                <w:vertAlign w:val="subscript"/>
                <w:lang w:eastAsia="ru-RU"/>
              </w:rPr>
              <w:t>max</w:t>
            </w:r>
            <w:r w:rsidRPr="00FC5C72">
              <w:rPr>
                <w:rFonts w:ascii="Times New Roman" w:eastAsia="Times New Roman" w:hAnsi="Times New Roman"/>
                <w:b/>
                <w:sz w:val="24"/>
                <w:szCs w:val="24"/>
                <w:lang w:eastAsia="ru-RU"/>
              </w:rPr>
              <w:t xml:space="preserve">, </w:t>
            </w:r>
            <w:r w:rsidRPr="00FC5C72">
              <w:rPr>
                <w:rFonts w:ascii="Sylfaen" w:eastAsia="Times New Roman" w:hAnsi="Sylfaen"/>
                <w:b/>
                <w:sz w:val="24"/>
                <w:szCs w:val="24"/>
                <w:lang w:eastAsia="ru-RU"/>
              </w:rPr>
              <w:t>ნგ/მლ</w:t>
            </w:r>
          </w:p>
        </w:tc>
        <w:tc>
          <w:tcPr>
            <w:tcW w:w="807" w:type="pct"/>
            <w:tcBorders>
              <w:top w:val="single" w:sz="4" w:space="0" w:color="auto"/>
              <w:left w:val="single" w:sz="4" w:space="0" w:color="auto"/>
              <w:bottom w:val="single" w:sz="4" w:space="0" w:color="auto"/>
              <w:right w:val="single" w:sz="4" w:space="0" w:color="auto"/>
            </w:tcBorders>
            <w:hideMark/>
          </w:tcPr>
          <w:p w14:paraId="446AA8C3" w14:textId="77777777" w:rsidR="004A0390" w:rsidRPr="00FC5C72" w:rsidRDefault="004A0390" w:rsidP="00785B18">
            <w:pPr>
              <w:tabs>
                <w:tab w:val="left" w:pos="360"/>
              </w:tabs>
              <w:spacing w:before="60" w:after="60" w:line="240" w:lineRule="auto"/>
              <w:contextualSpacing/>
              <w:jc w:val="both"/>
              <w:rPr>
                <w:rFonts w:ascii="Sylfaen" w:eastAsia="Times New Roman" w:hAnsi="Sylfaen"/>
                <w:b/>
                <w:sz w:val="24"/>
                <w:szCs w:val="24"/>
                <w:lang w:eastAsia="ru-RU"/>
              </w:rPr>
            </w:pPr>
            <w:r w:rsidRPr="00FC5C72">
              <w:rPr>
                <w:rFonts w:ascii="Sylfaen" w:eastAsia="Times New Roman" w:hAnsi="Sylfaen"/>
                <w:b/>
                <w:sz w:val="24"/>
                <w:szCs w:val="24"/>
                <w:lang w:eastAsia="ru-RU"/>
              </w:rPr>
              <w:t>აპიქსაბანი</w:t>
            </w:r>
          </w:p>
          <w:p w14:paraId="02529205" w14:textId="34AEA16E" w:rsidR="004A0390" w:rsidRPr="00FC5C72" w:rsidRDefault="004A0390" w:rsidP="00785B18">
            <w:pPr>
              <w:tabs>
                <w:tab w:val="left" w:pos="360"/>
              </w:tabs>
              <w:spacing w:before="60" w:after="60" w:line="240" w:lineRule="auto"/>
              <w:contextualSpacing/>
              <w:jc w:val="both"/>
              <w:rPr>
                <w:rFonts w:ascii="Times New Roman" w:eastAsia="Times New Roman" w:hAnsi="Times New Roman"/>
                <w:b/>
                <w:sz w:val="24"/>
                <w:szCs w:val="24"/>
                <w:lang w:eastAsia="ru-RU"/>
              </w:rPr>
            </w:pPr>
            <w:r w:rsidRPr="00FC5C72">
              <w:rPr>
                <w:rFonts w:ascii="Times New Roman" w:eastAsia="Times New Roman" w:hAnsi="Times New Roman"/>
                <w:b/>
                <w:sz w:val="24"/>
                <w:szCs w:val="24"/>
                <w:lang w:eastAsia="ru-RU"/>
              </w:rPr>
              <w:t>C</w:t>
            </w:r>
            <w:r w:rsidRPr="00FC5C72">
              <w:rPr>
                <w:rFonts w:ascii="Times New Roman" w:eastAsia="Times New Roman" w:hAnsi="Times New Roman"/>
                <w:b/>
                <w:sz w:val="24"/>
                <w:szCs w:val="24"/>
                <w:vertAlign w:val="subscript"/>
                <w:lang w:eastAsia="ru-RU"/>
              </w:rPr>
              <w:t>m</w:t>
            </w:r>
            <w:r w:rsidR="005A14DC" w:rsidRPr="00FC5C72">
              <w:rPr>
                <w:rFonts w:ascii="Times New Roman" w:eastAsia="Times New Roman" w:hAnsi="Times New Roman"/>
                <w:b/>
                <w:sz w:val="24"/>
                <w:szCs w:val="24"/>
                <w:vertAlign w:val="subscript"/>
                <w:lang w:val="en-US" w:eastAsia="ru-RU"/>
              </w:rPr>
              <w:t>in</w:t>
            </w:r>
            <w:r w:rsidR="004578C4" w:rsidRPr="00FC5C72">
              <w:rPr>
                <w:rFonts w:eastAsia="Times New Roman"/>
                <w:b/>
                <w:sz w:val="24"/>
                <w:szCs w:val="24"/>
                <w:lang w:eastAsia="ru-RU"/>
              </w:rPr>
              <w:t xml:space="preserve"> (</w:t>
            </w:r>
            <w:r w:rsidRPr="00FC5C72">
              <w:rPr>
                <w:rFonts w:ascii="Sylfaen" w:eastAsia="Times New Roman" w:hAnsi="Sylfaen"/>
                <w:b/>
                <w:sz w:val="24"/>
                <w:szCs w:val="24"/>
                <w:lang w:eastAsia="ru-RU"/>
              </w:rPr>
              <w:t>ნგ/მლ</w:t>
            </w:r>
            <w:r w:rsidR="004578C4" w:rsidRPr="00FC5C72">
              <w:rPr>
                <w:rFonts w:ascii="Sylfaen" w:eastAsia="Times New Roman" w:hAnsi="Sylfaen"/>
                <w:b/>
                <w:sz w:val="24"/>
                <w:szCs w:val="24"/>
                <w:lang w:eastAsia="ru-RU"/>
              </w:rPr>
              <w:t>)</w:t>
            </w:r>
          </w:p>
        </w:tc>
        <w:tc>
          <w:tcPr>
            <w:tcW w:w="1111" w:type="pct"/>
            <w:tcBorders>
              <w:top w:val="single" w:sz="4" w:space="0" w:color="auto"/>
              <w:left w:val="single" w:sz="4" w:space="0" w:color="auto"/>
              <w:bottom w:val="single" w:sz="4" w:space="0" w:color="auto"/>
              <w:right w:val="single" w:sz="4" w:space="0" w:color="auto"/>
            </w:tcBorders>
            <w:hideMark/>
          </w:tcPr>
          <w:p w14:paraId="34B87307" w14:textId="61924D62" w:rsidR="004A0390" w:rsidRPr="00FC5C72" w:rsidRDefault="004A0390" w:rsidP="00785B18">
            <w:pPr>
              <w:tabs>
                <w:tab w:val="left" w:pos="360"/>
              </w:tabs>
              <w:spacing w:before="60" w:after="60" w:line="240" w:lineRule="auto"/>
              <w:contextualSpacing/>
              <w:jc w:val="both"/>
              <w:rPr>
                <w:rFonts w:ascii="Sylfaen" w:eastAsia="Times New Roman" w:hAnsi="Sylfaen"/>
                <w:b/>
                <w:sz w:val="24"/>
                <w:szCs w:val="24"/>
                <w:lang w:eastAsia="ru-RU"/>
              </w:rPr>
            </w:pPr>
            <w:r w:rsidRPr="00FC5C72">
              <w:rPr>
                <w:rFonts w:ascii="Sylfaen" w:eastAsia="Times New Roman" w:hAnsi="Sylfaen"/>
                <w:b/>
                <w:sz w:val="24"/>
                <w:szCs w:val="24"/>
                <w:lang w:eastAsia="ru-RU"/>
              </w:rPr>
              <w:t>აპიქსაბანი</w:t>
            </w:r>
          </w:p>
          <w:p w14:paraId="2321A9A4" w14:textId="7D896309" w:rsidR="004A0390" w:rsidRPr="00FC5C72" w:rsidRDefault="004A0390" w:rsidP="00785B18">
            <w:pPr>
              <w:tabs>
                <w:tab w:val="left" w:pos="360"/>
              </w:tabs>
              <w:spacing w:before="60" w:after="60" w:line="240" w:lineRule="auto"/>
              <w:contextualSpacing/>
              <w:jc w:val="both"/>
              <w:rPr>
                <w:rFonts w:ascii="Sylfaen" w:eastAsia="Times New Roman" w:hAnsi="Sylfaen"/>
                <w:b/>
                <w:sz w:val="24"/>
                <w:szCs w:val="24"/>
                <w:lang w:eastAsia="ru-RU"/>
              </w:rPr>
            </w:pPr>
            <w:r w:rsidRPr="00FC5C72">
              <w:rPr>
                <w:rFonts w:ascii="Sylfaen" w:eastAsia="Times New Roman" w:hAnsi="Sylfaen"/>
                <w:b/>
                <w:sz w:val="24"/>
                <w:szCs w:val="24"/>
                <w:lang w:eastAsia="ru-RU"/>
              </w:rPr>
              <w:t>მაქსიმალური ანტი-X</w:t>
            </w:r>
            <w:r w:rsidRPr="00FC5C72">
              <w:rPr>
                <w:rFonts w:ascii="Sylfaen" w:eastAsia="Times New Roman" w:hAnsi="Sylfaen"/>
                <w:b/>
                <w:sz w:val="24"/>
                <w:szCs w:val="24"/>
                <w:lang w:val="en-US" w:eastAsia="ru-RU"/>
              </w:rPr>
              <w:t>a</w:t>
            </w:r>
            <w:r w:rsidRPr="00FC5C72">
              <w:rPr>
                <w:rFonts w:ascii="Sylfaen" w:eastAsia="Times New Roman" w:hAnsi="Sylfaen"/>
                <w:b/>
                <w:sz w:val="24"/>
                <w:szCs w:val="24"/>
                <w:lang w:val="ru-RU" w:eastAsia="ru-RU"/>
              </w:rPr>
              <w:t>-</w:t>
            </w:r>
            <w:r w:rsidRPr="00FC5C72">
              <w:rPr>
                <w:rFonts w:ascii="Sylfaen" w:eastAsia="Times New Roman" w:hAnsi="Sylfaen"/>
                <w:b/>
                <w:sz w:val="24"/>
                <w:szCs w:val="24"/>
                <w:lang w:eastAsia="ru-RU"/>
              </w:rPr>
              <w:t>ფაქტორული აქტივობა (სე/მლ)</w:t>
            </w:r>
          </w:p>
        </w:tc>
        <w:tc>
          <w:tcPr>
            <w:tcW w:w="1084" w:type="pct"/>
            <w:tcBorders>
              <w:top w:val="single" w:sz="4" w:space="0" w:color="auto"/>
              <w:left w:val="single" w:sz="4" w:space="0" w:color="auto"/>
              <w:bottom w:val="single" w:sz="4" w:space="0" w:color="auto"/>
              <w:right w:val="single" w:sz="4" w:space="0" w:color="auto"/>
            </w:tcBorders>
            <w:hideMark/>
          </w:tcPr>
          <w:p w14:paraId="75DB0579" w14:textId="77777777" w:rsidR="004A0390" w:rsidRPr="00FC5C72" w:rsidRDefault="004A0390" w:rsidP="00785B18">
            <w:pPr>
              <w:tabs>
                <w:tab w:val="left" w:pos="360"/>
              </w:tabs>
              <w:spacing w:before="60" w:after="60" w:line="240" w:lineRule="auto"/>
              <w:contextualSpacing/>
              <w:jc w:val="both"/>
              <w:rPr>
                <w:rFonts w:ascii="Sylfaen" w:eastAsia="Times New Roman" w:hAnsi="Sylfaen"/>
                <w:b/>
                <w:sz w:val="24"/>
                <w:szCs w:val="24"/>
                <w:lang w:eastAsia="ru-RU"/>
              </w:rPr>
            </w:pPr>
            <w:r w:rsidRPr="00FC5C72">
              <w:rPr>
                <w:rFonts w:ascii="Sylfaen" w:eastAsia="Times New Roman" w:hAnsi="Sylfaen"/>
                <w:b/>
                <w:sz w:val="24"/>
                <w:szCs w:val="24"/>
                <w:lang w:eastAsia="ru-RU"/>
              </w:rPr>
              <w:t>აპიქსაბანი</w:t>
            </w:r>
          </w:p>
          <w:p w14:paraId="0816D296" w14:textId="1FFAB40A" w:rsidR="004A0390" w:rsidRPr="00FC5C72" w:rsidRDefault="004A0390" w:rsidP="00785B18">
            <w:pPr>
              <w:tabs>
                <w:tab w:val="left" w:pos="360"/>
              </w:tabs>
              <w:spacing w:before="60" w:after="60" w:line="240" w:lineRule="auto"/>
              <w:contextualSpacing/>
              <w:jc w:val="both"/>
              <w:rPr>
                <w:rFonts w:ascii="Times New Roman" w:eastAsia="Times New Roman" w:hAnsi="Times New Roman"/>
                <w:b/>
                <w:sz w:val="24"/>
                <w:szCs w:val="24"/>
                <w:lang w:eastAsia="ru-RU"/>
              </w:rPr>
            </w:pPr>
            <w:r w:rsidRPr="00FC5C72">
              <w:rPr>
                <w:rFonts w:ascii="Sylfaen" w:eastAsia="Times New Roman" w:hAnsi="Sylfaen"/>
                <w:b/>
                <w:sz w:val="24"/>
                <w:szCs w:val="24"/>
                <w:lang w:eastAsia="ru-RU"/>
              </w:rPr>
              <w:t>მ</w:t>
            </w:r>
            <w:r w:rsidR="008823CE" w:rsidRPr="00FC5C72">
              <w:rPr>
                <w:rFonts w:ascii="Sylfaen" w:eastAsia="Times New Roman" w:hAnsi="Sylfaen"/>
                <w:b/>
                <w:sz w:val="24"/>
                <w:szCs w:val="24"/>
                <w:lang w:eastAsia="ru-RU"/>
              </w:rPr>
              <w:t>ინი</w:t>
            </w:r>
            <w:r w:rsidRPr="00FC5C72">
              <w:rPr>
                <w:rFonts w:ascii="Sylfaen" w:eastAsia="Times New Roman" w:hAnsi="Sylfaen"/>
                <w:b/>
                <w:sz w:val="24"/>
                <w:szCs w:val="24"/>
                <w:lang w:eastAsia="ru-RU"/>
              </w:rPr>
              <w:t>მალური ანტი-X</w:t>
            </w:r>
            <w:r w:rsidRPr="00FC5C72">
              <w:rPr>
                <w:rFonts w:ascii="Sylfaen" w:eastAsia="Times New Roman" w:hAnsi="Sylfaen"/>
                <w:b/>
                <w:sz w:val="24"/>
                <w:szCs w:val="24"/>
                <w:lang w:val="en-US" w:eastAsia="ru-RU"/>
              </w:rPr>
              <w:t>a</w:t>
            </w:r>
            <w:r w:rsidRPr="00FC5C72">
              <w:rPr>
                <w:rFonts w:ascii="Sylfaen" w:eastAsia="Times New Roman" w:hAnsi="Sylfaen"/>
                <w:b/>
                <w:sz w:val="24"/>
                <w:szCs w:val="24"/>
                <w:lang w:val="ru-RU" w:eastAsia="ru-RU"/>
              </w:rPr>
              <w:t>-</w:t>
            </w:r>
            <w:r w:rsidRPr="00FC5C72">
              <w:rPr>
                <w:rFonts w:ascii="Sylfaen" w:eastAsia="Times New Roman" w:hAnsi="Sylfaen"/>
                <w:b/>
                <w:sz w:val="24"/>
                <w:szCs w:val="24"/>
                <w:lang w:eastAsia="ru-RU"/>
              </w:rPr>
              <w:t>ფაქტორული აქტივობა (სე/მლ)</w:t>
            </w:r>
          </w:p>
        </w:tc>
      </w:tr>
      <w:tr w:rsidR="00FC5C72" w:rsidRPr="00FC5C72" w14:paraId="6B7B4B5E" w14:textId="77777777" w:rsidTr="00773650">
        <w:tc>
          <w:tcPr>
            <w:tcW w:w="1085" w:type="pct"/>
            <w:tcBorders>
              <w:top w:val="single" w:sz="4" w:space="0" w:color="auto"/>
              <w:left w:val="single" w:sz="4" w:space="0" w:color="auto"/>
              <w:bottom w:val="single" w:sz="4" w:space="0" w:color="auto"/>
              <w:right w:val="single" w:sz="4" w:space="0" w:color="auto"/>
            </w:tcBorders>
          </w:tcPr>
          <w:p w14:paraId="11EF6782"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p>
        </w:tc>
        <w:tc>
          <w:tcPr>
            <w:tcW w:w="3915" w:type="pct"/>
            <w:gridSpan w:val="4"/>
            <w:tcBorders>
              <w:top w:val="single" w:sz="4" w:space="0" w:color="auto"/>
              <w:left w:val="single" w:sz="4" w:space="0" w:color="auto"/>
              <w:bottom w:val="single" w:sz="4" w:space="0" w:color="auto"/>
              <w:right w:val="single" w:sz="4" w:space="0" w:color="auto"/>
            </w:tcBorders>
            <w:hideMark/>
          </w:tcPr>
          <w:p w14:paraId="2862A5B1" w14:textId="519FF666"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Sylfaen" w:eastAsia="Times New Roman" w:hAnsi="Sylfaen"/>
                <w:sz w:val="24"/>
                <w:szCs w:val="24"/>
                <w:lang w:eastAsia="ru-RU"/>
              </w:rPr>
              <w:t>მედიანა</w:t>
            </w:r>
            <w:r w:rsidRPr="00FC5C72">
              <w:rPr>
                <w:rFonts w:ascii="Times New Roman" w:eastAsia="Times New Roman" w:hAnsi="Times New Roman"/>
                <w:sz w:val="24"/>
                <w:szCs w:val="24"/>
                <w:lang w:eastAsia="ru-RU"/>
              </w:rPr>
              <w:t xml:space="preserve"> (</w:t>
            </w:r>
            <w:r w:rsidRPr="00FC5C72">
              <w:rPr>
                <w:rFonts w:ascii="Sylfaen" w:eastAsia="Times New Roman" w:hAnsi="Sylfaen"/>
                <w:sz w:val="24"/>
                <w:szCs w:val="24"/>
                <w:lang w:eastAsia="ru-RU"/>
              </w:rPr>
              <w:t>მე-5 პროცენტილი</w:t>
            </w:r>
            <w:r w:rsidRPr="00FC5C72">
              <w:rPr>
                <w:rFonts w:ascii="Times New Roman" w:eastAsia="Times New Roman" w:hAnsi="Times New Roman"/>
                <w:sz w:val="24"/>
                <w:szCs w:val="24"/>
                <w:lang w:eastAsia="ru-RU"/>
              </w:rPr>
              <w:t>, 95-</w:t>
            </w:r>
            <w:r w:rsidRPr="00FC5C72">
              <w:rPr>
                <w:rFonts w:ascii="Sylfaen" w:eastAsia="Times New Roman" w:hAnsi="Sylfaen"/>
                <w:sz w:val="24"/>
                <w:szCs w:val="24"/>
                <w:lang w:eastAsia="ru-RU"/>
              </w:rPr>
              <w:t>ე</w:t>
            </w:r>
            <w:r w:rsidRPr="00FC5C72">
              <w:rPr>
                <w:rFonts w:ascii="Times New Roman" w:eastAsia="Times New Roman" w:hAnsi="Times New Roman"/>
                <w:sz w:val="24"/>
                <w:szCs w:val="24"/>
                <w:lang w:eastAsia="ru-RU"/>
              </w:rPr>
              <w:t xml:space="preserve"> </w:t>
            </w:r>
            <w:r w:rsidRPr="00FC5C72">
              <w:rPr>
                <w:rFonts w:ascii="Sylfaen" w:eastAsia="Times New Roman" w:hAnsi="Sylfaen"/>
                <w:sz w:val="24"/>
                <w:szCs w:val="24"/>
                <w:lang w:eastAsia="ru-RU"/>
              </w:rPr>
              <w:t>პროცენტილი</w:t>
            </w:r>
            <w:r w:rsidRPr="00FC5C72">
              <w:rPr>
                <w:rFonts w:ascii="Times New Roman" w:eastAsia="Times New Roman" w:hAnsi="Times New Roman"/>
                <w:sz w:val="24"/>
                <w:szCs w:val="24"/>
                <w:lang w:eastAsia="ru-RU"/>
              </w:rPr>
              <w:t>)</w:t>
            </w:r>
          </w:p>
        </w:tc>
      </w:tr>
      <w:tr w:rsidR="00FC5C72" w:rsidRPr="00FC5C72" w14:paraId="59B4B1A2" w14:textId="77777777" w:rsidTr="00A91B3A">
        <w:tc>
          <w:tcPr>
            <w:tcW w:w="5000" w:type="pct"/>
            <w:gridSpan w:val="5"/>
            <w:tcBorders>
              <w:top w:val="single" w:sz="4" w:space="0" w:color="auto"/>
              <w:left w:val="single" w:sz="4" w:space="0" w:color="auto"/>
              <w:bottom w:val="single" w:sz="4" w:space="0" w:color="auto"/>
              <w:right w:val="single" w:sz="4" w:space="0" w:color="auto"/>
            </w:tcBorders>
            <w:hideMark/>
          </w:tcPr>
          <w:p w14:paraId="573CFCA2" w14:textId="6FD9A425" w:rsidR="004A0390" w:rsidRPr="00FC5C72" w:rsidRDefault="004A0390" w:rsidP="00785B18">
            <w:pPr>
              <w:tabs>
                <w:tab w:val="left" w:pos="360"/>
              </w:tabs>
              <w:spacing w:before="60" w:after="60" w:line="240" w:lineRule="auto"/>
              <w:contextualSpacing/>
              <w:jc w:val="both"/>
              <w:rPr>
                <w:rFonts w:eastAsia="Times New Roman"/>
                <w:i/>
                <w:sz w:val="24"/>
                <w:szCs w:val="24"/>
                <w:lang w:eastAsia="ru-RU"/>
              </w:rPr>
            </w:pPr>
            <w:proofErr w:type="spellStart"/>
            <w:r w:rsidRPr="00FC5C72">
              <w:rPr>
                <w:rFonts w:ascii="Sylfaen" w:eastAsia="Times New Roman" w:hAnsi="Sylfaen"/>
                <w:i/>
                <w:sz w:val="24"/>
                <w:szCs w:val="24"/>
                <w:lang w:eastAsia="ru-RU"/>
              </w:rPr>
              <w:t>ვთგ</w:t>
            </w:r>
            <w:proofErr w:type="spellEnd"/>
            <w:r w:rsidRPr="00FC5C72">
              <w:rPr>
                <w:rFonts w:ascii="Sylfaen" w:eastAsia="Times New Roman" w:hAnsi="Sylfaen"/>
                <w:i/>
                <w:sz w:val="24"/>
                <w:szCs w:val="24"/>
                <w:lang w:eastAsia="ru-RU"/>
              </w:rPr>
              <w:t xml:space="preserve"> პროფილაქტიკა</w:t>
            </w:r>
            <w:r w:rsidRPr="00FC5C72">
              <w:rPr>
                <w:rFonts w:ascii="Times New Roman" w:eastAsia="Times New Roman" w:hAnsi="Times New Roman"/>
                <w:i/>
                <w:sz w:val="24"/>
                <w:szCs w:val="24"/>
                <w:lang w:eastAsia="ru-RU"/>
              </w:rPr>
              <w:t xml:space="preserve">: </w:t>
            </w:r>
            <w:r w:rsidRPr="00FC5C72">
              <w:rPr>
                <w:rFonts w:ascii="Sylfaen" w:eastAsia="Times New Roman" w:hAnsi="Sylfaen"/>
                <w:i/>
                <w:sz w:val="24"/>
                <w:szCs w:val="24"/>
                <w:lang w:eastAsia="ru-RU"/>
              </w:rPr>
              <w:t>მენჯ</w:t>
            </w:r>
            <w:r w:rsidR="008823CE" w:rsidRPr="00FC5C72">
              <w:rPr>
                <w:rFonts w:ascii="Sylfaen" w:eastAsia="Times New Roman" w:hAnsi="Sylfaen"/>
                <w:i/>
                <w:sz w:val="24"/>
                <w:szCs w:val="24"/>
                <w:lang w:eastAsia="ru-RU"/>
              </w:rPr>
              <w:t>-</w:t>
            </w:r>
            <w:r w:rsidRPr="00FC5C72">
              <w:rPr>
                <w:rFonts w:ascii="Sylfaen" w:eastAsia="Times New Roman" w:hAnsi="Sylfaen"/>
                <w:i/>
                <w:sz w:val="24"/>
                <w:szCs w:val="24"/>
                <w:lang w:eastAsia="ru-RU"/>
              </w:rPr>
              <w:t xml:space="preserve">ბარძაყის ან მუხლის სახსრის გეგმიური ენდოპროთეზირება </w:t>
            </w:r>
            <w:r w:rsidRPr="00FC5C72">
              <w:rPr>
                <w:rFonts w:eastAsia="Times New Roman"/>
                <w:i/>
                <w:sz w:val="24"/>
                <w:szCs w:val="24"/>
                <w:lang w:eastAsia="ru-RU"/>
              </w:rPr>
              <w:t xml:space="preserve"> </w:t>
            </w:r>
          </w:p>
        </w:tc>
      </w:tr>
      <w:tr w:rsidR="00FC5C72" w:rsidRPr="00FC5C72" w14:paraId="3A163FBA" w14:textId="77777777" w:rsidTr="00773650">
        <w:tc>
          <w:tcPr>
            <w:tcW w:w="1085" w:type="pct"/>
            <w:tcBorders>
              <w:top w:val="single" w:sz="4" w:space="0" w:color="auto"/>
              <w:left w:val="single" w:sz="4" w:space="0" w:color="auto"/>
              <w:bottom w:val="single" w:sz="4" w:space="0" w:color="auto"/>
              <w:right w:val="single" w:sz="4" w:space="0" w:color="auto"/>
            </w:tcBorders>
            <w:hideMark/>
          </w:tcPr>
          <w:p w14:paraId="040F8B71" w14:textId="56FEE5B8"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 xml:space="preserve">2,5 </w:t>
            </w:r>
            <w:proofErr w:type="spellStart"/>
            <w:r w:rsidRPr="00FC5C72">
              <w:rPr>
                <w:rFonts w:ascii="Sylfaen" w:eastAsia="Times New Roman" w:hAnsi="Sylfaen"/>
                <w:sz w:val="24"/>
                <w:szCs w:val="24"/>
                <w:lang w:eastAsia="ru-RU"/>
              </w:rPr>
              <w:t>მგ</w:t>
            </w:r>
            <w:proofErr w:type="spellEnd"/>
            <w:r w:rsidRPr="00FC5C72">
              <w:rPr>
                <w:rFonts w:ascii="Times New Roman" w:eastAsia="Times New Roman" w:hAnsi="Times New Roman"/>
                <w:sz w:val="24"/>
                <w:szCs w:val="24"/>
                <w:lang w:eastAsia="ru-RU"/>
              </w:rPr>
              <w:t xml:space="preserve"> </w:t>
            </w:r>
            <w:r w:rsidRPr="00FC5C72">
              <w:rPr>
                <w:rFonts w:eastAsia="Times New Roman"/>
                <w:sz w:val="24"/>
                <w:szCs w:val="24"/>
                <w:lang w:eastAsia="ru-RU"/>
              </w:rPr>
              <w:t>2-ჯერ დღე-ღამეში</w:t>
            </w:r>
          </w:p>
        </w:tc>
        <w:tc>
          <w:tcPr>
            <w:tcW w:w="914" w:type="pct"/>
            <w:tcBorders>
              <w:top w:val="single" w:sz="4" w:space="0" w:color="auto"/>
              <w:left w:val="single" w:sz="4" w:space="0" w:color="auto"/>
              <w:bottom w:val="single" w:sz="4" w:space="0" w:color="auto"/>
              <w:right w:val="single" w:sz="4" w:space="0" w:color="auto"/>
            </w:tcBorders>
            <w:hideMark/>
          </w:tcPr>
          <w:p w14:paraId="63651DA1"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77 (41, 146)</w:t>
            </w:r>
          </w:p>
        </w:tc>
        <w:tc>
          <w:tcPr>
            <w:tcW w:w="807" w:type="pct"/>
            <w:tcBorders>
              <w:top w:val="single" w:sz="4" w:space="0" w:color="auto"/>
              <w:left w:val="single" w:sz="4" w:space="0" w:color="auto"/>
              <w:bottom w:val="single" w:sz="4" w:space="0" w:color="auto"/>
              <w:right w:val="single" w:sz="4" w:space="0" w:color="auto"/>
            </w:tcBorders>
            <w:hideMark/>
          </w:tcPr>
          <w:p w14:paraId="392E9071"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51 (23, 109)</w:t>
            </w:r>
          </w:p>
        </w:tc>
        <w:tc>
          <w:tcPr>
            <w:tcW w:w="1111" w:type="pct"/>
            <w:tcBorders>
              <w:top w:val="single" w:sz="4" w:space="0" w:color="auto"/>
              <w:left w:val="single" w:sz="4" w:space="0" w:color="auto"/>
              <w:bottom w:val="single" w:sz="4" w:space="0" w:color="auto"/>
              <w:right w:val="single" w:sz="4" w:space="0" w:color="auto"/>
            </w:tcBorders>
            <w:hideMark/>
          </w:tcPr>
          <w:p w14:paraId="4A68088E"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1,3 (0,67, 2,4)</w:t>
            </w:r>
          </w:p>
        </w:tc>
        <w:tc>
          <w:tcPr>
            <w:tcW w:w="1084" w:type="pct"/>
            <w:tcBorders>
              <w:top w:val="single" w:sz="4" w:space="0" w:color="auto"/>
              <w:left w:val="single" w:sz="4" w:space="0" w:color="auto"/>
              <w:bottom w:val="single" w:sz="4" w:space="0" w:color="auto"/>
              <w:right w:val="single" w:sz="4" w:space="0" w:color="auto"/>
            </w:tcBorders>
            <w:hideMark/>
          </w:tcPr>
          <w:p w14:paraId="141D10B2"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0,84 (0,37, 1,8)</w:t>
            </w:r>
          </w:p>
        </w:tc>
      </w:tr>
      <w:tr w:rsidR="00FC5C72" w:rsidRPr="00FC5C72" w14:paraId="0ADCF667" w14:textId="77777777" w:rsidTr="00A91B3A">
        <w:tc>
          <w:tcPr>
            <w:tcW w:w="5000" w:type="pct"/>
            <w:gridSpan w:val="5"/>
            <w:tcBorders>
              <w:top w:val="single" w:sz="4" w:space="0" w:color="auto"/>
              <w:left w:val="single" w:sz="4" w:space="0" w:color="auto"/>
              <w:bottom w:val="single" w:sz="4" w:space="0" w:color="auto"/>
              <w:right w:val="single" w:sz="4" w:space="0" w:color="auto"/>
            </w:tcBorders>
            <w:hideMark/>
          </w:tcPr>
          <w:p w14:paraId="02978BDB" w14:textId="4F7AE128" w:rsidR="004A0390" w:rsidRPr="00FC5C72" w:rsidRDefault="004A0390" w:rsidP="00785B18">
            <w:pPr>
              <w:tabs>
                <w:tab w:val="left" w:pos="360"/>
              </w:tabs>
              <w:spacing w:before="60" w:after="60" w:line="240" w:lineRule="auto"/>
              <w:contextualSpacing/>
              <w:jc w:val="both"/>
              <w:rPr>
                <w:rFonts w:eastAsia="Times New Roman"/>
                <w:i/>
                <w:sz w:val="24"/>
                <w:szCs w:val="24"/>
                <w:lang w:eastAsia="ru-RU"/>
              </w:rPr>
            </w:pPr>
            <w:r w:rsidRPr="00FC5C72">
              <w:rPr>
                <w:rFonts w:ascii="Sylfaen" w:eastAsia="Times New Roman" w:hAnsi="Sylfaen"/>
                <w:i/>
                <w:sz w:val="24"/>
                <w:szCs w:val="24"/>
                <w:lang w:eastAsia="ru-RU"/>
              </w:rPr>
              <w:t>ინსულტისა და სისტემური ემბოლიის პროფილაქტიკა</w:t>
            </w:r>
            <w:r w:rsidRPr="00FC5C72">
              <w:rPr>
                <w:rFonts w:ascii="Times New Roman" w:eastAsia="Times New Roman" w:hAnsi="Times New Roman"/>
                <w:i/>
                <w:sz w:val="24"/>
                <w:szCs w:val="24"/>
                <w:lang w:eastAsia="ru-RU"/>
              </w:rPr>
              <w:t xml:space="preserve">: </w:t>
            </w:r>
            <w:r w:rsidRPr="00FC5C72">
              <w:rPr>
                <w:rFonts w:eastAsia="Times New Roman"/>
                <w:i/>
                <w:sz w:val="24"/>
                <w:szCs w:val="24"/>
                <w:lang w:eastAsia="ru-RU"/>
              </w:rPr>
              <w:t>წინაგულების არასარქვლოვანი ფიბრილაცია</w:t>
            </w:r>
          </w:p>
        </w:tc>
      </w:tr>
      <w:tr w:rsidR="00FC5C72" w:rsidRPr="00FC5C72" w14:paraId="336DAE4D" w14:textId="77777777" w:rsidTr="00773650">
        <w:tc>
          <w:tcPr>
            <w:tcW w:w="1085" w:type="pct"/>
            <w:tcBorders>
              <w:top w:val="single" w:sz="4" w:space="0" w:color="auto"/>
              <w:left w:val="single" w:sz="4" w:space="0" w:color="auto"/>
              <w:bottom w:val="single" w:sz="4" w:space="0" w:color="auto"/>
              <w:right w:val="single" w:sz="4" w:space="0" w:color="auto"/>
            </w:tcBorders>
            <w:hideMark/>
          </w:tcPr>
          <w:p w14:paraId="59E5767B" w14:textId="3A58DCD6"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 xml:space="preserve">2,5 </w:t>
            </w:r>
            <w:proofErr w:type="spellStart"/>
            <w:r w:rsidRPr="00FC5C72">
              <w:rPr>
                <w:rFonts w:ascii="Sylfaen" w:eastAsia="Times New Roman" w:hAnsi="Sylfaen"/>
                <w:sz w:val="24"/>
                <w:szCs w:val="24"/>
                <w:lang w:eastAsia="ru-RU"/>
              </w:rPr>
              <w:t>მგ</w:t>
            </w:r>
            <w:proofErr w:type="spellEnd"/>
            <w:r w:rsidRPr="00FC5C72">
              <w:rPr>
                <w:rFonts w:ascii="Times New Roman" w:eastAsia="Times New Roman" w:hAnsi="Times New Roman"/>
                <w:sz w:val="24"/>
                <w:szCs w:val="24"/>
                <w:lang w:eastAsia="ru-RU"/>
              </w:rPr>
              <w:t xml:space="preserve"> </w:t>
            </w:r>
            <w:r w:rsidRPr="00FC5C72">
              <w:rPr>
                <w:rFonts w:eastAsia="Times New Roman"/>
                <w:sz w:val="24"/>
                <w:szCs w:val="24"/>
                <w:lang w:eastAsia="ru-RU"/>
              </w:rPr>
              <w:t>2-ჯერ დღე-ღამეში</w:t>
            </w:r>
            <w:r w:rsidRPr="00FC5C72">
              <w:rPr>
                <w:rFonts w:ascii="Times New Roman" w:eastAsia="Times New Roman" w:hAnsi="Times New Roman"/>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hideMark/>
          </w:tcPr>
          <w:p w14:paraId="52FF2BD5"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123 (69, 221)</w:t>
            </w:r>
          </w:p>
        </w:tc>
        <w:tc>
          <w:tcPr>
            <w:tcW w:w="807" w:type="pct"/>
            <w:tcBorders>
              <w:top w:val="single" w:sz="4" w:space="0" w:color="auto"/>
              <w:left w:val="single" w:sz="4" w:space="0" w:color="auto"/>
              <w:bottom w:val="single" w:sz="4" w:space="0" w:color="auto"/>
              <w:right w:val="single" w:sz="4" w:space="0" w:color="auto"/>
            </w:tcBorders>
            <w:hideMark/>
          </w:tcPr>
          <w:p w14:paraId="22416F29"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79 (34, 162)</w:t>
            </w:r>
          </w:p>
        </w:tc>
        <w:tc>
          <w:tcPr>
            <w:tcW w:w="1111" w:type="pct"/>
            <w:tcBorders>
              <w:top w:val="single" w:sz="4" w:space="0" w:color="auto"/>
              <w:left w:val="single" w:sz="4" w:space="0" w:color="auto"/>
              <w:bottom w:val="single" w:sz="4" w:space="0" w:color="auto"/>
              <w:right w:val="single" w:sz="4" w:space="0" w:color="auto"/>
            </w:tcBorders>
            <w:hideMark/>
          </w:tcPr>
          <w:p w14:paraId="43523722"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1,8 (1,0, 3,3)</w:t>
            </w:r>
          </w:p>
        </w:tc>
        <w:tc>
          <w:tcPr>
            <w:tcW w:w="1084" w:type="pct"/>
            <w:tcBorders>
              <w:top w:val="single" w:sz="4" w:space="0" w:color="auto"/>
              <w:left w:val="single" w:sz="4" w:space="0" w:color="auto"/>
              <w:bottom w:val="single" w:sz="4" w:space="0" w:color="auto"/>
              <w:right w:val="single" w:sz="4" w:space="0" w:color="auto"/>
            </w:tcBorders>
            <w:hideMark/>
          </w:tcPr>
          <w:p w14:paraId="4419F8E1"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1,2 (0,51, 2,4)</w:t>
            </w:r>
          </w:p>
        </w:tc>
      </w:tr>
      <w:tr w:rsidR="00FC5C72" w:rsidRPr="00FC5C72" w14:paraId="1F50216F" w14:textId="77777777" w:rsidTr="00773650">
        <w:tc>
          <w:tcPr>
            <w:tcW w:w="1085" w:type="pct"/>
            <w:tcBorders>
              <w:top w:val="single" w:sz="4" w:space="0" w:color="auto"/>
              <w:left w:val="single" w:sz="4" w:space="0" w:color="auto"/>
              <w:bottom w:val="single" w:sz="4" w:space="0" w:color="auto"/>
              <w:right w:val="single" w:sz="4" w:space="0" w:color="auto"/>
            </w:tcBorders>
            <w:hideMark/>
          </w:tcPr>
          <w:p w14:paraId="11C47C4B" w14:textId="5EB98291"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5 </w:t>
            </w:r>
            <w:proofErr w:type="spellStart"/>
            <w:r w:rsidRPr="00FC5C72">
              <w:rPr>
                <w:rFonts w:ascii="Sylfaen" w:eastAsia="Times New Roman" w:hAnsi="Sylfaen"/>
                <w:sz w:val="24"/>
                <w:szCs w:val="24"/>
                <w:lang w:eastAsia="ru-RU"/>
              </w:rPr>
              <w:t>მგ</w:t>
            </w:r>
            <w:proofErr w:type="spellEnd"/>
            <w:r w:rsidRPr="00FC5C72">
              <w:rPr>
                <w:rFonts w:ascii="Times New Roman" w:eastAsia="Times New Roman" w:hAnsi="Times New Roman"/>
                <w:sz w:val="24"/>
                <w:szCs w:val="24"/>
                <w:lang w:eastAsia="ru-RU"/>
              </w:rPr>
              <w:t xml:space="preserve"> </w:t>
            </w:r>
            <w:r w:rsidRPr="00FC5C72">
              <w:rPr>
                <w:rFonts w:eastAsia="Times New Roman"/>
                <w:sz w:val="24"/>
                <w:szCs w:val="24"/>
                <w:lang w:eastAsia="ru-RU"/>
              </w:rPr>
              <w:t>2-ჯერ დღე-ღამეში</w:t>
            </w:r>
          </w:p>
        </w:tc>
        <w:tc>
          <w:tcPr>
            <w:tcW w:w="914" w:type="pct"/>
            <w:tcBorders>
              <w:top w:val="single" w:sz="4" w:space="0" w:color="auto"/>
              <w:left w:val="single" w:sz="4" w:space="0" w:color="auto"/>
              <w:bottom w:val="single" w:sz="4" w:space="0" w:color="auto"/>
              <w:right w:val="single" w:sz="4" w:space="0" w:color="auto"/>
            </w:tcBorders>
            <w:hideMark/>
          </w:tcPr>
          <w:p w14:paraId="39E10530"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171 (91, 321)</w:t>
            </w:r>
          </w:p>
        </w:tc>
        <w:tc>
          <w:tcPr>
            <w:tcW w:w="807" w:type="pct"/>
            <w:tcBorders>
              <w:top w:val="single" w:sz="4" w:space="0" w:color="auto"/>
              <w:left w:val="single" w:sz="4" w:space="0" w:color="auto"/>
              <w:bottom w:val="single" w:sz="4" w:space="0" w:color="auto"/>
              <w:right w:val="single" w:sz="4" w:space="0" w:color="auto"/>
            </w:tcBorders>
            <w:hideMark/>
          </w:tcPr>
          <w:p w14:paraId="0890E845"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103 (41, 230)</w:t>
            </w:r>
          </w:p>
        </w:tc>
        <w:tc>
          <w:tcPr>
            <w:tcW w:w="1111" w:type="pct"/>
            <w:tcBorders>
              <w:top w:val="single" w:sz="4" w:space="0" w:color="auto"/>
              <w:left w:val="single" w:sz="4" w:space="0" w:color="auto"/>
              <w:bottom w:val="single" w:sz="4" w:space="0" w:color="auto"/>
              <w:right w:val="single" w:sz="4" w:space="0" w:color="auto"/>
            </w:tcBorders>
            <w:hideMark/>
          </w:tcPr>
          <w:p w14:paraId="3A2B4CC6"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2,6 (1,4, 4,8)</w:t>
            </w:r>
          </w:p>
        </w:tc>
        <w:tc>
          <w:tcPr>
            <w:tcW w:w="1084" w:type="pct"/>
            <w:tcBorders>
              <w:top w:val="single" w:sz="4" w:space="0" w:color="auto"/>
              <w:left w:val="single" w:sz="4" w:space="0" w:color="auto"/>
              <w:bottom w:val="single" w:sz="4" w:space="0" w:color="auto"/>
              <w:right w:val="single" w:sz="4" w:space="0" w:color="auto"/>
            </w:tcBorders>
            <w:hideMark/>
          </w:tcPr>
          <w:p w14:paraId="2A2D1A21"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1,5 (0,61, 3,4)</w:t>
            </w:r>
          </w:p>
        </w:tc>
      </w:tr>
      <w:tr w:rsidR="00FC5C72" w:rsidRPr="00FC5C72" w14:paraId="2C67D7C4" w14:textId="77777777" w:rsidTr="00A91B3A">
        <w:tc>
          <w:tcPr>
            <w:tcW w:w="5000" w:type="pct"/>
            <w:gridSpan w:val="5"/>
            <w:tcBorders>
              <w:top w:val="single" w:sz="4" w:space="0" w:color="auto"/>
              <w:left w:val="single" w:sz="4" w:space="0" w:color="auto"/>
              <w:bottom w:val="single" w:sz="4" w:space="0" w:color="auto"/>
              <w:right w:val="single" w:sz="4" w:space="0" w:color="auto"/>
            </w:tcBorders>
            <w:hideMark/>
          </w:tcPr>
          <w:p w14:paraId="601F50B3" w14:textId="6B82C8D6" w:rsidR="004A0390" w:rsidRPr="00FC5C72" w:rsidRDefault="00773650" w:rsidP="00785B18">
            <w:pPr>
              <w:tabs>
                <w:tab w:val="left" w:pos="360"/>
              </w:tabs>
              <w:spacing w:before="60" w:after="60" w:line="240" w:lineRule="auto"/>
              <w:contextualSpacing/>
              <w:jc w:val="both"/>
              <w:rPr>
                <w:rFonts w:ascii="Sylfaen" w:eastAsia="Times New Roman" w:hAnsi="Sylfaen"/>
                <w:i/>
                <w:sz w:val="24"/>
                <w:szCs w:val="24"/>
                <w:lang w:eastAsia="ru-RU"/>
              </w:rPr>
            </w:pPr>
            <w:proofErr w:type="spellStart"/>
            <w:r w:rsidRPr="00FC5C72">
              <w:rPr>
                <w:rFonts w:ascii="Sylfaen" w:eastAsia="Times New Roman" w:hAnsi="Sylfaen"/>
                <w:i/>
                <w:sz w:val="24"/>
                <w:szCs w:val="24"/>
                <w:lang w:eastAsia="ru-RU"/>
              </w:rPr>
              <w:t>ღვთ</w:t>
            </w:r>
            <w:proofErr w:type="spellEnd"/>
            <w:r w:rsidRPr="00FC5C72">
              <w:rPr>
                <w:rFonts w:ascii="Sylfaen" w:eastAsia="Times New Roman" w:hAnsi="Sylfaen"/>
                <w:i/>
                <w:sz w:val="24"/>
                <w:szCs w:val="24"/>
                <w:lang w:eastAsia="ru-RU"/>
              </w:rPr>
              <w:t xml:space="preserve">-ის თერაპია, </w:t>
            </w:r>
            <w:proofErr w:type="spellStart"/>
            <w:r w:rsidRPr="00FC5C72">
              <w:rPr>
                <w:rFonts w:ascii="Sylfaen" w:eastAsia="Times New Roman" w:hAnsi="Sylfaen"/>
                <w:i/>
                <w:sz w:val="24"/>
                <w:szCs w:val="24"/>
                <w:lang w:eastAsia="ru-RU"/>
              </w:rPr>
              <w:t>ფათე</w:t>
            </w:r>
            <w:proofErr w:type="spellEnd"/>
            <w:r w:rsidRPr="00FC5C72">
              <w:rPr>
                <w:rFonts w:ascii="Sylfaen" w:eastAsia="Times New Roman" w:hAnsi="Sylfaen"/>
                <w:i/>
                <w:sz w:val="24"/>
                <w:szCs w:val="24"/>
                <w:lang w:eastAsia="ru-RU"/>
              </w:rPr>
              <w:t xml:space="preserve">-ის თერაპია და მორეციდივე ღვთ-ის და ფათე-ის პროფილაქტიკა  (ვთგ-ის თერაპია) </w:t>
            </w:r>
          </w:p>
        </w:tc>
      </w:tr>
      <w:tr w:rsidR="00FC5C72" w:rsidRPr="00FC5C72" w14:paraId="6CDE111D" w14:textId="77777777" w:rsidTr="00773650">
        <w:tc>
          <w:tcPr>
            <w:tcW w:w="1085" w:type="pct"/>
            <w:tcBorders>
              <w:top w:val="single" w:sz="4" w:space="0" w:color="auto"/>
              <w:left w:val="single" w:sz="4" w:space="0" w:color="auto"/>
              <w:bottom w:val="single" w:sz="4" w:space="0" w:color="auto"/>
              <w:right w:val="single" w:sz="4" w:space="0" w:color="auto"/>
            </w:tcBorders>
            <w:hideMark/>
          </w:tcPr>
          <w:p w14:paraId="26CD53E5" w14:textId="19AB0973"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 xml:space="preserve">2,5 </w:t>
            </w:r>
            <w:proofErr w:type="spellStart"/>
            <w:r w:rsidR="00773650" w:rsidRPr="00FC5C72">
              <w:rPr>
                <w:rFonts w:ascii="Sylfaen" w:eastAsia="Times New Roman" w:hAnsi="Sylfaen"/>
                <w:sz w:val="24"/>
                <w:szCs w:val="24"/>
                <w:lang w:eastAsia="ru-RU"/>
              </w:rPr>
              <w:t>მგ</w:t>
            </w:r>
            <w:proofErr w:type="spellEnd"/>
            <w:r w:rsidR="00773650" w:rsidRPr="00FC5C72">
              <w:rPr>
                <w:rFonts w:ascii="Times New Roman" w:eastAsia="Times New Roman" w:hAnsi="Times New Roman"/>
                <w:sz w:val="24"/>
                <w:szCs w:val="24"/>
                <w:lang w:eastAsia="ru-RU"/>
              </w:rPr>
              <w:t xml:space="preserve"> </w:t>
            </w:r>
            <w:r w:rsidR="00773650" w:rsidRPr="00FC5C72">
              <w:rPr>
                <w:rFonts w:eastAsia="Times New Roman"/>
                <w:sz w:val="24"/>
                <w:szCs w:val="24"/>
                <w:lang w:eastAsia="ru-RU"/>
              </w:rPr>
              <w:t>2-ჯერ დღე-ღამეში</w:t>
            </w:r>
          </w:p>
        </w:tc>
        <w:tc>
          <w:tcPr>
            <w:tcW w:w="914" w:type="pct"/>
            <w:tcBorders>
              <w:top w:val="single" w:sz="4" w:space="0" w:color="auto"/>
              <w:left w:val="single" w:sz="4" w:space="0" w:color="auto"/>
              <w:bottom w:val="single" w:sz="4" w:space="0" w:color="auto"/>
              <w:right w:val="single" w:sz="4" w:space="0" w:color="auto"/>
            </w:tcBorders>
            <w:hideMark/>
          </w:tcPr>
          <w:p w14:paraId="2E183BEE"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67 (30, 153)</w:t>
            </w:r>
          </w:p>
        </w:tc>
        <w:tc>
          <w:tcPr>
            <w:tcW w:w="807" w:type="pct"/>
            <w:tcBorders>
              <w:top w:val="single" w:sz="4" w:space="0" w:color="auto"/>
              <w:left w:val="single" w:sz="4" w:space="0" w:color="auto"/>
              <w:bottom w:val="single" w:sz="4" w:space="0" w:color="auto"/>
              <w:right w:val="single" w:sz="4" w:space="0" w:color="auto"/>
            </w:tcBorders>
            <w:hideMark/>
          </w:tcPr>
          <w:p w14:paraId="72BFD4BA"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32 (11, 90)</w:t>
            </w:r>
          </w:p>
        </w:tc>
        <w:tc>
          <w:tcPr>
            <w:tcW w:w="1111" w:type="pct"/>
            <w:tcBorders>
              <w:top w:val="single" w:sz="4" w:space="0" w:color="auto"/>
              <w:left w:val="single" w:sz="4" w:space="0" w:color="auto"/>
              <w:bottom w:val="single" w:sz="4" w:space="0" w:color="auto"/>
              <w:right w:val="single" w:sz="4" w:space="0" w:color="auto"/>
            </w:tcBorders>
            <w:hideMark/>
          </w:tcPr>
          <w:p w14:paraId="4450D769"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1,0 (0,46, 2,5)</w:t>
            </w:r>
          </w:p>
        </w:tc>
        <w:tc>
          <w:tcPr>
            <w:tcW w:w="1084" w:type="pct"/>
            <w:tcBorders>
              <w:top w:val="single" w:sz="4" w:space="0" w:color="auto"/>
              <w:left w:val="single" w:sz="4" w:space="0" w:color="auto"/>
              <w:bottom w:val="single" w:sz="4" w:space="0" w:color="auto"/>
              <w:right w:val="single" w:sz="4" w:space="0" w:color="auto"/>
            </w:tcBorders>
            <w:hideMark/>
          </w:tcPr>
          <w:p w14:paraId="6C64AA16"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0,49 (0,17, 1,4)</w:t>
            </w:r>
          </w:p>
        </w:tc>
      </w:tr>
      <w:tr w:rsidR="00FC5C72" w:rsidRPr="00FC5C72" w14:paraId="489BAE55" w14:textId="77777777" w:rsidTr="00773650">
        <w:tc>
          <w:tcPr>
            <w:tcW w:w="1085" w:type="pct"/>
            <w:tcBorders>
              <w:top w:val="single" w:sz="4" w:space="0" w:color="auto"/>
              <w:left w:val="single" w:sz="4" w:space="0" w:color="auto"/>
              <w:bottom w:val="single" w:sz="4" w:space="0" w:color="auto"/>
              <w:right w:val="single" w:sz="4" w:space="0" w:color="auto"/>
            </w:tcBorders>
            <w:hideMark/>
          </w:tcPr>
          <w:p w14:paraId="1E4380F2" w14:textId="0D33D2B3"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5 </w:t>
            </w:r>
            <w:proofErr w:type="spellStart"/>
            <w:r w:rsidR="00773650" w:rsidRPr="00FC5C72">
              <w:rPr>
                <w:rFonts w:ascii="Sylfaen" w:eastAsia="Times New Roman" w:hAnsi="Sylfaen"/>
                <w:sz w:val="24"/>
                <w:szCs w:val="24"/>
                <w:lang w:eastAsia="ru-RU"/>
              </w:rPr>
              <w:t>მგ</w:t>
            </w:r>
            <w:proofErr w:type="spellEnd"/>
            <w:r w:rsidR="00773650" w:rsidRPr="00FC5C72">
              <w:rPr>
                <w:rFonts w:ascii="Times New Roman" w:eastAsia="Times New Roman" w:hAnsi="Times New Roman"/>
                <w:sz w:val="24"/>
                <w:szCs w:val="24"/>
                <w:lang w:eastAsia="ru-RU"/>
              </w:rPr>
              <w:t xml:space="preserve"> </w:t>
            </w:r>
            <w:r w:rsidR="00773650" w:rsidRPr="00FC5C72">
              <w:rPr>
                <w:rFonts w:eastAsia="Times New Roman"/>
                <w:sz w:val="24"/>
                <w:szCs w:val="24"/>
                <w:lang w:eastAsia="ru-RU"/>
              </w:rPr>
              <w:t>2-ჯერ დღე-ღამეში</w:t>
            </w:r>
          </w:p>
        </w:tc>
        <w:tc>
          <w:tcPr>
            <w:tcW w:w="914" w:type="pct"/>
            <w:tcBorders>
              <w:top w:val="single" w:sz="4" w:space="0" w:color="auto"/>
              <w:left w:val="single" w:sz="4" w:space="0" w:color="auto"/>
              <w:bottom w:val="single" w:sz="4" w:space="0" w:color="auto"/>
              <w:right w:val="single" w:sz="4" w:space="0" w:color="auto"/>
            </w:tcBorders>
            <w:hideMark/>
          </w:tcPr>
          <w:p w14:paraId="1EB67DB0"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132 (59, 302)</w:t>
            </w:r>
          </w:p>
        </w:tc>
        <w:tc>
          <w:tcPr>
            <w:tcW w:w="807" w:type="pct"/>
            <w:tcBorders>
              <w:top w:val="single" w:sz="4" w:space="0" w:color="auto"/>
              <w:left w:val="single" w:sz="4" w:space="0" w:color="auto"/>
              <w:bottom w:val="single" w:sz="4" w:space="0" w:color="auto"/>
              <w:right w:val="single" w:sz="4" w:space="0" w:color="auto"/>
            </w:tcBorders>
            <w:hideMark/>
          </w:tcPr>
          <w:p w14:paraId="5A007E23"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63 (22, 177)</w:t>
            </w:r>
          </w:p>
        </w:tc>
        <w:tc>
          <w:tcPr>
            <w:tcW w:w="1111" w:type="pct"/>
            <w:tcBorders>
              <w:top w:val="single" w:sz="4" w:space="0" w:color="auto"/>
              <w:left w:val="single" w:sz="4" w:space="0" w:color="auto"/>
              <w:bottom w:val="single" w:sz="4" w:space="0" w:color="auto"/>
              <w:right w:val="single" w:sz="4" w:space="0" w:color="auto"/>
            </w:tcBorders>
            <w:hideMark/>
          </w:tcPr>
          <w:p w14:paraId="5FF3DD34"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2,1 (0,91, 5,2)</w:t>
            </w:r>
          </w:p>
        </w:tc>
        <w:tc>
          <w:tcPr>
            <w:tcW w:w="1084" w:type="pct"/>
            <w:tcBorders>
              <w:top w:val="single" w:sz="4" w:space="0" w:color="auto"/>
              <w:left w:val="single" w:sz="4" w:space="0" w:color="auto"/>
              <w:bottom w:val="single" w:sz="4" w:space="0" w:color="auto"/>
              <w:right w:val="single" w:sz="4" w:space="0" w:color="auto"/>
            </w:tcBorders>
            <w:hideMark/>
          </w:tcPr>
          <w:p w14:paraId="297A0196"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1,0 (0,33, 2,9)</w:t>
            </w:r>
          </w:p>
        </w:tc>
      </w:tr>
      <w:tr w:rsidR="00FC5C72" w:rsidRPr="00FC5C72" w14:paraId="6507635E" w14:textId="77777777" w:rsidTr="00773650">
        <w:tc>
          <w:tcPr>
            <w:tcW w:w="1085" w:type="pct"/>
            <w:tcBorders>
              <w:top w:val="single" w:sz="4" w:space="0" w:color="auto"/>
              <w:left w:val="single" w:sz="4" w:space="0" w:color="auto"/>
              <w:bottom w:val="single" w:sz="4" w:space="0" w:color="auto"/>
              <w:right w:val="single" w:sz="4" w:space="0" w:color="auto"/>
            </w:tcBorders>
            <w:hideMark/>
          </w:tcPr>
          <w:p w14:paraId="177BE0BA" w14:textId="23A0FBF8"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10 </w:t>
            </w:r>
            <w:proofErr w:type="spellStart"/>
            <w:r w:rsidR="00773650" w:rsidRPr="00FC5C72">
              <w:rPr>
                <w:rFonts w:ascii="Sylfaen" w:eastAsia="Times New Roman" w:hAnsi="Sylfaen"/>
                <w:sz w:val="24"/>
                <w:szCs w:val="24"/>
                <w:lang w:eastAsia="ru-RU"/>
              </w:rPr>
              <w:t>მგ</w:t>
            </w:r>
            <w:proofErr w:type="spellEnd"/>
            <w:r w:rsidR="00773650" w:rsidRPr="00FC5C72">
              <w:rPr>
                <w:rFonts w:ascii="Times New Roman" w:eastAsia="Times New Roman" w:hAnsi="Times New Roman"/>
                <w:sz w:val="24"/>
                <w:szCs w:val="24"/>
                <w:lang w:eastAsia="ru-RU"/>
              </w:rPr>
              <w:t xml:space="preserve"> </w:t>
            </w:r>
            <w:r w:rsidR="00773650" w:rsidRPr="00FC5C72">
              <w:rPr>
                <w:rFonts w:eastAsia="Times New Roman"/>
                <w:sz w:val="24"/>
                <w:szCs w:val="24"/>
                <w:lang w:eastAsia="ru-RU"/>
              </w:rPr>
              <w:t>2-ჯერ დღე-ღამეში</w:t>
            </w:r>
          </w:p>
        </w:tc>
        <w:tc>
          <w:tcPr>
            <w:tcW w:w="914" w:type="pct"/>
            <w:tcBorders>
              <w:top w:val="single" w:sz="4" w:space="0" w:color="auto"/>
              <w:left w:val="single" w:sz="4" w:space="0" w:color="auto"/>
              <w:bottom w:val="single" w:sz="4" w:space="0" w:color="auto"/>
              <w:right w:val="single" w:sz="4" w:space="0" w:color="auto"/>
            </w:tcBorders>
            <w:hideMark/>
          </w:tcPr>
          <w:p w14:paraId="0668FDFD"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251 (111, 572)</w:t>
            </w:r>
          </w:p>
        </w:tc>
        <w:tc>
          <w:tcPr>
            <w:tcW w:w="807" w:type="pct"/>
            <w:tcBorders>
              <w:top w:val="single" w:sz="4" w:space="0" w:color="auto"/>
              <w:left w:val="single" w:sz="4" w:space="0" w:color="auto"/>
              <w:bottom w:val="single" w:sz="4" w:space="0" w:color="auto"/>
              <w:right w:val="single" w:sz="4" w:space="0" w:color="auto"/>
            </w:tcBorders>
            <w:hideMark/>
          </w:tcPr>
          <w:p w14:paraId="04E49227"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120 (41, 335)</w:t>
            </w:r>
          </w:p>
        </w:tc>
        <w:tc>
          <w:tcPr>
            <w:tcW w:w="1111" w:type="pct"/>
            <w:tcBorders>
              <w:top w:val="single" w:sz="4" w:space="0" w:color="auto"/>
              <w:left w:val="single" w:sz="4" w:space="0" w:color="auto"/>
              <w:bottom w:val="single" w:sz="4" w:space="0" w:color="auto"/>
              <w:right w:val="single" w:sz="4" w:space="0" w:color="auto"/>
            </w:tcBorders>
            <w:hideMark/>
          </w:tcPr>
          <w:p w14:paraId="4FC7A155"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4,2 (1,8, 10,8)</w:t>
            </w:r>
          </w:p>
        </w:tc>
        <w:tc>
          <w:tcPr>
            <w:tcW w:w="1084" w:type="pct"/>
            <w:tcBorders>
              <w:top w:val="single" w:sz="4" w:space="0" w:color="auto"/>
              <w:left w:val="single" w:sz="4" w:space="0" w:color="auto"/>
              <w:bottom w:val="single" w:sz="4" w:space="0" w:color="auto"/>
              <w:right w:val="single" w:sz="4" w:space="0" w:color="auto"/>
            </w:tcBorders>
            <w:hideMark/>
          </w:tcPr>
          <w:p w14:paraId="38851870" w14:textId="77777777" w:rsidR="004A0390" w:rsidRPr="00FC5C72" w:rsidRDefault="004A0390" w:rsidP="00785B18">
            <w:pPr>
              <w:tabs>
                <w:tab w:val="left" w:pos="360"/>
              </w:tabs>
              <w:spacing w:before="60" w:after="60" w:line="240" w:lineRule="auto"/>
              <w:contextualSpacing/>
              <w:jc w:val="both"/>
              <w:rPr>
                <w:rFonts w:ascii="Times New Roman" w:eastAsia="Times New Roman" w:hAnsi="Times New Roman"/>
                <w:sz w:val="24"/>
                <w:szCs w:val="24"/>
                <w:lang w:eastAsia="ru-RU"/>
              </w:rPr>
            </w:pPr>
            <w:r w:rsidRPr="00FC5C72">
              <w:rPr>
                <w:rFonts w:ascii="Times New Roman" w:eastAsia="Times New Roman" w:hAnsi="Times New Roman"/>
                <w:sz w:val="24"/>
                <w:szCs w:val="24"/>
                <w:lang w:eastAsia="ru-RU"/>
              </w:rPr>
              <w:t>1,9 (0,64, 5,8)</w:t>
            </w:r>
          </w:p>
        </w:tc>
      </w:tr>
    </w:tbl>
    <w:p w14:paraId="710CB02A" w14:textId="0A2A2BAB" w:rsidR="002D4F91" w:rsidRPr="00FC5C72" w:rsidRDefault="00773650" w:rsidP="00785B18">
      <w:pPr>
        <w:spacing w:after="0" w:line="240" w:lineRule="auto"/>
        <w:jc w:val="both"/>
        <w:rPr>
          <w:sz w:val="24"/>
          <w:szCs w:val="24"/>
        </w:rPr>
      </w:pPr>
      <w:r w:rsidRPr="00FC5C72">
        <w:rPr>
          <w:sz w:val="24"/>
          <w:szCs w:val="24"/>
        </w:rPr>
        <w:t xml:space="preserve">* დოზის მიხედვით </w:t>
      </w:r>
      <w:proofErr w:type="spellStart"/>
      <w:r w:rsidRPr="00FC5C72">
        <w:rPr>
          <w:sz w:val="24"/>
          <w:szCs w:val="24"/>
        </w:rPr>
        <w:t>დაკორექტირებული</w:t>
      </w:r>
      <w:proofErr w:type="spellEnd"/>
      <w:r w:rsidRPr="00FC5C72">
        <w:rPr>
          <w:sz w:val="24"/>
          <w:szCs w:val="24"/>
        </w:rPr>
        <w:t xml:space="preserve"> პოპულაცია დოზის შემცირების </w:t>
      </w:r>
      <w:r w:rsidRPr="00FC5C72">
        <w:rPr>
          <w:sz w:val="24"/>
          <w:szCs w:val="24"/>
          <w:lang w:val="en-US"/>
        </w:rPr>
        <w:t>3-</w:t>
      </w:r>
      <w:r w:rsidRPr="00FC5C72">
        <w:rPr>
          <w:sz w:val="24"/>
          <w:szCs w:val="24"/>
        </w:rPr>
        <w:t xml:space="preserve">დან 2 კრიტერიუმის საფუძველზე კვლევაში </w:t>
      </w:r>
      <w:r w:rsidRPr="00FC5C72">
        <w:rPr>
          <w:sz w:val="24"/>
          <w:szCs w:val="24"/>
          <w:lang w:val="en-US"/>
        </w:rPr>
        <w:t>ARISTOTLE</w:t>
      </w:r>
      <w:r w:rsidRPr="00FC5C72">
        <w:rPr>
          <w:sz w:val="24"/>
          <w:szCs w:val="24"/>
        </w:rPr>
        <w:t xml:space="preserve">. </w:t>
      </w:r>
    </w:p>
    <w:p w14:paraId="6CFE7631" w14:textId="1B3D825A" w:rsidR="00467BC9" w:rsidRPr="00FC5C72" w:rsidRDefault="00467BC9" w:rsidP="00785B18">
      <w:pPr>
        <w:spacing w:after="0" w:line="240" w:lineRule="auto"/>
        <w:jc w:val="both"/>
        <w:rPr>
          <w:sz w:val="24"/>
          <w:szCs w:val="24"/>
        </w:rPr>
      </w:pPr>
      <w:r w:rsidRPr="00FC5C72">
        <w:rPr>
          <w:sz w:val="24"/>
          <w:szCs w:val="24"/>
        </w:rPr>
        <w:t xml:space="preserve"> </w:t>
      </w:r>
    </w:p>
    <w:p w14:paraId="5B470577" w14:textId="177A3F00" w:rsidR="008330B8" w:rsidRPr="00FC5C72" w:rsidRDefault="00EA6653" w:rsidP="00785B18">
      <w:pPr>
        <w:spacing w:after="0" w:line="240" w:lineRule="auto"/>
        <w:jc w:val="both"/>
        <w:rPr>
          <w:sz w:val="24"/>
          <w:szCs w:val="24"/>
        </w:rPr>
      </w:pPr>
      <w:r w:rsidRPr="00FC5C72">
        <w:rPr>
          <w:sz w:val="24"/>
          <w:szCs w:val="24"/>
        </w:rPr>
        <w:t>მიუხედავად იმისა, რომ აპიქსაბანით მკურნალობა არ საჭიროებს სისხლში მისი კონცენტრაციის მუდმივ მონიტორინგს, ზოგჯერ შეიძლება მიზანშეწონილი იყოს ანტი-</w:t>
      </w:r>
      <w:r w:rsidRPr="00FC5C72">
        <w:rPr>
          <w:sz w:val="24"/>
          <w:szCs w:val="24"/>
          <w:lang w:val="en-US"/>
        </w:rPr>
        <w:t>Xa-</w:t>
      </w:r>
      <w:r w:rsidRPr="00FC5C72">
        <w:rPr>
          <w:sz w:val="24"/>
          <w:szCs w:val="24"/>
        </w:rPr>
        <w:t>ფაქტორული აქტივობის ანალიზის ჩატარე</w:t>
      </w:r>
      <w:r w:rsidR="00973B4E" w:rsidRPr="00FC5C72">
        <w:rPr>
          <w:sz w:val="24"/>
          <w:szCs w:val="24"/>
        </w:rPr>
        <w:t>ბ</w:t>
      </w:r>
      <w:r w:rsidRPr="00FC5C72">
        <w:rPr>
          <w:sz w:val="24"/>
          <w:szCs w:val="24"/>
        </w:rPr>
        <w:t xml:space="preserve">ა დაკალიბრების რაოდენობრივი ანალიზის საშუალებით იმ ერთეულ შემთხვევებში, როდესაც აპიქსაბანის ზემოქმედების შესახებ მონაცემები შეიძლება ხელს უწყობდეს კლინიკური გადაწყვეტილებების მიღებას, მაგალითად, დოზის გადაჭარბების ან გადაუდებელი ოპერაციული ჩარევის შემთხვევაში. </w:t>
      </w:r>
    </w:p>
    <w:p w14:paraId="47CF9294" w14:textId="01371EB9" w:rsidR="004870F5" w:rsidRPr="00FC5C72" w:rsidRDefault="004870F5" w:rsidP="00785B18">
      <w:pPr>
        <w:spacing w:after="0" w:line="240" w:lineRule="auto"/>
        <w:jc w:val="both"/>
        <w:rPr>
          <w:sz w:val="24"/>
          <w:szCs w:val="24"/>
        </w:rPr>
      </w:pPr>
    </w:p>
    <w:p w14:paraId="3AA24259" w14:textId="6EAC2122" w:rsidR="004870F5" w:rsidRPr="00FC5C72" w:rsidRDefault="004870F5" w:rsidP="00785B18">
      <w:pPr>
        <w:spacing w:after="0" w:line="240" w:lineRule="auto"/>
        <w:jc w:val="both"/>
        <w:rPr>
          <w:sz w:val="24"/>
          <w:szCs w:val="24"/>
          <w:u w:val="single"/>
        </w:rPr>
      </w:pPr>
      <w:r w:rsidRPr="00FC5C72">
        <w:rPr>
          <w:sz w:val="24"/>
          <w:szCs w:val="24"/>
          <w:u w:val="single"/>
        </w:rPr>
        <w:t>ბავშვები</w:t>
      </w:r>
    </w:p>
    <w:p w14:paraId="5C7FFD80" w14:textId="463E1CDB" w:rsidR="004870F5" w:rsidRPr="00FC5C72" w:rsidRDefault="004870F5" w:rsidP="00785B18">
      <w:pPr>
        <w:spacing w:after="0" w:line="240" w:lineRule="auto"/>
        <w:jc w:val="both"/>
        <w:rPr>
          <w:sz w:val="24"/>
          <w:szCs w:val="24"/>
        </w:rPr>
      </w:pPr>
      <w:r w:rsidRPr="00FC5C72">
        <w:rPr>
          <w:sz w:val="24"/>
          <w:szCs w:val="24"/>
        </w:rPr>
        <w:t>ბავშვთა ასაკის პაციენტების მონაწილეობით ჩატარებულ აპიქსაბანის კვლევებში აპიქსაბანის  ანტი-Xa-ფაქტორული აქტივობის განსაზღვრის მიზნით გამოყენებული იქნა</w:t>
      </w:r>
      <w:r w:rsidR="0003247D" w:rsidRPr="00FC5C72">
        <w:rPr>
          <w:sz w:val="24"/>
          <w:szCs w:val="24"/>
        </w:rPr>
        <w:t xml:space="preserve"> </w:t>
      </w:r>
      <w:r w:rsidR="0003247D" w:rsidRPr="00FC5C72">
        <w:rPr>
          <w:rFonts w:ascii="Times New Roman" w:hAnsi="Times New Roman"/>
          <w:sz w:val="24"/>
          <w:szCs w:val="24"/>
          <w:lang w:val="uz-Cyrl-UZ"/>
        </w:rPr>
        <w:t>STA</w:t>
      </w:r>
      <w:r w:rsidR="0003247D" w:rsidRPr="00FC5C72">
        <w:rPr>
          <w:rFonts w:ascii="Times New Roman" w:hAnsi="Times New Roman"/>
          <w:sz w:val="24"/>
          <w:szCs w:val="24"/>
          <w:vertAlign w:val="superscript"/>
          <w:lang w:val="uz-Cyrl-UZ"/>
        </w:rPr>
        <w:t>®</w:t>
      </w:r>
      <w:r w:rsidR="0003247D" w:rsidRPr="00FC5C72">
        <w:rPr>
          <w:rFonts w:ascii="Times New Roman" w:hAnsi="Times New Roman"/>
          <w:sz w:val="24"/>
          <w:szCs w:val="24"/>
          <w:lang w:val="uz-Cyrl-UZ"/>
        </w:rPr>
        <w:t xml:space="preserve"> Liquid Anti-Xa</w:t>
      </w:r>
      <w:r w:rsidR="0003247D" w:rsidRPr="00FC5C72">
        <w:rPr>
          <w:sz w:val="24"/>
          <w:szCs w:val="24"/>
        </w:rPr>
        <w:t xml:space="preserve"> </w:t>
      </w:r>
      <w:r w:rsidR="004578C4" w:rsidRPr="00FC5C72">
        <w:rPr>
          <w:sz w:val="24"/>
          <w:szCs w:val="24"/>
        </w:rPr>
        <w:t>კომპლექტი</w:t>
      </w:r>
      <w:r w:rsidR="0003247D" w:rsidRPr="00FC5C72">
        <w:rPr>
          <w:sz w:val="24"/>
          <w:szCs w:val="24"/>
        </w:rPr>
        <w:t>. ამ კვლევების შედეგებმა აჩვენა, რომ ხაზოვანი დამოკიდებულება აპიქსაბანის კონცენტრაციასა და ანტი-Xa-ფაქტორულ აქტივობას შორის შეესაბამება იმ დამოკიდებულებას, რომელიც მანამდე აღინიშნა მოზრდილი პაციენტების კვლევებში. ეს ადასტურებს აპიქსაბანის, როგორც Xa ფაქტორის სელექციური ინჰიბიტორის  დოკუმენტურად დადასტურებულ მოქმედების მექანიზმს.</w:t>
      </w:r>
    </w:p>
    <w:p w14:paraId="6B581079" w14:textId="2C7CDFF4" w:rsidR="009B76BB" w:rsidRPr="00FC5C72" w:rsidRDefault="009B76BB" w:rsidP="00785B18">
      <w:pPr>
        <w:spacing w:after="0" w:line="240" w:lineRule="auto"/>
        <w:jc w:val="both"/>
        <w:rPr>
          <w:sz w:val="24"/>
          <w:szCs w:val="24"/>
        </w:rPr>
      </w:pPr>
    </w:p>
    <w:p w14:paraId="4DA85FFE" w14:textId="362CB0A1" w:rsidR="009B76BB" w:rsidRPr="00FC5C72" w:rsidRDefault="009B76BB" w:rsidP="00785B18">
      <w:pPr>
        <w:spacing w:after="0" w:line="240" w:lineRule="auto"/>
        <w:jc w:val="both"/>
        <w:rPr>
          <w:sz w:val="24"/>
          <w:szCs w:val="24"/>
        </w:rPr>
      </w:pPr>
      <w:r w:rsidRPr="00FC5C72">
        <w:rPr>
          <w:sz w:val="24"/>
          <w:szCs w:val="24"/>
        </w:rPr>
        <w:t xml:space="preserve">კვლევაში </w:t>
      </w:r>
      <w:r w:rsidRPr="00FC5C72">
        <w:rPr>
          <w:rFonts w:ascii="Times New Roman" w:hAnsi="Times New Roman"/>
          <w:sz w:val="24"/>
          <w:szCs w:val="24"/>
          <w:lang w:val="uz-Cyrl-UZ"/>
        </w:rPr>
        <w:t>CV185155</w:t>
      </w:r>
      <w:r w:rsidRPr="00FC5C72">
        <w:rPr>
          <w:sz w:val="24"/>
          <w:szCs w:val="24"/>
        </w:rPr>
        <w:t xml:space="preserve"> 9-დან </w:t>
      </w:r>
      <w:r w:rsidRPr="00FC5C72">
        <w:rPr>
          <w:sz w:val="24"/>
          <w:szCs w:val="24"/>
          <w:u w:val="single"/>
        </w:rPr>
        <w:t>&gt;</w:t>
      </w:r>
      <w:r w:rsidRPr="00FC5C72">
        <w:rPr>
          <w:sz w:val="24"/>
          <w:szCs w:val="24"/>
        </w:rPr>
        <w:t>35 კგ წონის ბავშვებში მინიმალური და მაქსიმალური</w:t>
      </w:r>
      <w:r w:rsidRPr="00FC5C72">
        <w:rPr>
          <w:rFonts w:ascii="Times New Roman" w:hAnsi="Times New Roman"/>
          <w:sz w:val="24"/>
          <w:szCs w:val="24"/>
        </w:rPr>
        <w:t xml:space="preserve"> </w:t>
      </w:r>
      <w:r w:rsidRPr="00FC5C72">
        <w:rPr>
          <w:sz w:val="24"/>
          <w:szCs w:val="24"/>
        </w:rPr>
        <w:t>ანტი-Xa-ფაქტორული აქტივობის საშუალო გეომეტრიული მნიშვნელობა (</w:t>
      </w:r>
      <w:r w:rsidR="00F63CE0" w:rsidRPr="00FC5C72">
        <w:rPr>
          <w:rFonts w:ascii="Times New Roman" w:hAnsi="Times New Roman"/>
          <w:sz w:val="24"/>
          <w:szCs w:val="24"/>
          <w:lang w:val="uz-Cyrl-UZ"/>
        </w:rPr>
        <w:t>КВ %-</w:t>
      </w:r>
      <w:r w:rsidR="00F63CE0" w:rsidRPr="00FC5C72">
        <w:rPr>
          <w:sz w:val="24"/>
          <w:szCs w:val="24"/>
        </w:rPr>
        <w:t>ში</w:t>
      </w:r>
      <w:r w:rsidRPr="00FC5C72">
        <w:rPr>
          <w:sz w:val="24"/>
          <w:szCs w:val="24"/>
        </w:rPr>
        <w:t>)</w:t>
      </w:r>
      <w:r w:rsidR="00F63CE0" w:rsidRPr="00FC5C72">
        <w:rPr>
          <w:sz w:val="24"/>
          <w:szCs w:val="24"/>
        </w:rPr>
        <w:t xml:space="preserve"> იყო 27,1 ნგ/მლ-სა (22,2) და 71,9 ნგ/მლ-ის (17,3) დიაპაზონში, რაც შეესაბამება მინიმალური (</w:t>
      </w:r>
      <w:r w:rsidR="00F63CE0" w:rsidRPr="00FC5C72">
        <w:rPr>
          <w:rFonts w:ascii="Times New Roman" w:hAnsi="Times New Roman"/>
          <w:sz w:val="24"/>
          <w:szCs w:val="24"/>
          <w:lang w:val="uz-Cyrl-UZ"/>
        </w:rPr>
        <w:t>C</w:t>
      </w:r>
      <w:r w:rsidR="00F63CE0" w:rsidRPr="00FC5C72">
        <w:rPr>
          <w:rFonts w:ascii="Times New Roman" w:hAnsi="Times New Roman"/>
          <w:sz w:val="24"/>
          <w:szCs w:val="24"/>
          <w:vertAlign w:val="subscript"/>
          <w:lang w:val="uz-Cyrl-UZ"/>
        </w:rPr>
        <w:t>minss</w:t>
      </w:r>
      <w:r w:rsidR="00F63CE0" w:rsidRPr="00FC5C72">
        <w:rPr>
          <w:sz w:val="24"/>
          <w:szCs w:val="24"/>
        </w:rPr>
        <w:t>) და მაქსიმალური (</w:t>
      </w:r>
      <w:r w:rsidR="00F63CE0" w:rsidRPr="00FC5C72">
        <w:rPr>
          <w:rFonts w:ascii="Times New Roman" w:hAnsi="Times New Roman"/>
          <w:sz w:val="24"/>
          <w:szCs w:val="24"/>
          <w:lang w:val="uz-Cyrl-UZ"/>
        </w:rPr>
        <w:t>C</w:t>
      </w:r>
      <w:r w:rsidR="00F63CE0" w:rsidRPr="00FC5C72">
        <w:rPr>
          <w:rFonts w:ascii="Times New Roman" w:hAnsi="Times New Roman"/>
          <w:sz w:val="24"/>
          <w:szCs w:val="24"/>
          <w:vertAlign w:val="subscript"/>
          <w:lang w:val="uz-Cyrl-UZ"/>
        </w:rPr>
        <w:t>maxss</w:t>
      </w:r>
      <w:r w:rsidR="00F63CE0" w:rsidRPr="00FC5C72">
        <w:rPr>
          <w:sz w:val="24"/>
          <w:szCs w:val="24"/>
        </w:rPr>
        <w:t>) სტაბილური კონცენტრაციის საშუალო გეომეტრიულ მნიშვნელობას (</w:t>
      </w:r>
      <w:r w:rsidR="00F63CE0" w:rsidRPr="00FC5C72">
        <w:rPr>
          <w:rFonts w:ascii="Times New Roman" w:hAnsi="Times New Roman"/>
          <w:sz w:val="24"/>
          <w:szCs w:val="24"/>
          <w:lang w:val="uz-Cyrl-UZ"/>
        </w:rPr>
        <w:t>КВ %-</w:t>
      </w:r>
      <w:r w:rsidR="00F63CE0" w:rsidRPr="00FC5C72">
        <w:rPr>
          <w:sz w:val="24"/>
          <w:szCs w:val="24"/>
        </w:rPr>
        <w:t xml:space="preserve">ში), რომელიც შეადგენდა </w:t>
      </w:r>
      <w:r w:rsidR="00F63CE0" w:rsidRPr="00FC5C72">
        <w:rPr>
          <w:rFonts w:ascii="Times New Roman" w:hAnsi="Times New Roman"/>
          <w:sz w:val="24"/>
          <w:szCs w:val="24"/>
          <w:lang w:val="uz-Cyrl-UZ"/>
        </w:rPr>
        <w:t xml:space="preserve">30,3 </w:t>
      </w:r>
      <w:r w:rsidR="00F63CE0" w:rsidRPr="00FC5C72">
        <w:rPr>
          <w:rFonts w:ascii="Sylfaen" w:hAnsi="Sylfaen"/>
          <w:sz w:val="24"/>
          <w:szCs w:val="24"/>
        </w:rPr>
        <w:t>ნგ/მლ</w:t>
      </w:r>
      <w:r w:rsidR="00F63CE0" w:rsidRPr="00FC5C72">
        <w:rPr>
          <w:rFonts w:ascii="Times New Roman" w:hAnsi="Times New Roman"/>
          <w:sz w:val="24"/>
          <w:szCs w:val="24"/>
          <w:lang w:val="uz-Cyrl-UZ"/>
        </w:rPr>
        <w:t xml:space="preserve"> (22) </w:t>
      </w:r>
      <w:r w:rsidR="00F63CE0" w:rsidRPr="00FC5C72">
        <w:rPr>
          <w:rFonts w:ascii="Sylfaen" w:hAnsi="Sylfaen"/>
          <w:sz w:val="24"/>
          <w:szCs w:val="24"/>
        </w:rPr>
        <w:t>და</w:t>
      </w:r>
      <w:r w:rsidR="00F63CE0" w:rsidRPr="00FC5C72">
        <w:rPr>
          <w:rFonts w:ascii="Times New Roman" w:hAnsi="Times New Roman"/>
          <w:sz w:val="24"/>
          <w:szCs w:val="24"/>
          <w:lang w:val="uz-Cyrl-UZ"/>
        </w:rPr>
        <w:t xml:space="preserve"> 80,8 </w:t>
      </w:r>
      <w:r w:rsidR="00F63CE0" w:rsidRPr="00FC5C72">
        <w:rPr>
          <w:rFonts w:ascii="Sylfaen" w:hAnsi="Sylfaen"/>
          <w:sz w:val="24"/>
          <w:szCs w:val="24"/>
        </w:rPr>
        <w:t>ნგ</w:t>
      </w:r>
      <w:r w:rsidR="00F63CE0" w:rsidRPr="00FC5C72">
        <w:rPr>
          <w:rFonts w:ascii="Times New Roman" w:hAnsi="Times New Roman"/>
          <w:sz w:val="24"/>
          <w:szCs w:val="24"/>
          <w:lang w:val="uz-Cyrl-UZ"/>
        </w:rPr>
        <w:t>/</w:t>
      </w:r>
      <w:r w:rsidR="00F63CE0" w:rsidRPr="00FC5C72">
        <w:rPr>
          <w:rFonts w:ascii="Sylfaen" w:hAnsi="Sylfaen"/>
          <w:sz w:val="24"/>
          <w:szCs w:val="24"/>
        </w:rPr>
        <w:t>მლ</w:t>
      </w:r>
      <w:r w:rsidR="00F63CE0" w:rsidRPr="00FC5C72">
        <w:rPr>
          <w:rFonts w:ascii="Times New Roman" w:hAnsi="Times New Roman"/>
          <w:sz w:val="24"/>
          <w:szCs w:val="24"/>
          <w:lang w:val="uz-Cyrl-UZ"/>
        </w:rPr>
        <w:t xml:space="preserve"> (16,8).</w:t>
      </w:r>
      <w:r w:rsidR="00F63CE0" w:rsidRPr="00FC5C72">
        <w:rPr>
          <w:sz w:val="24"/>
          <w:szCs w:val="24"/>
        </w:rPr>
        <w:t xml:space="preserve"> კონცენტრაციის მნიშვნელობები, რომლებიც მიღწეულია ანტი-Xa-ფაქტორული აქტივობის ამ დიაპაზონებში დოზირების რეჟიმებისას ბავშვთა ასაკის პაციენტებისთვის, მსგავსი იყო მოზრდილებში აღნიშნული მნიშვნელობებისა, რომლებიც იღებდნენ აპიქსაბანს დოზი</w:t>
      </w:r>
      <w:r w:rsidR="007A5A11" w:rsidRPr="00FC5C72">
        <w:rPr>
          <w:sz w:val="24"/>
          <w:szCs w:val="24"/>
        </w:rPr>
        <w:t>თ</w:t>
      </w:r>
      <w:r w:rsidR="00F63CE0" w:rsidRPr="00FC5C72">
        <w:rPr>
          <w:sz w:val="24"/>
          <w:szCs w:val="24"/>
        </w:rPr>
        <w:t xml:space="preserve"> 2,5 მგ ორჯერ დღე-ღამეში. </w:t>
      </w:r>
    </w:p>
    <w:p w14:paraId="21AFD849" w14:textId="72093B03" w:rsidR="00F63CE0" w:rsidRPr="00FC5C72" w:rsidRDefault="00F63CE0" w:rsidP="00785B18">
      <w:pPr>
        <w:spacing w:after="0" w:line="240" w:lineRule="auto"/>
        <w:jc w:val="both"/>
        <w:rPr>
          <w:sz w:val="24"/>
          <w:szCs w:val="24"/>
        </w:rPr>
      </w:pPr>
    </w:p>
    <w:p w14:paraId="4CC709D3" w14:textId="6E14CCF8" w:rsidR="00F63CE0" w:rsidRPr="00FC5C72" w:rsidRDefault="00F63CE0" w:rsidP="00785B18">
      <w:pPr>
        <w:spacing w:after="0" w:line="240" w:lineRule="auto"/>
        <w:jc w:val="both"/>
        <w:rPr>
          <w:sz w:val="24"/>
          <w:szCs w:val="24"/>
        </w:rPr>
      </w:pPr>
      <w:r w:rsidRPr="00FC5C72">
        <w:rPr>
          <w:sz w:val="24"/>
          <w:szCs w:val="24"/>
        </w:rPr>
        <w:t xml:space="preserve">კვლევაში </w:t>
      </w:r>
      <w:r w:rsidRPr="00FC5C72">
        <w:rPr>
          <w:rFonts w:ascii="Times New Roman" w:hAnsi="Times New Roman"/>
          <w:sz w:val="24"/>
          <w:szCs w:val="24"/>
          <w:lang w:val="uz-Cyrl-UZ"/>
        </w:rPr>
        <w:t xml:space="preserve">CV185362 </w:t>
      </w:r>
      <w:r w:rsidR="00492B20" w:rsidRPr="00FC5C72">
        <w:rPr>
          <w:sz w:val="24"/>
          <w:szCs w:val="24"/>
        </w:rPr>
        <w:t>6</w:t>
      </w:r>
      <w:r w:rsidRPr="00FC5C72">
        <w:rPr>
          <w:sz w:val="24"/>
          <w:szCs w:val="24"/>
        </w:rPr>
        <w:t xml:space="preserve">-დან </w:t>
      </w:r>
      <w:r w:rsidRPr="00FC5C72">
        <w:rPr>
          <w:sz w:val="24"/>
          <w:szCs w:val="24"/>
          <w:u w:val="single"/>
        </w:rPr>
        <w:t>&gt;</w:t>
      </w:r>
      <w:r w:rsidRPr="00FC5C72">
        <w:rPr>
          <w:sz w:val="24"/>
          <w:szCs w:val="24"/>
        </w:rPr>
        <w:t>35 კგ წონის ბავშვებში მინიმალური და მაქსიმალური</w:t>
      </w:r>
      <w:r w:rsidRPr="00FC5C72">
        <w:rPr>
          <w:rFonts w:ascii="Times New Roman" w:hAnsi="Times New Roman"/>
          <w:sz w:val="24"/>
          <w:szCs w:val="24"/>
        </w:rPr>
        <w:t xml:space="preserve"> </w:t>
      </w:r>
      <w:r w:rsidRPr="00FC5C72">
        <w:rPr>
          <w:sz w:val="24"/>
          <w:szCs w:val="24"/>
        </w:rPr>
        <w:t>ანტი-Xa-ფაქტორული აქტივობის საშუალო გეომეტრიული მნიშვნელობა (</w:t>
      </w:r>
      <w:r w:rsidRPr="00FC5C72">
        <w:rPr>
          <w:rFonts w:ascii="Times New Roman" w:hAnsi="Times New Roman"/>
          <w:sz w:val="24"/>
          <w:szCs w:val="24"/>
          <w:lang w:val="uz-Cyrl-UZ"/>
        </w:rPr>
        <w:t>КВ %-</w:t>
      </w:r>
      <w:r w:rsidRPr="00FC5C72">
        <w:rPr>
          <w:sz w:val="24"/>
          <w:szCs w:val="24"/>
        </w:rPr>
        <w:t xml:space="preserve">ში) იყო </w:t>
      </w:r>
      <w:r w:rsidR="007A5A11" w:rsidRPr="00FC5C72">
        <w:rPr>
          <w:sz w:val="24"/>
          <w:szCs w:val="24"/>
        </w:rPr>
        <w:t>6</w:t>
      </w:r>
      <w:r w:rsidRPr="00FC5C72">
        <w:rPr>
          <w:sz w:val="24"/>
          <w:szCs w:val="24"/>
        </w:rPr>
        <w:t>7,1 ნგ/მლ-სა (</w:t>
      </w:r>
      <w:r w:rsidR="007A5A11" w:rsidRPr="00FC5C72">
        <w:rPr>
          <w:sz w:val="24"/>
          <w:szCs w:val="24"/>
        </w:rPr>
        <w:t>30</w:t>
      </w:r>
      <w:r w:rsidRPr="00FC5C72">
        <w:rPr>
          <w:sz w:val="24"/>
          <w:szCs w:val="24"/>
        </w:rPr>
        <w:t xml:space="preserve">,2) და </w:t>
      </w:r>
      <w:r w:rsidR="007A5A11" w:rsidRPr="00FC5C72">
        <w:rPr>
          <w:sz w:val="24"/>
          <w:szCs w:val="24"/>
        </w:rPr>
        <w:t>213</w:t>
      </w:r>
      <w:r w:rsidRPr="00FC5C72">
        <w:rPr>
          <w:sz w:val="24"/>
          <w:szCs w:val="24"/>
        </w:rPr>
        <w:t xml:space="preserve"> ნგ/მლ-ის (</w:t>
      </w:r>
      <w:r w:rsidR="007A5A11" w:rsidRPr="00FC5C72">
        <w:rPr>
          <w:sz w:val="24"/>
          <w:szCs w:val="24"/>
        </w:rPr>
        <w:t>41</w:t>
      </w:r>
      <w:r w:rsidRPr="00FC5C72">
        <w:rPr>
          <w:sz w:val="24"/>
          <w:szCs w:val="24"/>
        </w:rPr>
        <w:t>,</w:t>
      </w:r>
      <w:r w:rsidR="007A5A11" w:rsidRPr="00FC5C72">
        <w:rPr>
          <w:sz w:val="24"/>
          <w:szCs w:val="24"/>
        </w:rPr>
        <w:t>7</w:t>
      </w:r>
      <w:r w:rsidRPr="00FC5C72">
        <w:rPr>
          <w:sz w:val="24"/>
          <w:szCs w:val="24"/>
        </w:rPr>
        <w:t xml:space="preserve">) დიაპაზონში, რაც შეესაბამება </w:t>
      </w:r>
      <w:r w:rsidRPr="00FC5C72">
        <w:rPr>
          <w:rFonts w:ascii="Times New Roman" w:hAnsi="Times New Roman"/>
          <w:sz w:val="24"/>
          <w:szCs w:val="24"/>
          <w:lang w:val="uz-Cyrl-UZ"/>
        </w:rPr>
        <w:t>C</w:t>
      </w:r>
      <w:r w:rsidRPr="00FC5C72">
        <w:rPr>
          <w:rFonts w:ascii="Times New Roman" w:hAnsi="Times New Roman"/>
          <w:sz w:val="24"/>
          <w:szCs w:val="24"/>
          <w:vertAlign w:val="subscript"/>
          <w:lang w:val="uz-Cyrl-UZ"/>
        </w:rPr>
        <w:t>minss</w:t>
      </w:r>
      <w:r w:rsidRPr="00FC5C72">
        <w:rPr>
          <w:sz w:val="24"/>
          <w:szCs w:val="24"/>
        </w:rPr>
        <w:t xml:space="preserve"> და </w:t>
      </w:r>
      <w:r w:rsidRPr="00FC5C72">
        <w:rPr>
          <w:rFonts w:ascii="Times New Roman" w:hAnsi="Times New Roman"/>
          <w:sz w:val="24"/>
          <w:szCs w:val="24"/>
          <w:lang w:val="uz-Cyrl-UZ"/>
        </w:rPr>
        <w:t>C</w:t>
      </w:r>
      <w:r w:rsidRPr="00FC5C72">
        <w:rPr>
          <w:rFonts w:ascii="Times New Roman" w:hAnsi="Times New Roman"/>
          <w:sz w:val="24"/>
          <w:szCs w:val="24"/>
          <w:vertAlign w:val="subscript"/>
          <w:lang w:val="uz-Cyrl-UZ"/>
        </w:rPr>
        <w:t>maxss</w:t>
      </w:r>
      <w:r w:rsidRPr="00FC5C72">
        <w:rPr>
          <w:sz w:val="24"/>
          <w:szCs w:val="24"/>
        </w:rPr>
        <w:t xml:space="preserve">  საშუალო გეომეტრიულ მნიშვნელობას (</w:t>
      </w:r>
      <w:r w:rsidRPr="00FC5C72">
        <w:rPr>
          <w:rFonts w:ascii="Times New Roman" w:hAnsi="Times New Roman"/>
          <w:sz w:val="24"/>
          <w:szCs w:val="24"/>
          <w:lang w:val="uz-Cyrl-UZ"/>
        </w:rPr>
        <w:t>КВ %-</w:t>
      </w:r>
      <w:r w:rsidRPr="00FC5C72">
        <w:rPr>
          <w:sz w:val="24"/>
          <w:szCs w:val="24"/>
        </w:rPr>
        <w:t xml:space="preserve">ში), რომელიც შეადგენდა </w:t>
      </w:r>
      <w:r w:rsidR="007A5A11" w:rsidRPr="00FC5C72">
        <w:rPr>
          <w:sz w:val="24"/>
          <w:szCs w:val="24"/>
        </w:rPr>
        <w:t>71</w:t>
      </w:r>
      <w:r w:rsidRPr="00FC5C72">
        <w:rPr>
          <w:rFonts w:ascii="Times New Roman" w:hAnsi="Times New Roman"/>
          <w:sz w:val="24"/>
          <w:szCs w:val="24"/>
          <w:lang w:val="uz-Cyrl-UZ"/>
        </w:rPr>
        <w:t>,</w:t>
      </w:r>
      <w:r w:rsidR="007A5A11" w:rsidRPr="00FC5C72">
        <w:rPr>
          <w:sz w:val="24"/>
          <w:szCs w:val="24"/>
        </w:rPr>
        <w:t>3</w:t>
      </w:r>
      <w:r w:rsidRPr="00FC5C72">
        <w:rPr>
          <w:rFonts w:ascii="Times New Roman" w:hAnsi="Times New Roman"/>
          <w:sz w:val="24"/>
          <w:szCs w:val="24"/>
          <w:lang w:val="uz-Cyrl-UZ"/>
        </w:rPr>
        <w:t xml:space="preserve"> </w:t>
      </w:r>
      <w:r w:rsidRPr="00FC5C72">
        <w:rPr>
          <w:rFonts w:ascii="Sylfaen" w:hAnsi="Sylfaen"/>
          <w:sz w:val="24"/>
          <w:szCs w:val="24"/>
        </w:rPr>
        <w:t>ნგ/მლ</w:t>
      </w:r>
      <w:r w:rsidRPr="00FC5C72">
        <w:rPr>
          <w:rFonts w:ascii="Times New Roman" w:hAnsi="Times New Roman"/>
          <w:sz w:val="24"/>
          <w:szCs w:val="24"/>
          <w:lang w:val="uz-Cyrl-UZ"/>
        </w:rPr>
        <w:t xml:space="preserve"> (</w:t>
      </w:r>
      <w:r w:rsidR="007A5A11" w:rsidRPr="00FC5C72">
        <w:rPr>
          <w:sz w:val="24"/>
          <w:szCs w:val="24"/>
        </w:rPr>
        <w:t>61,3</w:t>
      </w:r>
      <w:r w:rsidRPr="00FC5C72">
        <w:rPr>
          <w:rFonts w:ascii="Times New Roman" w:hAnsi="Times New Roman"/>
          <w:sz w:val="24"/>
          <w:szCs w:val="24"/>
          <w:lang w:val="uz-Cyrl-UZ"/>
        </w:rPr>
        <w:t xml:space="preserve">) </w:t>
      </w:r>
      <w:r w:rsidRPr="00FC5C72">
        <w:rPr>
          <w:rFonts w:ascii="Sylfaen" w:hAnsi="Sylfaen"/>
          <w:sz w:val="24"/>
          <w:szCs w:val="24"/>
        </w:rPr>
        <w:t>და</w:t>
      </w:r>
      <w:r w:rsidRPr="00FC5C72">
        <w:rPr>
          <w:rFonts w:ascii="Times New Roman" w:hAnsi="Times New Roman"/>
          <w:sz w:val="24"/>
          <w:szCs w:val="24"/>
          <w:lang w:val="uz-Cyrl-UZ"/>
        </w:rPr>
        <w:t xml:space="preserve"> </w:t>
      </w:r>
      <w:r w:rsidR="007A5A11" w:rsidRPr="00FC5C72">
        <w:rPr>
          <w:sz w:val="24"/>
          <w:szCs w:val="24"/>
        </w:rPr>
        <w:t>230</w:t>
      </w:r>
      <w:r w:rsidRPr="00FC5C72">
        <w:rPr>
          <w:rFonts w:ascii="Times New Roman" w:hAnsi="Times New Roman"/>
          <w:sz w:val="24"/>
          <w:szCs w:val="24"/>
          <w:lang w:val="uz-Cyrl-UZ"/>
        </w:rPr>
        <w:t xml:space="preserve"> </w:t>
      </w:r>
      <w:r w:rsidRPr="00FC5C72">
        <w:rPr>
          <w:rFonts w:ascii="Sylfaen" w:hAnsi="Sylfaen"/>
          <w:sz w:val="24"/>
          <w:szCs w:val="24"/>
        </w:rPr>
        <w:t>ნგ</w:t>
      </w:r>
      <w:r w:rsidRPr="00FC5C72">
        <w:rPr>
          <w:rFonts w:ascii="Times New Roman" w:hAnsi="Times New Roman"/>
          <w:sz w:val="24"/>
          <w:szCs w:val="24"/>
          <w:lang w:val="uz-Cyrl-UZ"/>
        </w:rPr>
        <w:t>/</w:t>
      </w:r>
      <w:r w:rsidRPr="00FC5C72">
        <w:rPr>
          <w:rFonts w:ascii="Sylfaen" w:hAnsi="Sylfaen"/>
          <w:sz w:val="24"/>
          <w:szCs w:val="24"/>
        </w:rPr>
        <w:t>მლ</w:t>
      </w:r>
      <w:r w:rsidRPr="00FC5C72">
        <w:rPr>
          <w:rFonts w:ascii="Times New Roman" w:hAnsi="Times New Roman"/>
          <w:sz w:val="24"/>
          <w:szCs w:val="24"/>
          <w:lang w:val="uz-Cyrl-UZ"/>
        </w:rPr>
        <w:t xml:space="preserve"> (</w:t>
      </w:r>
      <w:r w:rsidR="007A5A11" w:rsidRPr="00FC5C72">
        <w:rPr>
          <w:sz w:val="24"/>
          <w:szCs w:val="24"/>
        </w:rPr>
        <w:t>39,5</w:t>
      </w:r>
      <w:r w:rsidRPr="00FC5C72">
        <w:rPr>
          <w:rFonts w:ascii="Times New Roman" w:hAnsi="Times New Roman"/>
          <w:sz w:val="24"/>
          <w:szCs w:val="24"/>
          <w:lang w:val="uz-Cyrl-UZ"/>
        </w:rPr>
        <w:t>).</w:t>
      </w:r>
      <w:r w:rsidRPr="00FC5C72">
        <w:rPr>
          <w:sz w:val="24"/>
          <w:szCs w:val="24"/>
        </w:rPr>
        <w:t xml:space="preserve"> კონცენტრაციის მნიშვნელობები, რომლებიც მიღწეულია ანტი-Xa-ფაქტორული აქტივობის ამ დიაპაზონებში დოზირების რეჟიმებისას ბავშვთა ასაკის პაციენტებისთვის, მსგავსი იყო მოზრდილებში აღნიშნული მნიშვნელობებისა, რომლებიც იღებდნენ აპიქსაბანს დოზი</w:t>
      </w:r>
      <w:r w:rsidR="007A5A11" w:rsidRPr="00FC5C72">
        <w:rPr>
          <w:sz w:val="24"/>
          <w:szCs w:val="24"/>
        </w:rPr>
        <w:t>თ</w:t>
      </w:r>
      <w:r w:rsidRPr="00FC5C72">
        <w:rPr>
          <w:sz w:val="24"/>
          <w:szCs w:val="24"/>
        </w:rPr>
        <w:t xml:space="preserve"> 5 მგ ორჯერ დღე-ღამეში. </w:t>
      </w:r>
    </w:p>
    <w:p w14:paraId="2F08275A" w14:textId="2C21A7AC" w:rsidR="007A5A11" w:rsidRPr="00FC5C72" w:rsidRDefault="007A0277" w:rsidP="00785B18">
      <w:pPr>
        <w:spacing w:after="0" w:line="240" w:lineRule="auto"/>
        <w:jc w:val="both"/>
        <w:rPr>
          <w:sz w:val="24"/>
          <w:szCs w:val="24"/>
        </w:rPr>
      </w:pPr>
      <w:r w:rsidRPr="00FC5C72">
        <w:rPr>
          <w:sz w:val="24"/>
          <w:szCs w:val="24"/>
        </w:rPr>
        <w:t xml:space="preserve"> </w:t>
      </w:r>
    </w:p>
    <w:p w14:paraId="43556B20" w14:textId="295CFBAA" w:rsidR="007A5A11" w:rsidRPr="00FC5C72" w:rsidRDefault="007A5A11" w:rsidP="00785B18">
      <w:pPr>
        <w:spacing w:after="0" w:line="240" w:lineRule="auto"/>
        <w:jc w:val="both"/>
        <w:rPr>
          <w:sz w:val="24"/>
          <w:szCs w:val="24"/>
        </w:rPr>
      </w:pPr>
      <w:r w:rsidRPr="00FC5C72">
        <w:rPr>
          <w:sz w:val="24"/>
          <w:szCs w:val="24"/>
        </w:rPr>
        <w:t xml:space="preserve">კვლევაში </w:t>
      </w:r>
      <w:r w:rsidR="002E6A3A" w:rsidRPr="00FC5C72">
        <w:rPr>
          <w:rFonts w:ascii="Times New Roman" w:hAnsi="Times New Roman"/>
          <w:sz w:val="24"/>
          <w:szCs w:val="24"/>
          <w:lang w:val="uz-Cyrl-UZ"/>
        </w:rPr>
        <w:t xml:space="preserve">CV185325 </w:t>
      </w:r>
      <w:r w:rsidRPr="00FC5C72">
        <w:rPr>
          <w:sz w:val="24"/>
          <w:szCs w:val="24"/>
        </w:rPr>
        <w:t xml:space="preserve">6-დან </w:t>
      </w:r>
      <w:r w:rsidRPr="00FC5C72">
        <w:rPr>
          <w:sz w:val="24"/>
          <w:szCs w:val="24"/>
          <w:u w:val="single"/>
        </w:rPr>
        <w:t>&gt;</w:t>
      </w:r>
      <w:r w:rsidRPr="00FC5C72">
        <w:rPr>
          <w:sz w:val="24"/>
          <w:szCs w:val="24"/>
        </w:rPr>
        <w:t>35 კგ წონის ბავშვებში მინიმალური და მაქსიმალური</w:t>
      </w:r>
      <w:r w:rsidRPr="00FC5C72">
        <w:rPr>
          <w:rFonts w:ascii="Times New Roman" w:hAnsi="Times New Roman"/>
          <w:sz w:val="24"/>
          <w:szCs w:val="24"/>
        </w:rPr>
        <w:t xml:space="preserve"> </w:t>
      </w:r>
      <w:r w:rsidRPr="00FC5C72">
        <w:rPr>
          <w:sz w:val="24"/>
          <w:szCs w:val="24"/>
        </w:rPr>
        <w:t>ანტი-Xa-ფაქტორული აქტივობის საშუალო გეომეტრიული მნიშვნელობა (</w:t>
      </w:r>
      <w:r w:rsidRPr="00FC5C72">
        <w:rPr>
          <w:rFonts w:ascii="Times New Roman" w:hAnsi="Times New Roman"/>
          <w:sz w:val="24"/>
          <w:szCs w:val="24"/>
          <w:lang w:val="uz-Cyrl-UZ"/>
        </w:rPr>
        <w:t>КВ %-</w:t>
      </w:r>
      <w:r w:rsidRPr="00FC5C72">
        <w:rPr>
          <w:sz w:val="24"/>
          <w:szCs w:val="24"/>
        </w:rPr>
        <w:t xml:space="preserve">ში) იყო </w:t>
      </w:r>
      <w:r w:rsidR="007A0277" w:rsidRPr="00FC5C72">
        <w:rPr>
          <w:sz w:val="24"/>
          <w:szCs w:val="24"/>
        </w:rPr>
        <w:t>4</w:t>
      </w:r>
      <w:r w:rsidRPr="00FC5C72">
        <w:rPr>
          <w:sz w:val="24"/>
          <w:szCs w:val="24"/>
        </w:rPr>
        <w:t>7,1 ნგ/მლ-სა (</w:t>
      </w:r>
      <w:r w:rsidR="007A0277" w:rsidRPr="00FC5C72">
        <w:rPr>
          <w:sz w:val="24"/>
          <w:szCs w:val="24"/>
        </w:rPr>
        <w:t>57,2</w:t>
      </w:r>
      <w:r w:rsidRPr="00FC5C72">
        <w:rPr>
          <w:sz w:val="24"/>
          <w:szCs w:val="24"/>
        </w:rPr>
        <w:t xml:space="preserve">) და </w:t>
      </w:r>
      <w:r w:rsidR="007A0277" w:rsidRPr="00FC5C72">
        <w:rPr>
          <w:sz w:val="24"/>
          <w:szCs w:val="24"/>
        </w:rPr>
        <w:t>146</w:t>
      </w:r>
      <w:r w:rsidRPr="00FC5C72">
        <w:rPr>
          <w:sz w:val="24"/>
          <w:szCs w:val="24"/>
        </w:rPr>
        <w:t xml:space="preserve"> ნგ/მლ-ის (4</w:t>
      </w:r>
      <w:r w:rsidR="007A0277" w:rsidRPr="00FC5C72">
        <w:rPr>
          <w:sz w:val="24"/>
          <w:szCs w:val="24"/>
        </w:rPr>
        <w:t>0</w:t>
      </w:r>
      <w:r w:rsidRPr="00FC5C72">
        <w:rPr>
          <w:sz w:val="24"/>
          <w:szCs w:val="24"/>
        </w:rPr>
        <w:t>,</w:t>
      </w:r>
      <w:r w:rsidR="007A0277" w:rsidRPr="00FC5C72">
        <w:rPr>
          <w:sz w:val="24"/>
          <w:szCs w:val="24"/>
        </w:rPr>
        <w:t>2</w:t>
      </w:r>
      <w:r w:rsidRPr="00FC5C72">
        <w:rPr>
          <w:sz w:val="24"/>
          <w:szCs w:val="24"/>
        </w:rPr>
        <w:t xml:space="preserve">) დიაპაზონში, რაც შეესაბამება </w:t>
      </w:r>
      <w:r w:rsidRPr="00FC5C72">
        <w:rPr>
          <w:rFonts w:ascii="Times New Roman" w:hAnsi="Times New Roman"/>
          <w:sz w:val="24"/>
          <w:szCs w:val="24"/>
          <w:lang w:val="uz-Cyrl-UZ"/>
        </w:rPr>
        <w:t>C</w:t>
      </w:r>
      <w:r w:rsidRPr="00FC5C72">
        <w:rPr>
          <w:rFonts w:ascii="Times New Roman" w:hAnsi="Times New Roman"/>
          <w:sz w:val="24"/>
          <w:szCs w:val="24"/>
          <w:vertAlign w:val="subscript"/>
          <w:lang w:val="uz-Cyrl-UZ"/>
        </w:rPr>
        <w:t>minss</w:t>
      </w:r>
      <w:r w:rsidRPr="00FC5C72">
        <w:rPr>
          <w:sz w:val="24"/>
          <w:szCs w:val="24"/>
        </w:rPr>
        <w:t xml:space="preserve"> და </w:t>
      </w:r>
      <w:r w:rsidRPr="00FC5C72">
        <w:rPr>
          <w:rFonts w:ascii="Times New Roman" w:hAnsi="Times New Roman"/>
          <w:sz w:val="24"/>
          <w:szCs w:val="24"/>
          <w:lang w:val="uz-Cyrl-UZ"/>
        </w:rPr>
        <w:t>C</w:t>
      </w:r>
      <w:r w:rsidRPr="00FC5C72">
        <w:rPr>
          <w:rFonts w:ascii="Times New Roman" w:hAnsi="Times New Roman"/>
          <w:sz w:val="24"/>
          <w:szCs w:val="24"/>
          <w:vertAlign w:val="subscript"/>
          <w:lang w:val="uz-Cyrl-UZ"/>
        </w:rPr>
        <w:t>maxss</w:t>
      </w:r>
      <w:r w:rsidRPr="00FC5C72">
        <w:rPr>
          <w:sz w:val="24"/>
          <w:szCs w:val="24"/>
        </w:rPr>
        <w:t xml:space="preserve">  საშუალო გეომეტრიულ მნიშვნელობას (</w:t>
      </w:r>
      <w:r w:rsidRPr="00FC5C72">
        <w:rPr>
          <w:rFonts w:ascii="Times New Roman" w:hAnsi="Times New Roman"/>
          <w:sz w:val="24"/>
          <w:szCs w:val="24"/>
          <w:lang w:val="uz-Cyrl-UZ"/>
        </w:rPr>
        <w:t>КВ %-</w:t>
      </w:r>
      <w:r w:rsidRPr="00FC5C72">
        <w:rPr>
          <w:sz w:val="24"/>
          <w:szCs w:val="24"/>
        </w:rPr>
        <w:t xml:space="preserve">ში), რომელიც შეადგენდა </w:t>
      </w:r>
      <w:r w:rsidR="007A0277" w:rsidRPr="00FC5C72">
        <w:rPr>
          <w:sz w:val="24"/>
          <w:szCs w:val="24"/>
        </w:rPr>
        <w:t>50</w:t>
      </w:r>
      <w:r w:rsidRPr="00FC5C72">
        <w:rPr>
          <w:rFonts w:ascii="Times New Roman" w:hAnsi="Times New Roman"/>
          <w:sz w:val="24"/>
          <w:szCs w:val="24"/>
          <w:lang w:val="uz-Cyrl-UZ"/>
        </w:rPr>
        <w:t xml:space="preserve"> </w:t>
      </w:r>
      <w:r w:rsidRPr="00FC5C72">
        <w:rPr>
          <w:rFonts w:ascii="Sylfaen" w:hAnsi="Sylfaen"/>
          <w:sz w:val="24"/>
          <w:szCs w:val="24"/>
        </w:rPr>
        <w:t>ნგ/მლ</w:t>
      </w:r>
      <w:r w:rsidRPr="00FC5C72">
        <w:rPr>
          <w:rFonts w:ascii="Times New Roman" w:hAnsi="Times New Roman"/>
          <w:sz w:val="24"/>
          <w:szCs w:val="24"/>
          <w:lang w:val="uz-Cyrl-UZ"/>
        </w:rPr>
        <w:t xml:space="preserve"> (</w:t>
      </w:r>
      <w:r w:rsidR="007A0277" w:rsidRPr="00FC5C72">
        <w:rPr>
          <w:sz w:val="24"/>
          <w:szCs w:val="24"/>
        </w:rPr>
        <w:t>54</w:t>
      </w:r>
      <w:r w:rsidRPr="00FC5C72">
        <w:rPr>
          <w:sz w:val="24"/>
          <w:szCs w:val="24"/>
        </w:rPr>
        <w:t>,</w:t>
      </w:r>
      <w:r w:rsidR="007A0277" w:rsidRPr="00FC5C72">
        <w:rPr>
          <w:sz w:val="24"/>
          <w:szCs w:val="24"/>
        </w:rPr>
        <w:t>5</w:t>
      </w:r>
      <w:r w:rsidRPr="00FC5C72">
        <w:rPr>
          <w:rFonts w:ascii="Times New Roman" w:hAnsi="Times New Roman"/>
          <w:sz w:val="24"/>
          <w:szCs w:val="24"/>
          <w:lang w:val="uz-Cyrl-UZ"/>
        </w:rPr>
        <w:t xml:space="preserve">) </w:t>
      </w:r>
      <w:r w:rsidRPr="00FC5C72">
        <w:rPr>
          <w:rFonts w:ascii="Sylfaen" w:hAnsi="Sylfaen"/>
          <w:sz w:val="24"/>
          <w:szCs w:val="24"/>
        </w:rPr>
        <w:t>და</w:t>
      </w:r>
      <w:r w:rsidRPr="00FC5C72">
        <w:rPr>
          <w:rFonts w:ascii="Times New Roman" w:hAnsi="Times New Roman"/>
          <w:sz w:val="24"/>
          <w:szCs w:val="24"/>
          <w:lang w:val="uz-Cyrl-UZ"/>
        </w:rPr>
        <w:t xml:space="preserve"> </w:t>
      </w:r>
      <w:r w:rsidR="007A0277" w:rsidRPr="00FC5C72">
        <w:rPr>
          <w:sz w:val="24"/>
          <w:szCs w:val="24"/>
        </w:rPr>
        <w:t>144</w:t>
      </w:r>
      <w:r w:rsidRPr="00FC5C72">
        <w:rPr>
          <w:rFonts w:ascii="Times New Roman" w:hAnsi="Times New Roman"/>
          <w:sz w:val="24"/>
          <w:szCs w:val="24"/>
          <w:lang w:val="uz-Cyrl-UZ"/>
        </w:rPr>
        <w:t xml:space="preserve"> </w:t>
      </w:r>
      <w:r w:rsidRPr="00FC5C72">
        <w:rPr>
          <w:rFonts w:ascii="Sylfaen" w:hAnsi="Sylfaen"/>
          <w:sz w:val="24"/>
          <w:szCs w:val="24"/>
        </w:rPr>
        <w:t>ნგ</w:t>
      </w:r>
      <w:r w:rsidRPr="00FC5C72">
        <w:rPr>
          <w:rFonts w:ascii="Times New Roman" w:hAnsi="Times New Roman"/>
          <w:sz w:val="24"/>
          <w:szCs w:val="24"/>
          <w:lang w:val="uz-Cyrl-UZ"/>
        </w:rPr>
        <w:t>/</w:t>
      </w:r>
      <w:r w:rsidRPr="00FC5C72">
        <w:rPr>
          <w:rFonts w:ascii="Sylfaen" w:hAnsi="Sylfaen"/>
          <w:sz w:val="24"/>
          <w:szCs w:val="24"/>
        </w:rPr>
        <w:t>მლ</w:t>
      </w:r>
      <w:r w:rsidRPr="00FC5C72">
        <w:rPr>
          <w:rFonts w:ascii="Times New Roman" w:hAnsi="Times New Roman"/>
          <w:sz w:val="24"/>
          <w:szCs w:val="24"/>
          <w:lang w:val="uz-Cyrl-UZ"/>
        </w:rPr>
        <w:t xml:space="preserve"> (</w:t>
      </w:r>
      <w:r w:rsidRPr="00FC5C72">
        <w:rPr>
          <w:sz w:val="24"/>
          <w:szCs w:val="24"/>
        </w:rPr>
        <w:t>3</w:t>
      </w:r>
      <w:r w:rsidR="007A0277" w:rsidRPr="00FC5C72">
        <w:rPr>
          <w:sz w:val="24"/>
          <w:szCs w:val="24"/>
        </w:rPr>
        <w:t>6</w:t>
      </w:r>
      <w:r w:rsidRPr="00FC5C72">
        <w:rPr>
          <w:sz w:val="24"/>
          <w:szCs w:val="24"/>
        </w:rPr>
        <w:t>,</w:t>
      </w:r>
      <w:r w:rsidR="007A0277" w:rsidRPr="00FC5C72">
        <w:rPr>
          <w:sz w:val="24"/>
          <w:szCs w:val="24"/>
        </w:rPr>
        <w:t>9</w:t>
      </w:r>
      <w:r w:rsidRPr="00FC5C72">
        <w:rPr>
          <w:rFonts w:ascii="Times New Roman" w:hAnsi="Times New Roman"/>
          <w:sz w:val="24"/>
          <w:szCs w:val="24"/>
          <w:lang w:val="uz-Cyrl-UZ"/>
        </w:rPr>
        <w:t>).</w:t>
      </w:r>
      <w:r w:rsidRPr="00FC5C72">
        <w:rPr>
          <w:sz w:val="24"/>
          <w:szCs w:val="24"/>
        </w:rPr>
        <w:t xml:space="preserve"> კონცენტრაციის მნიშვნელობები, რომლებიც მიღწეულია ანტი-Xa-ფაქტორული აქტივობის ამ დიაპაზონებში დოზირების რეჟიმებისას ბავშვთა ასაკის პაციენტებისთვის, მსგავსი იყო მოზრდილებში აღნიშნული მნიშვნელობებისა, რომლებიც იღებდნენ აპიქსაბანს დოზით 5 მგ ორჯერ დღე-ღამეში. </w:t>
      </w:r>
    </w:p>
    <w:p w14:paraId="665AC571" w14:textId="6F2F6692" w:rsidR="007A5A11" w:rsidRPr="00FC5C72" w:rsidRDefault="007A5A11" w:rsidP="00785B18">
      <w:pPr>
        <w:spacing w:after="0" w:line="240" w:lineRule="auto"/>
        <w:jc w:val="both"/>
        <w:rPr>
          <w:sz w:val="24"/>
          <w:szCs w:val="24"/>
        </w:rPr>
      </w:pPr>
    </w:p>
    <w:p w14:paraId="087EE9A0" w14:textId="44C03593" w:rsidR="007A0277" w:rsidRPr="00FC5C72" w:rsidRDefault="007A0277" w:rsidP="00785B18">
      <w:pPr>
        <w:spacing w:after="0" w:line="240" w:lineRule="auto"/>
        <w:jc w:val="both"/>
        <w:rPr>
          <w:sz w:val="24"/>
          <w:szCs w:val="24"/>
        </w:rPr>
      </w:pPr>
      <w:r w:rsidRPr="00FC5C72">
        <w:rPr>
          <w:sz w:val="24"/>
          <w:szCs w:val="24"/>
        </w:rPr>
        <w:t>სტაბილური კონცენტრაციისა და ანტი-Xa-ფაქტორული აქტივობის პროგნოზირებული მნიშვნელობები</w:t>
      </w:r>
      <w:r w:rsidR="00057A0D" w:rsidRPr="00FC5C72">
        <w:rPr>
          <w:sz w:val="24"/>
          <w:szCs w:val="24"/>
        </w:rPr>
        <w:t xml:space="preserve"> ბავშვთა ასაკის პაციენტების მონაწილეობით ჩატარებულ კვლევებში გვაძლევს საშუალებას ვივარაუდოდ, რომ საერთო პოპულაციაში აპიქსაბანის სტაბილური კონცენტრაციის და ანტი-Xa-ფაქტორული აქტივობის მაქსიმალური და მინიმალური </w:t>
      </w:r>
      <w:r w:rsidR="00057A0D" w:rsidRPr="00FC5C72">
        <w:rPr>
          <w:sz w:val="24"/>
          <w:szCs w:val="24"/>
        </w:rPr>
        <w:lastRenderedPageBreak/>
        <w:t>მნიშვნელობები  პრეპარატის მიღებებს შორის დაახლოებით 3-ჯერ განსხვავდებოდა (მინ</w:t>
      </w:r>
      <w:r w:rsidR="00407C20" w:rsidRPr="00FC5C72">
        <w:rPr>
          <w:sz w:val="24"/>
          <w:szCs w:val="24"/>
        </w:rPr>
        <w:t>.: 2,65; მაქს.: 3,22</w:t>
      </w:r>
      <w:r w:rsidR="00057A0D" w:rsidRPr="00FC5C72">
        <w:rPr>
          <w:sz w:val="24"/>
          <w:szCs w:val="24"/>
        </w:rPr>
        <w:t>)</w:t>
      </w:r>
      <w:r w:rsidR="00407C20" w:rsidRPr="00FC5C72">
        <w:rPr>
          <w:sz w:val="24"/>
          <w:szCs w:val="24"/>
        </w:rPr>
        <w:t>.</w:t>
      </w:r>
    </w:p>
    <w:p w14:paraId="10126B69" w14:textId="77777777" w:rsidR="00CC7A32" w:rsidRPr="00FC5C72" w:rsidRDefault="00CC7A32" w:rsidP="00785B18">
      <w:pPr>
        <w:spacing w:after="0" w:line="240" w:lineRule="auto"/>
        <w:jc w:val="both"/>
        <w:rPr>
          <w:sz w:val="24"/>
          <w:szCs w:val="24"/>
        </w:rPr>
      </w:pPr>
    </w:p>
    <w:p w14:paraId="6330AE6B" w14:textId="50162F95" w:rsidR="00EA6653" w:rsidRPr="00FC5C72" w:rsidRDefault="00EA6653" w:rsidP="00785B18">
      <w:pPr>
        <w:spacing w:after="0" w:line="240" w:lineRule="auto"/>
        <w:jc w:val="both"/>
        <w:rPr>
          <w:i/>
          <w:iCs/>
          <w:sz w:val="24"/>
          <w:szCs w:val="24"/>
          <w:u w:val="single"/>
        </w:rPr>
      </w:pPr>
      <w:r w:rsidRPr="00FC5C72">
        <w:rPr>
          <w:i/>
          <w:iCs/>
          <w:sz w:val="24"/>
          <w:szCs w:val="24"/>
          <w:u w:val="single"/>
        </w:rPr>
        <w:t>კლინიკური ეფექტიანობა და უსაფრთხოება</w:t>
      </w:r>
    </w:p>
    <w:p w14:paraId="7E2C5A11" w14:textId="7C4909C5" w:rsidR="00EA6653" w:rsidRPr="00FC5C72" w:rsidRDefault="00EA6653" w:rsidP="00785B18">
      <w:pPr>
        <w:spacing w:after="0" w:line="240" w:lineRule="auto"/>
        <w:jc w:val="both"/>
        <w:rPr>
          <w:i/>
          <w:iCs/>
          <w:sz w:val="24"/>
          <w:szCs w:val="24"/>
        </w:rPr>
      </w:pPr>
      <w:r w:rsidRPr="00FC5C72">
        <w:rPr>
          <w:i/>
          <w:iCs/>
          <w:sz w:val="24"/>
          <w:szCs w:val="24"/>
        </w:rPr>
        <w:t>ვთგ პროფილაქტიკა (ვთგ</w:t>
      </w:r>
      <w:r w:rsidR="00973B4E" w:rsidRPr="00FC5C72">
        <w:rPr>
          <w:i/>
          <w:iCs/>
          <w:sz w:val="24"/>
          <w:szCs w:val="24"/>
        </w:rPr>
        <w:t xml:space="preserve"> </w:t>
      </w:r>
      <w:r w:rsidRPr="00FC5C72">
        <w:rPr>
          <w:i/>
          <w:iCs/>
          <w:sz w:val="24"/>
          <w:szCs w:val="24"/>
        </w:rPr>
        <w:t>პ</w:t>
      </w:r>
      <w:r w:rsidR="00973B4E" w:rsidRPr="00FC5C72">
        <w:rPr>
          <w:i/>
          <w:iCs/>
          <w:sz w:val="24"/>
          <w:szCs w:val="24"/>
        </w:rPr>
        <w:t>როფილაქტიკა</w:t>
      </w:r>
      <w:r w:rsidRPr="00FC5C72">
        <w:rPr>
          <w:i/>
          <w:iCs/>
          <w:sz w:val="24"/>
          <w:szCs w:val="24"/>
        </w:rPr>
        <w:t>): მენჯ-ბარძაყის ან მუხლის სახსრის გეგმიური ენდოპროთეზირება</w:t>
      </w:r>
    </w:p>
    <w:p w14:paraId="007DCF73" w14:textId="298AE0D4" w:rsidR="00EA6653" w:rsidRPr="00FC5C72" w:rsidRDefault="00EA6653" w:rsidP="00785B18">
      <w:pPr>
        <w:spacing w:after="0" w:line="240" w:lineRule="auto"/>
        <w:jc w:val="both"/>
        <w:rPr>
          <w:sz w:val="24"/>
          <w:szCs w:val="24"/>
        </w:rPr>
      </w:pPr>
      <w:r w:rsidRPr="00FC5C72">
        <w:rPr>
          <w:sz w:val="24"/>
          <w:szCs w:val="24"/>
        </w:rPr>
        <w:t xml:space="preserve">აპიქსაბანის გამოყენების </w:t>
      </w:r>
      <w:r w:rsidR="005F6D32" w:rsidRPr="00FC5C72">
        <w:rPr>
          <w:sz w:val="24"/>
          <w:szCs w:val="24"/>
        </w:rPr>
        <w:t>კლინიკური პროგრამა შემუშავებულია იმისათვის, რომ ნაჩვენები იქნას აპიქსაბანის ეფექტიანობა და უსაფრთხოება ვთგ-ის პროფილაქტიკისთვის მოზრდილი პაციენტების ფართ</w:t>
      </w:r>
      <w:r w:rsidR="00875841" w:rsidRPr="00FC5C72">
        <w:rPr>
          <w:sz w:val="24"/>
          <w:szCs w:val="24"/>
        </w:rPr>
        <w:t>ო</w:t>
      </w:r>
      <w:r w:rsidR="005F6D32" w:rsidRPr="00FC5C72">
        <w:rPr>
          <w:sz w:val="24"/>
          <w:szCs w:val="24"/>
        </w:rPr>
        <w:t xml:space="preserve"> წრეში, რომლებსაც უტარდებათ მენჯ-ბარძაყის ან მუხლის სახსრის</w:t>
      </w:r>
      <w:r w:rsidR="009D68E4" w:rsidRPr="00FC5C72">
        <w:rPr>
          <w:sz w:val="24"/>
          <w:szCs w:val="24"/>
        </w:rPr>
        <w:t xml:space="preserve"> გეგმიური</w:t>
      </w:r>
      <w:r w:rsidR="005F6D32" w:rsidRPr="00FC5C72">
        <w:rPr>
          <w:sz w:val="24"/>
          <w:szCs w:val="24"/>
        </w:rPr>
        <w:t xml:space="preserve"> ენდოპრო</w:t>
      </w:r>
      <w:r w:rsidR="009D68E4" w:rsidRPr="00FC5C72">
        <w:rPr>
          <w:sz w:val="24"/>
          <w:szCs w:val="24"/>
        </w:rPr>
        <w:t>თ</w:t>
      </w:r>
      <w:r w:rsidR="005F6D32" w:rsidRPr="00FC5C72">
        <w:rPr>
          <w:sz w:val="24"/>
          <w:szCs w:val="24"/>
        </w:rPr>
        <w:t>ეზირება</w:t>
      </w:r>
      <w:r w:rsidR="009D68E4" w:rsidRPr="00FC5C72">
        <w:rPr>
          <w:sz w:val="24"/>
          <w:szCs w:val="24"/>
        </w:rPr>
        <w:t>. საერთო ჯამში 8464 პაციენტი რანდომიზებული იქნა ორ ძირითად საერთაშორისო ორმაგად ბრმა კვლევაში, რომლებშიც შეადარეს აპიქსაბანი დოზით 2.5 მგ პერორალურად ორჯერ დღე-ღამეში (4236 პაციენტი) და ენოქსაპარინი დოზი</w:t>
      </w:r>
      <w:r w:rsidR="00407C20" w:rsidRPr="00FC5C72">
        <w:rPr>
          <w:sz w:val="24"/>
          <w:szCs w:val="24"/>
        </w:rPr>
        <w:t>თ</w:t>
      </w:r>
      <w:r w:rsidR="009D68E4" w:rsidRPr="00FC5C72">
        <w:rPr>
          <w:sz w:val="24"/>
          <w:szCs w:val="24"/>
        </w:rPr>
        <w:t xml:space="preserve"> 40 მგ ერთხელ დღე-ღამეში (4228 პაციენტი). მათ მიეკუთვნებოდა 75 წლის და უფროსი ასაკის 1262 პაციენტი (618 აპიქსაბანის ჯგუფში), დაბალი წონის (</w:t>
      </w:r>
      <w:r w:rsidR="009D68E4" w:rsidRPr="00FC5C72">
        <w:rPr>
          <w:sz w:val="24"/>
          <w:szCs w:val="24"/>
          <w:u w:val="single"/>
        </w:rPr>
        <w:t>&lt;</w:t>
      </w:r>
      <w:r w:rsidR="009D68E4" w:rsidRPr="00FC5C72">
        <w:rPr>
          <w:sz w:val="24"/>
          <w:szCs w:val="24"/>
        </w:rPr>
        <w:t xml:space="preserve">60 კგ) მქონე 1004 პაციენტი (499 აპიქსაბანის ჯგუფში), 1495 პაციენტი (743 აპიქსაბანის ჯგუფში) სმი-ით </w:t>
      </w:r>
      <w:r w:rsidR="009D68E4" w:rsidRPr="00FC5C72">
        <w:rPr>
          <w:sz w:val="24"/>
          <w:szCs w:val="24"/>
          <w:u w:val="single"/>
        </w:rPr>
        <w:t>&gt;</w:t>
      </w:r>
      <w:r w:rsidR="009D68E4" w:rsidRPr="00FC5C72">
        <w:rPr>
          <w:sz w:val="24"/>
          <w:szCs w:val="24"/>
        </w:rPr>
        <w:t>33 კგ/მ</w:t>
      </w:r>
      <w:r w:rsidR="009D68E4" w:rsidRPr="00FC5C72">
        <w:rPr>
          <w:sz w:val="24"/>
          <w:szCs w:val="24"/>
          <w:vertAlign w:val="superscript"/>
        </w:rPr>
        <w:t>2</w:t>
      </w:r>
      <w:r w:rsidR="009D68E4" w:rsidRPr="00FC5C72">
        <w:rPr>
          <w:sz w:val="24"/>
          <w:szCs w:val="24"/>
        </w:rPr>
        <w:t xml:space="preserve"> და 415 პაციენტი (203 აპიქსაბანის ჯგუფში) თირკმელების ფუნქციის ზომიერი დარღვევით. </w:t>
      </w:r>
    </w:p>
    <w:p w14:paraId="373B5D16" w14:textId="7B6EF738" w:rsidR="009D68E4" w:rsidRPr="00FC5C72" w:rsidRDefault="009D68E4" w:rsidP="00785B18">
      <w:pPr>
        <w:spacing w:after="0" w:line="240" w:lineRule="auto"/>
        <w:jc w:val="both"/>
        <w:rPr>
          <w:sz w:val="24"/>
          <w:szCs w:val="24"/>
        </w:rPr>
      </w:pPr>
    </w:p>
    <w:p w14:paraId="5E4AD08E" w14:textId="4FDFEF32" w:rsidR="00177032" w:rsidRPr="00FC5C72" w:rsidRDefault="009D68E4" w:rsidP="00785B18">
      <w:pPr>
        <w:spacing w:after="0" w:line="240" w:lineRule="auto"/>
        <w:jc w:val="both"/>
        <w:rPr>
          <w:noProof/>
          <w:sz w:val="24"/>
          <w:szCs w:val="24"/>
        </w:rPr>
      </w:pPr>
      <w:r w:rsidRPr="00FC5C72">
        <w:rPr>
          <w:sz w:val="24"/>
          <w:szCs w:val="24"/>
        </w:rPr>
        <w:t xml:space="preserve">კვლევაში </w:t>
      </w:r>
      <w:r w:rsidRPr="00FC5C72">
        <w:rPr>
          <w:rFonts w:ascii="Times New Roman" w:hAnsi="Times New Roman"/>
          <w:noProof/>
          <w:sz w:val="24"/>
          <w:szCs w:val="24"/>
        </w:rPr>
        <w:t>ADVANCE</w:t>
      </w:r>
      <w:r w:rsidRPr="00FC5C72">
        <w:rPr>
          <w:noProof/>
          <w:sz w:val="24"/>
          <w:szCs w:val="24"/>
        </w:rPr>
        <w:t xml:space="preserve">-3 მონაწილეობა მიიღო 5407 პაციენტმა, რომელსაც უტარდებოდა მენჯ-ბარძაყის სახსრის გეგმიური ენდოპროთეზირება, ხოლო კვლევაში </w:t>
      </w:r>
      <w:r w:rsidRPr="00FC5C72">
        <w:rPr>
          <w:rFonts w:ascii="Times New Roman" w:hAnsi="Times New Roman"/>
          <w:noProof/>
          <w:sz w:val="24"/>
          <w:szCs w:val="24"/>
        </w:rPr>
        <w:t>ADVANCE</w:t>
      </w:r>
      <w:r w:rsidRPr="00FC5C72">
        <w:rPr>
          <w:noProof/>
          <w:sz w:val="24"/>
          <w:szCs w:val="24"/>
        </w:rPr>
        <w:t xml:space="preserve">-2 მონაწილეობა მიიღო 3057 პაციენტმა, რომელსაც უტარდებოდა მუხლის სახსრის </w:t>
      </w:r>
      <w:r w:rsidR="00177032" w:rsidRPr="00FC5C72">
        <w:rPr>
          <w:noProof/>
          <w:sz w:val="24"/>
          <w:szCs w:val="24"/>
        </w:rPr>
        <w:t>გეგმიური ენდოპროთეზირება. პაციენტები იღებდნენ აპიქსაბანს დოზით 2.5 მგ პერორალურად ორჯერ დღე-ღამეში (პ</w:t>
      </w:r>
      <w:r w:rsidR="00D65700" w:rsidRPr="00FC5C72">
        <w:rPr>
          <w:noProof/>
          <w:sz w:val="24"/>
          <w:szCs w:val="24"/>
        </w:rPr>
        <w:t>/ო</w:t>
      </w:r>
      <w:r w:rsidR="00177032" w:rsidRPr="00FC5C72">
        <w:rPr>
          <w:noProof/>
          <w:sz w:val="24"/>
          <w:szCs w:val="24"/>
        </w:rPr>
        <w:t xml:space="preserve"> 2-ჯერ დღე-ღამეში) ან ენოქსაპარინს დოზით 40 მგ კანქვეშ ერთხელ დღე-ღამეში (კ</w:t>
      </w:r>
      <w:r w:rsidR="00D65700" w:rsidRPr="00FC5C72">
        <w:rPr>
          <w:noProof/>
          <w:sz w:val="24"/>
          <w:szCs w:val="24"/>
        </w:rPr>
        <w:t>/ქ</w:t>
      </w:r>
      <w:r w:rsidR="00177032" w:rsidRPr="00FC5C72">
        <w:rPr>
          <w:noProof/>
          <w:sz w:val="24"/>
          <w:szCs w:val="24"/>
        </w:rPr>
        <w:t xml:space="preserve"> ერთხელ დღე-ღამეში). პაციენტებ</w:t>
      </w:r>
      <w:r w:rsidR="00875841" w:rsidRPr="00FC5C72">
        <w:rPr>
          <w:noProof/>
          <w:sz w:val="24"/>
          <w:szCs w:val="24"/>
        </w:rPr>
        <w:t xml:space="preserve">მა მიიღეს </w:t>
      </w:r>
      <w:r w:rsidR="00177032" w:rsidRPr="00FC5C72">
        <w:rPr>
          <w:noProof/>
          <w:sz w:val="24"/>
          <w:szCs w:val="24"/>
        </w:rPr>
        <w:t>აპიქსაბანის პირველ</w:t>
      </w:r>
      <w:r w:rsidR="00875841" w:rsidRPr="00FC5C72">
        <w:rPr>
          <w:noProof/>
          <w:sz w:val="24"/>
          <w:szCs w:val="24"/>
        </w:rPr>
        <w:t>ი</w:t>
      </w:r>
      <w:r w:rsidR="00177032" w:rsidRPr="00FC5C72">
        <w:rPr>
          <w:noProof/>
          <w:sz w:val="24"/>
          <w:szCs w:val="24"/>
        </w:rPr>
        <w:t xml:space="preserve"> დოზა ოპერაციიდან 12-24 საათში, ხოლო ენოქსაპარინის გამოყენება </w:t>
      </w:r>
      <w:r w:rsidR="00875841" w:rsidRPr="00FC5C72">
        <w:rPr>
          <w:noProof/>
          <w:sz w:val="24"/>
          <w:szCs w:val="24"/>
        </w:rPr>
        <w:t>დაიწყეს</w:t>
      </w:r>
      <w:r w:rsidR="00177032" w:rsidRPr="00FC5C72">
        <w:rPr>
          <w:noProof/>
          <w:sz w:val="24"/>
          <w:szCs w:val="24"/>
        </w:rPr>
        <w:t xml:space="preserve"> ოპერაციამდე 9-15 საათით ადრე. კვლევაში </w:t>
      </w:r>
      <w:r w:rsidR="00177032" w:rsidRPr="00FC5C72">
        <w:rPr>
          <w:rFonts w:ascii="Times New Roman" w:hAnsi="Times New Roman"/>
          <w:noProof/>
          <w:sz w:val="24"/>
          <w:szCs w:val="24"/>
        </w:rPr>
        <w:t>ADVANCE</w:t>
      </w:r>
      <w:r w:rsidR="00177032" w:rsidRPr="00FC5C72">
        <w:rPr>
          <w:noProof/>
          <w:sz w:val="24"/>
          <w:szCs w:val="24"/>
        </w:rPr>
        <w:t>-3 როგორც აპიქსაბანი, ასევე ენოქსაპარინი გამოიყენებოდა 32-</w:t>
      </w:r>
      <w:r w:rsidR="00875841" w:rsidRPr="00FC5C72">
        <w:rPr>
          <w:noProof/>
          <w:sz w:val="24"/>
          <w:szCs w:val="24"/>
        </w:rPr>
        <w:t>3</w:t>
      </w:r>
      <w:r w:rsidR="00177032" w:rsidRPr="00FC5C72">
        <w:rPr>
          <w:noProof/>
          <w:sz w:val="24"/>
          <w:szCs w:val="24"/>
        </w:rPr>
        <w:t xml:space="preserve">8 დღის განმავლობაში, ხოლო კვლევაში </w:t>
      </w:r>
      <w:r w:rsidR="00177032" w:rsidRPr="00FC5C72">
        <w:rPr>
          <w:rFonts w:ascii="Times New Roman" w:hAnsi="Times New Roman"/>
          <w:noProof/>
          <w:sz w:val="24"/>
          <w:szCs w:val="24"/>
        </w:rPr>
        <w:t>ADVANCE</w:t>
      </w:r>
      <w:r w:rsidR="00177032" w:rsidRPr="00FC5C72">
        <w:rPr>
          <w:noProof/>
          <w:sz w:val="24"/>
          <w:szCs w:val="24"/>
        </w:rPr>
        <w:t xml:space="preserve">-2 - 10-14 დღის განმავლობაში.  </w:t>
      </w:r>
    </w:p>
    <w:p w14:paraId="645E9984" w14:textId="50C3E2AC" w:rsidR="004909AD" w:rsidRPr="00FC5C72" w:rsidRDefault="004909AD" w:rsidP="00785B18">
      <w:pPr>
        <w:spacing w:after="0" w:line="240" w:lineRule="auto"/>
        <w:jc w:val="both"/>
        <w:rPr>
          <w:noProof/>
          <w:sz w:val="24"/>
          <w:szCs w:val="24"/>
        </w:rPr>
      </w:pPr>
      <w:r w:rsidRPr="00FC5C72">
        <w:rPr>
          <w:rFonts w:ascii="Times New Roman" w:hAnsi="Times New Roman"/>
          <w:noProof/>
          <w:sz w:val="24"/>
          <w:szCs w:val="24"/>
        </w:rPr>
        <w:t>ADVANCE</w:t>
      </w:r>
      <w:r w:rsidRPr="00FC5C72">
        <w:rPr>
          <w:noProof/>
          <w:sz w:val="24"/>
          <w:szCs w:val="24"/>
        </w:rPr>
        <w:t xml:space="preserve">-3-ისა და </w:t>
      </w:r>
      <w:r w:rsidRPr="00FC5C72">
        <w:rPr>
          <w:rFonts w:ascii="Times New Roman" w:hAnsi="Times New Roman"/>
          <w:noProof/>
          <w:sz w:val="24"/>
          <w:szCs w:val="24"/>
        </w:rPr>
        <w:t>ADVANCE</w:t>
      </w:r>
      <w:r w:rsidRPr="00FC5C72">
        <w:rPr>
          <w:noProof/>
          <w:sz w:val="24"/>
          <w:szCs w:val="24"/>
        </w:rPr>
        <w:t xml:space="preserve">-2-ის </w:t>
      </w:r>
      <w:r w:rsidR="00177032" w:rsidRPr="00FC5C72">
        <w:rPr>
          <w:noProof/>
          <w:sz w:val="24"/>
          <w:szCs w:val="24"/>
        </w:rPr>
        <w:t>კვლევაში მ</w:t>
      </w:r>
      <w:r w:rsidRPr="00FC5C72">
        <w:rPr>
          <w:noProof/>
          <w:sz w:val="24"/>
          <w:szCs w:val="24"/>
        </w:rPr>
        <w:t xml:space="preserve">ონაწილე პოპულაციაში (8464 პაციენტი) ავადმყოფობის ისტორიების თანახმად პაციენტების 46%-ს ჰქონდა არტერიული ჰიპერტენზია, 10%-ს - ჰიპერლიპიდემია, 9%-ს - შაქრიანი დიაბეტი და 8%-ს - გულის იშემიური დაავადება. </w:t>
      </w:r>
    </w:p>
    <w:p w14:paraId="7596875A" w14:textId="5F0F9DBE" w:rsidR="00177032" w:rsidRPr="00FC5C72" w:rsidRDefault="004909AD" w:rsidP="00785B18">
      <w:pPr>
        <w:spacing w:after="0" w:line="240" w:lineRule="auto"/>
        <w:jc w:val="both"/>
        <w:rPr>
          <w:noProof/>
          <w:sz w:val="24"/>
          <w:szCs w:val="24"/>
        </w:rPr>
      </w:pPr>
      <w:r w:rsidRPr="00FC5C72">
        <w:rPr>
          <w:noProof/>
          <w:sz w:val="24"/>
          <w:szCs w:val="24"/>
        </w:rPr>
        <w:t>აპიქსაბანმა აჩვენა პირველადი საბოლოო წერტილის მაჩვენებლების სტატისტიკურად უპირატესი  დაქვეითება, რომელიც იყო კომბინირებული და ითვალისწინებდა ვთგ-ის/ნებისმიერი მიზეზით სიკვდილის ყველა შემთხვევას, ასევე მასიური ვთგ-ის საბოლოო წერტილს, რომელიც წარმოადგენდა პროქსიმალური ღვთ-ის, არალეტალური ფათე-ის და ვთგ-ით გამოწვეული სიკვდილის კომბინაციას, ენოქსაპარინთან შედარებით მენჯ-ბარძა</w:t>
      </w:r>
      <w:r w:rsidR="009040D7" w:rsidRPr="00FC5C72">
        <w:rPr>
          <w:noProof/>
          <w:sz w:val="24"/>
          <w:szCs w:val="24"/>
        </w:rPr>
        <w:t>ყ</w:t>
      </w:r>
      <w:r w:rsidRPr="00FC5C72">
        <w:rPr>
          <w:noProof/>
          <w:sz w:val="24"/>
          <w:szCs w:val="24"/>
        </w:rPr>
        <w:t xml:space="preserve">ის ან მუხლის სახსრის გეგმიურ ენდოპროთეზირებასთან შედარებით (იხ. ცხრილი 2). </w:t>
      </w:r>
      <w:r w:rsidR="0041679A" w:rsidRPr="00FC5C72">
        <w:rPr>
          <w:noProof/>
          <w:sz w:val="24"/>
          <w:szCs w:val="24"/>
        </w:rPr>
        <w:t xml:space="preserve"> </w:t>
      </w:r>
    </w:p>
    <w:p w14:paraId="42F5EC7F" w14:textId="6F7E95F5" w:rsidR="004909AD" w:rsidRPr="00FC5C72" w:rsidRDefault="004909AD" w:rsidP="00785B18">
      <w:pPr>
        <w:spacing w:after="0" w:line="240" w:lineRule="auto"/>
        <w:jc w:val="both"/>
        <w:rPr>
          <w:noProof/>
          <w:sz w:val="24"/>
          <w:szCs w:val="24"/>
        </w:rPr>
      </w:pPr>
    </w:p>
    <w:p w14:paraId="664BBF54" w14:textId="5F582AC2" w:rsidR="004909AD" w:rsidRPr="00FC5C72" w:rsidRDefault="004909AD" w:rsidP="00785B18">
      <w:pPr>
        <w:spacing w:after="0" w:line="240" w:lineRule="auto"/>
        <w:jc w:val="both"/>
        <w:rPr>
          <w:b/>
          <w:bCs/>
          <w:noProof/>
          <w:sz w:val="24"/>
          <w:szCs w:val="24"/>
        </w:rPr>
      </w:pPr>
      <w:r w:rsidRPr="00FC5C72">
        <w:rPr>
          <w:b/>
          <w:bCs/>
          <w:noProof/>
          <w:sz w:val="24"/>
          <w:szCs w:val="24"/>
        </w:rPr>
        <w:t xml:space="preserve">ცხრილი 2. </w:t>
      </w:r>
      <w:r w:rsidRPr="00FC5C72">
        <w:rPr>
          <w:b/>
          <w:bCs/>
          <w:noProof/>
          <w:sz w:val="24"/>
          <w:szCs w:val="24"/>
          <w:lang w:val="en-US"/>
        </w:rPr>
        <w:t xml:space="preserve">III </w:t>
      </w:r>
      <w:r w:rsidRPr="00FC5C72">
        <w:rPr>
          <w:b/>
          <w:bCs/>
          <w:noProof/>
          <w:sz w:val="24"/>
          <w:szCs w:val="24"/>
        </w:rPr>
        <w:t>ფაზის საყრდენი კვლევების ეფექტიანობის შეფასების შედეგები</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2"/>
        <w:gridCol w:w="26"/>
        <w:gridCol w:w="1575"/>
        <w:gridCol w:w="1472"/>
        <w:gridCol w:w="1016"/>
        <w:gridCol w:w="1376"/>
        <w:gridCol w:w="135"/>
        <w:gridCol w:w="1314"/>
        <w:gridCol w:w="952"/>
      </w:tblGrid>
      <w:tr w:rsidR="00FC5C72" w:rsidRPr="00FC5C72" w14:paraId="024AEC31" w14:textId="77777777" w:rsidTr="009040D7">
        <w:tc>
          <w:tcPr>
            <w:tcW w:w="1050" w:type="pct"/>
          </w:tcPr>
          <w:p w14:paraId="48436F8C" w14:textId="7A0D1AB3" w:rsidR="004909AD" w:rsidRPr="00FC5C72" w:rsidRDefault="004909AD" w:rsidP="00785B18">
            <w:pPr>
              <w:keepNext/>
              <w:keepLines/>
              <w:spacing w:after="0" w:line="240" w:lineRule="auto"/>
              <w:contextualSpacing/>
              <w:jc w:val="both"/>
              <w:rPr>
                <w:rFonts w:ascii="Sylfaen" w:eastAsia="MS Mincho" w:hAnsi="Sylfaen"/>
                <w:b/>
                <w:noProof/>
                <w:sz w:val="24"/>
                <w:szCs w:val="24"/>
              </w:rPr>
            </w:pPr>
            <w:r w:rsidRPr="00FC5C72">
              <w:rPr>
                <w:rFonts w:ascii="Sylfaen" w:hAnsi="Sylfaen"/>
                <w:b/>
                <w:noProof/>
                <w:sz w:val="24"/>
                <w:szCs w:val="24"/>
              </w:rPr>
              <w:lastRenderedPageBreak/>
              <w:t>კვლევა</w:t>
            </w:r>
          </w:p>
        </w:tc>
        <w:tc>
          <w:tcPr>
            <w:tcW w:w="2052" w:type="pct"/>
            <w:gridSpan w:val="4"/>
          </w:tcPr>
          <w:p w14:paraId="5E1B30C3" w14:textId="24324E59" w:rsidR="004909AD" w:rsidRPr="00FC5C72" w:rsidRDefault="004909AD" w:rsidP="00785B18">
            <w:pPr>
              <w:keepNext/>
              <w:keepLines/>
              <w:spacing w:after="0" w:line="240" w:lineRule="auto"/>
              <w:contextualSpacing/>
              <w:jc w:val="both"/>
              <w:rPr>
                <w:rFonts w:ascii="Times New Roman" w:eastAsia="MS Mincho" w:hAnsi="Times New Roman"/>
                <w:b/>
                <w:noProof/>
                <w:sz w:val="24"/>
                <w:szCs w:val="24"/>
              </w:rPr>
            </w:pPr>
            <w:r w:rsidRPr="00FC5C72">
              <w:rPr>
                <w:rFonts w:ascii="Times New Roman" w:hAnsi="Times New Roman"/>
                <w:b/>
                <w:noProof/>
                <w:sz w:val="24"/>
                <w:szCs w:val="24"/>
              </w:rPr>
              <w:t>ADVANCE-3 (</w:t>
            </w:r>
            <w:r w:rsidRPr="00FC5C72">
              <w:rPr>
                <w:rFonts w:ascii="Sylfaen" w:hAnsi="Sylfaen"/>
                <w:b/>
                <w:noProof/>
                <w:sz w:val="24"/>
                <w:szCs w:val="24"/>
              </w:rPr>
              <w:t>მენჯ-ბარძაყის სახსარი</w:t>
            </w:r>
            <w:r w:rsidRPr="00FC5C72">
              <w:rPr>
                <w:rFonts w:ascii="Times New Roman" w:hAnsi="Times New Roman"/>
                <w:b/>
                <w:noProof/>
                <w:sz w:val="24"/>
                <w:szCs w:val="24"/>
              </w:rPr>
              <w:t>)</w:t>
            </w:r>
          </w:p>
        </w:tc>
        <w:tc>
          <w:tcPr>
            <w:tcW w:w="1898" w:type="pct"/>
            <w:gridSpan w:val="4"/>
          </w:tcPr>
          <w:p w14:paraId="542AA00D" w14:textId="5D879F3C" w:rsidR="004909AD" w:rsidRPr="00FC5C72" w:rsidRDefault="004909AD" w:rsidP="00785B18">
            <w:pPr>
              <w:keepNext/>
              <w:keepLines/>
              <w:spacing w:after="0" w:line="240" w:lineRule="auto"/>
              <w:contextualSpacing/>
              <w:jc w:val="both"/>
              <w:rPr>
                <w:rFonts w:ascii="Times New Roman" w:eastAsia="MS Mincho" w:hAnsi="Times New Roman"/>
                <w:b/>
                <w:noProof/>
                <w:sz w:val="24"/>
                <w:szCs w:val="24"/>
              </w:rPr>
            </w:pPr>
            <w:r w:rsidRPr="00FC5C72">
              <w:rPr>
                <w:rFonts w:ascii="Times New Roman" w:hAnsi="Times New Roman"/>
                <w:b/>
                <w:noProof/>
                <w:sz w:val="24"/>
                <w:szCs w:val="24"/>
              </w:rPr>
              <w:t>ADVANCE-2 (</w:t>
            </w:r>
            <w:r w:rsidRPr="00FC5C72">
              <w:rPr>
                <w:rFonts w:ascii="Sylfaen" w:hAnsi="Sylfaen"/>
                <w:b/>
                <w:noProof/>
                <w:sz w:val="24"/>
                <w:szCs w:val="24"/>
              </w:rPr>
              <w:t>მუხლის სახსარი</w:t>
            </w:r>
            <w:r w:rsidRPr="00FC5C72">
              <w:rPr>
                <w:rFonts w:ascii="Times New Roman" w:hAnsi="Times New Roman"/>
                <w:b/>
                <w:noProof/>
                <w:sz w:val="24"/>
                <w:szCs w:val="24"/>
              </w:rPr>
              <w:t>)</w:t>
            </w:r>
          </w:p>
        </w:tc>
      </w:tr>
      <w:tr w:rsidR="00FC5C72" w:rsidRPr="00FC5C72" w14:paraId="22379B5F" w14:textId="77777777" w:rsidTr="009040D7">
        <w:tc>
          <w:tcPr>
            <w:tcW w:w="1050" w:type="pct"/>
          </w:tcPr>
          <w:p w14:paraId="0F53C2A2" w14:textId="743A3AD9" w:rsidR="004909AD" w:rsidRPr="00FC5C72" w:rsidRDefault="004909AD"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საკვლევი თერაპია</w:t>
            </w:r>
          </w:p>
          <w:p w14:paraId="1B5E887D" w14:textId="718A17AA" w:rsidR="004909AD" w:rsidRPr="00FC5C72" w:rsidRDefault="004909AD"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დოზა</w:t>
            </w:r>
          </w:p>
          <w:p w14:paraId="14A6E068" w14:textId="77777777" w:rsidR="004909AD" w:rsidRPr="00FC5C72" w:rsidRDefault="004909AD" w:rsidP="00785B18">
            <w:pPr>
              <w:keepNext/>
              <w:keepLines/>
              <w:spacing w:after="0" w:line="240" w:lineRule="auto"/>
              <w:contextualSpacing/>
              <w:jc w:val="both"/>
              <w:rPr>
                <w:rFonts w:ascii="Times New Roman" w:hAnsi="Times New Roman"/>
                <w:noProof/>
                <w:sz w:val="24"/>
                <w:szCs w:val="24"/>
              </w:rPr>
            </w:pPr>
          </w:p>
          <w:p w14:paraId="60FBA3B6" w14:textId="77777777" w:rsidR="004909AD" w:rsidRPr="00FC5C72" w:rsidRDefault="004909AD" w:rsidP="00785B18">
            <w:pPr>
              <w:keepNext/>
              <w:keepLines/>
              <w:spacing w:after="0" w:line="240" w:lineRule="auto"/>
              <w:contextualSpacing/>
              <w:jc w:val="both"/>
              <w:rPr>
                <w:rFonts w:ascii="Times New Roman" w:hAnsi="Times New Roman"/>
                <w:noProof/>
                <w:sz w:val="24"/>
                <w:szCs w:val="24"/>
              </w:rPr>
            </w:pPr>
          </w:p>
          <w:p w14:paraId="30C46438" w14:textId="3DB29531" w:rsidR="004909AD" w:rsidRPr="00FC5C72" w:rsidRDefault="004909AD" w:rsidP="00785B18">
            <w:pPr>
              <w:keepNext/>
              <w:keepLines/>
              <w:spacing w:after="0" w:line="240" w:lineRule="auto"/>
              <w:contextualSpacing/>
              <w:jc w:val="both"/>
              <w:rPr>
                <w:noProof/>
                <w:sz w:val="24"/>
                <w:szCs w:val="24"/>
              </w:rPr>
            </w:pPr>
          </w:p>
          <w:p w14:paraId="07125890" w14:textId="77777777" w:rsidR="00D65700" w:rsidRPr="00FC5C72" w:rsidRDefault="00D65700" w:rsidP="00785B18">
            <w:pPr>
              <w:keepNext/>
              <w:keepLines/>
              <w:spacing w:after="0" w:line="240" w:lineRule="auto"/>
              <w:contextualSpacing/>
              <w:jc w:val="both"/>
              <w:rPr>
                <w:noProof/>
                <w:sz w:val="24"/>
                <w:szCs w:val="24"/>
              </w:rPr>
            </w:pPr>
          </w:p>
          <w:p w14:paraId="79458FC8" w14:textId="2ED1A452" w:rsidR="004909AD" w:rsidRPr="00FC5C72" w:rsidRDefault="004909AD" w:rsidP="00785B18">
            <w:pPr>
              <w:keepNext/>
              <w:keepLines/>
              <w:spacing w:after="0" w:line="240" w:lineRule="auto"/>
              <w:contextualSpacing/>
              <w:jc w:val="both"/>
              <w:rPr>
                <w:rFonts w:ascii="Times New Roman" w:eastAsia="MS Mincho" w:hAnsi="Times New Roman"/>
                <w:noProof/>
                <w:sz w:val="24"/>
                <w:szCs w:val="24"/>
              </w:rPr>
            </w:pPr>
            <w:r w:rsidRPr="00FC5C72">
              <w:rPr>
                <w:rFonts w:ascii="Sylfaen" w:hAnsi="Sylfaen"/>
                <w:noProof/>
                <w:sz w:val="24"/>
                <w:szCs w:val="24"/>
              </w:rPr>
              <w:t>თერაპიის ხანგრძლივობა</w:t>
            </w:r>
            <w:r w:rsidRPr="00FC5C72">
              <w:rPr>
                <w:rFonts w:ascii="Times New Roman" w:hAnsi="Times New Roman"/>
                <w:noProof/>
                <w:sz w:val="24"/>
                <w:szCs w:val="24"/>
              </w:rPr>
              <w:t xml:space="preserve"> </w:t>
            </w:r>
          </w:p>
        </w:tc>
        <w:tc>
          <w:tcPr>
            <w:tcW w:w="804" w:type="pct"/>
            <w:gridSpan w:val="2"/>
          </w:tcPr>
          <w:p w14:paraId="7CA9EAE2" w14:textId="75368E3E" w:rsidR="004909AD" w:rsidRPr="00FC5C72" w:rsidRDefault="00D65700"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აპიქსაბანი</w:t>
            </w:r>
          </w:p>
          <w:p w14:paraId="1DA4CA6D" w14:textId="1E8D4FAC" w:rsidR="004909AD" w:rsidRPr="00FC5C72" w:rsidRDefault="004909AD" w:rsidP="00785B18">
            <w:pPr>
              <w:keepNext/>
              <w:keepLines/>
              <w:spacing w:after="0" w:line="240" w:lineRule="auto"/>
              <w:contextualSpacing/>
              <w:jc w:val="both"/>
              <w:rPr>
                <w:rFonts w:ascii="Sylfaen" w:eastAsia="MS Mincho" w:hAnsi="Sylfaen"/>
                <w:noProof/>
                <w:sz w:val="24"/>
                <w:szCs w:val="24"/>
              </w:rPr>
            </w:pPr>
            <w:r w:rsidRPr="00FC5C72">
              <w:rPr>
                <w:rFonts w:ascii="Times New Roman" w:hAnsi="Times New Roman"/>
                <w:noProof/>
                <w:sz w:val="24"/>
                <w:szCs w:val="24"/>
              </w:rPr>
              <w:t>2,5 </w:t>
            </w:r>
            <w:r w:rsidR="00D65700" w:rsidRPr="00FC5C72">
              <w:rPr>
                <w:rFonts w:ascii="Sylfaen" w:hAnsi="Sylfaen"/>
                <w:noProof/>
                <w:sz w:val="24"/>
                <w:szCs w:val="24"/>
              </w:rPr>
              <w:t>მგ პ/ო ორჯერ დღე-ღამეში</w:t>
            </w:r>
          </w:p>
          <w:p w14:paraId="55F687D8" w14:textId="61D5E85C" w:rsidR="004909AD" w:rsidRPr="00FC5C72" w:rsidRDefault="004909AD" w:rsidP="00785B18">
            <w:pPr>
              <w:keepNext/>
              <w:keepLines/>
              <w:spacing w:after="0" w:line="240" w:lineRule="auto"/>
              <w:contextualSpacing/>
              <w:jc w:val="both"/>
              <w:rPr>
                <w:noProof/>
                <w:sz w:val="24"/>
                <w:szCs w:val="24"/>
              </w:rPr>
            </w:pPr>
          </w:p>
          <w:p w14:paraId="663FEEA1" w14:textId="77777777" w:rsidR="00D65700" w:rsidRPr="00FC5C72" w:rsidRDefault="00D65700" w:rsidP="00785B18">
            <w:pPr>
              <w:keepNext/>
              <w:keepLines/>
              <w:spacing w:after="0" w:line="240" w:lineRule="auto"/>
              <w:contextualSpacing/>
              <w:jc w:val="both"/>
              <w:rPr>
                <w:noProof/>
                <w:sz w:val="24"/>
                <w:szCs w:val="24"/>
              </w:rPr>
            </w:pPr>
          </w:p>
          <w:p w14:paraId="6DC657E9" w14:textId="77777777" w:rsidR="004909AD" w:rsidRPr="00FC5C72" w:rsidRDefault="004909AD" w:rsidP="00785B18">
            <w:pPr>
              <w:keepNext/>
              <w:keepLines/>
              <w:spacing w:after="0" w:line="240" w:lineRule="auto"/>
              <w:contextualSpacing/>
              <w:jc w:val="both"/>
              <w:rPr>
                <w:rFonts w:ascii="Times New Roman" w:hAnsi="Times New Roman"/>
                <w:noProof/>
                <w:sz w:val="20"/>
                <w:szCs w:val="20"/>
              </w:rPr>
            </w:pPr>
          </w:p>
          <w:p w14:paraId="4E513100" w14:textId="77777777" w:rsidR="00D65700" w:rsidRPr="00FC5C72" w:rsidRDefault="004909AD" w:rsidP="00785B18">
            <w:pPr>
              <w:keepNext/>
              <w:keepLines/>
              <w:spacing w:after="0" w:line="240" w:lineRule="auto"/>
              <w:contextualSpacing/>
              <w:jc w:val="both"/>
              <w:rPr>
                <w:noProof/>
                <w:sz w:val="24"/>
                <w:szCs w:val="24"/>
              </w:rPr>
            </w:pPr>
            <w:r w:rsidRPr="00FC5C72">
              <w:rPr>
                <w:rFonts w:ascii="Times New Roman" w:hAnsi="Times New Roman"/>
                <w:noProof/>
                <w:sz w:val="24"/>
                <w:szCs w:val="24"/>
              </w:rPr>
              <w:t>35 </w:t>
            </w:r>
            <w:r w:rsidR="00D65700" w:rsidRPr="00FC5C72">
              <w:rPr>
                <w:rFonts w:ascii="Sylfaen" w:hAnsi="Sylfaen"/>
                <w:noProof/>
                <w:sz w:val="24"/>
                <w:szCs w:val="24"/>
              </w:rPr>
              <w:t>დღე</w:t>
            </w:r>
            <w:r w:rsidRPr="00FC5C72">
              <w:rPr>
                <w:rFonts w:ascii="Times New Roman" w:hAnsi="Times New Roman"/>
                <w:noProof/>
                <w:sz w:val="24"/>
                <w:szCs w:val="24"/>
              </w:rPr>
              <w:t>±3 </w:t>
            </w:r>
          </w:p>
          <w:p w14:paraId="6D277BCE" w14:textId="65DC4508" w:rsidR="004909AD" w:rsidRPr="00FC5C72" w:rsidRDefault="00D65700"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დღე</w:t>
            </w:r>
          </w:p>
        </w:tc>
        <w:tc>
          <w:tcPr>
            <w:tcW w:w="739" w:type="pct"/>
          </w:tcPr>
          <w:p w14:paraId="1EC578E9" w14:textId="4D3E186C" w:rsidR="004909AD" w:rsidRPr="00FC5C72" w:rsidRDefault="00D65700" w:rsidP="00785B18">
            <w:pPr>
              <w:keepNext/>
              <w:keepLines/>
              <w:spacing w:after="0" w:line="240" w:lineRule="auto"/>
              <w:contextualSpacing/>
              <w:jc w:val="both"/>
              <w:rPr>
                <w:rFonts w:ascii="Sylfaen" w:eastAsia="MS Mincho" w:hAnsi="Sylfaen"/>
                <w:noProof/>
              </w:rPr>
            </w:pPr>
            <w:r w:rsidRPr="00FC5C72">
              <w:rPr>
                <w:rFonts w:ascii="Sylfaen" w:hAnsi="Sylfaen"/>
                <w:noProof/>
              </w:rPr>
              <w:t>ენოქსაპარინი</w:t>
            </w:r>
          </w:p>
          <w:p w14:paraId="18BC4BDA" w14:textId="6C78A2E7" w:rsidR="004909AD" w:rsidRPr="00FC5C72" w:rsidRDefault="004909AD" w:rsidP="00785B18">
            <w:pPr>
              <w:keepNext/>
              <w:keepLines/>
              <w:spacing w:after="0" w:line="240" w:lineRule="auto"/>
              <w:contextualSpacing/>
              <w:jc w:val="both"/>
              <w:rPr>
                <w:rFonts w:ascii="Sylfaen" w:eastAsia="MS Mincho" w:hAnsi="Sylfaen"/>
                <w:noProof/>
              </w:rPr>
            </w:pPr>
            <w:r w:rsidRPr="00FC5C72">
              <w:rPr>
                <w:rFonts w:ascii="Times New Roman" w:hAnsi="Times New Roman"/>
                <w:noProof/>
              </w:rPr>
              <w:t>40 </w:t>
            </w:r>
            <w:r w:rsidR="00D65700" w:rsidRPr="00FC5C72">
              <w:rPr>
                <w:rFonts w:ascii="Sylfaen" w:hAnsi="Sylfaen"/>
                <w:noProof/>
              </w:rPr>
              <w:t>მგ</w:t>
            </w:r>
            <w:r w:rsidRPr="00FC5C72">
              <w:rPr>
                <w:rFonts w:ascii="Times New Roman" w:hAnsi="Times New Roman"/>
                <w:noProof/>
              </w:rPr>
              <w:t xml:space="preserve"> </w:t>
            </w:r>
            <w:r w:rsidR="00D65700" w:rsidRPr="00FC5C72">
              <w:rPr>
                <w:rFonts w:ascii="Sylfaen" w:hAnsi="Sylfaen"/>
                <w:noProof/>
              </w:rPr>
              <w:t>კ/ქ</w:t>
            </w:r>
            <w:r w:rsidRPr="00FC5C72">
              <w:rPr>
                <w:rFonts w:ascii="Times New Roman" w:hAnsi="Times New Roman"/>
                <w:noProof/>
              </w:rPr>
              <w:t xml:space="preserve"> </w:t>
            </w:r>
            <w:r w:rsidR="00D65700" w:rsidRPr="00FC5C72">
              <w:rPr>
                <w:rFonts w:ascii="Sylfaen" w:hAnsi="Sylfaen"/>
                <w:noProof/>
              </w:rPr>
              <w:t>ერთხელ დღე-ღამეში</w:t>
            </w:r>
          </w:p>
          <w:p w14:paraId="0AB6AF6F" w14:textId="295911FB" w:rsidR="004909AD" w:rsidRPr="00FC5C72" w:rsidRDefault="004909AD" w:rsidP="00785B18">
            <w:pPr>
              <w:keepNext/>
              <w:keepLines/>
              <w:spacing w:after="0" w:line="240" w:lineRule="auto"/>
              <w:ind w:right="-120"/>
              <w:contextualSpacing/>
              <w:jc w:val="both"/>
              <w:rPr>
                <w:noProof/>
                <w:sz w:val="24"/>
                <w:szCs w:val="24"/>
              </w:rPr>
            </w:pPr>
          </w:p>
          <w:p w14:paraId="5913A60B" w14:textId="77777777" w:rsidR="00D65700" w:rsidRPr="00FC5C72" w:rsidRDefault="00D65700" w:rsidP="00785B18">
            <w:pPr>
              <w:keepNext/>
              <w:keepLines/>
              <w:spacing w:after="0" w:line="240" w:lineRule="auto"/>
              <w:ind w:right="-120"/>
              <w:contextualSpacing/>
              <w:jc w:val="both"/>
              <w:rPr>
                <w:noProof/>
                <w:sz w:val="24"/>
                <w:szCs w:val="24"/>
              </w:rPr>
            </w:pPr>
          </w:p>
          <w:p w14:paraId="57AC38BD" w14:textId="77777777" w:rsidR="00D65700" w:rsidRPr="00FC5C72" w:rsidRDefault="00D65700" w:rsidP="00785B18">
            <w:pPr>
              <w:keepNext/>
              <w:keepLines/>
              <w:spacing w:after="0" w:line="240" w:lineRule="auto"/>
              <w:ind w:right="-120"/>
              <w:contextualSpacing/>
              <w:jc w:val="both"/>
              <w:rPr>
                <w:noProof/>
                <w:sz w:val="24"/>
                <w:szCs w:val="24"/>
              </w:rPr>
            </w:pPr>
            <w:r w:rsidRPr="00FC5C72">
              <w:rPr>
                <w:rFonts w:ascii="Times New Roman" w:hAnsi="Times New Roman"/>
                <w:noProof/>
                <w:sz w:val="24"/>
                <w:szCs w:val="24"/>
              </w:rPr>
              <w:t>35 </w:t>
            </w:r>
            <w:r w:rsidRPr="00FC5C72">
              <w:rPr>
                <w:rFonts w:ascii="Sylfaen" w:hAnsi="Sylfaen"/>
                <w:noProof/>
                <w:sz w:val="24"/>
                <w:szCs w:val="24"/>
              </w:rPr>
              <w:t>დღე</w:t>
            </w:r>
            <w:r w:rsidRPr="00FC5C72">
              <w:rPr>
                <w:rFonts w:ascii="Times New Roman" w:hAnsi="Times New Roman"/>
                <w:noProof/>
                <w:sz w:val="24"/>
                <w:szCs w:val="24"/>
              </w:rPr>
              <w:t>±3 </w:t>
            </w:r>
          </w:p>
          <w:p w14:paraId="1D74E282" w14:textId="1BD1B8D3" w:rsidR="004909AD" w:rsidRPr="00FC5C72" w:rsidRDefault="00D65700" w:rsidP="00785B18">
            <w:pPr>
              <w:keepNext/>
              <w:keepLines/>
              <w:spacing w:after="0" w:line="240" w:lineRule="auto"/>
              <w:ind w:right="-120"/>
              <w:contextualSpacing/>
              <w:jc w:val="both"/>
              <w:rPr>
                <w:rFonts w:ascii="Times New Roman" w:eastAsia="MS Mincho" w:hAnsi="Times New Roman"/>
                <w:noProof/>
                <w:sz w:val="24"/>
                <w:szCs w:val="24"/>
              </w:rPr>
            </w:pPr>
            <w:r w:rsidRPr="00FC5C72">
              <w:rPr>
                <w:rFonts w:ascii="Sylfaen" w:hAnsi="Sylfaen"/>
                <w:noProof/>
                <w:sz w:val="24"/>
                <w:szCs w:val="24"/>
              </w:rPr>
              <w:t>დღე</w:t>
            </w:r>
          </w:p>
        </w:tc>
        <w:tc>
          <w:tcPr>
            <w:tcW w:w="510" w:type="pct"/>
          </w:tcPr>
          <w:p w14:paraId="28225D02" w14:textId="217BBC56" w:rsidR="004909AD" w:rsidRPr="00FC5C72" w:rsidRDefault="004909AD" w:rsidP="00785B18">
            <w:pPr>
              <w:keepNext/>
              <w:keepLines/>
              <w:spacing w:after="0" w:line="240" w:lineRule="auto"/>
              <w:contextualSpacing/>
              <w:jc w:val="both"/>
              <w:rPr>
                <w:rFonts w:ascii="Sylfaen" w:eastAsia="MS Mincho" w:hAnsi="Sylfaen"/>
                <w:noProof/>
                <w:sz w:val="24"/>
                <w:szCs w:val="24"/>
                <w:lang w:val="en-US"/>
              </w:rPr>
            </w:pPr>
            <w:r w:rsidRPr="00FC5C72">
              <w:rPr>
                <w:rFonts w:ascii="Times New Roman" w:hAnsi="Times New Roman"/>
                <w:noProof/>
                <w:sz w:val="24"/>
                <w:szCs w:val="24"/>
              </w:rPr>
              <w:t>p-</w:t>
            </w:r>
            <w:r w:rsidR="00D65700" w:rsidRPr="00FC5C72">
              <w:rPr>
                <w:rFonts w:ascii="Sylfaen" w:hAnsi="Sylfaen"/>
                <w:noProof/>
                <w:sz w:val="24"/>
                <w:szCs w:val="24"/>
              </w:rPr>
              <w:t>მნიშვნელობა</w:t>
            </w:r>
          </w:p>
        </w:tc>
        <w:tc>
          <w:tcPr>
            <w:tcW w:w="691" w:type="pct"/>
          </w:tcPr>
          <w:p w14:paraId="27EC5FAA" w14:textId="77777777" w:rsidR="00D65700" w:rsidRPr="00FC5C72" w:rsidRDefault="00D65700"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აპიქსაბანი</w:t>
            </w:r>
          </w:p>
          <w:p w14:paraId="321ED71F" w14:textId="77777777" w:rsidR="00D65700" w:rsidRPr="00FC5C72" w:rsidRDefault="00D65700" w:rsidP="00785B18">
            <w:pPr>
              <w:keepNext/>
              <w:keepLines/>
              <w:spacing w:after="0" w:line="240" w:lineRule="auto"/>
              <w:contextualSpacing/>
              <w:jc w:val="both"/>
              <w:rPr>
                <w:rFonts w:ascii="Sylfaen" w:eastAsia="MS Mincho" w:hAnsi="Sylfaen"/>
                <w:noProof/>
                <w:sz w:val="24"/>
                <w:szCs w:val="24"/>
              </w:rPr>
            </w:pPr>
            <w:r w:rsidRPr="00FC5C72">
              <w:rPr>
                <w:rFonts w:ascii="Times New Roman" w:hAnsi="Times New Roman"/>
                <w:noProof/>
                <w:sz w:val="24"/>
                <w:szCs w:val="24"/>
              </w:rPr>
              <w:t>2,5 </w:t>
            </w:r>
            <w:r w:rsidRPr="00FC5C72">
              <w:rPr>
                <w:rFonts w:ascii="Sylfaen" w:hAnsi="Sylfaen"/>
                <w:noProof/>
                <w:sz w:val="24"/>
                <w:szCs w:val="24"/>
              </w:rPr>
              <w:t>მგ პ/ო ორჯერ დღე-ღამეში</w:t>
            </w:r>
          </w:p>
          <w:p w14:paraId="41CA2E11" w14:textId="77777777" w:rsidR="004909AD" w:rsidRPr="00FC5C72" w:rsidRDefault="004909AD" w:rsidP="00785B18">
            <w:pPr>
              <w:keepNext/>
              <w:keepLines/>
              <w:spacing w:after="0" w:line="240" w:lineRule="auto"/>
              <w:ind w:left="-94" w:right="-138"/>
              <w:contextualSpacing/>
              <w:jc w:val="both"/>
              <w:rPr>
                <w:rFonts w:ascii="Times New Roman" w:hAnsi="Times New Roman"/>
                <w:noProof/>
                <w:sz w:val="24"/>
                <w:szCs w:val="24"/>
              </w:rPr>
            </w:pPr>
          </w:p>
          <w:p w14:paraId="5A5DA676" w14:textId="77777777" w:rsidR="00D65700" w:rsidRPr="00FC5C72" w:rsidRDefault="004909AD" w:rsidP="00785B18">
            <w:pPr>
              <w:keepNext/>
              <w:keepLines/>
              <w:spacing w:after="0" w:line="240" w:lineRule="auto"/>
              <w:ind w:left="-94" w:right="-138"/>
              <w:contextualSpacing/>
              <w:jc w:val="both"/>
              <w:rPr>
                <w:noProof/>
                <w:sz w:val="24"/>
                <w:szCs w:val="24"/>
              </w:rPr>
            </w:pPr>
            <w:r w:rsidRPr="00FC5C72">
              <w:rPr>
                <w:rFonts w:ascii="Times New Roman" w:hAnsi="Times New Roman"/>
                <w:noProof/>
                <w:sz w:val="24"/>
                <w:szCs w:val="24"/>
              </w:rPr>
              <w:t>12 </w:t>
            </w:r>
            <w:r w:rsidR="00D65700" w:rsidRPr="00FC5C72">
              <w:rPr>
                <w:rFonts w:ascii="Sylfaen" w:hAnsi="Sylfaen"/>
                <w:noProof/>
                <w:sz w:val="24"/>
                <w:szCs w:val="24"/>
              </w:rPr>
              <w:t>დღე</w:t>
            </w:r>
            <w:r w:rsidRPr="00FC5C72">
              <w:rPr>
                <w:rFonts w:ascii="Times New Roman" w:hAnsi="Times New Roman"/>
                <w:noProof/>
                <w:sz w:val="24"/>
                <w:szCs w:val="24"/>
              </w:rPr>
              <w:t>±2 </w:t>
            </w:r>
          </w:p>
          <w:p w14:paraId="045612A7" w14:textId="05098C72" w:rsidR="004909AD" w:rsidRPr="00FC5C72" w:rsidRDefault="00D65700" w:rsidP="00785B18">
            <w:pPr>
              <w:keepNext/>
              <w:keepLines/>
              <w:spacing w:after="0" w:line="240" w:lineRule="auto"/>
              <w:ind w:left="-94" w:right="-138"/>
              <w:contextualSpacing/>
              <w:jc w:val="both"/>
              <w:rPr>
                <w:rFonts w:ascii="Sylfaen" w:eastAsia="MS Mincho" w:hAnsi="Sylfaen"/>
                <w:noProof/>
                <w:sz w:val="24"/>
                <w:szCs w:val="24"/>
              </w:rPr>
            </w:pPr>
            <w:r w:rsidRPr="00FC5C72">
              <w:rPr>
                <w:rFonts w:ascii="Sylfaen" w:hAnsi="Sylfaen"/>
                <w:noProof/>
                <w:sz w:val="24"/>
                <w:szCs w:val="24"/>
              </w:rPr>
              <w:t>დღე</w:t>
            </w:r>
          </w:p>
        </w:tc>
        <w:tc>
          <w:tcPr>
            <w:tcW w:w="728" w:type="pct"/>
            <w:gridSpan w:val="2"/>
          </w:tcPr>
          <w:p w14:paraId="0BA02603" w14:textId="77777777" w:rsidR="00D65700" w:rsidRPr="00FC5C72" w:rsidRDefault="00D65700" w:rsidP="00785B18">
            <w:pPr>
              <w:keepNext/>
              <w:keepLines/>
              <w:spacing w:after="0" w:line="240" w:lineRule="auto"/>
              <w:contextualSpacing/>
              <w:jc w:val="both"/>
              <w:rPr>
                <w:rFonts w:ascii="Sylfaen" w:eastAsia="MS Mincho" w:hAnsi="Sylfaen"/>
                <w:noProof/>
              </w:rPr>
            </w:pPr>
            <w:r w:rsidRPr="00FC5C72">
              <w:rPr>
                <w:rFonts w:ascii="Sylfaen" w:hAnsi="Sylfaen"/>
                <w:noProof/>
              </w:rPr>
              <w:t>ენოქსაპარინი</w:t>
            </w:r>
          </w:p>
          <w:p w14:paraId="19DEF432" w14:textId="77777777" w:rsidR="00D65700" w:rsidRPr="00FC5C72" w:rsidRDefault="00D65700" w:rsidP="00785B18">
            <w:pPr>
              <w:keepNext/>
              <w:keepLines/>
              <w:spacing w:after="0" w:line="240" w:lineRule="auto"/>
              <w:contextualSpacing/>
              <w:jc w:val="both"/>
              <w:rPr>
                <w:rFonts w:ascii="Sylfaen" w:eastAsia="MS Mincho" w:hAnsi="Sylfaen"/>
                <w:noProof/>
              </w:rPr>
            </w:pPr>
            <w:r w:rsidRPr="00FC5C72">
              <w:rPr>
                <w:rFonts w:ascii="Times New Roman" w:hAnsi="Times New Roman"/>
                <w:noProof/>
              </w:rPr>
              <w:t>40 </w:t>
            </w:r>
            <w:r w:rsidRPr="00FC5C72">
              <w:rPr>
                <w:rFonts w:ascii="Sylfaen" w:hAnsi="Sylfaen"/>
                <w:noProof/>
              </w:rPr>
              <w:t>მგ</w:t>
            </w:r>
            <w:r w:rsidRPr="00FC5C72">
              <w:rPr>
                <w:rFonts w:ascii="Times New Roman" w:hAnsi="Times New Roman"/>
                <w:noProof/>
              </w:rPr>
              <w:t xml:space="preserve"> </w:t>
            </w:r>
            <w:r w:rsidRPr="00FC5C72">
              <w:rPr>
                <w:rFonts w:ascii="Sylfaen" w:hAnsi="Sylfaen"/>
                <w:noProof/>
              </w:rPr>
              <w:t>კ/ქ</w:t>
            </w:r>
            <w:r w:rsidRPr="00FC5C72">
              <w:rPr>
                <w:rFonts w:ascii="Times New Roman" w:hAnsi="Times New Roman"/>
                <w:noProof/>
              </w:rPr>
              <w:t xml:space="preserve"> </w:t>
            </w:r>
            <w:r w:rsidRPr="00FC5C72">
              <w:rPr>
                <w:rFonts w:ascii="Sylfaen" w:hAnsi="Sylfaen"/>
                <w:noProof/>
              </w:rPr>
              <w:t>ერთხელ დღე-ღამეში</w:t>
            </w:r>
          </w:p>
          <w:p w14:paraId="5CC7BE55" w14:textId="7CDC5FD1" w:rsidR="004909AD" w:rsidRPr="00FC5C72" w:rsidRDefault="004909AD" w:rsidP="00785B18">
            <w:pPr>
              <w:keepNext/>
              <w:keepLines/>
              <w:spacing w:after="0" w:line="240" w:lineRule="auto"/>
              <w:ind w:left="-78" w:right="-126"/>
              <w:contextualSpacing/>
              <w:jc w:val="both"/>
              <w:rPr>
                <w:noProof/>
                <w:sz w:val="24"/>
                <w:szCs w:val="24"/>
              </w:rPr>
            </w:pPr>
          </w:p>
          <w:p w14:paraId="2D54CD69" w14:textId="77777777" w:rsidR="00D65700" w:rsidRPr="00FC5C72" w:rsidRDefault="00D65700" w:rsidP="00785B18">
            <w:pPr>
              <w:keepNext/>
              <w:keepLines/>
              <w:spacing w:after="0" w:line="240" w:lineRule="auto"/>
              <w:ind w:left="-78" w:right="-126"/>
              <w:contextualSpacing/>
              <w:jc w:val="both"/>
              <w:rPr>
                <w:noProof/>
                <w:sz w:val="24"/>
                <w:szCs w:val="24"/>
              </w:rPr>
            </w:pPr>
          </w:p>
          <w:p w14:paraId="71FA0797" w14:textId="77777777" w:rsidR="00D65700" w:rsidRPr="00FC5C72" w:rsidRDefault="00D65700" w:rsidP="00785B18">
            <w:pPr>
              <w:keepNext/>
              <w:keepLines/>
              <w:spacing w:after="0" w:line="240" w:lineRule="auto"/>
              <w:ind w:left="-78" w:right="-126"/>
              <w:contextualSpacing/>
              <w:jc w:val="both"/>
              <w:rPr>
                <w:noProof/>
                <w:sz w:val="24"/>
                <w:szCs w:val="24"/>
              </w:rPr>
            </w:pPr>
            <w:r w:rsidRPr="00FC5C72">
              <w:rPr>
                <w:rFonts w:ascii="Times New Roman" w:hAnsi="Times New Roman"/>
                <w:noProof/>
                <w:sz w:val="24"/>
                <w:szCs w:val="24"/>
              </w:rPr>
              <w:t>12 </w:t>
            </w:r>
            <w:r w:rsidRPr="00FC5C72">
              <w:rPr>
                <w:rFonts w:ascii="Sylfaen" w:hAnsi="Sylfaen"/>
                <w:noProof/>
                <w:sz w:val="24"/>
                <w:szCs w:val="24"/>
              </w:rPr>
              <w:t>დღე</w:t>
            </w:r>
            <w:r w:rsidRPr="00FC5C72">
              <w:rPr>
                <w:rFonts w:ascii="Times New Roman" w:hAnsi="Times New Roman"/>
                <w:noProof/>
                <w:sz w:val="24"/>
                <w:szCs w:val="24"/>
              </w:rPr>
              <w:t>±2 </w:t>
            </w:r>
          </w:p>
          <w:p w14:paraId="75DDA0E9" w14:textId="55C7EDC8" w:rsidR="004909AD" w:rsidRPr="00FC5C72" w:rsidRDefault="00D65700" w:rsidP="00785B18">
            <w:pPr>
              <w:keepNext/>
              <w:keepLines/>
              <w:spacing w:after="0" w:line="240" w:lineRule="auto"/>
              <w:ind w:left="-78" w:right="-126"/>
              <w:contextualSpacing/>
              <w:jc w:val="both"/>
              <w:rPr>
                <w:rFonts w:ascii="Times New Roman" w:eastAsia="MS Mincho" w:hAnsi="Times New Roman"/>
                <w:noProof/>
                <w:sz w:val="24"/>
                <w:szCs w:val="24"/>
              </w:rPr>
            </w:pPr>
            <w:r w:rsidRPr="00FC5C72">
              <w:rPr>
                <w:rFonts w:ascii="Sylfaen" w:hAnsi="Sylfaen"/>
                <w:noProof/>
                <w:sz w:val="24"/>
                <w:szCs w:val="24"/>
              </w:rPr>
              <w:t>დღე</w:t>
            </w:r>
          </w:p>
        </w:tc>
        <w:tc>
          <w:tcPr>
            <w:tcW w:w="478" w:type="pct"/>
          </w:tcPr>
          <w:p w14:paraId="52730946" w14:textId="3452805B" w:rsidR="004909AD" w:rsidRPr="00FC5C72" w:rsidRDefault="004909AD" w:rsidP="00785B18">
            <w:pPr>
              <w:keepNext/>
              <w:keepLines/>
              <w:spacing w:after="0" w:line="240" w:lineRule="auto"/>
              <w:contextualSpacing/>
              <w:jc w:val="both"/>
              <w:rPr>
                <w:rFonts w:eastAsia="MS Mincho"/>
                <w:noProof/>
                <w:sz w:val="24"/>
                <w:szCs w:val="24"/>
              </w:rPr>
            </w:pPr>
            <w:r w:rsidRPr="00FC5C72">
              <w:rPr>
                <w:rFonts w:ascii="Times New Roman" w:hAnsi="Times New Roman"/>
                <w:noProof/>
                <w:sz w:val="24"/>
                <w:szCs w:val="24"/>
              </w:rPr>
              <w:t>p-</w:t>
            </w:r>
            <w:r w:rsidR="00D65700" w:rsidRPr="00FC5C72">
              <w:rPr>
                <w:rFonts w:ascii="Sylfaen" w:hAnsi="Sylfaen"/>
                <w:noProof/>
                <w:sz w:val="24"/>
                <w:szCs w:val="24"/>
              </w:rPr>
              <w:t>მნიშვნელობა</w:t>
            </w:r>
          </w:p>
        </w:tc>
      </w:tr>
      <w:tr w:rsidR="00FC5C72" w:rsidRPr="00FC5C72" w14:paraId="070B395E" w14:textId="77777777" w:rsidTr="009040D7">
        <w:tc>
          <w:tcPr>
            <w:tcW w:w="5000" w:type="pct"/>
            <w:gridSpan w:val="9"/>
          </w:tcPr>
          <w:p w14:paraId="4A50564A" w14:textId="1056FBC7" w:rsidR="004909AD" w:rsidRPr="00FC5C72" w:rsidRDefault="00D65700" w:rsidP="00785B18">
            <w:pPr>
              <w:spacing w:after="0" w:line="240" w:lineRule="auto"/>
              <w:contextualSpacing/>
              <w:jc w:val="both"/>
              <w:rPr>
                <w:rFonts w:eastAsia="MS Mincho"/>
                <w:noProof/>
                <w:sz w:val="24"/>
                <w:szCs w:val="24"/>
              </w:rPr>
            </w:pPr>
            <w:r w:rsidRPr="00FC5C72">
              <w:rPr>
                <w:rFonts w:ascii="Sylfaen" w:hAnsi="Sylfaen"/>
                <w:noProof/>
                <w:sz w:val="24"/>
                <w:szCs w:val="24"/>
              </w:rPr>
              <w:t xml:space="preserve">ვთგ-ის/ნებისმიერი მიზეზით სიკვდილის შემთხვევათა საერთო რაოდენობა </w:t>
            </w:r>
            <w:r w:rsidRPr="00FC5C72">
              <w:rPr>
                <w:noProof/>
                <w:sz w:val="24"/>
                <w:szCs w:val="24"/>
              </w:rPr>
              <w:t xml:space="preserve"> </w:t>
            </w:r>
          </w:p>
        </w:tc>
      </w:tr>
      <w:tr w:rsidR="00FC5C72" w:rsidRPr="00FC5C72" w14:paraId="74986B18" w14:textId="77777777" w:rsidTr="009040D7">
        <w:tc>
          <w:tcPr>
            <w:tcW w:w="1063" w:type="pct"/>
            <w:gridSpan w:val="2"/>
          </w:tcPr>
          <w:p w14:paraId="28FB28AB" w14:textId="77777777" w:rsidR="00D65700" w:rsidRPr="00FC5C72" w:rsidRDefault="00D65700" w:rsidP="00785B18">
            <w:pPr>
              <w:spacing w:after="0" w:line="240" w:lineRule="auto"/>
              <w:ind w:right="-85"/>
              <w:contextualSpacing/>
              <w:jc w:val="both"/>
              <w:rPr>
                <w:rFonts w:ascii="Sylfaen" w:hAnsi="Sylfaen"/>
                <w:noProof/>
                <w:sz w:val="24"/>
                <w:szCs w:val="24"/>
              </w:rPr>
            </w:pPr>
            <w:r w:rsidRPr="00FC5C72">
              <w:rPr>
                <w:rFonts w:ascii="Sylfaen" w:hAnsi="Sylfaen"/>
                <w:noProof/>
                <w:sz w:val="24"/>
                <w:szCs w:val="24"/>
              </w:rPr>
              <w:t>შემთხვევათა/</w:t>
            </w:r>
          </w:p>
          <w:p w14:paraId="54A46E83" w14:textId="10A51AA0" w:rsidR="004909AD" w:rsidRPr="00FC5C72" w:rsidRDefault="00D65700" w:rsidP="00785B18">
            <w:pPr>
              <w:spacing w:after="0" w:line="240" w:lineRule="auto"/>
              <w:ind w:right="-85"/>
              <w:contextualSpacing/>
              <w:jc w:val="both"/>
              <w:rPr>
                <w:rFonts w:eastAsia="MS Mincho"/>
                <w:noProof/>
                <w:sz w:val="24"/>
                <w:szCs w:val="24"/>
              </w:rPr>
            </w:pPr>
            <w:r w:rsidRPr="00FC5C72">
              <w:rPr>
                <w:rFonts w:ascii="Sylfaen" w:hAnsi="Sylfaen"/>
                <w:noProof/>
                <w:sz w:val="24"/>
                <w:szCs w:val="24"/>
              </w:rPr>
              <w:t>პაციენტთა რაოდენობა</w:t>
            </w:r>
          </w:p>
          <w:p w14:paraId="43308D9A" w14:textId="5C4A06CF" w:rsidR="004909AD" w:rsidRPr="00FC5C72" w:rsidRDefault="00D65700" w:rsidP="00785B18">
            <w:pPr>
              <w:spacing w:after="0" w:line="240" w:lineRule="auto"/>
              <w:contextualSpacing/>
              <w:jc w:val="both"/>
              <w:rPr>
                <w:rFonts w:ascii="Sylfaen" w:eastAsia="MS Mincho" w:hAnsi="Sylfaen"/>
                <w:noProof/>
                <w:sz w:val="24"/>
                <w:szCs w:val="24"/>
              </w:rPr>
            </w:pPr>
            <w:r w:rsidRPr="00FC5C72">
              <w:rPr>
                <w:rFonts w:ascii="Sylfaen" w:hAnsi="Sylfaen"/>
                <w:noProof/>
                <w:sz w:val="24"/>
                <w:szCs w:val="24"/>
              </w:rPr>
              <w:t>მოვლენათა სიხშირე</w:t>
            </w:r>
          </w:p>
        </w:tc>
        <w:tc>
          <w:tcPr>
            <w:tcW w:w="791" w:type="pct"/>
          </w:tcPr>
          <w:p w14:paraId="38B52A02"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27/1949</w:t>
            </w:r>
          </w:p>
          <w:p w14:paraId="19195922" w14:textId="77777777" w:rsidR="004909AD" w:rsidRPr="00FC5C72" w:rsidRDefault="004909AD" w:rsidP="00785B18">
            <w:pPr>
              <w:spacing w:after="0" w:line="240" w:lineRule="auto"/>
              <w:contextualSpacing/>
              <w:jc w:val="both"/>
              <w:rPr>
                <w:rFonts w:ascii="Times New Roman" w:hAnsi="Times New Roman"/>
                <w:noProof/>
                <w:sz w:val="24"/>
                <w:szCs w:val="24"/>
              </w:rPr>
            </w:pPr>
          </w:p>
          <w:p w14:paraId="7C7D2EFC" w14:textId="77777777" w:rsidR="004909AD" w:rsidRPr="00FC5C72" w:rsidRDefault="004909AD" w:rsidP="00785B18">
            <w:pPr>
              <w:spacing w:after="0" w:line="240" w:lineRule="auto"/>
              <w:contextualSpacing/>
              <w:jc w:val="both"/>
              <w:rPr>
                <w:rFonts w:ascii="Times New Roman" w:hAnsi="Times New Roman"/>
                <w:noProof/>
                <w:sz w:val="24"/>
                <w:szCs w:val="24"/>
              </w:rPr>
            </w:pPr>
          </w:p>
          <w:p w14:paraId="69807E3E"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1,39%</w:t>
            </w:r>
          </w:p>
        </w:tc>
        <w:tc>
          <w:tcPr>
            <w:tcW w:w="739" w:type="pct"/>
          </w:tcPr>
          <w:p w14:paraId="017804BE"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74/1917</w:t>
            </w:r>
          </w:p>
          <w:p w14:paraId="745A95EE" w14:textId="77777777" w:rsidR="004909AD" w:rsidRPr="00FC5C72" w:rsidRDefault="004909AD" w:rsidP="00785B18">
            <w:pPr>
              <w:spacing w:after="0" w:line="240" w:lineRule="auto"/>
              <w:contextualSpacing/>
              <w:jc w:val="both"/>
              <w:rPr>
                <w:rFonts w:ascii="Times New Roman" w:hAnsi="Times New Roman"/>
                <w:noProof/>
                <w:sz w:val="24"/>
                <w:szCs w:val="24"/>
              </w:rPr>
            </w:pPr>
          </w:p>
          <w:p w14:paraId="5236D268" w14:textId="77777777" w:rsidR="004909AD" w:rsidRPr="00FC5C72" w:rsidRDefault="004909AD" w:rsidP="00785B18">
            <w:pPr>
              <w:spacing w:after="0" w:line="240" w:lineRule="auto"/>
              <w:contextualSpacing/>
              <w:jc w:val="both"/>
              <w:rPr>
                <w:rFonts w:ascii="Times New Roman" w:hAnsi="Times New Roman"/>
                <w:noProof/>
                <w:sz w:val="24"/>
                <w:szCs w:val="24"/>
              </w:rPr>
            </w:pPr>
          </w:p>
          <w:p w14:paraId="1C32CA68"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3,86%</w:t>
            </w:r>
          </w:p>
        </w:tc>
        <w:tc>
          <w:tcPr>
            <w:tcW w:w="510" w:type="pct"/>
            <w:vMerge w:val="restart"/>
            <w:vAlign w:val="center"/>
          </w:tcPr>
          <w:p w14:paraId="638BBD76"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&lt;0,0001</w:t>
            </w:r>
          </w:p>
        </w:tc>
        <w:tc>
          <w:tcPr>
            <w:tcW w:w="759" w:type="pct"/>
            <w:gridSpan w:val="2"/>
          </w:tcPr>
          <w:p w14:paraId="02F0553A"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147/976</w:t>
            </w:r>
          </w:p>
          <w:p w14:paraId="59024120" w14:textId="77777777" w:rsidR="004909AD" w:rsidRPr="00FC5C72" w:rsidRDefault="004909AD" w:rsidP="00785B18">
            <w:pPr>
              <w:spacing w:after="0" w:line="240" w:lineRule="auto"/>
              <w:contextualSpacing/>
              <w:jc w:val="both"/>
              <w:rPr>
                <w:rFonts w:ascii="Times New Roman" w:hAnsi="Times New Roman"/>
                <w:noProof/>
                <w:sz w:val="24"/>
                <w:szCs w:val="24"/>
              </w:rPr>
            </w:pPr>
          </w:p>
          <w:p w14:paraId="4689452A" w14:textId="77777777" w:rsidR="004909AD" w:rsidRPr="00FC5C72" w:rsidRDefault="004909AD" w:rsidP="00785B18">
            <w:pPr>
              <w:spacing w:after="0" w:line="240" w:lineRule="auto"/>
              <w:contextualSpacing/>
              <w:jc w:val="both"/>
              <w:rPr>
                <w:rFonts w:ascii="Times New Roman" w:hAnsi="Times New Roman"/>
                <w:noProof/>
                <w:sz w:val="24"/>
                <w:szCs w:val="24"/>
              </w:rPr>
            </w:pPr>
          </w:p>
          <w:p w14:paraId="1B2F3341"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15,06%</w:t>
            </w:r>
          </w:p>
        </w:tc>
        <w:tc>
          <w:tcPr>
            <w:tcW w:w="660" w:type="pct"/>
          </w:tcPr>
          <w:p w14:paraId="7CCDF3AA"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243/997</w:t>
            </w:r>
          </w:p>
          <w:p w14:paraId="0409C3A9" w14:textId="77777777" w:rsidR="004909AD" w:rsidRPr="00FC5C72" w:rsidRDefault="004909AD" w:rsidP="00785B18">
            <w:pPr>
              <w:spacing w:after="0" w:line="240" w:lineRule="auto"/>
              <w:contextualSpacing/>
              <w:jc w:val="both"/>
              <w:rPr>
                <w:rFonts w:ascii="Times New Roman" w:hAnsi="Times New Roman"/>
                <w:noProof/>
                <w:sz w:val="24"/>
                <w:szCs w:val="24"/>
              </w:rPr>
            </w:pPr>
          </w:p>
          <w:p w14:paraId="05A3EA76" w14:textId="77777777" w:rsidR="004909AD" w:rsidRPr="00FC5C72" w:rsidRDefault="004909AD" w:rsidP="00785B18">
            <w:pPr>
              <w:spacing w:after="0" w:line="240" w:lineRule="auto"/>
              <w:contextualSpacing/>
              <w:jc w:val="both"/>
              <w:rPr>
                <w:rFonts w:ascii="Times New Roman" w:hAnsi="Times New Roman"/>
                <w:noProof/>
                <w:sz w:val="24"/>
                <w:szCs w:val="24"/>
              </w:rPr>
            </w:pPr>
          </w:p>
          <w:p w14:paraId="7C666FF4"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24,37%</w:t>
            </w:r>
          </w:p>
        </w:tc>
        <w:tc>
          <w:tcPr>
            <w:tcW w:w="478" w:type="pct"/>
            <w:vMerge w:val="restart"/>
            <w:vAlign w:val="center"/>
          </w:tcPr>
          <w:p w14:paraId="00E1E199"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&lt;0,0001</w:t>
            </w:r>
          </w:p>
        </w:tc>
      </w:tr>
      <w:tr w:rsidR="00FC5C72" w:rsidRPr="00FC5C72" w14:paraId="2223A8B3" w14:textId="77777777" w:rsidTr="009040D7">
        <w:tc>
          <w:tcPr>
            <w:tcW w:w="1063" w:type="pct"/>
            <w:gridSpan w:val="2"/>
          </w:tcPr>
          <w:p w14:paraId="1651609F" w14:textId="488D485B" w:rsidR="004909AD" w:rsidRPr="00FC5C72" w:rsidRDefault="00D65700" w:rsidP="00785B18">
            <w:pPr>
              <w:spacing w:after="0" w:line="240" w:lineRule="auto"/>
              <w:contextualSpacing/>
              <w:jc w:val="both"/>
              <w:rPr>
                <w:rFonts w:ascii="Sylfaen" w:eastAsia="MS Mincho" w:hAnsi="Sylfaen"/>
                <w:noProof/>
                <w:sz w:val="24"/>
                <w:szCs w:val="24"/>
              </w:rPr>
            </w:pPr>
            <w:r w:rsidRPr="00FC5C72">
              <w:rPr>
                <w:rFonts w:ascii="Sylfaen" w:hAnsi="Sylfaen"/>
                <w:noProof/>
                <w:sz w:val="24"/>
                <w:szCs w:val="24"/>
              </w:rPr>
              <w:t>ფარდობითი რისკი</w:t>
            </w:r>
          </w:p>
          <w:p w14:paraId="4AF47E2A" w14:textId="4D871ED4" w:rsidR="004909AD" w:rsidRPr="00FC5C72" w:rsidRDefault="004909AD" w:rsidP="00785B18">
            <w:pPr>
              <w:spacing w:after="0" w:line="240" w:lineRule="auto"/>
              <w:contextualSpacing/>
              <w:jc w:val="both"/>
              <w:rPr>
                <w:rFonts w:ascii="Sylfaen" w:eastAsia="MS Mincho" w:hAnsi="Sylfaen"/>
                <w:noProof/>
                <w:sz w:val="24"/>
                <w:szCs w:val="24"/>
              </w:rPr>
            </w:pPr>
            <w:r w:rsidRPr="00FC5C72">
              <w:rPr>
                <w:rFonts w:ascii="Times New Roman" w:hAnsi="Times New Roman"/>
                <w:noProof/>
                <w:sz w:val="24"/>
                <w:szCs w:val="24"/>
              </w:rPr>
              <w:t>95%-</w:t>
            </w:r>
            <w:r w:rsidR="00D65700" w:rsidRPr="00FC5C72">
              <w:rPr>
                <w:rFonts w:ascii="Sylfaen" w:hAnsi="Sylfaen"/>
                <w:noProof/>
                <w:sz w:val="24"/>
                <w:szCs w:val="24"/>
              </w:rPr>
              <w:t>იანი ს/ი</w:t>
            </w:r>
          </w:p>
        </w:tc>
        <w:tc>
          <w:tcPr>
            <w:tcW w:w="791" w:type="pct"/>
          </w:tcPr>
          <w:p w14:paraId="2098F943"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0,36</w:t>
            </w:r>
          </w:p>
          <w:p w14:paraId="279F3750"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(0,22, 0,54)</w:t>
            </w:r>
          </w:p>
        </w:tc>
        <w:tc>
          <w:tcPr>
            <w:tcW w:w="739" w:type="pct"/>
          </w:tcPr>
          <w:p w14:paraId="2219C5D7"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p>
        </w:tc>
        <w:tc>
          <w:tcPr>
            <w:tcW w:w="510" w:type="pct"/>
            <w:vMerge/>
          </w:tcPr>
          <w:p w14:paraId="51C79169"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p>
        </w:tc>
        <w:tc>
          <w:tcPr>
            <w:tcW w:w="759" w:type="pct"/>
            <w:gridSpan w:val="2"/>
          </w:tcPr>
          <w:p w14:paraId="70224DD8"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0,62</w:t>
            </w:r>
          </w:p>
          <w:p w14:paraId="6F115C77"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(0,51, 0,74)</w:t>
            </w:r>
          </w:p>
        </w:tc>
        <w:tc>
          <w:tcPr>
            <w:tcW w:w="660" w:type="pct"/>
          </w:tcPr>
          <w:p w14:paraId="08152AF5"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p>
        </w:tc>
        <w:tc>
          <w:tcPr>
            <w:tcW w:w="478" w:type="pct"/>
            <w:vMerge/>
          </w:tcPr>
          <w:p w14:paraId="2F1DB7DF" w14:textId="77777777" w:rsidR="004909AD" w:rsidRPr="00FC5C72" w:rsidRDefault="004909AD" w:rsidP="00785B18">
            <w:pPr>
              <w:spacing w:after="0" w:line="240" w:lineRule="auto"/>
              <w:contextualSpacing/>
              <w:jc w:val="both"/>
              <w:rPr>
                <w:rFonts w:ascii="Times New Roman" w:eastAsia="MS Mincho" w:hAnsi="Times New Roman"/>
                <w:noProof/>
                <w:sz w:val="24"/>
                <w:szCs w:val="24"/>
              </w:rPr>
            </w:pPr>
          </w:p>
        </w:tc>
      </w:tr>
      <w:tr w:rsidR="00FC5C72" w:rsidRPr="00FC5C72" w14:paraId="533250D2" w14:textId="77777777" w:rsidTr="009040D7">
        <w:tc>
          <w:tcPr>
            <w:tcW w:w="5000" w:type="pct"/>
            <w:gridSpan w:val="9"/>
          </w:tcPr>
          <w:p w14:paraId="4D0BA7D4" w14:textId="19D8588B" w:rsidR="004909AD" w:rsidRPr="00FC5C72" w:rsidRDefault="00D65700" w:rsidP="00785B18">
            <w:pPr>
              <w:spacing w:after="0" w:line="240" w:lineRule="auto"/>
              <w:contextualSpacing/>
              <w:jc w:val="both"/>
              <w:rPr>
                <w:rFonts w:ascii="Sylfaen" w:eastAsia="MS Mincho" w:hAnsi="Sylfaen"/>
                <w:noProof/>
                <w:sz w:val="24"/>
                <w:szCs w:val="24"/>
              </w:rPr>
            </w:pPr>
            <w:r w:rsidRPr="00FC5C72">
              <w:rPr>
                <w:rFonts w:ascii="Sylfaen" w:hAnsi="Sylfaen"/>
                <w:noProof/>
                <w:sz w:val="24"/>
                <w:szCs w:val="24"/>
              </w:rPr>
              <w:t>მასიური ვთგ</w:t>
            </w:r>
          </w:p>
        </w:tc>
      </w:tr>
      <w:tr w:rsidR="00FC5C72" w:rsidRPr="00FC5C72" w14:paraId="796267F3" w14:textId="77777777" w:rsidTr="009040D7">
        <w:tc>
          <w:tcPr>
            <w:tcW w:w="1063" w:type="pct"/>
            <w:gridSpan w:val="2"/>
          </w:tcPr>
          <w:p w14:paraId="554C1115" w14:textId="77777777" w:rsidR="00D65700" w:rsidRPr="00FC5C72" w:rsidRDefault="00D65700" w:rsidP="00785B18">
            <w:pPr>
              <w:spacing w:after="0" w:line="240" w:lineRule="auto"/>
              <w:ind w:right="-85"/>
              <w:contextualSpacing/>
              <w:jc w:val="both"/>
              <w:rPr>
                <w:rFonts w:ascii="Sylfaen" w:hAnsi="Sylfaen"/>
                <w:noProof/>
                <w:sz w:val="24"/>
                <w:szCs w:val="24"/>
              </w:rPr>
            </w:pPr>
            <w:r w:rsidRPr="00FC5C72">
              <w:rPr>
                <w:rFonts w:ascii="Sylfaen" w:hAnsi="Sylfaen"/>
                <w:noProof/>
                <w:sz w:val="24"/>
                <w:szCs w:val="24"/>
              </w:rPr>
              <w:t>შემთხვევათა/</w:t>
            </w:r>
          </w:p>
          <w:p w14:paraId="623824F9" w14:textId="77777777" w:rsidR="00D65700" w:rsidRPr="00FC5C72" w:rsidRDefault="00D65700" w:rsidP="00785B18">
            <w:pPr>
              <w:spacing w:after="0" w:line="240" w:lineRule="auto"/>
              <w:ind w:right="-85"/>
              <w:contextualSpacing/>
              <w:jc w:val="both"/>
              <w:rPr>
                <w:rFonts w:eastAsia="MS Mincho"/>
                <w:noProof/>
                <w:sz w:val="24"/>
                <w:szCs w:val="24"/>
              </w:rPr>
            </w:pPr>
            <w:r w:rsidRPr="00FC5C72">
              <w:rPr>
                <w:rFonts w:ascii="Sylfaen" w:hAnsi="Sylfaen"/>
                <w:noProof/>
                <w:sz w:val="24"/>
                <w:szCs w:val="24"/>
              </w:rPr>
              <w:t>პაციენტთა რაოდენობა</w:t>
            </w:r>
          </w:p>
          <w:p w14:paraId="39D0B0A8" w14:textId="1EEF5633"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Sylfaen" w:hAnsi="Sylfaen"/>
                <w:noProof/>
                <w:sz w:val="24"/>
                <w:szCs w:val="24"/>
              </w:rPr>
              <w:t>მოვლენათა სიხშირე</w:t>
            </w:r>
          </w:p>
        </w:tc>
        <w:tc>
          <w:tcPr>
            <w:tcW w:w="791" w:type="pct"/>
          </w:tcPr>
          <w:p w14:paraId="1615E7BD"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10/2199</w:t>
            </w:r>
          </w:p>
          <w:p w14:paraId="6167F4CE" w14:textId="77777777" w:rsidR="00D65700" w:rsidRPr="00FC5C72" w:rsidRDefault="00D65700" w:rsidP="00785B18">
            <w:pPr>
              <w:spacing w:after="0" w:line="240" w:lineRule="auto"/>
              <w:contextualSpacing/>
              <w:jc w:val="both"/>
              <w:rPr>
                <w:rFonts w:ascii="Times New Roman" w:hAnsi="Times New Roman"/>
                <w:noProof/>
                <w:sz w:val="24"/>
                <w:szCs w:val="24"/>
              </w:rPr>
            </w:pPr>
          </w:p>
          <w:p w14:paraId="6C27770C" w14:textId="77777777" w:rsidR="00D65700" w:rsidRPr="00FC5C72" w:rsidRDefault="00D65700" w:rsidP="00785B18">
            <w:pPr>
              <w:spacing w:after="0" w:line="240" w:lineRule="auto"/>
              <w:contextualSpacing/>
              <w:jc w:val="both"/>
              <w:rPr>
                <w:rFonts w:ascii="Times New Roman" w:hAnsi="Times New Roman"/>
                <w:noProof/>
                <w:sz w:val="24"/>
                <w:szCs w:val="24"/>
              </w:rPr>
            </w:pPr>
          </w:p>
          <w:p w14:paraId="410EFCFF"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0,45%</w:t>
            </w:r>
          </w:p>
        </w:tc>
        <w:tc>
          <w:tcPr>
            <w:tcW w:w="739" w:type="pct"/>
          </w:tcPr>
          <w:p w14:paraId="770CA35E"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25/2195</w:t>
            </w:r>
          </w:p>
          <w:p w14:paraId="3AE43A18" w14:textId="77777777" w:rsidR="00D65700" w:rsidRPr="00FC5C72" w:rsidRDefault="00D65700" w:rsidP="00785B18">
            <w:pPr>
              <w:spacing w:after="0" w:line="240" w:lineRule="auto"/>
              <w:contextualSpacing/>
              <w:jc w:val="both"/>
              <w:rPr>
                <w:rFonts w:ascii="Times New Roman" w:hAnsi="Times New Roman"/>
                <w:noProof/>
                <w:sz w:val="24"/>
                <w:szCs w:val="24"/>
              </w:rPr>
            </w:pPr>
          </w:p>
          <w:p w14:paraId="609588C1" w14:textId="77777777" w:rsidR="00D65700" w:rsidRPr="00FC5C72" w:rsidRDefault="00D65700" w:rsidP="00785B18">
            <w:pPr>
              <w:spacing w:after="0" w:line="240" w:lineRule="auto"/>
              <w:contextualSpacing/>
              <w:jc w:val="both"/>
              <w:rPr>
                <w:rFonts w:ascii="Times New Roman" w:hAnsi="Times New Roman"/>
                <w:noProof/>
                <w:sz w:val="24"/>
                <w:szCs w:val="24"/>
              </w:rPr>
            </w:pPr>
          </w:p>
          <w:p w14:paraId="63AC2C61"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1,14%</w:t>
            </w:r>
          </w:p>
        </w:tc>
        <w:tc>
          <w:tcPr>
            <w:tcW w:w="510" w:type="pct"/>
            <w:vMerge w:val="restart"/>
            <w:vAlign w:val="center"/>
          </w:tcPr>
          <w:p w14:paraId="5F2F5E07"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0,0107</w:t>
            </w:r>
          </w:p>
        </w:tc>
        <w:tc>
          <w:tcPr>
            <w:tcW w:w="759" w:type="pct"/>
            <w:gridSpan w:val="2"/>
          </w:tcPr>
          <w:p w14:paraId="373715C0"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13/1195</w:t>
            </w:r>
          </w:p>
          <w:p w14:paraId="574A2D1B" w14:textId="77777777" w:rsidR="00D65700" w:rsidRPr="00FC5C72" w:rsidRDefault="00D65700" w:rsidP="00785B18">
            <w:pPr>
              <w:spacing w:after="0" w:line="240" w:lineRule="auto"/>
              <w:contextualSpacing/>
              <w:jc w:val="both"/>
              <w:rPr>
                <w:rFonts w:ascii="Times New Roman" w:hAnsi="Times New Roman"/>
                <w:noProof/>
                <w:sz w:val="24"/>
                <w:szCs w:val="24"/>
              </w:rPr>
            </w:pPr>
          </w:p>
          <w:p w14:paraId="53B15427" w14:textId="77777777" w:rsidR="00D65700" w:rsidRPr="00FC5C72" w:rsidRDefault="00D65700" w:rsidP="00785B18">
            <w:pPr>
              <w:spacing w:after="0" w:line="240" w:lineRule="auto"/>
              <w:contextualSpacing/>
              <w:jc w:val="both"/>
              <w:rPr>
                <w:rFonts w:ascii="Times New Roman" w:hAnsi="Times New Roman"/>
                <w:noProof/>
                <w:sz w:val="24"/>
                <w:szCs w:val="24"/>
              </w:rPr>
            </w:pPr>
          </w:p>
          <w:p w14:paraId="54F632DC"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1,09%</w:t>
            </w:r>
          </w:p>
        </w:tc>
        <w:tc>
          <w:tcPr>
            <w:tcW w:w="660" w:type="pct"/>
          </w:tcPr>
          <w:p w14:paraId="040A01D6"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26/1199</w:t>
            </w:r>
          </w:p>
          <w:p w14:paraId="0EF50F0A" w14:textId="77777777" w:rsidR="00D65700" w:rsidRPr="00FC5C72" w:rsidRDefault="00D65700" w:rsidP="00785B18">
            <w:pPr>
              <w:spacing w:after="0" w:line="240" w:lineRule="auto"/>
              <w:contextualSpacing/>
              <w:jc w:val="both"/>
              <w:rPr>
                <w:rFonts w:ascii="Times New Roman" w:hAnsi="Times New Roman"/>
                <w:noProof/>
                <w:sz w:val="24"/>
                <w:szCs w:val="24"/>
              </w:rPr>
            </w:pPr>
          </w:p>
          <w:p w14:paraId="6A4EB11F" w14:textId="77777777" w:rsidR="00D65700" w:rsidRPr="00FC5C72" w:rsidRDefault="00D65700" w:rsidP="00785B18">
            <w:pPr>
              <w:spacing w:after="0" w:line="240" w:lineRule="auto"/>
              <w:contextualSpacing/>
              <w:jc w:val="both"/>
              <w:rPr>
                <w:rFonts w:ascii="Times New Roman" w:hAnsi="Times New Roman"/>
                <w:noProof/>
                <w:sz w:val="24"/>
                <w:szCs w:val="24"/>
              </w:rPr>
            </w:pPr>
          </w:p>
          <w:p w14:paraId="67EDDED5"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2,17%</w:t>
            </w:r>
          </w:p>
        </w:tc>
        <w:tc>
          <w:tcPr>
            <w:tcW w:w="478" w:type="pct"/>
            <w:vMerge w:val="restart"/>
            <w:vAlign w:val="center"/>
          </w:tcPr>
          <w:p w14:paraId="2B8A72CA"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0,0373</w:t>
            </w:r>
          </w:p>
        </w:tc>
      </w:tr>
      <w:tr w:rsidR="00FC5C72" w:rsidRPr="00FC5C72" w14:paraId="0965E3AD" w14:textId="77777777" w:rsidTr="009040D7">
        <w:tc>
          <w:tcPr>
            <w:tcW w:w="1063" w:type="pct"/>
            <w:gridSpan w:val="2"/>
          </w:tcPr>
          <w:p w14:paraId="211C85AB" w14:textId="77777777" w:rsidR="00D65700" w:rsidRPr="00FC5C72" w:rsidRDefault="00D65700" w:rsidP="00785B18">
            <w:pPr>
              <w:spacing w:after="0" w:line="240" w:lineRule="auto"/>
              <w:contextualSpacing/>
              <w:jc w:val="both"/>
              <w:rPr>
                <w:rFonts w:ascii="Sylfaen" w:eastAsia="MS Mincho" w:hAnsi="Sylfaen"/>
                <w:noProof/>
                <w:sz w:val="24"/>
                <w:szCs w:val="24"/>
              </w:rPr>
            </w:pPr>
            <w:r w:rsidRPr="00FC5C72">
              <w:rPr>
                <w:rFonts w:ascii="Sylfaen" w:hAnsi="Sylfaen"/>
                <w:noProof/>
                <w:sz w:val="24"/>
                <w:szCs w:val="24"/>
              </w:rPr>
              <w:t>ფარდობითი რისკი</w:t>
            </w:r>
          </w:p>
          <w:p w14:paraId="1FE8B853" w14:textId="5E40C3C4"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95%-</w:t>
            </w:r>
            <w:r w:rsidRPr="00FC5C72">
              <w:rPr>
                <w:rFonts w:ascii="Sylfaen" w:hAnsi="Sylfaen"/>
                <w:noProof/>
                <w:sz w:val="24"/>
                <w:szCs w:val="24"/>
              </w:rPr>
              <w:t>იანი ს/ი</w:t>
            </w:r>
          </w:p>
        </w:tc>
        <w:tc>
          <w:tcPr>
            <w:tcW w:w="791" w:type="pct"/>
          </w:tcPr>
          <w:p w14:paraId="3DF4176D"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0,40</w:t>
            </w:r>
          </w:p>
          <w:p w14:paraId="5833912E"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(0,15, 0,80)</w:t>
            </w:r>
          </w:p>
        </w:tc>
        <w:tc>
          <w:tcPr>
            <w:tcW w:w="739" w:type="pct"/>
          </w:tcPr>
          <w:p w14:paraId="4D5570B8"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p>
        </w:tc>
        <w:tc>
          <w:tcPr>
            <w:tcW w:w="510" w:type="pct"/>
            <w:vMerge/>
            <w:vAlign w:val="center"/>
          </w:tcPr>
          <w:p w14:paraId="61D228F8"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p>
        </w:tc>
        <w:tc>
          <w:tcPr>
            <w:tcW w:w="759" w:type="pct"/>
            <w:gridSpan w:val="2"/>
          </w:tcPr>
          <w:p w14:paraId="567AA209"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0,50</w:t>
            </w:r>
          </w:p>
          <w:p w14:paraId="39A71B58"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(0,26, 0,97)</w:t>
            </w:r>
          </w:p>
        </w:tc>
        <w:tc>
          <w:tcPr>
            <w:tcW w:w="660" w:type="pct"/>
          </w:tcPr>
          <w:p w14:paraId="5AD0E445"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p>
        </w:tc>
        <w:tc>
          <w:tcPr>
            <w:tcW w:w="478" w:type="pct"/>
            <w:vMerge/>
          </w:tcPr>
          <w:p w14:paraId="1AD21B16" w14:textId="77777777" w:rsidR="00D65700" w:rsidRPr="00FC5C72" w:rsidRDefault="00D65700" w:rsidP="00785B18">
            <w:pPr>
              <w:spacing w:after="0" w:line="240" w:lineRule="auto"/>
              <w:contextualSpacing/>
              <w:jc w:val="both"/>
              <w:rPr>
                <w:rFonts w:ascii="Times New Roman" w:eastAsia="MS Mincho" w:hAnsi="Times New Roman"/>
                <w:noProof/>
                <w:sz w:val="24"/>
                <w:szCs w:val="24"/>
              </w:rPr>
            </w:pPr>
          </w:p>
        </w:tc>
      </w:tr>
    </w:tbl>
    <w:p w14:paraId="77FD969F" w14:textId="5EBE782B" w:rsidR="007D678D" w:rsidRPr="00FC5C72" w:rsidRDefault="00885038" w:rsidP="00785B18">
      <w:pPr>
        <w:spacing w:after="0" w:line="240" w:lineRule="auto"/>
        <w:jc w:val="both"/>
        <w:rPr>
          <w:noProof/>
          <w:sz w:val="24"/>
          <w:szCs w:val="24"/>
        </w:rPr>
      </w:pPr>
      <w:r w:rsidRPr="00FC5C72">
        <w:rPr>
          <w:noProof/>
          <w:sz w:val="24"/>
          <w:szCs w:val="24"/>
        </w:rPr>
        <w:t>მნიშვნელოვანი</w:t>
      </w:r>
      <w:r w:rsidR="00D65700" w:rsidRPr="00FC5C72">
        <w:rPr>
          <w:noProof/>
          <w:sz w:val="24"/>
          <w:szCs w:val="24"/>
        </w:rPr>
        <w:t xml:space="preserve"> სისხლდენის მიმართ უსაფრთხოების შეფასების საბოლოო წერტილები, რომლებიც წარმოადგენს დიდი და კლინიკურად მნიშვნელოვანი მცირე სისხლდენის შემთხვევების კომბინაციას, ასევე სისხლდენის შემთხვევების საერთ</w:t>
      </w:r>
      <w:r w:rsidR="009040D7" w:rsidRPr="00FC5C72">
        <w:rPr>
          <w:noProof/>
          <w:sz w:val="24"/>
          <w:szCs w:val="24"/>
        </w:rPr>
        <w:t>ო</w:t>
      </w:r>
      <w:r w:rsidR="00D65700" w:rsidRPr="00FC5C72">
        <w:rPr>
          <w:noProof/>
          <w:sz w:val="24"/>
          <w:szCs w:val="24"/>
        </w:rPr>
        <w:t xml:space="preserve"> რაოდენობა მსგავსი სიხშირით აღინიშნა პაციენტებში, რომლებიც აპიქსაბანს იღებდნენ 2.5 მგ დოზით და </w:t>
      </w:r>
      <w:r w:rsidR="00BE28B4" w:rsidRPr="00FC5C72">
        <w:rPr>
          <w:noProof/>
          <w:sz w:val="24"/>
          <w:szCs w:val="24"/>
        </w:rPr>
        <w:t>ენოქსაპარინს</w:t>
      </w:r>
      <w:r w:rsidR="00D65700" w:rsidRPr="00FC5C72">
        <w:rPr>
          <w:noProof/>
          <w:sz w:val="24"/>
          <w:szCs w:val="24"/>
        </w:rPr>
        <w:t xml:space="preserve"> 40 მგ დოზით (იხ. ცხრილი 3). </w:t>
      </w:r>
      <w:r w:rsidR="007D678D" w:rsidRPr="00FC5C72">
        <w:rPr>
          <w:noProof/>
          <w:sz w:val="24"/>
          <w:szCs w:val="24"/>
        </w:rPr>
        <w:t xml:space="preserve">სისხლდენის ყველა კრიტერიუმი ითვალისწინებდა სისხლდენას ოპერაციული ჩარევის ადგილზე. </w:t>
      </w:r>
    </w:p>
    <w:p w14:paraId="466FA5E5" w14:textId="77777777" w:rsidR="007D678D" w:rsidRPr="00FC5C72" w:rsidRDefault="007D678D" w:rsidP="00785B18">
      <w:pPr>
        <w:spacing w:after="0" w:line="240" w:lineRule="auto"/>
        <w:jc w:val="both"/>
        <w:rPr>
          <w:noProof/>
          <w:sz w:val="24"/>
          <w:szCs w:val="24"/>
        </w:rPr>
      </w:pPr>
    </w:p>
    <w:p w14:paraId="546D32E3" w14:textId="4C14F90A" w:rsidR="004909AD" w:rsidRPr="00FC5C72" w:rsidRDefault="007D678D" w:rsidP="00785B18">
      <w:pPr>
        <w:spacing w:after="0" w:line="240" w:lineRule="auto"/>
        <w:jc w:val="both"/>
        <w:rPr>
          <w:b/>
          <w:bCs/>
          <w:noProof/>
          <w:sz w:val="24"/>
          <w:szCs w:val="24"/>
        </w:rPr>
      </w:pPr>
      <w:r w:rsidRPr="00FC5C72">
        <w:rPr>
          <w:b/>
          <w:bCs/>
          <w:noProof/>
          <w:sz w:val="24"/>
          <w:szCs w:val="24"/>
        </w:rPr>
        <w:t xml:space="preserve">ცხრილი 3.  სისხლდენების სიხშირის შეფასების შედეგები </w:t>
      </w:r>
      <w:r w:rsidRPr="00FC5C72">
        <w:rPr>
          <w:b/>
          <w:bCs/>
          <w:noProof/>
          <w:sz w:val="24"/>
          <w:szCs w:val="24"/>
          <w:lang w:val="en-US"/>
        </w:rPr>
        <w:t xml:space="preserve">III </w:t>
      </w:r>
      <w:r w:rsidRPr="00FC5C72">
        <w:rPr>
          <w:b/>
          <w:bCs/>
          <w:noProof/>
          <w:sz w:val="24"/>
          <w:szCs w:val="24"/>
        </w:rPr>
        <w:t>ფაზის საყრდენ კვლევებში*</w:t>
      </w:r>
    </w:p>
    <w:p w14:paraId="5BA2D24B" w14:textId="77777777" w:rsidR="009040D7" w:rsidRPr="00FC5C72" w:rsidRDefault="009040D7" w:rsidP="00785B18">
      <w:pPr>
        <w:spacing w:after="0" w:line="240" w:lineRule="auto"/>
        <w:jc w:val="both"/>
        <w:rPr>
          <w:b/>
          <w:bCs/>
          <w:noProof/>
          <w:sz w:val="24"/>
          <w:szCs w:val="24"/>
        </w:rPr>
      </w:pPr>
    </w:p>
    <w:tbl>
      <w:tblPr>
        <w:tblW w:w="103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0"/>
        <w:gridCol w:w="1890"/>
        <w:gridCol w:w="1890"/>
        <w:gridCol w:w="1890"/>
        <w:gridCol w:w="2211"/>
      </w:tblGrid>
      <w:tr w:rsidR="00FC5C72" w:rsidRPr="00FC5C72" w14:paraId="31AA199B" w14:textId="77777777" w:rsidTr="007D678D">
        <w:trPr>
          <w:trHeight w:val="270"/>
        </w:trPr>
        <w:tc>
          <w:tcPr>
            <w:tcW w:w="2430" w:type="dxa"/>
          </w:tcPr>
          <w:p w14:paraId="3196ABB9" w14:textId="77777777" w:rsidR="007D678D" w:rsidRPr="00FC5C72" w:rsidRDefault="007D678D" w:rsidP="00785B18">
            <w:pPr>
              <w:keepNext/>
              <w:keepLines/>
              <w:spacing w:after="0" w:line="240" w:lineRule="auto"/>
              <w:contextualSpacing/>
              <w:jc w:val="both"/>
              <w:rPr>
                <w:rFonts w:ascii="Times New Roman" w:eastAsia="MS Mincho" w:hAnsi="Times New Roman"/>
                <w:b/>
                <w:noProof/>
                <w:sz w:val="24"/>
                <w:szCs w:val="24"/>
              </w:rPr>
            </w:pPr>
          </w:p>
        </w:tc>
        <w:tc>
          <w:tcPr>
            <w:tcW w:w="3780" w:type="dxa"/>
            <w:gridSpan w:val="2"/>
          </w:tcPr>
          <w:p w14:paraId="7C46B291" w14:textId="77777777" w:rsidR="007D678D" w:rsidRPr="00FC5C72" w:rsidRDefault="007D678D" w:rsidP="00785B18">
            <w:pPr>
              <w:keepNext/>
              <w:keepLines/>
              <w:spacing w:after="0" w:line="240" w:lineRule="auto"/>
              <w:contextualSpacing/>
              <w:jc w:val="both"/>
              <w:rPr>
                <w:rFonts w:ascii="Times New Roman" w:eastAsia="MS Mincho" w:hAnsi="Times New Roman"/>
                <w:b/>
                <w:noProof/>
                <w:sz w:val="24"/>
                <w:szCs w:val="24"/>
              </w:rPr>
            </w:pPr>
            <w:r w:rsidRPr="00FC5C72">
              <w:rPr>
                <w:rFonts w:ascii="Times New Roman" w:hAnsi="Times New Roman"/>
                <w:b/>
                <w:noProof/>
                <w:sz w:val="24"/>
                <w:szCs w:val="24"/>
              </w:rPr>
              <w:t>ADVANCE-3</w:t>
            </w:r>
          </w:p>
        </w:tc>
        <w:tc>
          <w:tcPr>
            <w:tcW w:w="4101" w:type="dxa"/>
            <w:gridSpan w:val="2"/>
          </w:tcPr>
          <w:p w14:paraId="3F3D6720" w14:textId="77777777" w:rsidR="007D678D" w:rsidRPr="00FC5C72" w:rsidRDefault="007D678D" w:rsidP="00785B18">
            <w:pPr>
              <w:keepNext/>
              <w:keepLines/>
              <w:spacing w:after="0" w:line="240" w:lineRule="auto"/>
              <w:contextualSpacing/>
              <w:jc w:val="both"/>
              <w:rPr>
                <w:rFonts w:ascii="Times New Roman" w:eastAsia="MS Mincho" w:hAnsi="Times New Roman"/>
                <w:b/>
                <w:noProof/>
                <w:sz w:val="24"/>
                <w:szCs w:val="24"/>
              </w:rPr>
            </w:pPr>
            <w:r w:rsidRPr="00FC5C72">
              <w:rPr>
                <w:rFonts w:ascii="Times New Roman" w:hAnsi="Times New Roman"/>
                <w:b/>
                <w:noProof/>
                <w:sz w:val="24"/>
                <w:szCs w:val="24"/>
              </w:rPr>
              <w:t>ADVANCE-2</w:t>
            </w:r>
          </w:p>
        </w:tc>
      </w:tr>
      <w:tr w:rsidR="00FC5C72" w:rsidRPr="00FC5C72" w14:paraId="3B09B4B7" w14:textId="77777777" w:rsidTr="007D678D">
        <w:trPr>
          <w:trHeight w:val="1592"/>
        </w:trPr>
        <w:tc>
          <w:tcPr>
            <w:tcW w:w="2430" w:type="dxa"/>
          </w:tcPr>
          <w:p w14:paraId="65A5271F"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p>
        </w:tc>
        <w:tc>
          <w:tcPr>
            <w:tcW w:w="1890" w:type="dxa"/>
          </w:tcPr>
          <w:p w14:paraId="0BDACBF9" w14:textId="71E0B903"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აპიქსაბანი</w:t>
            </w:r>
          </w:p>
          <w:p w14:paraId="63CFBEA9" w14:textId="129DB136"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Times New Roman" w:hAnsi="Times New Roman"/>
                <w:noProof/>
                <w:sz w:val="24"/>
                <w:szCs w:val="24"/>
              </w:rPr>
              <w:t>2,5 </w:t>
            </w:r>
            <w:r w:rsidRPr="00FC5C72">
              <w:rPr>
                <w:rFonts w:ascii="Sylfaen" w:hAnsi="Sylfaen"/>
                <w:noProof/>
                <w:sz w:val="24"/>
                <w:szCs w:val="24"/>
              </w:rPr>
              <w:t>მგ</w:t>
            </w:r>
            <w:r w:rsidRPr="00FC5C72">
              <w:rPr>
                <w:rFonts w:ascii="Times New Roman" w:hAnsi="Times New Roman"/>
                <w:noProof/>
                <w:sz w:val="24"/>
                <w:szCs w:val="24"/>
              </w:rPr>
              <w:t xml:space="preserve"> </w:t>
            </w:r>
            <w:r w:rsidRPr="00FC5C72">
              <w:rPr>
                <w:rFonts w:ascii="Sylfaen" w:hAnsi="Sylfaen"/>
                <w:noProof/>
                <w:sz w:val="24"/>
                <w:szCs w:val="24"/>
              </w:rPr>
              <w:t>პ</w:t>
            </w:r>
            <w:r w:rsidRPr="00FC5C72">
              <w:rPr>
                <w:rFonts w:ascii="Times New Roman" w:hAnsi="Times New Roman"/>
                <w:noProof/>
                <w:sz w:val="24"/>
                <w:szCs w:val="24"/>
              </w:rPr>
              <w:t>/</w:t>
            </w:r>
            <w:r w:rsidRPr="00FC5C72">
              <w:rPr>
                <w:rFonts w:ascii="Sylfaen" w:hAnsi="Sylfaen"/>
                <w:noProof/>
                <w:sz w:val="24"/>
                <w:szCs w:val="24"/>
              </w:rPr>
              <w:t>ო</w:t>
            </w:r>
            <w:r w:rsidRPr="00FC5C72">
              <w:rPr>
                <w:rFonts w:ascii="Times New Roman" w:hAnsi="Times New Roman"/>
                <w:noProof/>
                <w:sz w:val="24"/>
                <w:szCs w:val="24"/>
              </w:rPr>
              <w:t xml:space="preserve"> </w:t>
            </w:r>
            <w:r w:rsidRPr="00FC5C72">
              <w:rPr>
                <w:rFonts w:ascii="Sylfaen" w:hAnsi="Sylfaen"/>
                <w:noProof/>
                <w:sz w:val="24"/>
                <w:szCs w:val="24"/>
              </w:rPr>
              <w:t>ორჯერ დღე-ღამეში</w:t>
            </w:r>
          </w:p>
          <w:p w14:paraId="33D243DE" w14:textId="7AF8D557"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Times New Roman" w:hAnsi="Times New Roman"/>
                <w:noProof/>
                <w:sz w:val="24"/>
                <w:szCs w:val="24"/>
              </w:rPr>
              <w:t>35 </w:t>
            </w:r>
            <w:r w:rsidRPr="00FC5C72">
              <w:rPr>
                <w:rFonts w:ascii="Sylfaen" w:hAnsi="Sylfaen"/>
                <w:noProof/>
                <w:sz w:val="24"/>
                <w:szCs w:val="24"/>
              </w:rPr>
              <w:t>დღე</w:t>
            </w:r>
            <w:r w:rsidRPr="00FC5C72">
              <w:rPr>
                <w:rFonts w:ascii="Times New Roman" w:hAnsi="Times New Roman"/>
                <w:noProof/>
                <w:sz w:val="24"/>
                <w:szCs w:val="24"/>
              </w:rPr>
              <w:t>±3 </w:t>
            </w:r>
            <w:r w:rsidRPr="00FC5C72">
              <w:rPr>
                <w:rFonts w:ascii="Sylfaen" w:hAnsi="Sylfaen"/>
                <w:noProof/>
                <w:sz w:val="24"/>
                <w:szCs w:val="24"/>
              </w:rPr>
              <w:t>დღე</w:t>
            </w:r>
          </w:p>
        </w:tc>
        <w:tc>
          <w:tcPr>
            <w:tcW w:w="1890" w:type="dxa"/>
          </w:tcPr>
          <w:p w14:paraId="248279C3" w14:textId="5B5D1918"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ენოქსაპარინი</w:t>
            </w:r>
          </w:p>
          <w:p w14:paraId="2CD2FB56" w14:textId="77777777"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Times New Roman" w:hAnsi="Times New Roman"/>
                <w:noProof/>
                <w:sz w:val="24"/>
                <w:szCs w:val="24"/>
              </w:rPr>
              <w:t>40 </w:t>
            </w:r>
            <w:r w:rsidRPr="00FC5C72">
              <w:rPr>
                <w:rFonts w:ascii="Sylfaen" w:hAnsi="Sylfaen"/>
                <w:noProof/>
                <w:sz w:val="24"/>
                <w:szCs w:val="24"/>
              </w:rPr>
              <w:t>მგ</w:t>
            </w:r>
            <w:r w:rsidRPr="00FC5C72">
              <w:rPr>
                <w:rFonts w:ascii="Times New Roman" w:hAnsi="Times New Roman"/>
                <w:noProof/>
                <w:sz w:val="24"/>
                <w:szCs w:val="24"/>
              </w:rPr>
              <w:t xml:space="preserve"> </w:t>
            </w:r>
            <w:r w:rsidRPr="00FC5C72">
              <w:rPr>
                <w:rFonts w:ascii="Sylfaen" w:hAnsi="Sylfaen"/>
                <w:noProof/>
                <w:sz w:val="24"/>
                <w:szCs w:val="24"/>
              </w:rPr>
              <w:t>კ/ქ</w:t>
            </w:r>
            <w:r w:rsidRPr="00FC5C72">
              <w:rPr>
                <w:rFonts w:ascii="Times New Roman" w:hAnsi="Times New Roman"/>
                <w:noProof/>
                <w:sz w:val="24"/>
                <w:szCs w:val="24"/>
              </w:rPr>
              <w:t xml:space="preserve"> </w:t>
            </w:r>
            <w:r w:rsidRPr="00FC5C72">
              <w:rPr>
                <w:rFonts w:ascii="Sylfaen" w:hAnsi="Sylfaen"/>
                <w:noProof/>
                <w:sz w:val="24"/>
                <w:szCs w:val="24"/>
              </w:rPr>
              <w:t>ერთხელ დღე-ღამეში</w:t>
            </w:r>
          </w:p>
          <w:p w14:paraId="77F0A8C8" w14:textId="7B5DA934"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35 </w:t>
            </w:r>
            <w:r w:rsidRPr="00FC5C72">
              <w:rPr>
                <w:rFonts w:ascii="Sylfaen" w:hAnsi="Sylfaen"/>
                <w:noProof/>
                <w:sz w:val="24"/>
                <w:szCs w:val="24"/>
              </w:rPr>
              <w:t>დღე</w:t>
            </w:r>
            <w:r w:rsidRPr="00FC5C72">
              <w:rPr>
                <w:rFonts w:ascii="Times New Roman" w:hAnsi="Times New Roman"/>
                <w:noProof/>
                <w:sz w:val="24"/>
                <w:szCs w:val="24"/>
              </w:rPr>
              <w:t>±3 </w:t>
            </w:r>
            <w:r w:rsidRPr="00FC5C72">
              <w:rPr>
                <w:rFonts w:ascii="Sylfaen" w:hAnsi="Sylfaen"/>
                <w:noProof/>
                <w:sz w:val="24"/>
                <w:szCs w:val="24"/>
              </w:rPr>
              <w:t>დღე</w:t>
            </w:r>
          </w:p>
        </w:tc>
        <w:tc>
          <w:tcPr>
            <w:tcW w:w="1890" w:type="dxa"/>
          </w:tcPr>
          <w:p w14:paraId="66142B76" w14:textId="77777777"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აპიქსაბანი</w:t>
            </w:r>
          </w:p>
          <w:p w14:paraId="2ED4296E" w14:textId="77777777"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Times New Roman" w:hAnsi="Times New Roman"/>
                <w:noProof/>
                <w:sz w:val="24"/>
                <w:szCs w:val="24"/>
              </w:rPr>
              <w:t>2,5 </w:t>
            </w:r>
            <w:r w:rsidRPr="00FC5C72">
              <w:rPr>
                <w:rFonts w:ascii="Sylfaen" w:hAnsi="Sylfaen"/>
                <w:noProof/>
                <w:sz w:val="24"/>
                <w:szCs w:val="24"/>
              </w:rPr>
              <w:t>მგ</w:t>
            </w:r>
            <w:r w:rsidRPr="00FC5C72">
              <w:rPr>
                <w:rFonts w:ascii="Times New Roman" w:hAnsi="Times New Roman"/>
                <w:noProof/>
                <w:sz w:val="24"/>
                <w:szCs w:val="24"/>
              </w:rPr>
              <w:t xml:space="preserve"> </w:t>
            </w:r>
            <w:r w:rsidRPr="00FC5C72">
              <w:rPr>
                <w:rFonts w:ascii="Sylfaen" w:hAnsi="Sylfaen"/>
                <w:noProof/>
                <w:sz w:val="24"/>
                <w:szCs w:val="24"/>
              </w:rPr>
              <w:t>პ</w:t>
            </w:r>
            <w:r w:rsidRPr="00FC5C72">
              <w:rPr>
                <w:rFonts w:ascii="Times New Roman" w:hAnsi="Times New Roman"/>
                <w:noProof/>
                <w:sz w:val="24"/>
                <w:szCs w:val="24"/>
              </w:rPr>
              <w:t>/</w:t>
            </w:r>
            <w:r w:rsidRPr="00FC5C72">
              <w:rPr>
                <w:rFonts w:ascii="Sylfaen" w:hAnsi="Sylfaen"/>
                <w:noProof/>
                <w:sz w:val="24"/>
                <w:szCs w:val="24"/>
              </w:rPr>
              <w:t>ო</w:t>
            </w:r>
            <w:r w:rsidRPr="00FC5C72">
              <w:rPr>
                <w:rFonts w:ascii="Times New Roman" w:hAnsi="Times New Roman"/>
                <w:noProof/>
                <w:sz w:val="24"/>
                <w:szCs w:val="24"/>
              </w:rPr>
              <w:t xml:space="preserve"> </w:t>
            </w:r>
            <w:r w:rsidRPr="00FC5C72">
              <w:rPr>
                <w:rFonts w:ascii="Sylfaen" w:hAnsi="Sylfaen"/>
                <w:noProof/>
                <w:sz w:val="24"/>
                <w:szCs w:val="24"/>
              </w:rPr>
              <w:t>ორჯერ დღე-ღამეში</w:t>
            </w:r>
          </w:p>
          <w:p w14:paraId="2F284B44" w14:textId="5F9AD6C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12 </w:t>
            </w:r>
            <w:r w:rsidRPr="00FC5C72">
              <w:rPr>
                <w:rFonts w:ascii="Sylfaen" w:hAnsi="Sylfaen"/>
                <w:noProof/>
                <w:sz w:val="24"/>
                <w:szCs w:val="24"/>
              </w:rPr>
              <w:t>დღე</w:t>
            </w:r>
            <w:r w:rsidRPr="00FC5C72">
              <w:rPr>
                <w:rFonts w:ascii="Times New Roman" w:hAnsi="Times New Roman"/>
                <w:noProof/>
                <w:sz w:val="24"/>
                <w:szCs w:val="24"/>
              </w:rPr>
              <w:t>±</w:t>
            </w:r>
            <w:r w:rsidR="00885038" w:rsidRPr="00FC5C72">
              <w:rPr>
                <w:noProof/>
                <w:sz w:val="24"/>
                <w:szCs w:val="24"/>
              </w:rPr>
              <w:t>2</w:t>
            </w:r>
            <w:r w:rsidRPr="00FC5C72">
              <w:rPr>
                <w:rFonts w:ascii="Times New Roman" w:hAnsi="Times New Roman"/>
                <w:noProof/>
                <w:sz w:val="24"/>
                <w:szCs w:val="24"/>
              </w:rPr>
              <w:t> </w:t>
            </w:r>
            <w:r w:rsidRPr="00FC5C72">
              <w:rPr>
                <w:rFonts w:ascii="Sylfaen" w:hAnsi="Sylfaen"/>
                <w:noProof/>
                <w:sz w:val="24"/>
                <w:szCs w:val="24"/>
              </w:rPr>
              <w:t>დღე</w:t>
            </w:r>
          </w:p>
        </w:tc>
        <w:tc>
          <w:tcPr>
            <w:tcW w:w="2211" w:type="dxa"/>
          </w:tcPr>
          <w:p w14:paraId="01619ECE" w14:textId="77777777"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ენოქსაპარინი</w:t>
            </w:r>
          </w:p>
          <w:p w14:paraId="1915E5F5" w14:textId="77777777"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Times New Roman" w:hAnsi="Times New Roman"/>
                <w:noProof/>
                <w:sz w:val="24"/>
                <w:szCs w:val="24"/>
              </w:rPr>
              <w:t>40 </w:t>
            </w:r>
            <w:r w:rsidRPr="00FC5C72">
              <w:rPr>
                <w:rFonts w:ascii="Sylfaen" w:hAnsi="Sylfaen"/>
                <w:noProof/>
                <w:sz w:val="24"/>
                <w:szCs w:val="24"/>
              </w:rPr>
              <w:t>მგ</w:t>
            </w:r>
            <w:r w:rsidRPr="00FC5C72">
              <w:rPr>
                <w:rFonts w:ascii="Times New Roman" w:hAnsi="Times New Roman"/>
                <w:noProof/>
                <w:sz w:val="24"/>
                <w:szCs w:val="24"/>
              </w:rPr>
              <w:t xml:space="preserve"> </w:t>
            </w:r>
            <w:r w:rsidRPr="00FC5C72">
              <w:rPr>
                <w:rFonts w:ascii="Sylfaen" w:hAnsi="Sylfaen"/>
                <w:noProof/>
                <w:sz w:val="24"/>
                <w:szCs w:val="24"/>
              </w:rPr>
              <w:t>კ/ქ</w:t>
            </w:r>
            <w:r w:rsidRPr="00FC5C72">
              <w:rPr>
                <w:rFonts w:ascii="Times New Roman" w:hAnsi="Times New Roman"/>
                <w:noProof/>
                <w:sz w:val="24"/>
                <w:szCs w:val="24"/>
              </w:rPr>
              <w:t xml:space="preserve"> </w:t>
            </w:r>
            <w:r w:rsidRPr="00FC5C72">
              <w:rPr>
                <w:rFonts w:ascii="Sylfaen" w:hAnsi="Sylfaen"/>
                <w:noProof/>
                <w:sz w:val="24"/>
                <w:szCs w:val="24"/>
              </w:rPr>
              <w:t>ერთხელ დღე-ღამეში</w:t>
            </w:r>
          </w:p>
          <w:p w14:paraId="65FD21E1" w14:textId="595CCF84"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12 </w:t>
            </w:r>
            <w:r w:rsidRPr="00FC5C72">
              <w:rPr>
                <w:rFonts w:ascii="Sylfaen" w:hAnsi="Sylfaen"/>
                <w:noProof/>
                <w:sz w:val="24"/>
                <w:szCs w:val="24"/>
              </w:rPr>
              <w:t>დღე</w:t>
            </w:r>
            <w:r w:rsidRPr="00FC5C72">
              <w:rPr>
                <w:rFonts w:ascii="Times New Roman" w:hAnsi="Times New Roman"/>
                <w:noProof/>
                <w:sz w:val="24"/>
                <w:szCs w:val="24"/>
              </w:rPr>
              <w:t>±</w:t>
            </w:r>
            <w:r w:rsidR="00885038" w:rsidRPr="00FC5C72">
              <w:rPr>
                <w:noProof/>
                <w:sz w:val="24"/>
                <w:szCs w:val="24"/>
              </w:rPr>
              <w:t>2</w:t>
            </w:r>
            <w:r w:rsidRPr="00FC5C72">
              <w:rPr>
                <w:rFonts w:ascii="Times New Roman" w:hAnsi="Times New Roman"/>
                <w:noProof/>
                <w:sz w:val="24"/>
                <w:szCs w:val="24"/>
              </w:rPr>
              <w:t> </w:t>
            </w:r>
            <w:r w:rsidRPr="00FC5C72">
              <w:rPr>
                <w:rFonts w:ascii="Sylfaen" w:hAnsi="Sylfaen"/>
                <w:noProof/>
                <w:sz w:val="24"/>
                <w:szCs w:val="24"/>
              </w:rPr>
              <w:t>დღე</w:t>
            </w:r>
          </w:p>
        </w:tc>
      </w:tr>
      <w:tr w:rsidR="00FC5C72" w:rsidRPr="00FC5C72" w14:paraId="755EA376" w14:textId="77777777" w:rsidTr="007D678D">
        <w:trPr>
          <w:trHeight w:val="1241"/>
        </w:trPr>
        <w:tc>
          <w:tcPr>
            <w:tcW w:w="2430" w:type="dxa"/>
          </w:tcPr>
          <w:p w14:paraId="7E66B39B" w14:textId="1E1FB771"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ყველა პაციენტი, რომელსაც ჩაუტარდა მკურნალობა</w:t>
            </w:r>
          </w:p>
        </w:tc>
        <w:tc>
          <w:tcPr>
            <w:tcW w:w="1890" w:type="dxa"/>
          </w:tcPr>
          <w:p w14:paraId="45054D6D"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n=2673</w:t>
            </w:r>
          </w:p>
        </w:tc>
        <w:tc>
          <w:tcPr>
            <w:tcW w:w="1890" w:type="dxa"/>
          </w:tcPr>
          <w:p w14:paraId="77781BD8"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n=2659</w:t>
            </w:r>
          </w:p>
        </w:tc>
        <w:tc>
          <w:tcPr>
            <w:tcW w:w="1890" w:type="dxa"/>
          </w:tcPr>
          <w:p w14:paraId="55D13816"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n=1501</w:t>
            </w:r>
          </w:p>
        </w:tc>
        <w:tc>
          <w:tcPr>
            <w:tcW w:w="2211" w:type="dxa"/>
          </w:tcPr>
          <w:p w14:paraId="56617F54"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n=1508</w:t>
            </w:r>
          </w:p>
        </w:tc>
      </w:tr>
      <w:tr w:rsidR="00FC5C72" w:rsidRPr="00FC5C72" w14:paraId="24E85CE4" w14:textId="77777777" w:rsidTr="007D678D">
        <w:trPr>
          <w:trHeight w:val="315"/>
        </w:trPr>
        <w:tc>
          <w:tcPr>
            <w:tcW w:w="10311" w:type="dxa"/>
            <w:gridSpan w:val="5"/>
          </w:tcPr>
          <w:p w14:paraId="4AB1DFED" w14:textId="62611C8A" w:rsidR="007D678D" w:rsidRPr="00FC5C72" w:rsidRDefault="007D678D" w:rsidP="00785B18">
            <w:pPr>
              <w:keepNext/>
              <w:keepLines/>
              <w:spacing w:after="0" w:line="240" w:lineRule="auto"/>
              <w:contextualSpacing/>
              <w:jc w:val="both"/>
              <w:rPr>
                <w:rFonts w:ascii="Times New Roman" w:eastAsia="MS Mincho" w:hAnsi="Times New Roman"/>
                <w:noProof/>
                <w:sz w:val="24"/>
                <w:szCs w:val="24"/>
                <w:vertAlign w:val="superscript"/>
              </w:rPr>
            </w:pPr>
            <w:r w:rsidRPr="00FC5C72">
              <w:rPr>
                <w:rFonts w:ascii="Sylfaen" w:hAnsi="Sylfaen"/>
                <w:b/>
                <w:i/>
                <w:noProof/>
                <w:sz w:val="24"/>
                <w:szCs w:val="24"/>
              </w:rPr>
              <w:t>მკურნალობის პერიოდი</w:t>
            </w:r>
            <w:r w:rsidRPr="00FC5C72">
              <w:rPr>
                <w:rFonts w:ascii="Times New Roman" w:hAnsi="Times New Roman"/>
                <w:noProof/>
                <w:sz w:val="24"/>
                <w:szCs w:val="24"/>
                <w:vertAlign w:val="superscript"/>
              </w:rPr>
              <w:t xml:space="preserve"> 1</w:t>
            </w:r>
          </w:p>
        </w:tc>
      </w:tr>
      <w:tr w:rsidR="00FC5C72" w:rsidRPr="00FC5C72" w14:paraId="5ACF7598" w14:textId="77777777" w:rsidTr="007D678D">
        <w:trPr>
          <w:trHeight w:val="630"/>
        </w:trPr>
        <w:tc>
          <w:tcPr>
            <w:tcW w:w="2430" w:type="dxa"/>
          </w:tcPr>
          <w:p w14:paraId="01406FD9" w14:textId="2FD37455" w:rsidR="007D678D" w:rsidRPr="00FC5C72" w:rsidRDefault="007D678D"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მნიშვნელოვანი</w:t>
            </w:r>
          </w:p>
        </w:tc>
        <w:tc>
          <w:tcPr>
            <w:tcW w:w="1890" w:type="dxa"/>
          </w:tcPr>
          <w:p w14:paraId="200F8338"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22 (0,8%)</w:t>
            </w:r>
          </w:p>
        </w:tc>
        <w:tc>
          <w:tcPr>
            <w:tcW w:w="1890" w:type="dxa"/>
          </w:tcPr>
          <w:p w14:paraId="0E29B558"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18 (0,7%)</w:t>
            </w:r>
          </w:p>
        </w:tc>
        <w:tc>
          <w:tcPr>
            <w:tcW w:w="1890" w:type="dxa"/>
          </w:tcPr>
          <w:p w14:paraId="711EA035"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9 (0,6%)</w:t>
            </w:r>
          </w:p>
        </w:tc>
        <w:tc>
          <w:tcPr>
            <w:tcW w:w="2211" w:type="dxa"/>
          </w:tcPr>
          <w:p w14:paraId="3EF51265"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14 (0,9%)</w:t>
            </w:r>
          </w:p>
        </w:tc>
      </w:tr>
      <w:tr w:rsidR="00FC5C72" w:rsidRPr="00FC5C72" w14:paraId="43BC089F" w14:textId="77777777" w:rsidTr="007D678D">
        <w:trPr>
          <w:trHeight w:val="630"/>
        </w:trPr>
        <w:tc>
          <w:tcPr>
            <w:tcW w:w="2430" w:type="dxa"/>
          </w:tcPr>
          <w:p w14:paraId="63DF3E4E" w14:textId="06EAD6D8" w:rsidR="007D678D" w:rsidRPr="00FC5C72" w:rsidRDefault="007D678D" w:rsidP="00785B18">
            <w:pPr>
              <w:keepNext/>
              <w:keepLines/>
              <w:tabs>
                <w:tab w:val="left" w:pos="112"/>
              </w:tab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ლეტალური შედეგი</w:t>
            </w:r>
          </w:p>
        </w:tc>
        <w:tc>
          <w:tcPr>
            <w:tcW w:w="1890" w:type="dxa"/>
          </w:tcPr>
          <w:p w14:paraId="06661A5E"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w:t>
            </w:r>
          </w:p>
        </w:tc>
        <w:tc>
          <w:tcPr>
            <w:tcW w:w="1890" w:type="dxa"/>
          </w:tcPr>
          <w:p w14:paraId="160E4E6F"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w:t>
            </w:r>
          </w:p>
        </w:tc>
        <w:tc>
          <w:tcPr>
            <w:tcW w:w="1890" w:type="dxa"/>
          </w:tcPr>
          <w:p w14:paraId="3DE3BA56"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w:t>
            </w:r>
          </w:p>
        </w:tc>
        <w:tc>
          <w:tcPr>
            <w:tcW w:w="2211" w:type="dxa"/>
          </w:tcPr>
          <w:p w14:paraId="6470500E"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w:t>
            </w:r>
          </w:p>
        </w:tc>
      </w:tr>
      <w:tr w:rsidR="00FC5C72" w:rsidRPr="00FC5C72" w14:paraId="76D9ED20" w14:textId="77777777" w:rsidTr="007D678D">
        <w:trPr>
          <w:trHeight w:val="1376"/>
        </w:trPr>
        <w:tc>
          <w:tcPr>
            <w:tcW w:w="2430" w:type="dxa"/>
          </w:tcPr>
          <w:p w14:paraId="1FA385F1" w14:textId="0A806BC6" w:rsidR="007D678D" w:rsidRPr="00FC5C72" w:rsidRDefault="00364120" w:rsidP="00785B18">
            <w:pPr>
              <w:keepNext/>
              <w:keepLines/>
              <w:spacing w:after="0" w:line="240" w:lineRule="auto"/>
              <w:contextualSpacing/>
              <w:jc w:val="both"/>
              <w:rPr>
                <w:rFonts w:ascii="Times New Roman" w:eastAsia="MS Mincho" w:hAnsi="Times New Roman"/>
                <w:noProof/>
                <w:sz w:val="24"/>
                <w:szCs w:val="24"/>
              </w:rPr>
            </w:pPr>
            <w:r w:rsidRPr="00FC5C72">
              <w:rPr>
                <w:rFonts w:ascii="Sylfaen" w:hAnsi="Sylfaen"/>
                <w:noProof/>
                <w:sz w:val="24"/>
                <w:szCs w:val="24"/>
              </w:rPr>
              <w:t>მძიმე</w:t>
            </w:r>
            <w:r w:rsidR="007D678D" w:rsidRPr="00FC5C72">
              <w:rPr>
                <w:rFonts w:ascii="Times New Roman" w:hAnsi="Times New Roman"/>
                <w:noProof/>
                <w:sz w:val="24"/>
                <w:szCs w:val="24"/>
              </w:rPr>
              <w:t>+</w:t>
            </w:r>
            <w:r w:rsidR="007D678D" w:rsidRPr="00FC5C72">
              <w:rPr>
                <w:noProof/>
                <w:sz w:val="24"/>
                <w:szCs w:val="24"/>
              </w:rPr>
              <w:t>კლინიკურად მნიშვნელოვანი მცირე სისხლდენა</w:t>
            </w:r>
          </w:p>
        </w:tc>
        <w:tc>
          <w:tcPr>
            <w:tcW w:w="1890" w:type="dxa"/>
          </w:tcPr>
          <w:p w14:paraId="5F5641A5"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129 (4,8%)</w:t>
            </w:r>
          </w:p>
        </w:tc>
        <w:tc>
          <w:tcPr>
            <w:tcW w:w="1890" w:type="dxa"/>
          </w:tcPr>
          <w:p w14:paraId="0B2141A5"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134 (5,0%)</w:t>
            </w:r>
          </w:p>
        </w:tc>
        <w:tc>
          <w:tcPr>
            <w:tcW w:w="1890" w:type="dxa"/>
          </w:tcPr>
          <w:p w14:paraId="15DFFD3C"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53 (3,5%)</w:t>
            </w:r>
          </w:p>
        </w:tc>
        <w:tc>
          <w:tcPr>
            <w:tcW w:w="2211" w:type="dxa"/>
          </w:tcPr>
          <w:p w14:paraId="4D02934E"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72 (4,8%)</w:t>
            </w:r>
          </w:p>
        </w:tc>
      </w:tr>
      <w:tr w:rsidR="00FC5C72" w:rsidRPr="00FC5C72" w14:paraId="0D109D4E" w14:textId="77777777" w:rsidTr="007D678D">
        <w:trPr>
          <w:trHeight w:val="300"/>
        </w:trPr>
        <w:tc>
          <w:tcPr>
            <w:tcW w:w="2430" w:type="dxa"/>
          </w:tcPr>
          <w:p w14:paraId="216AE401" w14:textId="440C6D4E" w:rsidR="007D678D" w:rsidRPr="00FC5C72" w:rsidRDefault="009D62E2"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ყველა</w:t>
            </w:r>
          </w:p>
        </w:tc>
        <w:tc>
          <w:tcPr>
            <w:tcW w:w="1890" w:type="dxa"/>
          </w:tcPr>
          <w:p w14:paraId="1CB9CC1D"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313 (11,7%)</w:t>
            </w:r>
          </w:p>
        </w:tc>
        <w:tc>
          <w:tcPr>
            <w:tcW w:w="1890" w:type="dxa"/>
          </w:tcPr>
          <w:p w14:paraId="1ED82E88"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334 (12,6%)</w:t>
            </w:r>
          </w:p>
        </w:tc>
        <w:tc>
          <w:tcPr>
            <w:tcW w:w="1890" w:type="dxa"/>
          </w:tcPr>
          <w:p w14:paraId="667DE182"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104 (6,9%)</w:t>
            </w:r>
          </w:p>
        </w:tc>
        <w:tc>
          <w:tcPr>
            <w:tcW w:w="2211" w:type="dxa"/>
          </w:tcPr>
          <w:p w14:paraId="06412AB9"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126 (8,4%)</w:t>
            </w:r>
          </w:p>
        </w:tc>
      </w:tr>
      <w:tr w:rsidR="00FC5C72" w:rsidRPr="00FC5C72" w14:paraId="38A5F0A5" w14:textId="77777777" w:rsidTr="007D678D">
        <w:trPr>
          <w:trHeight w:val="315"/>
        </w:trPr>
        <w:tc>
          <w:tcPr>
            <w:tcW w:w="10311" w:type="dxa"/>
            <w:gridSpan w:val="5"/>
          </w:tcPr>
          <w:p w14:paraId="516F5F40" w14:textId="05ADB684" w:rsidR="007D678D" w:rsidRPr="00FC5C72" w:rsidRDefault="007D678D" w:rsidP="00785B18">
            <w:pPr>
              <w:keepNext/>
              <w:keepLines/>
              <w:spacing w:after="0" w:line="240" w:lineRule="auto"/>
              <w:contextualSpacing/>
              <w:jc w:val="both"/>
              <w:rPr>
                <w:rFonts w:ascii="Times New Roman" w:eastAsia="MS Mincho" w:hAnsi="Times New Roman"/>
                <w:b/>
                <w:i/>
                <w:noProof/>
                <w:sz w:val="24"/>
                <w:szCs w:val="24"/>
              </w:rPr>
            </w:pPr>
            <w:r w:rsidRPr="00FC5C72">
              <w:rPr>
                <w:rFonts w:ascii="Sylfaen" w:hAnsi="Sylfaen"/>
                <w:b/>
                <w:i/>
                <w:noProof/>
                <w:sz w:val="24"/>
                <w:szCs w:val="24"/>
              </w:rPr>
              <w:t>მკურნალობის პერიოდი ოპერაციის შემდეგ</w:t>
            </w:r>
            <w:r w:rsidRPr="00FC5C72">
              <w:rPr>
                <w:rFonts w:ascii="Times New Roman" w:hAnsi="Times New Roman"/>
                <w:b/>
                <w:i/>
                <w:noProof/>
                <w:sz w:val="24"/>
                <w:szCs w:val="24"/>
              </w:rPr>
              <w:t xml:space="preserve"> </w:t>
            </w:r>
            <w:r w:rsidRPr="00FC5C72">
              <w:rPr>
                <w:rFonts w:ascii="Times New Roman" w:hAnsi="Times New Roman"/>
                <w:noProof/>
                <w:sz w:val="24"/>
                <w:szCs w:val="24"/>
                <w:vertAlign w:val="superscript"/>
              </w:rPr>
              <w:t>2</w:t>
            </w:r>
          </w:p>
        </w:tc>
      </w:tr>
      <w:tr w:rsidR="00FC5C72" w:rsidRPr="00FC5C72" w14:paraId="10930764" w14:textId="77777777" w:rsidTr="007D678D">
        <w:trPr>
          <w:trHeight w:val="630"/>
        </w:trPr>
        <w:tc>
          <w:tcPr>
            <w:tcW w:w="2430" w:type="dxa"/>
          </w:tcPr>
          <w:p w14:paraId="510DADFA" w14:textId="09CDB94C"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Sylfaen" w:hAnsi="Sylfaen"/>
                <w:noProof/>
                <w:sz w:val="24"/>
                <w:szCs w:val="24"/>
              </w:rPr>
              <w:t>მნიშვნელოვანი</w:t>
            </w:r>
          </w:p>
        </w:tc>
        <w:tc>
          <w:tcPr>
            <w:tcW w:w="1890" w:type="dxa"/>
          </w:tcPr>
          <w:p w14:paraId="14D826F7"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9 (0,3%)</w:t>
            </w:r>
          </w:p>
        </w:tc>
        <w:tc>
          <w:tcPr>
            <w:tcW w:w="1890" w:type="dxa"/>
          </w:tcPr>
          <w:p w14:paraId="435B8EB9"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11 (0,4%)</w:t>
            </w:r>
          </w:p>
        </w:tc>
        <w:tc>
          <w:tcPr>
            <w:tcW w:w="1890" w:type="dxa"/>
          </w:tcPr>
          <w:p w14:paraId="2A7F2381"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4 (0,3%)</w:t>
            </w:r>
          </w:p>
        </w:tc>
        <w:tc>
          <w:tcPr>
            <w:tcW w:w="2211" w:type="dxa"/>
          </w:tcPr>
          <w:p w14:paraId="6A81CC99"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9 (0,6%)</w:t>
            </w:r>
          </w:p>
        </w:tc>
      </w:tr>
      <w:tr w:rsidR="00FC5C72" w:rsidRPr="00FC5C72" w14:paraId="24439836" w14:textId="77777777" w:rsidTr="007D678D">
        <w:trPr>
          <w:trHeight w:val="945"/>
        </w:trPr>
        <w:tc>
          <w:tcPr>
            <w:tcW w:w="2430" w:type="dxa"/>
          </w:tcPr>
          <w:p w14:paraId="738F39D4" w14:textId="58909135" w:rsidR="007D678D" w:rsidRPr="00FC5C72" w:rsidRDefault="007D678D" w:rsidP="00785B18">
            <w:pPr>
              <w:keepNext/>
              <w:keepLines/>
              <w:tabs>
                <w:tab w:val="left" w:pos="112"/>
              </w:tab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სიკვდილი სისხლდენის შედეგად</w:t>
            </w:r>
          </w:p>
        </w:tc>
        <w:tc>
          <w:tcPr>
            <w:tcW w:w="1890" w:type="dxa"/>
          </w:tcPr>
          <w:p w14:paraId="58AA6430"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w:t>
            </w:r>
          </w:p>
        </w:tc>
        <w:tc>
          <w:tcPr>
            <w:tcW w:w="1890" w:type="dxa"/>
          </w:tcPr>
          <w:p w14:paraId="1BD26E1D"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w:t>
            </w:r>
          </w:p>
        </w:tc>
        <w:tc>
          <w:tcPr>
            <w:tcW w:w="1890" w:type="dxa"/>
          </w:tcPr>
          <w:p w14:paraId="72D71EDB"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w:t>
            </w:r>
          </w:p>
        </w:tc>
        <w:tc>
          <w:tcPr>
            <w:tcW w:w="2211" w:type="dxa"/>
          </w:tcPr>
          <w:p w14:paraId="41C7ACF9"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0</w:t>
            </w:r>
          </w:p>
        </w:tc>
      </w:tr>
      <w:tr w:rsidR="00FC5C72" w:rsidRPr="00FC5C72" w14:paraId="3FCAE8A1" w14:textId="77777777" w:rsidTr="007D678D">
        <w:trPr>
          <w:trHeight w:val="540"/>
        </w:trPr>
        <w:tc>
          <w:tcPr>
            <w:tcW w:w="2430" w:type="dxa"/>
          </w:tcPr>
          <w:p w14:paraId="50331B98" w14:textId="71A9E1BA" w:rsidR="007D678D" w:rsidRPr="00FC5C72" w:rsidRDefault="00E4275D" w:rsidP="00785B18">
            <w:pPr>
              <w:keepNext/>
              <w:keepLines/>
              <w:spacing w:after="0" w:line="240" w:lineRule="auto"/>
              <w:contextualSpacing/>
              <w:jc w:val="both"/>
              <w:rPr>
                <w:rFonts w:ascii="Times New Roman" w:eastAsia="MS Mincho" w:hAnsi="Times New Roman"/>
                <w:noProof/>
                <w:sz w:val="24"/>
                <w:szCs w:val="24"/>
              </w:rPr>
            </w:pPr>
            <w:r w:rsidRPr="00FC5C72">
              <w:rPr>
                <w:rFonts w:ascii="Sylfaen" w:hAnsi="Sylfaen"/>
                <w:noProof/>
                <w:sz w:val="24"/>
                <w:szCs w:val="24"/>
              </w:rPr>
              <w:t>მნიშვნელოვანი</w:t>
            </w:r>
            <w:r w:rsidR="007D678D" w:rsidRPr="00FC5C72">
              <w:rPr>
                <w:rFonts w:ascii="Times New Roman" w:hAnsi="Times New Roman"/>
                <w:noProof/>
                <w:sz w:val="24"/>
                <w:szCs w:val="24"/>
              </w:rPr>
              <w:t>+</w:t>
            </w:r>
            <w:r w:rsidR="007D678D" w:rsidRPr="00FC5C72">
              <w:rPr>
                <w:noProof/>
                <w:sz w:val="24"/>
                <w:szCs w:val="24"/>
              </w:rPr>
              <w:t>კლინიკურად მნიშვნელოვანი მცირე სისხლდენა</w:t>
            </w:r>
          </w:p>
        </w:tc>
        <w:tc>
          <w:tcPr>
            <w:tcW w:w="1890" w:type="dxa"/>
          </w:tcPr>
          <w:p w14:paraId="53B6771A"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96 (3,6%)</w:t>
            </w:r>
          </w:p>
        </w:tc>
        <w:tc>
          <w:tcPr>
            <w:tcW w:w="1890" w:type="dxa"/>
          </w:tcPr>
          <w:p w14:paraId="1A03F4F8"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115 (4,3%)</w:t>
            </w:r>
          </w:p>
        </w:tc>
        <w:tc>
          <w:tcPr>
            <w:tcW w:w="1890" w:type="dxa"/>
          </w:tcPr>
          <w:p w14:paraId="24D97D60"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41 (2,7%)</w:t>
            </w:r>
          </w:p>
        </w:tc>
        <w:tc>
          <w:tcPr>
            <w:tcW w:w="2211" w:type="dxa"/>
          </w:tcPr>
          <w:p w14:paraId="46AB96F4"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56 (3,7%)</w:t>
            </w:r>
          </w:p>
        </w:tc>
      </w:tr>
      <w:tr w:rsidR="00FC5C72" w:rsidRPr="00FC5C72" w14:paraId="62251759" w14:textId="77777777" w:rsidTr="007D678D">
        <w:trPr>
          <w:trHeight w:val="270"/>
        </w:trPr>
        <w:tc>
          <w:tcPr>
            <w:tcW w:w="2430" w:type="dxa"/>
          </w:tcPr>
          <w:p w14:paraId="664B4818" w14:textId="725343B7" w:rsidR="007D678D" w:rsidRPr="00FC5C72" w:rsidRDefault="009D62E2" w:rsidP="00785B18">
            <w:pPr>
              <w:keepNext/>
              <w:keepLines/>
              <w:spacing w:after="0" w:line="240" w:lineRule="auto"/>
              <w:contextualSpacing/>
              <w:jc w:val="both"/>
              <w:rPr>
                <w:rFonts w:ascii="Sylfaen" w:eastAsia="MS Mincho" w:hAnsi="Sylfaen"/>
                <w:noProof/>
                <w:sz w:val="24"/>
                <w:szCs w:val="24"/>
              </w:rPr>
            </w:pPr>
            <w:r w:rsidRPr="00FC5C72">
              <w:rPr>
                <w:rFonts w:ascii="Sylfaen" w:hAnsi="Sylfaen"/>
                <w:noProof/>
                <w:sz w:val="24"/>
                <w:szCs w:val="24"/>
              </w:rPr>
              <w:t>ყველა</w:t>
            </w:r>
          </w:p>
        </w:tc>
        <w:tc>
          <w:tcPr>
            <w:tcW w:w="1890" w:type="dxa"/>
          </w:tcPr>
          <w:p w14:paraId="7119B83A"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261 (9,8%)</w:t>
            </w:r>
          </w:p>
        </w:tc>
        <w:tc>
          <w:tcPr>
            <w:tcW w:w="1890" w:type="dxa"/>
          </w:tcPr>
          <w:p w14:paraId="02BD7E69"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293 (11,0%)</w:t>
            </w:r>
          </w:p>
        </w:tc>
        <w:tc>
          <w:tcPr>
            <w:tcW w:w="1890" w:type="dxa"/>
          </w:tcPr>
          <w:p w14:paraId="3AA74701"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89 (5,9%)</w:t>
            </w:r>
          </w:p>
        </w:tc>
        <w:tc>
          <w:tcPr>
            <w:tcW w:w="2211" w:type="dxa"/>
          </w:tcPr>
          <w:p w14:paraId="3E5BC86F" w14:textId="77777777" w:rsidR="007D678D" w:rsidRPr="00FC5C72" w:rsidRDefault="007D678D" w:rsidP="00785B18">
            <w:pPr>
              <w:keepNext/>
              <w:keepLines/>
              <w:spacing w:after="0" w:line="240" w:lineRule="auto"/>
              <w:contextualSpacing/>
              <w:jc w:val="both"/>
              <w:rPr>
                <w:rFonts w:ascii="Times New Roman" w:eastAsia="MS Mincho" w:hAnsi="Times New Roman"/>
                <w:noProof/>
                <w:sz w:val="24"/>
                <w:szCs w:val="24"/>
              </w:rPr>
            </w:pPr>
            <w:r w:rsidRPr="00FC5C72">
              <w:rPr>
                <w:rFonts w:ascii="Times New Roman" w:hAnsi="Times New Roman"/>
                <w:noProof/>
                <w:sz w:val="24"/>
                <w:szCs w:val="24"/>
              </w:rPr>
              <w:t>103 (6,8%)</w:t>
            </w:r>
          </w:p>
        </w:tc>
      </w:tr>
    </w:tbl>
    <w:p w14:paraId="75711CC6" w14:textId="14F51499" w:rsidR="007D678D" w:rsidRPr="00FC5C72" w:rsidRDefault="007D678D" w:rsidP="00785B18">
      <w:pPr>
        <w:spacing w:after="0" w:line="240" w:lineRule="auto"/>
        <w:jc w:val="both"/>
        <w:rPr>
          <w:noProof/>
          <w:sz w:val="24"/>
          <w:szCs w:val="24"/>
        </w:rPr>
      </w:pPr>
      <w:r w:rsidRPr="00FC5C72">
        <w:rPr>
          <w:noProof/>
          <w:sz w:val="24"/>
          <w:szCs w:val="24"/>
        </w:rPr>
        <w:t xml:space="preserve">* სისხლდენის ყველა </w:t>
      </w:r>
      <w:r w:rsidR="002E47CD" w:rsidRPr="00FC5C72">
        <w:rPr>
          <w:noProof/>
          <w:sz w:val="24"/>
          <w:szCs w:val="24"/>
        </w:rPr>
        <w:t>კრიტერიუმი</w:t>
      </w:r>
      <w:r w:rsidRPr="00FC5C72">
        <w:rPr>
          <w:noProof/>
          <w:sz w:val="24"/>
          <w:szCs w:val="24"/>
        </w:rPr>
        <w:t xml:space="preserve"> ითვალისწინებდა </w:t>
      </w:r>
      <w:r w:rsidR="00205D31" w:rsidRPr="00FC5C72">
        <w:rPr>
          <w:noProof/>
          <w:sz w:val="24"/>
          <w:szCs w:val="24"/>
        </w:rPr>
        <w:t>სისხლდენას ოპერაციული ჩარევის ადგილზე.</w:t>
      </w:r>
    </w:p>
    <w:p w14:paraId="78F60D88" w14:textId="706ED4E9" w:rsidR="00205D31" w:rsidRPr="00FC5C72" w:rsidRDefault="00205D31" w:rsidP="00785B18">
      <w:pPr>
        <w:spacing w:after="0" w:line="240" w:lineRule="auto"/>
        <w:jc w:val="both"/>
        <w:rPr>
          <w:noProof/>
          <w:sz w:val="24"/>
          <w:szCs w:val="24"/>
        </w:rPr>
      </w:pPr>
      <w:r w:rsidRPr="00FC5C72">
        <w:rPr>
          <w:noProof/>
          <w:sz w:val="24"/>
          <w:szCs w:val="24"/>
          <w:vertAlign w:val="superscript"/>
        </w:rPr>
        <w:t>1</w:t>
      </w:r>
      <w:r w:rsidRPr="00FC5C72">
        <w:rPr>
          <w:noProof/>
          <w:sz w:val="24"/>
          <w:szCs w:val="24"/>
        </w:rPr>
        <w:t xml:space="preserve"> მოიცავს მოვლენებს, რომლებიც განვითარდა ენოქსაპარინის პირველი დოზის მიღების შემდეგ (ოპერაციამდე)</w:t>
      </w:r>
    </w:p>
    <w:p w14:paraId="66EAE6C1" w14:textId="486E63A5" w:rsidR="00205D31" w:rsidRPr="00FC5C72" w:rsidRDefault="00205D31" w:rsidP="00785B18">
      <w:pPr>
        <w:spacing w:after="0" w:line="240" w:lineRule="auto"/>
        <w:jc w:val="both"/>
        <w:rPr>
          <w:noProof/>
          <w:sz w:val="24"/>
          <w:szCs w:val="24"/>
        </w:rPr>
      </w:pPr>
      <w:r w:rsidRPr="00FC5C72">
        <w:rPr>
          <w:noProof/>
          <w:sz w:val="24"/>
          <w:szCs w:val="24"/>
          <w:vertAlign w:val="superscript"/>
        </w:rPr>
        <w:t>2</w:t>
      </w:r>
      <w:r w:rsidRPr="00FC5C72">
        <w:rPr>
          <w:noProof/>
          <w:sz w:val="24"/>
          <w:szCs w:val="24"/>
        </w:rPr>
        <w:t xml:space="preserve"> მოიცავს მოვლენებს, რომლებიც განვითარდა აპიქსაბანის პირველი დოზის მიღების შემდეგ (ოპერაციის შემდეგ)</w:t>
      </w:r>
    </w:p>
    <w:p w14:paraId="4DF19F4F" w14:textId="497988E4" w:rsidR="00205D31" w:rsidRPr="00FC5C72" w:rsidRDefault="00205D31" w:rsidP="00785B18">
      <w:pPr>
        <w:spacing w:after="0" w:line="240" w:lineRule="auto"/>
        <w:jc w:val="both"/>
        <w:rPr>
          <w:noProof/>
          <w:sz w:val="24"/>
          <w:szCs w:val="24"/>
        </w:rPr>
      </w:pPr>
    </w:p>
    <w:p w14:paraId="669EAC8B" w14:textId="565B3B7B" w:rsidR="00205D31" w:rsidRPr="00FC5C72" w:rsidRDefault="00205D31" w:rsidP="00785B18">
      <w:pPr>
        <w:spacing w:after="0" w:line="240" w:lineRule="auto"/>
        <w:jc w:val="both"/>
        <w:rPr>
          <w:noProof/>
          <w:sz w:val="24"/>
          <w:szCs w:val="24"/>
        </w:rPr>
      </w:pPr>
      <w:r w:rsidRPr="00FC5C72">
        <w:rPr>
          <w:noProof/>
          <w:sz w:val="24"/>
          <w:szCs w:val="24"/>
        </w:rPr>
        <w:t>სისხლდენის, ანემიისა და ტრანსამინაზების (მაგალითად</w:t>
      </w:r>
      <w:r w:rsidR="00FD5BBC" w:rsidRPr="00FC5C72">
        <w:rPr>
          <w:noProof/>
          <w:sz w:val="24"/>
          <w:szCs w:val="24"/>
        </w:rPr>
        <w:t>,</w:t>
      </w:r>
      <w:r w:rsidRPr="00FC5C72">
        <w:rPr>
          <w:noProof/>
          <w:sz w:val="24"/>
          <w:szCs w:val="24"/>
        </w:rPr>
        <w:t xml:space="preserve"> ალტ დონის) პათოლოგიური დონის სახით არასასურველი რეაქციების განვითარების საერთო სიხშირე რიცხობრივად უფრო ნაკლები იყო აპიქსაბანის ჯგუფის პაციენტებში, ენოქსაპარინის ჯგუფთან შედარებით, </w:t>
      </w:r>
      <w:r w:rsidRPr="00FC5C72">
        <w:rPr>
          <w:noProof/>
          <w:sz w:val="24"/>
          <w:szCs w:val="24"/>
          <w:lang w:val="en-US"/>
        </w:rPr>
        <w:t xml:space="preserve">II </w:t>
      </w:r>
      <w:r w:rsidRPr="00FC5C72">
        <w:rPr>
          <w:noProof/>
          <w:sz w:val="24"/>
          <w:szCs w:val="24"/>
        </w:rPr>
        <w:t xml:space="preserve">და </w:t>
      </w:r>
      <w:r w:rsidRPr="00FC5C72">
        <w:rPr>
          <w:noProof/>
          <w:sz w:val="24"/>
          <w:szCs w:val="24"/>
          <w:lang w:val="en-US"/>
        </w:rPr>
        <w:t>III</w:t>
      </w:r>
      <w:r w:rsidRPr="00FC5C72">
        <w:rPr>
          <w:noProof/>
          <w:sz w:val="24"/>
          <w:szCs w:val="24"/>
        </w:rPr>
        <w:t xml:space="preserve"> ფაზის კვლევებში, რომლებშიც განიხილებოდა მენჯ-ბარძაყის ან მუხლის სახსრის გეგმიური ენდოპროთეზირების შემთხვევები. </w:t>
      </w:r>
    </w:p>
    <w:p w14:paraId="1DF08828" w14:textId="59C53589" w:rsidR="00205D31" w:rsidRPr="00FC5C72" w:rsidRDefault="00205D31" w:rsidP="00785B18">
      <w:pPr>
        <w:spacing w:after="0" w:line="240" w:lineRule="auto"/>
        <w:jc w:val="both"/>
        <w:rPr>
          <w:noProof/>
          <w:sz w:val="24"/>
          <w:szCs w:val="24"/>
        </w:rPr>
      </w:pPr>
      <w:r w:rsidRPr="00FC5C72">
        <w:rPr>
          <w:noProof/>
          <w:sz w:val="24"/>
          <w:szCs w:val="24"/>
        </w:rPr>
        <w:t xml:space="preserve">მუხლის სახსრის ენდოპროთეზირების კვლევაში აპიქსაბანის ჯგუფში მკურნალობის გეგმიური პერიოდის დროს რეგისტრირებულია ფათე-ის 4 შემთხვევა, ხოლო ენოქსაპარინის ჯგუფში ასეთი შემთხვევები არ იყო. ფათე-ის ასეთი უფრო მაღალი სიხშირის მიზეზის დადგენა შეუძლებელია. </w:t>
      </w:r>
    </w:p>
    <w:p w14:paraId="7DA3A71A" w14:textId="77777777" w:rsidR="000031BA" w:rsidRPr="00FC5C72" w:rsidRDefault="000031BA" w:rsidP="00785B18">
      <w:pPr>
        <w:spacing w:after="0" w:line="240" w:lineRule="auto"/>
        <w:jc w:val="both"/>
        <w:rPr>
          <w:noProof/>
          <w:sz w:val="24"/>
          <w:szCs w:val="24"/>
        </w:rPr>
      </w:pPr>
    </w:p>
    <w:p w14:paraId="1DF99CD4" w14:textId="77777777" w:rsidR="00205D31" w:rsidRPr="00FC5C72" w:rsidRDefault="00205D31" w:rsidP="00785B18">
      <w:pPr>
        <w:spacing w:after="0" w:line="240" w:lineRule="auto"/>
        <w:jc w:val="both"/>
        <w:rPr>
          <w:noProof/>
          <w:sz w:val="24"/>
          <w:szCs w:val="24"/>
        </w:rPr>
      </w:pPr>
      <w:r w:rsidRPr="00FC5C72">
        <w:rPr>
          <w:i/>
          <w:iCs/>
          <w:noProof/>
          <w:sz w:val="24"/>
          <w:szCs w:val="24"/>
        </w:rPr>
        <w:t xml:space="preserve">ინსულტისა და სისტემური ემბოლიის პროფილაქტიკა წინაგულების არასარქვლოვანი ფიბრილაციის (წასფ) შემთხვევაში </w:t>
      </w:r>
      <w:r w:rsidRPr="00FC5C72">
        <w:rPr>
          <w:noProof/>
          <w:sz w:val="24"/>
          <w:szCs w:val="24"/>
        </w:rPr>
        <w:t xml:space="preserve"> </w:t>
      </w:r>
    </w:p>
    <w:p w14:paraId="28582ADC" w14:textId="77777777" w:rsidR="00652BC1" w:rsidRPr="00FC5C72" w:rsidRDefault="00205D31" w:rsidP="00785B18">
      <w:pPr>
        <w:spacing w:after="0" w:line="240" w:lineRule="auto"/>
        <w:jc w:val="both"/>
        <w:rPr>
          <w:noProof/>
          <w:sz w:val="24"/>
          <w:szCs w:val="24"/>
        </w:rPr>
      </w:pPr>
      <w:r w:rsidRPr="00FC5C72">
        <w:rPr>
          <w:noProof/>
          <w:sz w:val="24"/>
          <w:szCs w:val="24"/>
        </w:rPr>
        <w:t xml:space="preserve">კლინიკურ პროგრამაში </w:t>
      </w:r>
      <w:r w:rsidR="00652BC1" w:rsidRPr="00FC5C72">
        <w:rPr>
          <w:noProof/>
          <w:sz w:val="24"/>
          <w:szCs w:val="24"/>
        </w:rPr>
        <w:t xml:space="preserve">(ARISTOTLE: აპიქსაბანისა და ვარფარინის შედარება, AVERROES: აპიქსაბანისა და ასმ-ს შედარება) საერთო ჯამში რანდომიზებული იქნა 23 799 პაციენტი, მათ შორის 11 927 რანდომიზებული იქნა აპიქსაბანით მკურნალობის ჯგუფში.  პროგრამა შემუშვებული იყო აპიქსაბანის ეფექტიანობისა და უსაფრთხოების ჩვენების მიზნით ინსულტის და სისტემური ემბოლიის პროფილაქტიკისას  წინაგულების არასარქვლოვანი ფიბრილაციის მქონე პაციენტებში და ერთი ან რამდენომე დამატებითი რისკ-ფაქტორით, მათ შორის: </w:t>
      </w:r>
    </w:p>
    <w:p w14:paraId="568581F2" w14:textId="698D4B56" w:rsidR="00205D31" w:rsidRPr="00FC5C72" w:rsidRDefault="00652BC1" w:rsidP="00785B18">
      <w:pPr>
        <w:pStyle w:val="ListParagraph"/>
        <w:numPr>
          <w:ilvl w:val="0"/>
          <w:numId w:val="1"/>
        </w:numPr>
        <w:spacing w:after="0" w:line="240" w:lineRule="auto"/>
        <w:ind w:left="450" w:hanging="450"/>
        <w:jc w:val="both"/>
        <w:rPr>
          <w:noProof/>
          <w:sz w:val="24"/>
          <w:szCs w:val="24"/>
        </w:rPr>
      </w:pPr>
      <w:r w:rsidRPr="00FC5C72">
        <w:rPr>
          <w:noProof/>
          <w:sz w:val="24"/>
          <w:szCs w:val="24"/>
        </w:rPr>
        <w:t xml:space="preserve">ინსულტი ან ტრანზიტორული იშემიური შეტევა (ტიშ) ანამნეზში; </w:t>
      </w:r>
    </w:p>
    <w:p w14:paraId="6C900957" w14:textId="19F7B13B" w:rsidR="00652BC1" w:rsidRPr="00FC5C72" w:rsidRDefault="00652BC1" w:rsidP="00785B18">
      <w:pPr>
        <w:pStyle w:val="ListParagraph"/>
        <w:numPr>
          <w:ilvl w:val="0"/>
          <w:numId w:val="1"/>
        </w:numPr>
        <w:spacing w:after="0" w:line="240" w:lineRule="auto"/>
        <w:ind w:left="450" w:hanging="450"/>
        <w:jc w:val="both"/>
        <w:rPr>
          <w:noProof/>
          <w:sz w:val="24"/>
          <w:szCs w:val="24"/>
        </w:rPr>
      </w:pPr>
      <w:r w:rsidRPr="00FC5C72">
        <w:rPr>
          <w:noProof/>
          <w:sz w:val="24"/>
          <w:szCs w:val="24"/>
        </w:rPr>
        <w:t xml:space="preserve">ასაკი </w:t>
      </w:r>
      <w:r w:rsidRPr="00FC5C72">
        <w:rPr>
          <w:noProof/>
          <w:sz w:val="24"/>
          <w:szCs w:val="24"/>
          <w:u w:val="single"/>
        </w:rPr>
        <w:t>&gt;</w:t>
      </w:r>
      <w:r w:rsidRPr="00FC5C72">
        <w:rPr>
          <w:noProof/>
          <w:sz w:val="24"/>
          <w:szCs w:val="24"/>
        </w:rPr>
        <w:t xml:space="preserve">75 წელი; </w:t>
      </w:r>
    </w:p>
    <w:p w14:paraId="4E56E9D1" w14:textId="2F092501" w:rsidR="00652BC1" w:rsidRPr="00FC5C72" w:rsidRDefault="00652BC1" w:rsidP="00785B18">
      <w:pPr>
        <w:pStyle w:val="ListParagraph"/>
        <w:numPr>
          <w:ilvl w:val="0"/>
          <w:numId w:val="1"/>
        </w:numPr>
        <w:spacing w:after="0" w:line="240" w:lineRule="auto"/>
        <w:ind w:left="450" w:hanging="450"/>
        <w:jc w:val="both"/>
        <w:rPr>
          <w:noProof/>
          <w:sz w:val="24"/>
          <w:szCs w:val="24"/>
        </w:rPr>
      </w:pPr>
      <w:r w:rsidRPr="00FC5C72">
        <w:rPr>
          <w:noProof/>
          <w:sz w:val="24"/>
          <w:szCs w:val="24"/>
        </w:rPr>
        <w:t xml:space="preserve">არტერიული ჰიპერტენზია; </w:t>
      </w:r>
    </w:p>
    <w:p w14:paraId="0CDD6092" w14:textId="2EF4FA37" w:rsidR="00652BC1" w:rsidRPr="00FC5C72" w:rsidRDefault="00652BC1" w:rsidP="00785B18">
      <w:pPr>
        <w:pStyle w:val="ListParagraph"/>
        <w:numPr>
          <w:ilvl w:val="0"/>
          <w:numId w:val="1"/>
        </w:numPr>
        <w:spacing w:after="0" w:line="240" w:lineRule="auto"/>
        <w:ind w:left="450" w:hanging="450"/>
        <w:jc w:val="both"/>
        <w:rPr>
          <w:noProof/>
          <w:sz w:val="24"/>
          <w:szCs w:val="24"/>
        </w:rPr>
      </w:pPr>
      <w:r w:rsidRPr="00FC5C72">
        <w:rPr>
          <w:noProof/>
          <w:sz w:val="24"/>
          <w:szCs w:val="24"/>
        </w:rPr>
        <w:t xml:space="preserve">შაქრიანი დიაბეტი; </w:t>
      </w:r>
    </w:p>
    <w:p w14:paraId="072FDE36" w14:textId="216AE01A" w:rsidR="00652BC1" w:rsidRPr="00FC5C72" w:rsidRDefault="00652BC1" w:rsidP="00785B18">
      <w:pPr>
        <w:pStyle w:val="ListParagraph"/>
        <w:numPr>
          <w:ilvl w:val="0"/>
          <w:numId w:val="1"/>
        </w:numPr>
        <w:spacing w:after="0" w:line="240" w:lineRule="auto"/>
        <w:ind w:left="450" w:hanging="450"/>
        <w:jc w:val="both"/>
        <w:rPr>
          <w:noProof/>
          <w:sz w:val="24"/>
          <w:szCs w:val="24"/>
        </w:rPr>
      </w:pPr>
      <w:r w:rsidRPr="00FC5C72">
        <w:rPr>
          <w:noProof/>
          <w:sz w:val="24"/>
          <w:szCs w:val="24"/>
        </w:rPr>
        <w:t>გულის სიმპტომური უკმარისობა (</w:t>
      </w:r>
      <w:r w:rsidRPr="00FC5C72">
        <w:rPr>
          <w:noProof/>
          <w:sz w:val="24"/>
          <w:szCs w:val="24"/>
          <w:lang w:val="en-US"/>
        </w:rPr>
        <w:t>II</w:t>
      </w:r>
      <w:r w:rsidRPr="00FC5C72">
        <w:rPr>
          <w:noProof/>
          <w:sz w:val="24"/>
          <w:szCs w:val="24"/>
          <w:lang w:val="ru-RU"/>
        </w:rPr>
        <w:t xml:space="preserve"> </w:t>
      </w:r>
      <w:r w:rsidRPr="00FC5C72">
        <w:rPr>
          <w:noProof/>
          <w:sz w:val="24"/>
          <w:szCs w:val="24"/>
        </w:rPr>
        <w:t>ან უფრო მაღალი ფუნქციური კლასი ნიუ-იორკის კარდიოლოგიური ასოციაციის (</w:t>
      </w:r>
      <w:r w:rsidRPr="00FC5C72">
        <w:rPr>
          <w:noProof/>
          <w:sz w:val="24"/>
          <w:szCs w:val="24"/>
          <w:lang w:val="en-US"/>
        </w:rPr>
        <w:t>NYHA</w:t>
      </w:r>
      <w:r w:rsidRPr="00FC5C72">
        <w:rPr>
          <w:noProof/>
          <w:sz w:val="24"/>
          <w:szCs w:val="24"/>
        </w:rPr>
        <w:t>)</w:t>
      </w:r>
      <w:r w:rsidRPr="00FC5C72">
        <w:rPr>
          <w:noProof/>
          <w:sz w:val="24"/>
          <w:szCs w:val="24"/>
          <w:lang w:val="ru-RU"/>
        </w:rPr>
        <w:t xml:space="preserve"> </w:t>
      </w:r>
      <w:r w:rsidRPr="00FC5C72">
        <w:rPr>
          <w:noProof/>
          <w:sz w:val="24"/>
          <w:szCs w:val="24"/>
        </w:rPr>
        <w:t>კლასიფიკაციით).</w:t>
      </w:r>
    </w:p>
    <w:p w14:paraId="014136F4" w14:textId="77777777" w:rsidR="000031BA" w:rsidRPr="00FC5C72" w:rsidRDefault="000031BA" w:rsidP="00785B18">
      <w:pPr>
        <w:spacing w:after="0" w:line="240" w:lineRule="auto"/>
        <w:jc w:val="both"/>
        <w:rPr>
          <w:i/>
          <w:iCs/>
          <w:noProof/>
          <w:sz w:val="24"/>
          <w:szCs w:val="24"/>
        </w:rPr>
      </w:pPr>
    </w:p>
    <w:p w14:paraId="1C240703" w14:textId="0A4E8496" w:rsidR="00652BC1" w:rsidRPr="00FC5C72" w:rsidRDefault="00652BC1" w:rsidP="00785B18">
      <w:pPr>
        <w:spacing w:after="0" w:line="240" w:lineRule="auto"/>
        <w:jc w:val="both"/>
        <w:rPr>
          <w:i/>
          <w:sz w:val="24"/>
        </w:rPr>
      </w:pPr>
      <w:r w:rsidRPr="00FC5C72">
        <w:rPr>
          <w:i/>
          <w:iCs/>
          <w:noProof/>
          <w:sz w:val="24"/>
          <w:szCs w:val="24"/>
        </w:rPr>
        <w:t xml:space="preserve">კვლევა </w:t>
      </w:r>
      <w:r w:rsidRPr="00FC5C72">
        <w:rPr>
          <w:i/>
          <w:sz w:val="24"/>
        </w:rPr>
        <w:t>ARISTOTLE</w:t>
      </w:r>
    </w:p>
    <w:p w14:paraId="53537DCE" w14:textId="5DDE5B2F" w:rsidR="00652BC1" w:rsidRPr="00FC5C72" w:rsidRDefault="00652BC1" w:rsidP="00785B18">
      <w:pPr>
        <w:spacing w:after="0" w:line="240" w:lineRule="auto"/>
        <w:jc w:val="both"/>
        <w:rPr>
          <w:sz w:val="24"/>
        </w:rPr>
      </w:pPr>
      <w:r w:rsidRPr="00FC5C72">
        <w:rPr>
          <w:noProof/>
          <w:sz w:val="24"/>
          <w:szCs w:val="24"/>
        </w:rPr>
        <w:t xml:space="preserve">კვლევაში </w:t>
      </w:r>
      <w:r w:rsidRPr="00FC5C72">
        <w:rPr>
          <w:sz w:val="24"/>
        </w:rPr>
        <w:t xml:space="preserve">ARISTOTLE საერთო ჯამში რანდომიზებული იქნა 18 201 </w:t>
      </w:r>
      <w:r w:rsidR="00881E08" w:rsidRPr="00FC5C72">
        <w:rPr>
          <w:sz w:val="24"/>
        </w:rPr>
        <w:t xml:space="preserve">მოზრდილი </w:t>
      </w:r>
      <w:r w:rsidRPr="00FC5C72">
        <w:rPr>
          <w:sz w:val="24"/>
        </w:rPr>
        <w:t>პაციენტი აპიქსაბანის 5 მგ დოზით ორჯერ დღე-ღამეში (ან 2.5 მგ ორჯერ დღე-ღამეში</w:t>
      </w:r>
      <w:r w:rsidR="00C47CBB" w:rsidRPr="00FC5C72">
        <w:rPr>
          <w:sz w:val="24"/>
        </w:rPr>
        <w:t xml:space="preserve"> შერჩეულ პაციენტებში (4,7%), იხ. პარაგრაფი “გამოყენების წესი და დოზები“</w:t>
      </w:r>
      <w:r w:rsidRPr="00FC5C72">
        <w:rPr>
          <w:sz w:val="24"/>
        </w:rPr>
        <w:t>)</w:t>
      </w:r>
      <w:r w:rsidR="00C47CBB" w:rsidRPr="00FC5C72">
        <w:rPr>
          <w:sz w:val="24"/>
        </w:rPr>
        <w:t xml:space="preserve"> ან ვარფარინის (სნთ-ის სამიზნე დიაპაზონი: 2.0-3.0)</w:t>
      </w:r>
      <w:r w:rsidRPr="00FC5C72">
        <w:rPr>
          <w:sz w:val="24"/>
        </w:rPr>
        <w:t xml:space="preserve"> მისაღებად</w:t>
      </w:r>
      <w:r w:rsidR="00C47CBB" w:rsidRPr="00FC5C72">
        <w:rPr>
          <w:sz w:val="24"/>
        </w:rPr>
        <w:t xml:space="preserve"> ორმაგად ბრმა სქემით მოქმედი ნივთიერების მიმართ საშუალო</w:t>
      </w:r>
      <w:r w:rsidR="000031BA" w:rsidRPr="00FC5C72">
        <w:rPr>
          <w:sz w:val="24"/>
        </w:rPr>
        <w:t>დ</w:t>
      </w:r>
      <w:r w:rsidR="00C47CBB" w:rsidRPr="00FC5C72">
        <w:rPr>
          <w:sz w:val="24"/>
        </w:rPr>
        <w:t xml:space="preserve"> 20 თვიანი ხანგრძლივობის ექსპოზიციით. პაციენტების საშუალო ასაკი - 69.1 წელი, საშუალო ქულა </w:t>
      </w:r>
      <w:r w:rsidR="00C47CBB" w:rsidRPr="00FC5C72">
        <w:rPr>
          <w:noProof/>
          <w:sz w:val="24"/>
          <w:szCs w:val="24"/>
        </w:rPr>
        <w:t>CHADS</w:t>
      </w:r>
      <w:r w:rsidR="00C47CBB" w:rsidRPr="00FC5C72">
        <w:rPr>
          <w:sz w:val="24"/>
          <w:vertAlign w:val="subscript"/>
        </w:rPr>
        <w:t>2</w:t>
      </w:r>
      <w:r w:rsidR="00C47CBB" w:rsidRPr="00FC5C72">
        <w:rPr>
          <w:sz w:val="24"/>
        </w:rPr>
        <w:t xml:space="preserve"> სკალით - 2.1, ანამნეზში ინსულტის ან ტიშ-ის მქონე პაციენტები - 18.9%. </w:t>
      </w:r>
    </w:p>
    <w:p w14:paraId="67ABE306" w14:textId="0FFB301B" w:rsidR="00C47CBB" w:rsidRPr="00FC5C72" w:rsidRDefault="004A6BBB" w:rsidP="00785B18">
      <w:pPr>
        <w:spacing w:after="0" w:line="240" w:lineRule="auto"/>
        <w:jc w:val="both"/>
        <w:rPr>
          <w:noProof/>
          <w:sz w:val="24"/>
          <w:szCs w:val="24"/>
        </w:rPr>
      </w:pPr>
      <w:r w:rsidRPr="00FC5C72">
        <w:rPr>
          <w:noProof/>
          <w:sz w:val="24"/>
          <w:szCs w:val="24"/>
        </w:rPr>
        <w:t>კვლევაში აპიქსა</w:t>
      </w:r>
      <w:r w:rsidR="00226829" w:rsidRPr="00FC5C72">
        <w:rPr>
          <w:noProof/>
          <w:sz w:val="24"/>
          <w:szCs w:val="24"/>
        </w:rPr>
        <w:t>ბ</w:t>
      </w:r>
      <w:r w:rsidRPr="00FC5C72">
        <w:rPr>
          <w:noProof/>
          <w:sz w:val="24"/>
          <w:szCs w:val="24"/>
        </w:rPr>
        <w:t>ანმა აჩვენა სტატისტიკურად მნიშვნელოვანი უპირატესობა ინსულტის (ჰემორაგიული ან იშემიური)  და სისტემური ემბოლიის (იხ. ცხრილი 4) პროფილაქტიკის პირველადი საბოლოო წერტილის მიმართ, ვარფარინთან შედარებით.</w:t>
      </w:r>
    </w:p>
    <w:p w14:paraId="6935D853" w14:textId="51B8D6E5" w:rsidR="004A6BBB" w:rsidRPr="00FC5C72" w:rsidRDefault="004A6BBB" w:rsidP="00785B18">
      <w:pPr>
        <w:spacing w:after="0" w:line="240" w:lineRule="auto"/>
        <w:jc w:val="both"/>
        <w:rPr>
          <w:noProof/>
          <w:sz w:val="24"/>
          <w:szCs w:val="24"/>
        </w:rPr>
      </w:pPr>
    </w:p>
    <w:p w14:paraId="3B18FADD" w14:textId="5157ABFE" w:rsidR="004A6BBB" w:rsidRPr="00FC5C72" w:rsidRDefault="004A6BBB" w:rsidP="00785B18">
      <w:pPr>
        <w:spacing w:after="0" w:line="240" w:lineRule="auto"/>
        <w:jc w:val="both"/>
        <w:rPr>
          <w:b/>
          <w:noProof/>
          <w:sz w:val="24"/>
          <w:szCs w:val="24"/>
        </w:rPr>
      </w:pPr>
      <w:r w:rsidRPr="00FC5C72">
        <w:rPr>
          <w:b/>
          <w:bCs/>
          <w:noProof/>
          <w:sz w:val="24"/>
          <w:szCs w:val="24"/>
        </w:rPr>
        <w:t xml:space="preserve">ცხრილი 4. </w:t>
      </w:r>
      <w:r w:rsidR="00B22AFE" w:rsidRPr="00FC5C72">
        <w:rPr>
          <w:b/>
          <w:bCs/>
          <w:noProof/>
          <w:sz w:val="24"/>
          <w:szCs w:val="24"/>
        </w:rPr>
        <w:t>ეფექტიანობის მაჩვენებლები წინაგულების ფიბრილაციის მქონე პაციენტებშ</w:t>
      </w:r>
      <w:r w:rsidR="00890F12" w:rsidRPr="00FC5C72">
        <w:rPr>
          <w:b/>
          <w:bCs/>
          <w:noProof/>
          <w:sz w:val="24"/>
          <w:szCs w:val="24"/>
        </w:rPr>
        <w:t>ი</w:t>
      </w:r>
      <w:r w:rsidR="00B22AFE" w:rsidRPr="00FC5C72">
        <w:rPr>
          <w:b/>
          <w:bCs/>
          <w:noProof/>
          <w:sz w:val="24"/>
          <w:szCs w:val="24"/>
        </w:rPr>
        <w:t xml:space="preserve"> კვლევაში </w:t>
      </w:r>
      <w:r w:rsidR="00B22AFE" w:rsidRPr="00FC5C72">
        <w:rPr>
          <w:b/>
          <w:noProof/>
          <w:sz w:val="24"/>
          <w:szCs w:val="24"/>
        </w:rPr>
        <w:t>ARISTOTLE</w:t>
      </w:r>
    </w:p>
    <w:p w14:paraId="498438F1" w14:textId="3411310D" w:rsidR="00B22AFE" w:rsidRPr="00FC5C72" w:rsidRDefault="00B22AFE" w:rsidP="00785B18">
      <w:pPr>
        <w:spacing w:after="0" w:line="240" w:lineRule="auto"/>
        <w:jc w:val="both"/>
        <w:rPr>
          <w:b/>
          <w:bCs/>
          <w:noProof/>
          <w:sz w:val="24"/>
          <w:szCs w:val="24"/>
        </w:rPr>
      </w:pPr>
    </w:p>
    <w:tbl>
      <w:tblPr>
        <w:tblW w:w="5000"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7"/>
        <w:gridCol w:w="1964"/>
        <w:gridCol w:w="1964"/>
        <w:gridCol w:w="1771"/>
        <w:gridCol w:w="1686"/>
      </w:tblGrid>
      <w:tr w:rsidR="00FC5C72" w:rsidRPr="00FC5C72" w14:paraId="2025DB25" w14:textId="77777777" w:rsidTr="00662ED3">
        <w:trPr>
          <w:trHeight w:val="468"/>
          <w:tblHeader/>
        </w:trPr>
        <w:tc>
          <w:tcPr>
            <w:tcW w:w="1358" w:type="pct"/>
          </w:tcPr>
          <w:p w14:paraId="41719243" w14:textId="77777777" w:rsidR="00B22AFE" w:rsidRPr="00FC5C72" w:rsidRDefault="00B22AFE" w:rsidP="00785B18">
            <w:pPr>
              <w:pStyle w:val="BMSTableHeader"/>
              <w:keepNext/>
              <w:keepLines/>
              <w:spacing w:before="0" w:after="0"/>
              <w:contextualSpacing/>
              <w:jc w:val="both"/>
              <w:rPr>
                <w:noProof/>
                <w:sz w:val="24"/>
                <w:szCs w:val="24"/>
              </w:rPr>
            </w:pPr>
          </w:p>
        </w:tc>
        <w:tc>
          <w:tcPr>
            <w:tcW w:w="969" w:type="pct"/>
          </w:tcPr>
          <w:p w14:paraId="3D04FA9E" w14:textId="7EFB9380" w:rsidR="00B22AFE" w:rsidRPr="00FC5C72" w:rsidRDefault="00B22AFE" w:rsidP="00785B18">
            <w:pPr>
              <w:pStyle w:val="BMSTableHeader"/>
              <w:keepNext/>
              <w:keepLines/>
              <w:spacing w:before="0" w:after="0"/>
              <w:contextualSpacing/>
              <w:jc w:val="both"/>
              <w:rPr>
                <w:noProof/>
                <w:sz w:val="24"/>
                <w:szCs w:val="24"/>
              </w:rPr>
            </w:pPr>
            <w:r w:rsidRPr="00FC5C72">
              <w:rPr>
                <w:rFonts w:ascii="Sylfaen" w:hAnsi="Sylfaen"/>
                <w:noProof/>
                <w:sz w:val="24"/>
                <w:szCs w:val="24"/>
                <w:lang w:val="ka-GE"/>
              </w:rPr>
              <w:t>აპიქსაბანი</w:t>
            </w:r>
            <w:r w:rsidRPr="00FC5C72">
              <w:rPr>
                <w:noProof/>
                <w:sz w:val="24"/>
                <w:szCs w:val="24"/>
              </w:rPr>
              <w:t xml:space="preserve"> </w:t>
            </w:r>
            <w:r w:rsidRPr="00FC5C72">
              <w:rPr>
                <w:noProof/>
                <w:sz w:val="24"/>
                <w:szCs w:val="24"/>
              </w:rPr>
              <w:br/>
              <w:t>N=9120</w:t>
            </w:r>
          </w:p>
          <w:p w14:paraId="030F56EB" w14:textId="5152AED3" w:rsidR="00B22AFE" w:rsidRPr="00FC5C72" w:rsidRDefault="00B22AFE" w:rsidP="00785B18">
            <w:pPr>
              <w:pStyle w:val="BMSTableHeader"/>
              <w:keepNext/>
              <w:keepLines/>
              <w:spacing w:before="0" w:after="0"/>
              <w:contextualSpacing/>
              <w:jc w:val="both"/>
              <w:rPr>
                <w:noProof/>
                <w:sz w:val="24"/>
                <w:szCs w:val="24"/>
              </w:rPr>
            </w:pPr>
            <w:r w:rsidRPr="00FC5C72">
              <w:rPr>
                <w:noProof/>
                <w:sz w:val="24"/>
                <w:szCs w:val="24"/>
              </w:rPr>
              <w:t>n (%/</w:t>
            </w:r>
            <w:r w:rsidR="00662ED3" w:rsidRPr="00FC5C72">
              <w:rPr>
                <w:rFonts w:ascii="Sylfaen" w:hAnsi="Sylfaen"/>
                <w:noProof/>
                <w:sz w:val="24"/>
                <w:szCs w:val="24"/>
                <w:lang w:val="ka-GE"/>
              </w:rPr>
              <w:t>წელიწადში</w:t>
            </w:r>
            <w:r w:rsidRPr="00FC5C72">
              <w:rPr>
                <w:noProof/>
                <w:sz w:val="24"/>
                <w:szCs w:val="24"/>
              </w:rPr>
              <w:t>)</w:t>
            </w:r>
          </w:p>
        </w:tc>
        <w:tc>
          <w:tcPr>
            <w:tcW w:w="969" w:type="pct"/>
          </w:tcPr>
          <w:p w14:paraId="7E862ED6" w14:textId="085AE1D5" w:rsidR="00B22AFE" w:rsidRPr="00FC5C72" w:rsidRDefault="00662ED3" w:rsidP="00785B18">
            <w:pPr>
              <w:pStyle w:val="BMSTableHeader"/>
              <w:keepNext/>
              <w:keepLines/>
              <w:spacing w:before="0" w:after="0"/>
              <w:contextualSpacing/>
              <w:jc w:val="both"/>
              <w:rPr>
                <w:noProof/>
                <w:sz w:val="24"/>
                <w:szCs w:val="24"/>
              </w:rPr>
            </w:pPr>
            <w:r w:rsidRPr="00FC5C72">
              <w:rPr>
                <w:rFonts w:ascii="Sylfaen" w:hAnsi="Sylfaen"/>
                <w:noProof/>
                <w:sz w:val="24"/>
                <w:szCs w:val="24"/>
                <w:lang w:val="ka-GE"/>
              </w:rPr>
              <w:t>ვარფარინი</w:t>
            </w:r>
            <w:r w:rsidR="00B22AFE" w:rsidRPr="00FC5C72">
              <w:rPr>
                <w:noProof/>
                <w:sz w:val="24"/>
                <w:szCs w:val="24"/>
              </w:rPr>
              <w:t xml:space="preserve"> </w:t>
            </w:r>
            <w:r w:rsidR="00B22AFE" w:rsidRPr="00FC5C72">
              <w:rPr>
                <w:noProof/>
                <w:sz w:val="24"/>
                <w:szCs w:val="24"/>
              </w:rPr>
              <w:br/>
              <w:t>N=9081</w:t>
            </w:r>
          </w:p>
          <w:p w14:paraId="7CBFD428" w14:textId="6D6BF682" w:rsidR="00B22AFE" w:rsidRPr="00FC5C72" w:rsidRDefault="00B22AFE" w:rsidP="00785B18">
            <w:pPr>
              <w:pStyle w:val="BMSTableHeader"/>
              <w:keepNext/>
              <w:keepLines/>
              <w:spacing w:before="0" w:after="0"/>
              <w:contextualSpacing/>
              <w:jc w:val="both"/>
              <w:rPr>
                <w:noProof/>
                <w:sz w:val="24"/>
                <w:szCs w:val="24"/>
              </w:rPr>
            </w:pPr>
            <w:r w:rsidRPr="00FC5C72">
              <w:rPr>
                <w:noProof/>
                <w:sz w:val="24"/>
                <w:szCs w:val="24"/>
              </w:rPr>
              <w:t>n (%/</w:t>
            </w:r>
            <w:r w:rsidR="00662ED3" w:rsidRPr="00FC5C72">
              <w:rPr>
                <w:rFonts w:ascii="Sylfaen" w:hAnsi="Sylfaen"/>
                <w:noProof/>
                <w:sz w:val="24"/>
                <w:szCs w:val="24"/>
                <w:lang w:val="ka-GE"/>
              </w:rPr>
              <w:t>წელიწადში</w:t>
            </w:r>
            <w:r w:rsidRPr="00FC5C72">
              <w:rPr>
                <w:noProof/>
                <w:sz w:val="24"/>
                <w:szCs w:val="24"/>
              </w:rPr>
              <w:t>)</w:t>
            </w:r>
          </w:p>
        </w:tc>
        <w:tc>
          <w:tcPr>
            <w:tcW w:w="873" w:type="pct"/>
          </w:tcPr>
          <w:p w14:paraId="663B0295" w14:textId="6AA05C1D" w:rsidR="00B22AFE" w:rsidRPr="00FC5C72" w:rsidRDefault="00662ED3" w:rsidP="00785B18">
            <w:pPr>
              <w:pStyle w:val="BMSTableHeader"/>
              <w:keepNext/>
              <w:keepLines/>
              <w:spacing w:before="0" w:after="0"/>
              <w:contextualSpacing/>
              <w:jc w:val="both"/>
              <w:rPr>
                <w:rFonts w:ascii="Sylfaen" w:hAnsi="Sylfaen"/>
                <w:noProof/>
                <w:sz w:val="24"/>
                <w:szCs w:val="24"/>
                <w:lang w:val="ka-GE"/>
              </w:rPr>
            </w:pPr>
            <w:r w:rsidRPr="00FC5C72">
              <w:rPr>
                <w:rFonts w:ascii="Sylfaen" w:hAnsi="Sylfaen"/>
                <w:noProof/>
                <w:sz w:val="24"/>
                <w:szCs w:val="24"/>
                <w:lang w:val="ka-GE"/>
              </w:rPr>
              <w:t>რისკების თანაფარდობა</w:t>
            </w:r>
          </w:p>
          <w:p w14:paraId="00DEF84E" w14:textId="16291349" w:rsidR="00B22AFE" w:rsidRPr="00FC5C72" w:rsidRDefault="00B22AFE" w:rsidP="00785B18">
            <w:pPr>
              <w:pStyle w:val="BMSTableHeader"/>
              <w:keepNext/>
              <w:keepLines/>
              <w:spacing w:before="0" w:after="0"/>
              <w:contextualSpacing/>
              <w:jc w:val="both"/>
              <w:rPr>
                <w:noProof/>
                <w:sz w:val="24"/>
                <w:szCs w:val="24"/>
              </w:rPr>
            </w:pPr>
            <w:r w:rsidRPr="00FC5C72">
              <w:rPr>
                <w:noProof/>
                <w:sz w:val="24"/>
                <w:szCs w:val="24"/>
              </w:rPr>
              <w:t>(95%-</w:t>
            </w:r>
            <w:r w:rsidR="00662ED3" w:rsidRPr="00FC5C72">
              <w:rPr>
                <w:rFonts w:ascii="Sylfaen" w:hAnsi="Sylfaen"/>
                <w:noProof/>
                <w:sz w:val="24"/>
                <w:szCs w:val="24"/>
                <w:lang w:val="ka-GE"/>
              </w:rPr>
              <w:t>იანი ს/ი</w:t>
            </w:r>
            <w:r w:rsidRPr="00FC5C72">
              <w:rPr>
                <w:noProof/>
                <w:sz w:val="24"/>
                <w:szCs w:val="24"/>
              </w:rPr>
              <w:t>)</w:t>
            </w:r>
          </w:p>
        </w:tc>
        <w:tc>
          <w:tcPr>
            <w:tcW w:w="831" w:type="pct"/>
          </w:tcPr>
          <w:p w14:paraId="04E88A94" w14:textId="77777777" w:rsidR="00B22AFE" w:rsidRPr="00FC5C72" w:rsidRDefault="00B22AFE" w:rsidP="00785B18">
            <w:pPr>
              <w:pStyle w:val="BMSTableHeader"/>
              <w:keepNext/>
              <w:keepLines/>
              <w:spacing w:before="0" w:after="0"/>
              <w:contextualSpacing/>
              <w:jc w:val="both"/>
              <w:rPr>
                <w:noProof/>
                <w:sz w:val="24"/>
                <w:szCs w:val="24"/>
              </w:rPr>
            </w:pPr>
          </w:p>
          <w:p w14:paraId="6818F2C2" w14:textId="2AD142CB" w:rsidR="00B22AFE" w:rsidRPr="00FC5C72" w:rsidRDefault="00B22AFE" w:rsidP="00785B18">
            <w:pPr>
              <w:pStyle w:val="BMSTableHeader"/>
              <w:keepNext/>
              <w:keepLines/>
              <w:spacing w:before="0" w:after="0"/>
              <w:contextualSpacing/>
              <w:jc w:val="both"/>
              <w:rPr>
                <w:rFonts w:ascii="Sylfaen" w:hAnsi="Sylfaen"/>
                <w:noProof/>
                <w:sz w:val="24"/>
                <w:szCs w:val="24"/>
                <w:lang w:val="ka-GE"/>
              </w:rPr>
            </w:pPr>
            <w:r w:rsidRPr="00FC5C72">
              <w:rPr>
                <w:noProof/>
                <w:sz w:val="24"/>
                <w:szCs w:val="24"/>
              </w:rPr>
              <w:t>p-</w:t>
            </w:r>
            <w:r w:rsidR="00662ED3" w:rsidRPr="00FC5C72">
              <w:rPr>
                <w:rFonts w:ascii="Sylfaen" w:hAnsi="Sylfaen"/>
                <w:noProof/>
                <w:sz w:val="24"/>
                <w:szCs w:val="24"/>
                <w:lang w:val="ka-GE"/>
              </w:rPr>
              <w:t>მნიშვნელობა</w:t>
            </w:r>
          </w:p>
        </w:tc>
      </w:tr>
      <w:tr w:rsidR="00FC5C72" w:rsidRPr="00FC5C72" w14:paraId="7364D904" w14:textId="77777777" w:rsidTr="00662ED3">
        <w:tc>
          <w:tcPr>
            <w:tcW w:w="1358" w:type="pct"/>
          </w:tcPr>
          <w:p w14:paraId="6754ECC9" w14:textId="298EFAD5" w:rsidR="00B22AFE" w:rsidRPr="00FC5C72" w:rsidRDefault="00662ED3" w:rsidP="00785B18">
            <w:pPr>
              <w:pStyle w:val="BMSTableText"/>
              <w:keepNext/>
              <w:widowControl w:val="0"/>
              <w:spacing w:before="0" w:after="0"/>
              <w:contextualSpacing/>
              <w:jc w:val="both"/>
              <w:rPr>
                <w:rFonts w:ascii="Sylfaen" w:hAnsi="Sylfaen"/>
                <w:noProof/>
                <w:sz w:val="24"/>
                <w:szCs w:val="24"/>
                <w:lang w:val="ka-GE"/>
              </w:rPr>
            </w:pPr>
            <w:r w:rsidRPr="00FC5C72">
              <w:rPr>
                <w:rFonts w:ascii="Sylfaen" w:hAnsi="Sylfaen"/>
                <w:noProof/>
                <w:sz w:val="24"/>
                <w:szCs w:val="24"/>
                <w:lang w:val="ka-GE"/>
              </w:rPr>
              <w:t>ინსულტი ან სისტემური ემბოლია</w:t>
            </w:r>
          </w:p>
        </w:tc>
        <w:tc>
          <w:tcPr>
            <w:tcW w:w="969" w:type="pct"/>
          </w:tcPr>
          <w:p w14:paraId="400CCCC3" w14:textId="77777777" w:rsidR="00B22AFE" w:rsidRPr="00FC5C72" w:rsidRDefault="00B22AFE" w:rsidP="00785B18">
            <w:pPr>
              <w:pStyle w:val="BMSTableText"/>
              <w:keepNext/>
              <w:widowControl w:val="0"/>
              <w:spacing w:before="0" w:after="0"/>
              <w:contextualSpacing/>
              <w:jc w:val="both"/>
              <w:rPr>
                <w:noProof/>
                <w:sz w:val="24"/>
                <w:szCs w:val="24"/>
              </w:rPr>
            </w:pPr>
            <w:r w:rsidRPr="00FC5C72">
              <w:rPr>
                <w:noProof/>
                <w:sz w:val="24"/>
                <w:szCs w:val="24"/>
              </w:rPr>
              <w:t>212 (1,27)</w:t>
            </w:r>
          </w:p>
        </w:tc>
        <w:tc>
          <w:tcPr>
            <w:tcW w:w="969" w:type="pct"/>
          </w:tcPr>
          <w:p w14:paraId="46182457" w14:textId="77777777" w:rsidR="00B22AFE" w:rsidRPr="00FC5C72" w:rsidRDefault="00B22AFE" w:rsidP="00785B18">
            <w:pPr>
              <w:pStyle w:val="BMSTableText"/>
              <w:keepNext/>
              <w:widowControl w:val="0"/>
              <w:spacing w:before="0" w:after="0"/>
              <w:contextualSpacing/>
              <w:jc w:val="both"/>
              <w:rPr>
                <w:noProof/>
                <w:sz w:val="24"/>
                <w:szCs w:val="24"/>
              </w:rPr>
            </w:pPr>
            <w:r w:rsidRPr="00FC5C72">
              <w:rPr>
                <w:noProof/>
                <w:sz w:val="24"/>
                <w:szCs w:val="24"/>
              </w:rPr>
              <w:t>265 (1,60)</w:t>
            </w:r>
          </w:p>
        </w:tc>
        <w:tc>
          <w:tcPr>
            <w:tcW w:w="873" w:type="pct"/>
          </w:tcPr>
          <w:p w14:paraId="2736ECBB" w14:textId="6E9BCC79" w:rsidR="00B22AFE" w:rsidRPr="00FC5C72" w:rsidRDefault="00B22AFE" w:rsidP="00785B18">
            <w:pPr>
              <w:pStyle w:val="BMSTableText"/>
              <w:keepNext/>
              <w:widowControl w:val="0"/>
              <w:spacing w:before="0" w:after="0"/>
              <w:contextualSpacing/>
              <w:jc w:val="both"/>
              <w:rPr>
                <w:noProof/>
                <w:sz w:val="24"/>
                <w:szCs w:val="24"/>
              </w:rPr>
            </w:pPr>
            <w:r w:rsidRPr="00FC5C72">
              <w:rPr>
                <w:noProof/>
                <w:sz w:val="24"/>
                <w:szCs w:val="24"/>
              </w:rPr>
              <w:t>0,79(0,66, 0,95)</w:t>
            </w:r>
          </w:p>
        </w:tc>
        <w:tc>
          <w:tcPr>
            <w:tcW w:w="831" w:type="pct"/>
          </w:tcPr>
          <w:p w14:paraId="01249495" w14:textId="77777777" w:rsidR="00B22AFE" w:rsidRPr="00FC5C72" w:rsidRDefault="00B22AFE" w:rsidP="00785B18">
            <w:pPr>
              <w:pStyle w:val="BMSTableText"/>
              <w:keepNext/>
              <w:widowControl w:val="0"/>
              <w:spacing w:before="0" w:after="0"/>
              <w:contextualSpacing/>
              <w:jc w:val="both"/>
              <w:rPr>
                <w:noProof/>
                <w:sz w:val="24"/>
                <w:szCs w:val="24"/>
              </w:rPr>
            </w:pPr>
            <w:r w:rsidRPr="00FC5C72">
              <w:rPr>
                <w:noProof/>
                <w:sz w:val="24"/>
                <w:szCs w:val="24"/>
              </w:rPr>
              <w:t>0,0114</w:t>
            </w:r>
          </w:p>
        </w:tc>
      </w:tr>
      <w:tr w:rsidR="00FC5C72" w:rsidRPr="00FC5C72" w14:paraId="37D0EC6E" w14:textId="77777777" w:rsidTr="00662ED3">
        <w:tc>
          <w:tcPr>
            <w:tcW w:w="1358" w:type="pct"/>
          </w:tcPr>
          <w:p w14:paraId="7EE653D4" w14:textId="160D195A" w:rsidR="00B22AFE" w:rsidRPr="00FC5C72" w:rsidRDefault="00662ED3" w:rsidP="00785B18">
            <w:pPr>
              <w:pStyle w:val="BMSTableText"/>
              <w:keepNext/>
              <w:widowControl w:val="0"/>
              <w:spacing w:before="0" w:after="0"/>
              <w:ind w:left="170"/>
              <w:contextualSpacing/>
              <w:jc w:val="both"/>
              <w:rPr>
                <w:rFonts w:ascii="Sylfaen" w:hAnsi="Sylfaen"/>
                <w:noProof/>
                <w:sz w:val="24"/>
                <w:szCs w:val="24"/>
                <w:lang w:val="ka-GE"/>
              </w:rPr>
            </w:pPr>
            <w:r w:rsidRPr="00FC5C72">
              <w:rPr>
                <w:rFonts w:ascii="Sylfaen" w:hAnsi="Sylfaen"/>
                <w:noProof/>
                <w:sz w:val="24"/>
                <w:szCs w:val="24"/>
                <w:lang w:val="ka-GE"/>
              </w:rPr>
              <w:t>ინსულტი</w:t>
            </w:r>
          </w:p>
        </w:tc>
        <w:tc>
          <w:tcPr>
            <w:tcW w:w="969" w:type="pct"/>
          </w:tcPr>
          <w:p w14:paraId="652AEE9D" w14:textId="77777777" w:rsidR="00B22AFE" w:rsidRPr="00FC5C72" w:rsidRDefault="00B22AFE" w:rsidP="00785B18">
            <w:pPr>
              <w:pStyle w:val="BMSTableText"/>
              <w:spacing w:before="0" w:after="0"/>
              <w:contextualSpacing/>
              <w:jc w:val="both"/>
              <w:rPr>
                <w:noProof/>
                <w:sz w:val="24"/>
                <w:szCs w:val="24"/>
              </w:rPr>
            </w:pPr>
          </w:p>
        </w:tc>
        <w:tc>
          <w:tcPr>
            <w:tcW w:w="969" w:type="pct"/>
          </w:tcPr>
          <w:p w14:paraId="3B10EDF4" w14:textId="77777777" w:rsidR="00B22AFE" w:rsidRPr="00FC5C72" w:rsidRDefault="00B22AFE" w:rsidP="00785B18">
            <w:pPr>
              <w:pStyle w:val="BMSTableText"/>
              <w:spacing w:before="0" w:after="0"/>
              <w:contextualSpacing/>
              <w:jc w:val="both"/>
              <w:rPr>
                <w:noProof/>
                <w:sz w:val="24"/>
                <w:szCs w:val="24"/>
              </w:rPr>
            </w:pPr>
          </w:p>
        </w:tc>
        <w:tc>
          <w:tcPr>
            <w:tcW w:w="873" w:type="pct"/>
          </w:tcPr>
          <w:p w14:paraId="13857938" w14:textId="77777777" w:rsidR="00B22AFE" w:rsidRPr="00FC5C72" w:rsidRDefault="00B22AFE" w:rsidP="00785B18">
            <w:pPr>
              <w:pStyle w:val="BMSTableText"/>
              <w:keepNext/>
              <w:widowControl w:val="0"/>
              <w:spacing w:before="0" w:after="0"/>
              <w:contextualSpacing/>
              <w:jc w:val="both"/>
              <w:rPr>
                <w:noProof/>
                <w:sz w:val="24"/>
                <w:szCs w:val="24"/>
              </w:rPr>
            </w:pPr>
          </w:p>
        </w:tc>
        <w:tc>
          <w:tcPr>
            <w:tcW w:w="831" w:type="pct"/>
          </w:tcPr>
          <w:p w14:paraId="02880914" w14:textId="77777777" w:rsidR="00B22AFE" w:rsidRPr="00FC5C72" w:rsidRDefault="00B22AFE" w:rsidP="00785B18">
            <w:pPr>
              <w:pStyle w:val="BMSTableText"/>
              <w:keepNext/>
              <w:widowControl w:val="0"/>
              <w:spacing w:before="0" w:after="0"/>
              <w:contextualSpacing/>
              <w:jc w:val="both"/>
              <w:rPr>
                <w:noProof/>
                <w:sz w:val="24"/>
                <w:szCs w:val="24"/>
              </w:rPr>
            </w:pPr>
          </w:p>
        </w:tc>
      </w:tr>
      <w:tr w:rsidR="00FC5C72" w:rsidRPr="00FC5C72" w14:paraId="5FE088C2" w14:textId="77777777" w:rsidTr="00662ED3">
        <w:tc>
          <w:tcPr>
            <w:tcW w:w="1358" w:type="pct"/>
          </w:tcPr>
          <w:p w14:paraId="650AF939" w14:textId="5C01399B" w:rsidR="00B22AFE" w:rsidRPr="00FC5C72" w:rsidRDefault="00662ED3" w:rsidP="00785B18">
            <w:pPr>
              <w:pStyle w:val="BMSTableText"/>
              <w:keepNext/>
              <w:widowControl w:val="0"/>
              <w:tabs>
                <w:tab w:val="clear" w:pos="360"/>
              </w:tabs>
              <w:spacing w:before="0" w:after="0"/>
              <w:ind w:left="345"/>
              <w:contextualSpacing/>
              <w:jc w:val="both"/>
              <w:rPr>
                <w:rFonts w:ascii="Sylfaen" w:hAnsi="Sylfaen"/>
                <w:noProof/>
                <w:sz w:val="24"/>
                <w:szCs w:val="24"/>
                <w:lang w:val="ka-GE"/>
              </w:rPr>
            </w:pPr>
            <w:r w:rsidRPr="00FC5C72">
              <w:rPr>
                <w:rFonts w:ascii="Sylfaen" w:hAnsi="Sylfaen"/>
                <w:noProof/>
                <w:sz w:val="24"/>
                <w:szCs w:val="24"/>
                <w:lang w:val="ka-GE"/>
              </w:rPr>
              <w:t>იშემიური ან დაუდგენელი ტიპის</w:t>
            </w:r>
          </w:p>
        </w:tc>
        <w:tc>
          <w:tcPr>
            <w:tcW w:w="969" w:type="pct"/>
          </w:tcPr>
          <w:p w14:paraId="7107F890" w14:textId="77777777" w:rsidR="00B22AFE" w:rsidRPr="00FC5C72" w:rsidRDefault="00B22AFE" w:rsidP="00785B18">
            <w:pPr>
              <w:pStyle w:val="BMSTableText"/>
              <w:spacing w:before="0" w:after="0"/>
              <w:contextualSpacing/>
              <w:jc w:val="both"/>
              <w:rPr>
                <w:noProof/>
                <w:sz w:val="24"/>
                <w:szCs w:val="24"/>
              </w:rPr>
            </w:pPr>
            <w:r w:rsidRPr="00FC5C72">
              <w:rPr>
                <w:noProof/>
                <w:sz w:val="24"/>
                <w:szCs w:val="24"/>
              </w:rPr>
              <w:t>162 (0,97)</w:t>
            </w:r>
          </w:p>
        </w:tc>
        <w:tc>
          <w:tcPr>
            <w:tcW w:w="969" w:type="pct"/>
          </w:tcPr>
          <w:p w14:paraId="59D7ABFD" w14:textId="77777777" w:rsidR="00B22AFE" w:rsidRPr="00FC5C72" w:rsidRDefault="00B22AFE" w:rsidP="00785B18">
            <w:pPr>
              <w:pStyle w:val="BMSTableText"/>
              <w:spacing w:before="0" w:after="0"/>
              <w:contextualSpacing/>
              <w:jc w:val="both"/>
              <w:rPr>
                <w:noProof/>
                <w:sz w:val="24"/>
                <w:szCs w:val="24"/>
              </w:rPr>
            </w:pPr>
            <w:r w:rsidRPr="00FC5C72">
              <w:rPr>
                <w:noProof/>
                <w:sz w:val="24"/>
                <w:szCs w:val="24"/>
              </w:rPr>
              <w:t>175 (1,05)</w:t>
            </w:r>
          </w:p>
        </w:tc>
        <w:tc>
          <w:tcPr>
            <w:tcW w:w="873" w:type="pct"/>
          </w:tcPr>
          <w:p w14:paraId="41EDF688" w14:textId="77777777" w:rsidR="00B22AFE" w:rsidRPr="00FC5C72" w:rsidRDefault="00B22AFE" w:rsidP="00785B18">
            <w:pPr>
              <w:pStyle w:val="BMSTableText"/>
              <w:keepNext/>
              <w:widowControl w:val="0"/>
              <w:spacing w:before="0" w:after="0"/>
              <w:contextualSpacing/>
              <w:jc w:val="both"/>
              <w:rPr>
                <w:noProof/>
                <w:sz w:val="24"/>
                <w:szCs w:val="24"/>
              </w:rPr>
            </w:pPr>
            <w:r w:rsidRPr="00FC5C72">
              <w:rPr>
                <w:noProof/>
                <w:sz w:val="24"/>
                <w:szCs w:val="24"/>
              </w:rPr>
              <w:t>0,92(0,74, 1,13)</w:t>
            </w:r>
          </w:p>
        </w:tc>
        <w:tc>
          <w:tcPr>
            <w:tcW w:w="831" w:type="pct"/>
          </w:tcPr>
          <w:p w14:paraId="61178F47" w14:textId="77777777" w:rsidR="00B22AFE" w:rsidRPr="00FC5C72" w:rsidRDefault="00B22AFE" w:rsidP="00785B18">
            <w:pPr>
              <w:pStyle w:val="BMSTableText"/>
              <w:keepNext/>
              <w:widowControl w:val="0"/>
              <w:spacing w:before="0" w:after="0"/>
              <w:contextualSpacing/>
              <w:jc w:val="both"/>
              <w:rPr>
                <w:noProof/>
                <w:sz w:val="24"/>
                <w:szCs w:val="24"/>
              </w:rPr>
            </w:pPr>
          </w:p>
        </w:tc>
      </w:tr>
      <w:tr w:rsidR="00FC5C72" w:rsidRPr="00FC5C72" w14:paraId="508559CD" w14:textId="77777777" w:rsidTr="00662ED3">
        <w:tc>
          <w:tcPr>
            <w:tcW w:w="1358" w:type="pct"/>
          </w:tcPr>
          <w:p w14:paraId="43EB5EE1" w14:textId="4060C39E" w:rsidR="00B22AFE" w:rsidRPr="00FC5C72" w:rsidRDefault="00662ED3" w:rsidP="00785B18">
            <w:pPr>
              <w:pStyle w:val="BMSTableText"/>
              <w:keepNext/>
              <w:widowControl w:val="0"/>
              <w:tabs>
                <w:tab w:val="clear" w:pos="360"/>
              </w:tabs>
              <w:spacing w:before="0" w:after="0"/>
              <w:ind w:left="345"/>
              <w:contextualSpacing/>
              <w:jc w:val="both"/>
              <w:rPr>
                <w:rFonts w:ascii="Sylfaen" w:hAnsi="Sylfaen"/>
                <w:noProof/>
                <w:sz w:val="24"/>
                <w:szCs w:val="24"/>
                <w:lang w:val="ka-GE"/>
              </w:rPr>
            </w:pPr>
            <w:r w:rsidRPr="00FC5C72">
              <w:rPr>
                <w:rFonts w:ascii="Sylfaen" w:hAnsi="Sylfaen"/>
                <w:noProof/>
                <w:sz w:val="24"/>
                <w:szCs w:val="24"/>
                <w:lang w:val="ka-GE"/>
              </w:rPr>
              <w:t>ჰემორაგიული</w:t>
            </w:r>
          </w:p>
        </w:tc>
        <w:tc>
          <w:tcPr>
            <w:tcW w:w="969" w:type="pct"/>
          </w:tcPr>
          <w:p w14:paraId="37A3C6DD" w14:textId="77777777" w:rsidR="00B22AFE" w:rsidRPr="00FC5C72" w:rsidRDefault="00B22AFE" w:rsidP="00785B18">
            <w:pPr>
              <w:pStyle w:val="BMSTableText"/>
              <w:spacing w:before="0" w:after="0"/>
              <w:contextualSpacing/>
              <w:jc w:val="both"/>
              <w:rPr>
                <w:noProof/>
                <w:sz w:val="24"/>
                <w:szCs w:val="24"/>
              </w:rPr>
            </w:pPr>
            <w:r w:rsidRPr="00FC5C72">
              <w:rPr>
                <w:noProof/>
                <w:sz w:val="24"/>
                <w:szCs w:val="24"/>
              </w:rPr>
              <w:t>40 (0,24)</w:t>
            </w:r>
          </w:p>
        </w:tc>
        <w:tc>
          <w:tcPr>
            <w:tcW w:w="969" w:type="pct"/>
          </w:tcPr>
          <w:p w14:paraId="2110E00F" w14:textId="77777777" w:rsidR="00B22AFE" w:rsidRPr="00FC5C72" w:rsidRDefault="00B22AFE" w:rsidP="00785B18">
            <w:pPr>
              <w:pStyle w:val="BMSTableText"/>
              <w:spacing w:before="0" w:after="0"/>
              <w:contextualSpacing/>
              <w:jc w:val="both"/>
              <w:rPr>
                <w:noProof/>
                <w:sz w:val="24"/>
                <w:szCs w:val="24"/>
              </w:rPr>
            </w:pPr>
            <w:r w:rsidRPr="00FC5C72">
              <w:rPr>
                <w:noProof/>
                <w:sz w:val="24"/>
                <w:szCs w:val="24"/>
              </w:rPr>
              <w:t>78 (0,47)</w:t>
            </w:r>
          </w:p>
        </w:tc>
        <w:tc>
          <w:tcPr>
            <w:tcW w:w="873" w:type="pct"/>
          </w:tcPr>
          <w:p w14:paraId="1F7055C6" w14:textId="77777777" w:rsidR="00B22AFE" w:rsidRPr="00FC5C72" w:rsidRDefault="00B22AFE" w:rsidP="00785B18">
            <w:pPr>
              <w:pStyle w:val="BMSTableText"/>
              <w:keepNext/>
              <w:widowControl w:val="0"/>
              <w:spacing w:before="0" w:after="0"/>
              <w:contextualSpacing/>
              <w:jc w:val="both"/>
              <w:rPr>
                <w:noProof/>
                <w:sz w:val="24"/>
                <w:szCs w:val="24"/>
              </w:rPr>
            </w:pPr>
            <w:r w:rsidRPr="00FC5C72">
              <w:rPr>
                <w:noProof/>
                <w:sz w:val="24"/>
                <w:szCs w:val="24"/>
              </w:rPr>
              <w:t>0,51(0,35, 0,75)</w:t>
            </w:r>
          </w:p>
        </w:tc>
        <w:tc>
          <w:tcPr>
            <w:tcW w:w="831" w:type="pct"/>
          </w:tcPr>
          <w:p w14:paraId="33975ADB" w14:textId="77777777" w:rsidR="00B22AFE" w:rsidRPr="00FC5C72" w:rsidRDefault="00B22AFE" w:rsidP="00785B18">
            <w:pPr>
              <w:pStyle w:val="BMSTableText"/>
              <w:keepNext/>
              <w:widowControl w:val="0"/>
              <w:spacing w:before="0" w:after="0"/>
              <w:contextualSpacing/>
              <w:jc w:val="both"/>
              <w:rPr>
                <w:noProof/>
                <w:sz w:val="24"/>
                <w:szCs w:val="24"/>
              </w:rPr>
            </w:pPr>
          </w:p>
        </w:tc>
      </w:tr>
      <w:tr w:rsidR="00FC5C72" w:rsidRPr="00FC5C72" w14:paraId="1ED5FFCB" w14:textId="77777777" w:rsidTr="00662ED3">
        <w:tc>
          <w:tcPr>
            <w:tcW w:w="1358" w:type="pct"/>
          </w:tcPr>
          <w:p w14:paraId="26D2E9F0" w14:textId="04BE594B" w:rsidR="00B22AFE" w:rsidRPr="00FC5C72" w:rsidRDefault="00662ED3" w:rsidP="00785B18">
            <w:pPr>
              <w:pStyle w:val="BMSTableText"/>
              <w:keepNext/>
              <w:widowControl w:val="0"/>
              <w:spacing w:before="0" w:after="0"/>
              <w:ind w:left="170"/>
              <w:contextualSpacing/>
              <w:jc w:val="both"/>
              <w:rPr>
                <w:rFonts w:ascii="Sylfaen" w:hAnsi="Sylfaen"/>
                <w:noProof/>
                <w:sz w:val="24"/>
                <w:szCs w:val="24"/>
                <w:lang w:val="ka-GE"/>
              </w:rPr>
            </w:pPr>
            <w:r w:rsidRPr="00FC5C72">
              <w:rPr>
                <w:rFonts w:ascii="Sylfaen" w:hAnsi="Sylfaen"/>
                <w:noProof/>
                <w:sz w:val="24"/>
                <w:szCs w:val="24"/>
                <w:lang w:val="ka-GE"/>
              </w:rPr>
              <w:t>სისტემური ემბოლია</w:t>
            </w:r>
          </w:p>
        </w:tc>
        <w:tc>
          <w:tcPr>
            <w:tcW w:w="969" w:type="pct"/>
          </w:tcPr>
          <w:p w14:paraId="04655536" w14:textId="77777777" w:rsidR="00B22AFE" w:rsidRPr="00FC5C72" w:rsidRDefault="00B22AFE" w:rsidP="00785B18">
            <w:pPr>
              <w:pStyle w:val="BMSTableText"/>
              <w:spacing w:before="0" w:after="0"/>
              <w:contextualSpacing/>
              <w:jc w:val="both"/>
              <w:rPr>
                <w:noProof/>
                <w:sz w:val="24"/>
                <w:szCs w:val="24"/>
              </w:rPr>
            </w:pPr>
            <w:r w:rsidRPr="00FC5C72">
              <w:rPr>
                <w:noProof/>
                <w:sz w:val="24"/>
                <w:szCs w:val="24"/>
              </w:rPr>
              <w:t>15 (0,09)</w:t>
            </w:r>
          </w:p>
        </w:tc>
        <w:tc>
          <w:tcPr>
            <w:tcW w:w="969" w:type="pct"/>
          </w:tcPr>
          <w:p w14:paraId="3E82B4DC" w14:textId="77777777" w:rsidR="00B22AFE" w:rsidRPr="00FC5C72" w:rsidRDefault="00B22AFE" w:rsidP="00785B18">
            <w:pPr>
              <w:pStyle w:val="BMSTableText"/>
              <w:spacing w:before="0" w:after="0"/>
              <w:contextualSpacing/>
              <w:jc w:val="both"/>
              <w:rPr>
                <w:noProof/>
                <w:sz w:val="24"/>
                <w:szCs w:val="24"/>
              </w:rPr>
            </w:pPr>
            <w:r w:rsidRPr="00FC5C72">
              <w:rPr>
                <w:noProof/>
                <w:sz w:val="24"/>
                <w:szCs w:val="24"/>
              </w:rPr>
              <w:t>17 (0,10)</w:t>
            </w:r>
          </w:p>
        </w:tc>
        <w:tc>
          <w:tcPr>
            <w:tcW w:w="873" w:type="pct"/>
          </w:tcPr>
          <w:p w14:paraId="37613743" w14:textId="77777777" w:rsidR="00B22AFE" w:rsidRPr="00FC5C72" w:rsidRDefault="00B22AFE" w:rsidP="00785B18">
            <w:pPr>
              <w:pStyle w:val="BMSTableText"/>
              <w:keepNext/>
              <w:widowControl w:val="0"/>
              <w:spacing w:before="0" w:after="0"/>
              <w:contextualSpacing/>
              <w:jc w:val="both"/>
              <w:rPr>
                <w:noProof/>
                <w:sz w:val="24"/>
                <w:szCs w:val="24"/>
              </w:rPr>
            </w:pPr>
            <w:r w:rsidRPr="00FC5C72">
              <w:rPr>
                <w:noProof/>
                <w:sz w:val="24"/>
                <w:szCs w:val="24"/>
              </w:rPr>
              <w:t>0,87(0,44, 1,75)</w:t>
            </w:r>
          </w:p>
        </w:tc>
        <w:tc>
          <w:tcPr>
            <w:tcW w:w="831" w:type="pct"/>
          </w:tcPr>
          <w:p w14:paraId="2791C8ED" w14:textId="77777777" w:rsidR="00B22AFE" w:rsidRPr="00FC5C72" w:rsidRDefault="00B22AFE" w:rsidP="00785B18">
            <w:pPr>
              <w:pStyle w:val="BMSTableText"/>
              <w:keepNext/>
              <w:widowControl w:val="0"/>
              <w:spacing w:before="0" w:after="0"/>
              <w:contextualSpacing/>
              <w:jc w:val="both"/>
              <w:rPr>
                <w:noProof/>
                <w:sz w:val="24"/>
                <w:szCs w:val="24"/>
              </w:rPr>
            </w:pPr>
          </w:p>
        </w:tc>
      </w:tr>
    </w:tbl>
    <w:p w14:paraId="125E8608" w14:textId="77777777" w:rsidR="00662ED3" w:rsidRPr="00FC5C72" w:rsidRDefault="00662ED3" w:rsidP="00785B18">
      <w:pPr>
        <w:spacing w:after="0" w:line="240" w:lineRule="auto"/>
        <w:jc w:val="both"/>
        <w:rPr>
          <w:noProof/>
          <w:sz w:val="24"/>
          <w:szCs w:val="24"/>
        </w:rPr>
      </w:pPr>
    </w:p>
    <w:p w14:paraId="12938C14" w14:textId="702DF9DA" w:rsidR="00B22AFE" w:rsidRPr="00FC5C72" w:rsidRDefault="00662ED3" w:rsidP="00785B18">
      <w:pPr>
        <w:spacing w:after="0" w:line="240" w:lineRule="auto"/>
        <w:jc w:val="both"/>
        <w:rPr>
          <w:noProof/>
          <w:sz w:val="24"/>
          <w:szCs w:val="24"/>
        </w:rPr>
      </w:pPr>
      <w:r w:rsidRPr="00FC5C72">
        <w:rPr>
          <w:noProof/>
          <w:sz w:val="24"/>
          <w:szCs w:val="24"/>
        </w:rPr>
        <w:t>ვარფარინის მიღების ჯგუფში რანდომიზებულ პაციენტებშ</w:t>
      </w:r>
      <w:r w:rsidR="002B6F15" w:rsidRPr="00FC5C72">
        <w:rPr>
          <w:noProof/>
          <w:sz w:val="24"/>
          <w:szCs w:val="24"/>
        </w:rPr>
        <w:t>ი</w:t>
      </w:r>
      <w:r w:rsidRPr="00FC5C72">
        <w:rPr>
          <w:noProof/>
          <w:sz w:val="24"/>
          <w:szCs w:val="24"/>
        </w:rPr>
        <w:t xml:space="preserve"> თერაპიულ დიაპაზონში ყოფნის დროის მედიანა (თდმ) (სნთ: 2-3) შეადგენდა 66%-ს. </w:t>
      </w:r>
    </w:p>
    <w:p w14:paraId="236F671F" w14:textId="17FA62C0" w:rsidR="00662ED3" w:rsidRPr="00FC5C72" w:rsidRDefault="00662ED3" w:rsidP="00785B18">
      <w:pPr>
        <w:spacing w:after="0" w:line="240" w:lineRule="auto"/>
        <w:jc w:val="both"/>
        <w:rPr>
          <w:noProof/>
          <w:sz w:val="24"/>
          <w:szCs w:val="24"/>
        </w:rPr>
      </w:pPr>
      <w:r w:rsidRPr="00FC5C72">
        <w:rPr>
          <w:noProof/>
          <w:sz w:val="24"/>
          <w:szCs w:val="24"/>
        </w:rPr>
        <w:t>აპიქსაბანმა აჩვენა ინსულტის და სისტემური ემბოლიის სიხშირის შემცირება, ვარფარინთან შედარებით, კვლევითი ცენტრის თერაპიული დიაპაზონის მედიანის სხვადასხვა მაჩვენებლებზე; კვლევითი ცენტრის მონაცემებით თდმ-ის ყველაზე მაღალ კვარტილში რისკების თანაფარდობა აპიქსაბანისა და ვარფარინისთვის შეადგენდა 0,73-ს (95%-იან ს/ი: 0,38–1,40).</w:t>
      </w:r>
    </w:p>
    <w:p w14:paraId="76B0F09B" w14:textId="77777777" w:rsidR="00A91B3A" w:rsidRPr="00FC5C72" w:rsidRDefault="00662ED3" w:rsidP="00785B18">
      <w:pPr>
        <w:spacing w:after="0" w:line="240" w:lineRule="auto"/>
        <w:jc w:val="both"/>
        <w:rPr>
          <w:noProof/>
          <w:sz w:val="24"/>
          <w:szCs w:val="24"/>
        </w:rPr>
      </w:pPr>
      <w:r w:rsidRPr="00FC5C72">
        <w:rPr>
          <w:noProof/>
          <w:sz w:val="24"/>
          <w:szCs w:val="24"/>
        </w:rPr>
        <w:t xml:space="preserve">მნიშვნელოვანი სისხლდენის და ნებისმიერი მიზეზით სიკვდილის ძირითადი მეორადი საბოლოო წერტილები შემოწმდა კვლევების წინასწარ განსაზღვრული იერარქიული სტრატეგიის შესაბამისად კვლევაში </w:t>
      </w:r>
      <w:r w:rsidRPr="00FC5C72">
        <w:rPr>
          <w:noProof/>
          <w:sz w:val="24"/>
          <w:szCs w:val="24"/>
          <w:lang w:val="en-US"/>
        </w:rPr>
        <w:t xml:space="preserve">I </w:t>
      </w:r>
      <w:r w:rsidR="00A91B3A" w:rsidRPr="00FC5C72">
        <w:rPr>
          <w:noProof/>
          <w:sz w:val="24"/>
          <w:szCs w:val="24"/>
        </w:rPr>
        <w:t xml:space="preserve">რიგის საერთო შეცდომის რისკის შესამცირებლად. სტატისტიკურად მნიშვნელოვანი უპირატესობა ასევე მიღწეული იქნა მნიშვნელოვანი სისხლდენის და ნებისმიერი მიზეზით სიკვდილის ძირითადი მეორადი საბოლოო წერტილების მიხედვით (იხ. ცხრილი 5).  სნთ-ის მონიტორინგის გაძლიერებასთან ერთად მცირდება აპიქსაბანის აღნიშნული უპირატესობა ვარფარინთან შედარებით ნებისმიერი მიზეზით სიკვდილთან დაკავშირებით. </w:t>
      </w:r>
    </w:p>
    <w:p w14:paraId="362AE191" w14:textId="77777777" w:rsidR="00A91B3A" w:rsidRPr="00FC5C72" w:rsidRDefault="00A91B3A" w:rsidP="00785B18">
      <w:pPr>
        <w:spacing w:after="0" w:line="240" w:lineRule="auto"/>
        <w:jc w:val="both"/>
        <w:rPr>
          <w:noProof/>
          <w:sz w:val="24"/>
          <w:szCs w:val="24"/>
        </w:rPr>
      </w:pPr>
    </w:p>
    <w:p w14:paraId="7BAB2847" w14:textId="67521BA4" w:rsidR="00662ED3" w:rsidRPr="00FC5C72" w:rsidRDefault="00A91B3A" w:rsidP="00785B18">
      <w:pPr>
        <w:spacing w:after="0" w:line="240" w:lineRule="auto"/>
        <w:jc w:val="both"/>
        <w:rPr>
          <w:b/>
          <w:bCs/>
          <w:noProof/>
          <w:sz w:val="24"/>
          <w:szCs w:val="24"/>
        </w:rPr>
      </w:pPr>
      <w:r w:rsidRPr="00FC5C72">
        <w:rPr>
          <w:b/>
          <w:bCs/>
          <w:noProof/>
          <w:sz w:val="24"/>
          <w:szCs w:val="24"/>
        </w:rPr>
        <w:t xml:space="preserve">ცხრილი 5. მეორადი საბოლოო წერტილები წინაგულების ფიბრილაციის მქონე პაციენტებში კვლევაში ARISTOTLE </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1887"/>
        <w:gridCol w:w="1890"/>
        <w:gridCol w:w="1800"/>
        <w:gridCol w:w="1800"/>
      </w:tblGrid>
      <w:tr w:rsidR="00FC5C72" w:rsidRPr="00FC5C72" w14:paraId="12EBACE9" w14:textId="77777777" w:rsidTr="00350E8D">
        <w:trPr>
          <w:trHeight w:val="233"/>
        </w:trPr>
        <w:tc>
          <w:tcPr>
            <w:tcW w:w="2518" w:type="dxa"/>
          </w:tcPr>
          <w:p w14:paraId="6C1DDA71" w14:textId="77777777" w:rsidR="00A91B3A" w:rsidRPr="00FC5C72" w:rsidRDefault="00A91B3A" w:rsidP="00785B18">
            <w:pPr>
              <w:pStyle w:val="BMSTableText"/>
              <w:keepNext/>
              <w:keepLines/>
              <w:spacing w:before="0" w:after="0"/>
              <w:contextualSpacing/>
              <w:jc w:val="both"/>
              <w:rPr>
                <w:noProof/>
                <w:sz w:val="24"/>
                <w:szCs w:val="24"/>
              </w:rPr>
            </w:pPr>
          </w:p>
        </w:tc>
        <w:tc>
          <w:tcPr>
            <w:tcW w:w="1887" w:type="dxa"/>
          </w:tcPr>
          <w:p w14:paraId="5052089A" w14:textId="0EEF77ED" w:rsidR="00A91B3A" w:rsidRPr="00FC5C72" w:rsidRDefault="00A91B3A" w:rsidP="00785B18">
            <w:pPr>
              <w:pStyle w:val="BMSTableText"/>
              <w:keepNext/>
              <w:keepLines/>
              <w:spacing w:before="0" w:after="0"/>
              <w:contextualSpacing/>
              <w:jc w:val="both"/>
              <w:rPr>
                <w:rFonts w:ascii="Sylfaen" w:hAnsi="Sylfaen"/>
                <w:b/>
                <w:noProof/>
                <w:sz w:val="24"/>
                <w:szCs w:val="24"/>
                <w:lang w:val="ka-GE"/>
              </w:rPr>
            </w:pPr>
            <w:r w:rsidRPr="00FC5C72">
              <w:rPr>
                <w:rFonts w:ascii="Sylfaen" w:hAnsi="Sylfaen"/>
                <w:b/>
                <w:noProof/>
                <w:sz w:val="24"/>
                <w:szCs w:val="24"/>
                <w:lang w:val="ka-GE"/>
              </w:rPr>
              <w:t>აპიქსაბანი</w:t>
            </w:r>
          </w:p>
          <w:p w14:paraId="7620D6FB" w14:textId="77777777" w:rsidR="00A91B3A" w:rsidRPr="00FC5C72" w:rsidRDefault="00A91B3A" w:rsidP="00785B18">
            <w:pPr>
              <w:pStyle w:val="BMSTableText"/>
              <w:keepNext/>
              <w:keepLines/>
              <w:spacing w:before="0" w:after="0"/>
              <w:contextualSpacing/>
              <w:jc w:val="both"/>
              <w:rPr>
                <w:b/>
                <w:noProof/>
                <w:sz w:val="24"/>
                <w:szCs w:val="24"/>
              </w:rPr>
            </w:pPr>
            <w:r w:rsidRPr="00FC5C72">
              <w:rPr>
                <w:b/>
                <w:noProof/>
                <w:sz w:val="24"/>
                <w:szCs w:val="24"/>
              </w:rPr>
              <w:t>N=9088</w:t>
            </w:r>
          </w:p>
          <w:p w14:paraId="64E44F9F" w14:textId="62A67ED1" w:rsidR="00A91B3A" w:rsidRPr="00FC5C72" w:rsidRDefault="00A91B3A" w:rsidP="00785B18">
            <w:pPr>
              <w:pStyle w:val="BMSTableText"/>
              <w:keepNext/>
              <w:keepLines/>
              <w:spacing w:before="0" w:after="0"/>
              <w:contextualSpacing/>
              <w:jc w:val="both"/>
              <w:rPr>
                <w:b/>
                <w:noProof/>
                <w:sz w:val="24"/>
                <w:szCs w:val="24"/>
              </w:rPr>
            </w:pPr>
            <w:r w:rsidRPr="00FC5C72">
              <w:rPr>
                <w:b/>
                <w:noProof/>
                <w:sz w:val="24"/>
                <w:szCs w:val="24"/>
              </w:rPr>
              <w:t>n (%/</w:t>
            </w:r>
            <w:r w:rsidRPr="00FC5C72">
              <w:rPr>
                <w:rFonts w:ascii="Sylfaen" w:hAnsi="Sylfaen"/>
                <w:b/>
                <w:noProof/>
                <w:sz w:val="24"/>
                <w:szCs w:val="24"/>
                <w:lang w:val="ka-GE"/>
              </w:rPr>
              <w:t>წელიწადი</w:t>
            </w:r>
            <w:r w:rsidRPr="00FC5C72">
              <w:rPr>
                <w:b/>
                <w:noProof/>
                <w:sz w:val="24"/>
                <w:szCs w:val="24"/>
              </w:rPr>
              <w:t>)</w:t>
            </w:r>
          </w:p>
        </w:tc>
        <w:tc>
          <w:tcPr>
            <w:tcW w:w="1890" w:type="dxa"/>
          </w:tcPr>
          <w:p w14:paraId="25CF6B18" w14:textId="6FBC9860" w:rsidR="00A91B3A" w:rsidRPr="00FC5C72" w:rsidRDefault="00A91B3A" w:rsidP="00785B18">
            <w:pPr>
              <w:pStyle w:val="BMSTableText"/>
              <w:keepNext/>
              <w:keepLines/>
              <w:spacing w:before="0" w:after="0"/>
              <w:contextualSpacing/>
              <w:jc w:val="both"/>
              <w:rPr>
                <w:rFonts w:ascii="Sylfaen" w:hAnsi="Sylfaen"/>
                <w:b/>
                <w:noProof/>
                <w:sz w:val="24"/>
                <w:szCs w:val="24"/>
                <w:lang w:val="ka-GE"/>
              </w:rPr>
            </w:pPr>
            <w:r w:rsidRPr="00FC5C72">
              <w:rPr>
                <w:rFonts w:ascii="Sylfaen" w:hAnsi="Sylfaen"/>
                <w:b/>
                <w:noProof/>
                <w:sz w:val="24"/>
                <w:szCs w:val="24"/>
                <w:lang w:val="ka-GE"/>
              </w:rPr>
              <w:t>ვარფარინი</w:t>
            </w:r>
          </w:p>
          <w:p w14:paraId="214C3384" w14:textId="77777777" w:rsidR="00A91B3A" w:rsidRPr="00FC5C72" w:rsidRDefault="00A91B3A" w:rsidP="00785B18">
            <w:pPr>
              <w:pStyle w:val="BMSTableText"/>
              <w:keepNext/>
              <w:keepLines/>
              <w:spacing w:before="0" w:after="0"/>
              <w:contextualSpacing/>
              <w:jc w:val="both"/>
              <w:rPr>
                <w:b/>
                <w:noProof/>
                <w:sz w:val="24"/>
                <w:szCs w:val="24"/>
              </w:rPr>
            </w:pPr>
            <w:r w:rsidRPr="00FC5C72">
              <w:rPr>
                <w:b/>
                <w:noProof/>
                <w:sz w:val="24"/>
                <w:szCs w:val="24"/>
              </w:rPr>
              <w:t>N=9052</w:t>
            </w:r>
          </w:p>
          <w:p w14:paraId="0361007C" w14:textId="3780C408" w:rsidR="00A91B3A" w:rsidRPr="00FC5C72" w:rsidRDefault="00A91B3A" w:rsidP="00785B18">
            <w:pPr>
              <w:pStyle w:val="BMSTableText"/>
              <w:keepNext/>
              <w:keepLines/>
              <w:spacing w:before="0" w:after="0"/>
              <w:contextualSpacing/>
              <w:jc w:val="both"/>
              <w:rPr>
                <w:b/>
                <w:noProof/>
                <w:sz w:val="24"/>
                <w:szCs w:val="24"/>
              </w:rPr>
            </w:pPr>
            <w:r w:rsidRPr="00FC5C72">
              <w:rPr>
                <w:b/>
                <w:noProof/>
                <w:sz w:val="24"/>
                <w:szCs w:val="24"/>
              </w:rPr>
              <w:t>n (%/</w:t>
            </w:r>
            <w:r w:rsidRPr="00FC5C72">
              <w:rPr>
                <w:rFonts w:ascii="Sylfaen" w:hAnsi="Sylfaen"/>
                <w:b/>
                <w:noProof/>
                <w:sz w:val="24"/>
                <w:szCs w:val="24"/>
                <w:lang w:val="ka-GE"/>
              </w:rPr>
              <w:t>წელიწადი</w:t>
            </w:r>
            <w:r w:rsidRPr="00FC5C72">
              <w:rPr>
                <w:b/>
                <w:noProof/>
                <w:sz w:val="24"/>
                <w:szCs w:val="24"/>
              </w:rPr>
              <w:t>)</w:t>
            </w:r>
          </w:p>
        </w:tc>
        <w:tc>
          <w:tcPr>
            <w:tcW w:w="1800" w:type="dxa"/>
          </w:tcPr>
          <w:p w14:paraId="3B5C4AFF" w14:textId="36C14209" w:rsidR="00A91B3A" w:rsidRPr="00FC5C72" w:rsidRDefault="00A91B3A" w:rsidP="00785B18">
            <w:pPr>
              <w:pStyle w:val="BMSTableText"/>
              <w:keepNext/>
              <w:keepLines/>
              <w:spacing w:before="0" w:after="0"/>
              <w:contextualSpacing/>
              <w:jc w:val="both"/>
              <w:rPr>
                <w:rFonts w:ascii="Sylfaen" w:hAnsi="Sylfaen"/>
                <w:b/>
                <w:noProof/>
                <w:sz w:val="24"/>
                <w:szCs w:val="24"/>
                <w:lang w:val="ka-GE"/>
              </w:rPr>
            </w:pPr>
            <w:r w:rsidRPr="00FC5C72">
              <w:rPr>
                <w:rFonts w:ascii="Sylfaen" w:hAnsi="Sylfaen"/>
                <w:b/>
                <w:noProof/>
                <w:sz w:val="24"/>
                <w:szCs w:val="24"/>
                <w:lang w:val="ka-GE"/>
              </w:rPr>
              <w:t>რისკების თანაფარდობა</w:t>
            </w:r>
          </w:p>
          <w:p w14:paraId="5EB5EA15" w14:textId="4D329702" w:rsidR="00A91B3A" w:rsidRPr="00FC5C72" w:rsidRDefault="00A91B3A" w:rsidP="00785B18">
            <w:pPr>
              <w:pStyle w:val="BMSTableText"/>
              <w:keepNext/>
              <w:keepLines/>
              <w:spacing w:before="0" w:after="0"/>
              <w:contextualSpacing/>
              <w:jc w:val="both"/>
              <w:rPr>
                <w:b/>
                <w:noProof/>
                <w:sz w:val="24"/>
                <w:szCs w:val="24"/>
              </w:rPr>
            </w:pPr>
            <w:r w:rsidRPr="00FC5C72">
              <w:rPr>
                <w:b/>
                <w:noProof/>
                <w:sz w:val="24"/>
                <w:szCs w:val="24"/>
              </w:rPr>
              <w:t>(95%-</w:t>
            </w:r>
            <w:r w:rsidRPr="00FC5C72">
              <w:rPr>
                <w:rFonts w:ascii="Sylfaen" w:hAnsi="Sylfaen"/>
                <w:b/>
                <w:noProof/>
                <w:sz w:val="24"/>
                <w:szCs w:val="24"/>
                <w:lang w:val="ka-GE"/>
              </w:rPr>
              <w:t>იანი ს/ი</w:t>
            </w:r>
            <w:r w:rsidRPr="00FC5C72">
              <w:rPr>
                <w:b/>
                <w:noProof/>
                <w:sz w:val="24"/>
                <w:szCs w:val="24"/>
              </w:rPr>
              <w:t>)</w:t>
            </w:r>
          </w:p>
        </w:tc>
        <w:tc>
          <w:tcPr>
            <w:tcW w:w="1800" w:type="dxa"/>
          </w:tcPr>
          <w:p w14:paraId="03E2127B" w14:textId="0335FAFA" w:rsidR="00A91B3A" w:rsidRPr="00FC5C72" w:rsidRDefault="00A91B3A" w:rsidP="00785B18">
            <w:pPr>
              <w:pStyle w:val="BMSTableText"/>
              <w:keepNext/>
              <w:keepLines/>
              <w:spacing w:before="0" w:after="0"/>
              <w:contextualSpacing/>
              <w:jc w:val="both"/>
              <w:rPr>
                <w:rFonts w:ascii="Sylfaen" w:hAnsi="Sylfaen"/>
                <w:b/>
                <w:noProof/>
                <w:sz w:val="24"/>
                <w:szCs w:val="24"/>
                <w:lang w:val="ka-GE"/>
              </w:rPr>
            </w:pPr>
            <w:r w:rsidRPr="00FC5C72">
              <w:rPr>
                <w:b/>
                <w:noProof/>
                <w:sz w:val="24"/>
                <w:szCs w:val="24"/>
              </w:rPr>
              <w:t>p-</w:t>
            </w:r>
            <w:r w:rsidRPr="00FC5C72">
              <w:rPr>
                <w:rFonts w:ascii="Sylfaen" w:hAnsi="Sylfaen"/>
                <w:b/>
                <w:noProof/>
                <w:sz w:val="24"/>
                <w:szCs w:val="24"/>
                <w:lang w:val="ka-GE"/>
              </w:rPr>
              <w:t>მნიშვნელობა</w:t>
            </w:r>
          </w:p>
        </w:tc>
      </w:tr>
      <w:tr w:rsidR="00FC5C72" w:rsidRPr="00FC5C72" w14:paraId="3D5020F9" w14:textId="77777777" w:rsidTr="00350E8D">
        <w:trPr>
          <w:trHeight w:val="279"/>
        </w:trPr>
        <w:tc>
          <w:tcPr>
            <w:tcW w:w="9895" w:type="dxa"/>
            <w:gridSpan w:val="5"/>
          </w:tcPr>
          <w:p w14:paraId="76553145" w14:textId="457A1D8B" w:rsidR="00A91B3A" w:rsidRPr="00FC5C72" w:rsidRDefault="00A91B3A" w:rsidP="00785B18">
            <w:pPr>
              <w:pStyle w:val="BMSTableText"/>
              <w:keepNext/>
              <w:keepLines/>
              <w:spacing w:before="0" w:after="0"/>
              <w:contextualSpacing/>
              <w:jc w:val="both"/>
              <w:rPr>
                <w:rFonts w:ascii="Sylfaen" w:hAnsi="Sylfaen"/>
                <w:noProof/>
                <w:sz w:val="24"/>
                <w:szCs w:val="24"/>
                <w:lang w:val="ka-GE"/>
              </w:rPr>
            </w:pPr>
            <w:r w:rsidRPr="00FC5C72">
              <w:rPr>
                <w:rFonts w:ascii="Sylfaen" w:hAnsi="Sylfaen"/>
                <w:noProof/>
                <w:sz w:val="24"/>
                <w:szCs w:val="24"/>
                <w:lang w:val="ka-GE"/>
              </w:rPr>
              <w:t>სისხლდენის შედეგები</w:t>
            </w:r>
          </w:p>
        </w:tc>
      </w:tr>
      <w:tr w:rsidR="00FC5C72" w:rsidRPr="00FC5C72" w14:paraId="3ACCDF2B" w14:textId="77777777" w:rsidTr="00350E8D">
        <w:trPr>
          <w:trHeight w:val="279"/>
        </w:trPr>
        <w:tc>
          <w:tcPr>
            <w:tcW w:w="2518" w:type="dxa"/>
          </w:tcPr>
          <w:p w14:paraId="460DC281" w14:textId="1A6252C1" w:rsidR="00A91B3A" w:rsidRPr="00FC5C72" w:rsidRDefault="00A91B3A" w:rsidP="00785B18">
            <w:pPr>
              <w:pStyle w:val="BMSTableText"/>
              <w:keepNext/>
              <w:keepLines/>
              <w:spacing w:before="0" w:after="0"/>
              <w:ind w:left="284"/>
              <w:contextualSpacing/>
              <w:jc w:val="both"/>
              <w:rPr>
                <w:noProof/>
                <w:sz w:val="24"/>
                <w:szCs w:val="24"/>
              </w:rPr>
            </w:pPr>
            <w:r w:rsidRPr="00FC5C72">
              <w:rPr>
                <w:rFonts w:ascii="Sylfaen" w:hAnsi="Sylfaen"/>
                <w:noProof/>
                <w:sz w:val="24"/>
                <w:szCs w:val="24"/>
                <w:lang w:val="ka-GE"/>
              </w:rPr>
              <w:t>მნიშვნელოვანი</w:t>
            </w:r>
            <w:r w:rsidRPr="00FC5C72">
              <w:rPr>
                <w:noProof/>
                <w:sz w:val="24"/>
                <w:szCs w:val="24"/>
              </w:rPr>
              <w:t>*</w:t>
            </w:r>
          </w:p>
        </w:tc>
        <w:tc>
          <w:tcPr>
            <w:tcW w:w="1887" w:type="dxa"/>
          </w:tcPr>
          <w:p w14:paraId="18EBA4BC"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327 (2,13)</w:t>
            </w:r>
          </w:p>
        </w:tc>
        <w:tc>
          <w:tcPr>
            <w:tcW w:w="1890" w:type="dxa"/>
          </w:tcPr>
          <w:p w14:paraId="231B79EB"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462 (3,09)</w:t>
            </w:r>
          </w:p>
        </w:tc>
        <w:tc>
          <w:tcPr>
            <w:tcW w:w="1800" w:type="dxa"/>
          </w:tcPr>
          <w:p w14:paraId="7020F9FF"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0,69 (0,60, 0,80)</w:t>
            </w:r>
          </w:p>
        </w:tc>
        <w:tc>
          <w:tcPr>
            <w:tcW w:w="1800" w:type="dxa"/>
          </w:tcPr>
          <w:p w14:paraId="3C238C5F"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&lt;0,0001</w:t>
            </w:r>
          </w:p>
        </w:tc>
      </w:tr>
      <w:tr w:rsidR="00FC5C72" w:rsidRPr="00FC5C72" w14:paraId="7AC1AB7E" w14:textId="77777777" w:rsidTr="00350E8D">
        <w:trPr>
          <w:trHeight w:val="270"/>
        </w:trPr>
        <w:tc>
          <w:tcPr>
            <w:tcW w:w="2518" w:type="dxa"/>
          </w:tcPr>
          <w:p w14:paraId="609A5979" w14:textId="158C8600" w:rsidR="00A91B3A" w:rsidRPr="00FC5C72" w:rsidRDefault="00A91B3A" w:rsidP="00785B18">
            <w:pPr>
              <w:pStyle w:val="BMSTableText"/>
              <w:keepNext/>
              <w:keepLines/>
              <w:tabs>
                <w:tab w:val="clear" w:pos="360"/>
                <w:tab w:val="left" w:pos="709"/>
              </w:tabs>
              <w:spacing w:before="0" w:after="0"/>
              <w:ind w:left="567"/>
              <w:contextualSpacing/>
              <w:jc w:val="both"/>
              <w:rPr>
                <w:rFonts w:ascii="Sylfaen" w:hAnsi="Sylfaen"/>
                <w:noProof/>
                <w:sz w:val="24"/>
                <w:szCs w:val="24"/>
                <w:lang w:val="ka-GE"/>
              </w:rPr>
            </w:pPr>
            <w:r w:rsidRPr="00FC5C72">
              <w:rPr>
                <w:rFonts w:ascii="Sylfaen" w:hAnsi="Sylfaen"/>
                <w:noProof/>
                <w:sz w:val="24"/>
                <w:szCs w:val="24"/>
                <w:lang w:val="ka-GE"/>
              </w:rPr>
              <w:t>ლეტალური შედეგი</w:t>
            </w:r>
          </w:p>
        </w:tc>
        <w:tc>
          <w:tcPr>
            <w:tcW w:w="1887" w:type="dxa"/>
          </w:tcPr>
          <w:p w14:paraId="1C676388"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10 (0,06)</w:t>
            </w:r>
          </w:p>
        </w:tc>
        <w:tc>
          <w:tcPr>
            <w:tcW w:w="1890" w:type="dxa"/>
          </w:tcPr>
          <w:p w14:paraId="45621373"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37 (0,24)</w:t>
            </w:r>
          </w:p>
        </w:tc>
        <w:tc>
          <w:tcPr>
            <w:tcW w:w="1800" w:type="dxa"/>
          </w:tcPr>
          <w:p w14:paraId="5E9101B6" w14:textId="77777777" w:rsidR="00A91B3A" w:rsidRPr="00FC5C72" w:rsidRDefault="00A91B3A" w:rsidP="00785B18">
            <w:pPr>
              <w:pStyle w:val="BMSTableText"/>
              <w:keepNext/>
              <w:keepLines/>
              <w:spacing w:before="0" w:after="0"/>
              <w:contextualSpacing/>
              <w:jc w:val="both"/>
              <w:rPr>
                <w:noProof/>
                <w:sz w:val="24"/>
                <w:szCs w:val="24"/>
              </w:rPr>
            </w:pPr>
          </w:p>
        </w:tc>
        <w:tc>
          <w:tcPr>
            <w:tcW w:w="1800" w:type="dxa"/>
          </w:tcPr>
          <w:p w14:paraId="7BFB8246" w14:textId="77777777" w:rsidR="00A91B3A" w:rsidRPr="00FC5C72" w:rsidRDefault="00A91B3A" w:rsidP="00785B18">
            <w:pPr>
              <w:pStyle w:val="BMSTableText"/>
              <w:keepNext/>
              <w:keepLines/>
              <w:spacing w:before="0" w:after="0"/>
              <w:contextualSpacing/>
              <w:jc w:val="both"/>
              <w:rPr>
                <w:noProof/>
                <w:sz w:val="24"/>
                <w:szCs w:val="24"/>
              </w:rPr>
            </w:pPr>
          </w:p>
        </w:tc>
      </w:tr>
      <w:tr w:rsidR="00FC5C72" w:rsidRPr="00FC5C72" w14:paraId="7C4D6898" w14:textId="77777777" w:rsidTr="00350E8D">
        <w:trPr>
          <w:trHeight w:val="248"/>
        </w:trPr>
        <w:tc>
          <w:tcPr>
            <w:tcW w:w="2518" w:type="dxa"/>
          </w:tcPr>
          <w:p w14:paraId="72DCE88C" w14:textId="51B924B2" w:rsidR="00A91B3A" w:rsidRPr="00FC5C72" w:rsidRDefault="00B0745D" w:rsidP="00785B18">
            <w:pPr>
              <w:pStyle w:val="BMSTableText"/>
              <w:keepNext/>
              <w:keepLines/>
              <w:tabs>
                <w:tab w:val="clear" w:pos="360"/>
                <w:tab w:val="left" w:pos="567"/>
              </w:tabs>
              <w:spacing w:before="0" w:after="0"/>
              <w:ind w:left="567"/>
              <w:contextualSpacing/>
              <w:jc w:val="both"/>
              <w:rPr>
                <w:rFonts w:ascii="Sylfaen" w:hAnsi="Sylfaen"/>
                <w:noProof/>
                <w:sz w:val="24"/>
                <w:szCs w:val="24"/>
                <w:lang w:val="ka-GE"/>
              </w:rPr>
            </w:pPr>
            <w:r w:rsidRPr="00FC5C72">
              <w:rPr>
                <w:rFonts w:ascii="Sylfaen" w:hAnsi="Sylfaen" w:cs="Sylfaen"/>
                <w:sz w:val="24"/>
                <w:szCs w:val="24"/>
                <w:lang w:val="ka-GE"/>
              </w:rPr>
              <w:t>ქალასშიდა</w:t>
            </w:r>
          </w:p>
        </w:tc>
        <w:tc>
          <w:tcPr>
            <w:tcW w:w="1887" w:type="dxa"/>
          </w:tcPr>
          <w:p w14:paraId="1FD232BB"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52 (0,33)</w:t>
            </w:r>
          </w:p>
        </w:tc>
        <w:tc>
          <w:tcPr>
            <w:tcW w:w="1890" w:type="dxa"/>
          </w:tcPr>
          <w:p w14:paraId="5DF0EAC0"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122 (0,80)</w:t>
            </w:r>
          </w:p>
        </w:tc>
        <w:tc>
          <w:tcPr>
            <w:tcW w:w="1800" w:type="dxa"/>
          </w:tcPr>
          <w:p w14:paraId="7E6AB824" w14:textId="77777777" w:rsidR="00A91B3A" w:rsidRPr="00FC5C72" w:rsidRDefault="00A91B3A" w:rsidP="00785B18">
            <w:pPr>
              <w:pStyle w:val="BMSTableText"/>
              <w:keepNext/>
              <w:keepLines/>
              <w:spacing w:before="0" w:after="0"/>
              <w:contextualSpacing/>
              <w:jc w:val="both"/>
              <w:rPr>
                <w:noProof/>
                <w:sz w:val="24"/>
                <w:szCs w:val="24"/>
              </w:rPr>
            </w:pPr>
          </w:p>
        </w:tc>
        <w:tc>
          <w:tcPr>
            <w:tcW w:w="1800" w:type="dxa"/>
          </w:tcPr>
          <w:p w14:paraId="5F272899" w14:textId="77777777" w:rsidR="00A91B3A" w:rsidRPr="00FC5C72" w:rsidRDefault="00A91B3A" w:rsidP="00785B18">
            <w:pPr>
              <w:pStyle w:val="BMSTableText"/>
              <w:keepNext/>
              <w:keepLines/>
              <w:spacing w:before="0" w:after="0"/>
              <w:contextualSpacing/>
              <w:jc w:val="both"/>
              <w:rPr>
                <w:noProof/>
                <w:sz w:val="24"/>
                <w:szCs w:val="24"/>
              </w:rPr>
            </w:pPr>
          </w:p>
        </w:tc>
      </w:tr>
      <w:tr w:rsidR="00FC5C72" w:rsidRPr="00FC5C72" w14:paraId="0B816C6E" w14:textId="77777777" w:rsidTr="00350E8D">
        <w:trPr>
          <w:trHeight w:val="278"/>
        </w:trPr>
        <w:tc>
          <w:tcPr>
            <w:tcW w:w="2518" w:type="dxa"/>
          </w:tcPr>
          <w:p w14:paraId="40B28874" w14:textId="36EE5DFE" w:rsidR="00A91B3A" w:rsidRPr="00FC5C72" w:rsidRDefault="00A91B3A" w:rsidP="00785B18">
            <w:pPr>
              <w:pStyle w:val="BMSTableText"/>
              <w:keepNext/>
              <w:keepLines/>
              <w:spacing w:before="0" w:after="0"/>
              <w:ind w:left="284"/>
              <w:contextualSpacing/>
              <w:jc w:val="both"/>
              <w:rPr>
                <w:rFonts w:ascii="Sylfaen" w:hAnsi="Sylfaen"/>
                <w:noProof/>
                <w:sz w:val="24"/>
                <w:szCs w:val="24"/>
                <w:lang w:val="ka-GE"/>
              </w:rPr>
            </w:pPr>
            <w:r w:rsidRPr="00FC5C72">
              <w:rPr>
                <w:rFonts w:ascii="Sylfaen" w:hAnsi="Sylfaen"/>
                <w:noProof/>
                <w:sz w:val="24"/>
                <w:szCs w:val="24"/>
                <w:lang w:val="ka-GE"/>
              </w:rPr>
              <w:t>მძიმე</w:t>
            </w:r>
            <w:r w:rsidRPr="00FC5C72">
              <w:rPr>
                <w:noProof/>
                <w:sz w:val="24"/>
                <w:szCs w:val="24"/>
              </w:rPr>
              <w:t> + კლინიკურად მნიშვნელოვანი მცირე სისხლდენ</w:t>
            </w:r>
            <w:r w:rsidRPr="00FC5C72">
              <w:rPr>
                <w:rFonts w:ascii="Sylfaen" w:hAnsi="Sylfaen"/>
                <w:noProof/>
                <w:sz w:val="24"/>
                <w:szCs w:val="24"/>
                <w:lang w:val="ka-GE"/>
              </w:rPr>
              <w:t>ა</w:t>
            </w:r>
            <w:r w:rsidR="00364120" w:rsidRPr="00FC5C72">
              <w:rPr>
                <w:noProof/>
                <w:vertAlign w:val="superscript"/>
                <w:rtl/>
                <w:lang w:val="uz-Cyrl-UZ"/>
              </w:rPr>
              <w:t>†</w:t>
            </w:r>
          </w:p>
        </w:tc>
        <w:tc>
          <w:tcPr>
            <w:tcW w:w="1887" w:type="dxa"/>
          </w:tcPr>
          <w:p w14:paraId="1C29A016"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613 (4,07)</w:t>
            </w:r>
          </w:p>
        </w:tc>
        <w:tc>
          <w:tcPr>
            <w:tcW w:w="1890" w:type="dxa"/>
          </w:tcPr>
          <w:p w14:paraId="03EF2C96"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877 (6,01)</w:t>
            </w:r>
          </w:p>
        </w:tc>
        <w:tc>
          <w:tcPr>
            <w:tcW w:w="1800" w:type="dxa"/>
          </w:tcPr>
          <w:p w14:paraId="098E19A3"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0,68 (0,61, 0,75)</w:t>
            </w:r>
          </w:p>
        </w:tc>
        <w:tc>
          <w:tcPr>
            <w:tcW w:w="1800" w:type="dxa"/>
          </w:tcPr>
          <w:p w14:paraId="2B7A3CF6"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&lt;0,0001</w:t>
            </w:r>
          </w:p>
        </w:tc>
      </w:tr>
      <w:tr w:rsidR="00FC5C72" w:rsidRPr="00FC5C72" w14:paraId="358E536E" w14:textId="77777777" w:rsidTr="00350E8D">
        <w:trPr>
          <w:trHeight w:val="248"/>
        </w:trPr>
        <w:tc>
          <w:tcPr>
            <w:tcW w:w="2518" w:type="dxa"/>
          </w:tcPr>
          <w:p w14:paraId="7F29813D" w14:textId="0F2D2BA4" w:rsidR="00A91B3A" w:rsidRPr="00FC5C72" w:rsidRDefault="00A91B3A" w:rsidP="00785B18">
            <w:pPr>
              <w:pStyle w:val="BMSTableText"/>
              <w:keepNext/>
              <w:keepLines/>
              <w:spacing w:before="0" w:after="0"/>
              <w:ind w:left="284"/>
              <w:contextualSpacing/>
              <w:jc w:val="both"/>
              <w:rPr>
                <w:rFonts w:ascii="Sylfaen" w:hAnsi="Sylfaen"/>
                <w:noProof/>
                <w:sz w:val="24"/>
                <w:szCs w:val="24"/>
                <w:lang w:val="ka-GE"/>
              </w:rPr>
            </w:pPr>
            <w:r w:rsidRPr="00FC5C72">
              <w:rPr>
                <w:rFonts w:ascii="Sylfaen" w:hAnsi="Sylfaen"/>
                <w:noProof/>
                <w:sz w:val="24"/>
                <w:szCs w:val="24"/>
                <w:lang w:val="ka-GE"/>
              </w:rPr>
              <w:t>ყველა</w:t>
            </w:r>
          </w:p>
        </w:tc>
        <w:tc>
          <w:tcPr>
            <w:tcW w:w="1887" w:type="dxa"/>
          </w:tcPr>
          <w:p w14:paraId="764FF3B9"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2356 (18,1)</w:t>
            </w:r>
          </w:p>
        </w:tc>
        <w:tc>
          <w:tcPr>
            <w:tcW w:w="1890" w:type="dxa"/>
          </w:tcPr>
          <w:p w14:paraId="7445F611"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3060 (25,8)</w:t>
            </w:r>
          </w:p>
        </w:tc>
        <w:tc>
          <w:tcPr>
            <w:tcW w:w="1800" w:type="dxa"/>
          </w:tcPr>
          <w:p w14:paraId="3AFDDFBD"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0,71 (0,68, 0,75)</w:t>
            </w:r>
          </w:p>
        </w:tc>
        <w:tc>
          <w:tcPr>
            <w:tcW w:w="1800" w:type="dxa"/>
          </w:tcPr>
          <w:p w14:paraId="387D2F5A" w14:textId="77777777" w:rsidR="00A91B3A" w:rsidRPr="00FC5C72" w:rsidRDefault="00A91B3A" w:rsidP="00785B18">
            <w:pPr>
              <w:pStyle w:val="BMSTableText"/>
              <w:keepNext/>
              <w:keepLines/>
              <w:spacing w:before="0" w:after="0"/>
              <w:contextualSpacing/>
              <w:jc w:val="both"/>
              <w:rPr>
                <w:noProof/>
                <w:sz w:val="24"/>
                <w:szCs w:val="24"/>
              </w:rPr>
            </w:pPr>
            <w:r w:rsidRPr="00FC5C72">
              <w:rPr>
                <w:noProof/>
                <w:sz w:val="24"/>
                <w:szCs w:val="24"/>
              </w:rPr>
              <w:t>&lt;0,0001</w:t>
            </w:r>
          </w:p>
        </w:tc>
      </w:tr>
      <w:tr w:rsidR="00FC5C72" w:rsidRPr="00FC5C72" w14:paraId="5DA288B1" w14:textId="77777777" w:rsidTr="00350E8D">
        <w:trPr>
          <w:trHeight w:val="248"/>
        </w:trPr>
        <w:tc>
          <w:tcPr>
            <w:tcW w:w="9895" w:type="dxa"/>
            <w:gridSpan w:val="5"/>
          </w:tcPr>
          <w:p w14:paraId="30238498" w14:textId="2F461C2C" w:rsidR="00A91B3A" w:rsidRPr="00FC5C72" w:rsidRDefault="00A91B3A" w:rsidP="00785B18">
            <w:pPr>
              <w:pStyle w:val="BMSTableText"/>
              <w:keepNext/>
              <w:keepLines/>
              <w:spacing w:before="0" w:after="0"/>
              <w:contextualSpacing/>
              <w:jc w:val="both"/>
              <w:rPr>
                <w:rFonts w:ascii="Sylfaen" w:hAnsi="Sylfaen"/>
                <w:noProof/>
                <w:sz w:val="24"/>
                <w:szCs w:val="24"/>
                <w:lang w:val="ka-GE"/>
              </w:rPr>
            </w:pPr>
            <w:r w:rsidRPr="00FC5C72">
              <w:rPr>
                <w:rFonts w:ascii="Sylfaen" w:hAnsi="Sylfaen"/>
                <w:noProof/>
                <w:sz w:val="24"/>
                <w:szCs w:val="24"/>
                <w:lang w:val="ka-GE"/>
              </w:rPr>
              <w:t>სხვა საბოლოო წერტილები</w:t>
            </w:r>
          </w:p>
        </w:tc>
      </w:tr>
      <w:tr w:rsidR="00FC5C72" w:rsidRPr="00FC5C72" w14:paraId="7A3AED39" w14:textId="77777777" w:rsidTr="00350E8D">
        <w:trPr>
          <w:trHeight w:val="248"/>
        </w:trPr>
        <w:tc>
          <w:tcPr>
            <w:tcW w:w="2518" w:type="dxa"/>
          </w:tcPr>
          <w:p w14:paraId="3F62E776" w14:textId="24ED17E1" w:rsidR="00A91B3A" w:rsidRPr="00FC5C72" w:rsidRDefault="00A91B3A" w:rsidP="00785B18">
            <w:pPr>
              <w:pStyle w:val="BMSTableText"/>
              <w:spacing w:before="0" w:after="0"/>
              <w:ind w:left="284"/>
              <w:contextualSpacing/>
              <w:jc w:val="both"/>
              <w:rPr>
                <w:rFonts w:ascii="Sylfaen" w:hAnsi="Sylfaen"/>
                <w:noProof/>
                <w:sz w:val="24"/>
                <w:szCs w:val="24"/>
                <w:lang w:val="ka-GE"/>
              </w:rPr>
            </w:pPr>
            <w:r w:rsidRPr="00FC5C72">
              <w:rPr>
                <w:rFonts w:ascii="Sylfaen" w:hAnsi="Sylfaen"/>
                <w:noProof/>
                <w:sz w:val="24"/>
                <w:szCs w:val="24"/>
                <w:lang w:val="ka-GE"/>
              </w:rPr>
              <w:t>სიკვდილი ნებისმიერი მიზეზით</w:t>
            </w:r>
          </w:p>
        </w:tc>
        <w:tc>
          <w:tcPr>
            <w:tcW w:w="1887" w:type="dxa"/>
          </w:tcPr>
          <w:p w14:paraId="505668B1" w14:textId="77777777" w:rsidR="00A91B3A" w:rsidRPr="00FC5C72" w:rsidRDefault="00A91B3A" w:rsidP="00785B18">
            <w:pPr>
              <w:pStyle w:val="BMSTableText"/>
              <w:spacing w:before="0" w:after="0"/>
              <w:contextualSpacing/>
              <w:jc w:val="both"/>
              <w:rPr>
                <w:noProof/>
                <w:sz w:val="24"/>
                <w:szCs w:val="24"/>
              </w:rPr>
            </w:pPr>
            <w:r w:rsidRPr="00FC5C72">
              <w:rPr>
                <w:noProof/>
                <w:sz w:val="24"/>
                <w:szCs w:val="24"/>
              </w:rPr>
              <w:t>603 (3,52)</w:t>
            </w:r>
          </w:p>
        </w:tc>
        <w:tc>
          <w:tcPr>
            <w:tcW w:w="1890" w:type="dxa"/>
          </w:tcPr>
          <w:p w14:paraId="1DFB2B70" w14:textId="77777777" w:rsidR="00A91B3A" w:rsidRPr="00FC5C72" w:rsidRDefault="00A91B3A" w:rsidP="00785B18">
            <w:pPr>
              <w:pStyle w:val="BMSTableText"/>
              <w:spacing w:before="0" w:after="0"/>
              <w:contextualSpacing/>
              <w:jc w:val="both"/>
              <w:rPr>
                <w:noProof/>
                <w:sz w:val="24"/>
                <w:szCs w:val="24"/>
              </w:rPr>
            </w:pPr>
            <w:r w:rsidRPr="00FC5C72">
              <w:rPr>
                <w:noProof/>
                <w:sz w:val="24"/>
                <w:szCs w:val="24"/>
              </w:rPr>
              <w:t>669 (3,94)</w:t>
            </w:r>
          </w:p>
        </w:tc>
        <w:tc>
          <w:tcPr>
            <w:tcW w:w="1800" w:type="dxa"/>
          </w:tcPr>
          <w:p w14:paraId="47BE390F" w14:textId="77777777" w:rsidR="00A91B3A" w:rsidRPr="00FC5C72" w:rsidRDefault="00A91B3A" w:rsidP="00785B18">
            <w:pPr>
              <w:pStyle w:val="BMSTableText"/>
              <w:spacing w:before="0" w:after="0"/>
              <w:contextualSpacing/>
              <w:jc w:val="both"/>
              <w:rPr>
                <w:noProof/>
                <w:sz w:val="24"/>
                <w:szCs w:val="24"/>
              </w:rPr>
            </w:pPr>
            <w:r w:rsidRPr="00FC5C72">
              <w:rPr>
                <w:noProof/>
                <w:sz w:val="24"/>
                <w:szCs w:val="24"/>
              </w:rPr>
              <w:t>0,89 (0,80, 1,00)</w:t>
            </w:r>
          </w:p>
        </w:tc>
        <w:tc>
          <w:tcPr>
            <w:tcW w:w="1800" w:type="dxa"/>
          </w:tcPr>
          <w:p w14:paraId="679FD854" w14:textId="77777777" w:rsidR="00A91B3A" w:rsidRPr="00FC5C72" w:rsidRDefault="00A91B3A" w:rsidP="00785B18">
            <w:pPr>
              <w:pStyle w:val="BMSTableText"/>
              <w:spacing w:before="0" w:after="0"/>
              <w:contextualSpacing/>
              <w:jc w:val="both"/>
              <w:rPr>
                <w:noProof/>
                <w:sz w:val="24"/>
                <w:szCs w:val="24"/>
              </w:rPr>
            </w:pPr>
            <w:r w:rsidRPr="00FC5C72">
              <w:rPr>
                <w:noProof/>
                <w:sz w:val="24"/>
                <w:szCs w:val="24"/>
              </w:rPr>
              <w:t>0,0465</w:t>
            </w:r>
          </w:p>
        </w:tc>
      </w:tr>
      <w:tr w:rsidR="00FC5C72" w:rsidRPr="00FC5C72" w14:paraId="57171E79" w14:textId="77777777" w:rsidTr="00350E8D">
        <w:trPr>
          <w:trHeight w:val="248"/>
        </w:trPr>
        <w:tc>
          <w:tcPr>
            <w:tcW w:w="2518" w:type="dxa"/>
          </w:tcPr>
          <w:p w14:paraId="41AB9453" w14:textId="7406545D" w:rsidR="00A91B3A" w:rsidRPr="00FC5C72" w:rsidRDefault="00A91B3A" w:rsidP="00785B18">
            <w:pPr>
              <w:pStyle w:val="BMSTableText"/>
              <w:spacing w:before="0" w:after="0"/>
              <w:ind w:left="284"/>
              <w:contextualSpacing/>
              <w:jc w:val="both"/>
              <w:rPr>
                <w:rFonts w:ascii="Sylfaen" w:hAnsi="Sylfaen"/>
                <w:noProof/>
                <w:sz w:val="24"/>
                <w:szCs w:val="24"/>
                <w:lang w:val="ka-GE"/>
              </w:rPr>
            </w:pPr>
            <w:r w:rsidRPr="00FC5C72">
              <w:rPr>
                <w:rStyle w:val="BMSSuperscript"/>
                <w:rFonts w:ascii="Sylfaen" w:hAnsi="Sylfaen"/>
                <w:noProof/>
                <w:sz w:val="24"/>
                <w:szCs w:val="24"/>
                <w:vertAlign w:val="baseline"/>
                <w:lang w:val="ka-GE"/>
              </w:rPr>
              <w:t>მიოკარდიუმის ინფარქტი</w:t>
            </w:r>
          </w:p>
        </w:tc>
        <w:tc>
          <w:tcPr>
            <w:tcW w:w="1887" w:type="dxa"/>
          </w:tcPr>
          <w:p w14:paraId="6E660E4A" w14:textId="77777777" w:rsidR="00A91B3A" w:rsidRPr="00FC5C72" w:rsidRDefault="00A91B3A" w:rsidP="00785B18">
            <w:pPr>
              <w:pStyle w:val="BMSTableText"/>
              <w:spacing w:before="0" w:after="0"/>
              <w:contextualSpacing/>
              <w:jc w:val="both"/>
              <w:rPr>
                <w:noProof/>
                <w:sz w:val="24"/>
                <w:szCs w:val="24"/>
              </w:rPr>
            </w:pPr>
            <w:r w:rsidRPr="00FC5C72">
              <w:rPr>
                <w:rStyle w:val="BMSSuperscript"/>
                <w:noProof/>
                <w:sz w:val="24"/>
                <w:szCs w:val="24"/>
                <w:vertAlign w:val="baseline"/>
              </w:rPr>
              <w:t xml:space="preserve">90 (0,53) </w:t>
            </w:r>
          </w:p>
        </w:tc>
        <w:tc>
          <w:tcPr>
            <w:tcW w:w="1890" w:type="dxa"/>
          </w:tcPr>
          <w:p w14:paraId="5C3F1A6D" w14:textId="77777777" w:rsidR="00A91B3A" w:rsidRPr="00FC5C72" w:rsidRDefault="00A91B3A" w:rsidP="00785B18">
            <w:pPr>
              <w:pStyle w:val="BMSTableText"/>
              <w:spacing w:before="0" w:after="0"/>
              <w:contextualSpacing/>
              <w:jc w:val="both"/>
              <w:rPr>
                <w:noProof/>
                <w:sz w:val="24"/>
                <w:szCs w:val="24"/>
              </w:rPr>
            </w:pPr>
            <w:r w:rsidRPr="00FC5C72">
              <w:rPr>
                <w:rStyle w:val="BMSSuperscript"/>
                <w:noProof/>
                <w:sz w:val="24"/>
                <w:szCs w:val="24"/>
                <w:vertAlign w:val="baseline"/>
              </w:rPr>
              <w:t>102 (0,61)</w:t>
            </w:r>
          </w:p>
        </w:tc>
        <w:tc>
          <w:tcPr>
            <w:tcW w:w="1800" w:type="dxa"/>
          </w:tcPr>
          <w:p w14:paraId="7BE5B703" w14:textId="77777777" w:rsidR="00A91B3A" w:rsidRPr="00FC5C72" w:rsidRDefault="00A91B3A" w:rsidP="00785B18">
            <w:pPr>
              <w:pStyle w:val="BMSTableText"/>
              <w:spacing w:before="0" w:after="0"/>
              <w:contextualSpacing/>
              <w:jc w:val="both"/>
              <w:rPr>
                <w:noProof/>
                <w:sz w:val="24"/>
                <w:szCs w:val="24"/>
              </w:rPr>
            </w:pPr>
            <w:r w:rsidRPr="00FC5C72">
              <w:rPr>
                <w:noProof/>
                <w:sz w:val="24"/>
                <w:szCs w:val="24"/>
              </w:rPr>
              <w:t>0,88 (0,66, 1,17)</w:t>
            </w:r>
          </w:p>
        </w:tc>
        <w:tc>
          <w:tcPr>
            <w:tcW w:w="1800" w:type="dxa"/>
          </w:tcPr>
          <w:p w14:paraId="36AAF21D" w14:textId="77777777" w:rsidR="00A91B3A" w:rsidRPr="00FC5C72" w:rsidRDefault="00A91B3A" w:rsidP="00785B18">
            <w:pPr>
              <w:pStyle w:val="BMSTableText"/>
              <w:spacing w:before="0" w:after="0"/>
              <w:contextualSpacing/>
              <w:jc w:val="both"/>
              <w:rPr>
                <w:noProof/>
                <w:sz w:val="24"/>
                <w:szCs w:val="24"/>
              </w:rPr>
            </w:pPr>
          </w:p>
        </w:tc>
      </w:tr>
    </w:tbl>
    <w:p w14:paraId="53FB55F8" w14:textId="59D77E47" w:rsidR="00A91B3A" w:rsidRPr="00FC5C72" w:rsidRDefault="00A91B3A" w:rsidP="00785B18">
      <w:pPr>
        <w:spacing w:after="0" w:line="240" w:lineRule="auto"/>
        <w:jc w:val="both"/>
        <w:rPr>
          <w:noProof/>
          <w:sz w:val="24"/>
          <w:szCs w:val="24"/>
        </w:rPr>
      </w:pPr>
      <w:r w:rsidRPr="00FC5C72">
        <w:rPr>
          <w:noProof/>
          <w:sz w:val="24"/>
          <w:szCs w:val="24"/>
        </w:rPr>
        <w:t>* მნიშვნელოვანი სისხლდენა განისაზღვრება თ</w:t>
      </w:r>
      <w:r w:rsidR="00A179E1" w:rsidRPr="00FC5C72">
        <w:rPr>
          <w:noProof/>
          <w:sz w:val="24"/>
          <w:szCs w:val="24"/>
        </w:rPr>
        <w:t>რ</w:t>
      </w:r>
      <w:r w:rsidRPr="00FC5C72">
        <w:rPr>
          <w:noProof/>
          <w:sz w:val="24"/>
          <w:szCs w:val="24"/>
        </w:rPr>
        <w:t>ომბოზისა და ჰემოსტაზის საერთაშორისო საზოგადოების (</w:t>
      </w:r>
      <w:r w:rsidRPr="00FC5C72">
        <w:rPr>
          <w:noProof/>
          <w:sz w:val="24"/>
          <w:szCs w:val="24"/>
          <w:lang w:val="en-US"/>
        </w:rPr>
        <w:t>ISTH</w:t>
      </w:r>
      <w:r w:rsidRPr="00FC5C72">
        <w:rPr>
          <w:noProof/>
          <w:sz w:val="24"/>
          <w:szCs w:val="24"/>
        </w:rPr>
        <w:t>) კრიტერიუმების თანახმად.</w:t>
      </w:r>
    </w:p>
    <w:p w14:paraId="7EEB1654" w14:textId="663EEA8B" w:rsidR="00A91B3A" w:rsidRPr="00FC5C72" w:rsidRDefault="00364120" w:rsidP="00785B18">
      <w:pPr>
        <w:spacing w:after="0" w:line="240" w:lineRule="auto"/>
        <w:jc w:val="both"/>
        <w:rPr>
          <w:rFonts w:ascii="Times New Roman" w:hAnsi="Times New Roman" w:cs="Times New Roman"/>
          <w:noProof/>
          <w:sz w:val="24"/>
          <w:szCs w:val="24"/>
        </w:rPr>
      </w:pPr>
      <w:r w:rsidRPr="00FC5C72">
        <w:rPr>
          <w:rFonts w:ascii="Times New Roman" w:hAnsi="Times New Roman" w:cs="Times New Roman" w:hint="cs"/>
          <w:noProof/>
          <w:sz w:val="20"/>
          <w:vertAlign w:val="superscript"/>
          <w:rtl/>
          <w:lang w:val="uz-Cyrl-UZ"/>
        </w:rPr>
        <w:t xml:space="preserve"> </w:t>
      </w:r>
      <w:r w:rsidRPr="00FC5C72">
        <w:rPr>
          <w:rFonts w:ascii="Times New Roman" w:hAnsi="Times New Roman" w:cs="Times New Roman"/>
          <w:noProof/>
          <w:sz w:val="20"/>
          <w:vertAlign w:val="superscript"/>
          <w:rtl/>
          <w:lang w:val="uz-Cyrl-UZ"/>
        </w:rPr>
        <w:t>†</w:t>
      </w:r>
      <w:r w:rsidRPr="00FC5C72">
        <w:rPr>
          <w:rFonts w:ascii="Times New Roman" w:hAnsi="Times New Roman" w:cs="Times New Roman" w:hint="cs"/>
          <w:noProof/>
          <w:sz w:val="24"/>
          <w:szCs w:val="24"/>
          <w:rtl/>
          <w:lang w:val="uz-Cyrl-UZ"/>
        </w:rPr>
        <w:t xml:space="preserve"> </w:t>
      </w:r>
      <w:r w:rsidRPr="00FC5C72">
        <w:rPr>
          <w:noProof/>
          <w:sz w:val="24"/>
          <w:szCs w:val="24"/>
        </w:rPr>
        <w:t>კლინიკურად მნიშვნელოვანი მცირე სისხლდენ</w:t>
      </w:r>
      <w:r w:rsidRPr="00FC5C72">
        <w:rPr>
          <w:rFonts w:ascii="Sylfaen" w:hAnsi="Sylfaen"/>
          <w:noProof/>
          <w:sz w:val="24"/>
          <w:szCs w:val="24"/>
        </w:rPr>
        <w:t>ა</w:t>
      </w:r>
    </w:p>
    <w:p w14:paraId="4962619C" w14:textId="77777777" w:rsidR="00364120" w:rsidRPr="00FC5C72" w:rsidRDefault="00364120" w:rsidP="00785B18">
      <w:pPr>
        <w:spacing w:after="0" w:line="240" w:lineRule="auto"/>
        <w:jc w:val="both"/>
        <w:rPr>
          <w:noProof/>
          <w:sz w:val="24"/>
          <w:szCs w:val="24"/>
        </w:rPr>
      </w:pPr>
    </w:p>
    <w:p w14:paraId="5F144DF7" w14:textId="16B8C4CB" w:rsidR="00A91B3A" w:rsidRPr="00FC5C72" w:rsidRDefault="007D3181" w:rsidP="00785B18">
      <w:pPr>
        <w:spacing w:after="0" w:line="240" w:lineRule="auto"/>
        <w:jc w:val="both"/>
        <w:rPr>
          <w:noProof/>
          <w:sz w:val="24"/>
          <w:szCs w:val="24"/>
        </w:rPr>
      </w:pPr>
      <w:r w:rsidRPr="00FC5C72">
        <w:rPr>
          <w:noProof/>
          <w:sz w:val="24"/>
          <w:szCs w:val="24"/>
        </w:rPr>
        <w:t xml:space="preserve">კვლევაში ARISTOTLE არასასურველი რეაქციების გამო თერაპიის შეწყვეტის საერთო სიხშირემ შეადგენა 1.8% აპიქსაბანისთვის და 2.6% ვარფარინისთვის. </w:t>
      </w:r>
    </w:p>
    <w:p w14:paraId="341801F4" w14:textId="3F8AF0B7" w:rsidR="007D3181" w:rsidRPr="00FC5C72" w:rsidRDefault="007D3181" w:rsidP="00785B18">
      <w:pPr>
        <w:spacing w:after="0" w:line="240" w:lineRule="auto"/>
        <w:jc w:val="both"/>
        <w:rPr>
          <w:noProof/>
          <w:sz w:val="24"/>
          <w:szCs w:val="24"/>
        </w:rPr>
      </w:pPr>
      <w:r w:rsidRPr="00FC5C72">
        <w:rPr>
          <w:noProof/>
          <w:sz w:val="24"/>
          <w:szCs w:val="24"/>
        </w:rPr>
        <w:t>წინასწარ მოცემული ქვეჯგუფებისთვის ეფექტიანობის შეფასების შედეგები, მათ შ</w:t>
      </w:r>
      <w:r w:rsidR="00350E8D" w:rsidRPr="00FC5C72">
        <w:rPr>
          <w:noProof/>
          <w:sz w:val="24"/>
          <w:szCs w:val="24"/>
        </w:rPr>
        <w:t>ო</w:t>
      </w:r>
      <w:r w:rsidRPr="00FC5C72">
        <w:rPr>
          <w:noProof/>
          <w:sz w:val="24"/>
          <w:szCs w:val="24"/>
        </w:rPr>
        <w:t>რის განსაზღვრული CHADS</w:t>
      </w:r>
      <w:r w:rsidRPr="00FC5C72">
        <w:rPr>
          <w:noProof/>
          <w:sz w:val="24"/>
          <w:szCs w:val="24"/>
          <w:vertAlign w:val="subscript"/>
        </w:rPr>
        <w:t>2</w:t>
      </w:r>
      <w:r w:rsidRPr="00FC5C72">
        <w:rPr>
          <w:noProof/>
          <w:sz w:val="24"/>
          <w:szCs w:val="24"/>
        </w:rPr>
        <w:t xml:space="preserve"> სკალის ქულით, ასაკით, სხეულის მასით, სქესით, თირკმელების ფუნქციის მდგომარეობით, ინსულტით ან ტიშ-ით ანამნეზში და შაქრიანი დიაბეტით, შეესაბამებოდა ეფექტიანობის შეფასების პირველად შედეგებს კვლევაში ჩართულ საერთო პოპულაციაში. ISTH</w:t>
      </w:r>
      <w:r w:rsidR="00077EE3" w:rsidRPr="00FC5C72">
        <w:rPr>
          <w:noProof/>
          <w:sz w:val="24"/>
          <w:szCs w:val="24"/>
        </w:rPr>
        <w:t xml:space="preserve"> კრიტერიუმების მიხედვით კუჭ-ნაწლავიდან მნიშვნელოვანი სისხლდენების  (მათ შორის სისხლდენები კუჭ-ნაწლავის ტრაქტის ზედა და ქვედა ორგანოებში და რექტალური სისხლდენა) განვითარების სიხშირე აპიქსა</w:t>
      </w:r>
      <w:r w:rsidR="00350E8D" w:rsidRPr="00FC5C72">
        <w:rPr>
          <w:noProof/>
          <w:sz w:val="24"/>
          <w:szCs w:val="24"/>
        </w:rPr>
        <w:t>ბ</w:t>
      </w:r>
      <w:r w:rsidR="00077EE3" w:rsidRPr="00FC5C72">
        <w:rPr>
          <w:noProof/>
          <w:sz w:val="24"/>
          <w:szCs w:val="24"/>
        </w:rPr>
        <w:t xml:space="preserve">ანის გამოყენებისას შეადგენდა 0.76%-ს წელიწადში, ხოლო ვარფარინის გამოყენებისას - 0.86%-ს წელიწადში. </w:t>
      </w:r>
    </w:p>
    <w:p w14:paraId="4BB60B6A" w14:textId="58F10ACF" w:rsidR="00077EE3" w:rsidRPr="00FC5C72" w:rsidRDefault="00077EE3" w:rsidP="00785B18">
      <w:pPr>
        <w:spacing w:after="0" w:line="240" w:lineRule="auto"/>
        <w:jc w:val="both"/>
        <w:rPr>
          <w:noProof/>
          <w:sz w:val="24"/>
          <w:szCs w:val="24"/>
        </w:rPr>
      </w:pPr>
      <w:r w:rsidRPr="00FC5C72">
        <w:rPr>
          <w:noProof/>
          <w:sz w:val="24"/>
          <w:szCs w:val="24"/>
        </w:rPr>
        <w:t>წინასწარ მოცემული ქვეჯგუფებისთვის მნიშვნელოვანი სისხლდენის შეფასების შედეგები, მათ შ</w:t>
      </w:r>
      <w:r w:rsidR="00350E8D" w:rsidRPr="00FC5C72">
        <w:rPr>
          <w:noProof/>
          <w:sz w:val="24"/>
          <w:szCs w:val="24"/>
        </w:rPr>
        <w:t>ო</w:t>
      </w:r>
      <w:r w:rsidRPr="00FC5C72">
        <w:rPr>
          <w:noProof/>
          <w:sz w:val="24"/>
          <w:szCs w:val="24"/>
        </w:rPr>
        <w:t>რის განსაზღვრული CHADS</w:t>
      </w:r>
      <w:r w:rsidRPr="00FC5C72">
        <w:rPr>
          <w:noProof/>
          <w:sz w:val="24"/>
          <w:szCs w:val="24"/>
          <w:vertAlign w:val="subscript"/>
        </w:rPr>
        <w:t>2</w:t>
      </w:r>
      <w:r w:rsidRPr="00FC5C72">
        <w:rPr>
          <w:noProof/>
          <w:sz w:val="24"/>
          <w:szCs w:val="24"/>
        </w:rPr>
        <w:t xml:space="preserve"> სკალის ქულით, ასაკით, სხეულის მასით, სქესით, თირკმელების ფუნქციის მდგომარეობით, ინსულტით ან ტიშ-ით ანამნეზში და შაქრიანი დიაბეტით, შეესაბამებოდა შედეგებს კვლევაში ჩართულ საერთო პოპულაციაში.</w:t>
      </w:r>
    </w:p>
    <w:p w14:paraId="3238969E" w14:textId="77777777" w:rsidR="00536D56" w:rsidRPr="00FC5C72" w:rsidRDefault="00536D56" w:rsidP="00785B18">
      <w:pPr>
        <w:spacing w:after="0" w:line="240" w:lineRule="auto"/>
        <w:jc w:val="both"/>
        <w:rPr>
          <w:noProof/>
          <w:sz w:val="24"/>
          <w:szCs w:val="24"/>
        </w:rPr>
      </w:pPr>
    </w:p>
    <w:p w14:paraId="5FFFC4C2" w14:textId="6606B3E3" w:rsidR="00077EE3" w:rsidRPr="00FC5C72" w:rsidRDefault="00077EE3" w:rsidP="00785B18">
      <w:pPr>
        <w:spacing w:after="0" w:line="240" w:lineRule="auto"/>
        <w:jc w:val="both"/>
        <w:rPr>
          <w:i/>
          <w:iCs/>
          <w:noProof/>
          <w:sz w:val="24"/>
          <w:szCs w:val="24"/>
        </w:rPr>
      </w:pPr>
      <w:r w:rsidRPr="00FC5C72">
        <w:rPr>
          <w:i/>
          <w:iCs/>
          <w:noProof/>
          <w:sz w:val="24"/>
          <w:szCs w:val="24"/>
        </w:rPr>
        <w:t xml:space="preserve">კვლევა </w:t>
      </w:r>
      <w:r w:rsidRPr="00FC5C72">
        <w:rPr>
          <w:i/>
          <w:sz w:val="24"/>
        </w:rPr>
        <w:t>AVERROES</w:t>
      </w:r>
    </w:p>
    <w:p w14:paraId="281823A0" w14:textId="5994AC89" w:rsidR="00350E8D" w:rsidRPr="00FC5C72" w:rsidRDefault="00077EE3" w:rsidP="00785B18">
      <w:pPr>
        <w:spacing w:after="0" w:line="240" w:lineRule="auto"/>
        <w:jc w:val="both"/>
        <w:rPr>
          <w:noProof/>
          <w:sz w:val="24"/>
          <w:szCs w:val="24"/>
        </w:rPr>
      </w:pPr>
      <w:r w:rsidRPr="00FC5C72">
        <w:rPr>
          <w:noProof/>
          <w:sz w:val="24"/>
          <w:szCs w:val="24"/>
        </w:rPr>
        <w:t xml:space="preserve">კვლევაში </w:t>
      </w:r>
      <w:r w:rsidRPr="00FC5C72">
        <w:rPr>
          <w:sz w:val="24"/>
        </w:rPr>
        <w:t xml:space="preserve">AVERROES საერთო ჯამში </w:t>
      </w:r>
      <w:r w:rsidRPr="00FC5C72">
        <w:rPr>
          <w:noProof/>
          <w:sz w:val="24"/>
          <w:szCs w:val="24"/>
        </w:rPr>
        <w:t>5598 </w:t>
      </w:r>
      <w:r w:rsidR="00536D56" w:rsidRPr="00FC5C72">
        <w:rPr>
          <w:noProof/>
          <w:sz w:val="24"/>
          <w:szCs w:val="24"/>
        </w:rPr>
        <w:t xml:space="preserve">მოზრდილი </w:t>
      </w:r>
      <w:r w:rsidRPr="00FC5C72">
        <w:rPr>
          <w:noProof/>
          <w:sz w:val="24"/>
          <w:szCs w:val="24"/>
        </w:rPr>
        <w:t>პაციენტი, რომლ</w:t>
      </w:r>
      <w:r w:rsidR="00521C7A" w:rsidRPr="00FC5C72">
        <w:rPr>
          <w:noProof/>
          <w:sz w:val="24"/>
          <w:szCs w:val="24"/>
        </w:rPr>
        <w:t>ისთვის</w:t>
      </w:r>
      <w:r w:rsidRPr="00FC5C72">
        <w:rPr>
          <w:noProof/>
          <w:sz w:val="24"/>
          <w:szCs w:val="24"/>
        </w:rPr>
        <w:t xml:space="preserve"> მკვლევარებმა შეუძლებლად ჩათვალეს К ვიტამინის ანტაგონისტის გამოყენება, რანდომიზებული იქნ</w:t>
      </w:r>
      <w:r w:rsidR="00521C7A" w:rsidRPr="00FC5C72">
        <w:rPr>
          <w:noProof/>
          <w:sz w:val="24"/>
          <w:szCs w:val="24"/>
        </w:rPr>
        <w:t xml:space="preserve">ა </w:t>
      </w:r>
      <w:r w:rsidRPr="00FC5C72">
        <w:rPr>
          <w:noProof/>
          <w:sz w:val="24"/>
          <w:szCs w:val="24"/>
        </w:rPr>
        <w:t>აპიქსაბანის 5 მგ დოზით ორჯერ დღე-ღამეში (</w:t>
      </w:r>
      <w:r w:rsidRPr="00FC5C72">
        <w:rPr>
          <w:sz w:val="24"/>
        </w:rPr>
        <w:t xml:space="preserve">ან 2.5 მგ ორჯერ დღე-ღამეში შერჩეულ პაციენტებში (6,4%), იხ. პარაგრაფი “გამოყენების წესი და დოზები“) ან </w:t>
      </w:r>
      <w:r w:rsidR="00413375" w:rsidRPr="00FC5C72">
        <w:rPr>
          <w:sz w:val="24"/>
        </w:rPr>
        <w:t>ასმ-ს</w:t>
      </w:r>
      <w:r w:rsidRPr="00FC5C72">
        <w:rPr>
          <w:sz w:val="24"/>
        </w:rPr>
        <w:t xml:space="preserve"> მისაღებად</w:t>
      </w:r>
      <w:r w:rsidR="00413375" w:rsidRPr="00FC5C72">
        <w:rPr>
          <w:sz w:val="24"/>
        </w:rPr>
        <w:t xml:space="preserve">. ასმ-ს იყენებდნენ ერთხელ დღე-ღამეში დოზით 81 მგ (64%), </w:t>
      </w:r>
      <w:r w:rsidR="00413375" w:rsidRPr="00FC5C72">
        <w:rPr>
          <w:noProof/>
          <w:sz w:val="24"/>
          <w:szCs w:val="24"/>
        </w:rPr>
        <w:t>162 მგ (26,9%), 243 მგ (2,1%) ან 324 მგ (6,6%) მკვლევარის გადაწყვეტილებით. პაციენტები იღებდნენ საკვლევ მოქმედ ნივთიერებას საშუალოდ 14 თვის განმავლობაში. პაციენტების საშუალო ასაკი - 69.9 წელი, საშუალო ქულა CHADS</w:t>
      </w:r>
      <w:r w:rsidR="00413375" w:rsidRPr="00FC5C72">
        <w:rPr>
          <w:noProof/>
          <w:sz w:val="24"/>
          <w:szCs w:val="24"/>
          <w:vertAlign w:val="subscript"/>
        </w:rPr>
        <w:t>2</w:t>
      </w:r>
      <w:r w:rsidR="00413375" w:rsidRPr="00FC5C72">
        <w:rPr>
          <w:noProof/>
          <w:sz w:val="24"/>
          <w:szCs w:val="24"/>
        </w:rPr>
        <w:t xml:space="preserve"> სკალით - 2.0, პაციენტები ინსულტის ან ტიშ-ის ანამნეზით - 13.6%.</w:t>
      </w:r>
    </w:p>
    <w:p w14:paraId="5D518587" w14:textId="37ABE4A7" w:rsidR="008330B8" w:rsidRPr="00FC5C72" w:rsidRDefault="00413375" w:rsidP="00785B18">
      <w:pPr>
        <w:spacing w:after="0" w:line="240" w:lineRule="auto"/>
        <w:jc w:val="both"/>
        <w:rPr>
          <w:noProof/>
          <w:sz w:val="24"/>
          <w:szCs w:val="24"/>
        </w:rPr>
      </w:pPr>
      <w:r w:rsidRPr="00FC5C72">
        <w:rPr>
          <w:noProof/>
          <w:sz w:val="24"/>
          <w:szCs w:val="24"/>
        </w:rPr>
        <w:t xml:space="preserve">კვლევაში </w:t>
      </w:r>
      <w:r w:rsidRPr="00FC5C72">
        <w:rPr>
          <w:sz w:val="24"/>
        </w:rPr>
        <w:t xml:space="preserve">AVERROES </w:t>
      </w:r>
      <w:r w:rsidRPr="00FC5C72">
        <w:rPr>
          <w:noProof/>
          <w:sz w:val="24"/>
          <w:szCs w:val="24"/>
        </w:rPr>
        <w:t>К ვიტამინის ანტაგონისტით მკურნალობის შეუძლებლობის გავრცელებული მიზეზები</w:t>
      </w:r>
      <w:r w:rsidR="000C1E24" w:rsidRPr="00FC5C72">
        <w:rPr>
          <w:noProof/>
          <w:sz w:val="24"/>
          <w:szCs w:val="24"/>
        </w:rPr>
        <w:t xml:space="preserve">ა </w:t>
      </w:r>
      <w:r w:rsidRPr="00FC5C72">
        <w:rPr>
          <w:noProof/>
          <w:sz w:val="24"/>
          <w:szCs w:val="24"/>
        </w:rPr>
        <w:t xml:space="preserve"> სნთ-ის საჭირო ინტერვალები</w:t>
      </w:r>
      <w:r w:rsidR="00350E8D" w:rsidRPr="00FC5C72">
        <w:rPr>
          <w:noProof/>
          <w:sz w:val="24"/>
          <w:szCs w:val="24"/>
        </w:rPr>
        <w:t>ს</w:t>
      </w:r>
      <w:r w:rsidRPr="00FC5C72">
        <w:rPr>
          <w:noProof/>
          <w:sz w:val="24"/>
          <w:szCs w:val="24"/>
        </w:rPr>
        <w:t xml:space="preserve"> მიღების შეუძ</w:t>
      </w:r>
      <w:r w:rsidR="00350E8D" w:rsidRPr="00FC5C72">
        <w:rPr>
          <w:noProof/>
          <w:sz w:val="24"/>
          <w:szCs w:val="24"/>
        </w:rPr>
        <w:t>ლ</w:t>
      </w:r>
      <w:r w:rsidRPr="00FC5C72">
        <w:rPr>
          <w:noProof/>
          <w:sz w:val="24"/>
          <w:szCs w:val="24"/>
        </w:rPr>
        <w:t xml:space="preserve">ებლობა/მცირე ალბათობა (42.6%), </w:t>
      </w:r>
      <w:r w:rsidR="00350E8D" w:rsidRPr="00FC5C72">
        <w:rPr>
          <w:noProof/>
          <w:sz w:val="24"/>
          <w:szCs w:val="24"/>
        </w:rPr>
        <w:t xml:space="preserve">პაციენტის მხრიდან </w:t>
      </w:r>
      <w:r w:rsidRPr="00FC5C72">
        <w:rPr>
          <w:noProof/>
          <w:sz w:val="24"/>
          <w:szCs w:val="24"/>
        </w:rPr>
        <w:t>К ვიტამინის ანტაგონისტით მკურნალობაზე უარ</w:t>
      </w:r>
      <w:r w:rsidR="000C1E24" w:rsidRPr="00FC5C72">
        <w:rPr>
          <w:noProof/>
          <w:sz w:val="24"/>
          <w:szCs w:val="24"/>
        </w:rPr>
        <w:t>ი</w:t>
      </w:r>
      <w:r w:rsidRPr="00FC5C72">
        <w:rPr>
          <w:noProof/>
          <w:sz w:val="24"/>
          <w:szCs w:val="24"/>
        </w:rPr>
        <w:t xml:space="preserve"> (37.4%), </w:t>
      </w:r>
      <w:r w:rsidR="00350E8D" w:rsidRPr="00FC5C72">
        <w:rPr>
          <w:noProof/>
          <w:sz w:val="24"/>
          <w:szCs w:val="24"/>
        </w:rPr>
        <w:t>CHADS</w:t>
      </w:r>
      <w:r w:rsidR="00350E8D" w:rsidRPr="00FC5C72">
        <w:rPr>
          <w:noProof/>
          <w:sz w:val="24"/>
          <w:szCs w:val="24"/>
          <w:vertAlign w:val="subscript"/>
        </w:rPr>
        <w:t>2</w:t>
      </w:r>
      <w:r w:rsidR="00350E8D" w:rsidRPr="00FC5C72">
        <w:rPr>
          <w:noProof/>
          <w:sz w:val="24"/>
          <w:szCs w:val="24"/>
        </w:rPr>
        <w:t xml:space="preserve"> სკალით </w:t>
      </w:r>
      <w:r w:rsidRPr="00FC5C72">
        <w:rPr>
          <w:noProof/>
          <w:sz w:val="24"/>
          <w:szCs w:val="24"/>
        </w:rPr>
        <w:t xml:space="preserve">ქულა = 1 და К ვიტამინის ანტაგონისტით მკურნალობის რეკომენდაციის არარსებობა ექიმისგან (21.3%), ეჭვი, რომ პაციენტი დაიცავს К ვიტამინის ანტაგონისტის გამოყენების ინსტრუქციას (15%), ასევე პაციენტთან დაკავშირების სირთულე/სავარაუდო სირთულე  დოზის სასწრაფოდ შეცვლის აუცილებლობის შემთხვევაში (11.7%). </w:t>
      </w:r>
    </w:p>
    <w:p w14:paraId="50F79052" w14:textId="016A805C" w:rsidR="00413375" w:rsidRPr="00FC5C72" w:rsidRDefault="00413375" w:rsidP="00785B18">
      <w:pPr>
        <w:spacing w:after="0" w:line="240" w:lineRule="auto"/>
        <w:jc w:val="both"/>
        <w:rPr>
          <w:sz w:val="24"/>
        </w:rPr>
      </w:pPr>
      <w:r w:rsidRPr="00FC5C72">
        <w:rPr>
          <w:noProof/>
          <w:sz w:val="24"/>
          <w:szCs w:val="24"/>
        </w:rPr>
        <w:t xml:space="preserve">კვლევა </w:t>
      </w:r>
      <w:r w:rsidRPr="00FC5C72">
        <w:rPr>
          <w:sz w:val="24"/>
        </w:rPr>
        <w:t xml:space="preserve">AVERROES </w:t>
      </w:r>
      <w:r w:rsidR="005D6E08" w:rsidRPr="00FC5C72">
        <w:rPr>
          <w:sz w:val="24"/>
        </w:rPr>
        <w:t xml:space="preserve">დროზე ადრე შეწყდა მონაცემთა მონიტორინგის დამოუკიდებელი კომიტეტის რეკომენდაციით, ინსულტებისა და სისტემური ემბოლიების სიხშირის აშკარა შემცირების გამო უსაფრთხოების მისაღები პროფილის თანხლებით. </w:t>
      </w:r>
    </w:p>
    <w:p w14:paraId="6DCB042A" w14:textId="42AF9BA5" w:rsidR="005D6E08" w:rsidRPr="00FC5C72" w:rsidRDefault="005D6E08" w:rsidP="00785B18">
      <w:pPr>
        <w:spacing w:after="0" w:line="240" w:lineRule="auto"/>
        <w:jc w:val="both"/>
        <w:rPr>
          <w:sz w:val="24"/>
        </w:rPr>
      </w:pPr>
      <w:r w:rsidRPr="00FC5C72">
        <w:rPr>
          <w:noProof/>
          <w:sz w:val="24"/>
          <w:szCs w:val="24"/>
        </w:rPr>
        <w:t xml:space="preserve">კვლევაში  </w:t>
      </w:r>
      <w:r w:rsidRPr="00FC5C72">
        <w:rPr>
          <w:sz w:val="24"/>
        </w:rPr>
        <w:t xml:space="preserve">AVERROES არასასურველი რეაქციების გამო თერაპიის შეწყვეტის საერთო სიხშირე შეადგენდა 1.5%-ს აპიქსაბანისთვის და 1.3%-ს ასმ-სთვის. </w:t>
      </w:r>
    </w:p>
    <w:p w14:paraId="65F2CF99" w14:textId="007B7E72" w:rsidR="005D6E08" w:rsidRPr="00FC5C72" w:rsidRDefault="005D6E08" w:rsidP="00785B18">
      <w:pPr>
        <w:spacing w:after="0" w:line="240" w:lineRule="auto"/>
        <w:jc w:val="both"/>
        <w:rPr>
          <w:sz w:val="24"/>
        </w:rPr>
      </w:pPr>
      <w:r w:rsidRPr="00FC5C72">
        <w:rPr>
          <w:sz w:val="24"/>
        </w:rPr>
        <w:t xml:space="preserve">კვლევაში აპიქსაბანმა აჩვენა სტატისტიკურად მნიშვნელოვანი უკეთესი შედეგები ინსულტის (ჰემორაგიული, იშემიური ან დაუდგენელი ტიპის) და სისტემური ემბოლიის (იხ. </w:t>
      </w:r>
      <w:r w:rsidR="00395774" w:rsidRPr="00FC5C72">
        <w:rPr>
          <w:sz w:val="24"/>
        </w:rPr>
        <w:t>ცხრილი</w:t>
      </w:r>
      <w:r w:rsidRPr="00FC5C72">
        <w:rPr>
          <w:sz w:val="24"/>
        </w:rPr>
        <w:t xml:space="preserve"> 6) პროფილაქტიკის პირველადი საბოლოო წერტილების მიმართ ასმ-სთან შედარებით.</w:t>
      </w:r>
    </w:p>
    <w:p w14:paraId="654E6AC7" w14:textId="0C633448" w:rsidR="005D6E08" w:rsidRPr="00FC5C72" w:rsidRDefault="005D6E08" w:rsidP="00785B18">
      <w:pPr>
        <w:spacing w:after="0" w:line="240" w:lineRule="auto"/>
        <w:jc w:val="both"/>
        <w:rPr>
          <w:sz w:val="24"/>
        </w:rPr>
      </w:pPr>
    </w:p>
    <w:p w14:paraId="54D9556B" w14:textId="1D5DCDCA" w:rsidR="005D6E08" w:rsidRPr="00FC5C72" w:rsidRDefault="005D6E08" w:rsidP="00785B18">
      <w:pPr>
        <w:spacing w:after="0" w:line="240" w:lineRule="auto"/>
        <w:jc w:val="both"/>
        <w:rPr>
          <w:b/>
          <w:bCs/>
          <w:sz w:val="24"/>
        </w:rPr>
      </w:pPr>
      <w:r w:rsidRPr="00FC5C72">
        <w:rPr>
          <w:b/>
          <w:bCs/>
          <w:sz w:val="24"/>
        </w:rPr>
        <w:t>ცხრილი 6. ეფექტიანობის ძირითადი მაჩვენებლები წინაგულების ფიბრილაციის მქონე პაციენტებში კვლევაში AVERROES</w:t>
      </w:r>
    </w:p>
    <w:tbl>
      <w:tblPr>
        <w:tblW w:w="48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1"/>
        <w:gridCol w:w="1842"/>
        <w:gridCol w:w="1842"/>
        <w:gridCol w:w="1771"/>
        <w:gridCol w:w="1686"/>
      </w:tblGrid>
      <w:tr w:rsidR="00FC5C72" w:rsidRPr="00FC5C72" w14:paraId="43B971FE" w14:textId="77777777" w:rsidTr="00E071F2">
        <w:trPr>
          <w:trHeight w:val="468"/>
          <w:tblHeader/>
        </w:trPr>
        <w:tc>
          <w:tcPr>
            <w:tcW w:w="1642" w:type="pct"/>
          </w:tcPr>
          <w:p w14:paraId="76DC75DE" w14:textId="77777777" w:rsidR="005D6E08" w:rsidRPr="00FC5C72" w:rsidRDefault="005D6E08" w:rsidP="00785B18">
            <w:pPr>
              <w:pStyle w:val="BMSTableHeader"/>
              <w:keepNext/>
              <w:widowControl w:val="0"/>
              <w:spacing w:before="0" w:after="0"/>
              <w:contextualSpacing/>
              <w:rPr>
                <w:noProof/>
                <w:sz w:val="24"/>
                <w:szCs w:val="24"/>
              </w:rPr>
            </w:pPr>
          </w:p>
        </w:tc>
        <w:tc>
          <w:tcPr>
            <w:tcW w:w="789" w:type="pct"/>
          </w:tcPr>
          <w:p w14:paraId="02A2C016" w14:textId="7F254831" w:rsidR="005D6E08" w:rsidRPr="00FC5C72" w:rsidRDefault="005D6E08" w:rsidP="00785B18">
            <w:pPr>
              <w:pStyle w:val="BMSTableHeader"/>
              <w:keepNext/>
              <w:widowControl w:val="0"/>
              <w:spacing w:before="0" w:after="0"/>
              <w:contextualSpacing/>
              <w:rPr>
                <w:rFonts w:ascii="Sylfaen" w:hAnsi="Sylfaen"/>
                <w:noProof/>
                <w:sz w:val="24"/>
                <w:szCs w:val="24"/>
                <w:lang w:val="ka-GE"/>
              </w:rPr>
            </w:pPr>
            <w:r w:rsidRPr="00FC5C72">
              <w:rPr>
                <w:rFonts w:ascii="Sylfaen" w:hAnsi="Sylfaen"/>
                <w:noProof/>
                <w:sz w:val="24"/>
                <w:szCs w:val="24"/>
                <w:lang w:val="ka-GE"/>
              </w:rPr>
              <w:t>აპიქსაბანი</w:t>
            </w:r>
          </w:p>
          <w:p w14:paraId="38AFB7FA" w14:textId="77777777" w:rsidR="005D6E08" w:rsidRPr="00FC5C72" w:rsidRDefault="005D6E08" w:rsidP="00785B18">
            <w:pPr>
              <w:pStyle w:val="BMSTableHeader"/>
              <w:keepNext/>
              <w:widowControl w:val="0"/>
              <w:spacing w:before="0" w:after="0"/>
              <w:contextualSpacing/>
              <w:rPr>
                <w:noProof/>
                <w:sz w:val="24"/>
                <w:szCs w:val="24"/>
              </w:rPr>
            </w:pPr>
            <w:r w:rsidRPr="00FC5C72">
              <w:rPr>
                <w:noProof/>
                <w:sz w:val="24"/>
                <w:szCs w:val="24"/>
              </w:rPr>
              <w:t xml:space="preserve">N=2807 </w:t>
            </w:r>
          </w:p>
          <w:p w14:paraId="4831BD33" w14:textId="52E321B3" w:rsidR="005D6E08" w:rsidRPr="00FC5C72" w:rsidRDefault="005D6E08" w:rsidP="00785B18">
            <w:pPr>
              <w:pStyle w:val="BMSTableHeader"/>
              <w:keepNext/>
              <w:widowControl w:val="0"/>
              <w:spacing w:before="0" w:after="0"/>
              <w:contextualSpacing/>
              <w:rPr>
                <w:noProof/>
                <w:sz w:val="24"/>
                <w:szCs w:val="24"/>
              </w:rPr>
            </w:pPr>
            <w:r w:rsidRPr="00FC5C72">
              <w:rPr>
                <w:noProof/>
                <w:sz w:val="24"/>
                <w:szCs w:val="24"/>
              </w:rPr>
              <w:t>n (%/</w:t>
            </w:r>
            <w:r w:rsidRPr="00FC5C72">
              <w:rPr>
                <w:rFonts w:ascii="Sylfaen" w:hAnsi="Sylfaen"/>
                <w:noProof/>
                <w:sz w:val="24"/>
                <w:szCs w:val="24"/>
                <w:lang w:val="ka-GE"/>
              </w:rPr>
              <w:t>წელიწადი</w:t>
            </w:r>
            <w:r w:rsidRPr="00FC5C72">
              <w:rPr>
                <w:noProof/>
                <w:sz w:val="24"/>
                <w:szCs w:val="24"/>
              </w:rPr>
              <w:t>)</w:t>
            </w:r>
          </w:p>
        </w:tc>
        <w:tc>
          <w:tcPr>
            <w:tcW w:w="913" w:type="pct"/>
          </w:tcPr>
          <w:p w14:paraId="37343408" w14:textId="0E58EADF" w:rsidR="005D6E08" w:rsidRPr="00FC5C72" w:rsidRDefault="005D6E08" w:rsidP="00785B18">
            <w:pPr>
              <w:pStyle w:val="BMSTableHeader"/>
              <w:keepNext/>
              <w:widowControl w:val="0"/>
              <w:spacing w:before="0" w:after="0"/>
              <w:contextualSpacing/>
              <w:rPr>
                <w:rFonts w:ascii="Sylfaen" w:hAnsi="Sylfaen"/>
                <w:noProof/>
                <w:sz w:val="24"/>
                <w:szCs w:val="24"/>
                <w:lang w:val="ka-GE"/>
              </w:rPr>
            </w:pPr>
            <w:r w:rsidRPr="00FC5C72">
              <w:rPr>
                <w:rFonts w:ascii="Sylfaen" w:hAnsi="Sylfaen"/>
                <w:noProof/>
                <w:sz w:val="24"/>
                <w:szCs w:val="24"/>
                <w:lang w:val="ka-GE"/>
              </w:rPr>
              <w:t>ასმ</w:t>
            </w:r>
          </w:p>
          <w:p w14:paraId="68BCDCF6" w14:textId="77777777" w:rsidR="005D6E08" w:rsidRPr="00FC5C72" w:rsidRDefault="005D6E08" w:rsidP="00785B18">
            <w:pPr>
              <w:pStyle w:val="BMSTableHeader"/>
              <w:keepNext/>
              <w:widowControl w:val="0"/>
              <w:spacing w:before="0" w:after="0"/>
              <w:contextualSpacing/>
              <w:rPr>
                <w:noProof/>
                <w:sz w:val="24"/>
                <w:szCs w:val="24"/>
              </w:rPr>
            </w:pPr>
            <w:r w:rsidRPr="00FC5C72">
              <w:rPr>
                <w:noProof/>
                <w:sz w:val="24"/>
                <w:szCs w:val="24"/>
              </w:rPr>
              <w:t>N=2791</w:t>
            </w:r>
          </w:p>
          <w:p w14:paraId="3075C334" w14:textId="755DD47E" w:rsidR="005D6E08" w:rsidRPr="00FC5C72" w:rsidRDefault="005D6E08" w:rsidP="00785B18">
            <w:pPr>
              <w:pStyle w:val="BMSTableHeader"/>
              <w:keepNext/>
              <w:widowControl w:val="0"/>
              <w:spacing w:before="0" w:after="0"/>
              <w:contextualSpacing/>
              <w:rPr>
                <w:noProof/>
                <w:sz w:val="24"/>
                <w:szCs w:val="24"/>
              </w:rPr>
            </w:pPr>
            <w:r w:rsidRPr="00FC5C72">
              <w:rPr>
                <w:noProof/>
                <w:sz w:val="24"/>
                <w:szCs w:val="24"/>
              </w:rPr>
              <w:t>n (%/</w:t>
            </w:r>
            <w:r w:rsidRPr="00FC5C72">
              <w:rPr>
                <w:rFonts w:ascii="Sylfaen" w:hAnsi="Sylfaen"/>
                <w:noProof/>
                <w:sz w:val="24"/>
                <w:szCs w:val="24"/>
                <w:lang w:val="ka-GE"/>
              </w:rPr>
              <w:t>წელიწადი</w:t>
            </w:r>
            <w:r w:rsidRPr="00FC5C72">
              <w:rPr>
                <w:noProof/>
                <w:sz w:val="24"/>
                <w:szCs w:val="24"/>
              </w:rPr>
              <w:t>)</w:t>
            </w:r>
          </w:p>
        </w:tc>
        <w:tc>
          <w:tcPr>
            <w:tcW w:w="987" w:type="pct"/>
          </w:tcPr>
          <w:p w14:paraId="30CE62B4" w14:textId="4932633A" w:rsidR="005D6E08" w:rsidRPr="00FC5C72" w:rsidRDefault="005D6E08" w:rsidP="00785B18">
            <w:pPr>
              <w:pStyle w:val="BMSTableHeader"/>
              <w:keepNext/>
              <w:widowControl w:val="0"/>
              <w:spacing w:before="0" w:after="0"/>
              <w:contextualSpacing/>
              <w:rPr>
                <w:rFonts w:ascii="Sylfaen" w:hAnsi="Sylfaen"/>
                <w:noProof/>
                <w:sz w:val="24"/>
                <w:szCs w:val="24"/>
                <w:lang w:val="ka-GE"/>
              </w:rPr>
            </w:pPr>
            <w:r w:rsidRPr="00FC5C72">
              <w:rPr>
                <w:rFonts w:ascii="Sylfaen" w:hAnsi="Sylfaen"/>
                <w:noProof/>
                <w:sz w:val="24"/>
                <w:szCs w:val="24"/>
                <w:lang w:val="ka-GE"/>
              </w:rPr>
              <w:t>რისკების თანაფარდობა</w:t>
            </w:r>
          </w:p>
          <w:p w14:paraId="78AD71CC" w14:textId="75EDDA16" w:rsidR="005D6E08" w:rsidRPr="00FC5C72" w:rsidRDefault="005D6E08" w:rsidP="00785B18">
            <w:pPr>
              <w:pStyle w:val="BMSTableHeader"/>
              <w:keepNext/>
              <w:widowControl w:val="0"/>
              <w:spacing w:before="0" w:after="0"/>
              <w:contextualSpacing/>
              <w:rPr>
                <w:noProof/>
                <w:sz w:val="24"/>
                <w:szCs w:val="24"/>
              </w:rPr>
            </w:pPr>
            <w:r w:rsidRPr="00FC5C72">
              <w:rPr>
                <w:noProof/>
                <w:sz w:val="24"/>
                <w:szCs w:val="24"/>
              </w:rPr>
              <w:t>(95%-</w:t>
            </w:r>
            <w:r w:rsidRPr="00FC5C72">
              <w:rPr>
                <w:rFonts w:ascii="Sylfaen" w:hAnsi="Sylfaen"/>
                <w:noProof/>
                <w:sz w:val="24"/>
                <w:szCs w:val="24"/>
                <w:lang w:val="ka-GE"/>
              </w:rPr>
              <w:t>იანი ს/ი</w:t>
            </w:r>
            <w:r w:rsidRPr="00FC5C72">
              <w:rPr>
                <w:noProof/>
                <w:sz w:val="24"/>
                <w:szCs w:val="24"/>
              </w:rPr>
              <w:t>)</w:t>
            </w:r>
          </w:p>
        </w:tc>
        <w:tc>
          <w:tcPr>
            <w:tcW w:w="670" w:type="pct"/>
          </w:tcPr>
          <w:p w14:paraId="30F39A38" w14:textId="77777777" w:rsidR="005D6E08" w:rsidRPr="00FC5C72" w:rsidRDefault="005D6E08" w:rsidP="00785B18">
            <w:pPr>
              <w:pStyle w:val="BMSTableHeader"/>
              <w:keepNext/>
              <w:widowControl w:val="0"/>
              <w:spacing w:before="0" w:after="0"/>
              <w:contextualSpacing/>
              <w:rPr>
                <w:noProof/>
                <w:sz w:val="24"/>
                <w:szCs w:val="24"/>
              </w:rPr>
            </w:pPr>
          </w:p>
          <w:p w14:paraId="0C701A9B" w14:textId="399FCD77" w:rsidR="005D6E08" w:rsidRPr="00FC5C72" w:rsidRDefault="005D6E08" w:rsidP="00785B18">
            <w:pPr>
              <w:pStyle w:val="BMSTableHeader"/>
              <w:keepNext/>
              <w:widowControl w:val="0"/>
              <w:spacing w:before="0" w:after="0"/>
              <w:contextualSpacing/>
              <w:rPr>
                <w:rFonts w:ascii="Sylfaen" w:hAnsi="Sylfaen"/>
                <w:noProof/>
                <w:sz w:val="24"/>
                <w:szCs w:val="24"/>
                <w:lang w:val="ka-GE"/>
              </w:rPr>
            </w:pPr>
            <w:r w:rsidRPr="00FC5C72">
              <w:rPr>
                <w:noProof/>
                <w:sz w:val="24"/>
                <w:szCs w:val="24"/>
              </w:rPr>
              <w:t>p-</w:t>
            </w:r>
            <w:r w:rsidRPr="00FC5C72">
              <w:rPr>
                <w:rFonts w:ascii="Sylfaen" w:hAnsi="Sylfaen"/>
                <w:noProof/>
                <w:sz w:val="24"/>
                <w:szCs w:val="24"/>
                <w:lang w:val="ka-GE"/>
              </w:rPr>
              <w:t>მნიშვნელობა</w:t>
            </w:r>
          </w:p>
        </w:tc>
      </w:tr>
      <w:tr w:rsidR="00FC5C72" w:rsidRPr="00FC5C72" w14:paraId="1929622C" w14:textId="77777777" w:rsidTr="00E071F2">
        <w:tc>
          <w:tcPr>
            <w:tcW w:w="1642" w:type="pct"/>
          </w:tcPr>
          <w:p w14:paraId="3C56F444" w14:textId="534AFA76" w:rsidR="005D6E08" w:rsidRPr="00FC5C72" w:rsidRDefault="005D6E08" w:rsidP="00785B18">
            <w:pPr>
              <w:pStyle w:val="BMSTableText"/>
              <w:keepNext/>
              <w:spacing w:before="0" w:after="0"/>
              <w:contextualSpacing/>
              <w:jc w:val="both"/>
              <w:rPr>
                <w:noProof/>
                <w:sz w:val="24"/>
                <w:szCs w:val="24"/>
              </w:rPr>
            </w:pPr>
            <w:r w:rsidRPr="00FC5C72">
              <w:rPr>
                <w:rFonts w:ascii="Sylfaen" w:hAnsi="Sylfaen"/>
                <w:noProof/>
                <w:sz w:val="24"/>
                <w:szCs w:val="24"/>
                <w:lang w:val="ka-GE"/>
              </w:rPr>
              <w:t xml:space="preserve">ინსულტი </w:t>
            </w:r>
            <w:r w:rsidR="00FA52C9" w:rsidRPr="00FC5C72">
              <w:rPr>
                <w:rFonts w:ascii="Sylfaen" w:hAnsi="Sylfaen"/>
                <w:noProof/>
                <w:sz w:val="24"/>
                <w:szCs w:val="24"/>
                <w:lang w:val="ka-GE"/>
              </w:rPr>
              <w:t>ან</w:t>
            </w:r>
            <w:r w:rsidRPr="00FC5C72">
              <w:rPr>
                <w:rFonts w:ascii="Sylfaen" w:hAnsi="Sylfaen"/>
                <w:noProof/>
                <w:sz w:val="24"/>
                <w:szCs w:val="24"/>
                <w:lang w:val="ka-GE"/>
              </w:rPr>
              <w:t xml:space="preserve"> სისტემური ემბოლია</w:t>
            </w:r>
            <w:r w:rsidRPr="00FC5C72">
              <w:rPr>
                <w:noProof/>
                <w:sz w:val="24"/>
                <w:szCs w:val="24"/>
              </w:rPr>
              <w:t>*</w:t>
            </w:r>
          </w:p>
        </w:tc>
        <w:tc>
          <w:tcPr>
            <w:tcW w:w="789" w:type="pct"/>
          </w:tcPr>
          <w:p w14:paraId="6EE5AA1E" w14:textId="77777777" w:rsidR="005D6E08" w:rsidRPr="00FC5C72" w:rsidRDefault="005D6E08" w:rsidP="00785B18">
            <w:pPr>
              <w:pStyle w:val="BMSTableText"/>
              <w:keepNext/>
              <w:spacing w:before="0" w:after="0"/>
              <w:contextualSpacing/>
              <w:jc w:val="both"/>
              <w:rPr>
                <w:noProof/>
                <w:sz w:val="24"/>
                <w:szCs w:val="24"/>
              </w:rPr>
            </w:pPr>
            <w:r w:rsidRPr="00FC5C72">
              <w:rPr>
                <w:noProof/>
                <w:sz w:val="24"/>
                <w:szCs w:val="24"/>
              </w:rPr>
              <w:t>51 (1,62)</w:t>
            </w:r>
          </w:p>
        </w:tc>
        <w:tc>
          <w:tcPr>
            <w:tcW w:w="913" w:type="pct"/>
          </w:tcPr>
          <w:p w14:paraId="7BBC43CB" w14:textId="77777777" w:rsidR="005D6E08" w:rsidRPr="00FC5C72" w:rsidRDefault="005D6E08" w:rsidP="00785B18">
            <w:pPr>
              <w:pStyle w:val="BMSTableText"/>
              <w:keepNext/>
              <w:spacing w:before="0" w:after="0"/>
              <w:contextualSpacing/>
              <w:jc w:val="both"/>
              <w:rPr>
                <w:noProof/>
                <w:sz w:val="24"/>
                <w:szCs w:val="24"/>
              </w:rPr>
            </w:pPr>
            <w:r w:rsidRPr="00FC5C72">
              <w:rPr>
                <w:noProof/>
                <w:sz w:val="24"/>
                <w:szCs w:val="24"/>
              </w:rPr>
              <w:t>113 (3,63)</w:t>
            </w:r>
          </w:p>
        </w:tc>
        <w:tc>
          <w:tcPr>
            <w:tcW w:w="987" w:type="pct"/>
          </w:tcPr>
          <w:p w14:paraId="0081CF8A" w14:textId="77777777" w:rsidR="005D6E08" w:rsidRPr="00FC5C72" w:rsidRDefault="005D6E08" w:rsidP="00785B18">
            <w:pPr>
              <w:pStyle w:val="BMSTableText"/>
              <w:keepNext/>
              <w:spacing w:before="0" w:after="0"/>
              <w:contextualSpacing/>
              <w:jc w:val="both"/>
              <w:rPr>
                <w:noProof/>
                <w:sz w:val="24"/>
                <w:szCs w:val="24"/>
              </w:rPr>
            </w:pPr>
            <w:r w:rsidRPr="00FC5C72">
              <w:rPr>
                <w:noProof/>
                <w:sz w:val="24"/>
                <w:szCs w:val="24"/>
              </w:rPr>
              <w:t>0,45(0,32, 0,62)</w:t>
            </w:r>
          </w:p>
        </w:tc>
        <w:tc>
          <w:tcPr>
            <w:tcW w:w="670" w:type="pct"/>
          </w:tcPr>
          <w:p w14:paraId="0F03A04D" w14:textId="77777777" w:rsidR="005D6E08" w:rsidRPr="00FC5C72" w:rsidRDefault="005D6E08" w:rsidP="00785B18">
            <w:pPr>
              <w:pStyle w:val="BMSTableText"/>
              <w:keepNext/>
              <w:spacing w:before="0" w:after="0"/>
              <w:contextualSpacing/>
              <w:jc w:val="both"/>
              <w:rPr>
                <w:noProof/>
                <w:sz w:val="24"/>
                <w:szCs w:val="24"/>
              </w:rPr>
            </w:pPr>
            <w:r w:rsidRPr="00FC5C72">
              <w:rPr>
                <w:noProof/>
                <w:sz w:val="24"/>
                <w:szCs w:val="24"/>
              </w:rPr>
              <w:t>&lt;0,0001</w:t>
            </w:r>
          </w:p>
        </w:tc>
      </w:tr>
      <w:tr w:rsidR="00FC5C72" w:rsidRPr="00FC5C72" w14:paraId="5F52B81D" w14:textId="77777777" w:rsidTr="00E071F2">
        <w:tc>
          <w:tcPr>
            <w:tcW w:w="1642" w:type="pct"/>
          </w:tcPr>
          <w:p w14:paraId="63A7F9CD" w14:textId="244FAFFB" w:rsidR="005D6E08" w:rsidRPr="00FC5C72" w:rsidRDefault="005D6E08" w:rsidP="00785B18">
            <w:pPr>
              <w:pStyle w:val="BMSTableText"/>
              <w:keepNext/>
              <w:spacing w:before="0" w:after="0"/>
              <w:ind w:left="270"/>
              <w:contextualSpacing/>
              <w:jc w:val="both"/>
              <w:rPr>
                <w:rFonts w:ascii="Sylfaen" w:hAnsi="Sylfaen"/>
                <w:noProof/>
                <w:sz w:val="24"/>
                <w:szCs w:val="24"/>
                <w:lang w:val="ka-GE"/>
              </w:rPr>
            </w:pPr>
            <w:r w:rsidRPr="00FC5C72">
              <w:rPr>
                <w:rFonts w:ascii="Sylfaen" w:hAnsi="Sylfaen"/>
                <w:noProof/>
                <w:sz w:val="24"/>
                <w:szCs w:val="24"/>
                <w:lang w:val="ka-GE"/>
              </w:rPr>
              <w:t>ინსულტი</w:t>
            </w:r>
          </w:p>
        </w:tc>
        <w:tc>
          <w:tcPr>
            <w:tcW w:w="789" w:type="pct"/>
          </w:tcPr>
          <w:p w14:paraId="3E271E6D" w14:textId="77777777" w:rsidR="005D6E08" w:rsidRPr="00FC5C72" w:rsidRDefault="005D6E08" w:rsidP="00785B18">
            <w:pPr>
              <w:pStyle w:val="BMSTableText"/>
              <w:spacing w:before="0" w:after="0"/>
              <w:contextualSpacing/>
              <w:jc w:val="both"/>
              <w:rPr>
                <w:noProof/>
                <w:sz w:val="24"/>
                <w:szCs w:val="24"/>
              </w:rPr>
            </w:pPr>
          </w:p>
        </w:tc>
        <w:tc>
          <w:tcPr>
            <w:tcW w:w="913" w:type="pct"/>
          </w:tcPr>
          <w:p w14:paraId="7DC721CC" w14:textId="77777777" w:rsidR="005D6E08" w:rsidRPr="00FC5C72" w:rsidRDefault="005D6E08" w:rsidP="00785B18">
            <w:pPr>
              <w:pStyle w:val="BMSTableText"/>
              <w:spacing w:before="0" w:after="0"/>
              <w:contextualSpacing/>
              <w:jc w:val="both"/>
              <w:rPr>
                <w:noProof/>
                <w:sz w:val="24"/>
                <w:szCs w:val="24"/>
              </w:rPr>
            </w:pPr>
          </w:p>
        </w:tc>
        <w:tc>
          <w:tcPr>
            <w:tcW w:w="987" w:type="pct"/>
          </w:tcPr>
          <w:p w14:paraId="5B688605" w14:textId="77777777" w:rsidR="005D6E08" w:rsidRPr="00FC5C72" w:rsidRDefault="005D6E08" w:rsidP="00785B18">
            <w:pPr>
              <w:pStyle w:val="BMSTableText"/>
              <w:keepNext/>
              <w:widowControl w:val="0"/>
              <w:spacing w:before="0" w:after="0"/>
              <w:contextualSpacing/>
              <w:jc w:val="both"/>
              <w:rPr>
                <w:noProof/>
                <w:sz w:val="24"/>
                <w:szCs w:val="24"/>
              </w:rPr>
            </w:pPr>
          </w:p>
        </w:tc>
        <w:tc>
          <w:tcPr>
            <w:tcW w:w="670" w:type="pct"/>
          </w:tcPr>
          <w:p w14:paraId="53EA51D8" w14:textId="77777777" w:rsidR="005D6E08" w:rsidRPr="00FC5C72" w:rsidRDefault="005D6E08" w:rsidP="00785B18">
            <w:pPr>
              <w:pStyle w:val="BMSTableText"/>
              <w:keepNext/>
              <w:widowControl w:val="0"/>
              <w:spacing w:before="0" w:after="0"/>
              <w:contextualSpacing/>
              <w:jc w:val="both"/>
              <w:rPr>
                <w:noProof/>
                <w:sz w:val="24"/>
                <w:szCs w:val="24"/>
              </w:rPr>
            </w:pPr>
          </w:p>
        </w:tc>
      </w:tr>
      <w:tr w:rsidR="00FC5C72" w:rsidRPr="00FC5C72" w14:paraId="249E838C" w14:textId="77777777" w:rsidTr="00E071F2">
        <w:tc>
          <w:tcPr>
            <w:tcW w:w="1642" w:type="pct"/>
          </w:tcPr>
          <w:p w14:paraId="036E18EA" w14:textId="5D310C38" w:rsidR="005D6E08" w:rsidRPr="00FC5C72" w:rsidRDefault="005D6E08" w:rsidP="00785B18">
            <w:pPr>
              <w:pStyle w:val="BMSTableText"/>
              <w:keepNext/>
              <w:spacing w:before="0" w:after="0"/>
              <w:ind w:left="544"/>
              <w:contextualSpacing/>
              <w:jc w:val="both"/>
              <w:rPr>
                <w:rFonts w:ascii="Sylfaen" w:hAnsi="Sylfaen"/>
                <w:noProof/>
                <w:sz w:val="24"/>
                <w:szCs w:val="24"/>
                <w:lang w:val="ka-GE"/>
              </w:rPr>
            </w:pPr>
            <w:r w:rsidRPr="00FC5C72">
              <w:rPr>
                <w:rFonts w:ascii="Sylfaen" w:hAnsi="Sylfaen"/>
                <w:noProof/>
                <w:sz w:val="24"/>
                <w:szCs w:val="24"/>
                <w:lang w:val="ka-GE"/>
              </w:rPr>
              <w:t>იშემიური ან დაუდგენელი ტიპის</w:t>
            </w:r>
          </w:p>
        </w:tc>
        <w:tc>
          <w:tcPr>
            <w:tcW w:w="789" w:type="pct"/>
          </w:tcPr>
          <w:p w14:paraId="31BE7D75"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43 (1,37)</w:t>
            </w:r>
          </w:p>
        </w:tc>
        <w:tc>
          <w:tcPr>
            <w:tcW w:w="913" w:type="pct"/>
          </w:tcPr>
          <w:p w14:paraId="73DFD109"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97 (3,11)</w:t>
            </w:r>
          </w:p>
        </w:tc>
        <w:tc>
          <w:tcPr>
            <w:tcW w:w="987" w:type="pct"/>
          </w:tcPr>
          <w:p w14:paraId="6C6336CF"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0,44(0,31, 0,63)</w:t>
            </w:r>
          </w:p>
        </w:tc>
        <w:tc>
          <w:tcPr>
            <w:tcW w:w="670" w:type="pct"/>
          </w:tcPr>
          <w:p w14:paraId="353A9CCF" w14:textId="77777777" w:rsidR="005D6E08" w:rsidRPr="00FC5C72" w:rsidRDefault="005D6E08" w:rsidP="00785B18">
            <w:pPr>
              <w:pStyle w:val="BMSTableText"/>
              <w:spacing w:before="0" w:after="0"/>
              <w:contextualSpacing/>
              <w:jc w:val="both"/>
              <w:rPr>
                <w:noProof/>
                <w:sz w:val="24"/>
                <w:szCs w:val="24"/>
              </w:rPr>
            </w:pPr>
          </w:p>
        </w:tc>
      </w:tr>
      <w:tr w:rsidR="00FC5C72" w:rsidRPr="00FC5C72" w14:paraId="21F066DF" w14:textId="77777777" w:rsidTr="00E071F2">
        <w:tc>
          <w:tcPr>
            <w:tcW w:w="1642" w:type="pct"/>
          </w:tcPr>
          <w:p w14:paraId="70295D3C" w14:textId="1B78DB5F" w:rsidR="005D6E08" w:rsidRPr="00FC5C72" w:rsidRDefault="005D6E08" w:rsidP="00785B18">
            <w:pPr>
              <w:pStyle w:val="BMSTableText"/>
              <w:keepNext/>
              <w:spacing w:before="0" w:after="0"/>
              <w:ind w:left="540"/>
              <w:contextualSpacing/>
              <w:jc w:val="both"/>
              <w:rPr>
                <w:rFonts w:ascii="Sylfaen" w:hAnsi="Sylfaen"/>
                <w:noProof/>
                <w:sz w:val="24"/>
                <w:szCs w:val="24"/>
                <w:lang w:val="ka-GE"/>
              </w:rPr>
            </w:pPr>
            <w:r w:rsidRPr="00FC5C72">
              <w:rPr>
                <w:rFonts w:ascii="Sylfaen" w:hAnsi="Sylfaen"/>
                <w:noProof/>
                <w:sz w:val="24"/>
                <w:szCs w:val="24"/>
                <w:lang w:val="ka-GE"/>
              </w:rPr>
              <w:t xml:space="preserve">ჰემორაგიული </w:t>
            </w:r>
          </w:p>
        </w:tc>
        <w:tc>
          <w:tcPr>
            <w:tcW w:w="789" w:type="pct"/>
          </w:tcPr>
          <w:p w14:paraId="7DEABCA8"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6 (0,19)</w:t>
            </w:r>
          </w:p>
        </w:tc>
        <w:tc>
          <w:tcPr>
            <w:tcW w:w="913" w:type="pct"/>
          </w:tcPr>
          <w:p w14:paraId="31546E98"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9 (0,28)</w:t>
            </w:r>
          </w:p>
        </w:tc>
        <w:tc>
          <w:tcPr>
            <w:tcW w:w="987" w:type="pct"/>
          </w:tcPr>
          <w:p w14:paraId="0F2396E9"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0,67(0,24, 1,88)</w:t>
            </w:r>
          </w:p>
        </w:tc>
        <w:tc>
          <w:tcPr>
            <w:tcW w:w="670" w:type="pct"/>
          </w:tcPr>
          <w:p w14:paraId="63612C61"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 xml:space="preserve">    </w:t>
            </w:r>
          </w:p>
        </w:tc>
      </w:tr>
      <w:tr w:rsidR="00FC5C72" w:rsidRPr="00FC5C72" w14:paraId="1F618123" w14:textId="77777777" w:rsidTr="00E071F2">
        <w:tc>
          <w:tcPr>
            <w:tcW w:w="1642" w:type="pct"/>
          </w:tcPr>
          <w:p w14:paraId="1EA7467D" w14:textId="52ADEDFE" w:rsidR="005D6E08" w:rsidRPr="00FC5C72" w:rsidRDefault="005D6E08" w:rsidP="00785B18">
            <w:pPr>
              <w:pStyle w:val="BMSTableText"/>
              <w:keepNext/>
              <w:spacing w:before="0" w:after="0"/>
              <w:ind w:left="270"/>
              <w:contextualSpacing/>
              <w:jc w:val="both"/>
              <w:rPr>
                <w:rFonts w:ascii="Sylfaen" w:hAnsi="Sylfaen"/>
                <w:noProof/>
                <w:sz w:val="24"/>
                <w:szCs w:val="24"/>
                <w:lang w:val="ka-GE"/>
              </w:rPr>
            </w:pPr>
            <w:r w:rsidRPr="00FC5C72">
              <w:rPr>
                <w:rFonts w:ascii="Sylfaen" w:hAnsi="Sylfaen"/>
                <w:noProof/>
                <w:sz w:val="24"/>
                <w:szCs w:val="24"/>
                <w:lang w:val="ka-GE"/>
              </w:rPr>
              <w:t xml:space="preserve">სისტემური ემბოლია </w:t>
            </w:r>
          </w:p>
        </w:tc>
        <w:tc>
          <w:tcPr>
            <w:tcW w:w="789" w:type="pct"/>
          </w:tcPr>
          <w:p w14:paraId="1247FC36"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2 (0,06)</w:t>
            </w:r>
          </w:p>
        </w:tc>
        <w:tc>
          <w:tcPr>
            <w:tcW w:w="913" w:type="pct"/>
          </w:tcPr>
          <w:p w14:paraId="6EA34C13"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13 (0,41)</w:t>
            </w:r>
          </w:p>
        </w:tc>
        <w:tc>
          <w:tcPr>
            <w:tcW w:w="987" w:type="pct"/>
          </w:tcPr>
          <w:p w14:paraId="09AA7868"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0,15(0,03, 0,68)</w:t>
            </w:r>
          </w:p>
        </w:tc>
        <w:tc>
          <w:tcPr>
            <w:tcW w:w="670" w:type="pct"/>
          </w:tcPr>
          <w:p w14:paraId="6BD9D8DD" w14:textId="77777777" w:rsidR="005D6E08" w:rsidRPr="00FC5C72" w:rsidRDefault="005D6E08" w:rsidP="00785B18">
            <w:pPr>
              <w:pStyle w:val="BMSTableText"/>
              <w:spacing w:before="0" w:after="0"/>
              <w:contextualSpacing/>
              <w:jc w:val="both"/>
              <w:rPr>
                <w:strike/>
                <w:noProof/>
                <w:sz w:val="24"/>
                <w:szCs w:val="24"/>
              </w:rPr>
            </w:pPr>
          </w:p>
        </w:tc>
      </w:tr>
      <w:tr w:rsidR="00FC5C72" w:rsidRPr="00FC5C72" w14:paraId="5122EEB1" w14:textId="77777777" w:rsidTr="00E071F2">
        <w:tc>
          <w:tcPr>
            <w:tcW w:w="1642" w:type="pct"/>
          </w:tcPr>
          <w:p w14:paraId="7AA3D016" w14:textId="101F783E" w:rsidR="005D6E08" w:rsidRPr="00FC5C72" w:rsidRDefault="005D6E08" w:rsidP="00785B18">
            <w:pPr>
              <w:pStyle w:val="BMSTableText"/>
              <w:keepNext/>
              <w:spacing w:before="0" w:after="0"/>
              <w:contextualSpacing/>
              <w:jc w:val="both"/>
              <w:rPr>
                <w:noProof/>
                <w:sz w:val="24"/>
                <w:szCs w:val="24"/>
              </w:rPr>
            </w:pPr>
            <w:r w:rsidRPr="00FC5C72">
              <w:rPr>
                <w:rFonts w:ascii="Sylfaen" w:hAnsi="Sylfaen"/>
                <w:noProof/>
                <w:sz w:val="24"/>
                <w:szCs w:val="24"/>
                <w:lang w:val="ka-GE"/>
              </w:rPr>
              <w:t>ინსულტი, სისტემური ემბოლია</w:t>
            </w:r>
            <w:r w:rsidRPr="00FC5C72">
              <w:rPr>
                <w:noProof/>
                <w:sz w:val="24"/>
                <w:szCs w:val="24"/>
              </w:rPr>
              <w:t xml:space="preserve">, </w:t>
            </w:r>
            <w:r w:rsidRPr="00FC5C72">
              <w:rPr>
                <w:rFonts w:ascii="Sylfaen" w:hAnsi="Sylfaen"/>
                <w:noProof/>
                <w:sz w:val="24"/>
                <w:szCs w:val="24"/>
                <w:lang w:val="ka-GE"/>
              </w:rPr>
              <w:t>მ/ი ან სიკვდილი სისხლძარღვოვანი გართულების მიზეზით</w:t>
            </w:r>
            <w:r w:rsidRPr="00FC5C72">
              <w:rPr>
                <w:noProof/>
                <w:sz w:val="24"/>
                <w:szCs w:val="24"/>
              </w:rPr>
              <w:t xml:space="preserve"> </w:t>
            </w:r>
            <w:r w:rsidRPr="00FC5C72">
              <w:rPr>
                <w:b/>
                <w:noProof/>
                <w:sz w:val="24"/>
                <w:szCs w:val="24"/>
              </w:rPr>
              <w:t>*</w:t>
            </w:r>
            <w:r w:rsidRPr="00FC5C72">
              <w:rPr>
                <w:noProof/>
                <w:sz w:val="24"/>
                <w:szCs w:val="24"/>
                <w:vertAlign w:val="superscript"/>
                <w:rtl/>
              </w:rPr>
              <w:t>†</w:t>
            </w:r>
          </w:p>
        </w:tc>
        <w:tc>
          <w:tcPr>
            <w:tcW w:w="789" w:type="pct"/>
          </w:tcPr>
          <w:p w14:paraId="7972DAEB"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132 (4,21)</w:t>
            </w:r>
          </w:p>
        </w:tc>
        <w:tc>
          <w:tcPr>
            <w:tcW w:w="913" w:type="pct"/>
          </w:tcPr>
          <w:p w14:paraId="46455E2F"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197 (6,35)</w:t>
            </w:r>
          </w:p>
        </w:tc>
        <w:tc>
          <w:tcPr>
            <w:tcW w:w="987" w:type="pct"/>
          </w:tcPr>
          <w:p w14:paraId="6E3B11CE" w14:textId="77777777" w:rsidR="005D6E08" w:rsidRPr="00FC5C72" w:rsidRDefault="005D6E08" w:rsidP="00785B18">
            <w:pPr>
              <w:pStyle w:val="BMSTableText"/>
              <w:spacing w:before="0" w:after="0"/>
              <w:contextualSpacing/>
              <w:jc w:val="both"/>
              <w:rPr>
                <w:strike/>
                <w:noProof/>
                <w:sz w:val="24"/>
                <w:szCs w:val="24"/>
              </w:rPr>
            </w:pPr>
            <w:r w:rsidRPr="00FC5C72">
              <w:rPr>
                <w:noProof/>
                <w:sz w:val="24"/>
                <w:szCs w:val="24"/>
              </w:rPr>
              <w:t>0,66(0,53, 0,83)</w:t>
            </w:r>
          </w:p>
        </w:tc>
        <w:tc>
          <w:tcPr>
            <w:tcW w:w="670" w:type="pct"/>
          </w:tcPr>
          <w:p w14:paraId="6B26F8C8" w14:textId="77777777" w:rsidR="005D6E08" w:rsidRPr="00FC5C72" w:rsidRDefault="005D6E08" w:rsidP="00785B18">
            <w:pPr>
              <w:pStyle w:val="BMSTableText"/>
              <w:spacing w:before="0" w:after="0"/>
              <w:contextualSpacing/>
              <w:jc w:val="both"/>
              <w:rPr>
                <w:strike/>
                <w:noProof/>
                <w:sz w:val="24"/>
                <w:szCs w:val="24"/>
              </w:rPr>
            </w:pPr>
            <w:r w:rsidRPr="00FC5C72">
              <w:rPr>
                <w:noProof/>
                <w:sz w:val="24"/>
                <w:szCs w:val="24"/>
              </w:rPr>
              <w:t>0,003</w:t>
            </w:r>
          </w:p>
        </w:tc>
      </w:tr>
      <w:tr w:rsidR="00FC5C72" w:rsidRPr="00FC5C72" w14:paraId="33AE6A34" w14:textId="77777777" w:rsidTr="00E071F2">
        <w:tc>
          <w:tcPr>
            <w:tcW w:w="1642" w:type="pct"/>
          </w:tcPr>
          <w:p w14:paraId="442BD4A4" w14:textId="6C054DBD" w:rsidR="005D6E08" w:rsidRPr="00FC5C72" w:rsidRDefault="005D6E08" w:rsidP="00785B18">
            <w:pPr>
              <w:keepNext/>
              <w:widowControl w:val="0"/>
              <w:spacing w:after="0" w:line="240" w:lineRule="auto"/>
              <w:ind w:left="274"/>
              <w:contextualSpacing/>
              <w:jc w:val="both"/>
              <w:rPr>
                <w:rFonts w:ascii="Sylfaen" w:hAnsi="Sylfaen"/>
                <w:noProof/>
                <w:sz w:val="24"/>
                <w:szCs w:val="24"/>
              </w:rPr>
            </w:pPr>
            <w:r w:rsidRPr="00FC5C72">
              <w:rPr>
                <w:rFonts w:ascii="Sylfaen" w:hAnsi="Sylfaen"/>
                <w:noProof/>
                <w:sz w:val="24"/>
                <w:szCs w:val="24"/>
              </w:rPr>
              <w:t>მიოკარდიუმის ინფარქტი</w:t>
            </w:r>
          </w:p>
        </w:tc>
        <w:tc>
          <w:tcPr>
            <w:tcW w:w="789" w:type="pct"/>
          </w:tcPr>
          <w:p w14:paraId="60897756"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24 (0,76)</w:t>
            </w:r>
          </w:p>
        </w:tc>
        <w:tc>
          <w:tcPr>
            <w:tcW w:w="913" w:type="pct"/>
          </w:tcPr>
          <w:p w14:paraId="14B3FD54"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28 (0,89)</w:t>
            </w:r>
          </w:p>
        </w:tc>
        <w:tc>
          <w:tcPr>
            <w:tcW w:w="987" w:type="pct"/>
          </w:tcPr>
          <w:p w14:paraId="580A463F"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0,86(0,50, 1,48)</w:t>
            </w:r>
          </w:p>
        </w:tc>
        <w:tc>
          <w:tcPr>
            <w:tcW w:w="670" w:type="pct"/>
          </w:tcPr>
          <w:p w14:paraId="1D35CAB6" w14:textId="77777777" w:rsidR="005D6E08" w:rsidRPr="00FC5C72" w:rsidRDefault="005D6E08" w:rsidP="00785B18">
            <w:pPr>
              <w:pStyle w:val="BMSTableText"/>
              <w:spacing w:before="0" w:after="0"/>
              <w:contextualSpacing/>
              <w:jc w:val="both"/>
              <w:rPr>
                <w:noProof/>
                <w:sz w:val="24"/>
                <w:szCs w:val="24"/>
              </w:rPr>
            </w:pPr>
          </w:p>
        </w:tc>
      </w:tr>
      <w:tr w:rsidR="00FC5C72" w:rsidRPr="00FC5C72" w14:paraId="47524219" w14:textId="77777777" w:rsidTr="00E071F2">
        <w:tc>
          <w:tcPr>
            <w:tcW w:w="1642" w:type="pct"/>
          </w:tcPr>
          <w:p w14:paraId="452D2EAC" w14:textId="67992F82" w:rsidR="005D6E08" w:rsidRPr="00FC5C72" w:rsidRDefault="005D6E08" w:rsidP="00785B18">
            <w:pPr>
              <w:keepNext/>
              <w:widowControl w:val="0"/>
              <w:spacing w:after="0" w:line="240" w:lineRule="auto"/>
              <w:ind w:left="274"/>
              <w:contextualSpacing/>
              <w:jc w:val="both"/>
              <w:rPr>
                <w:rFonts w:ascii="Sylfaen" w:hAnsi="Sylfaen"/>
                <w:noProof/>
                <w:sz w:val="24"/>
                <w:szCs w:val="24"/>
              </w:rPr>
            </w:pPr>
            <w:r w:rsidRPr="00FC5C72">
              <w:rPr>
                <w:rFonts w:ascii="Sylfaen" w:hAnsi="Sylfaen"/>
                <w:noProof/>
                <w:sz w:val="24"/>
                <w:szCs w:val="24"/>
              </w:rPr>
              <w:t>სიკვდილი სისხლძარღვოვანი გართულების მიზეზით</w:t>
            </w:r>
          </w:p>
        </w:tc>
        <w:tc>
          <w:tcPr>
            <w:tcW w:w="789" w:type="pct"/>
          </w:tcPr>
          <w:p w14:paraId="716457E5"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84 (2,65)</w:t>
            </w:r>
          </w:p>
        </w:tc>
        <w:tc>
          <w:tcPr>
            <w:tcW w:w="913" w:type="pct"/>
          </w:tcPr>
          <w:p w14:paraId="318CDD1C"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96 (3,03)</w:t>
            </w:r>
          </w:p>
        </w:tc>
        <w:tc>
          <w:tcPr>
            <w:tcW w:w="987" w:type="pct"/>
          </w:tcPr>
          <w:p w14:paraId="040B4AD3"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0,87(0,65, 1,17)</w:t>
            </w:r>
          </w:p>
        </w:tc>
        <w:tc>
          <w:tcPr>
            <w:tcW w:w="670" w:type="pct"/>
          </w:tcPr>
          <w:p w14:paraId="4042375A" w14:textId="77777777" w:rsidR="005D6E08" w:rsidRPr="00FC5C72" w:rsidRDefault="005D6E08" w:rsidP="00785B18">
            <w:pPr>
              <w:pStyle w:val="BMSTableText"/>
              <w:spacing w:before="0" w:after="0"/>
              <w:contextualSpacing/>
              <w:jc w:val="both"/>
              <w:rPr>
                <w:strike/>
                <w:noProof/>
                <w:sz w:val="24"/>
                <w:szCs w:val="24"/>
              </w:rPr>
            </w:pPr>
          </w:p>
        </w:tc>
      </w:tr>
      <w:tr w:rsidR="00FC5C72" w:rsidRPr="00FC5C72" w14:paraId="0296C5E3" w14:textId="77777777" w:rsidTr="00E071F2">
        <w:tc>
          <w:tcPr>
            <w:tcW w:w="1642" w:type="pct"/>
          </w:tcPr>
          <w:p w14:paraId="39BEA115" w14:textId="589547AC" w:rsidR="005D6E08" w:rsidRPr="00FC5C72" w:rsidRDefault="005D6E08" w:rsidP="00785B18">
            <w:pPr>
              <w:pStyle w:val="BMSTableText"/>
              <w:keepNext/>
              <w:spacing w:before="0" w:after="0"/>
              <w:contextualSpacing/>
              <w:jc w:val="both"/>
              <w:rPr>
                <w:noProof/>
                <w:sz w:val="24"/>
                <w:szCs w:val="24"/>
              </w:rPr>
            </w:pPr>
            <w:r w:rsidRPr="00FC5C72">
              <w:rPr>
                <w:rFonts w:ascii="Sylfaen" w:hAnsi="Sylfaen"/>
                <w:noProof/>
                <w:sz w:val="24"/>
                <w:szCs w:val="24"/>
                <w:lang w:val="ka-GE"/>
              </w:rPr>
              <w:t>სიკვდილი ნებისმიერი მიზეზით</w:t>
            </w:r>
            <w:r w:rsidRPr="00FC5C72">
              <w:rPr>
                <w:noProof/>
                <w:sz w:val="24"/>
                <w:szCs w:val="24"/>
                <w:vertAlign w:val="superscript"/>
                <w:rtl/>
                <w:cs/>
              </w:rPr>
              <w:t>†</w:t>
            </w:r>
          </w:p>
        </w:tc>
        <w:tc>
          <w:tcPr>
            <w:tcW w:w="789" w:type="pct"/>
          </w:tcPr>
          <w:p w14:paraId="613680F6"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111 (3,51)</w:t>
            </w:r>
          </w:p>
        </w:tc>
        <w:tc>
          <w:tcPr>
            <w:tcW w:w="913" w:type="pct"/>
          </w:tcPr>
          <w:p w14:paraId="02FE5183" w14:textId="77777777" w:rsidR="005D6E08" w:rsidRPr="00FC5C72" w:rsidRDefault="005D6E08" w:rsidP="00785B18">
            <w:pPr>
              <w:pStyle w:val="BMSTableText"/>
              <w:spacing w:before="0" w:after="0"/>
              <w:contextualSpacing/>
              <w:jc w:val="both"/>
              <w:rPr>
                <w:strike/>
                <w:noProof/>
                <w:sz w:val="24"/>
                <w:szCs w:val="24"/>
              </w:rPr>
            </w:pPr>
            <w:r w:rsidRPr="00FC5C72">
              <w:rPr>
                <w:noProof/>
                <w:sz w:val="24"/>
                <w:szCs w:val="24"/>
              </w:rPr>
              <w:t>140 (4,42)</w:t>
            </w:r>
          </w:p>
        </w:tc>
        <w:tc>
          <w:tcPr>
            <w:tcW w:w="987" w:type="pct"/>
          </w:tcPr>
          <w:p w14:paraId="7189B088" w14:textId="77777777" w:rsidR="005D6E08" w:rsidRPr="00FC5C72" w:rsidRDefault="005D6E08" w:rsidP="00785B18">
            <w:pPr>
              <w:pStyle w:val="BMSTableText"/>
              <w:spacing w:before="0" w:after="0"/>
              <w:contextualSpacing/>
              <w:jc w:val="both"/>
              <w:rPr>
                <w:noProof/>
                <w:sz w:val="24"/>
                <w:szCs w:val="24"/>
              </w:rPr>
            </w:pPr>
            <w:r w:rsidRPr="00FC5C72">
              <w:rPr>
                <w:noProof/>
                <w:sz w:val="24"/>
                <w:szCs w:val="24"/>
              </w:rPr>
              <w:t>0,79(0,62, 1,02)</w:t>
            </w:r>
          </w:p>
        </w:tc>
        <w:tc>
          <w:tcPr>
            <w:tcW w:w="670" w:type="pct"/>
          </w:tcPr>
          <w:p w14:paraId="4A46361D" w14:textId="77777777" w:rsidR="005D6E08" w:rsidRPr="00FC5C72" w:rsidRDefault="005D6E08" w:rsidP="00785B18">
            <w:pPr>
              <w:pStyle w:val="BMSTableText"/>
              <w:spacing w:before="0" w:after="0"/>
              <w:contextualSpacing/>
              <w:jc w:val="both"/>
              <w:rPr>
                <w:strike/>
                <w:noProof/>
                <w:sz w:val="24"/>
                <w:szCs w:val="24"/>
              </w:rPr>
            </w:pPr>
            <w:r w:rsidRPr="00FC5C72">
              <w:rPr>
                <w:noProof/>
                <w:sz w:val="24"/>
                <w:szCs w:val="24"/>
              </w:rPr>
              <w:t>0,068</w:t>
            </w:r>
          </w:p>
        </w:tc>
      </w:tr>
    </w:tbl>
    <w:p w14:paraId="37A95988" w14:textId="014FF69D" w:rsidR="005D6E08" w:rsidRPr="00FC5C72" w:rsidRDefault="005D6E08" w:rsidP="00785B18">
      <w:pPr>
        <w:spacing w:after="0" w:line="240" w:lineRule="auto"/>
        <w:jc w:val="both"/>
        <w:rPr>
          <w:noProof/>
          <w:sz w:val="24"/>
          <w:szCs w:val="24"/>
        </w:rPr>
      </w:pPr>
      <w:r w:rsidRPr="00FC5C72">
        <w:rPr>
          <w:sz w:val="24"/>
          <w:szCs w:val="24"/>
        </w:rPr>
        <w:t xml:space="preserve">* შეფასდა </w:t>
      </w:r>
      <w:r w:rsidR="003C6E67" w:rsidRPr="00FC5C72">
        <w:rPr>
          <w:sz w:val="24"/>
          <w:szCs w:val="24"/>
        </w:rPr>
        <w:t xml:space="preserve">თანმიმდევრული კვლევების სტრატეგის გამოყენებით, რომელიც შემუშავდა კვლევაში </w:t>
      </w:r>
      <w:r w:rsidR="003C6E67" w:rsidRPr="00FC5C72">
        <w:rPr>
          <w:noProof/>
          <w:sz w:val="24"/>
          <w:szCs w:val="24"/>
          <w:lang w:val="en-US"/>
        </w:rPr>
        <w:t xml:space="preserve">I </w:t>
      </w:r>
      <w:r w:rsidR="003C6E67" w:rsidRPr="00FC5C72">
        <w:rPr>
          <w:noProof/>
          <w:sz w:val="24"/>
          <w:szCs w:val="24"/>
        </w:rPr>
        <w:t>რიგის საერთო შეცდომის რისკის შესამცირებლად.</w:t>
      </w:r>
    </w:p>
    <w:p w14:paraId="0ACDB469" w14:textId="1BE67341" w:rsidR="003C6E67" w:rsidRPr="00FC5C72" w:rsidRDefault="003C6E67" w:rsidP="00785B18">
      <w:pPr>
        <w:pStyle w:val="EMEABodyText"/>
        <w:contextualSpacing/>
        <w:jc w:val="both"/>
        <w:rPr>
          <w:rFonts w:asciiTheme="minorHAnsi" w:hAnsiTheme="minorHAnsi"/>
          <w:sz w:val="24"/>
          <w:szCs w:val="24"/>
          <w:lang w:val="ka-GE"/>
        </w:rPr>
      </w:pPr>
      <w:r w:rsidRPr="00FC5C72">
        <w:rPr>
          <w:sz w:val="24"/>
          <w:szCs w:val="24"/>
          <w:rtl/>
        </w:rPr>
        <w:t xml:space="preserve">† </w:t>
      </w:r>
      <w:r w:rsidRPr="00FC5C72">
        <w:rPr>
          <w:sz w:val="24"/>
          <w:szCs w:val="24"/>
          <w:lang w:val="en-US"/>
        </w:rPr>
        <w:t xml:space="preserve"> </w:t>
      </w:r>
      <w:r w:rsidRPr="00FC5C72">
        <w:rPr>
          <w:rFonts w:asciiTheme="minorHAnsi" w:hAnsiTheme="minorHAnsi"/>
          <w:sz w:val="24"/>
          <w:szCs w:val="24"/>
          <w:lang w:val="ka-GE"/>
        </w:rPr>
        <w:t>მეორადი საბოლოო წერტილი</w:t>
      </w:r>
    </w:p>
    <w:p w14:paraId="73B48780" w14:textId="6D595364" w:rsidR="003C6E67" w:rsidRPr="00FC5C72" w:rsidRDefault="003C6E67" w:rsidP="00785B18">
      <w:pPr>
        <w:spacing w:after="0" w:line="240" w:lineRule="auto"/>
        <w:jc w:val="both"/>
        <w:rPr>
          <w:sz w:val="24"/>
          <w:szCs w:val="24"/>
          <w:lang w:val="en-US"/>
        </w:rPr>
      </w:pPr>
    </w:p>
    <w:p w14:paraId="16E1093C" w14:textId="2F9C4707" w:rsidR="003C6E67" w:rsidRPr="00FC5C72" w:rsidRDefault="003C6E67" w:rsidP="00785B18">
      <w:pPr>
        <w:spacing w:after="0" w:line="240" w:lineRule="auto"/>
        <w:jc w:val="both"/>
        <w:rPr>
          <w:sz w:val="24"/>
          <w:szCs w:val="24"/>
        </w:rPr>
      </w:pPr>
      <w:r w:rsidRPr="00FC5C72">
        <w:rPr>
          <w:sz w:val="24"/>
          <w:szCs w:val="24"/>
        </w:rPr>
        <w:t xml:space="preserve">მნიშვნელოვანი სისხლდენის განვითარების სიხშირეში სტატისტიკურად მნიშვნელოვანი განსხვავება აპიქსაბანსა და ასმ-ს შორის არ იყო (იხ. ცხრილი 7). </w:t>
      </w:r>
    </w:p>
    <w:p w14:paraId="195D9211" w14:textId="35B94455" w:rsidR="003C6E67" w:rsidRPr="00FC5C72" w:rsidRDefault="003C6E67" w:rsidP="00785B18">
      <w:pPr>
        <w:spacing w:after="0" w:line="240" w:lineRule="auto"/>
        <w:jc w:val="both"/>
        <w:rPr>
          <w:sz w:val="24"/>
          <w:szCs w:val="24"/>
        </w:rPr>
      </w:pPr>
    </w:p>
    <w:p w14:paraId="1F7F4686" w14:textId="457A3B01" w:rsidR="003C6E67" w:rsidRPr="00FC5C72" w:rsidRDefault="003C6E67" w:rsidP="00785B18">
      <w:pPr>
        <w:spacing w:after="0" w:line="240" w:lineRule="auto"/>
        <w:jc w:val="both"/>
        <w:rPr>
          <w:b/>
          <w:noProof/>
          <w:szCs w:val="24"/>
        </w:rPr>
      </w:pPr>
      <w:r w:rsidRPr="00FC5C72">
        <w:rPr>
          <w:b/>
          <w:bCs/>
          <w:sz w:val="24"/>
          <w:szCs w:val="24"/>
        </w:rPr>
        <w:t>ცხრილი 7. სისხლდენის ეპიზოდები წინაგულების ფიბრილაციის მქონე პაციენტებში კვლევაში</w:t>
      </w:r>
      <w:r w:rsidRPr="00FC5C72">
        <w:rPr>
          <w:sz w:val="24"/>
          <w:szCs w:val="24"/>
        </w:rPr>
        <w:t xml:space="preserve"> </w:t>
      </w:r>
      <w:r w:rsidRPr="00FC5C72">
        <w:rPr>
          <w:b/>
          <w:noProof/>
          <w:szCs w:val="24"/>
        </w:rPr>
        <w:t>AVERROES</w:t>
      </w:r>
    </w:p>
    <w:p w14:paraId="7D366169" w14:textId="2A44075C" w:rsidR="003C6E67" w:rsidRPr="00FC5C72" w:rsidRDefault="003C6E67" w:rsidP="00785B18">
      <w:pPr>
        <w:spacing w:after="0" w:line="240" w:lineRule="auto"/>
        <w:jc w:val="both"/>
        <w:rPr>
          <w:b/>
          <w:noProof/>
          <w:szCs w:val="24"/>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42"/>
        <w:gridCol w:w="1724"/>
        <w:gridCol w:w="1568"/>
        <w:gridCol w:w="2508"/>
        <w:gridCol w:w="1254"/>
      </w:tblGrid>
      <w:tr w:rsidR="00FC5C72" w:rsidRPr="00FC5C72" w14:paraId="71E9BF92" w14:textId="77777777" w:rsidTr="00B0745D">
        <w:trPr>
          <w:trHeight w:val="234"/>
        </w:trPr>
        <w:tc>
          <w:tcPr>
            <w:tcW w:w="2942" w:type="dxa"/>
          </w:tcPr>
          <w:p w14:paraId="0826220D" w14:textId="77777777" w:rsidR="003C6E67" w:rsidRPr="00FC5C72" w:rsidRDefault="003C6E67" w:rsidP="00785B18">
            <w:pPr>
              <w:pStyle w:val="BMSTableText"/>
              <w:keepNext/>
              <w:spacing w:before="0" w:after="0"/>
              <w:contextualSpacing/>
              <w:jc w:val="both"/>
              <w:rPr>
                <w:b/>
                <w:noProof/>
                <w:sz w:val="24"/>
                <w:szCs w:val="24"/>
              </w:rPr>
            </w:pPr>
          </w:p>
        </w:tc>
        <w:tc>
          <w:tcPr>
            <w:tcW w:w="1724" w:type="dxa"/>
          </w:tcPr>
          <w:p w14:paraId="39F50C0A" w14:textId="19152710" w:rsidR="003C6E67" w:rsidRPr="00FC5C72" w:rsidRDefault="003C6E67" w:rsidP="00785B18">
            <w:pPr>
              <w:pStyle w:val="BMSTableText"/>
              <w:keepNext/>
              <w:spacing w:before="0" w:after="0"/>
              <w:contextualSpacing/>
              <w:jc w:val="both"/>
              <w:rPr>
                <w:rFonts w:ascii="Sylfaen" w:hAnsi="Sylfaen"/>
                <w:b/>
                <w:noProof/>
                <w:sz w:val="24"/>
                <w:szCs w:val="24"/>
                <w:lang w:val="ka-GE"/>
              </w:rPr>
            </w:pPr>
            <w:r w:rsidRPr="00FC5C72">
              <w:rPr>
                <w:rFonts w:ascii="Sylfaen" w:hAnsi="Sylfaen"/>
                <w:b/>
                <w:noProof/>
                <w:sz w:val="24"/>
                <w:szCs w:val="24"/>
                <w:lang w:val="ka-GE"/>
              </w:rPr>
              <w:t>აპიქსაბანი</w:t>
            </w:r>
          </w:p>
          <w:p w14:paraId="08DBA1C5" w14:textId="77777777" w:rsidR="003C6E67" w:rsidRPr="00FC5C72" w:rsidRDefault="003C6E67" w:rsidP="00785B18">
            <w:pPr>
              <w:pStyle w:val="BMSTableText"/>
              <w:keepNext/>
              <w:spacing w:before="0" w:after="0"/>
              <w:contextualSpacing/>
              <w:jc w:val="both"/>
              <w:rPr>
                <w:b/>
                <w:noProof/>
                <w:sz w:val="24"/>
                <w:szCs w:val="24"/>
              </w:rPr>
            </w:pPr>
            <w:r w:rsidRPr="00FC5C72">
              <w:rPr>
                <w:b/>
                <w:noProof/>
                <w:sz w:val="24"/>
                <w:szCs w:val="24"/>
              </w:rPr>
              <w:t>N=2798</w:t>
            </w:r>
          </w:p>
          <w:p w14:paraId="6CD9B6A4" w14:textId="093FFA60" w:rsidR="003C6E67" w:rsidRPr="00FC5C72" w:rsidRDefault="003C6E67" w:rsidP="00785B18">
            <w:pPr>
              <w:pStyle w:val="BMSTableText"/>
              <w:keepNext/>
              <w:spacing w:before="0" w:after="0"/>
              <w:contextualSpacing/>
              <w:jc w:val="both"/>
              <w:rPr>
                <w:b/>
                <w:noProof/>
                <w:sz w:val="24"/>
                <w:szCs w:val="24"/>
              </w:rPr>
            </w:pPr>
            <w:r w:rsidRPr="00FC5C72">
              <w:rPr>
                <w:b/>
                <w:noProof/>
                <w:sz w:val="24"/>
                <w:szCs w:val="24"/>
              </w:rPr>
              <w:t>n (%/</w:t>
            </w:r>
            <w:r w:rsidRPr="00FC5C72">
              <w:rPr>
                <w:rFonts w:ascii="Sylfaen" w:hAnsi="Sylfaen"/>
                <w:b/>
                <w:noProof/>
                <w:sz w:val="24"/>
                <w:szCs w:val="24"/>
                <w:lang w:val="ka-GE"/>
              </w:rPr>
              <w:t>წელიწადი</w:t>
            </w:r>
            <w:r w:rsidRPr="00FC5C72">
              <w:rPr>
                <w:b/>
                <w:noProof/>
                <w:sz w:val="24"/>
                <w:szCs w:val="24"/>
              </w:rPr>
              <w:t>)</w:t>
            </w:r>
          </w:p>
        </w:tc>
        <w:tc>
          <w:tcPr>
            <w:tcW w:w="1568" w:type="dxa"/>
          </w:tcPr>
          <w:p w14:paraId="774094A1" w14:textId="624D77C1" w:rsidR="003C6E67" w:rsidRPr="00FC5C72" w:rsidRDefault="003C6E67" w:rsidP="00785B18">
            <w:pPr>
              <w:pStyle w:val="BMSTableText"/>
              <w:keepNext/>
              <w:spacing w:before="0" w:after="0"/>
              <w:contextualSpacing/>
              <w:jc w:val="both"/>
              <w:rPr>
                <w:rFonts w:ascii="Sylfaen" w:hAnsi="Sylfaen"/>
                <w:b/>
                <w:noProof/>
                <w:sz w:val="24"/>
                <w:szCs w:val="24"/>
                <w:lang w:val="ka-GE"/>
              </w:rPr>
            </w:pPr>
            <w:r w:rsidRPr="00FC5C72">
              <w:rPr>
                <w:rFonts w:ascii="Sylfaen" w:hAnsi="Sylfaen"/>
                <w:b/>
                <w:noProof/>
                <w:sz w:val="24"/>
                <w:szCs w:val="24"/>
                <w:lang w:val="ka-GE"/>
              </w:rPr>
              <w:t>ასმ</w:t>
            </w:r>
          </w:p>
          <w:p w14:paraId="0392E9CA" w14:textId="77777777" w:rsidR="003C6E67" w:rsidRPr="00FC5C72" w:rsidRDefault="003C6E67" w:rsidP="00785B18">
            <w:pPr>
              <w:pStyle w:val="BMSTableText"/>
              <w:keepNext/>
              <w:spacing w:before="0" w:after="0"/>
              <w:contextualSpacing/>
              <w:jc w:val="both"/>
              <w:rPr>
                <w:b/>
                <w:noProof/>
                <w:sz w:val="24"/>
                <w:szCs w:val="24"/>
              </w:rPr>
            </w:pPr>
            <w:r w:rsidRPr="00FC5C72">
              <w:rPr>
                <w:b/>
                <w:noProof/>
                <w:sz w:val="24"/>
                <w:szCs w:val="24"/>
              </w:rPr>
              <w:t>N=2780</w:t>
            </w:r>
          </w:p>
          <w:p w14:paraId="361FA341" w14:textId="4DB09D15" w:rsidR="003C6E67" w:rsidRPr="00FC5C72" w:rsidRDefault="003C6E67" w:rsidP="00785B18">
            <w:pPr>
              <w:pStyle w:val="BMSTableText"/>
              <w:keepNext/>
              <w:spacing w:before="0" w:after="0"/>
              <w:contextualSpacing/>
              <w:jc w:val="both"/>
              <w:rPr>
                <w:b/>
                <w:noProof/>
                <w:sz w:val="24"/>
                <w:szCs w:val="24"/>
              </w:rPr>
            </w:pPr>
            <w:r w:rsidRPr="00FC5C72">
              <w:rPr>
                <w:b/>
                <w:noProof/>
                <w:sz w:val="24"/>
                <w:szCs w:val="24"/>
              </w:rPr>
              <w:t>n (%/</w:t>
            </w:r>
            <w:r w:rsidRPr="00FC5C72">
              <w:rPr>
                <w:rFonts w:ascii="Sylfaen" w:hAnsi="Sylfaen"/>
                <w:b/>
                <w:noProof/>
                <w:sz w:val="24"/>
                <w:szCs w:val="24"/>
                <w:lang w:val="ka-GE"/>
              </w:rPr>
              <w:t>წელიწადი</w:t>
            </w:r>
            <w:r w:rsidRPr="00FC5C72">
              <w:rPr>
                <w:b/>
                <w:noProof/>
                <w:sz w:val="24"/>
                <w:szCs w:val="24"/>
              </w:rPr>
              <w:t>)</w:t>
            </w:r>
          </w:p>
        </w:tc>
        <w:tc>
          <w:tcPr>
            <w:tcW w:w="2508" w:type="dxa"/>
          </w:tcPr>
          <w:p w14:paraId="74487967" w14:textId="77777777" w:rsidR="003C6E67" w:rsidRPr="00FC5C72" w:rsidRDefault="003C6E67" w:rsidP="00785B18">
            <w:pPr>
              <w:pStyle w:val="BMSTableHeader"/>
              <w:keepNext/>
              <w:widowControl w:val="0"/>
              <w:spacing w:before="0" w:after="0"/>
              <w:contextualSpacing/>
              <w:rPr>
                <w:rFonts w:ascii="Sylfaen" w:hAnsi="Sylfaen"/>
                <w:noProof/>
                <w:sz w:val="24"/>
                <w:szCs w:val="24"/>
                <w:lang w:val="ka-GE"/>
              </w:rPr>
            </w:pPr>
            <w:r w:rsidRPr="00FC5C72">
              <w:rPr>
                <w:rFonts w:ascii="Sylfaen" w:hAnsi="Sylfaen"/>
                <w:noProof/>
                <w:sz w:val="24"/>
                <w:szCs w:val="24"/>
                <w:lang w:val="ka-GE"/>
              </w:rPr>
              <w:t>რისკების თანაფარდობა</w:t>
            </w:r>
          </w:p>
          <w:p w14:paraId="76C6C947" w14:textId="1B6669A5" w:rsidR="003C6E67" w:rsidRPr="00FC5C72" w:rsidRDefault="003C6E67" w:rsidP="00785B18">
            <w:pPr>
              <w:pStyle w:val="BMSTableText"/>
              <w:keepNext/>
              <w:spacing w:before="0" w:after="0"/>
              <w:contextualSpacing/>
              <w:rPr>
                <w:b/>
                <w:noProof/>
                <w:sz w:val="24"/>
                <w:szCs w:val="24"/>
              </w:rPr>
            </w:pPr>
            <w:r w:rsidRPr="00FC5C72">
              <w:rPr>
                <w:b/>
                <w:noProof/>
                <w:sz w:val="24"/>
                <w:szCs w:val="24"/>
              </w:rPr>
              <w:t>(95%-</w:t>
            </w:r>
            <w:r w:rsidRPr="00FC5C72">
              <w:rPr>
                <w:rFonts w:ascii="Sylfaen" w:hAnsi="Sylfaen"/>
                <w:b/>
                <w:noProof/>
                <w:sz w:val="24"/>
                <w:szCs w:val="24"/>
                <w:lang w:val="ka-GE"/>
              </w:rPr>
              <w:t>იანი ს/ი</w:t>
            </w:r>
            <w:r w:rsidRPr="00FC5C72">
              <w:rPr>
                <w:b/>
                <w:noProof/>
                <w:sz w:val="24"/>
                <w:szCs w:val="24"/>
              </w:rPr>
              <w:t>)</w:t>
            </w:r>
          </w:p>
        </w:tc>
        <w:tc>
          <w:tcPr>
            <w:tcW w:w="1254" w:type="dxa"/>
          </w:tcPr>
          <w:p w14:paraId="4324B2BC" w14:textId="7A5C3C12" w:rsidR="003C6E67" w:rsidRPr="00FC5C72" w:rsidRDefault="003C6E67" w:rsidP="00785B18">
            <w:pPr>
              <w:pStyle w:val="BMSTableText"/>
              <w:keepNext/>
              <w:spacing w:before="0" w:after="0"/>
              <w:contextualSpacing/>
              <w:rPr>
                <w:b/>
                <w:noProof/>
                <w:sz w:val="24"/>
                <w:szCs w:val="24"/>
              </w:rPr>
            </w:pPr>
            <w:r w:rsidRPr="00FC5C72">
              <w:rPr>
                <w:b/>
                <w:noProof/>
                <w:sz w:val="24"/>
                <w:szCs w:val="24"/>
              </w:rPr>
              <w:t>p-</w:t>
            </w:r>
            <w:r w:rsidRPr="00FC5C72">
              <w:rPr>
                <w:rFonts w:ascii="Sylfaen" w:hAnsi="Sylfaen"/>
                <w:b/>
                <w:noProof/>
                <w:sz w:val="24"/>
                <w:szCs w:val="24"/>
                <w:lang w:val="ka-GE"/>
              </w:rPr>
              <w:t>მნიშვნელობა</w:t>
            </w:r>
          </w:p>
        </w:tc>
      </w:tr>
      <w:tr w:rsidR="00FC5C72" w:rsidRPr="00FC5C72" w14:paraId="1BA34B7C" w14:textId="77777777" w:rsidTr="00B0745D">
        <w:trPr>
          <w:trHeight w:val="280"/>
        </w:trPr>
        <w:tc>
          <w:tcPr>
            <w:tcW w:w="2942" w:type="dxa"/>
          </w:tcPr>
          <w:p w14:paraId="2F6725BF" w14:textId="734E40EF" w:rsidR="003C6E67" w:rsidRPr="00FC5C72" w:rsidRDefault="003C6E67" w:rsidP="00785B18">
            <w:pPr>
              <w:pStyle w:val="BMSTableText"/>
              <w:keepNext/>
              <w:spacing w:before="0" w:after="0"/>
              <w:contextualSpacing/>
              <w:jc w:val="both"/>
              <w:rPr>
                <w:noProof/>
                <w:sz w:val="24"/>
                <w:szCs w:val="24"/>
              </w:rPr>
            </w:pPr>
            <w:r w:rsidRPr="00FC5C72">
              <w:rPr>
                <w:rFonts w:ascii="Sylfaen" w:hAnsi="Sylfaen"/>
                <w:noProof/>
                <w:sz w:val="24"/>
                <w:szCs w:val="24"/>
                <w:lang w:val="ka-GE"/>
              </w:rPr>
              <w:t>მნიშვნელოვანი</w:t>
            </w:r>
            <w:r w:rsidRPr="00FC5C72">
              <w:rPr>
                <w:noProof/>
                <w:sz w:val="24"/>
                <w:szCs w:val="24"/>
              </w:rPr>
              <w:t>*</w:t>
            </w:r>
          </w:p>
        </w:tc>
        <w:tc>
          <w:tcPr>
            <w:tcW w:w="1724" w:type="dxa"/>
          </w:tcPr>
          <w:p w14:paraId="231FE4D5"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45 (1,41)</w:t>
            </w:r>
          </w:p>
        </w:tc>
        <w:tc>
          <w:tcPr>
            <w:tcW w:w="1568" w:type="dxa"/>
          </w:tcPr>
          <w:p w14:paraId="199A8E0E"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29 (0,92)</w:t>
            </w:r>
          </w:p>
        </w:tc>
        <w:tc>
          <w:tcPr>
            <w:tcW w:w="2508" w:type="dxa"/>
          </w:tcPr>
          <w:p w14:paraId="59487E49"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 xml:space="preserve">1,54 (0,96, 2,45) </w:t>
            </w:r>
          </w:p>
        </w:tc>
        <w:tc>
          <w:tcPr>
            <w:tcW w:w="1254" w:type="dxa"/>
          </w:tcPr>
          <w:p w14:paraId="4D219022"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0,0716</w:t>
            </w:r>
          </w:p>
        </w:tc>
      </w:tr>
      <w:tr w:rsidR="00FC5C72" w:rsidRPr="00FC5C72" w14:paraId="120E6230" w14:textId="77777777" w:rsidTr="00B0745D">
        <w:trPr>
          <w:trHeight w:val="271"/>
        </w:trPr>
        <w:tc>
          <w:tcPr>
            <w:tcW w:w="2942" w:type="dxa"/>
          </w:tcPr>
          <w:p w14:paraId="6293936F" w14:textId="69C148F5" w:rsidR="003C6E67" w:rsidRPr="00FC5C72" w:rsidRDefault="003C6E67" w:rsidP="00785B18">
            <w:pPr>
              <w:pStyle w:val="BMSTableText"/>
              <w:keepNext/>
              <w:spacing w:before="0" w:after="0"/>
              <w:ind w:left="360"/>
              <w:contextualSpacing/>
              <w:jc w:val="both"/>
              <w:rPr>
                <w:noProof/>
                <w:sz w:val="24"/>
                <w:szCs w:val="24"/>
              </w:rPr>
            </w:pPr>
            <w:r w:rsidRPr="00FC5C72">
              <w:rPr>
                <w:rFonts w:ascii="Sylfaen" w:hAnsi="Sylfaen"/>
                <w:noProof/>
                <w:sz w:val="24"/>
                <w:szCs w:val="24"/>
                <w:lang w:val="ka-GE"/>
              </w:rPr>
              <w:t>ლეტალური შედეგით</w:t>
            </w:r>
            <w:r w:rsidRPr="00FC5C72">
              <w:rPr>
                <w:noProof/>
                <w:sz w:val="24"/>
                <w:szCs w:val="24"/>
              </w:rPr>
              <w:t>, n</w:t>
            </w:r>
          </w:p>
        </w:tc>
        <w:tc>
          <w:tcPr>
            <w:tcW w:w="1724" w:type="dxa"/>
          </w:tcPr>
          <w:p w14:paraId="528BFCCA"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5 (0,16)</w:t>
            </w:r>
          </w:p>
        </w:tc>
        <w:tc>
          <w:tcPr>
            <w:tcW w:w="1568" w:type="dxa"/>
          </w:tcPr>
          <w:p w14:paraId="5F6DA7B3"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5 (0,16)</w:t>
            </w:r>
          </w:p>
        </w:tc>
        <w:tc>
          <w:tcPr>
            <w:tcW w:w="2508" w:type="dxa"/>
          </w:tcPr>
          <w:p w14:paraId="0CC76176" w14:textId="77777777" w:rsidR="003C6E67" w:rsidRPr="00FC5C72" w:rsidRDefault="003C6E67" w:rsidP="00785B18">
            <w:pPr>
              <w:pStyle w:val="BMSTableText"/>
              <w:keepNext/>
              <w:spacing w:before="0" w:after="0"/>
              <w:contextualSpacing/>
              <w:jc w:val="both"/>
              <w:rPr>
                <w:noProof/>
                <w:sz w:val="24"/>
                <w:szCs w:val="24"/>
              </w:rPr>
            </w:pPr>
          </w:p>
        </w:tc>
        <w:tc>
          <w:tcPr>
            <w:tcW w:w="1254" w:type="dxa"/>
          </w:tcPr>
          <w:p w14:paraId="57F2A0C4" w14:textId="77777777" w:rsidR="003C6E67" w:rsidRPr="00FC5C72" w:rsidRDefault="003C6E67" w:rsidP="00785B18">
            <w:pPr>
              <w:pStyle w:val="BMSTableText"/>
              <w:keepNext/>
              <w:spacing w:before="0" w:after="0"/>
              <w:contextualSpacing/>
              <w:jc w:val="both"/>
              <w:rPr>
                <w:noProof/>
                <w:sz w:val="24"/>
                <w:szCs w:val="24"/>
              </w:rPr>
            </w:pPr>
          </w:p>
        </w:tc>
      </w:tr>
      <w:tr w:rsidR="00FC5C72" w:rsidRPr="00FC5C72" w14:paraId="462D3D2A" w14:textId="77777777" w:rsidTr="00B0745D">
        <w:trPr>
          <w:trHeight w:val="249"/>
        </w:trPr>
        <w:tc>
          <w:tcPr>
            <w:tcW w:w="2942" w:type="dxa"/>
          </w:tcPr>
          <w:p w14:paraId="4CD97CE4" w14:textId="364839EF" w:rsidR="003C6E67" w:rsidRPr="00FC5C72" w:rsidRDefault="00B0745D" w:rsidP="00785B18">
            <w:pPr>
              <w:pStyle w:val="BMSTableText"/>
              <w:keepNext/>
              <w:spacing w:before="0" w:after="0"/>
              <w:ind w:left="360"/>
              <w:contextualSpacing/>
              <w:jc w:val="both"/>
              <w:rPr>
                <w:noProof/>
                <w:sz w:val="24"/>
                <w:szCs w:val="24"/>
              </w:rPr>
            </w:pPr>
            <w:r w:rsidRPr="00FC5C72">
              <w:rPr>
                <w:rFonts w:ascii="Sylfaen" w:hAnsi="Sylfaen" w:cs="Sylfaen"/>
                <w:sz w:val="24"/>
                <w:szCs w:val="24"/>
                <w:lang w:val="ka-GE"/>
              </w:rPr>
              <w:t>ქალასშიდა</w:t>
            </w:r>
            <w:r w:rsidR="003C6E67" w:rsidRPr="00FC5C72">
              <w:rPr>
                <w:noProof/>
                <w:sz w:val="24"/>
                <w:szCs w:val="24"/>
              </w:rPr>
              <w:t>, n</w:t>
            </w:r>
          </w:p>
        </w:tc>
        <w:tc>
          <w:tcPr>
            <w:tcW w:w="1724" w:type="dxa"/>
          </w:tcPr>
          <w:p w14:paraId="4E990C2C"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11 (0,34)</w:t>
            </w:r>
          </w:p>
        </w:tc>
        <w:tc>
          <w:tcPr>
            <w:tcW w:w="1568" w:type="dxa"/>
          </w:tcPr>
          <w:p w14:paraId="6074C98D"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11 (0,35)</w:t>
            </w:r>
          </w:p>
        </w:tc>
        <w:tc>
          <w:tcPr>
            <w:tcW w:w="2508" w:type="dxa"/>
          </w:tcPr>
          <w:p w14:paraId="7B6510B1" w14:textId="77777777" w:rsidR="003C6E67" w:rsidRPr="00FC5C72" w:rsidRDefault="003C6E67" w:rsidP="00785B18">
            <w:pPr>
              <w:pStyle w:val="BMSTableText"/>
              <w:keepNext/>
              <w:spacing w:before="0" w:after="0"/>
              <w:contextualSpacing/>
              <w:jc w:val="both"/>
              <w:rPr>
                <w:noProof/>
                <w:sz w:val="24"/>
                <w:szCs w:val="24"/>
              </w:rPr>
            </w:pPr>
          </w:p>
        </w:tc>
        <w:tc>
          <w:tcPr>
            <w:tcW w:w="1254" w:type="dxa"/>
          </w:tcPr>
          <w:p w14:paraId="6F3E5AC5" w14:textId="77777777" w:rsidR="003C6E67" w:rsidRPr="00FC5C72" w:rsidRDefault="003C6E67" w:rsidP="00785B18">
            <w:pPr>
              <w:pStyle w:val="BMSTableText"/>
              <w:keepNext/>
              <w:spacing w:before="0" w:after="0"/>
              <w:contextualSpacing/>
              <w:jc w:val="both"/>
              <w:rPr>
                <w:noProof/>
                <w:sz w:val="24"/>
                <w:szCs w:val="24"/>
              </w:rPr>
            </w:pPr>
          </w:p>
        </w:tc>
      </w:tr>
      <w:tr w:rsidR="00FC5C72" w:rsidRPr="00FC5C72" w14:paraId="1F22D883" w14:textId="77777777" w:rsidTr="00B0745D">
        <w:trPr>
          <w:trHeight w:val="279"/>
        </w:trPr>
        <w:tc>
          <w:tcPr>
            <w:tcW w:w="2942" w:type="dxa"/>
          </w:tcPr>
          <w:p w14:paraId="50904900" w14:textId="5B7BF47E" w:rsidR="003C6E67" w:rsidRPr="00FC5C72" w:rsidRDefault="003C6E67" w:rsidP="00785B18">
            <w:pPr>
              <w:pStyle w:val="BMSTableText"/>
              <w:keepNext/>
              <w:spacing w:before="0" w:after="0"/>
              <w:contextualSpacing/>
              <w:jc w:val="both"/>
              <w:rPr>
                <w:noProof/>
                <w:sz w:val="24"/>
                <w:szCs w:val="24"/>
              </w:rPr>
            </w:pPr>
            <w:r w:rsidRPr="00FC5C72">
              <w:rPr>
                <w:rFonts w:ascii="Sylfaen" w:hAnsi="Sylfaen"/>
                <w:noProof/>
                <w:sz w:val="24"/>
                <w:szCs w:val="24"/>
                <w:lang w:val="ka-GE"/>
              </w:rPr>
              <w:t>მნიშვნელოვანი</w:t>
            </w:r>
            <w:r w:rsidRPr="00FC5C72">
              <w:rPr>
                <w:noProof/>
                <w:sz w:val="24"/>
                <w:szCs w:val="24"/>
              </w:rPr>
              <w:t>+კლინიკურად მნიშვნელოვანი მცირე სისხლდენა</w:t>
            </w:r>
            <w:r w:rsidRPr="00FC5C72">
              <w:rPr>
                <w:noProof/>
                <w:sz w:val="24"/>
                <w:szCs w:val="24"/>
                <w:rtl/>
                <w:cs/>
              </w:rPr>
              <w:t>†</w:t>
            </w:r>
          </w:p>
        </w:tc>
        <w:tc>
          <w:tcPr>
            <w:tcW w:w="1724" w:type="dxa"/>
          </w:tcPr>
          <w:p w14:paraId="4A4D6F8C"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140 (4,46)</w:t>
            </w:r>
          </w:p>
        </w:tc>
        <w:tc>
          <w:tcPr>
            <w:tcW w:w="1568" w:type="dxa"/>
          </w:tcPr>
          <w:p w14:paraId="17BD32F1"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101 (3,24)</w:t>
            </w:r>
          </w:p>
        </w:tc>
        <w:tc>
          <w:tcPr>
            <w:tcW w:w="2508" w:type="dxa"/>
          </w:tcPr>
          <w:p w14:paraId="5057FC4D"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1,38 (1,07, 1,78)</w:t>
            </w:r>
          </w:p>
        </w:tc>
        <w:tc>
          <w:tcPr>
            <w:tcW w:w="1254" w:type="dxa"/>
          </w:tcPr>
          <w:p w14:paraId="5A76EB04"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0,0144</w:t>
            </w:r>
          </w:p>
        </w:tc>
      </w:tr>
      <w:tr w:rsidR="00FC5C72" w:rsidRPr="00FC5C72" w14:paraId="6DC7CE63" w14:textId="77777777" w:rsidTr="00B0745D">
        <w:trPr>
          <w:trHeight w:val="343"/>
        </w:trPr>
        <w:tc>
          <w:tcPr>
            <w:tcW w:w="2942" w:type="dxa"/>
          </w:tcPr>
          <w:p w14:paraId="16D8EE30" w14:textId="3B05267C" w:rsidR="003C6E67" w:rsidRPr="00FC5C72" w:rsidRDefault="003C6E67" w:rsidP="00785B18">
            <w:pPr>
              <w:pStyle w:val="BMSTableText"/>
              <w:keepNext/>
              <w:spacing w:before="0" w:after="0"/>
              <w:contextualSpacing/>
              <w:jc w:val="both"/>
              <w:rPr>
                <w:rFonts w:ascii="Sylfaen" w:hAnsi="Sylfaen"/>
                <w:noProof/>
                <w:sz w:val="24"/>
                <w:szCs w:val="24"/>
                <w:lang w:val="ka-GE"/>
              </w:rPr>
            </w:pPr>
            <w:r w:rsidRPr="00FC5C72">
              <w:rPr>
                <w:rFonts w:ascii="Sylfaen" w:hAnsi="Sylfaen"/>
                <w:noProof/>
                <w:sz w:val="24"/>
                <w:szCs w:val="24"/>
                <w:lang w:val="ka-GE"/>
              </w:rPr>
              <w:t xml:space="preserve">ყველა </w:t>
            </w:r>
          </w:p>
        </w:tc>
        <w:tc>
          <w:tcPr>
            <w:tcW w:w="1724" w:type="dxa"/>
          </w:tcPr>
          <w:p w14:paraId="1B365DB0"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325 (10,85)</w:t>
            </w:r>
          </w:p>
        </w:tc>
        <w:tc>
          <w:tcPr>
            <w:tcW w:w="1568" w:type="dxa"/>
          </w:tcPr>
          <w:p w14:paraId="0FB4EFE6"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250 (8,32)</w:t>
            </w:r>
          </w:p>
        </w:tc>
        <w:tc>
          <w:tcPr>
            <w:tcW w:w="2508" w:type="dxa"/>
          </w:tcPr>
          <w:p w14:paraId="2B63FE8E"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1,30 (1,10, 1,53)</w:t>
            </w:r>
          </w:p>
        </w:tc>
        <w:tc>
          <w:tcPr>
            <w:tcW w:w="1254" w:type="dxa"/>
          </w:tcPr>
          <w:p w14:paraId="362969AC" w14:textId="77777777" w:rsidR="003C6E67" w:rsidRPr="00FC5C72" w:rsidRDefault="003C6E67" w:rsidP="00785B18">
            <w:pPr>
              <w:pStyle w:val="BMSTableText"/>
              <w:keepNext/>
              <w:spacing w:before="0" w:after="0"/>
              <w:contextualSpacing/>
              <w:jc w:val="both"/>
              <w:rPr>
                <w:noProof/>
                <w:sz w:val="24"/>
                <w:szCs w:val="24"/>
              </w:rPr>
            </w:pPr>
            <w:r w:rsidRPr="00FC5C72">
              <w:rPr>
                <w:noProof/>
                <w:sz w:val="24"/>
                <w:szCs w:val="24"/>
              </w:rPr>
              <w:t>0,0017</w:t>
            </w:r>
          </w:p>
        </w:tc>
      </w:tr>
    </w:tbl>
    <w:p w14:paraId="0EDB24F9" w14:textId="0B2A8054" w:rsidR="003C6E67" w:rsidRPr="00FC5C72" w:rsidRDefault="003C6E67" w:rsidP="00785B18">
      <w:pPr>
        <w:spacing w:after="0" w:line="240" w:lineRule="auto"/>
        <w:jc w:val="both"/>
        <w:rPr>
          <w:sz w:val="24"/>
          <w:szCs w:val="24"/>
        </w:rPr>
      </w:pPr>
      <w:r w:rsidRPr="00FC5C72">
        <w:rPr>
          <w:sz w:val="24"/>
          <w:szCs w:val="24"/>
        </w:rPr>
        <w:t xml:space="preserve">* </w:t>
      </w:r>
      <w:r w:rsidRPr="00FC5C72">
        <w:rPr>
          <w:noProof/>
          <w:sz w:val="24"/>
          <w:szCs w:val="24"/>
        </w:rPr>
        <w:t>მნიშვნელოვანი სისხლდენა განისაზღვრება თ</w:t>
      </w:r>
      <w:r w:rsidR="00A179E1" w:rsidRPr="00FC5C72">
        <w:rPr>
          <w:noProof/>
          <w:sz w:val="24"/>
          <w:szCs w:val="24"/>
        </w:rPr>
        <w:t>რ</w:t>
      </w:r>
      <w:r w:rsidRPr="00FC5C72">
        <w:rPr>
          <w:noProof/>
          <w:sz w:val="24"/>
          <w:szCs w:val="24"/>
        </w:rPr>
        <w:t>ომბოზისა და ჰემოსტაზის საერთაშორისო საზოგადოების (</w:t>
      </w:r>
      <w:r w:rsidRPr="00FC5C72">
        <w:rPr>
          <w:noProof/>
          <w:sz w:val="24"/>
          <w:szCs w:val="24"/>
          <w:lang w:val="en-US"/>
        </w:rPr>
        <w:t>ISTH</w:t>
      </w:r>
      <w:r w:rsidRPr="00FC5C72">
        <w:rPr>
          <w:noProof/>
          <w:sz w:val="24"/>
          <w:szCs w:val="24"/>
        </w:rPr>
        <w:t>) კრიტერიუმების თანახმად.</w:t>
      </w:r>
    </w:p>
    <w:p w14:paraId="0F4E36ED" w14:textId="0E8A40E8" w:rsidR="003C6E67" w:rsidRPr="00FC5C72" w:rsidRDefault="003C6E67" w:rsidP="00785B18">
      <w:pPr>
        <w:spacing w:after="0" w:line="240" w:lineRule="auto"/>
        <w:jc w:val="both"/>
        <w:rPr>
          <w:noProof/>
          <w:sz w:val="24"/>
          <w:szCs w:val="24"/>
        </w:rPr>
      </w:pPr>
      <w:r w:rsidRPr="00FC5C72">
        <w:rPr>
          <w:noProof/>
          <w:sz w:val="24"/>
          <w:szCs w:val="24"/>
          <w:rtl/>
          <w:cs/>
        </w:rPr>
        <w:t>†</w:t>
      </w:r>
      <w:r w:rsidRPr="00FC5C72">
        <w:rPr>
          <w:noProof/>
          <w:sz w:val="24"/>
          <w:szCs w:val="24"/>
        </w:rPr>
        <w:t>კლინიკურად მნიშვნელოვანი მცირე სისხლდენა</w:t>
      </w:r>
    </w:p>
    <w:p w14:paraId="68E8C325" w14:textId="44934B7E" w:rsidR="002E40F4" w:rsidRPr="00FC5C72" w:rsidRDefault="002E40F4" w:rsidP="00785B18">
      <w:pPr>
        <w:spacing w:after="0" w:line="240" w:lineRule="auto"/>
        <w:jc w:val="both"/>
        <w:rPr>
          <w:noProof/>
          <w:sz w:val="24"/>
          <w:szCs w:val="24"/>
        </w:rPr>
      </w:pPr>
    </w:p>
    <w:p w14:paraId="61C3ED93" w14:textId="76DDDB62" w:rsidR="002E40F4" w:rsidRPr="00FC5C72" w:rsidRDefault="002E40F4" w:rsidP="00785B18">
      <w:pPr>
        <w:spacing w:after="0" w:line="240" w:lineRule="auto"/>
        <w:jc w:val="both"/>
        <w:rPr>
          <w:i/>
          <w:iCs/>
          <w:sz w:val="24"/>
          <w:szCs w:val="24"/>
        </w:rPr>
      </w:pPr>
      <w:r w:rsidRPr="00FC5C72">
        <w:rPr>
          <w:i/>
          <w:iCs/>
          <w:sz w:val="24"/>
          <w:szCs w:val="24"/>
        </w:rPr>
        <w:t xml:space="preserve">წინაგულების არასარქვლოვანი ფიბრილაციის მქონე პაციენტები მწვავე კორონარული სინდრომით ან/და გადატანილი პკჩ-ით </w:t>
      </w:r>
    </w:p>
    <w:p w14:paraId="38362C39" w14:textId="230AA976" w:rsidR="002E40F4" w:rsidRPr="00FC5C72" w:rsidRDefault="002E40F4" w:rsidP="00785B18">
      <w:pPr>
        <w:spacing w:after="0" w:line="240" w:lineRule="auto"/>
        <w:jc w:val="both"/>
        <w:rPr>
          <w:noProof/>
          <w:sz w:val="24"/>
          <w:szCs w:val="24"/>
        </w:rPr>
      </w:pPr>
      <w:r w:rsidRPr="00FC5C72">
        <w:rPr>
          <w:rFonts w:ascii="Times New Roman" w:hAnsi="Times New Roman"/>
          <w:noProof/>
          <w:sz w:val="24"/>
          <w:szCs w:val="24"/>
        </w:rPr>
        <w:t>AUGUSTUS,</w:t>
      </w:r>
      <w:r w:rsidRPr="00FC5C72">
        <w:rPr>
          <w:noProof/>
          <w:sz w:val="24"/>
          <w:szCs w:val="24"/>
        </w:rPr>
        <w:t xml:space="preserve"> ღია, რანდომიზებული, კონტროლირებული კვლევა, ორფაქტორული დიზაინით 2 2-ზე, მოიცავდა </w:t>
      </w:r>
      <w:r w:rsidRPr="00FC5C72">
        <w:rPr>
          <w:sz w:val="24"/>
          <w:szCs w:val="24"/>
        </w:rPr>
        <w:t xml:space="preserve">წინაგულების არასარქვლოვანი ფიბრილაციის მქონე </w:t>
      </w:r>
      <w:r w:rsidRPr="00FC5C72">
        <w:rPr>
          <w:noProof/>
          <w:sz w:val="24"/>
          <w:szCs w:val="24"/>
        </w:rPr>
        <w:t xml:space="preserve">4614 </w:t>
      </w:r>
      <w:r w:rsidR="00395774" w:rsidRPr="00FC5C72">
        <w:rPr>
          <w:noProof/>
          <w:sz w:val="24"/>
          <w:szCs w:val="24"/>
        </w:rPr>
        <w:t xml:space="preserve">მოზრდილ </w:t>
      </w:r>
      <w:r w:rsidRPr="00FC5C72">
        <w:rPr>
          <w:noProof/>
          <w:sz w:val="24"/>
          <w:szCs w:val="24"/>
        </w:rPr>
        <w:t xml:space="preserve">პაციენტს </w:t>
      </w:r>
      <w:r w:rsidR="00E071F2" w:rsidRPr="00FC5C72">
        <w:rPr>
          <w:noProof/>
          <w:sz w:val="24"/>
          <w:szCs w:val="24"/>
        </w:rPr>
        <w:t xml:space="preserve">მწვავე კორონარული სინდრომით (43%) ან/და გადატანილი პკჩ-ით (56%). ყველა პაციენტი იღებდა საბაზო თერაპიას </w:t>
      </w:r>
      <w:r w:rsidR="00E071F2" w:rsidRPr="00FC5C72">
        <w:rPr>
          <w:rFonts w:ascii="Times New Roman" w:hAnsi="Times New Roman"/>
          <w:noProof/>
          <w:sz w:val="24"/>
          <w:szCs w:val="24"/>
        </w:rPr>
        <w:t>P2Y12</w:t>
      </w:r>
      <w:r w:rsidR="00E071F2" w:rsidRPr="00FC5C72">
        <w:rPr>
          <w:noProof/>
          <w:sz w:val="24"/>
          <w:szCs w:val="24"/>
        </w:rPr>
        <w:t xml:space="preserve">-ის ინჰიბიტორით (კლოპიდოგრელი: 90.3%), რომელიც დაინიშნა მკურნალობის ადგილობრივი სტანდარტების შესაბამისად. </w:t>
      </w:r>
    </w:p>
    <w:p w14:paraId="3D21BBC6" w14:textId="5643429A" w:rsidR="00E071F2" w:rsidRPr="00FC5C72" w:rsidRDefault="00E071F2" w:rsidP="00785B18">
      <w:pPr>
        <w:spacing w:after="0" w:line="240" w:lineRule="auto"/>
        <w:jc w:val="both"/>
        <w:rPr>
          <w:noProof/>
          <w:sz w:val="24"/>
          <w:szCs w:val="24"/>
        </w:rPr>
      </w:pPr>
      <w:r w:rsidRPr="00FC5C72">
        <w:rPr>
          <w:noProof/>
          <w:sz w:val="24"/>
          <w:szCs w:val="24"/>
        </w:rPr>
        <w:t>პაციენტები რანდომიზებული ი</w:t>
      </w:r>
      <w:r w:rsidR="00434A5C" w:rsidRPr="00FC5C72">
        <w:rPr>
          <w:noProof/>
          <w:sz w:val="24"/>
          <w:szCs w:val="24"/>
        </w:rPr>
        <w:t>ყვნენ</w:t>
      </w:r>
      <w:r w:rsidRPr="00FC5C72">
        <w:rPr>
          <w:noProof/>
          <w:sz w:val="24"/>
          <w:szCs w:val="24"/>
        </w:rPr>
        <w:t xml:space="preserve"> მწვავე კორონარული სინდრომის </w:t>
      </w:r>
      <w:r w:rsidR="00DF637A" w:rsidRPr="00FC5C72">
        <w:rPr>
          <w:noProof/>
          <w:sz w:val="24"/>
          <w:szCs w:val="24"/>
        </w:rPr>
        <w:t>და/</w:t>
      </w:r>
      <w:r w:rsidRPr="00FC5C72">
        <w:rPr>
          <w:noProof/>
          <w:sz w:val="24"/>
          <w:szCs w:val="24"/>
        </w:rPr>
        <w:t>ან პკჩ-ის შემდეგ 14 დღის განმავლობაში</w:t>
      </w:r>
      <w:r w:rsidR="00913FF7" w:rsidRPr="00FC5C72">
        <w:rPr>
          <w:noProof/>
          <w:sz w:val="24"/>
          <w:szCs w:val="24"/>
        </w:rPr>
        <w:t xml:space="preserve"> ან</w:t>
      </w:r>
      <w:r w:rsidRPr="00FC5C72">
        <w:rPr>
          <w:noProof/>
          <w:sz w:val="24"/>
          <w:szCs w:val="24"/>
        </w:rPr>
        <w:t xml:space="preserve"> ორჯერ დღე-ღამეში 5 მგ დოზით აპიქსაბანის (ორჯერ დღ</w:t>
      </w:r>
      <w:r w:rsidR="00FA52C9" w:rsidRPr="00FC5C72">
        <w:rPr>
          <w:noProof/>
          <w:sz w:val="24"/>
          <w:szCs w:val="24"/>
        </w:rPr>
        <w:t>ე</w:t>
      </w:r>
      <w:r w:rsidRPr="00FC5C72">
        <w:rPr>
          <w:noProof/>
          <w:sz w:val="24"/>
          <w:szCs w:val="24"/>
        </w:rPr>
        <w:t>-ღამეში 2.5 მგ, თუ შესრულდა დოზის შემცირების ორი ან მეტი კრიტერიუმი; პაციენტების 4.2% იღებდა უფრო დაბალ დოზას),</w:t>
      </w:r>
      <w:r w:rsidR="00913FF7" w:rsidRPr="00FC5C72">
        <w:rPr>
          <w:noProof/>
          <w:sz w:val="24"/>
          <w:szCs w:val="24"/>
        </w:rPr>
        <w:t xml:space="preserve"> ან</w:t>
      </w:r>
      <w:r w:rsidRPr="00FC5C72">
        <w:rPr>
          <w:noProof/>
          <w:sz w:val="24"/>
          <w:szCs w:val="24"/>
        </w:rPr>
        <w:t xml:space="preserve"> K ვიტამინის ანტაგონისტ</w:t>
      </w:r>
      <w:r w:rsidR="00913FF7" w:rsidRPr="00FC5C72">
        <w:rPr>
          <w:noProof/>
          <w:sz w:val="24"/>
          <w:szCs w:val="24"/>
        </w:rPr>
        <w:t>ი</w:t>
      </w:r>
      <w:r w:rsidRPr="00FC5C72">
        <w:rPr>
          <w:noProof/>
          <w:sz w:val="24"/>
          <w:szCs w:val="24"/>
        </w:rPr>
        <w:t>ს (Kვა)</w:t>
      </w:r>
      <w:r w:rsidR="00913FF7" w:rsidRPr="00FC5C72">
        <w:rPr>
          <w:noProof/>
          <w:sz w:val="24"/>
          <w:szCs w:val="24"/>
        </w:rPr>
        <w:t xml:space="preserve"> და</w:t>
      </w:r>
      <w:r w:rsidR="00FA52C9" w:rsidRPr="00FC5C72">
        <w:rPr>
          <w:noProof/>
          <w:sz w:val="24"/>
          <w:szCs w:val="24"/>
        </w:rPr>
        <w:t>/</w:t>
      </w:r>
      <w:r w:rsidR="00913FF7" w:rsidRPr="00FC5C72">
        <w:rPr>
          <w:noProof/>
          <w:sz w:val="24"/>
          <w:szCs w:val="24"/>
        </w:rPr>
        <w:t xml:space="preserve">ან აცეტილსალიცილის მჟავას (ასმ) (81 მგ ერთხელ დღე-ღამეში) ან პლაცებოს. პაციენტების საშუალო ასაკი შეადგენდა 69.9 წელი, რანდომიზებულ პაციენტთა 94%-ს </w:t>
      </w:r>
      <w:r w:rsidR="00913FF7" w:rsidRPr="00FC5C72">
        <w:rPr>
          <w:rFonts w:ascii="Times New Roman" w:hAnsi="Times New Roman"/>
          <w:noProof/>
          <w:sz w:val="24"/>
          <w:szCs w:val="24"/>
        </w:rPr>
        <w:t>CHA2DS2-VASc</w:t>
      </w:r>
      <w:r w:rsidR="00913FF7" w:rsidRPr="00FC5C72">
        <w:rPr>
          <w:noProof/>
          <w:sz w:val="24"/>
          <w:szCs w:val="24"/>
        </w:rPr>
        <w:t xml:space="preserve"> სკალით ჰქონდა</w:t>
      </w:r>
      <w:r w:rsidR="00913FF7" w:rsidRPr="00FC5C72">
        <w:rPr>
          <w:rFonts w:ascii="Times New Roman" w:hAnsi="Times New Roman"/>
          <w:noProof/>
          <w:sz w:val="24"/>
          <w:szCs w:val="24"/>
        </w:rPr>
        <w:t xml:space="preserve"> &gt;2</w:t>
      </w:r>
      <w:r w:rsidR="00913FF7" w:rsidRPr="00FC5C72">
        <w:rPr>
          <w:noProof/>
          <w:sz w:val="24"/>
          <w:szCs w:val="24"/>
        </w:rPr>
        <w:t xml:space="preserve"> ქულა, ხოლო 47%-ს </w:t>
      </w:r>
      <w:r w:rsidR="00913FF7" w:rsidRPr="00FC5C72">
        <w:rPr>
          <w:rFonts w:ascii="Times New Roman" w:hAnsi="Times New Roman"/>
          <w:noProof/>
          <w:sz w:val="24"/>
          <w:szCs w:val="24"/>
        </w:rPr>
        <w:t>HAS-BLED</w:t>
      </w:r>
      <w:r w:rsidR="00913FF7" w:rsidRPr="00FC5C72">
        <w:rPr>
          <w:rFonts w:ascii="Times New Roman" w:hAnsi="Times New Roman"/>
          <w:noProof/>
          <w:sz w:val="24"/>
          <w:szCs w:val="24"/>
          <w:lang w:val="tr-TR"/>
        </w:rPr>
        <w:t xml:space="preserve"> </w:t>
      </w:r>
      <w:r w:rsidR="00913FF7" w:rsidRPr="00FC5C72">
        <w:rPr>
          <w:rFonts w:ascii="Sylfaen" w:hAnsi="Sylfaen"/>
          <w:noProof/>
          <w:sz w:val="24"/>
          <w:szCs w:val="24"/>
        </w:rPr>
        <w:t xml:space="preserve">სკალით </w:t>
      </w:r>
      <w:r w:rsidR="00913FF7" w:rsidRPr="00FC5C72">
        <w:rPr>
          <w:rFonts w:ascii="Times New Roman" w:hAnsi="Times New Roman"/>
          <w:noProof/>
          <w:sz w:val="24"/>
          <w:szCs w:val="24"/>
        </w:rPr>
        <w:t>&gt;3</w:t>
      </w:r>
      <w:r w:rsidR="00913FF7" w:rsidRPr="00FC5C72">
        <w:rPr>
          <w:noProof/>
          <w:sz w:val="24"/>
          <w:szCs w:val="24"/>
        </w:rPr>
        <w:t xml:space="preserve"> ქულა. K ვიტამინის ანტაგონისტის ჯგუფში რანდომიზებული პაციენტებისთვის საერთაშორისო ნორმალიზებული თანაფარდობის მნიშვნელობების თერაპიულ დიაპაზონში არსეობის დროის წილი (სნთ 2-3) შეადგენდა 56%-ს, ამასთან დროის 32% სნთ-ის სამიზნე მნიშვნელობები თერაპიულ დიაპაზონზე დაბალი იყო და 12% თერაპიულ დიაპაზონზე მაღალი. </w:t>
      </w:r>
    </w:p>
    <w:p w14:paraId="485C6A82" w14:textId="5F2F2EC9" w:rsidR="00913FF7" w:rsidRPr="00FC5C72" w:rsidRDefault="00913FF7" w:rsidP="00785B18">
      <w:pPr>
        <w:spacing w:after="0" w:line="240" w:lineRule="auto"/>
        <w:jc w:val="both"/>
        <w:rPr>
          <w:iCs/>
          <w:sz w:val="24"/>
        </w:rPr>
      </w:pPr>
      <w:r w:rsidRPr="00FC5C72">
        <w:rPr>
          <w:noProof/>
          <w:sz w:val="24"/>
          <w:szCs w:val="24"/>
        </w:rPr>
        <w:t xml:space="preserve">კვლევის </w:t>
      </w:r>
      <w:r w:rsidRPr="00FC5C72">
        <w:rPr>
          <w:rFonts w:ascii="Times New Roman" w:hAnsi="Times New Roman"/>
          <w:noProof/>
          <w:sz w:val="24"/>
          <w:szCs w:val="24"/>
        </w:rPr>
        <w:t>AUGUSTUS</w:t>
      </w:r>
      <w:r w:rsidRPr="00FC5C72">
        <w:rPr>
          <w:noProof/>
          <w:sz w:val="24"/>
          <w:szCs w:val="24"/>
        </w:rPr>
        <w:t xml:space="preserve"> ძირითად მიზანს წარმოადგენ</w:t>
      </w:r>
      <w:r w:rsidR="0012472F" w:rsidRPr="00FC5C72">
        <w:rPr>
          <w:noProof/>
          <w:sz w:val="24"/>
          <w:szCs w:val="24"/>
        </w:rPr>
        <w:t>და</w:t>
      </w:r>
      <w:r w:rsidRPr="00FC5C72">
        <w:rPr>
          <w:noProof/>
          <w:sz w:val="24"/>
          <w:szCs w:val="24"/>
        </w:rPr>
        <w:t xml:space="preserve"> </w:t>
      </w:r>
      <w:r w:rsidR="007D5BB8" w:rsidRPr="00FC5C72">
        <w:rPr>
          <w:noProof/>
          <w:sz w:val="24"/>
          <w:szCs w:val="24"/>
        </w:rPr>
        <w:t xml:space="preserve">უსაფრთხოების </w:t>
      </w:r>
      <w:r w:rsidR="0012472F" w:rsidRPr="00FC5C72">
        <w:rPr>
          <w:noProof/>
          <w:sz w:val="24"/>
          <w:szCs w:val="24"/>
        </w:rPr>
        <w:t xml:space="preserve">შეფასება მნიშვნელოვანი სისხლდენის განვითარების თვალსაზრისით პირველადი საბოლოო წერტილით თრომბოზისა და ჰემოსტაზის საერთაშორისო საზოგადოების </w:t>
      </w:r>
      <w:r w:rsidR="0012472F" w:rsidRPr="00FC5C72">
        <w:rPr>
          <w:rFonts w:ascii="Times New Roman" w:hAnsi="Times New Roman"/>
          <w:noProof/>
          <w:sz w:val="24"/>
          <w:szCs w:val="24"/>
        </w:rPr>
        <w:t>(</w:t>
      </w:r>
      <w:r w:rsidR="0012472F" w:rsidRPr="00FC5C72">
        <w:rPr>
          <w:rFonts w:ascii="Times New Roman" w:hAnsi="Times New Roman"/>
          <w:i/>
          <w:sz w:val="24"/>
        </w:rPr>
        <w:t>International Society on Thrombosis and Haemostasis</w:t>
      </w:r>
      <w:r w:rsidR="0012472F" w:rsidRPr="00FC5C72">
        <w:rPr>
          <w:rFonts w:ascii="Times New Roman" w:hAnsi="Times New Roman"/>
          <w:i/>
          <w:noProof/>
          <w:sz w:val="24"/>
          <w:szCs w:val="24"/>
        </w:rPr>
        <w:t xml:space="preserve"> </w:t>
      </w:r>
      <w:r w:rsidR="0012472F" w:rsidRPr="00FC5C72">
        <w:rPr>
          <w:rFonts w:ascii="Times New Roman" w:hAnsi="Times New Roman"/>
          <w:i/>
          <w:sz w:val="24"/>
        </w:rPr>
        <w:t>—</w:t>
      </w:r>
      <w:r w:rsidR="0012472F" w:rsidRPr="00FC5C72">
        <w:rPr>
          <w:rFonts w:ascii="Times New Roman" w:hAnsi="Times New Roman"/>
          <w:i/>
          <w:sz w:val="24"/>
          <w:szCs w:val="24"/>
          <w:rtl/>
        </w:rPr>
        <w:t xml:space="preserve"> </w:t>
      </w:r>
      <w:r w:rsidR="0012472F" w:rsidRPr="00FC5C72">
        <w:rPr>
          <w:rFonts w:ascii="Times New Roman" w:hAnsi="Times New Roman"/>
          <w:i/>
          <w:sz w:val="24"/>
        </w:rPr>
        <w:t>ISTH</w:t>
      </w:r>
      <w:r w:rsidR="0012472F" w:rsidRPr="00FC5C72">
        <w:rPr>
          <w:rFonts w:ascii="Times New Roman" w:hAnsi="Times New Roman"/>
          <w:noProof/>
          <w:sz w:val="24"/>
          <w:szCs w:val="24"/>
        </w:rPr>
        <w:t>)</w:t>
      </w:r>
      <w:r w:rsidR="0012472F" w:rsidRPr="00FC5C72">
        <w:rPr>
          <w:noProof/>
          <w:sz w:val="24"/>
          <w:szCs w:val="24"/>
        </w:rPr>
        <w:t xml:space="preserve"> </w:t>
      </w:r>
      <w:r w:rsidR="000462C6" w:rsidRPr="00FC5C72">
        <w:rPr>
          <w:noProof/>
          <w:sz w:val="24"/>
          <w:szCs w:val="24"/>
        </w:rPr>
        <w:t xml:space="preserve">კრიტერიუმების </w:t>
      </w:r>
      <w:r w:rsidR="0012472F" w:rsidRPr="00FC5C72">
        <w:rPr>
          <w:noProof/>
          <w:sz w:val="24"/>
          <w:szCs w:val="24"/>
        </w:rPr>
        <w:t>ან კლინიკურად მნიშვნელოვანი მცირე სისხლდენის (კმმს)</w:t>
      </w:r>
      <w:r w:rsidR="000462C6" w:rsidRPr="00FC5C72">
        <w:rPr>
          <w:noProof/>
          <w:sz w:val="24"/>
          <w:szCs w:val="24"/>
        </w:rPr>
        <w:t xml:space="preserve"> </w:t>
      </w:r>
      <w:r w:rsidR="0012472F" w:rsidRPr="00FC5C72">
        <w:rPr>
          <w:noProof/>
          <w:sz w:val="24"/>
          <w:szCs w:val="24"/>
        </w:rPr>
        <w:t xml:space="preserve">მიხედვით.  </w:t>
      </w:r>
      <w:r w:rsidR="005F5F6F" w:rsidRPr="00FC5C72">
        <w:rPr>
          <w:noProof/>
          <w:sz w:val="24"/>
          <w:szCs w:val="24"/>
        </w:rPr>
        <w:t xml:space="preserve">6 თვის შემდეგ მნიშვნელოვანი სისხლდენები </w:t>
      </w:r>
      <w:r w:rsidR="005F5F6F" w:rsidRPr="00FC5C72">
        <w:rPr>
          <w:rFonts w:ascii="Times New Roman" w:hAnsi="Times New Roman"/>
          <w:iCs/>
          <w:sz w:val="24"/>
        </w:rPr>
        <w:t>ISTH</w:t>
      </w:r>
      <w:r w:rsidR="005F5F6F" w:rsidRPr="00FC5C72">
        <w:rPr>
          <w:iCs/>
          <w:sz w:val="24"/>
        </w:rPr>
        <w:t xml:space="preserve"> </w:t>
      </w:r>
      <w:r w:rsidR="000462C6" w:rsidRPr="00FC5C72">
        <w:rPr>
          <w:iCs/>
          <w:sz w:val="24"/>
        </w:rPr>
        <w:t xml:space="preserve">კრიტერიუმებით </w:t>
      </w:r>
      <w:r w:rsidR="005F5F6F" w:rsidRPr="00FC5C72">
        <w:rPr>
          <w:iCs/>
          <w:sz w:val="24"/>
        </w:rPr>
        <w:t>ან კმმს განუვითარდა 241 პაციენტს (10.5%) აპიქსაბანის ჯგუფშ</w:t>
      </w:r>
      <w:r w:rsidR="00DF637A" w:rsidRPr="00FC5C72">
        <w:rPr>
          <w:iCs/>
          <w:sz w:val="24"/>
        </w:rPr>
        <w:t>ი</w:t>
      </w:r>
      <w:r w:rsidR="005F5F6F" w:rsidRPr="00FC5C72">
        <w:rPr>
          <w:iCs/>
          <w:sz w:val="24"/>
        </w:rPr>
        <w:t xml:space="preserve"> და 332 (14.7%) პაციენტს </w:t>
      </w:r>
      <w:r w:rsidR="005F5F6F" w:rsidRPr="00FC5C72">
        <w:rPr>
          <w:noProof/>
          <w:sz w:val="24"/>
          <w:szCs w:val="24"/>
        </w:rPr>
        <w:t>K ვიტამინის ანტაგონისტის ჯგუფში (ფარდობითი რისკი = 0.69, 95%-იანი ს/ი: 0.58, 0</w:t>
      </w:r>
      <w:r w:rsidR="00DF637A" w:rsidRPr="00FC5C72">
        <w:rPr>
          <w:noProof/>
          <w:sz w:val="24"/>
          <w:szCs w:val="24"/>
        </w:rPr>
        <w:t>,</w:t>
      </w:r>
      <w:r w:rsidR="005F5F6F" w:rsidRPr="00FC5C72">
        <w:rPr>
          <w:noProof/>
          <w:sz w:val="24"/>
          <w:szCs w:val="24"/>
        </w:rPr>
        <w:t>82; ორმხრივი p-მნიშვნელობა &lt;0.0001 არანაკლები ეფექტიანობისთვის და р-მნიშვნელობა &lt;0.0001 უპირატესობის საჩვენებლად). K ვიტამინის ანტაგონისტის ჯგუფში</w:t>
      </w:r>
      <w:r w:rsidR="000462C6" w:rsidRPr="00FC5C72">
        <w:rPr>
          <w:noProof/>
          <w:sz w:val="24"/>
          <w:szCs w:val="24"/>
        </w:rPr>
        <w:t>, დამატებითმა ანალიზებმა თერაპიული დიაპაზონის მიხედვით ქვეჯგუფების გამოყენებით აჩვენა, რომ სისხლდენების ყველაზე მაღალი სიხშირე დაკავშირებული იყო მინიმალურ კვარტილობასთან თერაპიულ დიაპაზონში. სისხლ</w:t>
      </w:r>
      <w:r w:rsidR="000462C6" w:rsidRPr="00FC5C72">
        <w:rPr>
          <w:iCs/>
          <w:sz w:val="24"/>
        </w:rPr>
        <w:t xml:space="preserve">დენების სიხშირე ერთნაირი იყო აპიქსაბანსა და თერაპიულ დიაპაზონში უმაღლეს კვარტილობასთან. </w:t>
      </w:r>
    </w:p>
    <w:p w14:paraId="5290ACD6" w14:textId="3022D107" w:rsidR="000462C6" w:rsidRPr="00FC5C72" w:rsidRDefault="000462C6" w:rsidP="00785B18">
      <w:pPr>
        <w:spacing w:after="0" w:line="240" w:lineRule="auto"/>
        <w:jc w:val="both"/>
        <w:rPr>
          <w:iCs/>
          <w:sz w:val="24"/>
        </w:rPr>
      </w:pPr>
      <w:r w:rsidRPr="00FC5C72">
        <w:rPr>
          <w:iCs/>
          <w:sz w:val="24"/>
        </w:rPr>
        <w:t xml:space="preserve">6 თვის შემდეგ მნიშვნელოვანი სისხლდენები ან კმმს ISTH კრიტერიუმებით  </w:t>
      </w:r>
      <w:r w:rsidR="00784651" w:rsidRPr="00FC5C72">
        <w:rPr>
          <w:iCs/>
          <w:sz w:val="24"/>
        </w:rPr>
        <w:t xml:space="preserve">განუვითარდა  367 (16.1%) პაციენტს ასმ-ს ჯგუფში და 204 (9.0%) პაციენტს პლაცებოს ჯგუფში (ფარდობითი რისკი </w:t>
      </w:r>
      <w:r w:rsidR="00DF637A" w:rsidRPr="00FC5C72">
        <w:rPr>
          <w:iCs/>
          <w:sz w:val="24"/>
        </w:rPr>
        <w:t>=</w:t>
      </w:r>
      <w:r w:rsidR="00784651" w:rsidRPr="00FC5C72">
        <w:rPr>
          <w:noProof/>
          <w:sz w:val="24"/>
          <w:szCs w:val="24"/>
        </w:rPr>
        <w:t>1,88, 95%-იანი ს/ი: 1,58, 2,23; ორმხრივი р-მნიშვნელობა &lt;0,0001</w:t>
      </w:r>
      <w:r w:rsidR="00784651" w:rsidRPr="00FC5C72">
        <w:rPr>
          <w:iCs/>
          <w:sz w:val="24"/>
        </w:rPr>
        <w:t>).</w:t>
      </w:r>
    </w:p>
    <w:p w14:paraId="5E0C2743" w14:textId="49471F04" w:rsidR="00784651" w:rsidRPr="00FC5C72" w:rsidRDefault="00784651" w:rsidP="00785B18">
      <w:pPr>
        <w:spacing w:after="0" w:line="240" w:lineRule="auto"/>
        <w:jc w:val="both"/>
        <w:rPr>
          <w:iCs/>
          <w:sz w:val="24"/>
        </w:rPr>
      </w:pPr>
      <w:r w:rsidRPr="00FC5C72">
        <w:rPr>
          <w:iCs/>
          <w:sz w:val="24"/>
        </w:rPr>
        <w:t xml:space="preserve">კერძოდ, აპიქსაბანის ჯგუფის პაციენტებში მნიშვნელოვანი სისხლდენები ან კმმს განუვითარდა 157 (13.7%) და 84 (7.4%) პაციენტს შესაბამისად ასმ-ს ჯგუფში და პლაცებოს ჯგუფში. პაციენტებში, რომლებიც მკურნალობდნენ K ვიტამინის ანტაგონისტით, მძიმე სისხლდენები ან კმმს განუვითარდა 208 (18.5%) და 122 (10.8%) პაციენტს შესაბამისად, ასმ-ს ჯგუფში და პლაცებოს ჯგუფში. </w:t>
      </w:r>
    </w:p>
    <w:p w14:paraId="487DC98C" w14:textId="6D1F569E" w:rsidR="00784651" w:rsidRPr="00FC5C72" w:rsidRDefault="00784651" w:rsidP="00785B18">
      <w:pPr>
        <w:spacing w:after="0" w:line="240" w:lineRule="auto"/>
        <w:jc w:val="both"/>
        <w:rPr>
          <w:iCs/>
          <w:sz w:val="24"/>
        </w:rPr>
      </w:pPr>
      <w:r w:rsidRPr="00FC5C72">
        <w:rPr>
          <w:iCs/>
          <w:sz w:val="24"/>
        </w:rPr>
        <w:t xml:space="preserve">მკურნალობის სხვა ეფექტები შეფასდა, როგორც კვლევის მეორადი მიზანი კომბინირებული საბოლოო წერტილებით. </w:t>
      </w:r>
    </w:p>
    <w:p w14:paraId="664AECB9" w14:textId="728B2229" w:rsidR="00784651" w:rsidRPr="00FC5C72" w:rsidRDefault="00784651" w:rsidP="00785B18">
      <w:pPr>
        <w:spacing w:after="0" w:line="240" w:lineRule="auto"/>
        <w:jc w:val="both"/>
        <w:rPr>
          <w:iCs/>
          <w:sz w:val="24"/>
        </w:rPr>
      </w:pPr>
      <w:r w:rsidRPr="00FC5C72">
        <w:rPr>
          <w:iCs/>
          <w:sz w:val="24"/>
        </w:rPr>
        <w:t xml:space="preserve">მეორად საბოლოო წერტილს, რომელიც იყო კომბინირებული და მოიცავდა სიკვდილს ან განმეორებით ჰოსპიტალიზაციას, ადგილი ჰქონდა 541 </w:t>
      </w:r>
      <w:r w:rsidRPr="00FC5C72">
        <w:rPr>
          <w:rFonts w:ascii="Times New Roman" w:hAnsi="Times New Roman"/>
          <w:noProof/>
          <w:sz w:val="24"/>
          <w:szCs w:val="24"/>
        </w:rPr>
        <w:t xml:space="preserve">(23,5%) </w:t>
      </w:r>
      <w:r w:rsidRPr="00FC5C72">
        <w:rPr>
          <w:rFonts w:ascii="Sylfaen" w:hAnsi="Sylfaen"/>
          <w:noProof/>
          <w:sz w:val="24"/>
          <w:szCs w:val="24"/>
        </w:rPr>
        <w:t>და</w:t>
      </w:r>
      <w:r w:rsidRPr="00FC5C72">
        <w:rPr>
          <w:rFonts w:ascii="Times New Roman" w:hAnsi="Times New Roman"/>
          <w:noProof/>
          <w:sz w:val="24"/>
          <w:szCs w:val="24"/>
        </w:rPr>
        <w:t xml:space="preserve"> 632 (27,4%)</w:t>
      </w:r>
      <w:r w:rsidRPr="00FC5C72">
        <w:rPr>
          <w:noProof/>
          <w:sz w:val="24"/>
          <w:szCs w:val="24"/>
        </w:rPr>
        <w:t xml:space="preserve"> პაციენტში შესაბამისად, აპიქსაბანის ჯგუფში და </w:t>
      </w:r>
      <w:r w:rsidRPr="00FC5C72">
        <w:rPr>
          <w:iCs/>
          <w:sz w:val="24"/>
        </w:rPr>
        <w:t>K ვიტამინის ანტაგონისტის ჯგუფში. სიკვდილი ან იშემიური მოვლენა (ინსულტი, მიოკარდიუმის ინფარქტი, სტენტის თრომბოზი ან სასწრაფო რევასკულარიზაცია) კომბინირებული საბოლოო წერტილის სახით აღ</w:t>
      </w:r>
      <w:r w:rsidR="00B918FF" w:rsidRPr="00FC5C72">
        <w:rPr>
          <w:iCs/>
          <w:sz w:val="24"/>
        </w:rPr>
        <w:t>ი</w:t>
      </w:r>
      <w:r w:rsidRPr="00FC5C72">
        <w:rPr>
          <w:iCs/>
          <w:sz w:val="24"/>
        </w:rPr>
        <w:t xml:space="preserve">ნიშნა 170 </w:t>
      </w:r>
      <w:r w:rsidRPr="00FC5C72">
        <w:rPr>
          <w:rFonts w:ascii="Times New Roman" w:hAnsi="Times New Roman"/>
          <w:noProof/>
          <w:sz w:val="24"/>
          <w:szCs w:val="24"/>
        </w:rPr>
        <w:t xml:space="preserve">(7,4%) </w:t>
      </w:r>
      <w:r w:rsidRPr="00FC5C72">
        <w:rPr>
          <w:rFonts w:ascii="Sylfaen" w:hAnsi="Sylfaen"/>
          <w:noProof/>
          <w:sz w:val="24"/>
          <w:szCs w:val="24"/>
        </w:rPr>
        <w:t xml:space="preserve">და </w:t>
      </w:r>
      <w:r w:rsidRPr="00FC5C72">
        <w:rPr>
          <w:rFonts w:ascii="Times New Roman" w:hAnsi="Times New Roman"/>
          <w:noProof/>
          <w:sz w:val="24"/>
          <w:szCs w:val="24"/>
        </w:rPr>
        <w:t xml:space="preserve">182 (7,9%) </w:t>
      </w:r>
      <w:r w:rsidRPr="00FC5C72">
        <w:rPr>
          <w:iCs/>
          <w:sz w:val="24"/>
        </w:rPr>
        <w:t xml:space="preserve">პაციენტში შესაბამისად, აპიქსაბანის </w:t>
      </w:r>
      <w:r w:rsidRPr="00FC5C72">
        <w:rPr>
          <w:noProof/>
          <w:sz w:val="24"/>
          <w:szCs w:val="24"/>
        </w:rPr>
        <w:t xml:space="preserve">ჯგუფში და </w:t>
      </w:r>
      <w:r w:rsidRPr="00FC5C72">
        <w:rPr>
          <w:iCs/>
          <w:sz w:val="24"/>
        </w:rPr>
        <w:t>K ვიტამინის ანტაგონისტის ჯგუფში.</w:t>
      </w:r>
    </w:p>
    <w:p w14:paraId="78240CD5" w14:textId="4AD88EE2" w:rsidR="00585A6D" w:rsidRPr="00FC5C72" w:rsidRDefault="00784651" w:rsidP="00785B18">
      <w:pPr>
        <w:spacing w:after="0" w:line="240" w:lineRule="auto"/>
        <w:jc w:val="both"/>
        <w:rPr>
          <w:iCs/>
          <w:sz w:val="24"/>
        </w:rPr>
      </w:pPr>
      <w:r w:rsidRPr="00FC5C72">
        <w:rPr>
          <w:iCs/>
          <w:sz w:val="24"/>
        </w:rPr>
        <w:t xml:space="preserve">ასმ-ს და პლაცებოს შედარებისას კომბინირებული საბოლოო წერტილი, რომელიც ითვალისწინებდა სიკვდილს ან განმეორებით ჰოსპიტალიზაციას, ადგილი ჰქონდა </w:t>
      </w:r>
      <w:r w:rsidRPr="00FC5C72">
        <w:rPr>
          <w:rFonts w:ascii="Times New Roman" w:hAnsi="Times New Roman"/>
          <w:noProof/>
          <w:sz w:val="24"/>
          <w:szCs w:val="24"/>
        </w:rPr>
        <w:t xml:space="preserve">604 (26,2%) </w:t>
      </w:r>
      <w:r w:rsidRPr="00FC5C72">
        <w:rPr>
          <w:rFonts w:ascii="Sylfaen" w:hAnsi="Sylfaen"/>
          <w:noProof/>
          <w:sz w:val="24"/>
          <w:szCs w:val="24"/>
        </w:rPr>
        <w:t>და</w:t>
      </w:r>
      <w:r w:rsidRPr="00FC5C72">
        <w:rPr>
          <w:rFonts w:ascii="Times New Roman" w:hAnsi="Times New Roman"/>
          <w:noProof/>
          <w:sz w:val="24"/>
          <w:szCs w:val="24"/>
        </w:rPr>
        <w:t xml:space="preserve"> 569 (24,7%)</w:t>
      </w:r>
      <w:r w:rsidRPr="00FC5C72">
        <w:rPr>
          <w:noProof/>
          <w:sz w:val="24"/>
          <w:szCs w:val="24"/>
        </w:rPr>
        <w:t xml:space="preserve"> პაციენტში შესაბამისად, ასმ-ს ჯგუფშ</w:t>
      </w:r>
      <w:r w:rsidR="00585A6D" w:rsidRPr="00FC5C72">
        <w:rPr>
          <w:noProof/>
          <w:sz w:val="24"/>
          <w:szCs w:val="24"/>
        </w:rPr>
        <w:t>ი</w:t>
      </w:r>
      <w:r w:rsidRPr="00FC5C72">
        <w:rPr>
          <w:noProof/>
          <w:sz w:val="24"/>
          <w:szCs w:val="24"/>
        </w:rPr>
        <w:t xml:space="preserve"> და</w:t>
      </w:r>
      <w:r w:rsidR="00585A6D" w:rsidRPr="00FC5C72">
        <w:rPr>
          <w:noProof/>
          <w:sz w:val="24"/>
          <w:szCs w:val="24"/>
        </w:rPr>
        <w:t xml:space="preserve"> პლაცებოს ჯგუფში. </w:t>
      </w:r>
      <w:r w:rsidR="00585A6D" w:rsidRPr="00FC5C72">
        <w:rPr>
          <w:iCs/>
          <w:sz w:val="24"/>
        </w:rPr>
        <w:t>სიკვდილი ან იშემიური მოვლენა (ინსულტი, მიოკარდიუმის ინფარქტი, სტენტის თრომბოზი ან სასწრაფო რევასკულარიზაცია) კომბინირებული საბოლოო წერტილის სახით აღ</w:t>
      </w:r>
      <w:r w:rsidR="00B918FF" w:rsidRPr="00FC5C72">
        <w:rPr>
          <w:iCs/>
          <w:sz w:val="24"/>
        </w:rPr>
        <w:t>ი</w:t>
      </w:r>
      <w:r w:rsidR="00585A6D" w:rsidRPr="00FC5C72">
        <w:rPr>
          <w:iCs/>
          <w:sz w:val="24"/>
        </w:rPr>
        <w:t xml:space="preserve">ნიშნა </w:t>
      </w:r>
      <w:r w:rsidR="00585A6D" w:rsidRPr="00FC5C72">
        <w:rPr>
          <w:rFonts w:ascii="Times New Roman" w:hAnsi="Times New Roman"/>
          <w:noProof/>
          <w:sz w:val="24"/>
          <w:szCs w:val="24"/>
        </w:rPr>
        <w:t xml:space="preserve">163 (7,1%) </w:t>
      </w:r>
      <w:r w:rsidR="00585A6D" w:rsidRPr="00FC5C72">
        <w:rPr>
          <w:rFonts w:ascii="Sylfaen" w:hAnsi="Sylfaen"/>
          <w:noProof/>
          <w:sz w:val="24"/>
          <w:szCs w:val="24"/>
        </w:rPr>
        <w:t>და</w:t>
      </w:r>
      <w:r w:rsidR="00585A6D" w:rsidRPr="00FC5C72">
        <w:rPr>
          <w:rFonts w:ascii="Times New Roman" w:hAnsi="Times New Roman"/>
          <w:noProof/>
          <w:sz w:val="24"/>
          <w:szCs w:val="24"/>
        </w:rPr>
        <w:t xml:space="preserve"> 189 (8,2%) </w:t>
      </w:r>
      <w:r w:rsidR="00585A6D" w:rsidRPr="00FC5C72">
        <w:rPr>
          <w:iCs/>
          <w:sz w:val="24"/>
        </w:rPr>
        <w:t xml:space="preserve">პაციენტში შესაბამისად, ასმ-ს </w:t>
      </w:r>
      <w:r w:rsidR="00585A6D" w:rsidRPr="00FC5C72">
        <w:rPr>
          <w:noProof/>
          <w:sz w:val="24"/>
          <w:szCs w:val="24"/>
        </w:rPr>
        <w:t xml:space="preserve">ჯგუფში და </w:t>
      </w:r>
      <w:r w:rsidR="00585A6D" w:rsidRPr="00FC5C72">
        <w:rPr>
          <w:iCs/>
          <w:sz w:val="24"/>
        </w:rPr>
        <w:t>პლაცებოს ჯგუფში.</w:t>
      </w:r>
    </w:p>
    <w:p w14:paraId="70EE61DE" w14:textId="77777777" w:rsidR="00B918FF" w:rsidRPr="00FC5C72" w:rsidRDefault="00B918FF" w:rsidP="00785B18">
      <w:pPr>
        <w:spacing w:after="0" w:line="240" w:lineRule="auto"/>
        <w:jc w:val="both"/>
        <w:rPr>
          <w:iCs/>
          <w:sz w:val="24"/>
        </w:rPr>
      </w:pPr>
    </w:p>
    <w:p w14:paraId="45272CDC" w14:textId="2EAC99A5" w:rsidR="00784651" w:rsidRPr="00FC5C72" w:rsidRDefault="00585A6D" w:rsidP="00785B18">
      <w:pPr>
        <w:spacing w:after="0" w:line="240" w:lineRule="auto"/>
        <w:jc w:val="both"/>
        <w:rPr>
          <w:i/>
          <w:sz w:val="24"/>
        </w:rPr>
      </w:pPr>
      <w:r w:rsidRPr="00FC5C72">
        <w:rPr>
          <w:i/>
          <w:sz w:val="24"/>
        </w:rPr>
        <w:t>პაციენტები, რომლებსაც უტარდებათ კარდიოვერსია</w:t>
      </w:r>
    </w:p>
    <w:p w14:paraId="2E8F2735" w14:textId="0A3EF1D0" w:rsidR="00585A6D" w:rsidRPr="00FC5C72" w:rsidRDefault="00585A6D" w:rsidP="00785B18">
      <w:pPr>
        <w:spacing w:after="0" w:line="240" w:lineRule="auto"/>
        <w:jc w:val="both"/>
        <w:rPr>
          <w:sz w:val="24"/>
          <w:szCs w:val="24"/>
        </w:rPr>
      </w:pPr>
      <w:r w:rsidRPr="00FC5C72">
        <w:rPr>
          <w:noProof/>
          <w:sz w:val="24"/>
          <w:szCs w:val="24"/>
        </w:rPr>
        <w:t xml:space="preserve">EMANATE - ღია მულტიცენტრული კვლევა 1500 </w:t>
      </w:r>
      <w:r w:rsidR="00B918FF" w:rsidRPr="00FC5C72">
        <w:rPr>
          <w:noProof/>
          <w:sz w:val="24"/>
          <w:szCs w:val="24"/>
        </w:rPr>
        <w:t xml:space="preserve">მოზრდილი </w:t>
      </w:r>
      <w:r w:rsidRPr="00FC5C72">
        <w:rPr>
          <w:noProof/>
          <w:sz w:val="24"/>
          <w:szCs w:val="24"/>
        </w:rPr>
        <w:t xml:space="preserve">პაციენტის მონაწილეობით, რომლებიც ადრე არ იღებდნენ პერორალურ ანტიკოაგულანტურ საშუალებებს ან იღებდნენ მათ 48 საათზე ნაკლები დროის განმავლობაში, და რომლებშიც დაგეგმილია კარდიოვერსია  </w:t>
      </w:r>
      <w:r w:rsidRPr="00FC5C72">
        <w:rPr>
          <w:sz w:val="24"/>
          <w:szCs w:val="24"/>
        </w:rPr>
        <w:t xml:space="preserve">წინაგულების არასარქვლოვანი ფიბრილაციის გამო. პაციენტები რანდომიზებული იქნენ თანაფარდობით 1:1 აპიქსაბანის ან ჰეპარინის და/(ან) K ვიტამინის ანტაგონისტის მიღების ჯგუფებში გულ-სისხლძარღვთა მოვლენების პროფილაქტიკისთვის. პაციენტებს ჩაუტარდათ ელექტრული ან(და) ფარმაკოლოგიური კარდიოვერსია დღე-ღამეში ორჯერ 5 მგ აპიქსაბანის სულ მცირე 5 დოზის (ან ორჯერ დღე-ღამეში 2.5 მგ ინდივიდუალურ შემთხვევებში (იხ. პარაგრაფი “გამოყენების წესი და დოზები“)) მიღების შემდეგ ან 10 მგ დამტვირთავი დოზის ან ინდივიდუალურ შემთხვევებში 5 მგ დამტვირთავი დოზის მიღებიდან სულ მცირე 2 საათის შემდეგ (იხ. პარაგრაფი “გამოყენების წესი და დოზები“), თუ კარდიოვერსიის ჩატარება საჭირო იყო უფრო ადრე. </w:t>
      </w:r>
      <w:r w:rsidR="004B133A" w:rsidRPr="00FC5C72">
        <w:rPr>
          <w:sz w:val="24"/>
          <w:szCs w:val="24"/>
        </w:rPr>
        <w:t xml:space="preserve">აპიქსაბანის ჯგუფში 342 პაციენტი იღებდა პრეპარატის დამტვირთავ დოზას (331 პაციენტმა მიიღო დოზა 10 მგ და 11 პაციენტმა მიიღო დოზა 5 მგ). </w:t>
      </w:r>
    </w:p>
    <w:p w14:paraId="102BD1BC" w14:textId="171FF2D3" w:rsidR="004B133A" w:rsidRPr="00FC5C72" w:rsidRDefault="004B133A" w:rsidP="00785B18">
      <w:pPr>
        <w:spacing w:after="0" w:line="240" w:lineRule="auto"/>
        <w:jc w:val="both"/>
        <w:rPr>
          <w:noProof/>
          <w:sz w:val="24"/>
          <w:szCs w:val="24"/>
        </w:rPr>
      </w:pPr>
      <w:r w:rsidRPr="00FC5C72">
        <w:rPr>
          <w:sz w:val="24"/>
          <w:szCs w:val="24"/>
        </w:rPr>
        <w:t>აპიქსაბანის ჯგუფშ</w:t>
      </w:r>
      <w:r w:rsidR="0085342D" w:rsidRPr="00FC5C72">
        <w:rPr>
          <w:sz w:val="24"/>
          <w:szCs w:val="24"/>
        </w:rPr>
        <w:t>ი</w:t>
      </w:r>
      <w:r w:rsidRPr="00FC5C72">
        <w:rPr>
          <w:sz w:val="24"/>
          <w:szCs w:val="24"/>
        </w:rPr>
        <w:t xml:space="preserve"> არ იყო რეგისტრირებული ინსულტების შემთხვევები </w:t>
      </w:r>
      <w:r w:rsidRPr="00FC5C72">
        <w:rPr>
          <w:noProof/>
          <w:sz w:val="24"/>
          <w:szCs w:val="24"/>
        </w:rPr>
        <w:t>(0%) (n=753), ხოლო ჰეპარინის ან/(და) K ვიტამინის ანტაგონისტის ჯგუფში რეგისტრირებული იყო ინსულტის 6 (0.80%) შემთხვევა (n=747; ფ/რ 0,00, 95%-იანი ს/ი 0,00, 0,64). ყველა მიზეზით სიკვდილს ადგილი ჰქონდა 2 პაციენტში</w:t>
      </w:r>
      <w:r w:rsidR="00B918FF" w:rsidRPr="00FC5C72">
        <w:rPr>
          <w:noProof/>
          <w:sz w:val="24"/>
          <w:szCs w:val="24"/>
        </w:rPr>
        <w:t xml:space="preserve"> (0,27%)</w:t>
      </w:r>
      <w:r w:rsidRPr="00FC5C72">
        <w:rPr>
          <w:noProof/>
          <w:sz w:val="24"/>
          <w:szCs w:val="24"/>
        </w:rPr>
        <w:t xml:space="preserve"> აპიქსაბანის ჯგუფში და 1 პაციენტში (0.13%) ჰეპარინის ან/(და) K ვიტამინის ანტაგონისტის ჯგუფში. სისტემური ემბოლიის შემთხვევები რეგისტრირებული არ იყო. </w:t>
      </w:r>
    </w:p>
    <w:p w14:paraId="2051DE28" w14:textId="77777777" w:rsidR="00CC7D5C" w:rsidRPr="00FC5C72" w:rsidRDefault="004B133A" w:rsidP="00785B18">
      <w:pPr>
        <w:spacing w:after="0" w:line="240" w:lineRule="auto"/>
        <w:jc w:val="both"/>
        <w:rPr>
          <w:noProof/>
          <w:sz w:val="24"/>
          <w:szCs w:val="24"/>
        </w:rPr>
      </w:pPr>
      <w:r w:rsidRPr="00FC5C72">
        <w:rPr>
          <w:sz w:val="24"/>
          <w:szCs w:val="24"/>
        </w:rPr>
        <w:t xml:space="preserve">მნიშვნელოვანი სისხლდენა და </w:t>
      </w:r>
      <w:r w:rsidRPr="00FC5C72">
        <w:rPr>
          <w:noProof/>
          <w:sz w:val="24"/>
          <w:szCs w:val="24"/>
        </w:rPr>
        <w:t xml:space="preserve">კმმს განვითარდა შესაბამისად, 3 </w:t>
      </w:r>
      <w:r w:rsidRPr="00FC5C72">
        <w:rPr>
          <w:noProof/>
          <w:snapToGrid w:val="0"/>
          <w:sz w:val="24"/>
          <w:szCs w:val="24"/>
        </w:rPr>
        <w:t>(0,41%) და 11 (1,50%) პაციენტში აპიქსაბანის ჯგუფში და 6 (0,83%) და 13 (1,80%) პაციენტში ჰეპარინის ან/(და)</w:t>
      </w:r>
      <w:r w:rsidRPr="00FC5C72">
        <w:rPr>
          <w:noProof/>
          <w:sz w:val="24"/>
          <w:szCs w:val="24"/>
        </w:rPr>
        <w:t xml:space="preserve"> K ვიტამინის ანტაგონისტის ჯგუფში. </w:t>
      </w:r>
    </w:p>
    <w:p w14:paraId="7D44FD09" w14:textId="275FC694" w:rsidR="004B133A" w:rsidRPr="00FC5C72" w:rsidRDefault="004B133A" w:rsidP="00785B18">
      <w:pPr>
        <w:spacing w:after="0" w:line="240" w:lineRule="auto"/>
        <w:jc w:val="both"/>
        <w:rPr>
          <w:noProof/>
          <w:sz w:val="24"/>
          <w:szCs w:val="24"/>
        </w:rPr>
      </w:pPr>
      <w:r w:rsidRPr="00FC5C72">
        <w:rPr>
          <w:noProof/>
          <w:sz w:val="24"/>
          <w:szCs w:val="24"/>
        </w:rPr>
        <w:t xml:space="preserve">ამ ინტერვენციული კვლევით ნაჩვენებია აპიქსაბანის და ჰეპარინის ან/(და) K ვიტამინის ანტაგონისტის მსგავსი ეფექტიანობა და უსაფრთხოება პაციენტებში, რომლებსაც უტარდებათ კარდიოვერსია. </w:t>
      </w:r>
    </w:p>
    <w:p w14:paraId="356CBB72" w14:textId="77777777" w:rsidR="00CC7D5C" w:rsidRPr="00FC5C72" w:rsidRDefault="00CC7D5C" w:rsidP="00785B18">
      <w:pPr>
        <w:spacing w:after="0" w:line="240" w:lineRule="auto"/>
        <w:jc w:val="both"/>
        <w:rPr>
          <w:noProof/>
          <w:sz w:val="24"/>
          <w:szCs w:val="24"/>
        </w:rPr>
      </w:pPr>
    </w:p>
    <w:p w14:paraId="32DDECA1" w14:textId="0E00E437" w:rsidR="004B133A" w:rsidRPr="00FC5C72" w:rsidRDefault="004B133A" w:rsidP="00785B18">
      <w:pPr>
        <w:spacing w:after="0" w:line="240" w:lineRule="auto"/>
        <w:jc w:val="both"/>
        <w:rPr>
          <w:i/>
          <w:iCs/>
          <w:noProof/>
          <w:sz w:val="24"/>
          <w:szCs w:val="24"/>
        </w:rPr>
      </w:pPr>
      <w:r w:rsidRPr="00FC5C72">
        <w:rPr>
          <w:i/>
          <w:iCs/>
          <w:noProof/>
          <w:sz w:val="24"/>
          <w:szCs w:val="24"/>
        </w:rPr>
        <w:t xml:space="preserve">ღვთ-ის მკურნალობა, ფათე-ის მკურნალობა და </w:t>
      </w:r>
      <w:r w:rsidR="0085342D" w:rsidRPr="00FC5C72">
        <w:rPr>
          <w:i/>
          <w:iCs/>
          <w:noProof/>
          <w:sz w:val="24"/>
          <w:szCs w:val="24"/>
        </w:rPr>
        <w:t xml:space="preserve">მორეციდივე </w:t>
      </w:r>
      <w:r w:rsidR="00D460CB" w:rsidRPr="00FC5C72">
        <w:rPr>
          <w:i/>
          <w:iCs/>
          <w:noProof/>
          <w:sz w:val="24"/>
          <w:szCs w:val="24"/>
        </w:rPr>
        <w:t>ღვთ-ის და ფათე-ის პროფილაქტიკა (ვენური თრომბოემბოლიის მკურნალობა - ვთე</w:t>
      </w:r>
      <w:r w:rsidR="0085342D" w:rsidRPr="00FC5C72">
        <w:rPr>
          <w:i/>
          <w:iCs/>
          <w:noProof/>
          <w:sz w:val="24"/>
          <w:szCs w:val="24"/>
        </w:rPr>
        <w:t xml:space="preserve">-ის </w:t>
      </w:r>
      <w:r w:rsidR="00D460CB" w:rsidRPr="00FC5C72">
        <w:rPr>
          <w:i/>
          <w:iCs/>
          <w:noProof/>
          <w:sz w:val="24"/>
          <w:szCs w:val="24"/>
        </w:rPr>
        <w:t>მ</w:t>
      </w:r>
      <w:r w:rsidR="0085342D" w:rsidRPr="00FC5C72">
        <w:rPr>
          <w:i/>
          <w:iCs/>
          <w:noProof/>
          <w:sz w:val="24"/>
          <w:szCs w:val="24"/>
        </w:rPr>
        <w:t>კურნალობა</w:t>
      </w:r>
      <w:r w:rsidR="00D460CB" w:rsidRPr="00FC5C72">
        <w:rPr>
          <w:i/>
          <w:iCs/>
          <w:noProof/>
          <w:sz w:val="24"/>
          <w:szCs w:val="24"/>
        </w:rPr>
        <w:t>)</w:t>
      </w:r>
    </w:p>
    <w:p w14:paraId="14203FE4" w14:textId="2CB10DCB" w:rsidR="004B133A" w:rsidRPr="00FC5C72" w:rsidRDefault="00CC7D5C" w:rsidP="00785B18">
      <w:pPr>
        <w:spacing w:after="0" w:line="240" w:lineRule="auto"/>
        <w:jc w:val="both"/>
        <w:rPr>
          <w:noProof/>
          <w:sz w:val="24"/>
          <w:szCs w:val="24"/>
        </w:rPr>
      </w:pPr>
      <w:r w:rsidRPr="00FC5C72">
        <w:rPr>
          <w:sz w:val="24"/>
          <w:szCs w:val="24"/>
        </w:rPr>
        <w:t xml:space="preserve">მოზრდილთა </w:t>
      </w:r>
      <w:r w:rsidR="00D460CB" w:rsidRPr="00FC5C72">
        <w:rPr>
          <w:sz w:val="24"/>
          <w:szCs w:val="24"/>
        </w:rPr>
        <w:t>კლინიკური კვლევების პროგრამა (</w:t>
      </w:r>
      <w:r w:rsidR="00D460CB" w:rsidRPr="00FC5C72">
        <w:rPr>
          <w:rFonts w:ascii="Times New Roman" w:hAnsi="Times New Roman"/>
          <w:noProof/>
          <w:sz w:val="24"/>
          <w:szCs w:val="24"/>
        </w:rPr>
        <w:t>AMPLIFY:</w:t>
      </w:r>
      <w:r w:rsidR="00D460CB" w:rsidRPr="00FC5C72">
        <w:rPr>
          <w:noProof/>
          <w:sz w:val="24"/>
          <w:szCs w:val="24"/>
        </w:rPr>
        <w:t xml:space="preserve"> აპიქსაბანის და ენოქსაპარინის/ვარფარინის შედარება, </w:t>
      </w:r>
      <w:r w:rsidR="00D460CB" w:rsidRPr="00FC5C72">
        <w:rPr>
          <w:rFonts w:ascii="Times New Roman" w:hAnsi="Times New Roman"/>
          <w:noProof/>
          <w:sz w:val="24"/>
          <w:szCs w:val="24"/>
        </w:rPr>
        <w:t>AMPLIFY-EXT:</w:t>
      </w:r>
      <w:r w:rsidR="00D460CB" w:rsidRPr="00FC5C72">
        <w:rPr>
          <w:noProof/>
          <w:sz w:val="24"/>
          <w:szCs w:val="24"/>
        </w:rPr>
        <w:t xml:space="preserve"> აპიქსაბანის და პლაცებოს შედარება</w:t>
      </w:r>
      <w:r w:rsidR="00D460CB" w:rsidRPr="00FC5C72">
        <w:rPr>
          <w:sz w:val="24"/>
          <w:szCs w:val="24"/>
        </w:rPr>
        <w:t xml:space="preserve">) შემუშავდა აპიქსაბანის ეფექტიანობისა და უსაფრთხოების ჩვენების მიზნით ღვთ-ის ან/და ფათე-ის მკურნალობისას </w:t>
      </w:r>
      <w:r w:rsidR="00D460CB" w:rsidRPr="00FC5C72">
        <w:rPr>
          <w:rFonts w:ascii="Times New Roman" w:hAnsi="Times New Roman"/>
          <w:noProof/>
          <w:sz w:val="24"/>
          <w:szCs w:val="24"/>
        </w:rPr>
        <w:t>(AMPLIFY)</w:t>
      </w:r>
      <w:r w:rsidR="00D460CB" w:rsidRPr="00FC5C72">
        <w:rPr>
          <w:rFonts w:ascii="Sylfaen" w:hAnsi="Sylfaen"/>
          <w:noProof/>
          <w:sz w:val="24"/>
          <w:szCs w:val="24"/>
        </w:rPr>
        <w:t xml:space="preserve"> და ხანგრძლივი მიღებისას </w:t>
      </w:r>
      <w:r w:rsidR="00D460CB" w:rsidRPr="00FC5C72">
        <w:rPr>
          <w:noProof/>
          <w:sz w:val="24"/>
          <w:szCs w:val="24"/>
        </w:rPr>
        <w:t>ღვთ-ის და ფათე-ის რეციდივების პროფილაქტიკისთვის ღვთ-ის ან/და ფათე-ს ანტიკოაგულანტებით მკურნალობის 6-12 თვიანი კურსის შემდეგ (</w:t>
      </w:r>
      <w:r w:rsidR="00D460CB" w:rsidRPr="00FC5C72">
        <w:rPr>
          <w:rFonts w:ascii="Times New Roman" w:hAnsi="Times New Roman"/>
          <w:noProof/>
          <w:sz w:val="24"/>
          <w:szCs w:val="24"/>
        </w:rPr>
        <w:t>AMPLIFY-EXT</w:t>
      </w:r>
      <w:r w:rsidR="00D460CB" w:rsidRPr="00FC5C72">
        <w:rPr>
          <w:noProof/>
          <w:sz w:val="24"/>
          <w:szCs w:val="24"/>
        </w:rPr>
        <w:t xml:space="preserve">). </w:t>
      </w:r>
      <w:r w:rsidR="002B6F15" w:rsidRPr="00FC5C72">
        <w:rPr>
          <w:noProof/>
          <w:sz w:val="24"/>
          <w:szCs w:val="24"/>
        </w:rPr>
        <w:t xml:space="preserve">ორივე კვლევა წარმოადგენდა რანდომიზებულ ორმაგად ბრმა საერთაშორისო კვლევას პარალელურ ჯგუფებში კლინიკურად გამოხატული პროქსიმალური ღვთ-ის ან კლინიკურად გამოხატული ფათე-ს მქონე პაციენტებში. უსაფრთხოებისა და ეფექტიანობის შეფასების ყველა ძირითადი საბოლოო წერტილი შეფასდა დამოუკიდებელი კომიტეტის მიერ ბრმა მეთოდით. </w:t>
      </w:r>
    </w:p>
    <w:p w14:paraId="1F6AF8AB" w14:textId="77777777" w:rsidR="00CC7D5C" w:rsidRPr="00FC5C72" w:rsidRDefault="00CC7D5C" w:rsidP="00785B18">
      <w:pPr>
        <w:spacing w:after="0" w:line="240" w:lineRule="auto"/>
        <w:jc w:val="both"/>
        <w:rPr>
          <w:noProof/>
          <w:sz w:val="24"/>
          <w:szCs w:val="24"/>
        </w:rPr>
      </w:pPr>
    </w:p>
    <w:p w14:paraId="343FBAC9" w14:textId="547A53DD" w:rsidR="004B133A" w:rsidRPr="00FC5C72" w:rsidRDefault="002B6F15" w:rsidP="00785B18">
      <w:pPr>
        <w:pStyle w:val="EMEABodyText"/>
        <w:tabs>
          <w:tab w:val="left" w:pos="1120"/>
        </w:tabs>
        <w:contextualSpacing/>
        <w:jc w:val="both"/>
        <w:rPr>
          <w:i/>
          <w:sz w:val="24"/>
        </w:rPr>
      </w:pPr>
      <w:r w:rsidRPr="00FC5C72">
        <w:rPr>
          <w:rFonts w:ascii="Sylfaen" w:hAnsi="Sylfaen"/>
          <w:i/>
          <w:noProof/>
          <w:sz w:val="24"/>
          <w:szCs w:val="24"/>
          <w:lang w:val="ka-GE"/>
        </w:rPr>
        <w:t>კვლევა</w:t>
      </w:r>
      <w:r w:rsidR="004B133A" w:rsidRPr="00FC5C72">
        <w:rPr>
          <w:i/>
          <w:sz w:val="24"/>
        </w:rPr>
        <w:t xml:space="preserve"> AMPLIFY </w:t>
      </w:r>
    </w:p>
    <w:p w14:paraId="73F02497" w14:textId="5FBE13E7" w:rsidR="002B6F15" w:rsidRPr="00FC5C72" w:rsidRDefault="002B6F15" w:rsidP="00785B18">
      <w:pPr>
        <w:pStyle w:val="EMEABodyText"/>
        <w:tabs>
          <w:tab w:val="left" w:pos="1120"/>
        </w:tabs>
        <w:contextualSpacing/>
        <w:jc w:val="both"/>
        <w:rPr>
          <w:rFonts w:asciiTheme="minorHAnsi" w:hAnsiTheme="minorHAnsi"/>
          <w:noProof/>
          <w:sz w:val="24"/>
          <w:szCs w:val="24"/>
          <w:lang w:val="ka-GE"/>
        </w:rPr>
      </w:pPr>
      <w:r w:rsidRPr="00FC5C72">
        <w:rPr>
          <w:rFonts w:ascii="Sylfaen" w:hAnsi="Sylfaen"/>
          <w:iCs/>
          <w:sz w:val="24"/>
          <w:lang w:val="ka-GE"/>
        </w:rPr>
        <w:t>კვლევაში</w:t>
      </w:r>
      <w:r w:rsidRPr="00FC5C72">
        <w:rPr>
          <w:noProof/>
          <w:sz w:val="24"/>
          <w:szCs w:val="24"/>
        </w:rPr>
        <w:t xml:space="preserve"> AMPLIFY</w:t>
      </w:r>
      <w:r w:rsidRPr="00FC5C72">
        <w:rPr>
          <w:rFonts w:asciiTheme="minorHAnsi" w:hAnsiTheme="minorHAnsi"/>
          <w:noProof/>
          <w:sz w:val="24"/>
          <w:szCs w:val="24"/>
          <w:lang w:val="ka-GE"/>
        </w:rPr>
        <w:t xml:space="preserve"> საერთო ჯამში 5395 </w:t>
      </w:r>
      <w:r w:rsidR="00961804" w:rsidRPr="00FC5C72">
        <w:rPr>
          <w:rFonts w:asciiTheme="minorHAnsi" w:hAnsiTheme="minorHAnsi"/>
          <w:noProof/>
          <w:sz w:val="24"/>
          <w:szCs w:val="24"/>
          <w:lang w:val="ka-GE"/>
        </w:rPr>
        <w:t xml:space="preserve">მოზრდილი </w:t>
      </w:r>
      <w:r w:rsidRPr="00FC5C72">
        <w:rPr>
          <w:rFonts w:asciiTheme="minorHAnsi" w:hAnsiTheme="minorHAnsi"/>
          <w:noProof/>
          <w:sz w:val="24"/>
          <w:szCs w:val="24"/>
          <w:lang w:val="ka-GE"/>
        </w:rPr>
        <w:t>პაციენტი რანდომიზებული იქნ</w:t>
      </w:r>
      <w:r w:rsidR="0085342D" w:rsidRPr="00FC5C72">
        <w:rPr>
          <w:rFonts w:asciiTheme="minorHAnsi" w:hAnsiTheme="minorHAnsi"/>
          <w:noProof/>
          <w:sz w:val="24"/>
          <w:szCs w:val="24"/>
          <w:lang w:val="ka-GE"/>
        </w:rPr>
        <w:t>ა</w:t>
      </w:r>
      <w:r w:rsidRPr="00FC5C72">
        <w:rPr>
          <w:rFonts w:asciiTheme="minorHAnsi" w:hAnsiTheme="minorHAnsi"/>
          <w:noProof/>
          <w:sz w:val="24"/>
          <w:szCs w:val="24"/>
          <w:lang w:val="ka-GE"/>
        </w:rPr>
        <w:t xml:space="preserve"> 7 დღის განმავლობაში ორჯერ დღე-ღამეში პერორალურად 10 მგ დოზით აპიქსაბანით მკურნალობის ჯგუფში, შემდეგ 6 თვის განმავლობაში ორჯერ დღე-ღამეში პერორალურად 5 მგ დოზით აპიქსაბანით, ან სულ მცირე 5 დღის განმავლობაშ</w:t>
      </w:r>
      <w:r w:rsidR="0085342D" w:rsidRPr="00FC5C72">
        <w:rPr>
          <w:rFonts w:asciiTheme="minorHAnsi" w:hAnsiTheme="minorHAnsi"/>
          <w:noProof/>
          <w:sz w:val="24"/>
          <w:szCs w:val="24"/>
          <w:lang w:val="ka-GE"/>
        </w:rPr>
        <w:t>ი</w:t>
      </w:r>
      <w:r w:rsidRPr="00FC5C72">
        <w:rPr>
          <w:rFonts w:asciiTheme="minorHAnsi" w:hAnsiTheme="minorHAnsi"/>
          <w:noProof/>
          <w:sz w:val="24"/>
          <w:szCs w:val="24"/>
          <w:lang w:val="ka-GE"/>
        </w:rPr>
        <w:t xml:space="preserve"> ორჯერ დღე-ღამეში კანქვეშ 1 მგ/კგ დოზით </w:t>
      </w:r>
      <w:r w:rsidR="0085342D" w:rsidRPr="00FC5C72">
        <w:rPr>
          <w:rFonts w:asciiTheme="minorHAnsi" w:hAnsiTheme="minorHAnsi"/>
          <w:noProof/>
          <w:sz w:val="24"/>
          <w:szCs w:val="24"/>
          <w:lang w:val="ka-GE"/>
        </w:rPr>
        <w:t>ენოქსაპარინით</w:t>
      </w:r>
      <w:r w:rsidRPr="00FC5C72">
        <w:rPr>
          <w:rFonts w:asciiTheme="minorHAnsi" w:hAnsiTheme="minorHAnsi"/>
          <w:noProof/>
          <w:sz w:val="24"/>
          <w:szCs w:val="24"/>
          <w:lang w:val="ka-GE"/>
        </w:rPr>
        <w:t xml:space="preserve"> (სნთ-ის </w:t>
      </w:r>
      <w:r w:rsidRPr="00FC5C72">
        <w:rPr>
          <w:rFonts w:asciiTheme="minorHAnsi" w:hAnsiTheme="minorHAnsi"/>
          <w:noProof/>
          <w:sz w:val="24"/>
          <w:szCs w:val="24"/>
          <w:u w:val="single"/>
          <w:lang w:val="ka-GE"/>
        </w:rPr>
        <w:t>&gt;</w:t>
      </w:r>
      <w:r w:rsidRPr="00FC5C72">
        <w:rPr>
          <w:rFonts w:asciiTheme="minorHAnsi" w:hAnsiTheme="minorHAnsi"/>
          <w:noProof/>
          <w:sz w:val="24"/>
          <w:szCs w:val="24"/>
          <w:lang w:val="ka-GE"/>
        </w:rPr>
        <w:t>2-ის მიღწევამდე) და 6 თვის განმავლოვაში პერორალურად ვარფარინის (სნთ-ის სამიზნე დიაპაზონი: 2.0-3.0) მიღების ჯგუფში.</w:t>
      </w:r>
    </w:p>
    <w:p w14:paraId="7E370268" w14:textId="5599553F" w:rsidR="002B6F15" w:rsidRPr="00FC5C72" w:rsidRDefault="002B6F15" w:rsidP="00785B18">
      <w:pPr>
        <w:pStyle w:val="EMEABodyText"/>
        <w:tabs>
          <w:tab w:val="left" w:pos="1120"/>
        </w:tabs>
        <w:contextualSpacing/>
        <w:jc w:val="both"/>
        <w:rPr>
          <w:rFonts w:asciiTheme="minorHAnsi" w:hAnsiTheme="minorHAnsi"/>
          <w:iCs/>
          <w:sz w:val="24"/>
          <w:lang w:val="ka-GE"/>
        </w:rPr>
      </w:pPr>
      <w:r w:rsidRPr="00FC5C72">
        <w:rPr>
          <w:rFonts w:asciiTheme="minorHAnsi" w:hAnsiTheme="minorHAnsi"/>
          <w:iCs/>
          <w:sz w:val="24"/>
          <w:lang w:val="ka-GE"/>
        </w:rPr>
        <w:t>პაციენტების საშუალო ასაკი შეადგენდა 56.9 წე</w:t>
      </w:r>
      <w:r w:rsidR="0085342D" w:rsidRPr="00FC5C72">
        <w:rPr>
          <w:rFonts w:asciiTheme="minorHAnsi" w:hAnsiTheme="minorHAnsi"/>
          <w:iCs/>
          <w:sz w:val="24"/>
          <w:lang w:val="ka-GE"/>
        </w:rPr>
        <w:t>ლ</w:t>
      </w:r>
      <w:r w:rsidRPr="00FC5C72">
        <w:rPr>
          <w:rFonts w:asciiTheme="minorHAnsi" w:hAnsiTheme="minorHAnsi"/>
          <w:iCs/>
          <w:sz w:val="24"/>
          <w:lang w:val="ka-GE"/>
        </w:rPr>
        <w:t xml:space="preserve">ს და რანდომიზებული პაციენტების 89.8%-ს ჰქონდა არაპროვოცირებული ვთგ-ის შემთხვევები. </w:t>
      </w:r>
    </w:p>
    <w:p w14:paraId="5B7B00E6" w14:textId="7668329E" w:rsidR="002B6F15" w:rsidRPr="00FC5C72" w:rsidRDefault="002B6F15" w:rsidP="00785B18">
      <w:pPr>
        <w:spacing w:after="0" w:line="240" w:lineRule="auto"/>
        <w:jc w:val="both"/>
        <w:rPr>
          <w:noProof/>
          <w:sz w:val="24"/>
          <w:szCs w:val="24"/>
        </w:rPr>
      </w:pPr>
      <w:r w:rsidRPr="00FC5C72">
        <w:rPr>
          <w:iCs/>
          <w:sz w:val="24"/>
        </w:rPr>
        <w:t xml:space="preserve">ვარფარინის მიღების ჯგუფში რანდომიზებულ პაციენტებში </w:t>
      </w:r>
      <w:r w:rsidRPr="00FC5C72">
        <w:rPr>
          <w:noProof/>
          <w:sz w:val="24"/>
          <w:szCs w:val="24"/>
        </w:rPr>
        <w:t xml:space="preserve">თერაპიულ დიაპაზონში ყოფნის საშუალო დრო (სნთ: 2.0-3.0) შეადგენდა 60,9%-ს. აპიქსაბანმა აჩვენა </w:t>
      </w:r>
      <w:r w:rsidR="00E751DC" w:rsidRPr="00FC5C72">
        <w:rPr>
          <w:noProof/>
          <w:sz w:val="24"/>
          <w:szCs w:val="24"/>
        </w:rPr>
        <w:t xml:space="preserve">კლინიკურად გამოხატული ვთგ-ის და ვთგ-ის მიზეზით ლეტალური </w:t>
      </w:r>
      <w:r w:rsidRPr="00FC5C72">
        <w:rPr>
          <w:noProof/>
          <w:sz w:val="24"/>
          <w:szCs w:val="24"/>
        </w:rPr>
        <w:t xml:space="preserve"> </w:t>
      </w:r>
      <w:r w:rsidR="00E751DC" w:rsidRPr="00FC5C72">
        <w:rPr>
          <w:noProof/>
          <w:sz w:val="24"/>
          <w:szCs w:val="24"/>
        </w:rPr>
        <w:t>შედეგის რეციდივის სიხშირის შემცირება, კვლევითი ცენტრის თერაპიული დიაპაზონის სხვადასხვა მნიშვნელობებისას; კვლევითი ცენტრის მონაცემებით თერაპიული დიაპაზონის მაქსიმალური კვარტილში აპიქსაბანის და ენოქსაპარინის/ვარფარინის ფარდობითი რისკი შეადგენდა 0.79 (</w:t>
      </w:r>
      <w:r w:rsidR="00E751DC" w:rsidRPr="00FC5C72">
        <w:rPr>
          <w:rFonts w:ascii="Times New Roman" w:hAnsi="Times New Roman"/>
          <w:noProof/>
          <w:sz w:val="24"/>
          <w:szCs w:val="24"/>
        </w:rPr>
        <w:t>95%-</w:t>
      </w:r>
      <w:r w:rsidR="00E751DC" w:rsidRPr="00FC5C72">
        <w:rPr>
          <w:rFonts w:ascii="Sylfaen" w:hAnsi="Sylfaen"/>
          <w:noProof/>
          <w:sz w:val="24"/>
          <w:szCs w:val="24"/>
        </w:rPr>
        <w:t>იანი ს/ი</w:t>
      </w:r>
      <w:r w:rsidR="00E751DC" w:rsidRPr="00FC5C72">
        <w:rPr>
          <w:rFonts w:ascii="Times New Roman" w:hAnsi="Times New Roman"/>
          <w:noProof/>
          <w:sz w:val="24"/>
          <w:szCs w:val="24"/>
        </w:rPr>
        <w:t>: 0,39–1,61</w:t>
      </w:r>
      <w:r w:rsidR="00E751DC" w:rsidRPr="00FC5C72">
        <w:rPr>
          <w:noProof/>
          <w:sz w:val="24"/>
          <w:szCs w:val="24"/>
        </w:rPr>
        <w:t>).</w:t>
      </w:r>
    </w:p>
    <w:p w14:paraId="4BA94EFC" w14:textId="69B17E94" w:rsidR="00E751DC" w:rsidRPr="00FC5C72" w:rsidRDefault="00E751DC" w:rsidP="00785B18">
      <w:pPr>
        <w:spacing w:after="0" w:line="240" w:lineRule="auto"/>
        <w:jc w:val="both"/>
        <w:rPr>
          <w:noProof/>
          <w:sz w:val="24"/>
          <w:szCs w:val="24"/>
        </w:rPr>
      </w:pPr>
      <w:r w:rsidRPr="00FC5C72">
        <w:rPr>
          <w:noProof/>
          <w:sz w:val="24"/>
          <w:szCs w:val="24"/>
        </w:rPr>
        <w:t xml:space="preserve">ამ კვლევაში ნაჩვენებია აპიქსაბანის არანაკლები ეფექტიანობა ენოქსაპარინთან/ვარფარინთან შედარებით კომბინირებული პირველადი საბოლოო წერტილის მიმართ, რომელიც გამოიხატებოდა მორეციდივე სიმპტომური ვთგ-ის (არალეტალური ღვთ ან არალეტალური ფათე) დადასტურებული საექსპერტო შეფასების ან ვთგ-ით გამოწვეული სიკვდილის </w:t>
      </w:r>
      <w:r w:rsidR="001F32B8" w:rsidRPr="00FC5C72">
        <w:rPr>
          <w:noProof/>
          <w:sz w:val="24"/>
          <w:szCs w:val="24"/>
        </w:rPr>
        <w:t xml:space="preserve">დადასტურებული საექსპერტო შეფასების სახით (იხ. ცხრილი 8). </w:t>
      </w:r>
      <w:r w:rsidRPr="00FC5C72">
        <w:rPr>
          <w:noProof/>
          <w:sz w:val="24"/>
          <w:szCs w:val="24"/>
        </w:rPr>
        <w:t xml:space="preserve"> </w:t>
      </w:r>
    </w:p>
    <w:p w14:paraId="5951D625" w14:textId="3391363D" w:rsidR="001F32B8" w:rsidRPr="00FC5C72" w:rsidRDefault="001F32B8" w:rsidP="00785B18">
      <w:pPr>
        <w:spacing w:after="0" w:line="240" w:lineRule="auto"/>
        <w:jc w:val="both"/>
        <w:rPr>
          <w:noProof/>
          <w:sz w:val="24"/>
          <w:szCs w:val="24"/>
        </w:rPr>
      </w:pPr>
    </w:p>
    <w:p w14:paraId="64DA921B" w14:textId="17E20A3B" w:rsidR="001F32B8" w:rsidRPr="00FC5C72" w:rsidRDefault="001F32B8" w:rsidP="00785B18">
      <w:pPr>
        <w:spacing w:after="0" w:line="240" w:lineRule="auto"/>
        <w:jc w:val="both"/>
        <w:rPr>
          <w:b/>
          <w:noProof/>
          <w:sz w:val="24"/>
          <w:szCs w:val="24"/>
        </w:rPr>
      </w:pPr>
      <w:r w:rsidRPr="00FC5C72">
        <w:rPr>
          <w:b/>
          <w:bCs/>
          <w:noProof/>
          <w:sz w:val="24"/>
          <w:szCs w:val="24"/>
        </w:rPr>
        <w:t xml:space="preserve">ცხრილი 8. ეფექტიანობის შეფასების შედეგები კვლევაში </w:t>
      </w:r>
      <w:r w:rsidRPr="00FC5C72">
        <w:rPr>
          <w:rFonts w:ascii="Times New Roman" w:hAnsi="Times New Roman"/>
          <w:b/>
          <w:noProof/>
          <w:sz w:val="24"/>
          <w:szCs w:val="24"/>
        </w:rPr>
        <w:t>AMPLIFY</w:t>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7"/>
        <w:gridCol w:w="1620"/>
        <w:gridCol w:w="1890"/>
        <w:gridCol w:w="2070"/>
      </w:tblGrid>
      <w:tr w:rsidR="00FC5C72" w:rsidRPr="00FC5C72" w14:paraId="4A99DDB9" w14:textId="77777777" w:rsidTr="001F32B8">
        <w:trPr>
          <w:tblHeader/>
        </w:trPr>
        <w:tc>
          <w:tcPr>
            <w:tcW w:w="4387" w:type="dxa"/>
          </w:tcPr>
          <w:p w14:paraId="7E0B8771" w14:textId="77777777" w:rsidR="001F32B8" w:rsidRPr="00FC5C72" w:rsidRDefault="001F32B8" w:rsidP="00785B18">
            <w:pPr>
              <w:pStyle w:val="BMSTableHeader"/>
              <w:keepNext/>
              <w:keepLines/>
              <w:spacing w:before="0" w:after="0"/>
              <w:contextualSpacing/>
              <w:rPr>
                <w:noProof/>
                <w:sz w:val="22"/>
                <w:szCs w:val="22"/>
              </w:rPr>
            </w:pPr>
          </w:p>
        </w:tc>
        <w:tc>
          <w:tcPr>
            <w:tcW w:w="1620" w:type="dxa"/>
          </w:tcPr>
          <w:p w14:paraId="1B57EEF1" w14:textId="43802B74" w:rsidR="001F32B8" w:rsidRPr="00FC5C72" w:rsidRDefault="001F32B8" w:rsidP="00785B18">
            <w:pPr>
              <w:pStyle w:val="BMSTableHeader"/>
              <w:keepNext/>
              <w:keepLines/>
              <w:spacing w:before="0" w:after="0"/>
              <w:contextualSpacing/>
              <w:rPr>
                <w:rFonts w:ascii="Sylfaen" w:hAnsi="Sylfaen"/>
                <w:noProof/>
                <w:sz w:val="22"/>
                <w:szCs w:val="22"/>
                <w:lang w:val="ka-GE"/>
              </w:rPr>
            </w:pPr>
            <w:r w:rsidRPr="00FC5C72">
              <w:rPr>
                <w:rFonts w:ascii="Sylfaen" w:hAnsi="Sylfaen"/>
                <w:noProof/>
                <w:sz w:val="22"/>
                <w:szCs w:val="22"/>
                <w:lang w:val="ka-GE"/>
              </w:rPr>
              <w:t>აპიქსაბანი</w:t>
            </w:r>
          </w:p>
          <w:p w14:paraId="177654D1" w14:textId="77777777" w:rsidR="001F32B8" w:rsidRPr="00FC5C72" w:rsidRDefault="001F32B8" w:rsidP="00785B18">
            <w:pPr>
              <w:pStyle w:val="BMSTableHeader"/>
              <w:keepNext/>
              <w:keepLines/>
              <w:spacing w:before="0" w:after="0"/>
              <w:contextualSpacing/>
              <w:rPr>
                <w:noProof/>
                <w:sz w:val="22"/>
                <w:szCs w:val="22"/>
              </w:rPr>
            </w:pPr>
            <w:r w:rsidRPr="00FC5C72">
              <w:rPr>
                <w:noProof/>
                <w:sz w:val="22"/>
                <w:szCs w:val="22"/>
              </w:rPr>
              <w:t>N=2609</w:t>
            </w:r>
          </w:p>
          <w:p w14:paraId="31A0916C" w14:textId="77777777" w:rsidR="001F32B8" w:rsidRPr="00FC5C72" w:rsidRDefault="001F32B8" w:rsidP="00785B18">
            <w:pPr>
              <w:pStyle w:val="BMSTableHeader"/>
              <w:keepNext/>
              <w:keepLines/>
              <w:spacing w:before="0" w:after="0"/>
              <w:contextualSpacing/>
              <w:rPr>
                <w:noProof/>
                <w:sz w:val="22"/>
                <w:szCs w:val="22"/>
              </w:rPr>
            </w:pPr>
            <w:r w:rsidRPr="00FC5C72">
              <w:rPr>
                <w:noProof/>
                <w:sz w:val="22"/>
                <w:szCs w:val="22"/>
              </w:rPr>
              <w:t>n (%)</w:t>
            </w:r>
          </w:p>
        </w:tc>
        <w:tc>
          <w:tcPr>
            <w:tcW w:w="1890" w:type="dxa"/>
          </w:tcPr>
          <w:p w14:paraId="73CB82D7" w14:textId="77777777" w:rsidR="001F32B8" w:rsidRPr="00FC5C72" w:rsidRDefault="001F32B8" w:rsidP="00785B18">
            <w:pPr>
              <w:pStyle w:val="BMSTableHeader"/>
              <w:keepNext/>
              <w:keepLines/>
              <w:spacing w:before="0" w:after="0"/>
              <w:contextualSpacing/>
              <w:rPr>
                <w:rFonts w:ascii="Sylfaen" w:hAnsi="Sylfaen"/>
                <w:noProof/>
                <w:sz w:val="22"/>
                <w:szCs w:val="22"/>
                <w:lang w:val="ka-GE"/>
              </w:rPr>
            </w:pPr>
            <w:r w:rsidRPr="00FC5C72">
              <w:rPr>
                <w:rFonts w:ascii="Sylfaen" w:hAnsi="Sylfaen"/>
                <w:noProof/>
                <w:sz w:val="22"/>
                <w:szCs w:val="22"/>
                <w:lang w:val="ka-GE"/>
              </w:rPr>
              <w:t>ენოქსაპარინი/</w:t>
            </w:r>
          </w:p>
          <w:p w14:paraId="77F79840" w14:textId="32409CC8" w:rsidR="001F32B8" w:rsidRPr="00FC5C72" w:rsidRDefault="001F32B8" w:rsidP="00785B18">
            <w:pPr>
              <w:pStyle w:val="BMSTableHeader"/>
              <w:keepNext/>
              <w:keepLines/>
              <w:spacing w:before="0" w:after="0"/>
              <w:contextualSpacing/>
              <w:rPr>
                <w:rFonts w:ascii="Sylfaen" w:hAnsi="Sylfaen"/>
                <w:noProof/>
                <w:sz w:val="22"/>
                <w:szCs w:val="22"/>
                <w:lang w:val="ka-GE"/>
              </w:rPr>
            </w:pPr>
            <w:r w:rsidRPr="00FC5C72">
              <w:rPr>
                <w:rFonts w:ascii="Sylfaen" w:hAnsi="Sylfaen"/>
                <w:noProof/>
                <w:sz w:val="22"/>
                <w:szCs w:val="22"/>
                <w:lang w:val="ka-GE"/>
              </w:rPr>
              <w:t>ვარფარინი</w:t>
            </w:r>
          </w:p>
          <w:p w14:paraId="7098BC0B" w14:textId="77777777" w:rsidR="001F32B8" w:rsidRPr="00FC5C72" w:rsidRDefault="001F32B8" w:rsidP="00785B18">
            <w:pPr>
              <w:pStyle w:val="BMSTableHeader"/>
              <w:keepNext/>
              <w:keepLines/>
              <w:spacing w:before="0" w:after="0"/>
              <w:contextualSpacing/>
              <w:rPr>
                <w:noProof/>
                <w:sz w:val="22"/>
                <w:szCs w:val="22"/>
              </w:rPr>
            </w:pPr>
            <w:r w:rsidRPr="00FC5C72">
              <w:rPr>
                <w:noProof/>
                <w:sz w:val="22"/>
                <w:szCs w:val="22"/>
              </w:rPr>
              <w:t>N=2635</w:t>
            </w:r>
          </w:p>
          <w:p w14:paraId="2E72E84F" w14:textId="77777777" w:rsidR="001F32B8" w:rsidRPr="00FC5C72" w:rsidRDefault="001F32B8" w:rsidP="00785B18">
            <w:pPr>
              <w:pStyle w:val="BMSTableHeader"/>
              <w:keepNext/>
              <w:keepLines/>
              <w:spacing w:before="0" w:after="0"/>
              <w:contextualSpacing/>
              <w:rPr>
                <w:noProof/>
                <w:sz w:val="22"/>
                <w:szCs w:val="22"/>
              </w:rPr>
            </w:pPr>
            <w:r w:rsidRPr="00FC5C72">
              <w:rPr>
                <w:noProof/>
                <w:sz w:val="22"/>
                <w:szCs w:val="22"/>
              </w:rPr>
              <w:t>n (%)</w:t>
            </w:r>
          </w:p>
        </w:tc>
        <w:tc>
          <w:tcPr>
            <w:tcW w:w="2070" w:type="dxa"/>
          </w:tcPr>
          <w:p w14:paraId="0946F159" w14:textId="20489DF3" w:rsidR="001F32B8" w:rsidRPr="00FC5C72" w:rsidRDefault="001F32B8" w:rsidP="00785B18">
            <w:pPr>
              <w:pStyle w:val="BMSTableHeader"/>
              <w:keepNext/>
              <w:keepLines/>
              <w:spacing w:before="0" w:after="0"/>
              <w:contextualSpacing/>
              <w:rPr>
                <w:rFonts w:ascii="Sylfaen" w:hAnsi="Sylfaen"/>
                <w:noProof/>
                <w:sz w:val="22"/>
                <w:szCs w:val="22"/>
                <w:lang w:val="ka-GE"/>
              </w:rPr>
            </w:pPr>
            <w:r w:rsidRPr="00FC5C72">
              <w:rPr>
                <w:rFonts w:ascii="Sylfaen" w:hAnsi="Sylfaen"/>
                <w:noProof/>
                <w:sz w:val="22"/>
                <w:szCs w:val="22"/>
                <w:lang w:val="ka-GE"/>
              </w:rPr>
              <w:t>ფარდობითი რისკი</w:t>
            </w:r>
          </w:p>
          <w:p w14:paraId="01A5A439" w14:textId="5AD4361E" w:rsidR="001F32B8" w:rsidRPr="00FC5C72" w:rsidRDefault="001F32B8" w:rsidP="00785B18">
            <w:pPr>
              <w:pStyle w:val="BMSTableHeader"/>
              <w:keepNext/>
              <w:keepLines/>
              <w:spacing w:before="0" w:after="0"/>
              <w:contextualSpacing/>
              <w:rPr>
                <w:noProof/>
                <w:sz w:val="22"/>
                <w:szCs w:val="22"/>
              </w:rPr>
            </w:pPr>
            <w:r w:rsidRPr="00FC5C72">
              <w:rPr>
                <w:noProof/>
                <w:sz w:val="22"/>
                <w:szCs w:val="22"/>
              </w:rPr>
              <w:t>(95%-</w:t>
            </w:r>
            <w:r w:rsidRPr="00FC5C72">
              <w:rPr>
                <w:rFonts w:ascii="Sylfaen" w:hAnsi="Sylfaen"/>
                <w:noProof/>
                <w:sz w:val="22"/>
                <w:szCs w:val="22"/>
                <w:lang w:val="ka-GE"/>
              </w:rPr>
              <w:t>იანი ს/ი</w:t>
            </w:r>
            <w:r w:rsidRPr="00FC5C72">
              <w:rPr>
                <w:noProof/>
                <w:sz w:val="22"/>
                <w:szCs w:val="22"/>
              </w:rPr>
              <w:t>)</w:t>
            </w:r>
          </w:p>
        </w:tc>
      </w:tr>
      <w:tr w:rsidR="00FC5C72" w:rsidRPr="00FC5C72" w14:paraId="35303D22" w14:textId="77777777" w:rsidTr="001F32B8">
        <w:tc>
          <w:tcPr>
            <w:tcW w:w="4387" w:type="dxa"/>
          </w:tcPr>
          <w:p w14:paraId="0BDBD2D6" w14:textId="27164319" w:rsidR="001F32B8" w:rsidRPr="00FC5C72" w:rsidRDefault="001F32B8" w:rsidP="00785B18">
            <w:pPr>
              <w:pStyle w:val="BMSTableText"/>
              <w:keepNext/>
              <w:keepLines/>
              <w:spacing w:before="0" w:after="0"/>
              <w:contextualSpacing/>
              <w:jc w:val="both"/>
              <w:rPr>
                <w:rFonts w:asciiTheme="minorHAnsi" w:hAnsiTheme="minorHAnsi"/>
                <w:noProof/>
                <w:sz w:val="22"/>
                <w:szCs w:val="22"/>
                <w:lang w:val="ka-GE"/>
              </w:rPr>
            </w:pPr>
            <w:r w:rsidRPr="00FC5C72">
              <w:rPr>
                <w:rFonts w:ascii="Sylfaen" w:hAnsi="Sylfaen"/>
                <w:noProof/>
                <w:sz w:val="22"/>
                <w:szCs w:val="22"/>
                <w:lang w:val="ka-GE"/>
              </w:rPr>
              <w:t>ვთგ ან ვთგ-ით გამოწვეული სიკვდილი</w:t>
            </w:r>
            <w:r w:rsidRPr="00FC5C72">
              <w:rPr>
                <w:noProof/>
                <w:sz w:val="22"/>
                <w:szCs w:val="22"/>
              </w:rPr>
              <w:t xml:space="preserve"> </w:t>
            </w:r>
            <w:r w:rsidRPr="00FC5C72">
              <w:rPr>
                <w:rFonts w:asciiTheme="minorHAnsi" w:hAnsiTheme="minorHAnsi"/>
                <w:noProof/>
                <w:sz w:val="22"/>
                <w:szCs w:val="22"/>
                <w:lang w:val="ka-GE"/>
              </w:rPr>
              <w:t xml:space="preserve"> </w:t>
            </w:r>
          </w:p>
        </w:tc>
        <w:tc>
          <w:tcPr>
            <w:tcW w:w="1620" w:type="dxa"/>
          </w:tcPr>
          <w:p w14:paraId="0B340568"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59 (2,3)</w:t>
            </w:r>
          </w:p>
        </w:tc>
        <w:tc>
          <w:tcPr>
            <w:tcW w:w="1890" w:type="dxa"/>
          </w:tcPr>
          <w:p w14:paraId="65C019F5"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71 (2,7)</w:t>
            </w:r>
          </w:p>
        </w:tc>
        <w:tc>
          <w:tcPr>
            <w:tcW w:w="2070" w:type="dxa"/>
          </w:tcPr>
          <w:p w14:paraId="15B0A82B"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0,84 (0,60, 1,18)*</w:t>
            </w:r>
          </w:p>
        </w:tc>
      </w:tr>
      <w:tr w:rsidR="00FC5C72" w:rsidRPr="00FC5C72" w14:paraId="0193BEDF" w14:textId="77777777" w:rsidTr="001F32B8">
        <w:tc>
          <w:tcPr>
            <w:tcW w:w="4387" w:type="dxa"/>
          </w:tcPr>
          <w:p w14:paraId="16A60E15" w14:textId="4F64DDCF" w:rsidR="001F32B8" w:rsidRPr="00FC5C72" w:rsidRDefault="001F32B8" w:rsidP="00785B18">
            <w:pPr>
              <w:pStyle w:val="BMSTableText"/>
              <w:keepNext/>
              <w:keepLines/>
              <w:spacing w:before="0" w:after="0"/>
              <w:contextualSpacing/>
              <w:jc w:val="both"/>
              <w:rPr>
                <w:rFonts w:ascii="Sylfaen" w:hAnsi="Sylfaen"/>
                <w:noProof/>
                <w:sz w:val="22"/>
                <w:szCs w:val="22"/>
                <w:lang w:val="ka-GE"/>
              </w:rPr>
            </w:pPr>
            <w:r w:rsidRPr="00FC5C72">
              <w:rPr>
                <w:noProof/>
                <w:sz w:val="22"/>
                <w:szCs w:val="22"/>
              </w:rPr>
              <w:tab/>
            </w:r>
            <w:r w:rsidRPr="00FC5C72">
              <w:rPr>
                <w:rFonts w:ascii="Sylfaen" w:hAnsi="Sylfaen"/>
                <w:noProof/>
                <w:sz w:val="22"/>
                <w:szCs w:val="22"/>
                <w:lang w:val="ka-GE"/>
              </w:rPr>
              <w:t>ღვთ</w:t>
            </w:r>
          </w:p>
        </w:tc>
        <w:tc>
          <w:tcPr>
            <w:tcW w:w="1620" w:type="dxa"/>
          </w:tcPr>
          <w:p w14:paraId="7B76EF1A"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20 (0,7)</w:t>
            </w:r>
          </w:p>
        </w:tc>
        <w:tc>
          <w:tcPr>
            <w:tcW w:w="1890" w:type="dxa"/>
          </w:tcPr>
          <w:p w14:paraId="1CBFB07C"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33 (1,2)</w:t>
            </w:r>
          </w:p>
        </w:tc>
        <w:tc>
          <w:tcPr>
            <w:tcW w:w="2070" w:type="dxa"/>
          </w:tcPr>
          <w:p w14:paraId="00E2383A" w14:textId="77777777" w:rsidR="001F32B8" w:rsidRPr="00FC5C72" w:rsidRDefault="001F32B8" w:rsidP="00785B18">
            <w:pPr>
              <w:pStyle w:val="BMSTableText"/>
              <w:keepNext/>
              <w:keepLines/>
              <w:spacing w:before="0" w:after="0"/>
              <w:contextualSpacing/>
              <w:jc w:val="both"/>
              <w:rPr>
                <w:noProof/>
                <w:sz w:val="22"/>
                <w:szCs w:val="22"/>
              </w:rPr>
            </w:pPr>
          </w:p>
        </w:tc>
      </w:tr>
      <w:tr w:rsidR="00FC5C72" w:rsidRPr="00FC5C72" w14:paraId="44F21778" w14:textId="77777777" w:rsidTr="001F32B8">
        <w:tc>
          <w:tcPr>
            <w:tcW w:w="4387" w:type="dxa"/>
          </w:tcPr>
          <w:p w14:paraId="1C0E3487" w14:textId="4778E571" w:rsidR="001F32B8" w:rsidRPr="00FC5C72" w:rsidRDefault="001F32B8" w:rsidP="00785B18">
            <w:pPr>
              <w:pStyle w:val="BMSTableText"/>
              <w:keepNext/>
              <w:keepLines/>
              <w:spacing w:before="0" w:after="0"/>
              <w:contextualSpacing/>
              <w:jc w:val="both"/>
              <w:rPr>
                <w:rFonts w:ascii="Sylfaen" w:hAnsi="Sylfaen"/>
                <w:noProof/>
                <w:sz w:val="22"/>
                <w:szCs w:val="22"/>
                <w:lang w:val="ka-GE"/>
              </w:rPr>
            </w:pPr>
            <w:r w:rsidRPr="00FC5C72">
              <w:rPr>
                <w:noProof/>
                <w:sz w:val="22"/>
                <w:szCs w:val="22"/>
              </w:rPr>
              <w:tab/>
            </w:r>
            <w:r w:rsidRPr="00FC5C72">
              <w:rPr>
                <w:rFonts w:ascii="Sylfaen" w:hAnsi="Sylfaen"/>
                <w:noProof/>
                <w:sz w:val="22"/>
                <w:szCs w:val="22"/>
                <w:lang w:val="ka-GE"/>
              </w:rPr>
              <w:t>ფათე</w:t>
            </w:r>
          </w:p>
        </w:tc>
        <w:tc>
          <w:tcPr>
            <w:tcW w:w="1620" w:type="dxa"/>
          </w:tcPr>
          <w:p w14:paraId="6801D0E7"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27 (1,0)</w:t>
            </w:r>
          </w:p>
        </w:tc>
        <w:tc>
          <w:tcPr>
            <w:tcW w:w="1890" w:type="dxa"/>
          </w:tcPr>
          <w:p w14:paraId="28B825C4"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23 (0,9)</w:t>
            </w:r>
          </w:p>
        </w:tc>
        <w:tc>
          <w:tcPr>
            <w:tcW w:w="2070" w:type="dxa"/>
          </w:tcPr>
          <w:p w14:paraId="3B8DAB51" w14:textId="77777777" w:rsidR="001F32B8" w:rsidRPr="00FC5C72" w:rsidRDefault="001F32B8" w:rsidP="00785B18">
            <w:pPr>
              <w:pStyle w:val="BMSTableText"/>
              <w:keepNext/>
              <w:keepLines/>
              <w:spacing w:before="0" w:after="0"/>
              <w:contextualSpacing/>
              <w:jc w:val="both"/>
              <w:rPr>
                <w:noProof/>
                <w:sz w:val="22"/>
                <w:szCs w:val="22"/>
              </w:rPr>
            </w:pPr>
          </w:p>
        </w:tc>
      </w:tr>
      <w:tr w:rsidR="00FC5C72" w:rsidRPr="00FC5C72" w14:paraId="5EE95605" w14:textId="77777777" w:rsidTr="001F32B8">
        <w:tc>
          <w:tcPr>
            <w:tcW w:w="4387" w:type="dxa"/>
          </w:tcPr>
          <w:p w14:paraId="167B36A8" w14:textId="1E4A54DA" w:rsidR="001F32B8" w:rsidRPr="00FC5C72" w:rsidRDefault="001F32B8" w:rsidP="00785B18">
            <w:pPr>
              <w:pStyle w:val="BMSTableText"/>
              <w:keepNext/>
              <w:keepLines/>
              <w:spacing w:before="0" w:after="0"/>
              <w:ind w:left="315" w:hanging="315"/>
              <w:contextualSpacing/>
              <w:jc w:val="both"/>
              <w:rPr>
                <w:noProof/>
                <w:sz w:val="22"/>
                <w:szCs w:val="22"/>
              </w:rPr>
            </w:pPr>
            <w:r w:rsidRPr="00FC5C72">
              <w:rPr>
                <w:noProof/>
                <w:sz w:val="22"/>
                <w:szCs w:val="22"/>
              </w:rPr>
              <w:tab/>
            </w:r>
            <w:r w:rsidRPr="00FC5C72">
              <w:rPr>
                <w:rFonts w:ascii="Sylfaen" w:hAnsi="Sylfaen"/>
                <w:noProof/>
                <w:sz w:val="22"/>
                <w:szCs w:val="22"/>
                <w:lang w:val="ka-GE"/>
              </w:rPr>
              <w:t>ვთგ-ით გამოწვეული სიკვდილი</w:t>
            </w:r>
            <w:r w:rsidRPr="00FC5C72">
              <w:rPr>
                <w:noProof/>
                <w:sz w:val="22"/>
                <w:szCs w:val="22"/>
              </w:rPr>
              <w:t xml:space="preserve"> </w:t>
            </w:r>
            <w:r w:rsidRPr="00FC5C72">
              <w:rPr>
                <w:rFonts w:asciiTheme="minorHAnsi" w:hAnsiTheme="minorHAnsi"/>
                <w:noProof/>
                <w:sz w:val="22"/>
                <w:szCs w:val="22"/>
                <w:lang w:val="ka-GE"/>
              </w:rPr>
              <w:t xml:space="preserve"> </w:t>
            </w:r>
          </w:p>
        </w:tc>
        <w:tc>
          <w:tcPr>
            <w:tcW w:w="1620" w:type="dxa"/>
          </w:tcPr>
          <w:p w14:paraId="0FEC7944"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12 (0,4)</w:t>
            </w:r>
          </w:p>
        </w:tc>
        <w:tc>
          <w:tcPr>
            <w:tcW w:w="1890" w:type="dxa"/>
          </w:tcPr>
          <w:p w14:paraId="7DF4DBF3"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15 (0,6)</w:t>
            </w:r>
          </w:p>
        </w:tc>
        <w:tc>
          <w:tcPr>
            <w:tcW w:w="2070" w:type="dxa"/>
          </w:tcPr>
          <w:p w14:paraId="35A6E699" w14:textId="77777777" w:rsidR="001F32B8" w:rsidRPr="00FC5C72" w:rsidRDefault="001F32B8" w:rsidP="00785B18">
            <w:pPr>
              <w:pStyle w:val="BMSTableText"/>
              <w:keepNext/>
              <w:keepLines/>
              <w:spacing w:before="0" w:after="0"/>
              <w:contextualSpacing/>
              <w:jc w:val="both"/>
              <w:rPr>
                <w:noProof/>
                <w:sz w:val="22"/>
                <w:szCs w:val="22"/>
              </w:rPr>
            </w:pPr>
          </w:p>
        </w:tc>
      </w:tr>
      <w:tr w:rsidR="00FC5C72" w:rsidRPr="00FC5C72" w14:paraId="54B5713D" w14:textId="77777777" w:rsidTr="001F32B8">
        <w:tc>
          <w:tcPr>
            <w:tcW w:w="4387" w:type="dxa"/>
          </w:tcPr>
          <w:p w14:paraId="3895E0DF" w14:textId="5F37FC32" w:rsidR="001F32B8" w:rsidRPr="00FC5C72" w:rsidRDefault="001F32B8" w:rsidP="00785B18">
            <w:pPr>
              <w:pStyle w:val="BMSTableText"/>
              <w:keepNext/>
              <w:keepLines/>
              <w:spacing w:before="0" w:after="0"/>
              <w:contextualSpacing/>
              <w:jc w:val="both"/>
              <w:rPr>
                <w:rFonts w:ascii="Sylfaen" w:hAnsi="Sylfaen"/>
                <w:noProof/>
                <w:sz w:val="22"/>
                <w:szCs w:val="22"/>
                <w:lang w:val="ka-GE"/>
              </w:rPr>
            </w:pPr>
            <w:r w:rsidRPr="00FC5C72">
              <w:rPr>
                <w:rFonts w:ascii="Sylfaen" w:hAnsi="Sylfaen"/>
                <w:noProof/>
                <w:sz w:val="22"/>
                <w:szCs w:val="22"/>
                <w:lang w:val="ka-GE"/>
              </w:rPr>
              <w:t>ვთგ ან სიკვდილი ნებისმიერი მიზეზით</w:t>
            </w:r>
          </w:p>
        </w:tc>
        <w:tc>
          <w:tcPr>
            <w:tcW w:w="1620" w:type="dxa"/>
          </w:tcPr>
          <w:p w14:paraId="68E0A9CB"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84 (3,2)</w:t>
            </w:r>
          </w:p>
        </w:tc>
        <w:tc>
          <w:tcPr>
            <w:tcW w:w="1890" w:type="dxa"/>
          </w:tcPr>
          <w:p w14:paraId="0DDEC856"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104 (4,0)</w:t>
            </w:r>
          </w:p>
        </w:tc>
        <w:tc>
          <w:tcPr>
            <w:tcW w:w="2070" w:type="dxa"/>
          </w:tcPr>
          <w:p w14:paraId="36B83AD3"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0,82 (0,61, 1,08)</w:t>
            </w:r>
          </w:p>
        </w:tc>
      </w:tr>
      <w:tr w:rsidR="00FC5C72" w:rsidRPr="00FC5C72" w14:paraId="6C2A800D" w14:textId="77777777" w:rsidTr="001F32B8">
        <w:tc>
          <w:tcPr>
            <w:tcW w:w="4387" w:type="dxa"/>
          </w:tcPr>
          <w:p w14:paraId="4FC62107" w14:textId="4D00C98A" w:rsidR="001F32B8" w:rsidRPr="00FC5C72" w:rsidRDefault="001F32B8" w:rsidP="00785B18">
            <w:pPr>
              <w:pStyle w:val="BMSTableText"/>
              <w:keepNext/>
              <w:keepLines/>
              <w:spacing w:before="0" w:after="0"/>
              <w:contextualSpacing/>
              <w:jc w:val="both"/>
              <w:rPr>
                <w:noProof/>
                <w:sz w:val="22"/>
                <w:szCs w:val="22"/>
              </w:rPr>
            </w:pPr>
            <w:r w:rsidRPr="00FC5C72">
              <w:rPr>
                <w:rFonts w:ascii="Sylfaen" w:hAnsi="Sylfaen"/>
                <w:noProof/>
                <w:sz w:val="22"/>
                <w:szCs w:val="22"/>
                <w:lang w:val="ka-GE"/>
              </w:rPr>
              <w:t>ვთგ ან გულ-სისხლძარღვთა დაავადებით გამოწვეული სიკვდილი</w:t>
            </w:r>
          </w:p>
        </w:tc>
        <w:tc>
          <w:tcPr>
            <w:tcW w:w="1620" w:type="dxa"/>
          </w:tcPr>
          <w:p w14:paraId="7EEDEAA6"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61 (2,3)</w:t>
            </w:r>
          </w:p>
        </w:tc>
        <w:tc>
          <w:tcPr>
            <w:tcW w:w="1890" w:type="dxa"/>
          </w:tcPr>
          <w:p w14:paraId="084FCBBC"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77 (2,9)</w:t>
            </w:r>
          </w:p>
        </w:tc>
        <w:tc>
          <w:tcPr>
            <w:tcW w:w="2070" w:type="dxa"/>
          </w:tcPr>
          <w:p w14:paraId="78478E49"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0,80 (0,57, 1,11)</w:t>
            </w:r>
          </w:p>
        </w:tc>
      </w:tr>
      <w:tr w:rsidR="00FC5C72" w:rsidRPr="00FC5C72" w14:paraId="2B6F0649" w14:textId="77777777" w:rsidTr="001F32B8">
        <w:tc>
          <w:tcPr>
            <w:tcW w:w="4387" w:type="dxa"/>
          </w:tcPr>
          <w:p w14:paraId="357F648A" w14:textId="28A3330B" w:rsidR="001F32B8" w:rsidRPr="00FC5C72" w:rsidRDefault="001F32B8" w:rsidP="00785B18">
            <w:pPr>
              <w:pStyle w:val="BMSTableText"/>
              <w:keepNext/>
              <w:keepLines/>
              <w:spacing w:before="0" w:after="0"/>
              <w:contextualSpacing/>
              <w:jc w:val="both"/>
              <w:rPr>
                <w:rFonts w:ascii="Sylfaen" w:hAnsi="Sylfaen"/>
                <w:noProof/>
                <w:sz w:val="22"/>
                <w:szCs w:val="22"/>
                <w:lang w:val="ka-GE"/>
              </w:rPr>
            </w:pPr>
            <w:r w:rsidRPr="00FC5C72">
              <w:rPr>
                <w:rFonts w:ascii="Sylfaen" w:hAnsi="Sylfaen"/>
                <w:noProof/>
                <w:sz w:val="22"/>
                <w:szCs w:val="22"/>
                <w:lang w:val="ka-GE"/>
              </w:rPr>
              <w:t>ვთგ</w:t>
            </w:r>
            <w:r w:rsidRPr="00FC5C72">
              <w:rPr>
                <w:noProof/>
                <w:sz w:val="22"/>
                <w:szCs w:val="22"/>
              </w:rPr>
              <w:t>,</w:t>
            </w:r>
            <w:r w:rsidRPr="00FC5C72">
              <w:rPr>
                <w:rFonts w:asciiTheme="minorHAnsi" w:hAnsiTheme="minorHAnsi"/>
                <w:noProof/>
                <w:sz w:val="22"/>
                <w:szCs w:val="22"/>
                <w:lang w:val="ka-GE"/>
              </w:rPr>
              <w:t xml:space="preserve"> ვთგ-ით გამოწვეული სიკვდილი</w:t>
            </w:r>
            <w:r w:rsidRPr="00FC5C72">
              <w:rPr>
                <w:noProof/>
                <w:sz w:val="22"/>
                <w:szCs w:val="22"/>
              </w:rPr>
              <w:t xml:space="preserve">, </w:t>
            </w:r>
            <w:r w:rsidRPr="00FC5C72">
              <w:rPr>
                <w:rFonts w:ascii="Sylfaen" w:hAnsi="Sylfaen"/>
                <w:noProof/>
                <w:sz w:val="22"/>
                <w:szCs w:val="22"/>
                <w:lang w:val="ka-GE"/>
              </w:rPr>
              <w:t>მნიშვნელოვანი სისხლდენა</w:t>
            </w:r>
          </w:p>
        </w:tc>
        <w:tc>
          <w:tcPr>
            <w:tcW w:w="1620" w:type="dxa"/>
          </w:tcPr>
          <w:p w14:paraId="7340D8AC"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73 (2,8)</w:t>
            </w:r>
          </w:p>
        </w:tc>
        <w:tc>
          <w:tcPr>
            <w:tcW w:w="1890" w:type="dxa"/>
          </w:tcPr>
          <w:p w14:paraId="19C536D2"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118 (4,5)</w:t>
            </w:r>
          </w:p>
        </w:tc>
        <w:tc>
          <w:tcPr>
            <w:tcW w:w="2070" w:type="dxa"/>
          </w:tcPr>
          <w:p w14:paraId="3DD4E557" w14:textId="77777777" w:rsidR="001F32B8" w:rsidRPr="00FC5C72" w:rsidRDefault="001F32B8" w:rsidP="00785B18">
            <w:pPr>
              <w:pStyle w:val="BMSTableText"/>
              <w:keepNext/>
              <w:keepLines/>
              <w:spacing w:before="0" w:after="0"/>
              <w:contextualSpacing/>
              <w:jc w:val="both"/>
              <w:rPr>
                <w:noProof/>
                <w:sz w:val="22"/>
                <w:szCs w:val="22"/>
              </w:rPr>
            </w:pPr>
            <w:r w:rsidRPr="00FC5C72">
              <w:rPr>
                <w:noProof/>
                <w:sz w:val="22"/>
                <w:szCs w:val="22"/>
              </w:rPr>
              <w:t>0,62 (0,47, 0,83)</w:t>
            </w:r>
          </w:p>
        </w:tc>
      </w:tr>
    </w:tbl>
    <w:p w14:paraId="05949CB2" w14:textId="00863EED" w:rsidR="001F32B8" w:rsidRPr="00FC5C72" w:rsidRDefault="001F32B8" w:rsidP="00785B18">
      <w:pPr>
        <w:spacing w:after="0" w:line="240" w:lineRule="auto"/>
        <w:jc w:val="both"/>
        <w:rPr>
          <w:noProof/>
          <w:sz w:val="24"/>
          <w:szCs w:val="24"/>
        </w:rPr>
      </w:pPr>
      <w:r w:rsidRPr="00FC5C72">
        <w:rPr>
          <w:noProof/>
          <w:sz w:val="24"/>
          <w:szCs w:val="24"/>
        </w:rPr>
        <w:t>* არანაკლებ, ენოქსაპარინ</w:t>
      </w:r>
      <w:r w:rsidR="00861A25" w:rsidRPr="00FC5C72">
        <w:rPr>
          <w:noProof/>
          <w:sz w:val="24"/>
          <w:szCs w:val="24"/>
        </w:rPr>
        <w:t>თან</w:t>
      </w:r>
      <w:r w:rsidRPr="00FC5C72">
        <w:rPr>
          <w:noProof/>
          <w:sz w:val="24"/>
          <w:szCs w:val="24"/>
        </w:rPr>
        <w:t>/ვარფარინთან შედარებით (</w:t>
      </w:r>
      <w:r w:rsidRPr="00FC5C72">
        <w:rPr>
          <w:noProof/>
          <w:sz w:val="24"/>
          <w:szCs w:val="24"/>
          <w:lang w:val="en-US"/>
        </w:rPr>
        <w:t>p-</w:t>
      </w:r>
      <w:r w:rsidRPr="00FC5C72">
        <w:rPr>
          <w:noProof/>
          <w:sz w:val="24"/>
          <w:szCs w:val="24"/>
        </w:rPr>
        <w:t>მნიშვნელობა &lt;0.0001)</w:t>
      </w:r>
    </w:p>
    <w:p w14:paraId="6F2DCB72" w14:textId="77777777" w:rsidR="009179AC" w:rsidRPr="00FC5C72" w:rsidRDefault="009179AC" w:rsidP="00785B18">
      <w:pPr>
        <w:spacing w:after="0" w:line="240" w:lineRule="auto"/>
        <w:jc w:val="both"/>
        <w:rPr>
          <w:noProof/>
          <w:sz w:val="24"/>
          <w:szCs w:val="24"/>
        </w:rPr>
      </w:pPr>
    </w:p>
    <w:p w14:paraId="0341C048" w14:textId="3BE5396C" w:rsidR="001F32B8" w:rsidRPr="00FC5C72" w:rsidRDefault="00301990" w:rsidP="00785B18">
      <w:pPr>
        <w:spacing w:after="0" w:line="240" w:lineRule="auto"/>
        <w:jc w:val="both"/>
        <w:rPr>
          <w:noProof/>
          <w:sz w:val="24"/>
          <w:szCs w:val="24"/>
        </w:rPr>
      </w:pPr>
      <w:r w:rsidRPr="00FC5C72">
        <w:rPr>
          <w:noProof/>
          <w:sz w:val="24"/>
          <w:szCs w:val="24"/>
        </w:rPr>
        <w:t>ვთგ-ის პირველადი მკურნალობისას აპიქსაბანის ეფექტიანობა მსგავსი იყო</w:t>
      </w:r>
      <w:r w:rsidR="006E3239" w:rsidRPr="00FC5C72">
        <w:rPr>
          <w:noProof/>
          <w:sz w:val="24"/>
          <w:szCs w:val="24"/>
        </w:rPr>
        <w:t xml:space="preserve"> პაციენტებში, რომლებსაც უტარდებოდათ ფათე-ის (ფართობითი რისკი: 0.9, 95%-იანი ს/ი 0.5–1.6) ან ღვთ-ის (ფართობითი რისკი: 0.8 , 95%-იანი ს/ი 0.5–1.3)  მკურნალობა. ასაკის, სქესის, სხეულის მასის ინდექსის (სმი), თირკმელების ფუნქციის, ინდექსური ფათე-ის გავრცელების მაჩვენებლის, ღვთ-ის დროს თრომბის ლოკალიზაციის და ჰეპარინის პარენტერალური შეყვანის შემდეგ გამოყოფილი სხვადასხვა ქვეჯგუფების პაციენტებში ეფექტიანობა ზოგადად მსგავსი იყო. </w:t>
      </w:r>
    </w:p>
    <w:p w14:paraId="79AD7D03" w14:textId="7A09B4D4" w:rsidR="006E3239" w:rsidRPr="00FC5C72" w:rsidRDefault="00F103C7" w:rsidP="00785B18">
      <w:pPr>
        <w:spacing w:after="0" w:line="240" w:lineRule="auto"/>
        <w:jc w:val="both"/>
        <w:rPr>
          <w:noProof/>
          <w:sz w:val="24"/>
          <w:szCs w:val="24"/>
        </w:rPr>
      </w:pPr>
      <w:r w:rsidRPr="00FC5C72">
        <w:rPr>
          <w:noProof/>
          <w:sz w:val="24"/>
          <w:szCs w:val="24"/>
        </w:rPr>
        <w:t>უსაფრთხოების შეფასების პირველადი საბოლოო წერტილი იყო მნიშვნელოვანი სისხლდენა. კვლევაში აპიქსაბანი</w:t>
      </w:r>
      <w:r w:rsidR="009179AC" w:rsidRPr="00FC5C72">
        <w:rPr>
          <w:noProof/>
          <w:sz w:val="24"/>
          <w:szCs w:val="24"/>
        </w:rPr>
        <w:t>ს</w:t>
      </w:r>
      <w:r w:rsidRPr="00FC5C72">
        <w:rPr>
          <w:noProof/>
          <w:sz w:val="24"/>
          <w:szCs w:val="24"/>
        </w:rPr>
        <w:t xml:space="preserve"> </w:t>
      </w:r>
      <w:r w:rsidR="009179AC" w:rsidRPr="00FC5C72">
        <w:rPr>
          <w:noProof/>
          <w:sz w:val="24"/>
          <w:szCs w:val="24"/>
        </w:rPr>
        <w:t xml:space="preserve">უსაფრთხოების შეფასების პირველადი საბოლოო წერტილი </w:t>
      </w:r>
      <w:r w:rsidRPr="00FC5C72">
        <w:rPr>
          <w:noProof/>
          <w:sz w:val="24"/>
          <w:szCs w:val="24"/>
        </w:rPr>
        <w:t xml:space="preserve">სტატისტიკურად </w:t>
      </w:r>
      <w:r w:rsidR="009179AC" w:rsidRPr="00FC5C72">
        <w:rPr>
          <w:noProof/>
          <w:sz w:val="24"/>
          <w:szCs w:val="24"/>
        </w:rPr>
        <w:t>უკეთესი იყო, ვიდრე</w:t>
      </w:r>
      <w:r w:rsidRPr="00FC5C72">
        <w:rPr>
          <w:noProof/>
          <w:sz w:val="24"/>
          <w:szCs w:val="24"/>
        </w:rPr>
        <w:t xml:space="preserve"> ენოქსაპარინ</w:t>
      </w:r>
      <w:r w:rsidR="009179AC" w:rsidRPr="00FC5C72">
        <w:rPr>
          <w:noProof/>
          <w:sz w:val="24"/>
          <w:szCs w:val="24"/>
        </w:rPr>
        <w:t>ი</w:t>
      </w:r>
      <w:r w:rsidRPr="00FC5C72">
        <w:rPr>
          <w:noProof/>
          <w:sz w:val="24"/>
          <w:szCs w:val="24"/>
        </w:rPr>
        <w:t>ს/ვარფარინ</w:t>
      </w:r>
      <w:r w:rsidR="009179AC" w:rsidRPr="00FC5C72">
        <w:rPr>
          <w:noProof/>
          <w:sz w:val="24"/>
          <w:szCs w:val="24"/>
        </w:rPr>
        <w:t>ი</w:t>
      </w:r>
      <w:r w:rsidRPr="00FC5C72">
        <w:rPr>
          <w:noProof/>
          <w:sz w:val="24"/>
          <w:szCs w:val="24"/>
        </w:rPr>
        <w:t xml:space="preserve">ს </w:t>
      </w:r>
      <w:r w:rsidR="009179AC" w:rsidRPr="00FC5C72">
        <w:rPr>
          <w:noProof/>
          <w:sz w:val="24"/>
          <w:szCs w:val="24"/>
        </w:rPr>
        <w:t>შემთხვევაში</w:t>
      </w:r>
      <w:r w:rsidRPr="00FC5C72">
        <w:rPr>
          <w:noProof/>
          <w:sz w:val="24"/>
          <w:szCs w:val="24"/>
        </w:rPr>
        <w:t xml:space="preserve"> (ფარდობითი რისკი: 0.31, 95%-იანი სანდოობის ინტერვალი 0.17–0.55, p-მნიშვნელობა &lt;0.0001) (იხ. ცხრილი 9). </w:t>
      </w:r>
    </w:p>
    <w:p w14:paraId="221AB41D" w14:textId="777A1716" w:rsidR="001F32B8" w:rsidRPr="00FC5C72" w:rsidRDefault="001F32B8" w:rsidP="00785B18">
      <w:pPr>
        <w:spacing w:after="0" w:line="240" w:lineRule="auto"/>
        <w:jc w:val="both"/>
        <w:rPr>
          <w:noProof/>
          <w:sz w:val="24"/>
          <w:szCs w:val="24"/>
        </w:rPr>
      </w:pPr>
    </w:p>
    <w:p w14:paraId="21D4A2A0" w14:textId="63D8AFD6" w:rsidR="00F103C7" w:rsidRPr="00FC5C72" w:rsidRDefault="00F103C7" w:rsidP="00785B18">
      <w:pPr>
        <w:spacing w:after="0" w:line="240" w:lineRule="auto"/>
        <w:jc w:val="both"/>
        <w:rPr>
          <w:b/>
          <w:noProof/>
          <w:sz w:val="24"/>
          <w:szCs w:val="24"/>
        </w:rPr>
      </w:pPr>
      <w:r w:rsidRPr="00FC5C72">
        <w:rPr>
          <w:b/>
          <w:bCs/>
          <w:noProof/>
          <w:sz w:val="24"/>
          <w:szCs w:val="24"/>
        </w:rPr>
        <w:t xml:space="preserve">ცხრილი 9. სისხლდენების შეფასების შედეგები კვლევაში </w:t>
      </w:r>
      <w:r w:rsidRPr="00FC5C72">
        <w:rPr>
          <w:b/>
          <w:noProof/>
          <w:sz w:val="24"/>
          <w:szCs w:val="24"/>
        </w:rPr>
        <w:t>AMPLIFY</w:t>
      </w:r>
    </w:p>
    <w:p w14:paraId="0ADE8926" w14:textId="77777777" w:rsidR="009179AC" w:rsidRPr="00FC5C72" w:rsidRDefault="009179AC" w:rsidP="00785B18">
      <w:pPr>
        <w:spacing w:after="0" w:line="240" w:lineRule="auto"/>
        <w:jc w:val="both"/>
        <w:rPr>
          <w:b/>
          <w:noProof/>
          <w:sz w:val="24"/>
          <w:szCs w:val="24"/>
        </w:rPr>
      </w:pPr>
    </w:p>
    <w:tbl>
      <w:tblPr>
        <w:tblW w:w="101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0"/>
        <w:gridCol w:w="2070"/>
        <w:gridCol w:w="2070"/>
        <w:gridCol w:w="1918"/>
      </w:tblGrid>
      <w:tr w:rsidR="00FC5C72" w:rsidRPr="00FC5C72" w14:paraId="293CFCFE" w14:textId="77777777" w:rsidTr="009179AC">
        <w:trPr>
          <w:trHeight w:val="1185"/>
          <w:tblHeader/>
        </w:trPr>
        <w:tc>
          <w:tcPr>
            <w:tcW w:w="4050" w:type="dxa"/>
          </w:tcPr>
          <w:p w14:paraId="30B04DD1" w14:textId="77777777" w:rsidR="00F103C7" w:rsidRPr="00FC5C72" w:rsidRDefault="00F103C7" w:rsidP="00785B18">
            <w:pPr>
              <w:pStyle w:val="BMSTableHeader"/>
              <w:keepNext/>
              <w:spacing w:before="0" w:after="0"/>
              <w:contextualSpacing/>
              <w:rPr>
                <w:noProof/>
                <w:sz w:val="24"/>
                <w:szCs w:val="24"/>
              </w:rPr>
            </w:pPr>
          </w:p>
        </w:tc>
        <w:tc>
          <w:tcPr>
            <w:tcW w:w="2070" w:type="dxa"/>
          </w:tcPr>
          <w:p w14:paraId="76A61CD2" w14:textId="0C1DABCB" w:rsidR="00F103C7" w:rsidRPr="00FC5C72" w:rsidRDefault="00F103C7" w:rsidP="00785B18">
            <w:pPr>
              <w:pStyle w:val="BMSTableHeader"/>
              <w:keepNext/>
              <w:spacing w:before="0" w:after="0"/>
              <w:contextualSpacing/>
              <w:rPr>
                <w:rFonts w:ascii="Sylfaen" w:hAnsi="Sylfaen"/>
                <w:noProof/>
                <w:sz w:val="24"/>
                <w:szCs w:val="24"/>
                <w:lang w:val="ka-GE"/>
              </w:rPr>
            </w:pPr>
            <w:r w:rsidRPr="00FC5C72">
              <w:rPr>
                <w:rFonts w:ascii="Sylfaen" w:hAnsi="Sylfaen"/>
                <w:noProof/>
                <w:sz w:val="24"/>
                <w:szCs w:val="24"/>
                <w:lang w:val="ka-GE"/>
              </w:rPr>
              <w:t>აპიქსაბანი</w:t>
            </w:r>
          </w:p>
          <w:p w14:paraId="5DAC9295" w14:textId="77777777" w:rsidR="00F103C7" w:rsidRPr="00FC5C72" w:rsidRDefault="00F103C7" w:rsidP="00785B18">
            <w:pPr>
              <w:pStyle w:val="BMSTableHeader"/>
              <w:keepNext/>
              <w:spacing w:before="0" w:after="0"/>
              <w:contextualSpacing/>
              <w:rPr>
                <w:noProof/>
                <w:sz w:val="24"/>
                <w:szCs w:val="24"/>
              </w:rPr>
            </w:pPr>
            <w:r w:rsidRPr="00FC5C72">
              <w:rPr>
                <w:noProof/>
                <w:sz w:val="24"/>
                <w:szCs w:val="24"/>
              </w:rPr>
              <w:t>N=2676</w:t>
            </w:r>
          </w:p>
          <w:p w14:paraId="4080465B" w14:textId="77777777" w:rsidR="00F103C7" w:rsidRPr="00FC5C72" w:rsidRDefault="00F103C7" w:rsidP="00785B18">
            <w:pPr>
              <w:pStyle w:val="BMSTableHeader"/>
              <w:keepNext/>
              <w:spacing w:before="0" w:after="0"/>
              <w:contextualSpacing/>
              <w:rPr>
                <w:noProof/>
                <w:sz w:val="24"/>
                <w:szCs w:val="24"/>
              </w:rPr>
            </w:pPr>
            <w:r w:rsidRPr="00FC5C72">
              <w:rPr>
                <w:noProof/>
                <w:sz w:val="24"/>
                <w:szCs w:val="24"/>
              </w:rPr>
              <w:t>n (%)</w:t>
            </w:r>
          </w:p>
        </w:tc>
        <w:tc>
          <w:tcPr>
            <w:tcW w:w="2070" w:type="dxa"/>
          </w:tcPr>
          <w:p w14:paraId="40E0EEB7" w14:textId="77777777" w:rsidR="00F103C7" w:rsidRPr="00FC5C72" w:rsidRDefault="00F103C7" w:rsidP="00785B18">
            <w:pPr>
              <w:pStyle w:val="BMSTableHeader"/>
              <w:keepNext/>
              <w:keepLines/>
              <w:spacing w:before="0" w:after="0"/>
              <w:contextualSpacing/>
              <w:rPr>
                <w:rFonts w:ascii="Sylfaen" w:hAnsi="Sylfaen"/>
                <w:noProof/>
                <w:sz w:val="24"/>
                <w:szCs w:val="24"/>
                <w:lang w:val="ka-GE"/>
              </w:rPr>
            </w:pPr>
            <w:r w:rsidRPr="00FC5C72">
              <w:rPr>
                <w:rFonts w:ascii="Sylfaen" w:hAnsi="Sylfaen"/>
                <w:noProof/>
                <w:sz w:val="24"/>
                <w:szCs w:val="24"/>
                <w:lang w:val="ka-GE"/>
              </w:rPr>
              <w:t>ენოქსაპარინი/</w:t>
            </w:r>
          </w:p>
          <w:p w14:paraId="1032B1C2" w14:textId="77777777" w:rsidR="00F103C7" w:rsidRPr="00FC5C72" w:rsidRDefault="00F103C7" w:rsidP="00785B18">
            <w:pPr>
              <w:pStyle w:val="BMSTableHeader"/>
              <w:keepNext/>
              <w:keepLines/>
              <w:spacing w:before="0" w:after="0"/>
              <w:contextualSpacing/>
              <w:rPr>
                <w:rFonts w:ascii="Sylfaen" w:hAnsi="Sylfaen"/>
                <w:noProof/>
                <w:sz w:val="24"/>
                <w:szCs w:val="24"/>
                <w:lang w:val="ka-GE"/>
              </w:rPr>
            </w:pPr>
            <w:r w:rsidRPr="00FC5C72">
              <w:rPr>
                <w:rFonts w:ascii="Sylfaen" w:hAnsi="Sylfaen"/>
                <w:noProof/>
                <w:sz w:val="24"/>
                <w:szCs w:val="24"/>
                <w:lang w:val="ka-GE"/>
              </w:rPr>
              <w:t>ვარფარინი</w:t>
            </w:r>
          </w:p>
          <w:p w14:paraId="72AA0199" w14:textId="77777777" w:rsidR="00F103C7" w:rsidRPr="00FC5C72" w:rsidRDefault="00F103C7" w:rsidP="00785B18">
            <w:pPr>
              <w:pStyle w:val="BMSTableHeader"/>
              <w:keepNext/>
              <w:spacing w:before="0" w:after="0"/>
              <w:contextualSpacing/>
              <w:rPr>
                <w:noProof/>
                <w:sz w:val="24"/>
                <w:szCs w:val="24"/>
              </w:rPr>
            </w:pPr>
            <w:r w:rsidRPr="00FC5C72">
              <w:rPr>
                <w:noProof/>
                <w:sz w:val="24"/>
                <w:szCs w:val="24"/>
              </w:rPr>
              <w:t>N=2689</w:t>
            </w:r>
          </w:p>
          <w:p w14:paraId="7F0C3A5F" w14:textId="77777777" w:rsidR="00F103C7" w:rsidRPr="00FC5C72" w:rsidRDefault="00F103C7" w:rsidP="00785B18">
            <w:pPr>
              <w:pStyle w:val="BMSTableHeader"/>
              <w:keepNext/>
              <w:spacing w:before="0" w:after="0"/>
              <w:contextualSpacing/>
              <w:rPr>
                <w:noProof/>
                <w:sz w:val="24"/>
                <w:szCs w:val="24"/>
              </w:rPr>
            </w:pPr>
            <w:r w:rsidRPr="00FC5C72">
              <w:rPr>
                <w:noProof/>
                <w:sz w:val="24"/>
                <w:szCs w:val="24"/>
              </w:rPr>
              <w:t>n (%)</w:t>
            </w:r>
          </w:p>
        </w:tc>
        <w:tc>
          <w:tcPr>
            <w:tcW w:w="1918" w:type="dxa"/>
          </w:tcPr>
          <w:p w14:paraId="002E6C9E" w14:textId="77777777" w:rsidR="00F103C7" w:rsidRPr="00FC5C72" w:rsidRDefault="00F103C7" w:rsidP="00785B18">
            <w:pPr>
              <w:pStyle w:val="BMSTableHeader"/>
              <w:keepNext/>
              <w:keepLines/>
              <w:spacing w:before="0" w:after="0"/>
              <w:contextualSpacing/>
              <w:rPr>
                <w:rFonts w:ascii="Sylfaen" w:hAnsi="Sylfaen"/>
                <w:noProof/>
                <w:sz w:val="24"/>
                <w:szCs w:val="24"/>
                <w:lang w:val="ka-GE"/>
              </w:rPr>
            </w:pPr>
            <w:r w:rsidRPr="00FC5C72">
              <w:rPr>
                <w:rFonts w:ascii="Sylfaen" w:hAnsi="Sylfaen"/>
                <w:noProof/>
                <w:sz w:val="24"/>
                <w:szCs w:val="24"/>
                <w:lang w:val="ka-GE"/>
              </w:rPr>
              <w:t>ფარდობითი რისკი</w:t>
            </w:r>
          </w:p>
          <w:p w14:paraId="0C6C13B7" w14:textId="1009AB1D" w:rsidR="00F103C7" w:rsidRPr="00FC5C72" w:rsidRDefault="00F103C7" w:rsidP="00785B18">
            <w:pPr>
              <w:pStyle w:val="BMSTableHeader"/>
              <w:keepNext/>
              <w:spacing w:before="0" w:after="0"/>
              <w:contextualSpacing/>
              <w:rPr>
                <w:noProof/>
                <w:sz w:val="24"/>
                <w:szCs w:val="24"/>
              </w:rPr>
            </w:pPr>
            <w:r w:rsidRPr="00FC5C72">
              <w:rPr>
                <w:noProof/>
                <w:sz w:val="24"/>
                <w:szCs w:val="24"/>
              </w:rPr>
              <w:t>(95%-</w:t>
            </w:r>
            <w:r w:rsidRPr="00FC5C72">
              <w:rPr>
                <w:rFonts w:ascii="Sylfaen" w:hAnsi="Sylfaen"/>
                <w:noProof/>
                <w:sz w:val="24"/>
                <w:szCs w:val="24"/>
                <w:lang w:val="ka-GE"/>
              </w:rPr>
              <w:t>იანი ს/ი</w:t>
            </w:r>
            <w:r w:rsidRPr="00FC5C72">
              <w:rPr>
                <w:noProof/>
                <w:sz w:val="24"/>
                <w:szCs w:val="24"/>
              </w:rPr>
              <w:t>)</w:t>
            </w:r>
          </w:p>
        </w:tc>
      </w:tr>
      <w:tr w:rsidR="00FC5C72" w:rsidRPr="00FC5C72" w14:paraId="2E5F6F23" w14:textId="77777777" w:rsidTr="009179AC">
        <w:trPr>
          <w:trHeight w:val="615"/>
        </w:trPr>
        <w:tc>
          <w:tcPr>
            <w:tcW w:w="4050" w:type="dxa"/>
          </w:tcPr>
          <w:p w14:paraId="23C267E1" w14:textId="287C915E" w:rsidR="00F103C7" w:rsidRPr="00FC5C72" w:rsidRDefault="00F103C7" w:rsidP="00785B18">
            <w:pPr>
              <w:pStyle w:val="BMSTableText"/>
              <w:spacing w:before="0" w:after="0"/>
              <w:contextualSpacing/>
              <w:jc w:val="both"/>
              <w:rPr>
                <w:rFonts w:ascii="Sylfaen" w:hAnsi="Sylfaen"/>
                <w:noProof/>
                <w:sz w:val="24"/>
                <w:szCs w:val="24"/>
                <w:lang w:val="ka-GE"/>
              </w:rPr>
            </w:pPr>
            <w:r w:rsidRPr="00FC5C72">
              <w:rPr>
                <w:rFonts w:ascii="Sylfaen" w:hAnsi="Sylfaen"/>
                <w:noProof/>
                <w:sz w:val="24"/>
                <w:szCs w:val="24"/>
                <w:lang w:val="ka-GE"/>
              </w:rPr>
              <w:t>მნიშვნელოვანი</w:t>
            </w:r>
          </w:p>
        </w:tc>
        <w:tc>
          <w:tcPr>
            <w:tcW w:w="2070" w:type="dxa"/>
          </w:tcPr>
          <w:p w14:paraId="7417E0C7"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15 (0,6)</w:t>
            </w:r>
          </w:p>
        </w:tc>
        <w:tc>
          <w:tcPr>
            <w:tcW w:w="2070" w:type="dxa"/>
          </w:tcPr>
          <w:p w14:paraId="53171B6B"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49 (1,8)</w:t>
            </w:r>
          </w:p>
        </w:tc>
        <w:tc>
          <w:tcPr>
            <w:tcW w:w="1918" w:type="dxa"/>
          </w:tcPr>
          <w:p w14:paraId="3883ABB7"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0,31 (0,17, 0,55)</w:t>
            </w:r>
          </w:p>
        </w:tc>
      </w:tr>
      <w:tr w:rsidR="00FC5C72" w:rsidRPr="00FC5C72" w14:paraId="162536AA" w14:textId="77777777" w:rsidTr="009179AC">
        <w:trPr>
          <w:trHeight w:val="555"/>
        </w:trPr>
        <w:tc>
          <w:tcPr>
            <w:tcW w:w="4050" w:type="dxa"/>
          </w:tcPr>
          <w:p w14:paraId="1E375B86" w14:textId="01927F5D" w:rsidR="00F103C7" w:rsidRPr="00FC5C72" w:rsidRDefault="00F103C7" w:rsidP="00785B18">
            <w:pPr>
              <w:pStyle w:val="BMSTableText"/>
              <w:spacing w:before="0" w:after="0"/>
              <w:contextualSpacing/>
              <w:jc w:val="both"/>
              <w:rPr>
                <w:rFonts w:ascii="Sylfaen" w:hAnsi="Sylfaen"/>
                <w:noProof/>
                <w:sz w:val="24"/>
                <w:szCs w:val="24"/>
                <w:lang w:val="ka-GE"/>
              </w:rPr>
            </w:pPr>
            <w:r w:rsidRPr="00FC5C72">
              <w:rPr>
                <w:rFonts w:ascii="Sylfaen" w:hAnsi="Sylfaen"/>
                <w:noProof/>
                <w:sz w:val="24"/>
                <w:szCs w:val="24"/>
                <w:lang w:val="ka-GE"/>
              </w:rPr>
              <w:t>მნიშვნელოვანი</w:t>
            </w:r>
            <w:r w:rsidR="009179AC" w:rsidRPr="00FC5C72">
              <w:rPr>
                <w:rFonts w:ascii="Sylfaen" w:hAnsi="Sylfaen"/>
                <w:noProof/>
                <w:sz w:val="24"/>
                <w:szCs w:val="24"/>
                <w:lang w:val="ka-GE"/>
              </w:rPr>
              <w:t xml:space="preserve"> </w:t>
            </w:r>
            <w:r w:rsidRPr="00FC5C72">
              <w:rPr>
                <w:noProof/>
                <w:sz w:val="24"/>
                <w:szCs w:val="24"/>
              </w:rPr>
              <w:t>+</w:t>
            </w:r>
            <w:r w:rsidR="00D467B4" w:rsidRPr="00FC5C72">
              <w:rPr>
                <w:rFonts w:asciiTheme="minorHAnsi" w:hAnsiTheme="minorHAnsi"/>
                <w:noProof/>
                <w:sz w:val="24"/>
                <w:szCs w:val="24"/>
                <w:lang w:val="ka-GE"/>
              </w:rPr>
              <w:t xml:space="preserve"> </w:t>
            </w:r>
            <w:r w:rsidRPr="00FC5C72">
              <w:rPr>
                <w:rFonts w:ascii="Sylfaen" w:hAnsi="Sylfaen"/>
                <w:noProof/>
                <w:sz w:val="24"/>
                <w:szCs w:val="24"/>
                <w:lang w:val="ka-GE"/>
              </w:rPr>
              <w:t>კლინიკურად მნიშვნელოვანი მცირე სისხლდენა</w:t>
            </w:r>
          </w:p>
        </w:tc>
        <w:tc>
          <w:tcPr>
            <w:tcW w:w="2070" w:type="dxa"/>
          </w:tcPr>
          <w:p w14:paraId="4CBED3EF"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115 (4,3)</w:t>
            </w:r>
          </w:p>
        </w:tc>
        <w:tc>
          <w:tcPr>
            <w:tcW w:w="2070" w:type="dxa"/>
          </w:tcPr>
          <w:p w14:paraId="4FD550C3"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261 (9,7)</w:t>
            </w:r>
          </w:p>
        </w:tc>
        <w:tc>
          <w:tcPr>
            <w:tcW w:w="1918" w:type="dxa"/>
          </w:tcPr>
          <w:p w14:paraId="458839FB"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0,44 (0,36, 0,55)</w:t>
            </w:r>
          </w:p>
        </w:tc>
      </w:tr>
      <w:tr w:rsidR="00FC5C72" w:rsidRPr="00FC5C72" w14:paraId="44E73B46" w14:textId="77777777" w:rsidTr="009179AC">
        <w:trPr>
          <w:trHeight w:val="270"/>
        </w:trPr>
        <w:tc>
          <w:tcPr>
            <w:tcW w:w="4050" w:type="dxa"/>
          </w:tcPr>
          <w:p w14:paraId="2CAEE17D" w14:textId="1E1663B4" w:rsidR="00F103C7" w:rsidRPr="00FC5C72" w:rsidRDefault="00F103C7" w:rsidP="00785B18">
            <w:pPr>
              <w:pStyle w:val="BMSTableText"/>
              <w:spacing w:before="0" w:after="0"/>
              <w:ind w:right="-108"/>
              <w:contextualSpacing/>
              <w:jc w:val="both"/>
              <w:rPr>
                <w:rFonts w:ascii="Sylfaen" w:hAnsi="Sylfaen"/>
                <w:noProof/>
                <w:sz w:val="24"/>
                <w:szCs w:val="24"/>
                <w:lang w:val="ka-GE"/>
              </w:rPr>
            </w:pPr>
            <w:r w:rsidRPr="00FC5C72">
              <w:rPr>
                <w:rFonts w:ascii="Sylfaen" w:hAnsi="Sylfaen"/>
                <w:noProof/>
                <w:sz w:val="24"/>
                <w:szCs w:val="24"/>
                <w:lang w:val="ka-GE"/>
              </w:rPr>
              <w:t>უმნიშვნელო</w:t>
            </w:r>
          </w:p>
        </w:tc>
        <w:tc>
          <w:tcPr>
            <w:tcW w:w="2070" w:type="dxa"/>
          </w:tcPr>
          <w:p w14:paraId="4C0D480F"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313 (11,7)</w:t>
            </w:r>
          </w:p>
        </w:tc>
        <w:tc>
          <w:tcPr>
            <w:tcW w:w="2070" w:type="dxa"/>
          </w:tcPr>
          <w:p w14:paraId="34924483"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505 (18,8)</w:t>
            </w:r>
          </w:p>
        </w:tc>
        <w:tc>
          <w:tcPr>
            <w:tcW w:w="1918" w:type="dxa"/>
          </w:tcPr>
          <w:p w14:paraId="6A5B1FFE"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0,62 (0,54, 0,70)</w:t>
            </w:r>
          </w:p>
        </w:tc>
      </w:tr>
      <w:tr w:rsidR="00FC5C72" w:rsidRPr="00FC5C72" w14:paraId="43443DF3" w14:textId="77777777" w:rsidTr="009179AC">
        <w:trPr>
          <w:trHeight w:val="270"/>
        </w:trPr>
        <w:tc>
          <w:tcPr>
            <w:tcW w:w="4050" w:type="dxa"/>
          </w:tcPr>
          <w:p w14:paraId="75D9CAC3" w14:textId="7EB4F939" w:rsidR="00F103C7" w:rsidRPr="00FC5C72" w:rsidRDefault="00F103C7" w:rsidP="00785B18">
            <w:pPr>
              <w:pStyle w:val="BMSTableText"/>
              <w:spacing w:before="0" w:after="0"/>
              <w:contextualSpacing/>
              <w:jc w:val="both"/>
              <w:rPr>
                <w:rFonts w:ascii="Sylfaen" w:hAnsi="Sylfaen"/>
                <w:noProof/>
                <w:sz w:val="24"/>
                <w:szCs w:val="24"/>
                <w:lang w:val="ka-GE"/>
              </w:rPr>
            </w:pPr>
            <w:r w:rsidRPr="00FC5C72">
              <w:rPr>
                <w:rFonts w:ascii="Sylfaen" w:hAnsi="Sylfaen"/>
                <w:noProof/>
                <w:sz w:val="24"/>
                <w:szCs w:val="24"/>
                <w:lang w:val="ka-GE"/>
              </w:rPr>
              <w:t>ყველა</w:t>
            </w:r>
          </w:p>
        </w:tc>
        <w:tc>
          <w:tcPr>
            <w:tcW w:w="2070" w:type="dxa"/>
          </w:tcPr>
          <w:p w14:paraId="3F448EFB"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402 (15,0)</w:t>
            </w:r>
          </w:p>
        </w:tc>
        <w:tc>
          <w:tcPr>
            <w:tcW w:w="2070" w:type="dxa"/>
          </w:tcPr>
          <w:p w14:paraId="442DFBA4"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676 (25,1)</w:t>
            </w:r>
          </w:p>
        </w:tc>
        <w:tc>
          <w:tcPr>
            <w:tcW w:w="1918" w:type="dxa"/>
          </w:tcPr>
          <w:p w14:paraId="331B8EDB" w14:textId="77777777" w:rsidR="00F103C7" w:rsidRPr="00FC5C72" w:rsidRDefault="00F103C7" w:rsidP="00785B18">
            <w:pPr>
              <w:pStyle w:val="BMSTableText"/>
              <w:spacing w:before="0" w:after="0"/>
              <w:contextualSpacing/>
              <w:jc w:val="both"/>
              <w:rPr>
                <w:noProof/>
                <w:sz w:val="24"/>
                <w:szCs w:val="24"/>
              </w:rPr>
            </w:pPr>
            <w:r w:rsidRPr="00FC5C72">
              <w:rPr>
                <w:noProof/>
                <w:sz w:val="24"/>
                <w:szCs w:val="24"/>
              </w:rPr>
              <w:t>0,59 (0,53, 0,66)</w:t>
            </w:r>
          </w:p>
        </w:tc>
      </w:tr>
    </w:tbl>
    <w:p w14:paraId="39963FF4" w14:textId="586FB93A" w:rsidR="00F103C7" w:rsidRPr="00FC5C72" w:rsidRDefault="00F103C7" w:rsidP="00785B18">
      <w:pPr>
        <w:spacing w:after="0" w:line="240" w:lineRule="auto"/>
        <w:jc w:val="both"/>
        <w:rPr>
          <w:b/>
          <w:bCs/>
          <w:noProof/>
          <w:sz w:val="24"/>
          <w:szCs w:val="24"/>
        </w:rPr>
      </w:pPr>
    </w:p>
    <w:p w14:paraId="5121C082" w14:textId="7CA678C3" w:rsidR="00F103C7" w:rsidRPr="00FC5C72" w:rsidRDefault="00F103C7" w:rsidP="00785B18">
      <w:pPr>
        <w:spacing w:after="0" w:line="240" w:lineRule="auto"/>
        <w:jc w:val="both"/>
        <w:rPr>
          <w:noProof/>
          <w:sz w:val="24"/>
          <w:szCs w:val="24"/>
        </w:rPr>
      </w:pPr>
      <w:r w:rsidRPr="00FC5C72">
        <w:rPr>
          <w:noProof/>
          <w:sz w:val="24"/>
          <w:szCs w:val="24"/>
        </w:rPr>
        <w:t xml:space="preserve">საექსპერტო შეფასებით დადასტურებული მნიშვნელოვანი სისხლდენებისა და ნებისმიერი ლოკალიზაციის </w:t>
      </w:r>
      <w:r w:rsidRPr="00FC5C72">
        <w:rPr>
          <w:rFonts w:ascii="Sylfaen" w:hAnsi="Sylfaen"/>
          <w:noProof/>
          <w:sz w:val="24"/>
          <w:szCs w:val="24"/>
        </w:rPr>
        <w:t xml:space="preserve">კლინიკურად მნიშვნელოვანი მცირე სისხლდენის  სიხშირე ზოგადად უფრო დაბალი იყო აპიქსაბანის ჯგუფში ენოქსაპარინი/ვარფარინის ჯგუფთან შედარებით. </w:t>
      </w:r>
      <w:r w:rsidR="008760D2" w:rsidRPr="00FC5C72">
        <w:rPr>
          <w:rFonts w:ascii="Sylfaen" w:hAnsi="Sylfaen"/>
          <w:noProof/>
          <w:sz w:val="24"/>
          <w:szCs w:val="24"/>
        </w:rPr>
        <w:t xml:space="preserve">საექსპერტო შეფასებით დადასტურებული სისხლდენა კუჭ-ნაწლავის ტრაქტიდან, კლასიფიცირებული </w:t>
      </w:r>
      <w:r w:rsidR="008760D2" w:rsidRPr="00FC5C72">
        <w:rPr>
          <w:rFonts w:ascii="Times New Roman" w:hAnsi="Times New Roman"/>
          <w:noProof/>
          <w:sz w:val="24"/>
          <w:szCs w:val="24"/>
        </w:rPr>
        <w:t>ISTH</w:t>
      </w:r>
      <w:r w:rsidR="008760D2" w:rsidRPr="00FC5C72">
        <w:rPr>
          <w:noProof/>
          <w:sz w:val="24"/>
          <w:szCs w:val="24"/>
        </w:rPr>
        <w:t xml:space="preserve"> კრიტერიუმებით როგორც მნიშვნელოვანი, რეგისტრირებულია 6 (0.2%) პაციენტში აპიქსაბანის ჯგუფშ</w:t>
      </w:r>
      <w:r w:rsidR="003D7539" w:rsidRPr="00FC5C72">
        <w:rPr>
          <w:noProof/>
          <w:sz w:val="24"/>
          <w:szCs w:val="24"/>
        </w:rPr>
        <w:t>ი</w:t>
      </w:r>
      <w:r w:rsidR="008760D2" w:rsidRPr="00FC5C72">
        <w:rPr>
          <w:noProof/>
          <w:sz w:val="24"/>
          <w:szCs w:val="24"/>
        </w:rPr>
        <w:t xml:space="preserve"> და 17 (0.6%) პაციენტში, ენოქსაპარინის/ვარფარინის ჯგუფში. </w:t>
      </w:r>
    </w:p>
    <w:p w14:paraId="1973DCA9" w14:textId="77777777" w:rsidR="003D7539" w:rsidRPr="00FC5C72" w:rsidRDefault="003D7539" w:rsidP="00785B18">
      <w:pPr>
        <w:spacing w:after="0" w:line="240" w:lineRule="auto"/>
        <w:jc w:val="both"/>
        <w:rPr>
          <w:noProof/>
          <w:sz w:val="24"/>
          <w:szCs w:val="24"/>
        </w:rPr>
      </w:pPr>
    </w:p>
    <w:p w14:paraId="7452B809" w14:textId="3F2E1100" w:rsidR="008760D2" w:rsidRPr="00FC5C72" w:rsidRDefault="008760D2" w:rsidP="00785B18">
      <w:pPr>
        <w:spacing w:after="0" w:line="240" w:lineRule="auto"/>
        <w:jc w:val="both"/>
        <w:rPr>
          <w:i/>
          <w:sz w:val="24"/>
          <w:u w:val="single"/>
        </w:rPr>
      </w:pPr>
      <w:r w:rsidRPr="00FC5C72">
        <w:rPr>
          <w:i/>
          <w:iCs/>
          <w:noProof/>
          <w:sz w:val="24"/>
          <w:szCs w:val="24"/>
          <w:u w:val="single"/>
        </w:rPr>
        <w:t>კვლევა</w:t>
      </w:r>
      <w:r w:rsidRPr="00FC5C72">
        <w:rPr>
          <w:rFonts w:ascii="Times New Roman" w:hAnsi="Times New Roman"/>
          <w:i/>
          <w:sz w:val="24"/>
          <w:u w:val="single"/>
        </w:rPr>
        <w:t xml:space="preserve"> AMPLIFY-EXT</w:t>
      </w:r>
    </w:p>
    <w:p w14:paraId="654F03FD" w14:textId="16C2502C" w:rsidR="008760D2" w:rsidRPr="00FC5C72" w:rsidRDefault="008760D2" w:rsidP="00785B18">
      <w:pPr>
        <w:spacing w:after="0" w:line="240" w:lineRule="auto"/>
        <w:jc w:val="both"/>
        <w:rPr>
          <w:noProof/>
          <w:sz w:val="24"/>
          <w:szCs w:val="24"/>
        </w:rPr>
      </w:pPr>
      <w:r w:rsidRPr="00FC5C72">
        <w:rPr>
          <w:iCs/>
          <w:sz w:val="24"/>
        </w:rPr>
        <w:t xml:space="preserve">კვლევაში </w:t>
      </w:r>
      <w:r w:rsidRPr="00FC5C72">
        <w:rPr>
          <w:rFonts w:ascii="Times New Roman" w:hAnsi="Times New Roman"/>
          <w:noProof/>
          <w:sz w:val="24"/>
          <w:szCs w:val="24"/>
        </w:rPr>
        <w:t>AMPLIFY-EXT</w:t>
      </w:r>
      <w:r w:rsidRPr="00FC5C72">
        <w:rPr>
          <w:noProof/>
          <w:sz w:val="24"/>
          <w:szCs w:val="24"/>
        </w:rPr>
        <w:t xml:space="preserve"> საერთო ჯამში 2482 პაციენტი რანდომიზებული იქნა ორჯერ დღე-ღამეში პერორალურად 2.5 მგ დოზით აპიქსაბანის, ორჯერ დღე-ღამეში პერორალურად 5 მგ დოზით აპიქსაბანის ან 6-12 თვიანი კურსით ანტიკოაგულანტებით მკურნალობის საწყისი კურსის დასრულების შემდეგ 12 თვის განმავლობაში პლაცებოს მიღების ჯგუფებში. მათგან 836 (33.7%) პაციენტი კვლევაში </w:t>
      </w:r>
      <w:r w:rsidRPr="00FC5C72">
        <w:rPr>
          <w:rFonts w:ascii="Times New Roman" w:hAnsi="Times New Roman"/>
          <w:noProof/>
          <w:sz w:val="24"/>
          <w:szCs w:val="24"/>
        </w:rPr>
        <w:t>AMPLIFY-EXT</w:t>
      </w:r>
      <w:r w:rsidRPr="00FC5C72">
        <w:rPr>
          <w:noProof/>
          <w:sz w:val="24"/>
          <w:szCs w:val="24"/>
        </w:rPr>
        <w:t xml:space="preserve"> ჩართვამდე მონაწილეობდ</w:t>
      </w:r>
      <w:r w:rsidR="0046114E" w:rsidRPr="00FC5C72">
        <w:rPr>
          <w:noProof/>
          <w:sz w:val="24"/>
          <w:szCs w:val="24"/>
        </w:rPr>
        <w:t>ა</w:t>
      </w:r>
      <w:r w:rsidRPr="00FC5C72">
        <w:rPr>
          <w:noProof/>
          <w:sz w:val="24"/>
          <w:szCs w:val="24"/>
        </w:rPr>
        <w:t xml:space="preserve"> კვლევაში </w:t>
      </w:r>
      <w:r w:rsidRPr="00FC5C72">
        <w:rPr>
          <w:rFonts w:ascii="Times New Roman" w:hAnsi="Times New Roman"/>
          <w:noProof/>
          <w:sz w:val="24"/>
          <w:szCs w:val="24"/>
        </w:rPr>
        <w:t>AMPLIFY</w:t>
      </w:r>
      <w:r w:rsidRPr="00FC5C72">
        <w:rPr>
          <w:noProof/>
          <w:sz w:val="24"/>
          <w:szCs w:val="24"/>
        </w:rPr>
        <w:t xml:space="preserve">. </w:t>
      </w:r>
    </w:p>
    <w:p w14:paraId="0C9337D3" w14:textId="7C934C06" w:rsidR="008760D2" w:rsidRPr="00FC5C72" w:rsidRDefault="008760D2" w:rsidP="00785B18">
      <w:pPr>
        <w:spacing w:after="0" w:line="240" w:lineRule="auto"/>
        <w:jc w:val="both"/>
        <w:rPr>
          <w:noProof/>
          <w:sz w:val="24"/>
          <w:szCs w:val="24"/>
        </w:rPr>
      </w:pPr>
      <w:r w:rsidRPr="00FC5C72">
        <w:rPr>
          <w:noProof/>
          <w:sz w:val="24"/>
          <w:szCs w:val="24"/>
        </w:rPr>
        <w:t>პაციენტების საშუალო ასაკი შეადგენ</w:t>
      </w:r>
      <w:r w:rsidR="003D7539" w:rsidRPr="00FC5C72">
        <w:rPr>
          <w:noProof/>
          <w:sz w:val="24"/>
          <w:szCs w:val="24"/>
        </w:rPr>
        <w:t>და</w:t>
      </w:r>
      <w:r w:rsidRPr="00FC5C72">
        <w:rPr>
          <w:noProof/>
          <w:sz w:val="24"/>
          <w:szCs w:val="24"/>
        </w:rPr>
        <w:t xml:space="preserve"> 56.7 წელს, და რანდომიზებული პაციენტების 91.7%-ს ჰქონდა არაპროვოცირებული ვთგ-ის შემთხვევები. </w:t>
      </w:r>
    </w:p>
    <w:p w14:paraId="0CF042D5" w14:textId="1A99B71C" w:rsidR="008760D2" w:rsidRPr="00FC5C72" w:rsidRDefault="00C418F4" w:rsidP="00785B18">
      <w:pPr>
        <w:spacing w:after="0" w:line="240" w:lineRule="auto"/>
        <w:jc w:val="both"/>
        <w:rPr>
          <w:noProof/>
          <w:sz w:val="24"/>
          <w:szCs w:val="24"/>
        </w:rPr>
      </w:pPr>
      <w:r w:rsidRPr="00FC5C72">
        <w:rPr>
          <w:noProof/>
          <w:sz w:val="24"/>
          <w:szCs w:val="24"/>
        </w:rPr>
        <w:t xml:space="preserve">ამ კვლევაში აპიქსაბანის დოზირების ორივე რეჟიმს ჰქონდა სტატისტიკურად მნიშვნელოვანი უპირატესობა პლაცებოსთან შედარებით პირველადი საბოლოო წერტილის მიმართ კლინიკურად გამოხატული ვთგ-ის რეციდივის (არალეტალური ღვთ ან არალეტალური ფათე) ან ნებისმიერი მიზეზით სიკვდილის სახით (იხ. ცხრილი 10). </w:t>
      </w:r>
    </w:p>
    <w:p w14:paraId="16127DDF" w14:textId="5E739F8A" w:rsidR="00C418F4" w:rsidRPr="00FC5C72" w:rsidRDefault="00C418F4" w:rsidP="00785B18">
      <w:pPr>
        <w:spacing w:after="0" w:line="240" w:lineRule="auto"/>
        <w:jc w:val="both"/>
        <w:rPr>
          <w:noProof/>
          <w:sz w:val="24"/>
          <w:szCs w:val="24"/>
        </w:rPr>
      </w:pPr>
    </w:p>
    <w:p w14:paraId="14BC4E92" w14:textId="04892789" w:rsidR="00C418F4" w:rsidRPr="00FC5C72" w:rsidRDefault="00C418F4" w:rsidP="00785B18">
      <w:pPr>
        <w:spacing w:after="0" w:line="240" w:lineRule="auto"/>
        <w:jc w:val="both"/>
        <w:rPr>
          <w:noProof/>
          <w:sz w:val="24"/>
          <w:szCs w:val="24"/>
        </w:rPr>
      </w:pPr>
      <w:r w:rsidRPr="00FC5C72">
        <w:rPr>
          <w:b/>
          <w:bCs/>
          <w:noProof/>
          <w:sz w:val="24"/>
          <w:szCs w:val="24"/>
        </w:rPr>
        <w:t xml:space="preserve">ცხრილი 10. ეფექტიანობის შეფასების შედეგები </w:t>
      </w:r>
      <w:r w:rsidR="00D467B4" w:rsidRPr="00FC5C72">
        <w:rPr>
          <w:b/>
          <w:bCs/>
          <w:noProof/>
          <w:sz w:val="24"/>
          <w:szCs w:val="24"/>
        </w:rPr>
        <w:t>კვლევაში</w:t>
      </w:r>
      <w:r w:rsidR="00D467B4" w:rsidRPr="00FC5C72">
        <w:rPr>
          <w:noProof/>
          <w:sz w:val="24"/>
          <w:szCs w:val="24"/>
        </w:rPr>
        <w:t xml:space="preserve"> </w:t>
      </w:r>
      <w:r w:rsidR="00D467B4" w:rsidRPr="00FC5C72">
        <w:rPr>
          <w:rFonts w:ascii="Times New Roman" w:hAnsi="Times New Roman"/>
          <w:b/>
          <w:noProof/>
          <w:sz w:val="24"/>
          <w:szCs w:val="24"/>
        </w:rPr>
        <w:t>AMPLIFY-EXT</w:t>
      </w:r>
    </w:p>
    <w:tbl>
      <w:tblPr>
        <w:tblW w:w="101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1440"/>
        <w:gridCol w:w="1416"/>
        <w:gridCol w:w="1273"/>
        <w:gridCol w:w="1804"/>
        <w:gridCol w:w="1846"/>
      </w:tblGrid>
      <w:tr w:rsidR="00FC5C72" w:rsidRPr="00FC5C72" w14:paraId="700FF4DE" w14:textId="77777777" w:rsidTr="0091129F">
        <w:trPr>
          <w:trHeight w:val="533"/>
          <w:tblHeader/>
        </w:trPr>
        <w:tc>
          <w:tcPr>
            <w:tcW w:w="2340" w:type="dxa"/>
          </w:tcPr>
          <w:p w14:paraId="2D6FF366" w14:textId="77777777" w:rsidR="00C418F4" w:rsidRPr="00FC5C72" w:rsidRDefault="00C418F4" w:rsidP="00785B18">
            <w:pPr>
              <w:pStyle w:val="BMSTableHeader"/>
              <w:keepNext/>
              <w:tabs>
                <w:tab w:val="left" w:pos="567"/>
              </w:tabs>
              <w:spacing w:before="0" w:after="0"/>
              <w:contextualSpacing/>
              <w:rPr>
                <w:noProof/>
                <w:sz w:val="24"/>
                <w:szCs w:val="24"/>
              </w:rPr>
            </w:pPr>
          </w:p>
        </w:tc>
        <w:tc>
          <w:tcPr>
            <w:tcW w:w="1440" w:type="dxa"/>
          </w:tcPr>
          <w:p w14:paraId="3AD9560A" w14:textId="0704EEA2" w:rsidR="00C418F4" w:rsidRPr="00FC5C72" w:rsidRDefault="00C418F4" w:rsidP="00785B18">
            <w:pPr>
              <w:pStyle w:val="BMSTableHeader"/>
              <w:keepNext/>
              <w:spacing w:before="0" w:after="0"/>
              <w:contextualSpacing/>
              <w:rPr>
                <w:noProof/>
                <w:sz w:val="24"/>
                <w:szCs w:val="24"/>
              </w:rPr>
            </w:pPr>
            <w:r w:rsidRPr="00FC5C72">
              <w:rPr>
                <w:rFonts w:ascii="Sylfaen" w:hAnsi="Sylfaen"/>
                <w:noProof/>
                <w:sz w:val="24"/>
                <w:szCs w:val="24"/>
                <w:lang w:val="ka-GE"/>
              </w:rPr>
              <w:t>აპიქსაბანი</w:t>
            </w:r>
            <w:r w:rsidRPr="00FC5C72">
              <w:rPr>
                <w:noProof/>
                <w:sz w:val="24"/>
                <w:szCs w:val="24"/>
              </w:rPr>
              <w:t xml:space="preserve"> </w:t>
            </w:r>
          </w:p>
        </w:tc>
        <w:tc>
          <w:tcPr>
            <w:tcW w:w="1416" w:type="dxa"/>
          </w:tcPr>
          <w:p w14:paraId="3EC68A23" w14:textId="43936F13" w:rsidR="00C418F4" w:rsidRPr="00FC5C72" w:rsidRDefault="00C418F4" w:rsidP="00785B18">
            <w:pPr>
              <w:pStyle w:val="BMSTableHeader"/>
              <w:keepNext/>
              <w:spacing w:before="0" w:after="0"/>
              <w:contextualSpacing/>
              <w:rPr>
                <w:noProof/>
                <w:sz w:val="24"/>
                <w:szCs w:val="24"/>
              </w:rPr>
            </w:pPr>
            <w:r w:rsidRPr="00FC5C72">
              <w:rPr>
                <w:rFonts w:ascii="Sylfaen" w:hAnsi="Sylfaen"/>
                <w:noProof/>
                <w:sz w:val="24"/>
                <w:szCs w:val="24"/>
                <w:lang w:val="ka-GE"/>
              </w:rPr>
              <w:t>აპიქსაბანი</w:t>
            </w:r>
          </w:p>
        </w:tc>
        <w:tc>
          <w:tcPr>
            <w:tcW w:w="1273" w:type="dxa"/>
          </w:tcPr>
          <w:p w14:paraId="61AE25A6" w14:textId="3B96D757" w:rsidR="00C418F4" w:rsidRPr="00FC5C72" w:rsidRDefault="00C418F4" w:rsidP="00785B18">
            <w:pPr>
              <w:pStyle w:val="BMSTableHeader"/>
              <w:keepNext/>
              <w:spacing w:before="0" w:after="0"/>
              <w:contextualSpacing/>
              <w:rPr>
                <w:rFonts w:ascii="Sylfaen" w:hAnsi="Sylfaen"/>
                <w:noProof/>
                <w:sz w:val="24"/>
                <w:szCs w:val="24"/>
                <w:lang w:val="ka-GE"/>
              </w:rPr>
            </w:pPr>
            <w:r w:rsidRPr="00FC5C72">
              <w:rPr>
                <w:rFonts w:ascii="Sylfaen" w:hAnsi="Sylfaen"/>
                <w:noProof/>
                <w:sz w:val="24"/>
                <w:szCs w:val="24"/>
                <w:lang w:val="ka-GE"/>
              </w:rPr>
              <w:t>პლაცებო</w:t>
            </w:r>
          </w:p>
        </w:tc>
        <w:tc>
          <w:tcPr>
            <w:tcW w:w="3650" w:type="dxa"/>
            <w:gridSpan w:val="2"/>
          </w:tcPr>
          <w:p w14:paraId="6C63D64A" w14:textId="77777777" w:rsidR="00C418F4" w:rsidRPr="00FC5C72" w:rsidRDefault="00C418F4" w:rsidP="00785B18">
            <w:pPr>
              <w:pStyle w:val="BMSTableHeader"/>
              <w:keepNext/>
              <w:spacing w:before="0" w:after="0"/>
              <w:contextualSpacing/>
              <w:rPr>
                <w:noProof/>
                <w:sz w:val="24"/>
                <w:szCs w:val="24"/>
              </w:rPr>
            </w:pPr>
            <w:r w:rsidRPr="00FC5C72">
              <w:rPr>
                <w:rFonts w:ascii="Sylfaen" w:hAnsi="Sylfaen"/>
                <w:noProof/>
                <w:sz w:val="24"/>
                <w:szCs w:val="24"/>
                <w:lang w:val="ka-GE"/>
              </w:rPr>
              <w:t>ფარდობითი რისკი</w:t>
            </w:r>
            <w:r w:rsidRPr="00FC5C72">
              <w:rPr>
                <w:noProof/>
                <w:sz w:val="24"/>
                <w:szCs w:val="24"/>
              </w:rPr>
              <w:t xml:space="preserve"> </w:t>
            </w:r>
          </w:p>
          <w:p w14:paraId="70E72F56" w14:textId="23D63960" w:rsidR="00C418F4" w:rsidRPr="00FC5C72" w:rsidRDefault="00C418F4" w:rsidP="00785B18">
            <w:pPr>
              <w:pStyle w:val="BMSTableHeader"/>
              <w:keepNext/>
              <w:spacing w:before="0" w:after="0"/>
              <w:contextualSpacing/>
              <w:rPr>
                <w:noProof/>
                <w:sz w:val="24"/>
                <w:szCs w:val="24"/>
              </w:rPr>
            </w:pPr>
            <w:r w:rsidRPr="00FC5C72">
              <w:rPr>
                <w:noProof/>
                <w:sz w:val="24"/>
                <w:szCs w:val="24"/>
              </w:rPr>
              <w:t>(95%-</w:t>
            </w:r>
            <w:r w:rsidRPr="00FC5C72">
              <w:rPr>
                <w:rFonts w:ascii="Sylfaen" w:hAnsi="Sylfaen"/>
                <w:noProof/>
                <w:sz w:val="24"/>
                <w:szCs w:val="24"/>
                <w:lang w:val="ka-GE"/>
              </w:rPr>
              <w:t>იანი</w:t>
            </w:r>
            <w:r w:rsidRPr="00FC5C72">
              <w:rPr>
                <w:noProof/>
                <w:sz w:val="24"/>
                <w:szCs w:val="24"/>
              </w:rPr>
              <w:t xml:space="preserve"> </w:t>
            </w:r>
            <w:r w:rsidRPr="00FC5C72">
              <w:rPr>
                <w:rFonts w:ascii="Sylfaen" w:hAnsi="Sylfaen"/>
                <w:noProof/>
                <w:sz w:val="24"/>
                <w:szCs w:val="24"/>
                <w:lang w:val="ka-GE"/>
              </w:rPr>
              <w:t>სი</w:t>
            </w:r>
            <w:r w:rsidRPr="00FC5C72">
              <w:rPr>
                <w:noProof/>
                <w:sz w:val="24"/>
                <w:szCs w:val="24"/>
              </w:rPr>
              <w:t>)</w:t>
            </w:r>
          </w:p>
        </w:tc>
      </w:tr>
      <w:tr w:rsidR="00FC5C72" w:rsidRPr="00FC5C72" w14:paraId="619F1493" w14:textId="77777777" w:rsidTr="0091129F">
        <w:trPr>
          <w:trHeight w:val="1331"/>
          <w:tblHeader/>
        </w:trPr>
        <w:tc>
          <w:tcPr>
            <w:tcW w:w="2340" w:type="dxa"/>
          </w:tcPr>
          <w:p w14:paraId="2F31E7F4" w14:textId="77777777" w:rsidR="00C418F4" w:rsidRPr="00FC5C72" w:rsidRDefault="00C418F4" w:rsidP="00785B18">
            <w:pPr>
              <w:pStyle w:val="BMSTableHeader"/>
              <w:keepNext/>
              <w:spacing w:before="0" w:after="0"/>
              <w:contextualSpacing/>
              <w:rPr>
                <w:noProof/>
                <w:sz w:val="24"/>
                <w:szCs w:val="24"/>
              </w:rPr>
            </w:pPr>
          </w:p>
        </w:tc>
        <w:tc>
          <w:tcPr>
            <w:tcW w:w="1440" w:type="dxa"/>
          </w:tcPr>
          <w:p w14:paraId="289C467F" w14:textId="1FB241F7" w:rsidR="00C418F4" w:rsidRPr="00FC5C72" w:rsidRDefault="00C418F4" w:rsidP="00785B18">
            <w:pPr>
              <w:pStyle w:val="BMSTableHeader"/>
              <w:keepNext/>
              <w:spacing w:before="0" w:after="0"/>
              <w:contextualSpacing/>
              <w:rPr>
                <w:rFonts w:ascii="Sylfaen" w:hAnsi="Sylfaen"/>
                <w:noProof/>
                <w:sz w:val="24"/>
                <w:szCs w:val="24"/>
                <w:lang w:val="ka-GE"/>
              </w:rPr>
            </w:pPr>
            <w:r w:rsidRPr="00FC5C72">
              <w:rPr>
                <w:noProof/>
                <w:sz w:val="24"/>
                <w:szCs w:val="24"/>
              </w:rPr>
              <w:t>2,5 </w:t>
            </w:r>
            <w:r w:rsidRPr="00FC5C72">
              <w:rPr>
                <w:rFonts w:ascii="Sylfaen" w:hAnsi="Sylfaen"/>
                <w:noProof/>
                <w:sz w:val="24"/>
                <w:szCs w:val="24"/>
                <w:lang w:val="ka-GE"/>
              </w:rPr>
              <w:t>მგ</w:t>
            </w:r>
          </w:p>
          <w:p w14:paraId="0E493B39" w14:textId="77777777" w:rsidR="00C418F4" w:rsidRPr="00FC5C72" w:rsidRDefault="00C418F4" w:rsidP="00785B18">
            <w:pPr>
              <w:pStyle w:val="BMSTableHeader"/>
              <w:keepNext/>
              <w:spacing w:before="0" w:after="0"/>
              <w:contextualSpacing/>
              <w:rPr>
                <w:noProof/>
                <w:sz w:val="24"/>
                <w:szCs w:val="24"/>
              </w:rPr>
            </w:pPr>
            <w:r w:rsidRPr="00FC5C72">
              <w:rPr>
                <w:noProof/>
                <w:sz w:val="24"/>
                <w:szCs w:val="24"/>
              </w:rPr>
              <w:t>(N=840)</w:t>
            </w:r>
          </w:p>
        </w:tc>
        <w:tc>
          <w:tcPr>
            <w:tcW w:w="1416" w:type="dxa"/>
          </w:tcPr>
          <w:p w14:paraId="2A71BF51" w14:textId="42EF6E5E" w:rsidR="00C418F4" w:rsidRPr="00FC5C72" w:rsidRDefault="00C418F4" w:rsidP="00785B18">
            <w:pPr>
              <w:pStyle w:val="BMSTableHeader"/>
              <w:keepNext/>
              <w:spacing w:before="0" w:after="0"/>
              <w:contextualSpacing/>
              <w:rPr>
                <w:rFonts w:ascii="Sylfaen" w:hAnsi="Sylfaen"/>
                <w:noProof/>
                <w:sz w:val="24"/>
                <w:szCs w:val="24"/>
                <w:lang w:val="ka-GE"/>
              </w:rPr>
            </w:pPr>
            <w:r w:rsidRPr="00FC5C72">
              <w:rPr>
                <w:noProof/>
                <w:sz w:val="24"/>
                <w:szCs w:val="24"/>
              </w:rPr>
              <w:t>5,0 </w:t>
            </w:r>
            <w:r w:rsidRPr="00FC5C72">
              <w:rPr>
                <w:rFonts w:ascii="Sylfaen" w:hAnsi="Sylfaen"/>
                <w:noProof/>
                <w:sz w:val="24"/>
                <w:szCs w:val="24"/>
                <w:lang w:val="ka-GE"/>
              </w:rPr>
              <w:t>მგ</w:t>
            </w:r>
          </w:p>
          <w:p w14:paraId="68C55672" w14:textId="77777777" w:rsidR="00C418F4" w:rsidRPr="00FC5C72" w:rsidRDefault="00C418F4" w:rsidP="00785B18">
            <w:pPr>
              <w:pStyle w:val="BMSTableHeader"/>
              <w:keepNext/>
              <w:spacing w:before="0" w:after="0"/>
              <w:contextualSpacing/>
              <w:rPr>
                <w:noProof/>
                <w:sz w:val="24"/>
                <w:szCs w:val="24"/>
              </w:rPr>
            </w:pPr>
            <w:r w:rsidRPr="00FC5C72">
              <w:rPr>
                <w:noProof/>
                <w:sz w:val="24"/>
                <w:szCs w:val="24"/>
              </w:rPr>
              <w:t>(N=813)</w:t>
            </w:r>
          </w:p>
        </w:tc>
        <w:tc>
          <w:tcPr>
            <w:tcW w:w="1273" w:type="dxa"/>
          </w:tcPr>
          <w:p w14:paraId="75925350" w14:textId="77777777" w:rsidR="00C418F4" w:rsidRPr="00FC5C72" w:rsidRDefault="00C418F4" w:rsidP="00785B18">
            <w:pPr>
              <w:pStyle w:val="BMSTableHeader"/>
              <w:keepNext/>
              <w:spacing w:before="0" w:after="0"/>
              <w:contextualSpacing/>
              <w:rPr>
                <w:noProof/>
                <w:sz w:val="24"/>
                <w:szCs w:val="24"/>
              </w:rPr>
            </w:pPr>
          </w:p>
          <w:p w14:paraId="09932697" w14:textId="77777777" w:rsidR="00C418F4" w:rsidRPr="00FC5C72" w:rsidRDefault="00C418F4" w:rsidP="00785B18">
            <w:pPr>
              <w:pStyle w:val="BMSTableHeader"/>
              <w:keepNext/>
              <w:spacing w:before="0" w:after="0"/>
              <w:contextualSpacing/>
              <w:rPr>
                <w:noProof/>
                <w:sz w:val="24"/>
                <w:szCs w:val="24"/>
              </w:rPr>
            </w:pPr>
            <w:r w:rsidRPr="00FC5C72">
              <w:rPr>
                <w:noProof/>
                <w:sz w:val="24"/>
                <w:szCs w:val="24"/>
              </w:rPr>
              <w:t>(N=829)</w:t>
            </w:r>
          </w:p>
        </w:tc>
        <w:tc>
          <w:tcPr>
            <w:tcW w:w="1804" w:type="dxa"/>
          </w:tcPr>
          <w:p w14:paraId="396ACC9E" w14:textId="31CB69CE" w:rsidR="00C418F4" w:rsidRPr="00FC5C72" w:rsidRDefault="00C418F4" w:rsidP="00785B18">
            <w:pPr>
              <w:pStyle w:val="BMSTableHeader"/>
              <w:keepNext/>
              <w:spacing w:before="0" w:after="0"/>
              <w:contextualSpacing/>
              <w:rPr>
                <w:rFonts w:ascii="Sylfaen" w:hAnsi="Sylfaen"/>
                <w:noProof/>
                <w:sz w:val="24"/>
                <w:szCs w:val="24"/>
                <w:lang w:val="ka-GE"/>
              </w:rPr>
            </w:pPr>
            <w:r w:rsidRPr="00FC5C72">
              <w:rPr>
                <w:rFonts w:ascii="Sylfaen" w:hAnsi="Sylfaen"/>
                <w:noProof/>
                <w:sz w:val="24"/>
                <w:szCs w:val="24"/>
                <w:lang w:val="ka-GE"/>
              </w:rPr>
              <w:t>აპიქსაბანი</w:t>
            </w:r>
            <w:r w:rsidRPr="00FC5C72">
              <w:rPr>
                <w:noProof/>
                <w:sz w:val="24"/>
                <w:szCs w:val="24"/>
              </w:rPr>
              <w:t xml:space="preserve"> 2,5 </w:t>
            </w:r>
            <w:r w:rsidRPr="00FC5C72">
              <w:rPr>
                <w:rFonts w:ascii="Sylfaen" w:hAnsi="Sylfaen"/>
                <w:noProof/>
                <w:sz w:val="24"/>
                <w:szCs w:val="24"/>
                <w:lang w:val="ka-GE"/>
              </w:rPr>
              <w:t>მგ პლაცებოსთან შედარებით</w:t>
            </w:r>
            <w:r w:rsidRPr="00FC5C72">
              <w:rPr>
                <w:rFonts w:asciiTheme="minorHAnsi" w:hAnsiTheme="minorHAnsi"/>
                <w:noProof/>
                <w:sz w:val="24"/>
                <w:szCs w:val="24"/>
                <w:lang w:val="ka-GE"/>
              </w:rPr>
              <w:t xml:space="preserve"> </w:t>
            </w:r>
          </w:p>
        </w:tc>
        <w:tc>
          <w:tcPr>
            <w:tcW w:w="1846" w:type="dxa"/>
          </w:tcPr>
          <w:p w14:paraId="03A4BACE" w14:textId="63A6DFC5" w:rsidR="00C418F4" w:rsidRPr="00FC5C72" w:rsidRDefault="00C418F4" w:rsidP="00785B18">
            <w:pPr>
              <w:pStyle w:val="BMSTableHeader"/>
              <w:keepNext/>
              <w:spacing w:before="0" w:after="0"/>
              <w:contextualSpacing/>
              <w:rPr>
                <w:rFonts w:ascii="Sylfaen" w:hAnsi="Sylfaen"/>
                <w:noProof/>
                <w:sz w:val="24"/>
                <w:szCs w:val="24"/>
                <w:lang w:val="ka-GE"/>
              </w:rPr>
            </w:pPr>
            <w:r w:rsidRPr="00FC5C72">
              <w:rPr>
                <w:rFonts w:ascii="Sylfaen" w:hAnsi="Sylfaen"/>
                <w:noProof/>
                <w:sz w:val="24"/>
                <w:szCs w:val="24"/>
                <w:lang w:val="ka-GE"/>
              </w:rPr>
              <w:t>აპიქსაბანი</w:t>
            </w:r>
            <w:r w:rsidRPr="00FC5C72">
              <w:rPr>
                <w:noProof/>
                <w:sz w:val="24"/>
                <w:szCs w:val="24"/>
              </w:rPr>
              <w:t xml:space="preserve"> 5</w:t>
            </w:r>
            <w:r w:rsidRPr="00FC5C72">
              <w:rPr>
                <w:rFonts w:asciiTheme="minorHAnsi" w:hAnsiTheme="minorHAnsi"/>
                <w:noProof/>
                <w:sz w:val="24"/>
                <w:szCs w:val="24"/>
                <w:lang w:val="ka-GE"/>
              </w:rPr>
              <w:t>,0</w:t>
            </w:r>
            <w:r w:rsidRPr="00FC5C72">
              <w:rPr>
                <w:noProof/>
                <w:sz w:val="24"/>
                <w:szCs w:val="24"/>
              </w:rPr>
              <w:t> </w:t>
            </w:r>
            <w:r w:rsidRPr="00FC5C72">
              <w:rPr>
                <w:rFonts w:ascii="Sylfaen" w:hAnsi="Sylfaen"/>
                <w:noProof/>
                <w:sz w:val="24"/>
                <w:szCs w:val="24"/>
                <w:lang w:val="ka-GE"/>
              </w:rPr>
              <w:t>მგ პლაცებოსთან შედარებით</w:t>
            </w:r>
          </w:p>
        </w:tc>
      </w:tr>
      <w:tr w:rsidR="00FC5C72" w:rsidRPr="00FC5C72" w14:paraId="36D870B7" w14:textId="77777777" w:rsidTr="0091129F">
        <w:trPr>
          <w:trHeight w:val="266"/>
        </w:trPr>
        <w:tc>
          <w:tcPr>
            <w:tcW w:w="2340" w:type="dxa"/>
          </w:tcPr>
          <w:p w14:paraId="2EE53DE5" w14:textId="77777777" w:rsidR="00C418F4" w:rsidRPr="00FC5C72" w:rsidRDefault="00C418F4" w:rsidP="00785B18">
            <w:pPr>
              <w:pStyle w:val="BMSTableText"/>
              <w:keepNext/>
              <w:spacing w:before="0" w:after="0"/>
              <w:contextualSpacing/>
              <w:jc w:val="both"/>
              <w:rPr>
                <w:noProof/>
                <w:sz w:val="24"/>
                <w:szCs w:val="24"/>
              </w:rPr>
            </w:pPr>
          </w:p>
        </w:tc>
        <w:tc>
          <w:tcPr>
            <w:tcW w:w="4129" w:type="dxa"/>
            <w:gridSpan w:val="3"/>
          </w:tcPr>
          <w:p w14:paraId="2B8442A6" w14:textId="77777777" w:rsidR="00C418F4" w:rsidRPr="00FC5C72" w:rsidRDefault="00C418F4" w:rsidP="00785B18">
            <w:pPr>
              <w:pStyle w:val="BMSTableText"/>
              <w:keepNext/>
              <w:spacing w:before="0" w:after="0"/>
              <w:contextualSpacing/>
              <w:jc w:val="both"/>
              <w:rPr>
                <w:noProof/>
                <w:sz w:val="24"/>
                <w:szCs w:val="24"/>
              </w:rPr>
            </w:pPr>
            <w:r w:rsidRPr="00FC5C72">
              <w:rPr>
                <w:noProof/>
                <w:sz w:val="24"/>
                <w:szCs w:val="24"/>
              </w:rPr>
              <w:t>n (%)</w:t>
            </w:r>
          </w:p>
        </w:tc>
        <w:tc>
          <w:tcPr>
            <w:tcW w:w="1804" w:type="dxa"/>
          </w:tcPr>
          <w:p w14:paraId="0BFDA696" w14:textId="77777777" w:rsidR="00C418F4" w:rsidRPr="00FC5C72" w:rsidRDefault="00C418F4" w:rsidP="00785B18">
            <w:pPr>
              <w:pStyle w:val="BMSTableText"/>
              <w:keepNext/>
              <w:spacing w:before="0" w:after="0"/>
              <w:contextualSpacing/>
              <w:jc w:val="both"/>
              <w:rPr>
                <w:noProof/>
                <w:sz w:val="24"/>
                <w:szCs w:val="24"/>
              </w:rPr>
            </w:pPr>
          </w:p>
        </w:tc>
        <w:tc>
          <w:tcPr>
            <w:tcW w:w="1846" w:type="dxa"/>
          </w:tcPr>
          <w:p w14:paraId="1CEC7886" w14:textId="77777777" w:rsidR="00C418F4" w:rsidRPr="00FC5C72" w:rsidRDefault="00C418F4" w:rsidP="00785B18">
            <w:pPr>
              <w:pStyle w:val="BMSTableText"/>
              <w:keepNext/>
              <w:spacing w:before="0" w:after="0"/>
              <w:contextualSpacing/>
              <w:jc w:val="both"/>
              <w:rPr>
                <w:noProof/>
                <w:sz w:val="24"/>
                <w:szCs w:val="24"/>
              </w:rPr>
            </w:pPr>
          </w:p>
        </w:tc>
      </w:tr>
      <w:tr w:rsidR="00FC5C72" w:rsidRPr="00FC5C72" w14:paraId="0B576D26" w14:textId="77777777" w:rsidTr="0091129F">
        <w:trPr>
          <w:trHeight w:val="1232"/>
        </w:trPr>
        <w:tc>
          <w:tcPr>
            <w:tcW w:w="2340" w:type="dxa"/>
          </w:tcPr>
          <w:p w14:paraId="2868F3A0" w14:textId="71C0847A" w:rsidR="00C418F4" w:rsidRPr="00FC5C72" w:rsidRDefault="00C418F4" w:rsidP="00785B18">
            <w:pPr>
              <w:pStyle w:val="BMSTableText"/>
              <w:spacing w:before="0" w:after="0"/>
              <w:ind w:right="30"/>
              <w:contextualSpacing/>
              <w:jc w:val="both"/>
              <w:rPr>
                <w:rFonts w:asciiTheme="minorHAnsi" w:hAnsiTheme="minorHAnsi"/>
                <w:noProof/>
                <w:sz w:val="24"/>
                <w:szCs w:val="24"/>
                <w:lang w:val="ka-GE"/>
              </w:rPr>
            </w:pPr>
            <w:r w:rsidRPr="00FC5C72">
              <w:rPr>
                <w:rFonts w:ascii="Sylfaen" w:hAnsi="Sylfaen"/>
                <w:noProof/>
                <w:sz w:val="24"/>
                <w:szCs w:val="24"/>
                <w:lang w:val="ka-GE"/>
              </w:rPr>
              <w:t>ვთგ-ის რეციდივი ან სიკვდილი ნებისმიერი მიზეზით</w:t>
            </w:r>
            <w:r w:rsidRPr="00FC5C72">
              <w:rPr>
                <w:noProof/>
                <w:sz w:val="24"/>
                <w:szCs w:val="24"/>
                <w:lang w:val="ka-GE"/>
              </w:rPr>
              <w:t xml:space="preserve"> </w:t>
            </w:r>
            <w:r w:rsidRPr="00FC5C72">
              <w:rPr>
                <w:rFonts w:asciiTheme="minorHAnsi" w:hAnsiTheme="minorHAnsi"/>
                <w:noProof/>
                <w:sz w:val="24"/>
                <w:szCs w:val="24"/>
                <w:lang w:val="ka-GE"/>
              </w:rPr>
              <w:t xml:space="preserve"> </w:t>
            </w:r>
          </w:p>
        </w:tc>
        <w:tc>
          <w:tcPr>
            <w:tcW w:w="1440" w:type="dxa"/>
          </w:tcPr>
          <w:p w14:paraId="5D56FE1D"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19 (2,3)</w:t>
            </w:r>
          </w:p>
        </w:tc>
        <w:tc>
          <w:tcPr>
            <w:tcW w:w="1416" w:type="dxa"/>
          </w:tcPr>
          <w:p w14:paraId="6D5F9931"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14 (1,7)</w:t>
            </w:r>
          </w:p>
        </w:tc>
        <w:tc>
          <w:tcPr>
            <w:tcW w:w="1273" w:type="dxa"/>
          </w:tcPr>
          <w:p w14:paraId="0784D3E8"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77 (9,3)</w:t>
            </w:r>
          </w:p>
        </w:tc>
        <w:tc>
          <w:tcPr>
            <w:tcW w:w="1804" w:type="dxa"/>
          </w:tcPr>
          <w:p w14:paraId="0DC21C5D"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0,24</w:t>
            </w:r>
          </w:p>
          <w:p w14:paraId="6AC6CE49"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(0,15, 0,40)</w:t>
            </w:r>
            <w:r w:rsidRPr="00FC5C72">
              <w:rPr>
                <w:noProof/>
                <w:sz w:val="24"/>
                <w:szCs w:val="24"/>
                <w:vertAlign w:val="superscript"/>
              </w:rPr>
              <w:t>¥</w:t>
            </w:r>
          </w:p>
        </w:tc>
        <w:tc>
          <w:tcPr>
            <w:tcW w:w="1846" w:type="dxa"/>
          </w:tcPr>
          <w:p w14:paraId="67E4B0B1"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0,19</w:t>
            </w:r>
          </w:p>
          <w:p w14:paraId="4B5B5EFA"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(0,11, 0,33)</w:t>
            </w:r>
            <w:r w:rsidRPr="00FC5C72">
              <w:rPr>
                <w:noProof/>
                <w:sz w:val="24"/>
                <w:szCs w:val="24"/>
                <w:vertAlign w:val="superscript"/>
              </w:rPr>
              <w:t>¥</w:t>
            </w:r>
          </w:p>
        </w:tc>
      </w:tr>
      <w:tr w:rsidR="00FC5C72" w:rsidRPr="00FC5C72" w14:paraId="60070120" w14:textId="77777777" w:rsidTr="0091129F">
        <w:trPr>
          <w:trHeight w:val="266"/>
        </w:trPr>
        <w:tc>
          <w:tcPr>
            <w:tcW w:w="2340" w:type="dxa"/>
          </w:tcPr>
          <w:p w14:paraId="3402F37E" w14:textId="0AD851C6" w:rsidR="00C418F4" w:rsidRPr="00FC5C72" w:rsidRDefault="00C418F4" w:rsidP="00785B18">
            <w:pPr>
              <w:pStyle w:val="BMSTableText"/>
              <w:spacing w:before="0" w:after="0"/>
              <w:ind w:left="357" w:right="30"/>
              <w:contextualSpacing/>
              <w:jc w:val="both"/>
              <w:rPr>
                <w:noProof/>
                <w:sz w:val="24"/>
                <w:szCs w:val="24"/>
              </w:rPr>
            </w:pPr>
            <w:r w:rsidRPr="00FC5C72">
              <w:rPr>
                <w:rFonts w:ascii="Sylfaen" w:hAnsi="Sylfaen"/>
                <w:noProof/>
                <w:sz w:val="24"/>
                <w:szCs w:val="24"/>
                <w:lang w:val="ka-GE"/>
              </w:rPr>
              <w:t>ღვთ</w:t>
            </w:r>
            <w:r w:rsidRPr="00FC5C72">
              <w:rPr>
                <w:noProof/>
                <w:sz w:val="24"/>
                <w:szCs w:val="24"/>
              </w:rPr>
              <w:t>*</w:t>
            </w:r>
          </w:p>
        </w:tc>
        <w:tc>
          <w:tcPr>
            <w:tcW w:w="1440" w:type="dxa"/>
          </w:tcPr>
          <w:p w14:paraId="7043F473"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6 (0,7)</w:t>
            </w:r>
          </w:p>
        </w:tc>
        <w:tc>
          <w:tcPr>
            <w:tcW w:w="1416" w:type="dxa"/>
          </w:tcPr>
          <w:p w14:paraId="7A05CB25"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7 (0,9)</w:t>
            </w:r>
          </w:p>
        </w:tc>
        <w:tc>
          <w:tcPr>
            <w:tcW w:w="1273" w:type="dxa"/>
          </w:tcPr>
          <w:p w14:paraId="4B4F55E2"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53 (6,4)</w:t>
            </w:r>
          </w:p>
        </w:tc>
        <w:tc>
          <w:tcPr>
            <w:tcW w:w="1804" w:type="dxa"/>
          </w:tcPr>
          <w:p w14:paraId="3D9E9A4A" w14:textId="77777777" w:rsidR="00C418F4" w:rsidRPr="00FC5C72" w:rsidRDefault="00C418F4" w:rsidP="00785B18">
            <w:pPr>
              <w:pStyle w:val="BMSTableText"/>
              <w:spacing w:before="0" w:after="0"/>
              <w:contextualSpacing/>
              <w:jc w:val="both"/>
              <w:rPr>
                <w:noProof/>
                <w:sz w:val="24"/>
                <w:szCs w:val="24"/>
              </w:rPr>
            </w:pPr>
          </w:p>
        </w:tc>
        <w:tc>
          <w:tcPr>
            <w:tcW w:w="1846" w:type="dxa"/>
          </w:tcPr>
          <w:p w14:paraId="0891E4E6" w14:textId="77777777" w:rsidR="00C418F4" w:rsidRPr="00FC5C72" w:rsidRDefault="00C418F4" w:rsidP="00785B18">
            <w:pPr>
              <w:pStyle w:val="BMSTableText"/>
              <w:spacing w:before="0" w:after="0"/>
              <w:contextualSpacing/>
              <w:jc w:val="both"/>
              <w:rPr>
                <w:noProof/>
                <w:sz w:val="24"/>
                <w:szCs w:val="24"/>
              </w:rPr>
            </w:pPr>
          </w:p>
        </w:tc>
      </w:tr>
      <w:tr w:rsidR="00FC5C72" w:rsidRPr="00FC5C72" w14:paraId="64ED7AE8" w14:textId="77777777" w:rsidTr="0091129F">
        <w:trPr>
          <w:trHeight w:val="266"/>
        </w:trPr>
        <w:tc>
          <w:tcPr>
            <w:tcW w:w="2340" w:type="dxa"/>
          </w:tcPr>
          <w:p w14:paraId="07C323F6" w14:textId="5909ECB2" w:rsidR="00C418F4" w:rsidRPr="00FC5C72" w:rsidRDefault="00C418F4" w:rsidP="00785B18">
            <w:pPr>
              <w:pStyle w:val="BMSTableText"/>
              <w:spacing w:before="0" w:after="0"/>
              <w:ind w:left="357" w:right="30"/>
              <w:contextualSpacing/>
              <w:jc w:val="both"/>
              <w:rPr>
                <w:noProof/>
                <w:sz w:val="24"/>
                <w:szCs w:val="24"/>
              </w:rPr>
            </w:pPr>
            <w:r w:rsidRPr="00FC5C72">
              <w:rPr>
                <w:rFonts w:ascii="Sylfaen" w:hAnsi="Sylfaen"/>
                <w:noProof/>
                <w:sz w:val="24"/>
                <w:szCs w:val="24"/>
                <w:lang w:val="ka-GE"/>
              </w:rPr>
              <w:t>ფათე</w:t>
            </w:r>
            <w:r w:rsidRPr="00FC5C72">
              <w:rPr>
                <w:noProof/>
                <w:sz w:val="24"/>
                <w:szCs w:val="24"/>
              </w:rPr>
              <w:t>*</w:t>
            </w:r>
          </w:p>
        </w:tc>
        <w:tc>
          <w:tcPr>
            <w:tcW w:w="1440" w:type="dxa"/>
          </w:tcPr>
          <w:p w14:paraId="64474717"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7 (0,8)</w:t>
            </w:r>
          </w:p>
        </w:tc>
        <w:tc>
          <w:tcPr>
            <w:tcW w:w="1416" w:type="dxa"/>
          </w:tcPr>
          <w:p w14:paraId="1D7F3C70"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4 (0,5)</w:t>
            </w:r>
          </w:p>
        </w:tc>
        <w:tc>
          <w:tcPr>
            <w:tcW w:w="1273" w:type="dxa"/>
          </w:tcPr>
          <w:p w14:paraId="353E4A90"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13 (1,6)</w:t>
            </w:r>
          </w:p>
        </w:tc>
        <w:tc>
          <w:tcPr>
            <w:tcW w:w="1804" w:type="dxa"/>
          </w:tcPr>
          <w:p w14:paraId="31BF40CB" w14:textId="77777777" w:rsidR="00C418F4" w:rsidRPr="00FC5C72" w:rsidRDefault="00C418F4" w:rsidP="00785B18">
            <w:pPr>
              <w:pStyle w:val="BMSTableText"/>
              <w:spacing w:before="0" w:after="0"/>
              <w:contextualSpacing/>
              <w:jc w:val="both"/>
              <w:rPr>
                <w:noProof/>
                <w:sz w:val="24"/>
                <w:szCs w:val="24"/>
              </w:rPr>
            </w:pPr>
          </w:p>
        </w:tc>
        <w:tc>
          <w:tcPr>
            <w:tcW w:w="1846" w:type="dxa"/>
          </w:tcPr>
          <w:p w14:paraId="1125745B" w14:textId="77777777" w:rsidR="00C418F4" w:rsidRPr="00FC5C72" w:rsidRDefault="00C418F4" w:rsidP="00785B18">
            <w:pPr>
              <w:pStyle w:val="BMSTableText"/>
              <w:spacing w:before="0" w:after="0"/>
              <w:contextualSpacing/>
              <w:jc w:val="both"/>
              <w:rPr>
                <w:noProof/>
                <w:sz w:val="24"/>
                <w:szCs w:val="24"/>
              </w:rPr>
            </w:pPr>
          </w:p>
        </w:tc>
      </w:tr>
      <w:tr w:rsidR="00FC5C72" w:rsidRPr="00FC5C72" w14:paraId="1709E243" w14:textId="77777777" w:rsidTr="0091129F">
        <w:trPr>
          <w:trHeight w:val="814"/>
        </w:trPr>
        <w:tc>
          <w:tcPr>
            <w:tcW w:w="2340" w:type="dxa"/>
          </w:tcPr>
          <w:p w14:paraId="05910ACC" w14:textId="1E7E2460" w:rsidR="00C418F4" w:rsidRPr="00FC5C72" w:rsidRDefault="00C418F4" w:rsidP="00785B18">
            <w:pPr>
              <w:pStyle w:val="BMSTableText"/>
              <w:spacing w:before="0" w:after="0"/>
              <w:ind w:left="357" w:right="30"/>
              <w:contextualSpacing/>
              <w:jc w:val="both"/>
              <w:rPr>
                <w:rFonts w:ascii="Sylfaen" w:hAnsi="Sylfaen"/>
                <w:noProof/>
                <w:sz w:val="24"/>
                <w:szCs w:val="24"/>
                <w:lang w:val="ka-GE"/>
              </w:rPr>
            </w:pPr>
            <w:r w:rsidRPr="00FC5C72">
              <w:rPr>
                <w:rFonts w:ascii="Sylfaen" w:hAnsi="Sylfaen"/>
                <w:noProof/>
                <w:sz w:val="24"/>
                <w:szCs w:val="24"/>
                <w:lang w:val="ka-GE"/>
              </w:rPr>
              <w:t>სიკვდილი ნებისმიერი მიზეზი</w:t>
            </w:r>
          </w:p>
        </w:tc>
        <w:tc>
          <w:tcPr>
            <w:tcW w:w="1440" w:type="dxa"/>
          </w:tcPr>
          <w:p w14:paraId="2857F8E5"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6 (0,7)</w:t>
            </w:r>
          </w:p>
        </w:tc>
        <w:tc>
          <w:tcPr>
            <w:tcW w:w="1416" w:type="dxa"/>
          </w:tcPr>
          <w:p w14:paraId="51F4394A"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3 (0,4)</w:t>
            </w:r>
          </w:p>
        </w:tc>
        <w:tc>
          <w:tcPr>
            <w:tcW w:w="1273" w:type="dxa"/>
          </w:tcPr>
          <w:p w14:paraId="2146AC65"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11 (1,3)</w:t>
            </w:r>
          </w:p>
        </w:tc>
        <w:tc>
          <w:tcPr>
            <w:tcW w:w="1804" w:type="dxa"/>
          </w:tcPr>
          <w:p w14:paraId="2F50505F" w14:textId="77777777" w:rsidR="00C418F4" w:rsidRPr="00FC5C72" w:rsidRDefault="00C418F4" w:rsidP="00785B18">
            <w:pPr>
              <w:pStyle w:val="BMSTableText"/>
              <w:spacing w:before="0" w:after="0"/>
              <w:contextualSpacing/>
              <w:jc w:val="both"/>
              <w:rPr>
                <w:noProof/>
                <w:sz w:val="24"/>
                <w:szCs w:val="24"/>
              </w:rPr>
            </w:pPr>
          </w:p>
        </w:tc>
        <w:tc>
          <w:tcPr>
            <w:tcW w:w="1846" w:type="dxa"/>
          </w:tcPr>
          <w:p w14:paraId="37281066" w14:textId="77777777" w:rsidR="00C418F4" w:rsidRPr="00FC5C72" w:rsidRDefault="00C418F4" w:rsidP="00785B18">
            <w:pPr>
              <w:pStyle w:val="BMSTableText"/>
              <w:spacing w:before="0" w:after="0"/>
              <w:contextualSpacing/>
              <w:jc w:val="both"/>
              <w:rPr>
                <w:noProof/>
                <w:sz w:val="24"/>
                <w:szCs w:val="24"/>
              </w:rPr>
            </w:pPr>
          </w:p>
        </w:tc>
      </w:tr>
      <w:tr w:rsidR="00FC5C72" w:rsidRPr="00FC5C72" w14:paraId="12F82420" w14:textId="77777777" w:rsidTr="0091129F">
        <w:trPr>
          <w:trHeight w:val="1081"/>
        </w:trPr>
        <w:tc>
          <w:tcPr>
            <w:tcW w:w="2340" w:type="dxa"/>
          </w:tcPr>
          <w:p w14:paraId="7139E992" w14:textId="6345937D" w:rsidR="00C418F4" w:rsidRPr="00FC5C72" w:rsidRDefault="001352C7" w:rsidP="00785B18">
            <w:pPr>
              <w:pStyle w:val="BMSTableText"/>
              <w:spacing w:before="0" w:after="0"/>
              <w:ind w:right="30"/>
              <w:contextualSpacing/>
              <w:jc w:val="both"/>
              <w:rPr>
                <w:rFonts w:ascii="Sylfaen" w:hAnsi="Sylfaen"/>
                <w:noProof/>
                <w:sz w:val="24"/>
                <w:szCs w:val="24"/>
                <w:lang w:val="ka-GE"/>
              </w:rPr>
            </w:pPr>
            <w:r w:rsidRPr="00FC5C72">
              <w:rPr>
                <w:rFonts w:ascii="Sylfaen" w:hAnsi="Sylfaen"/>
                <w:noProof/>
                <w:sz w:val="24"/>
                <w:szCs w:val="24"/>
                <w:lang w:val="ka-GE"/>
              </w:rPr>
              <w:t>ვთგ-ის რეციდივი ან სიკვდილი</w:t>
            </w:r>
            <w:r w:rsidR="00C418F4" w:rsidRPr="00FC5C72">
              <w:rPr>
                <w:noProof/>
                <w:sz w:val="24"/>
                <w:szCs w:val="24"/>
              </w:rPr>
              <w:t xml:space="preserve">, </w:t>
            </w:r>
            <w:r w:rsidRPr="00FC5C72">
              <w:rPr>
                <w:rFonts w:ascii="Sylfaen" w:hAnsi="Sylfaen"/>
                <w:noProof/>
                <w:sz w:val="24"/>
                <w:szCs w:val="24"/>
                <w:lang w:val="ka-GE"/>
              </w:rPr>
              <w:t>გამოწვეული ვთგ-ით</w:t>
            </w:r>
          </w:p>
        </w:tc>
        <w:tc>
          <w:tcPr>
            <w:tcW w:w="1440" w:type="dxa"/>
          </w:tcPr>
          <w:p w14:paraId="55C27FF2"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14 (1,7)</w:t>
            </w:r>
          </w:p>
        </w:tc>
        <w:tc>
          <w:tcPr>
            <w:tcW w:w="1416" w:type="dxa"/>
          </w:tcPr>
          <w:p w14:paraId="21B35523"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14 (1,7)</w:t>
            </w:r>
          </w:p>
        </w:tc>
        <w:tc>
          <w:tcPr>
            <w:tcW w:w="1273" w:type="dxa"/>
          </w:tcPr>
          <w:p w14:paraId="77D5DA9B"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73 (8,8)</w:t>
            </w:r>
          </w:p>
        </w:tc>
        <w:tc>
          <w:tcPr>
            <w:tcW w:w="1804" w:type="dxa"/>
          </w:tcPr>
          <w:p w14:paraId="623063AB"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0,19(0,11, 0,33)</w:t>
            </w:r>
          </w:p>
        </w:tc>
        <w:tc>
          <w:tcPr>
            <w:tcW w:w="1846" w:type="dxa"/>
          </w:tcPr>
          <w:p w14:paraId="756C7E98"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0,20</w:t>
            </w:r>
          </w:p>
          <w:p w14:paraId="5E418780"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(0,11, 0,34)</w:t>
            </w:r>
          </w:p>
        </w:tc>
      </w:tr>
      <w:tr w:rsidR="00FC5C72" w:rsidRPr="00FC5C72" w14:paraId="5BF88038" w14:textId="77777777" w:rsidTr="0091129F">
        <w:trPr>
          <w:trHeight w:val="1081"/>
        </w:trPr>
        <w:tc>
          <w:tcPr>
            <w:tcW w:w="2340" w:type="dxa"/>
          </w:tcPr>
          <w:p w14:paraId="548EA54F" w14:textId="5CC2827C" w:rsidR="00C418F4" w:rsidRPr="00FC5C72" w:rsidRDefault="001352C7" w:rsidP="00785B18">
            <w:pPr>
              <w:pStyle w:val="BMSTableText"/>
              <w:spacing w:before="0" w:after="0"/>
              <w:ind w:right="30"/>
              <w:contextualSpacing/>
              <w:jc w:val="both"/>
              <w:rPr>
                <w:rFonts w:asciiTheme="minorHAnsi" w:hAnsiTheme="minorHAnsi"/>
                <w:noProof/>
                <w:sz w:val="24"/>
                <w:szCs w:val="24"/>
                <w:lang w:val="ka-GE"/>
              </w:rPr>
            </w:pPr>
            <w:r w:rsidRPr="00FC5C72">
              <w:rPr>
                <w:rFonts w:ascii="Sylfaen" w:hAnsi="Sylfaen"/>
                <w:noProof/>
                <w:sz w:val="24"/>
                <w:szCs w:val="24"/>
                <w:lang w:val="ka-GE"/>
              </w:rPr>
              <w:t>ვთგ-ის რეციდივი ან სიკვდილი, გამოწვეული გსდ</w:t>
            </w:r>
            <w:r w:rsidRPr="00FC5C72">
              <w:rPr>
                <w:rFonts w:asciiTheme="minorHAnsi" w:hAnsiTheme="minorHAnsi"/>
                <w:noProof/>
                <w:sz w:val="24"/>
                <w:szCs w:val="24"/>
                <w:lang w:val="ka-GE"/>
              </w:rPr>
              <w:t>-ით</w:t>
            </w:r>
          </w:p>
        </w:tc>
        <w:tc>
          <w:tcPr>
            <w:tcW w:w="1440" w:type="dxa"/>
          </w:tcPr>
          <w:p w14:paraId="7F689EB0"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14 (1,7)</w:t>
            </w:r>
          </w:p>
        </w:tc>
        <w:tc>
          <w:tcPr>
            <w:tcW w:w="1416" w:type="dxa"/>
          </w:tcPr>
          <w:p w14:paraId="6B9CC1B7"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14 (1,7)</w:t>
            </w:r>
          </w:p>
        </w:tc>
        <w:tc>
          <w:tcPr>
            <w:tcW w:w="1273" w:type="dxa"/>
          </w:tcPr>
          <w:p w14:paraId="77C08C61"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76 (9,2)</w:t>
            </w:r>
          </w:p>
        </w:tc>
        <w:tc>
          <w:tcPr>
            <w:tcW w:w="1804" w:type="dxa"/>
          </w:tcPr>
          <w:p w14:paraId="30D64BAB"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0,18</w:t>
            </w:r>
          </w:p>
          <w:p w14:paraId="28219E4A"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(0,10, 0,32)</w:t>
            </w:r>
          </w:p>
        </w:tc>
        <w:tc>
          <w:tcPr>
            <w:tcW w:w="1846" w:type="dxa"/>
          </w:tcPr>
          <w:p w14:paraId="2CC23515"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0,19</w:t>
            </w:r>
          </w:p>
          <w:p w14:paraId="317B22F3"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(0,11, 0,33)</w:t>
            </w:r>
          </w:p>
        </w:tc>
      </w:tr>
      <w:tr w:rsidR="00FC5C72" w:rsidRPr="00FC5C72" w14:paraId="609BA7A2" w14:textId="77777777" w:rsidTr="0091129F">
        <w:trPr>
          <w:trHeight w:val="548"/>
        </w:trPr>
        <w:tc>
          <w:tcPr>
            <w:tcW w:w="2340" w:type="dxa"/>
          </w:tcPr>
          <w:p w14:paraId="675BCA2B" w14:textId="0C05CB26" w:rsidR="00C418F4" w:rsidRPr="00FC5C72" w:rsidRDefault="001352C7" w:rsidP="00785B18">
            <w:pPr>
              <w:pStyle w:val="BMSTableText"/>
              <w:spacing w:before="0" w:after="0"/>
              <w:ind w:right="30"/>
              <w:contextualSpacing/>
              <w:jc w:val="both"/>
              <w:rPr>
                <w:noProof/>
                <w:sz w:val="24"/>
                <w:szCs w:val="24"/>
              </w:rPr>
            </w:pPr>
            <w:r w:rsidRPr="00FC5C72">
              <w:rPr>
                <w:rFonts w:ascii="Sylfaen" w:hAnsi="Sylfaen"/>
                <w:noProof/>
                <w:sz w:val="24"/>
                <w:szCs w:val="24"/>
                <w:lang w:val="ka-GE"/>
              </w:rPr>
              <w:t>არალეტალური ღვთ</w:t>
            </w:r>
            <w:r w:rsidR="00C418F4" w:rsidRPr="00FC5C72">
              <w:rPr>
                <w:noProof/>
                <w:sz w:val="24"/>
                <w:szCs w:val="24"/>
                <w:vertAlign w:val="superscript"/>
                <w:rtl/>
              </w:rPr>
              <w:t>†</w:t>
            </w:r>
          </w:p>
        </w:tc>
        <w:tc>
          <w:tcPr>
            <w:tcW w:w="1440" w:type="dxa"/>
          </w:tcPr>
          <w:p w14:paraId="4767CE0E"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6 (0,7)</w:t>
            </w:r>
          </w:p>
        </w:tc>
        <w:tc>
          <w:tcPr>
            <w:tcW w:w="1416" w:type="dxa"/>
          </w:tcPr>
          <w:p w14:paraId="7458C148"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8 (1,0)</w:t>
            </w:r>
          </w:p>
        </w:tc>
        <w:tc>
          <w:tcPr>
            <w:tcW w:w="1273" w:type="dxa"/>
          </w:tcPr>
          <w:p w14:paraId="0BFBCAF7"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53 (6,4)</w:t>
            </w:r>
          </w:p>
        </w:tc>
        <w:tc>
          <w:tcPr>
            <w:tcW w:w="1804" w:type="dxa"/>
          </w:tcPr>
          <w:p w14:paraId="55A6171B"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0,11</w:t>
            </w:r>
          </w:p>
          <w:p w14:paraId="5FD15B8C"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(0,05, 0,26)</w:t>
            </w:r>
          </w:p>
        </w:tc>
        <w:tc>
          <w:tcPr>
            <w:tcW w:w="1846" w:type="dxa"/>
          </w:tcPr>
          <w:p w14:paraId="7DB1E38C"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0,15</w:t>
            </w:r>
          </w:p>
          <w:p w14:paraId="2C735BF6"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(0,07, 0,32)</w:t>
            </w:r>
          </w:p>
        </w:tc>
      </w:tr>
      <w:tr w:rsidR="00FC5C72" w:rsidRPr="00FC5C72" w14:paraId="1F75BCE3" w14:textId="77777777" w:rsidTr="0091129F">
        <w:trPr>
          <w:trHeight w:val="533"/>
        </w:trPr>
        <w:tc>
          <w:tcPr>
            <w:tcW w:w="2340" w:type="dxa"/>
          </w:tcPr>
          <w:p w14:paraId="4E7AE5B1" w14:textId="3EE9CBD9" w:rsidR="00C418F4" w:rsidRPr="00FC5C72" w:rsidRDefault="001352C7" w:rsidP="00785B18">
            <w:pPr>
              <w:pStyle w:val="BMSTableText"/>
              <w:spacing w:before="0" w:after="0"/>
              <w:ind w:right="30"/>
              <w:contextualSpacing/>
              <w:jc w:val="both"/>
              <w:rPr>
                <w:noProof/>
                <w:sz w:val="24"/>
                <w:szCs w:val="24"/>
              </w:rPr>
            </w:pPr>
            <w:r w:rsidRPr="00FC5C72">
              <w:rPr>
                <w:rFonts w:ascii="Sylfaen" w:hAnsi="Sylfaen"/>
                <w:noProof/>
                <w:sz w:val="24"/>
                <w:szCs w:val="24"/>
                <w:lang w:val="ka-GE"/>
              </w:rPr>
              <w:t>არალეტალური ფათე</w:t>
            </w:r>
            <w:r w:rsidR="00C418F4" w:rsidRPr="00FC5C72">
              <w:rPr>
                <w:noProof/>
                <w:sz w:val="24"/>
                <w:szCs w:val="24"/>
                <w:vertAlign w:val="superscript"/>
                <w:rtl/>
              </w:rPr>
              <w:t>†</w:t>
            </w:r>
          </w:p>
        </w:tc>
        <w:tc>
          <w:tcPr>
            <w:tcW w:w="1440" w:type="dxa"/>
          </w:tcPr>
          <w:p w14:paraId="5BCA8A18"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8 (1,0)</w:t>
            </w:r>
          </w:p>
        </w:tc>
        <w:tc>
          <w:tcPr>
            <w:tcW w:w="1416" w:type="dxa"/>
          </w:tcPr>
          <w:p w14:paraId="0420AFE9"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4 (0,5)</w:t>
            </w:r>
          </w:p>
        </w:tc>
        <w:tc>
          <w:tcPr>
            <w:tcW w:w="1273" w:type="dxa"/>
          </w:tcPr>
          <w:p w14:paraId="7509346A"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15 (1,8)</w:t>
            </w:r>
          </w:p>
        </w:tc>
        <w:tc>
          <w:tcPr>
            <w:tcW w:w="1804" w:type="dxa"/>
          </w:tcPr>
          <w:p w14:paraId="7D2CBE3D"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0,51</w:t>
            </w:r>
          </w:p>
          <w:p w14:paraId="388B348E"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(0,22, 1,21)</w:t>
            </w:r>
          </w:p>
        </w:tc>
        <w:tc>
          <w:tcPr>
            <w:tcW w:w="1846" w:type="dxa"/>
          </w:tcPr>
          <w:p w14:paraId="4F6BF1F1"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0,27</w:t>
            </w:r>
          </w:p>
          <w:p w14:paraId="7B2D99E4"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(0,09, 0,80)</w:t>
            </w:r>
          </w:p>
        </w:tc>
      </w:tr>
      <w:tr w:rsidR="00FC5C72" w:rsidRPr="00FC5C72" w14:paraId="128A4610" w14:textId="77777777" w:rsidTr="0091129F">
        <w:trPr>
          <w:trHeight w:val="814"/>
        </w:trPr>
        <w:tc>
          <w:tcPr>
            <w:tcW w:w="2340" w:type="dxa"/>
          </w:tcPr>
          <w:p w14:paraId="02DC0A17" w14:textId="2187700F" w:rsidR="00C418F4" w:rsidRPr="00FC5C72" w:rsidRDefault="001352C7" w:rsidP="00785B18">
            <w:pPr>
              <w:pStyle w:val="BMSTableText"/>
              <w:spacing w:before="0" w:after="0"/>
              <w:ind w:right="30"/>
              <w:contextualSpacing/>
              <w:jc w:val="both"/>
              <w:rPr>
                <w:rFonts w:asciiTheme="minorHAnsi" w:hAnsiTheme="minorHAnsi"/>
                <w:noProof/>
                <w:sz w:val="24"/>
                <w:szCs w:val="24"/>
                <w:lang w:val="ka-GE"/>
              </w:rPr>
            </w:pPr>
            <w:r w:rsidRPr="00FC5C72">
              <w:rPr>
                <w:rFonts w:ascii="Sylfaen" w:hAnsi="Sylfaen"/>
                <w:noProof/>
                <w:sz w:val="24"/>
                <w:szCs w:val="24"/>
                <w:lang w:val="ka-GE"/>
              </w:rPr>
              <w:t>სიკვდილი</w:t>
            </w:r>
            <w:r w:rsidR="00C418F4" w:rsidRPr="00FC5C72">
              <w:rPr>
                <w:noProof/>
                <w:sz w:val="24"/>
                <w:szCs w:val="24"/>
              </w:rPr>
              <w:t>,</w:t>
            </w:r>
            <w:r w:rsidRPr="00FC5C72">
              <w:rPr>
                <w:rFonts w:asciiTheme="minorHAnsi" w:hAnsiTheme="minorHAnsi"/>
                <w:noProof/>
                <w:sz w:val="24"/>
                <w:szCs w:val="24"/>
                <w:lang w:val="ka-GE"/>
              </w:rPr>
              <w:t xml:space="preserve"> გამოწვეული ვთგ-ით</w:t>
            </w:r>
            <w:r w:rsidR="00C418F4" w:rsidRPr="00FC5C72">
              <w:rPr>
                <w:noProof/>
                <w:sz w:val="24"/>
                <w:szCs w:val="24"/>
              </w:rPr>
              <w:t xml:space="preserve"> </w:t>
            </w:r>
            <w:r w:rsidRPr="00FC5C72">
              <w:rPr>
                <w:rFonts w:asciiTheme="minorHAnsi" w:hAnsiTheme="minorHAnsi"/>
                <w:noProof/>
                <w:sz w:val="24"/>
                <w:szCs w:val="24"/>
                <w:lang w:val="ka-GE"/>
              </w:rPr>
              <w:t xml:space="preserve"> </w:t>
            </w:r>
          </w:p>
        </w:tc>
        <w:tc>
          <w:tcPr>
            <w:tcW w:w="1440" w:type="dxa"/>
          </w:tcPr>
          <w:p w14:paraId="4E7BBB9E"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2 (0,2)</w:t>
            </w:r>
          </w:p>
        </w:tc>
        <w:tc>
          <w:tcPr>
            <w:tcW w:w="1416" w:type="dxa"/>
          </w:tcPr>
          <w:p w14:paraId="7BD97D21"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3 (0,4)</w:t>
            </w:r>
          </w:p>
        </w:tc>
        <w:tc>
          <w:tcPr>
            <w:tcW w:w="1273" w:type="dxa"/>
          </w:tcPr>
          <w:p w14:paraId="61A25EEF"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7 (0,8)</w:t>
            </w:r>
          </w:p>
        </w:tc>
        <w:tc>
          <w:tcPr>
            <w:tcW w:w="1804" w:type="dxa"/>
          </w:tcPr>
          <w:p w14:paraId="2D20F215"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0,28</w:t>
            </w:r>
          </w:p>
          <w:p w14:paraId="63F3E1C0"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(0,06, 1,37)</w:t>
            </w:r>
          </w:p>
        </w:tc>
        <w:tc>
          <w:tcPr>
            <w:tcW w:w="1846" w:type="dxa"/>
          </w:tcPr>
          <w:p w14:paraId="1E285F97"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0,45</w:t>
            </w:r>
          </w:p>
          <w:p w14:paraId="0DE7D95C" w14:textId="77777777" w:rsidR="00C418F4" w:rsidRPr="00FC5C72" w:rsidRDefault="00C418F4" w:rsidP="00785B18">
            <w:pPr>
              <w:pStyle w:val="BMSTableText"/>
              <w:spacing w:before="0" w:after="0"/>
              <w:contextualSpacing/>
              <w:jc w:val="both"/>
              <w:rPr>
                <w:noProof/>
                <w:sz w:val="24"/>
                <w:szCs w:val="24"/>
              </w:rPr>
            </w:pPr>
            <w:r w:rsidRPr="00FC5C72">
              <w:rPr>
                <w:noProof/>
                <w:sz w:val="24"/>
                <w:szCs w:val="24"/>
              </w:rPr>
              <w:t>(0,12, 1,71)</w:t>
            </w:r>
          </w:p>
        </w:tc>
      </w:tr>
    </w:tbl>
    <w:p w14:paraId="5006AB3E" w14:textId="41CDC5BC" w:rsidR="001352C7" w:rsidRPr="00FC5C72" w:rsidRDefault="001352C7" w:rsidP="00785B18">
      <w:pPr>
        <w:pStyle w:val="BMSBodyText"/>
        <w:spacing w:before="0" w:after="0" w:line="240" w:lineRule="auto"/>
        <w:contextualSpacing/>
        <w:rPr>
          <w:color w:val="auto"/>
          <w:szCs w:val="24"/>
        </w:rPr>
      </w:pPr>
      <w:r w:rsidRPr="00FC5C72">
        <w:rPr>
          <w:color w:val="auto"/>
          <w:szCs w:val="24"/>
          <w:vertAlign w:val="superscript"/>
        </w:rPr>
        <w:t xml:space="preserve">¥ </w:t>
      </w:r>
      <w:r w:rsidRPr="00FC5C72">
        <w:rPr>
          <w:color w:val="auto"/>
          <w:szCs w:val="24"/>
        </w:rPr>
        <w:t>p-</w:t>
      </w:r>
      <w:r w:rsidRPr="00FC5C72">
        <w:rPr>
          <w:rFonts w:ascii="Sylfaen" w:hAnsi="Sylfaen"/>
          <w:color w:val="auto"/>
          <w:szCs w:val="24"/>
          <w:lang w:val="ka-GE"/>
        </w:rPr>
        <w:t>მნიშვნელობა</w:t>
      </w:r>
      <w:r w:rsidRPr="00FC5C72">
        <w:rPr>
          <w:color w:val="auto"/>
          <w:szCs w:val="24"/>
        </w:rPr>
        <w:t> &lt;0,0001</w:t>
      </w:r>
    </w:p>
    <w:p w14:paraId="0448CAA1" w14:textId="77777777" w:rsidR="001352C7" w:rsidRPr="00FC5C72" w:rsidRDefault="001352C7" w:rsidP="00785B18">
      <w:pPr>
        <w:pStyle w:val="BMSBodyText"/>
        <w:spacing w:before="0" w:after="0" w:line="240" w:lineRule="auto"/>
        <w:contextualSpacing/>
        <w:rPr>
          <w:rStyle w:val="BMSTableNote"/>
          <w:rFonts w:ascii="Sylfaen" w:hAnsi="Sylfaen"/>
          <w:sz w:val="24"/>
          <w:szCs w:val="24"/>
          <w:vertAlign w:val="baseline"/>
          <w:lang w:val="ka-GE"/>
        </w:rPr>
      </w:pPr>
      <w:r w:rsidRPr="00FC5C72">
        <w:rPr>
          <w:rStyle w:val="BMSTableNote"/>
          <w:sz w:val="24"/>
          <w:szCs w:val="24"/>
        </w:rPr>
        <w:t xml:space="preserve">* </w:t>
      </w:r>
      <w:r w:rsidRPr="00FC5C72">
        <w:rPr>
          <w:rStyle w:val="BMSTableNote"/>
          <w:rFonts w:ascii="Sylfaen" w:hAnsi="Sylfaen"/>
          <w:sz w:val="24"/>
          <w:szCs w:val="24"/>
          <w:vertAlign w:val="baseline"/>
          <w:lang w:val="ka-GE"/>
        </w:rPr>
        <w:t xml:space="preserve">კომბინირებულ საბოლოო წერტილში შემავალი ერთზე მეტი მოვლენის მქონე პაციენტებში დაფიქსირდა მხოლოდ პირველი მოვლენა (მაგალითად, თუ პაციენტს ჰქონდა ღვთ, შემდეგ კი ფათე, დაფიქსირდა მხოლოდ ღვთ). </w:t>
      </w:r>
    </w:p>
    <w:p w14:paraId="14E476D6" w14:textId="3EDD2DB1" w:rsidR="001352C7" w:rsidRPr="00FC5C72" w:rsidRDefault="001352C7" w:rsidP="00785B18">
      <w:pPr>
        <w:pStyle w:val="BMSBodyText"/>
        <w:spacing w:before="0" w:after="0" w:line="240" w:lineRule="auto"/>
        <w:ind w:hanging="180"/>
        <w:contextualSpacing/>
        <w:rPr>
          <w:rStyle w:val="BMSTableNote"/>
          <w:rFonts w:ascii="Sylfaen" w:hAnsi="Sylfaen"/>
          <w:sz w:val="24"/>
          <w:szCs w:val="24"/>
          <w:vertAlign w:val="baseline"/>
          <w:lang w:val="ka-GE"/>
        </w:rPr>
      </w:pPr>
      <w:r w:rsidRPr="00FC5C72">
        <w:rPr>
          <w:rStyle w:val="BMSTableNote"/>
          <w:sz w:val="24"/>
          <w:szCs w:val="24"/>
          <w:rtl/>
        </w:rPr>
        <w:t xml:space="preserve">† </w:t>
      </w:r>
      <w:r w:rsidR="003177E4" w:rsidRPr="00FC5C72">
        <w:rPr>
          <w:rStyle w:val="BMSTableNote"/>
          <w:rFonts w:asciiTheme="minorHAnsi" w:hAnsiTheme="minorHAnsi"/>
          <w:sz w:val="24"/>
          <w:szCs w:val="24"/>
          <w:lang w:val="ka-GE"/>
        </w:rPr>
        <w:t xml:space="preserve"> </w:t>
      </w:r>
      <w:r w:rsidRPr="00FC5C72">
        <w:rPr>
          <w:rStyle w:val="BMSTableNote"/>
          <w:rFonts w:ascii="Sylfaen" w:hAnsi="Sylfaen"/>
          <w:sz w:val="24"/>
          <w:szCs w:val="24"/>
          <w:vertAlign w:val="baseline"/>
          <w:lang w:val="ka-GE"/>
        </w:rPr>
        <w:t xml:space="preserve">ინდივიდუალურ შემთხვევებში შეიძლება რეგისტრირებული და წარმოდგენილი ყოფილიყო </w:t>
      </w:r>
      <w:r w:rsidR="003177E4" w:rsidRPr="00FC5C72">
        <w:rPr>
          <w:rStyle w:val="BMSTableNote"/>
          <w:rFonts w:ascii="Sylfaen" w:hAnsi="Sylfaen"/>
          <w:sz w:val="24"/>
          <w:szCs w:val="24"/>
          <w:vertAlign w:val="baseline"/>
          <w:lang w:val="ka-GE"/>
        </w:rPr>
        <w:t>რამდენიმე მოვლენ</w:t>
      </w:r>
      <w:r w:rsidR="008E663B" w:rsidRPr="00FC5C72">
        <w:rPr>
          <w:rStyle w:val="BMSTableNote"/>
          <w:rFonts w:ascii="Sylfaen" w:hAnsi="Sylfaen"/>
          <w:sz w:val="24"/>
          <w:szCs w:val="24"/>
          <w:vertAlign w:val="baseline"/>
          <w:lang w:val="ka-GE"/>
        </w:rPr>
        <w:t>ა</w:t>
      </w:r>
      <w:r w:rsidR="003177E4" w:rsidRPr="00FC5C72">
        <w:rPr>
          <w:rStyle w:val="BMSTableNote"/>
          <w:rFonts w:ascii="Sylfaen" w:hAnsi="Sylfaen"/>
          <w:sz w:val="24"/>
          <w:szCs w:val="24"/>
          <w:vertAlign w:val="baseline"/>
          <w:lang w:val="ka-GE"/>
        </w:rPr>
        <w:t xml:space="preserve"> ორივე კლასიფიკაციაში.</w:t>
      </w:r>
    </w:p>
    <w:p w14:paraId="728682B7" w14:textId="2D519DB1" w:rsidR="003177E4" w:rsidRPr="00FC5C72" w:rsidRDefault="003177E4" w:rsidP="00785B18">
      <w:pPr>
        <w:pStyle w:val="BMSBodyText"/>
        <w:spacing w:before="0" w:after="0" w:line="240" w:lineRule="auto"/>
        <w:ind w:hanging="180"/>
        <w:contextualSpacing/>
        <w:rPr>
          <w:rStyle w:val="BMSTableNote"/>
          <w:rFonts w:ascii="Sylfaen" w:hAnsi="Sylfaen"/>
          <w:sz w:val="24"/>
          <w:szCs w:val="24"/>
          <w:vertAlign w:val="baseline"/>
          <w:lang w:val="ka-GE"/>
        </w:rPr>
      </w:pPr>
    </w:p>
    <w:p w14:paraId="5E06A4D3" w14:textId="7B72C25F" w:rsidR="003177E4" w:rsidRPr="00FC5C72" w:rsidRDefault="003177E4" w:rsidP="00785B18">
      <w:pPr>
        <w:pStyle w:val="BMSBodyText"/>
        <w:spacing w:before="0" w:after="0" w:line="240" w:lineRule="auto"/>
        <w:contextualSpacing/>
        <w:rPr>
          <w:rStyle w:val="BMSTableNote"/>
          <w:rFonts w:ascii="Sylfaen" w:hAnsi="Sylfaen"/>
          <w:sz w:val="24"/>
          <w:szCs w:val="24"/>
          <w:vertAlign w:val="baseline"/>
          <w:lang w:val="ka-GE"/>
        </w:rPr>
      </w:pPr>
      <w:r w:rsidRPr="00FC5C72">
        <w:rPr>
          <w:rStyle w:val="BMSTableNote"/>
          <w:rFonts w:ascii="Sylfaen" w:hAnsi="Sylfaen"/>
          <w:sz w:val="24"/>
          <w:szCs w:val="24"/>
          <w:vertAlign w:val="baseline"/>
          <w:lang w:val="ka-GE"/>
        </w:rPr>
        <w:t xml:space="preserve">აპიქსაბანის ეფექტიანობა ვთგ-ის რეციდივის პროფილაქტიკაში უცვლელი დარჩა პაციენტების ყველა ქვეჯგუფში ასაკის, სქესის, სმი-ის და თირკმელების ფუნქციის მიუხედავად. </w:t>
      </w:r>
    </w:p>
    <w:p w14:paraId="7C97C2B3" w14:textId="462EA2BC" w:rsidR="003177E4" w:rsidRPr="00FC5C72" w:rsidRDefault="003177E4" w:rsidP="00785B18">
      <w:pPr>
        <w:pStyle w:val="BMSBodyText"/>
        <w:spacing w:before="0" w:after="0" w:line="240" w:lineRule="auto"/>
        <w:contextualSpacing/>
        <w:rPr>
          <w:rStyle w:val="BMSTableNote"/>
          <w:rFonts w:ascii="Sylfaen" w:hAnsi="Sylfaen"/>
          <w:sz w:val="24"/>
          <w:szCs w:val="24"/>
          <w:vertAlign w:val="baseline"/>
          <w:lang w:val="ka-GE"/>
        </w:rPr>
      </w:pPr>
      <w:r w:rsidRPr="00FC5C72">
        <w:rPr>
          <w:rStyle w:val="BMSTableNote"/>
          <w:rFonts w:ascii="Sylfaen" w:hAnsi="Sylfaen"/>
          <w:sz w:val="24"/>
          <w:szCs w:val="24"/>
          <w:vertAlign w:val="baseline"/>
          <w:lang w:val="ka-GE"/>
        </w:rPr>
        <w:t xml:space="preserve">უსაფრთხოების შეფასების პირველად საბოლოო წერტილს წარმოადგენდა მნიშვნელოვანი სისხლდენა მკურნალობის პერიოდში. ამ კვლევაში აპიქსაბანის ორივე დოზისთვის მნიშვნელოვანი სისხლდენის განვითარების სიხშირე სტატისტიკურად არ განსხვავდებოდა </w:t>
      </w:r>
      <w:r w:rsidR="00D467B4" w:rsidRPr="00FC5C72">
        <w:rPr>
          <w:rStyle w:val="BMSTableNote"/>
          <w:rFonts w:ascii="Sylfaen" w:hAnsi="Sylfaen"/>
          <w:sz w:val="24"/>
          <w:szCs w:val="24"/>
          <w:vertAlign w:val="baseline"/>
          <w:lang w:val="ka-GE"/>
        </w:rPr>
        <w:t xml:space="preserve">პლაცებოს შემთხვევაში აღნიშნული სიხშირესგან. მნიშვნელოვანი სისხლდენების + </w:t>
      </w:r>
      <w:r w:rsidR="00D467B4" w:rsidRPr="00FC5C72">
        <w:rPr>
          <w:rFonts w:ascii="Sylfaen" w:hAnsi="Sylfaen"/>
          <w:noProof/>
          <w:color w:val="auto"/>
          <w:szCs w:val="24"/>
          <w:lang w:val="ka-GE"/>
        </w:rPr>
        <w:t>კლინიკურად მნიშვნელოვანი მცირე სისხლდენების, უმნიშვნე</w:t>
      </w:r>
      <w:r w:rsidR="008E663B" w:rsidRPr="00FC5C72">
        <w:rPr>
          <w:rFonts w:ascii="Sylfaen" w:hAnsi="Sylfaen"/>
          <w:noProof/>
          <w:color w:val="auto"/>
          <w:szCs w:val="24"/>
          <w:lang w:val="ka-GE"/>
        </w:rPr>
        <w:t>ლ</w:t>
      </w:r>
      <w:r w:rsidR="00D467B4" w:rsidRPr="00FC5C72">
        <w:rPr>
          <w:rFonts w:ascii="Sylfaen" w:hAnsi="Sylfaen"/>
          <w:noProof/>
          <w:color w:val="auto"/>
          <w:szCs w:val="24"/>
          <w:lang w:val="ka-GE"/>
        </w:rPr>
        <w:t>ო და ყველა სისხლდენის ჯგუფებს შორის სიხშირეში სტატისტიკურად მნიშვნელოვანი განსხვავება</w:t>
      </w:r>
      <w:r w:rsidR="00D467B4" w:rsidRPr="00FC5C72">
        <w:rPr>
          <w:rStyle w:val="BMSTableNote"/>
          <w:rFonts w:ascii="Sylfaen" w:hAnsi="Sylfaen"/>
          <w:sz w:val="24"/>
          <w:szCs w:val="24"/>
          <w:vertAlign w:val="baseline"/>
          <w:lang w:val="ka-GE"/>
        </w:rPr>
        <w:t xml:space="preserve"> ორჯერ დღე-ღამეში 2.5 მგ აპიქსაბანის და პლაცებოს ჯგუფებს შორის არ არის გამოვლენილი (იხ. ცხრილი 11). </w:t>
      </w:r>
      <w:r w:rsidRPr="00FC5C72">
        <w:rPr>
          <w:rStyle w:val="BMSTableNote"/>
          <w:rFonts w:ascii="Sylfaen" w:hAnsi="Sylfaen"/>
          <w:sz w:val="24"/>
          <w:szCs w:val="24"/>
          <w:vertAlign w:val="baseline"/>
          <w:lang w:val="ka-GE"/>
        </w:rPr>
        <w:t xml:space="preserve"> </w:t>
      </w:r>
    </w:p>
    <w:p w14:paraId="1A35BEE7" w14:textId="1AE95FF0" w:rsidR="00D467B4" w:rsidRPr="00FC5C72" w:rsidRDefault="00D467B4" w:rsidP="00785B18">
      <w:pPr>
        <w:pStyle w:val="BMSBodyText"/>
        <w:spacing w:before="0" w:after="0" w:line="240" w:lineRule="auto"/>
        <w:contextualSpacing/>
        <w:rPr>
          <w:rStyle w:val="BMSTableNote"/>
          <w:rFonts w:ascii="Sylfaen" w:hAnsi="Sylfaen"/>
          <w:sz w:val="24"/>
          <w:szCs w:val="24"/>
          <w:vertAlign w:val="baseline"/>
          <w:lang w:val="ka-GE"/>
        </w:rPr>
      </w:pPr>
    </w:p>
    <w:p w14:paraId="061240A0" w14:textId="52D4F04A" w:rsidR="00D467B4" w:rsidRPr="00FC5C72" w:rsidRDefault="00D467B4" w:rsidP="00785B18">
      <w:pPr>
        <w:pStyle w:val="BMSBodyText"/>
        <w:spacing w:before="0" w:after="0" w:line="240" w:lineRule="auto"/>
        <w:contextualSpacing/>
        <w:rPr>
          <w:rStyle w:val="BMSTableNote"/>
          <w:rFonts w:ascii="Sylfaen" w:hAnsi="Sylfaen"/>
          <w:b/>
          <w:bCs/>
          <w:sz w:val="24"/>
          <w:szCs w:val="24"/>
          <w:vertAlign w:val="baseline"/>
          <w:lang w:val="ka-GE"/>
        </w:rPr>
      </w:pPr>
      <w:r w:rsidRPr="00FC5C72">
        <w:rPr>
          <w:rStyle w:val="BMSTableNote"/>
          <w:rFonts w:ascii="Sylfaen" w:hAnsi="Sylfaen"/>
          <w:b/>
          <w:bCs/>
          <w:sz w:val="24"/>
          <w:szCs w:val="24"/>
          <w:vertAlign w:val="baseline"/>
          <w:lang w:val="ka-GE"/>
        </w:rPr>
        <w:t xml:space="preserve">ცხრილი 11. სისხლდენების შეფასების შედეგები </w:t>
      </w:r>
      <w:r w:rsidRPr="00FC5C72">
        <w:rPr>
          <w:b/>
          <w:bCs/>
          <w:noProof/>
          <w:color w:val="auto"/>
          <w:szCs w:val="24"/>
        </w:rPr>
        <w:t>კვლევაში AMPLIFY-EXT</w:t>
      </w:r>
    </w:p>
    <w:tbl>
      <w:tblPr>
        <w:tblW w:w="509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8"/>
        <w:gridCol w:w="1428"/>
        <w:gridCol w:w="1379"/>
        <w:gridCol w:w="1255"/>
        <w:gridCol w:w="1848"/>
        <w:gridCol w:w="1905"/>
      </w:tblGrid>
      <w:tr w:rsidR="00FC5C72" w:rsidRPr="00FC5C72" w14:paraId="27F98083" w14:textId="77777777" w:rsidTr="00861A25">
        <w:trPr>
          <w:tblHeader/>
        </w:trPr>
        <w:tc>
          <w:tcPr>
            <w:tcW w:w="1151" w:type="pct"/>
          </w:tcPr>
          <w:p w14:paraId="09A70F92" w14:textId="77777777" w:rsidR="00D467B4" w:rsidRPr="00FC5C72" w:rsidRDefault="00D467B4" w:rsidP="00785B18">
            <w:pPr>
              <w:pStyle w:val="BMSTableHeader"/>
              <w:keepNext/>
              <w:keepLines/>
              <w:tabs>
                <w:tab w:val="left" w:pos="567"/>
              </w:tabs>
              <w:spacing w:before="0" w:after="0"/>
              <w:contextualSpacing/>
              <w:rPr>
                <w:noProof/>
                <w:sz w:val="24"/>
                <w:szCs w:val="24"/>
              </w:rPr>
            </w:pPr>
          </w:p>
        </w:tc>
        <w:tc>
          <w:tcPr>
            <w:tcW w:w="703" w:type="pct"/>
          </w:tcPr>
          <w:p w14:paraId="690CF8E7" w14:textId="23F1B3C4" w:rsidR="00D467B4" w:rsidRPr="00FC5C72" w:rsidRDefault="00D467B4" w:rsidP="00785B18">
            <w:pPr>
              <w:pStyle w:val="BMSTableHeader"/>
              <w:keepNext/>
              <w:keepLines/>
              <w:spacing w:before="0" w:after="0"/>
              <w:contextualSpacing/>
              <w:rPr>
                <w:noProof/>
                <w:sz w:val="24"/>
                <w:szCs w:val="24"/>
              </w:rPr>
            </w:pPr>
            <w:r w:rsidRPr="00FC5C72">
              <w:rPr>
                <w:rFonts w:ascii="Sylfaen" w:hAnsi="Sylfaen"/>
                <w:noProof/>
                <w:sz w:val="24"/>
                <w:szCs w:val="24"/>
                <w:lang w:val="ka-GE"/>
              </w:rPr>
              <w:t>აპიქსაბანი</w:t>
            </w:r>
            <w:r w:rsidRPr="00FC5C72">
              <w:rPr>
                <w:noProof/>
                <w:sz w:val="24"/>
                <w:szCs w:val="24"/>
              </w:rPr>
              <w:t xml:space="preserve"> </w:t>
            </w:r>
          </w:p>
        </w:tc>
        <w:tc>
          <w:tcPr>
            <w:tcW w:w="679" w:type="pct"/>
          </w:tcPr>
          <w:p w14:paraId="31B59DD8" w14:textId="71E7D8C6" w:rsidR="00D467B4" w:rsidRPr="00FC5C72" w:rsidRDefault="00D467B4" w:rsidP="00785B18">
            <w:pPr>
              <w:pStyle w:val="BMSTableHeader"/>
              <w:keepNext/>
              <w:keepLines/>
              <w:spacing w:before="0" w:after="0"/>
              <w:contextualSpacing/>
              <w:rPr>
                <w:noProof/>
                <w:sz w:val="24"/>
                <w:szCs w:val="24"/>
              </w:rPr>
            </w:pPr>
            <w:r w:rsidRPr="00FC5C72">
              <w:rPr>
                <w:rFonts w:ascii="Sylfaen" w:hAnsi="Sylfaen"/>
                <w:noProof/>
                <w:sz w:val="24"/>
                <w:szCs w:val="24"/>
                <w:lang w:val="ka-GE"/>
              </w:rPr>
              <w:t>აპიქსაბანი</w:t>
            </w:r>
          </w:p>
        </w:tc>
        <w:tc>
          <w:tcPr>
            <w:tcW w:w="618" w:type="pct"/>
          </w:tcPr>
          <w:p w14:paraId="1F753ED6" w14:textId="0DA9DFFC" w:rsidR="00D467B4" w:rsidRPr="00FC5C72" w:rsidRDefault="00D467B4" w:rsidP="00785B18">
            <w:pPr>
              <w:pStyle w:val="BMSTableHeader"/>
              <w:keepNext/>
              <w:keepLines/>
              <w:spacing w:before="0" w:after="0"/>
              <w:contextualSpacing/>
              <w:rPr>
                <w:noProof/>
                <w:sz w:val="24"/>
                <w:szCs w:val="24"/>
              </w:rPr>
            </w:pPr>
            <w:r w:rsidRPr="00FC5C72">
              <w:rPr>
                <w:rFonts w:ascii="Sylfaen" w:hAnsi="Sylfaen"/>
                <w:noProof/>
                <w:sz w:val="24"/>
                <w:szCs w:val="24"/>
                <w:lang w:val="ka-GE"/>
              </w:rPr>
              <w:t>პლაცებო</w:t>
            </w:r>
          </w:p>
        </w:tc>
        <w:tc>
          <w:tcPr>
            <w:tcW w:w="1848" w:type="pct"/>
            <w:gridSpan w:val="2"/>
          </w:tcPr>
          <w:p w14:paraId="00DED509" w14:textId="77777777" w:rsidR="00D467B4" w:rsidRPr="00FC5C72" w:rsidRDefault="00D467B4" w:rsidP="00785B18">
            <w:pPr>
              <w:pStyle w:val="BMSTableHeader"/>
              <w:keepNext/>
              <w:spacing w:before="0" w:after="0"/>
              <w:contextualSpacing/>
              <w:rPr>
                <w:noProof/>
                <w:sz w:val="24"/>
                <w:szCs w:val="24"/>
              </w:rPr>
            </w:pPr>
            <w:r w:rsidRPr="00FC5C72">
              <w:rPr>
                <w:rFonts w:ascii="Sylfaen" w:hAnsi="Sylfaen"/>
                <w:noProof/>
                <w:sz w:val="24"/>
                <w:szCs w:val="24"/>
                <w:lang w:val="ka-GE"/>
              </w:rPr>
              <w:t>ფარდობითი რისკი</w:t>
            </w:r>
            <w:r w:rsidRPr="00FC5C72">
              <w:rPr>
                <w:noProof/>
                <w:sz w:val="24"/>
                <w:szCs w:val="24"/>
              </w:rPr>
              <w:t xml:space="preserve"> </w:t>
            </w:r>
          </w:p>
          <w:p w14:paraId="6FF869A3" w14:textId="7F9F61FA" w:rsidR="00D467B4" w:rsidRPr="00FC5C72" w:rsidRDefault="00D467B4" w:rsidP="00785B18">
            <w:pPr>
              <w:pStyle w:val="BMSTableHeader"/>
              <w:keepNext/>
              <w:keepLines/>
              <w:spacing w:before="0" w:after="0"/>
              <w:contextualSpacing/>
              <w:rPr>
                <w:noProof/>
                <w:sz w:val="24"/>
                <w:szCs w:val="24"/>
              </w:rPr>
            </w:pPr>
            <w:r w:rsidRPr="00FC5C72">
              <w:rPr>
                <w:noProof/>
                <w:sz w:val="24"/>
                <w:szCs w:val="24"/>
              </w:rPr>
              <w:t>(95%-</w:t>
            </w:r>
            <w:r w:rsidRPr="00FC5C72">
              <w:rPr>
                <w:rFonts w:ascii="Sylfaen" w:hAnsi="Sylfaen"/>
                <w:noProof/>
                <w:sz w:val="24"/>
                <w:szCs w:val="24"/>
                <w:lang w:val="ka-GE"/>
              </w:rPr>
              <w:t>იანი</w:t>
            </w:r>
            <w:r w:rsidRPr="00FC5C72">
              <w:rPr>
                <w:noProof/>
                <w:sz w:val="24"/>
                <w:szCs w:val="24"/>
              </w:rPr>
              <w:t xml:space="preserve"> </w:t>
            </w:r>
            <w:r w:rsidRPr="00FC5C72">
              <w:rPr>
                <w:rFonts w:ascii="Sylfaen" w:hAnsi="Sylfaen"/>
                <w:noProof/>
                <w:sz w:val="24"/>
                <w:szCs w:val="24"/>
                <w:lang w:val="ka-GE"/>
              </w:rPr>
              <w:t>სი</w:t>
            </w:r>
            <w:r w:rsidRPr="00FC5C72">
              <w:rPr>
                <w:noProof/>
                <w:sz w:val="24"/>
                <w:szCs w:val="24"/>
              </w:rPr>
              <w:t>)</w:t>
            </w:r>
          </w:p>
        </w:tc>
      </w:tr>
      <w:tr w:rsidR="00FC5C72" w:rsidRPr="00FC5C72" w14:paraId="6646CECC" w14:textId="77777777" w:rsidTr="00861A25">
        <w:tc>
          <w:tcPr>
            <w:tcW w:w="1151" w:type="pct"/>
          </w:tcPr>
          <w:p w14:paraId="29C3E374" w14:textId="77777777" w:rsidR="00D467B4" w:rsidRPr="00FC5C72" w:rsidRDefault="00D467B4" w:rsidP="00785B18">
            <w:pPr>
              <w:pStyle w:val="BMSTableText"/>
              <w:keepNext/>
              <w:keepLines/>
              <w:spacing w:before="0" w:after="0"/>
              <w:contextualSpacing/>
              <w:jc w:val="both"/>
              <w:rPr>
                <w:noProof/>
                <w:sz w:val="24"/>
                <w:szCs w:val="24"/>
              </w:rPr>
            </w:pPr>
          </w:p>
        </w:tc>
        <w:tc>
          <w:tcPr>
            <w:tcW w:w="703" w:type="pct"/>
          </w:tcPr>
          <w:p w14:paraId="5AF9A604" w14:textId="4664F473" w:rsidR="00D467B4" w:rsidRPr="00FC5C72" w:rsidRDefault="00D467B4" w:rsidP="00785B18">
            <w:pPr>
              <w:pStyle w:val="BMSTableText"/>
              <w:keepNext/>
              <w:keepLines/>
              <w:spacing w:before="0" w:after="0"/>
              <w:contextualSpacing/>
              <w:jc w:val="both"/>
              <w:rPr>
                <w:rFonts w:ascii="Sylfaen" w:hAnsi="Sylfaen"/>
                <w:b/>
                <w:noProof/>
                <w:sz w:val="24"/>
                <w:szCs w:val="24"/>
                <w:lang w:val="ka-GE"/>
              </w:rPr>
            </w:pPr>
            <w:r w:rsidRPr="00FC5C72">
              <w:rPr>
                <w:b/>
                <w:noProof/>
                <w:sz w:val="24"/>
                <w:szCs w:val="24"/>
              </w:rPr>
              <w:t>2,5 </w:t>
            </w:r>
            <w:r w:rsidRPr="00FC5C72">
              <w:rPr>
                <w:rFonts w:ascii="Sylfaen" w:hAnsi="Sylfaen"/>
                <w:b/>
                <w:noProof/>
                <w:sz w:val="24"/>
                <w:szCs w:val="24"/>
                <w:lang w:val="ka-GE"/>
              </w:rPr>
              <w:t>მგ</w:t>
            </w:r>
          </w:p>
          <w:p w14:paraId="3662CF3B"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(N=840)</w:t>
            </w:r>
          </w:p>
        </w:tc>
        <w:tc>
          <w:tcPr>
            <w:tcW w:w="679" w:type="pct"/>
          </w:tcPr>
          <w:p w14:paraId="07B4D3DE" w14:textId="6B737DD7" w:rsidR="00D467B4" w:rsidRPr="00FC5C72" w:rsidRDefault="00D467B4" w:rsidP="00785B18">
            <w:pPr>
              <w:pStyle w:val="BMSTableText"/>
              <w:keepNext/>
              <w:keepLines/>
              <w:spacing w:before="0" w:after="0"/>
              <w:contextualSpacing/>
              <w:jc w:val="both"/>
              <w:rPr>
                <w:rFonts w:ascii="Sylfaen" w:hAnsi="Sylfaen"/>
                <w:b/>
                <w:noProof/>
                <w:sz w:val="24"/>
                <w:szCs w:val="24"/>
                <w:lang w:val="ka-GE"/>
              </w:rPr>
            </w:pPr>
            <w:r w:rsidRPr="00FC5C72">
              <w:rPr>
                <w:b/>
                <w:noProof/>
                <w:sz w:val="24"/>
                <w:szCs w:val="24"/>
              </w:rPr>
              <w:t>5,0 </w:t>
            </w:r>
            <w:r w:rsidRPr="00FC5C72">
              <w:rPr>
                <w:rFonts w:ascii="Sylfaen" w:hAnsi="Sylfaen"/>
                <w:b/>
                <w:noProof/>
                <w:sz w:val="24"/>
                <w:szCs w:val="24"/>
                <w:lang w:val="ka-GE"/>
              </w:rPr>
              <w:t>მ</w:t>
            </w:r>
            <w:r w:rsidRPr="00FC5C72">
              <w:rPr>
                <w:rFonts w:ascii="Sylfaen" w:hAnsi="Sylfaen"/>
                <w:b/>
                <w:noProof/>
                <w:lang w:val="ka-GE"/>
              </w:rPr>
              <w:t>გ</w:t>
            </w:r>
          </w:p>
          <w:p w14:paraId="3F309F6D"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(N=811)</w:t>
            </w:r>
          </w:p>
        </w:tc>
        <w:tc>
          <w:tcPr>
            <w:tcW w:w="618" w:type="pct"/>
          </w:tcPr>
          <w:p w14:paraId="4760DFC8" w14:textId="77777777" w:rsidR="00D467B4" w:rsidRPr="00FC5C72" w:rsidRDefault="00D467B4" w:rsidP="00785B18">
            <w:pPr>
              <w:pStyle w:val="BMSTableText"/>
              <w:keepNext/>
              <w:keepLines/>
              <w:spacing w:before="0" w:after="0"/>
              <w:contextualSpacing/>
              <w:jc w:val="both"/>
              <w:rPr>
                <w:b/>
                <w:noProof/>
                <w:sz w:val="24"/>
                <w:szCs w:val="24"/>
              </w:rPr>
            </w:pPr>
          </w:p>
          <w:p w14:paraId="6A75C48F"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(N=826)</w:t>
            </w:r>
          </w:p>
        </w:tc>
        <w:tc>
          <w:tcPr>
            <w:tcW w:w="910" w:type="pct"/>
          </w:tcPr>
          <w:p w14:paraId="43029809" w14:textId="62AE8BEF" w:rsidR="00D467B4" w:rsidRPr="00FC5C72" w:rsidRDefault="00D467B4" w:rsidP="00785B18">
            <w:pPr>
              <w:pStyle w:val="BMSTableText"/>
              <w:keepNext/>
              <w:keepLines/>
              <w:spacing w:before="0" w:after="0"/>
              <w:contextualSpacing/>
              <w:jc w:val="both"/>
              <w:rPr>
                <w:rFonts w:ascii="Sylfaen" w:hAnsi="Sylfaen"/>
                <w:b/>
                <w:noProof/>
                <w:lang w:val="ka-GE"/>
              </w:rPr>
            </w:pPr>
            <w:r w:rsidRPr="00FC5C72">
              <w:rPr>
                <w:rFonts w:ascii="Sylfaen" w:hAnsi="Sylfaen"/>
                <w:b/>
                <w:noProof/>
                <w:lang w:val="ka-GE"/>
              </w:rPr>
              <w:t>აპიქსაბანი</w:t>
            </w:r>
            <w:r w:rsidRPr="00FC5C72">
              <w:rPr>
                <w:b/>
                <w:noProof/>
              </w:rPr>
              <w:t xml:space="preserve"> 2,5 </w:t>
            </w:r>
            <w:r w:rsidRPr="00FC5C72">
              <w:rPr>
                <w:rFonts w:ascii="Sylfaen" w:hAnsi="Sylfaen"/>
                <w:b/>
                <w:noProof/>
                <w:lang w:val="ka-GE"/>
              </w:rPr>
              <w:t>მგ</w:t>
            </w:r>
          </w:p>
          <w:p w14:paraId="558F754C" w14:textId="5842BF09" w:rsidR="00D467B4" w:rsidRPr="00FC5C72" w:rsidRDefault="00D467B4" w:rsidP="00785B18">
            <w:pPr>
              <w:pStyle w:val="BMSTableText"/>
              <w:keepNext/>
              <w:keepLines/>
              <w:spacing w:before="0" w:after="0"/>
              <w:contextualSpacing/>
              <w:jc w:val="both"/>
              <w:rPr>
                <w:rFonts w:asciiTheme="minorHAnsi" w:hAnsiTheme="minorHAnsi"/>
                <w:noProof/>
                <w:lang w:val="ka-GE"/>
              </w:rPr>
            </w:pPr>
            <w:r w:rsidRPr="00FC5C72">
              <w:rPr>
                <w:rFonts w:ascii="Sylfaen" w:hAnsi="Sylfaen"/>
                <w:noProof/>
                <w:lang w:val="ka-GE"/>
              </w:rPr>
              <w:t>პლაცებოსთან</w:t>
            </w:r>
            <w:r w:rsidRPr="00FC5C72">
              <w:rPr>
                <w:rFonts w:asciiTheme="minorHAnsi" w:hAnsiTheme="minorHAnsi"/>
                <w:noProof/>
                <w:lang w:val="ka-GE"/>
              </w:rPr>
              <w:t xml:space="preserve"> შედარებით</w:t>
            </w:r>
          </w:p>
        </w:tc>
        <w:tc>
          <w:tcPr>
            <w:tcW w:w="938" w:type="pct"/>
          </w:tcPr>
          <w:p w14:paraId="7B93D141" w14:textId="0FAF2059" w:rsidR="00D467B4" w:rsidRPr="00FC5C72" w:rsidRDefault="00D467B4" w:rsidP="00785B18">
            <w:pPr>
              <w:pStyle w:val="BMSTableText"/>
              <w:keepNext/>
              <w:keepLines/>
              <w:spacing w:before="0" w:after="0"/>
              <w:contextualSpacing/>
              <w:jc w:val="both"/>
              <w:rPr>
                <w:rFonts w:ascii="Sylfaen" w:hAnsi="Sylfaen"/>
                <w:b/>
                <w:noProof/>
                <w:lang w:val="ka-GE"/>
              </w:rPr>
            </w:pPr>
            <w:r w:rsidRPr="00FC5C72">
              <w:rPr>
                <w:rFonts w:ascii="Sylfaen" w:hAnsi="Sylfaen"/>
                <w:b/>
                <w:noProof/>
                <w:lang w:val="ka-GE"/>
              </w:rPr>
              <w:t>აპიქსაბანი</w:t>
            </w:r>
            <w:r w:rsidRPr="00FC5C72">
              <w:rPr>
                <w:b/>
                <w:noProof/>
              </w:rPr>
              <w:t xml:space="preserve"> 5,0 </w:t>
            </w:r>
            <w:r w:rsidRPr="00FC5C72">
              <w:rPr>
                <w:rFonts w:ascii="Sylfaen" w:hAnsi="Sylfaen"/>
                <w:b/>
                <w:noProof/>
                <w:lang w:val="ka-GE"/>
              </w:rPr>
              <w:t>მგ</w:t>
            </w:r>
          </w:p>
          <w:p w14:paraId="70CF92FC" w14:textId="1EB92FF4" w:rsidR="00D467B4" w:rsidRPr="00FC5C72" w:rsidRDefault="00D467B4" w:rsidP="00785B18">
            <w:pPr>
              <w:pStyle w:val="BMSTableText"/>
              <w:keepNext/>
              <w:keepLines/>
              <w:spacing w:before="0" w:after="0"/>
              <w:contextualSpacing/>
              <w:jc w:val="both"/>
              <w:rPr>
                <w:noProof/>
              </w:rPr>
            </w:pPr>
            <w:r w:rsidRPr="00FC5C72">
              <w:rPr>
                <w:rFonts w:ascii="Sylfaen" w:hAnsi="Sylfaen"/>
                <w:noProof/>
                <w:lang w:val="ka-GE"/>
              </w:rPr>
              <w:t>პლაცებოსთან</w:t>
            </w:r>
            <w:r w:rsidRPr="00FC5C72">
              <w:rPr>
                <w:rFonts w:asciiTheme="minorHAnsi" w:hAnsiTheme="minorHAnsi"/>
                <w:noProof/>
                <w:lang w:val="ka-GE"/>
              </w:rPr>
              <w:t xml:space="preserve"> შედარებით</w:t>
            </w:r>
          </w:p>
        </w:tc>
      </w:tr>
      <w:tr w:rsidR="00FC5C72" w:rsidRPr="00FC5C72" w14:paraId="4D2D833C" w14:textId="77777777" w:rsidTr="00861A25">
        <w:tc>
          <w:tcPr>
            <w:tcW w:w="1151" w:type="pct"/>
          </w:tcPr>
          <w:p w14:paraId="45784EB0" w14:textId="77777777" w:rsidR="00D467B4" w:rsidRPr="00FC5C72" w:rsidRDefault="00D467B4" w:rsidP="00785B18">
            <w:pPr>
              <w:pStyle w:val="BMSTableText"/>
              <w:keepNext/>
              <w:keepLines/>
              <w:spacing w:before="0" w:after="0"/>
              <w:contextualSpacing/>
              <w:jc w:val="both"/>
              <w:rPr>
                <w:noProof/>
                <w:sz w:val="24"/>
                <w:szCs w:val="24"/>
              </w:rPr>
            </w:pPr>
          </w:p>
        </w:tc>
        <w:tc>
          <w:tcPr>
            <w:tcW w:w="703" w:type="pct"/>
          </w:tcPr>
          <w:p w14:paraId="336F82F7" w14:textId="77777777" w:rsidR="00D467B4" w:rsidRPr="00FC5C72" w:rsidRDefault="00D467B4" w:rsidP="00785B18">
            <w:pPr>
              <w:pStyle w:val="BMSTableText"/>
              <w:keepNext/>
              <w:keepLines/>
              <w:spacing w:before="0" w:after="0"/>
              <w:contextualSpacing/>
              <w:jc w:val="both"/>
              <w:rPr>
                <w:noProof/>
                <w:sz w:val="24"/>
                <w:szCs w:val="24"/>
              </w:rPr>
            </w:pPr>
          </w:p>
        </w:tc>
        <w:tc>
          <w:tcPr>
            <w:tcW w:w="679" w:type="pct"/>
          </w:tcPr>
          <w:p w14:paraId="58000D14"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n (%)</w:t>
            </w:r>
          </w:p>
        </w:tc>
        <w:tc>
          <w:tcPr>
            <w:tcW w:w="618" w:type="pct"/>
          </w:tcPr>
          <w:p w14:paraId="15029FD2" w14:textId="77777777" w:rsidR="00D467B4" w:rsidRPr="00FC5C72" w:rsidRDefault="00D467B4" w:rsidP="00785B18">
            <w:pPr>
              <w:pStyle w:val="BMSTableText"/>
              <w:keepNext/>
              <w:keepLines/>
              <w:spacing w:before="0" w:after="0"/>
              <w:contextualSpacing/>
              <w:jc w:val="both"/>
              <w:rPr>
                <w:noProof/>
                <w:sz w:val="24"/>
                <w:szCs w:val="24"/>
              </w:rPr>
            </w:pPr>
          </w:p>
        </w:tc>
        <w:tc>
          <w:tcPr>
            <w:tcW w:w="910" w:type="pct"/>
          </w:tcPr>
          <w:p w14:paraId="20B9EFD1" w14:textId="77777777" w:rsidR="00D467B4" w:rsidRPr="00FC5C72" w:rsidRDefault="00D467B4" w:rsidP="00785B18">
            <w:pPr>
              <w:pStyle w:val="BMSTableText"/>
              <w:keepNext/>
              <w:keepLines/>
              <w:spacing w:before="0" w:after="0"/>
              <w:contextualSpacing/>
              <w:jc w:val="both"/>
              <w:rPr>
                <w:noProof/>
                <w:sz w:val="24"/>
                <w:szCs w:val="24"/>
              </w:rPr>
            </w:pPr>
          </w:p>
        </w:tc>
        <w:tc>
          <w:tcPr>
            <w:tcW w:w="938" w:type="pct"/>
          </w:tcPr>
          <w:p w14:paraId="1831E511" w14:textId="77777777" w:rsidR="00D467B4" w:rsidRPr="00FC5C72" w:rsidRDefault="00D467B4" w:rsidP="00785B18">
            <w:pPr>
              <w:pStyle w:val="BMSTableText"/>
              <w:keepNext/>
              <w:keepLines/>
              <w:spacing w:before="0" w:after="0"/>
              <w:contextualSpacing/>
              <w:jc w:val="both"/>
              <w:rPr>
                <w:noProof/>
                <w:sz w:val="24"/>
                <w:szCs w:val="24"/>
              </w:rPr>
            </w:pPr>
          </w:p>
        </w:tc>
      </w:tr>
      <w:tr w:rsidR="00FC5C72" w:rsidRPr="00FC5C72" w14:paraId="4BB92350" w14:textId="77777777" w:rsidTr="00861A25">
        <w:tc>
          <w:tcPr>
            <w:tcW w:w="1151" w:type="pct"/>
          </w:tcPr>
          <w:p w14:paraId="66106844" w14:textId="671A296B" w:rsidR="00D467B4" w:rsidRPr="00FC5C72" w:rsidRDefault="00D467B4" w:rsidP="00785B18">
            <w:pPr>
              <w:pStyle w:val="BMSTableText"/>
              <w:keepNext/>
              <w:keepLines/>
              <w:spacing w:before="0" w:after="0"/>
              <w:contextualSpacing/>
              <w:jc w:val="both"/>
              <w:rPr>
                <w:rFonts w:ascii="Sylfaen" w:hAnsi="Sylfaen"/>
                <w:noProof/>
                <w:sz w:val="24"/>
                <w:szCs w:val="24"/>
                <w:lang w:val="ka-GE"/>
              </w:rPr>
            </w:pPr>
            <w:r w:rsidRPr="00FC5C72">
              <w:rPr>
                <w:rFonts w:ascii="Sylfaen" w:hAnsi="Sylfaen"/>
                <w:noProof/>
                <w:sz w:val="24"/>
                <w:szCs w:val="24"/>
                <w:lang w:val="ka-GE"/>
              </w:rPr>
              <w:t>მნიშვნელოვანი</w:t>
            </w:r>
          </w:p>
        </w:tc>
        <w:tc>
          <w:tcPr>
            <w:tcW w:w="703" w:type="pct"/>
          </w:tcPr>
          <w:p w14:paraId="1E7CDFE2"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2 (0,2)</w:t>
            </w:r>
          </w:p>
        </w:tc>
        <w:tc>
          <w:tcPr>
            <w:tcW w:w="679" w:type="pct"/>
          </w:tcPr>
          <w:p w14:paraId="37A59926"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1 (0,1)</w:t>
            </w:r>
          </w:p>
        </w:tc>
        <w:tc>
          <w:tcPr>
            <w:tcW w:w="618" w:type="pct"/>
          </w:tcPr>
          <w:p w14:paraId="66F11B8C"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4 (0,5)</w:t>
            </w:r>
          </w:p>
        </w:tc>
        <w:tc>
          <w:tcPr>
            <w:tcW w:w="910" w:type="pct"/>
          </w:tcPr>
          <w:p w14:paraId="4ABAB468"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0,49</w:t>
            </w:r>
          </w:p>
          <w:p w14:paraId="77A7DEDB"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(0,09, 2,64)</w:t>
            </w:r>
          </w:p>
        </w:tc>
        <w:tc>
          <w:tcPr>
            <w:tcW w:w="938" w:type="pct"/>
          </w:tcPr>
          <w:p w14:paraId="7E1D7908"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0,25 (0,03, 2,24)</w:t>
            </w:r>
          </w:p>
        </w:tc>
      </w:tr>
      <w:tr w:rsidR="00FC5C72" w:rsidRPr="00FC5C72" w14:paraId="4641A1FF" w14:textId="77777777" w:rsidTr="00861A25">
        <w:tc>
          <w:tcPr>
            <w:tcW w:w="1151" w:type="pct"/>
          </w:tcPr>
          <w:p w14:paraId="188C9433" w14:textId="615D767D" w:rsidR="00D467B4" w:rsidRPr="00FC5C72" w:rsidRDefault="00D467B4" w:rsidP="00785B18">
            <w:pPr>
              <w:pStyle w:val="BMSTableText"/>
              <w:keepNext/>
              <w:keepLines/>
              <w:spacing w:before="0" w:after="0"/>
              <w:contextualSpacing/>
              <w:jc w:val="both"/>
              <w:rPr>
                <w:noProof/>
                <w:sz w:val="24"/>
                <w:szCs w:val="24"/>
              </w:rPr>
            </w:pPr>
            <w:r w:rsidRPr="00FC5C72">
              <w:rPr>
                <w:rStyle w:val="BMSTableNote"/>
                <w:rFonts w:ascii="Sylfaen" w:hAnsi="Sylfaen"/>
                <w:sz w:val="24"/>
                <w:szCs w:val="24"/>
                <w:vertAlign w:val="baseline"/>
                <w:lang w:val="ka-GE"/>
              </w:rPr>
              <w:t xml:space="preserve">მნიშვნელოვანი + </w:t>
            </w:r>
            <w:r w:rsidRPr="00FC5C72">
              <w:rPr>
                <w:rFonts w:ascii="Sylfaen" w:hAnsi="Sylfaen"/>
                <w:noProof/>
                <w:sz w:val="24"/>
                <w:szCs w:val="24"/>
                <w:lang w:val="ka-GE"/>
              </w:rPr>
              <w:t>კლინიკურად მნიშვნელოვანი მცირე სისხლდენა</w:t>
            </w:r>
          </w:p>
        </w:tc>
        <w:tc>
          <w:tcPr>
            <w:tcW w:w="703" w:type="pct"/>
          </w:tcPr>
          <w:p w14:paraId="641E1DB9"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27 (3,2)</w:t>
            </w:r>
          </w:p>
        </w:tc>
        <w:tc>
          <w:tcPr>
            <w:tcW w:w="679" w:type="pct"/>
          </w:tcPr>
          <w:p w14:paraId="7267410F"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35 (4,3)</w:t>
            </w:r>
          </w:p>
        </w:tc>
        <w:tc>
          <w:tcPr>
            <w:tcW w:w="618" w:type="pct"/>
          </w:tcPr>
          <w:p w14:paraId="7E37CA24"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22 (2,7)</w:t>
            </w:r>
          </w:p>
        </w:tc>
        <w:tc>
          <w:tcPr>
            <w:tcW w:w="910" w:type="pct"/>
          </w:tcPr>
          <w:p w14:paraId="3D52C449"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1,20</w:t>
            </w:r>
          </w:p>
          <w:p w14:paraId="2B40EC14"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(0,69, 2,10)</w:t>
            </w:r>
          </w:p>
        </w:tc>
        <w:tc>
          <w:tcPr>
            <w:tcW w:w="938" w:type="pct"/>
          </w:tcPr>
          <w:p w14:paraId="74AD80A5"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 xml:space="preserve">1,62 </w:t>
            </w:r>
          </w:p>
          <w:p w14:paraId="3F2D41C9" w14:textId="77777777" w:rsidR="00D467B4" w:rsidRPr="00FC5C72" w:rsidRDefault="00D467B4" w:rsidP="00785B18">
            <w:pPr>
              <w:pStyle w:val="BMSTableText"/>
              <w:keepNext/>
              <w:keepLines/>
              <w:spacing w:before="0" w:after="0"/>
              <w:contextualSpacing/>
              <w:jc w:val="both"/>
              <w:rPr>
                <w:noProof/>
                <w:sz w:val="24"/>
                <w:szCs w:val="24"/>
              </w:rPr>
            </w:pPr>
            <w:r w:rsidRPr="00FC5C72">
              <w:rPr>
                <w:noProof/>
                <w:sz w:val="24"/>
                <w:szCs w:val="24"/>
              </w:rPr>
              <w:t>(0,96, 2,73)</w:t>
            </w:r>
          </w:p>
        </w:tc>
      </w:tr>
      <w:tr w:rsidR="00FC5C72" w:rsidRPr="00FC5C72" w14:paraId="6FAA861D" w14:textId="77777777" w:rsidTr="00861A25">
        <w:tc>
          <w:tcPr>
            <w:tcW w:w="1151" w:type="pct"/>
          </w:tcPr>
          <w:p w14:paraId="5EF095A4" w14:textId="068A50F3" w:rsidR="00D467B4" w:rsidRPr="00FC5C72" w:rsidRDefault="00D467B4" w:rsidP="00785B18">
            <w:pPr>
              <w:pStyle w:val="BMSTableText"/>
              <w:spacing w:before="0" w:after="0"/>
              <w:contextualSpacing/>
              <w:jc w:val="both"/>
              <w:rPr>
                <w:rFonts w:ascii="Sylfaen" w:hAnsi="Sylfaen"/>
                <w:noProof/>
                <w:sz w:val="24"/>
                <w:szCs w:val="24"/>
                <w:lang w:val="ka-GE"/>
              </w:rPr>
            </w:pPr>
            <w:r w:rsidRPr="00FC5C72">
              <w:rPr>
                <w:rFonts w:ascii="Sylfaen" w:hAnsi="Sylfaen"/>
                <w:noProof/>
                <w:sz w:val="24"/>
                <w:szCs w:val="24"/>
                <w:lang w:val="ka-GE"/>
              </w:rPr>
              <w:t>უმნიშვნელო</w:t>
            </w:r>
          </w:p>
        </w:tc>
        <w:tc>
          <w:tcPr>
            <w:tcW w:w="703" w:type="pct"/>
          </w:tcPr>
          <w:p w14:paraId="4EA9A4E5"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75 (8,9)</w:t>
            </w:r>
          </w:p>
        </w:tc>
        <w:tc>
          <w:tcPr>
            <w:tcW w:w="679" w:type="pct"/>
          </w:tcPr>
          <w:p w14:paraId="5D27C9BE"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98 (12,1)</w:t>
            </w:r>
          </w:p>
        </w:tc>
        <w:tc>
          <w:tcPr>
            <w:tcW w:w="618" w:type="pct"/>
          </w:tcPr>
          <w:p w14:paraId="5A737515"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58 (7,0)</w:t>
            </w:r>
          </w:p>
        </w:tc>
        <w:tc>
          <w:tcPr>
            <w:tcW w:w="910" w:type="pct"/>
          </w:tcPr>
          <w:p w14:paraId="1A5F9886"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1,26</w:t>
            </w:r>
          </w:p>
          <w:p w14:paraId="606B03C0"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(0,91, 1,75)</w:t>
            </w:r>
          </w:p>
        </w:tc>
        <w:tc>
          <w:tcPr>
            <w:tcW w:w="938" w:type="pct"/>
          </w:tcPr>
          <w:p w14:paraId="047BCA00"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1,70</w:t>
            </w:r>
          </w:p>
          <w:p w14:paraId="1C010F09"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 xml:space="preserve">(1,25, 2,31) </w:t>
            </w:r>
          </w:p>
        </w:tc>
      </w:tr>
      <w:tr w:rsidR="00FC5C72" w:rsidRPr="00FC5C72" w14:paraId="71CC6E6C" w14:textId="77777777" w:rsidTr="00861A25">
        <w:tc>
          <w:tcPr>
            <w:tcW w:w="1151" w:type="pct"/>
          </w:tcPr>
          <w:p w14:paraId="7BE7E910" w14:textId="766C578B" w:rsidR="00D467B4" w:rsidRPr="00FC5C72" w:rsidRDefault="00D467B4" w:rsidP="00785B18">
            <w:pPr>
              <w:pStyle w:val="BMSTableText"/>
              <w:spacing w:before="0" w:after="0"/>
              <w:contextualSpacing/>
              <w:jc w:val="both"/>
              <w:rPr>
                <w:rFonts w:ascii="Sylfaen" w:hAnsi="Sylfaen"/>
                <w:noProof/>
                <w:sz w:val="24"/>
                <w:szCs w:val="24"/>
                <w:lang w:val="ka-GE"/>
              </w:rPr>
            </w:pPr>
            <w:r w:rsidRPr="00FC5C72">
              <w:rPr>
                <w:rFonts w:ascii="Sylfaen" w:hAnsi="Sylfaen"/>
                <w:noProof/>
                <w:sz w:val="24"/>
                <w:szCs w:val="24"/>
                <w:lang w:val="ka-GE"/>
              </w:rPr>
              <w:t>ყველა</w:t>
            </w:r>
          </w:p>
        </w:tc>
        <w:tc>
          <w:tcPr>
            <w:tcW w:w="703" w:type="pct"/>
          </w:tcPr>
          <w:p w14:paraId="0AE505A0"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94 (11,2)</w:t>
            </w:r>
          </w:p>
        </w:tc>
        <w:tc>
          <w:tcPr>
            <w:tcW w:w="679" w:type="pct"/>
          </w:tcPr>
          <w:p w14:paraId="0F157384"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121 (14,9)</w:t>
            </w:r>
          </w:p>
        </w:tc>
        <w:tc>
          <w:tcPr>
            <w:tcW w:w="618" w:type="pct"/>
          </w:tcPr>
          <w:p w14:paraId="44FD3EC2"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74 (9,0)</w:t>
            </w:r>
          </w:p>
        </w:tc>
        <w:tc>
          <w:tcPr>
            <w:tcW w:w="910" w:type="pct"/>
          </w:tcPr>
          <w:p w14:paraId="425D6DF8"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1,24</w:t>
            </w:r>
          </w:p>
          <w:p w14:paraId="1550A69A"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(0,93, 1,65)</w:t>
            </w:r>
          </w:p>
        </w:tc>
        <w:tc>
          <w:tcPr>
            <w:tcW w:w="938" w:type="pct"/>
          </w:tcPr>
          <w:p w14:paraId="52141DD0"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1,65</w:t>
            </w:r>
          </w:p>
          <w:p w14:paraId="68C8936B" w14:textId="77777777" w:rsidR="00D467B4" w:rsidRPr="00FC5C72" w:rsidRDefault="00D467B4" w:rsidP="00785B18">
            <w:pPr>
              <w:pStyle w:val="BMSTableText"/>
              <w:spacing w:before="0" w:after="0"/>
              <w:contextualSpacing/>
              <w:jc w:val="both"/>
              <w:rPr>
                <w:noProof/>
                <w:sz w:val="24"/>
                <w:szCs w:val="24"/>
              </w:rPr>
            </w:pPr>
            <w:r w:rsidRPr="00FC5C72">
              <w:rPr>
                <w:noProof/>
                <w:sz w:val="24"/>
                <w:szCs w:val="24"/>
              </w:rPr>
              <w:t xml:space="preserve">(1,26, 2,16) </w:t>
            </w:r>
          </w:p>
        </w:tc>
      </w:tr>
    </w:tbl>
    <w:p w14:paraId="305A0CBA" w14:textId="77777777" w:rsidR="00D467B4" w:rsidRPr="00FC5C72" w:rsidRDefault="00D467B4" w:rsidP="00785B18">
      <w:pPr>
        <w:pStyle w:val="BMSBodyText"/>
        <w:spacing w:before="0" w:after="0" w:line="240" w:lineRule="auto"/>
        <w:contextualSpacing/>
        <w:rPr>
          <w:rStyle w:val="BMSTableNote"/>
          <w:rFonts w:ascii="Sylfaen" w:hAnsi="Sylfaen"/>
          <w:sz w:val="24"/>
          <w:szCs w:val="24"/>
          <w:vertAlign w:val="baseline"/>
          <w:lang w:val="ka-GE"/>
        </w:rPr>
      </w:pPr>
    </w:p>
    <w:p w14:paraId="2F1B68D7" w14:textId="007400DB" w:rsidR="003177E4" w:rsidRPr="00FC5C72" w:rsidRDefault="00D467B4" w:rsidP="00785B18">
      <w:pPr>
        <w:pStyle w:val="BMSBodyText"/>
        <w:spacing w:before="0" w:after="0" w:line="240" w:lineRule="auto"/>
        <w:contextualSpacing/>
        <w:rPr>
          <w:rFonts w:asciiTheme="minorHAnsi" w:hAnsiTheme="minorHAnsi"/>
          <w:noProof/>
          <w:color w:val="auto"/>
          <w:szCs w:val="24"/>
          <w:lang w:val="ka-GE"/>
        </w:rPr>
      </w:pPr>
      <w:r w:rsidRPr="00FC5C72">
        <w:rPr>
          <w:rFonts w:asciiTheme="minorHAnsi" w:hAnsiTheme="minorHAnsi"/>
          <w:color w:val="auto"/>
          <w:lang w:val="ka-GE"/>
        </w:rPr>
        <w:t xml:space="preserve">საექსპერტო შეფასებით დადასტურებული სისხლდენა კუჭ-ნაწლავის ტრაქტიდან, რომელიც  </w:t>
      </w:r>
      <w:r w:rsidRPr="00FC5C72">
        <w:rPr>
          <w:noProof/>
          <w:color w:val="auto"/>
          <w:szCs w:val="24"/>
        </w:rPr>
        <w:t>ISTH</w:t>
      </w:r>
      <w:r w:rsidRPr="00FC5C72">
        <w:rPr>
          <w:rFonts w:asciiTheme="minorHAnsi" w:hAnsiTheme="minorHAnsi"/>
          <w:noProof/>
          <w:color w:val="auto"/>
          <w:szCs w:val="24"/>
          <w:lang w:val="ka-GE"/>
        </w:rPr>
        <w:t xml:space="preserve">-ის კრიტერიუმებით კლასიფიცირებულია, როგორც მნიშვნელოვანი, რეგისტრირებულია 1 (0.1%) პაციენტში, რომელიც აპიქსაბანს იღებდა ორჯერ დღე-ღამეში დოზით 5 მგ, </w:t>
      </w:r>
      <w:r w:rsidR="008757D6" w:rsidRPr="00FC5C72">
        <w:rPr>
          <w:rFonts w:asciiTheme="minorHAnsi" w:hAnsiTheme="minorHAnsi"/>
          <w:noProof/>
          <w:color w:val="auto"/>
          <w:szCs w:val="24"/>
          <w:lang w:val="ka-GE"/>
        </w:rPr>
        <w:t xml:space="preserve">არ არის რეგისტრირებული ორჯერ დღე-ღამეში 2.5 მგ აპიქსაბანის მიღების ჯგუფში, და რეგისტრირებულია 1 (0.1%) პაციენტში, პლაცებოს ჯგუფში. </w:t>
      </w:r>
    </w:p>
    <w:p w14:paraId="7D518854" w14:textId="77777777" w:rsidR="000E5F19" w:rsidRPr="00FC5C72" w:rsidRDefault="000E5F19" w:rsidP="00785B18">
      <w:pPr>
        <w:pStyle w:val="BMSBodyText"/>
        <w:spacing w:before="0" w:after="0" w:line="240" w:lineRule="auto"/>
        <w:contextualSpacing/>
        <w:rPr>
          <w:rFonts w:asciiTheme="minorHAnsi" w:hAnsiTheme="minorHAnsi"/>
          <w:noProof/>
          <w:color w:val="auto"/>
          <w:szCs w:val="24"/>
          <w:lang w:val="ka-GE"/>
        </w:rPr>
      </w:pPr>
    </w:p>
    <w:p w14:paraId="59950E4F" w14:textId="3BE7F641" w:rsidR="008757D6" w:rsidRPr="00FC5C72" w:rsidRDefault="008757D6" w:rsidP="00785B18">
      <w:pPr>
        <w:pStyle w:val="BMSBodyText"/>
        <w:spacing w:before="0" w:after="0" w:line="240" w:lineRule="auto"/>
        <w:contextualSpacing/>
        <w:rPr>
          <w:rFonts w:asciiTheme="minorHAnsi" w:hAnsiTheme="minorHAnsi"/>
          <w:i/>
          <w:iCs/>
          <w:noProof/>
          <w:color w:val="auto"/>
          <w:szCs w:val="24"/>
          <w:lang w:val="ka-GE"/>
        </w:rPr>
      </w:pPr>
      <w:r w:rsidRPr="00FC5C72">
        <w:rPr>
          <w:rFonts w:asciiTheme="minorHAnsi" w:hAnsiTheme="minorHAnsi"/>
          <w:i/>
          <w:iCs/>
          <w:noProof/>
          <w:color w:val="auto"/>
          <w:szCs w:val="24"/>
          <w:lang w:val="ka-GE"/>
        </w:rPr>
        <w:t>ბავშვები</w:t>
      </w:r>
    </w:p>
    <w:p w14:paraId="4CDEE4AB" w14:textId="6CF1DA7B" w:rsidR="000E5F19" w:rsidRPr="00FC5C72" w:rsidRDefault="00D70853" w:rsidP="00785B18">
      <w:pPr>
        <w:pStyle w:val="BMSBodyText"/>
        <w:spacing w:before="0" w:after="0" w:line="240" w:lineRule="auto"/>
        <w:contextualSpacing/>
        <w:rPr>
          <w:rFonts w:asciiTheme="minorHAnsi" w:hAnsiTheme="minorHAnsi"/>
          <w:i/>
          <w:iCs/>
          <w:noProof/>
          <w:color w:val="auto"/>
          <w:szCs w:val="24"/>
          <w:u w:val="single"/>
          <w:lang w:val="ka-GE"/>
        </w:rPr>
      </w:pPr>
      <w:r w:rsidRPr="00FC5C72">
        <w:rPr>
          <w:rFonts w:asciiTheme="minorHAnsi" w:hAnsiTheme="minorHAnsi"/>
          <w:i/>
          <w:iCs/>
          <w:noProof/>
          <w:color w:val="auto"/>
          <w:szCs w:val="24"/>
          <w:u w:val="single"/>
          <w:lang w:val="ka-GE"/>
        </w:rPr>
        <w:t>ვთგ-ის მკურნალობა და მორეციდივე ვთ</w:t>
      </w:r>
      <w:r w:rsidR="00861A25" w:rsidRPr="00FC5C72">
        <w:rPr>
          <w:rFonts w:asciiTheme="minorHAnsi" w:hAnsiTheme="minorHAnsi"/>
          <w:i/>
          <w:iCs/>
          <w:noProof/>
          <w:color w:val="auto"/>
          <w:szCs w:val="24"/>
          <w:u w:val="single"/>
          <w:lang w:val="ka-GE"/>
        </w:rPr>
        <w:t>გ</w:t>
      </w:r>
      <w:r w:rsidRPr="00FC5C72">
        <w:rPr>
          <w:rFonts w:asciiTheme="minorHAnsi" w:hAnsiTheme="minorHAnsi"/>
          <w:i/>
          <w:iCs/>
          <w:noProof/>
          <w:color w:val="auto"/>
          <w:szCs w:val="24"/>
          <w:u w:val="single"/>
          <w:lang w:val="ka-GE"/>
        </w:rPr>
        <w:t>-ის პროფილაქტიკა  28 დღიდან 18 წლამდე ასაკის ბავშვებსა და მოზარდებში</w:t>
      </w:r>
    </w:p>
    <w:p w14:paraId="7CC85723" w14:textId="78CAD7FA" w:rsidR="009864C0" w:rsidRPr="00FC5C72" w:rsidRDefault="00D70853" w:rsidP="00785B18">
      <w:pPr>
        <w:pStyle w:val="BMSBodyText"/>
        <w:spacing w:before="0" w:after="0" w:line="240" w:lineRule="auto"/>
        <w:contextualSpacing/>
        <w:rPr>
          <w:rFonts w:asciiTheme="minorHAnsi" w:hAnsiTheme="minorHAnsi"/>
          <w:color w:val="auto"/>
          <w:szCs w:val="24"/>
          <w:lang w:val="ka-GE"/>
        </w:rPr>
      </w:pPr>
      <w:r w:rsidRPr="00FC5C72">
        <w:rPr>
          <w:rFonts w:asciiTheme="minorHAnsi" w:hAnsiTheme="minorHAnsi"/>
          <w:noProof/>
          <w:color w:val="auto"/>
          <w:szCs w:val="24"/>
          <w:lang w:val="ka-GE"/>
        </w:rPr>
        <w:t xml:space="preserve">კვლევა </w:t>
      </w:r>
      <w:r w:rsidRPr="00FC5C72">
        <w:rPr>
          <w:color w:val="auto"/>
          <w:szCs w:val="24"/>
          <w:lang w:val="uz-Cyrl-UZ"/>
        </w:rPr>
        <w:t>CV185325</w:t>
      </w:r>
      <w:r w:rsidRPr="00FC5C72">
        <w:rPr>
          <w:rFonts w:asciiTheme="minorHAnsi" w:hAnsiTheme="minorHAnsi"/>
          <w:color w:val="auto"/>
          <w:szCs w:val="24"/>
          <w:lang w:val="ka-GE"/>
        </w:rPr>
        <w:t xml:space="preserve"> წარმოადგენდა აპიქსაბანის რანდომიზებულ ღია მულტიცენტრულ კვლევას აქტიური კონტროლით ბავშვთა ასაკის პაციენტებში ვთგ-ის სამკურნალოდ გამოყენებისას. ეფექტიანობისა და უსაფრთხოების ამ აღწერით კვლევაში ჩართული იყო ბავშვთა ასაკის 217 პაციენტი, რომელსაც ესაჭიროებოდა ვთგ-ის ანტიკოაგულანტური მკურნალობა და ვთგ-ის რეციდივების პროფილაქტიკა; პირველ ასაკობრივ ჯგუფში (12-დან &lt;18 წლის) იყო 137 პაციენტი, მეორე ასაკობრივ ჯგუფში (2-დან &lt;12 წლამდე) - 44 პაციენტი, მესამე ასაკობრივ ჯგუფში (28 დღიდან &lt;2 წლამდე) - 32 პაციენტი, ხოლო მეოთხე ასაკობრივ ჯგუფში (დაბადებიდა</w:t>
      </w:r>
      <w:r w:rsidR="00861A25" w:rsidRPr="00FC5C72">
        <w:rPr>
          <w:rFonts w:asciiTheme="minorHAnsi" w:hAnsiTheme="minorHAnsi"/>
          <w:color w:val="auto"/>
          <w:szCs w:val="24"/>
          <w:lang w:val="ka-GE"/>
        </w:rPr>
        <w:t>ნ</w:t>
      </w:r>
      <w:r w:rsidRPr="00FC5C72">
        <w:rPr>
          <w:rFonts w:asciiTheme="minorHAnsi" w:hAnsiTheme="minorHAnsi"/>
          <w:color w:val="auto"/>
          <w:szCs w:val="24"/>
          <w:lang w:val="ka-GE"/>
        </w:rPr>
        <w:t xml:space="preserve"> &lt;28 დღემდე) - 4 პაციენტი. ინდექსური ვთგ დადასტურებული იყო ვიზუალიზაციით, და ასეთი შემთხვევები შეფასდა დამოუკიდებლად. რანდომიზაციამდე პაციენტები იღებდნენ სტანდარტულ მკურნალობას ანტიკოაგულანტებით 14 დღემდე პერიოდში. </w:t>
      </w:r>
      <w:r w:rsidR="009864C0" w:rsidRPr="00FC5C72">
        <w:rPr>
          <w:rFonts w:asciiTheme="minorHAnsi" w:hAnsiTheme="minorHAnsi"/>
          <w:color w:val="auto"/>
          <w:szCs w:val="24"/>
          <w:lang w:val="ka-GE"/>
        </w:rPr>
        <w:t>საკვლევი პრეპარატის მიღების დაწყებამდე ანტიკოაგულანტებით სტანდარტული მკურნალობის საშუალო ხანგრძლივობა შეადგენდა 4,8 დღეს (სტანდარტული გადაცდომა 2,5 დღე) და პაციენტების 92,3% დაიწყ</w:t>
      </w:r>
      <w:r w:rsidR="00861A25" w:rsidRPr="00FC5C72">
        <w:rPr>
          <w:rFonts w:asciiTheme="minorHAnsi" w:hAnsiTheme="minorHAnsi"/>
          <w:color w:val="auto"/>
          <w:szCs w:val="24"/>
          <w:lang w:val="ka-GE"/>
        </w:rPr>
        <w:t>ო</w:t>
      </w:r>
      <w:r w:rsidR="009864C0" w:rsidRPr="00FC5C72">
        <w:rPr>
          <w:rFonts w:asciiTheme="minorHAnsi" w:hAnsiTheme="minorHAnsi"/>
          <w:color w:val="auto"/>
          <w:szCs w:val="24"/>
          <w:lang w:val="ka-GE"/>
        </w:rPr>
        <w:t xml:space="preserve"> საკვლევი პრეპარატის მიღება 7 დღის განმავლობაში. პაციენტები რანდომიზებული იქნენ თანაფარდობით 2:1 აპიქსაბანის მისაღებად ასაკის შესაბამისი სამკურნალწამლო ფორმით (წონის მიხედვით დაკორექტირებული და 10 მგ დამტვირთავი დოზის ეკვივალენტური დოზებით ორჯერ დღე-ღამეში 7 დღის განმავლობაში, შემდეგ 5 მგ ორჯერ დღე-ღამეში მოზრდილებისთვის) ან სტანდარტულ მკურნალობის მისაღებად. 2-დან &lt;18 წლამდე პაციენტებში სტანდარტული მკურნალობა ითვალისწინებდა დაბალმოლეკულური ჰეპარინების (დმჰ), არაფრაქციული ჰეპარინების (აფჰ) ან </w:t>
      </w:r>
      <w:r w:rsidR="009864C0" w:rsidRPr="00FC5C72">
        <w:rPr>
          <w:rFonts w:asciiTheme="minorHAnsi" w:hAnsiTheme="minorHAnsi"/>
          <w:color w:val="auto"/>
          <w:szCs w:val="24"/>
          <w:lang w:val="en-US"/>
        </w:rPr>
        <w:t>K</w:t>
      </w:r>
      <w:r w:rsidR="009864C0" w:rsidRPr="00FC5C72">
        <w:rPr>
          <w:rFonts w:asciiTheme="minorHAnsi" w:hAnsiTheme="minorHAnsi"/>
          <w:color w:val="auto"/>
          <w:szCs w:val="24"/>
          <w:lang w:val="ka-GE"/>
        </w:rPr>
        <w:t xml:space="preserve"> ვიტამინის ანტაგონისტების გამოყენებას. 28 დღიდან &lt;2 წლამდე ასაკის პაციენტებში სტანდარტული მკურნალობა შემოიფარგლებოდა ჰეპარინებით (აფჰ ან დმჰ). &lt;2 წლამდე ასაკის პაციენტებში მკურნალობის ძირითადი ფაზა გაგრძელდა 42-დან 84 დღემდე, ხოლო </w:t>
      </w:r>
      <w:r w:rsidR="009864C0" w:rsidRPr="00FC5C72">
        <w:rPr>
          <w:rFonts w:asciiTheme="minorHAnsi" w:hAnsiTheme="minorHAnsi"/>
          <w:color w:val="auto"/>
          <w:szCs w:val="24"/>
          <w:lang w:val="en-US"/>
        </w:rPr>
        <w:t xml:space="preserve">2 </w:t>
      </w:r>
      <w:r w:rsidR="009864C0" w:rsidRPr="00FC5C72">
        <w:rPr>
          <w:rFonts w:asciiTheme="minorHAnsi" w:hAnsiTheme="minorHAnsi"/>
          <w:color w:val="auto"/>
          <w:szCs w:val="24"/>
          <w:lang w:val="ka-GE"/>
        </w:rPr>
        <w:t>წელზე უფროსი ასაკის პაციენტებში - 84 დღე. 28 დღიდან &lt;18 წლამდ</w:t>
      </w:r>
      <w:r w:rsidR="007274DC" w:rsidRPr="00FC5C72">
        <w:rPr>
          <w:rFonts w:asciiTheme="minorHAnsi" w:hAnsiTheme="minorHAnsi"/>
          <w:color w:val="auto"/>
          <w:szCs w:val="24"/>
          <w:lang w:val="ka-GE"/>
        </w:rPr>
        <w:t>ე</w:t>
      </w:r>
      <w:r w:rsidR="009864C0" w:rsidRPr="00FC5C72">
        <w:rPr>
          <w:rFonts w:asciiTheme="minorHAnsi" w:hAnsiTheme="minorHAnsi"/>
          <w:color w:val="auto"/>
          <w:szCs w:val="24"/>
          <w:lang w:val="ka-GE"/>
        </w:rPr>
        <w:t xml:space="preserve"> ასაკის პაციენტებში, რომლებიც რანდომიზებული იყვნენ აპიქსაბანის მიღების ჯგუფში, შესაძლებელი იყო აპიქსაბანით მკურნალობის გაგრძელება კიდევ 6-12 კვირის განმავლობაში კვლევის დამატებითი ფაზის მიმდინარეობისას.</w:t>
      </w:r>
    </w:p>
    <w:p w14:paraId="714C7586" w14:textId="77777777" w:rsidR="009864C0" w:rsidRPr="00FC5C72" w:rsidRDefault="009864C0" w:rsidP="00785B18">
      <w:pPr>
        <w:pStyle w:val="BMSBodyText"/>
        <w:spacing w:before="0" w:after="0" w:line="240" w:lineRule="auto"/>
        <w:contextualSpacing/>
        <w:rPr>
          <w:rFonts w:asciiTheme="minorHAnsi" w:hAnsiTheme="minorHAnsi"/>
          <w:color w:val="auto"/>
          <w:szCs w:val="24"/>
          <w:lang w:val="ka-GE"/>
        </w:rPr>
      </w:pPr>
    </w:p>
    <w:p w14:paraId="06E9BD59" w14:textId="35FDAC80" w:rsidR="00D70853" w:rsidRPr="00FC5C72" w:rsidRDefault="009864C0" w:rsidP="00785B18">
      <w:pPr>
        <w:pStyle w:val="BMSBodyText"/>
        <w:spacing w:before="0" w:after="0" w:line="240" w:lineRule="auto"/>
        <w:contextualSpacing/>
        <w:rPr>
          <w:rFonts w:asciiTheme="minorHAnsi" w:hAnsiTheme="minorHAnsi"/>
          <w:color w:val="auto"/>
          <w:szCs w:val="24"/>
          <w:lang w:val="ka-GE"/>
        </w:rPr>
      </w:pPr>
      <w:r w:rsidRPr="00FC5C72">
        <w:rPr>
          <w:rFonts w:asciiTheme="minorHAnsi" w:hAnsiTheme="minorHAnsi"/>
          <w:color w:val="auto"/>
          <w:szCs w:val="24"/>
          <w:lang w:val="ka-GE"/>
        </w:rPr>
        <w:t xml:space="preserve">ეფექტიანობის შეფასების ძირითად საბოლოო წერტილს წარმოადგენდა </w:t>
      </w:r>
      <w:r w:rsidR="003531A0" w:rsidRPr="00FC5C72">
        <w:rPr>
          <w:rFonts w:asciiTheme="minorHAnsi" w:hAnsiTheme="minorHAnsi"/>
          <w:color w:val="auto"/>
          <w:szCs w:val="24"/>
          <w:lang w:val="ka-GE"/>
        </w:rPr>
        <w:t xml:space="preserve">ვთგ-ის რეციდივების (როგორც სიმპტომებით, ასევე სიმპტომების გარეშე მიმდინარე) და ვთგ-ის შედეგად სიკვდილის ვიზუალიზაციით და საექსპერტო შეფასებით დადასტურებული შემთხვევების ჯამური რაოდენობა.  ვთგ-ის ლეტალური შედეგები არ აღინიშნა ორივე ჯგუფში. </w:t>
      </w:r>
      <w:r w:rsidR="00DF4D8C" w:rsidRPr="00FC5C72">
        <w:rPr>
          <w:rFonts w:asciiTheme="minorHAnsi" w:hAnsiTheme="minorHAnsi"/>
          <w:color w:val="auto"/>
          <w:szCs w:val="24"/>
          <w:lang w:val="ka-GE"/>
        </w:rPr>
        <w:t xml:space="preserve">საერთო ჯამში 4 პაციენტში (2,8%) აპიქსაბანის ჯგუფში და 2 პაციენტში (2,8%) სტანდარტული მკურნალობის ჯგუფში რეგისტრირებული იყო ვთგ-ის (სიმპტომებით ან მათ გარეშე) სულ მცირე 1 დადასტურებული რეციდივი. </w:t>
      </w:r>
    </w:p>
    <w:p w14:paraId="5FCF7BB8" w14:textId="35CA3E27" w:rsidR="00DF4D8C" w:rsidRPr="00FC5C72" w:rsidRDefault="00DF4D8C" w:rsidP="00785B18">
      <w:pPr>
        <w:pStyle w:val="BMSBodyText"/>
        <w:spacing w:before="0" w:after="0" w:line="240" w:lineRule="auto"/>
        <w:contextualSpacing/>
        <w:rPr>
          <w:rFonts w:asciiTheme="minorHAnsi" w:hAnsiTheme="minorHAnsi"/>
          <w:color w:val="auto"/>
          <w:szCs w:val="24"/>
          <w:lang w:val="ka-GE"/>
        </w:rPr>
      </w:pPr>
    </w:p>
    <w:p w14:paraId="2ABF1EC2" w14:textId="33EE54A9" w:rsidR="00DF4D8C" w:rsidRPr="00FC5C72" w:rsidRDefault="00DF4D8C" w:rsidP="00785B18">
      <w:pPr>
        <w:pStyle w:val="BMSBodyText"/>
        <w:spacing w:before="0" w:after="0" w:line="240" w:lineRule="auto"/>
        <w:contextualSpacing/>
        <w:rPr>
          <w:rFonts w:asciiTheme="minorHAnsi" w:hAnsiTheme="minorHAnsi"/>
          <w:color w:val="auto"/>
          <w:szCs w:val="24"/>
          <w:lang w:val="ka-GE"/>
        </w:rPr>
      </w:pPr>
      <w:r w:rsidRPr="00FC5C72">
        <w:rPr>
          <w:rFonts w:asciiTheme="minorHAnsi" w:hAnsiTheme="minorHAnsi"/>
          <w:color w:val="auto"/>
          <w:szCs w:val="24"/>
          <w:lang w:val="ka-GE"/>
        </w:rPr>
        <w:t xml:space="preserve">აპიქსაბანის ჯგუფის 143 პაციენტის მიერ პრეპარატის გამოყენების ხანგრძლივობის მედიანა შეადგენდა 84,0 დღეს. 67 პაციენტში (46,9%) გამოყენების ხანგრძლივობა შეადგენდა 84 დღეზე მეტს. უსაფრთხოების შეფასების ძირითადი საბოლოო წერტილი, მნიშვნელოვანი სისხლდენის  და </w:t>
      </w:r>
      <w:r w:rsidRPr="00FC5C72">
        <w:rPr>
          <w:rFonts w:ascii="Sylfaen" w:hAnsi="Sylfaen"/>
          <w:noProof/>
          <w:color w:val="auto"/>
          <w:szCs w:val="24"/>
          <w:lang w:val="ka-GE"/>
        </w:rPr>
        <w:t xml:space="preserve">კლინიკურად მნიშვნელოვანი მცირე სისხლდენის განვითარება, </w:t>
      </w:r>
      <w:r w:rsidRPr="00FC5C72">
        <w:rPr>
          <w:rFonts w:asciiTheme="minorHAnsi" w:hAnsiTheme="minorHAnsi"/>
          <w:color w:val="auto"/>
          <w:szCs w:val="24"/>
          <w:lang w:val="ka-GE"/>
        </w:rPr>
        <w:t xml:space="preserve"> აღენიშნა 2 პაციენტს (1,4%) აპიქსაბანის ჯგუფში და 1 პაციენტს (1,4%) სტანდარტული მკურნალობის ჯგუფში (რისკების თანაფარდობა 0,99; 95% ს/ი: 0,1-10,8). ყველა შემთხვევაში სისხდენა მიეკუთვნებოდა </w:t>
      </w:r>
      <w:r w:rsidRPr="00FC5C72">
        <w:rPr>
          <w:rFonts w:ascii="Sylfaen" w:hAnsi="Sylfaen"/>
          <w:noProof/>
          <w:color w:val="auto"/>
          <w:szCs w:val="24"/>
          <w:lang w:val="ka-GE"/>
        </w:rPr>
        <w:t xml:space="preserve">კლინიკურად მნიშვნელოვანი მცირე სისხლდენის კატეგორიას. მცირე სისხლდენა რეგისტრირებული იყო 51 პაციენტში (35,7%) აპიქსაბანის ჯგუფში და 21 პაციენტში (29,6%) სტანდარტული მკურნალობის ჯგუფში  </w:t>
      </w:r>
      <w:r w:rsidRPr="00FC5C72">
        <w:rPr>
          <w:rFonts w:asciiTheme="minorHAnsi" w:hAnsiTheme="minorHAnsi"/>
          <w:color w:val="auto"/>
          <w:szCs w:val="24"/>
          <w:lang w:val="ka-GE"/>
        </w:rPr>
        <w:t>(რისკების თანაფარდობა 1,19; 95% ს/ი: 0,8;1,8).</w:t>
      </w:r>
    </w:p>
    <w:p w14:paraId="593294C2" w14:textId="0481CD9E" w:rsidR="00DF4D8C" w:rsidRPr="00FC5C72" w:rsidRDefault="00DF4D8C" w:rsidP="00785B18">
      <w:pPr>
        <w:pStyle w:val="BMSBodyText"/>
        <w:spacing w:before="0" w:after="0" w:line="240" w:lineRule="auto"/>
        <w:contextualSpacing/>
        <w:rPr>
          <w:rFonts w:asciiTheme="minorHAnsi" w:hAnsiTheme="minorHAnsi"/>
          <w:color w:val="auto"/>
          <w:szCs w:val="24"/>
          <w:lang w:val="ka-GE"/>
        </w:rPr>
      </w:pPr>
    </w:p>
    <w:p w14:paraId="02B9D289" w14:textId="3308B2BE" w:rsidR="00DF4D8C" w:rsidRPr="00FC5C72" w:rsidRDefault="00DF4D8C" w:rsidP="00785B18">
      <w:pPr>
        <w:pStyle w:val="BMSBodyText"/>
        <w:spacing w:before="0" w:after="0" w:line="240" w:lineRule="auto"/>
        <w:contextualSpacing/>
        <w:rPr>
          <w:color w:val="auto"/>
          <w:szCs w:val="24"/>
          <w:lang w:val="uz-Cyrl-UZ"/>
        </w:rPr>
      </w:pPr>
      <w:r w:rsidRPr="00FC5C72">
        <w:rPr>
          <w:rFonts w:asciiTheme="minorHAnsi" w:hAnsiTheme="minorHAnsi"/>
          <w:color w:val="auto"/>
          <w:szCs w:val="24"/>
          <w:lang w:val="ka-GE"/>
        </w:rPr>
        <w:t xml:space="preserve">მნიშვნელოვანი სისხლდენა განისაზღვრა, როგორც სისხლდენა, რომელიც შეესაბამება ერთ ან რამდენიმე შემდეგ კრიტერიუმს: </w:t>
      </w:r>
      <w:r w:rsidRPr="00FC5C72">
        <w:rPr>
          <w:color w:val="auto"/>
          <w:szCs w:val="24"/>
          <w:lang w:val="uz-Cyrl-UZ"/>
        </w:rPr>
        <w:t xml:space="preserve">(i) </w:t>
      </w:r>
      <w:r w:rsidRPr="00FC5C72">
        <w:rPr>
          <w:rFonts w:ascii="Sylfaen" w:hAnsi="Sylfaen"/>
          <w:color w:val="auto"/>
          <w:szCs w:val="24"/>
          <w:lang w:val="ka-GE"/>
        </w:rPr>
        <w:t>სისხლდენა ლეტალური შედეგით</w:t>
      </w:r>
      <w:r w:rsidRPr="00FC5C72">
        <w:rPr>
          <w:color w:val="auto"/>
          <w:szCs w:val="24"/>
          <w:lang w:val="uz-Cyrl-UZ"/>
        </w:rPr>
        <w:t xml:space="preserve">; (ii) </w:t>
      </w:r>
      <w:r w:rsidRPr="00FC5C72">
        <w:rPr>
          <w:rFonts w:ascii="Sylfaen" w:hAnsi="Sylfaen"/>
          <w:color w:val="auto"/>
          <w:szCs w:val="24"/>
          <w:lang w:val="ka-GE"/>
        </w:rPr>
        <w:t>კლინიკურად გამოვლენილი სისხლდენა, რომელმაც გამოიწვია ჰემოგლობინის დონის შემცირება სულ მცირე 20 გ/ლ-ით 24 საათში</w:t>
      </w:r>
      <w:r w:rsidRPr="00FC5C72">
        <w:rPr>
          <w:color w:val="auto"/>
          <w:szCs w:val="24"/>
          <w:lang w:val="uz-Cyrl-UZ"/>
        </w:rPr>
        <w:t xml:space="preserve">; (iii) </w:t>
      </w:r>
      <w:r w:rsidRPr="00FC5C72">
        <w:rPr>
          <w:rFonts w:ascii="Sylfaen" w:hAnsi="Sylfaen"/>
          <w:color w:val="auto"/>
          <w:szCs w:val="24"/>
          <w:lang w:val="ka-GE"/>
        </w:rPr>
        <w:t xml:space="preserve">რეტროპერიტონეალური, ფილტვისმიერი, ქალასშიდა სისხლდენა ან სისხლდენა, რომელიც სხვაგვარად </w:t>
      </w:r>
      <w:r w:rsidR="00332CB8" w:rsidRPr="00FC5C72">
        <w:rPr>
          <w:rFonts w:ascii="Sylfaen" w:hAnsi="Sylfaen"/>
          <w:color w:val="auto"/>
          <w:szCs w:val="24"/>
          <w:lang w:val="ka-GE"/>
        </w:rPr>
        <w:t>შეხებაშია</w:t>
      </w:r>
      <w:r w:rsidRPr="00FC5C72">
        <w:rPr>
          <w:rFonts w:ascii="Sylfaen" w:hAnsi="Sylfaen"/>
          <w:color w:val="auto"/>
          <w:szCs w:val="24"/>
          <w:lang w:val="ka-GE"/>
        </w:rPr>
        <w:t xml:space="preserve"> ცენტრალურ ნერვულ სისტემას</w:t>
      </w:r>
      <w:r w:rsidR="00566C4D" w:rsidRPr="00FC5C72">
        <w:rPr>
          <w:rFonts w:ascii="Sylfaen" w:hAnsi="Sylfaen"/>
          <w:color w:val="auto"/>
          <w:szCs w:val="24"/>
          <w:lang w:val="ka-GE"/>
        </w:rPr>
        <w:t>თან</w:t>
      </w:r>
      <w:r w:rsidRPr="00FC5C72">
        <w:rPr>
          <w:rFonts w:ascii="Sylfaen" w:hAnsi="Sylfaen"/>
          <w:color w:val="auto"/>
          <w:szCs w:val="24"/>
          <w:lang w:val="ka-GE"/>
        </w:rPr>
        <w:t xml:space="preserve">; </w:t>
      </w:r>
      <w:r w:rsidRPr="00FC5C72">
        <w:rPr>
          <w:rFonts w:asciiTheme="minorHAnsi" w:hAnsiTheme="minorHAnsi"/>
          <w:color w:val="auto"/>
          <w:szCs w:val="24"/>
          <w:lang w:val="ka-GE"/>
        </w:rPr>
        <w:t xml:space="preserve"> </w:t>
      </w:r>
      <w:r w:rsidRPr="00FC5C72">
        <w:rPr>
          <w:color w:val="auto"/>
          <w:szCs w:val="24"/>
          <w:lang w:val="uz-Cyrl-UZ"/>
        </w:rPr>
        <w:t xml:space="preserve"> (iv) </w:t>
      </w:r>
      <w:r w:rsidR="00566C4D" w:rsidRPr="00FC5C72">
        <w:rPr>
          <w:rFonts w:ascii="Sylfaen" w:hAnsi="Sylfaen"/>
          <w:color w:val="auto"/>
          <w:szCs w:val="24"/>
          <w:lang w:val="ka-GE"/>
        </w:rPr>
        <w:t>სისხლდენა, რომელიც საჭიროებს ქირურგიულ ჩარევას საოპერაციოში (მათ შორის ინტერვენციულ რადიოლოგიურ პროცედურას)</w:t>
      </w:r>
      <w:r w:rsidRPr="00FC5C72">
        <w:rPr>
          <w:color w:val="auto"/>
          <w:szCs w:val="24"/>
          <w:lang w:val="uz-Cyrl-UZ"/>
        </w:rPr>
        <w:t>.</w:t>
      </w:r>
    </w:p>
    <w:p w14:paraId="7DD97730" w14:textId="1ABE5A0F" w:rsidR="00566C4D" w:rsidRPr="00FC5C72" w:rsidRDefault="00566C4D" w:rsidP="00785B18">
      <w:pPr>
        <w:pStyle w:val="BMSBodyText"/>
        <w:spacing w:before="0" w:after="0" w:line="240" w:lineRule="auto"/>
        <w:contextualSpacing/>
        <w:rPr>
          <w:color w:val="auto"/>
          <w:szCs w:val="24"/>
          <w:lang w:val="uz-Cyrl-UZ"/>
        </w:rPr>
      </w:pPr>
    </w:p>
    <w:p w14:paraId="4AD0C156" w14:textId="1B1CA8C3" w:rsidR="00566C4D" w:rsidRPr="00FC5C72" w:rsidRDefault="00566C4D" w:rsidP="00785B18">
      <w:pPr>
        <w:spacing w:after="0" w:line="240" w:lineRule="auto"/>
        <w:jc w:val="both"/>
        <w:rPr>
          <w:sz w:val="24"/>
          <w:szCs w:val="24"/>
        </w:rPr>
      </w:pPr>
      <w:r w:rsidRPr="00FC5C72">
        <w:rPr>
          <w:rFonts w:ascii="Sylfaen" w:hAnsi="Sylfaen"/>
          <w:noProof/>
          <w:sz w:val="24"/>
          <w:szCs w:val="24"/>
        </w:rPr>
        <w:t xml:space="preserve">კლინიკურად მნიშვნელოვანი მცირე სისხლდენა განისაზღვრა როგორც სისხლდენა, რომელიც შეესაბამება ერთ ან ორივე მითითებულ კრისტერიუმს: </w:t>
      </w:r>
      <w:r w:rsidRPr="00FC5C72">
        <w:rPr>
          <w:rFonts w:ascii="Times New Roman" w:hAnsi="Times New Roman"/>
          <w:sz w:val="24"/>
          <w:szCs w:val="24"/>
          <w:lang w:val="uz-Cyrl-UZ"/>
        </w:rPr>
        <w:t xml:space="preserve">(i) </w:t>
      </w:r>
      <w:r w:rsidRPr="00FC5C72">
        <w:rPr>
          <w:rFonts w:ascii="Sylfaen" w:hAnsi="Sylfaen"/>
          <w:sz w:val="24"/>
          <w:szCs w:val="24"/>
        </w:rPr>
        <w:t>მანიფესტური სისხლდენა</w:t>
      </w:r>
      <w:r w:rsidRPr="00FC5C72">
        <w:rPr>
          <w:rFonts w:ascii="Times New Roman" w:hAnsi="Times New Roman"/>
          <w:sz w:val="24"/>
          <w:szCs w:val="24"/>
          <w:lang w:val="uz-Cyrl-UZ"/>
        </w:rPr>
        <w:t>,</w:t>
      </w:r>
      <w:r w:rsidRPr="00FC5C72">
        <w:rPr>
          <w:sz w:val="24"/>
          <w:szCs w:val="24"/>
        </w:rPr>
        <w:t xml:space="preserve"> რომლის გამოც გამოიყენება სისხლის პრეპარატი და რომელიც არ არის დაკავშირებული უშუალოდ პაციენტის ძირითად დაავადებასთან</w:t>
      </w:r>
      <w:r w:rsidRPr="00FC5C72">
        <w:rPr>
          <w:rFonts w:ascii="Times New Roman" w:hAnsi="Times New Roman"/>
          <w:sz w:val="24"/>
          <w:szCs w:val="24"/>
          <w:lang w:val="uz-Cyrl-UZ"/>
        </w:rPr>
        <w:t xml:space="preserve">; (ii) </w:t>
      </w:r>
      <w:r w:rsidRPr="00FC5C72">
        <w:rPr>
          <w:rFonts w:ascii="Sylfaen" w:hAnsi="Sylfaen"/>
          <w:sz w:val="24"/>
          <w:szCs w:val="24"/>
        </w:rPr>
        <w:t xml:space="preserve">სისხლდენა, რომელიც საჭიროებს სამედიცინო ან ქირურგიულ ჩარევას ჰემოსტაზის დარეგულირებისთვის </w:t>
      </w:r>
      <w:r w:rsidRPr="00FC5C72">
        <w:rPr>
          <w:sz w:val="24"/>
          <w:szCs w:val="24"/>
        </w:rPr>
        <w:t xml:space="preserve">(მაგრამ არა საოპერაციოში). </w:t>
      </w:r>
    </w:p>
    <w:p w14:paraId="35831416" w14:textId="00A66245" w:rsidR="00566C4D" w:rsidRPr="00FC5C72" w:rsidRDefault="00566C4D" w:rsidP="00785B18">
      <w:pPr>
        <w:spacing w:after="0" w:line="240" w:lineRule="auto"/>
        <w:jc w:val="both"/>
        <w:rPr>
          <w:sz w:val="24"/>
          <w:szCs w:val="24"/>
        </w:rPr>
      </w:pPr>
    </w:p>
    <w:p w14:paraId="0A148F1E" w14:textId="6F1054F7" w:rsidR="00566C4D" w:rsidRPr="00FC5C72" w:rsidRDefault="00566C4D" w:rsidP="00785B18">
      <w:pPr>
        <w:spacing w:after="0" w:line="240" w:lineRule="auto"/>
        <w:jc w:val="both"/>
        <w:rPr>
          <w:rFonts w:ascii="Sylfaen" w:hAnsi="Sylfaen"/>
          <w:noProof/>
          <w:szCs w:val="24"/>
        </w:rPr>
      </w:pPr>
      <w:r w:rsidRPr="00FC5C72">
        <w:rPr>
          <w:sz w:val="24"/>
          <w:szCs w:val="24"/>
        </w:rPr>
        <w:t xml:space="preserve">მცირე სისხლდენა განისაზღვრა როგორც მანიფესტური ან ვიზუალურად შესამჩნევი სისხლდენა, რომელიც არ შეესაბამება მნიშვნელოვანი და </w:t>
      </w:r>
      <w:r w:rsidRPr="00FC5C72">
        <w:rPr>
          <w:rFonts w:ascii="Sylfaen" w:hAnsi="Sylfaen"/>
          <w:noProof/>
          <w:sz w:val="24"/>
          <w:szCs w:val="24"/>
        </w:rPr>
        <w:t>კლინიკურად მნიშვნელოვანი მცირე სისხლდენის ზემოთ მითითებულ კრიტერიუმებს. მენსტრუალური სისხლდენა კლასიფიცირებულია, როგორც მცირე, და არა კლინიკურად მნიშვნელოვანი მცირე სისხლდენ</w:t>
      </w:r>
      <w:r w:rsidRPr="00FC5C72">
        <w:rPr>
          <w:rFonts w:ascii="Sylfaen" w:hAnsi="Sylfaen"/>
          <w:noProof/>
          <w:szCs w:val="24"/>
        </w:rPr>
        <w:t xml:space="preserve">ა. </w:t>
      </w:r>
    </w:p>
    <w:p w14:paraId="60988515" w14:textId="5636727C" w:rsidR="00566C4D" w:rsidRPr="00FC5C72" w:rsidRDefault="00566C4D" w:rsidP="00785B18">
      <w:pPr>
        <w:spacing w:after="0" w:line="240" w:lineRule="auto"/>
        <w:jc w:val="both"/>
        <w:rPr>
          <w:rFonts w:ascii="Sylfaen" w:hAnsi="Sylfaen"/>
          <w:noProof/>
          <w:szCs w:val="24"/>
        </w:rPr>
      </w:pPr>
    </w:p>
    <w:p w14:paraId="01D2E28E" w14:textId="65CAFE47" w:rsidR="00566C4D" w:rsidRPr="00FC5C72" w:rsidRDefault="00566C4D" w:rsidP="00785B18">
      <w:pPr>
        <w:spacing w:after="0" w:line="240" w:lineRule="auto"/>
        <w:jc w:val="both"/>
        <w:rPr>
          <w:rFonts w:ascii="Sylfaen" w:hAnsi="Sylfaen"/>
          <w:noProof/>
          <w:sz w:val="24"/>
          <w:szCs w:val="24"/>
        </w:rPr>
      </w:pPr>
      <w:r w:rsidRPr="00FC5C72">
        <w:rPr>
          <w:sz w:val="24"/>
          <w:szCs w:val="24"/>
        </w:rPr>
        <w:t>53 პაციენტში, რომელმაც მონაწილეობა მიიღო კვლევის დამატებით ფაზაში და იღებდ</w:t>
      </w:r>
      <w:r w:rsidR="00A00CD0" w:rsidRPr="00FC5C72">
        <w:rPr>
          <w:sz w:val="24"/>
          <w:szCs w:val="24"/>
        </w:rPr>
        <w:t>ა</w:t>
      </w:r>
      <w:r w:rsidRPr="00FC5C72">
        <w:rPr>
          <w:sz w:val="24"/>
          <w:szCs w:val="24"/>
        </w:rPr>
        <w:t xml:space="preserve"> აპიქსაბანს, არ იყო რეგისტრირებული ვთგ-ის რეციდივის (სიმპტომებით ან მათ გარეშე) ან ვთგ-ის შედეგად სიკვდილის არცერთი შემთხვევა. კვლევის დამატებით ფაზაში მონაწილე არცერთ პაციენტს არ დაუდასტურდა მნიშვნელოვანი სისხლდენა ან </w:t>
      </w:r>
      <w:r w:rsidRPr="00FC5C72">
        <w:rPr>
          <w:rFonts w:ascii="Sylfaen" w:hAnsi="Sylfaen"/>
          <w:noProof/>
          <w:sz w:val="24"/>
          <w:szCs w:val="24"/>
        </w:rPr>
        <w:t xml:space="preserve">კლინიკურად მნიშვნელოვანი მცირე სისხლდენა. კვლევის გაფართოებულ ფაზაში მონაწილე 53-დან 8 (15,1%) პაციენტში აღინიშნა მცირე სისხლდენა. </w:t>
      </w:r>
    </w:p>
    <w:p w14:paraId="14A8F3B4" w14:textId="3099F19F" w:rsidR="00566C4D" w:rsidRPr="00FC5C72" w:rsidRDefault="00566C4D" w:rsidP="00785B18">
      <w:pPr>
        <w:spacing w:after="0" w:line="240" w:lineRule="auto"/>
        <w:jc w:val="both"/>
        <w:rPr>
          <w:rFonts w:ascii="Sylfaen" w:hAnsi="Sylfaen"/>
          <w:noProof/>
          <w:sz w:val="24"/>
          <w:szCs w:val="24"/>
        </w:rPr>
      </w:pPr>
    </w:p>
    <w:p w14:paraId="1CD72134" w14:textId="0AD595FB" w:rsidR="00566C4D" w:rsidRPr="00FC5C72" w:rsidRDefault="00566C4D" w:rsidP="00785B18">
      <w:pPr>
        <w:spacing w:after="0" w:line="240" w:lineRule="auto"/>
        <w:jc w:val="both"/>
        <w:rPr>
          <w:sz w:val="24"/>
          <w:szCs w:val="24"/>
        </w:rPr>
      </w:pPr>
      <w:r w:rsidRPr="00FC5C72">
        <w:rPr>
          <w:sz w:val="24"/>
          <w:szCs w:val="24"/>
        </w:rPr>
        <w:t xml:space="preserve">აპიქსაბანის ჯგუფში რეგისტრირებულია სიკვდილის 3 შემთხვევა, ხოლო სტანდარტული მკურნალობის ჯგუფში - 1 შემთხვევა; </w:t>
      </w:r>
      <w:r w:rsidR="0042316D" w:rsidRPr="00FC5C72">
        <w:rPr>
          <w:sz w:val="24"/>
          <w:szCs w:val="24"/>
        </w:rPr>
        <w:t xml:space="preserve">მკვლევარის შეფასების თანახმად არცერთი მათგანი არ იყო დაკავშირებული მკურნალობასთან. მოვლენათა საექსპერტო შეფასების დამოუკიდებელი კომიტეტის დასკვნით სიკვდილის ამ შემთხვევებიდან არცერთი იყო დაკავშირებული ვთგ-სთან ან სისხლდენასთან. </w:t>
      </w:r>
    </w:p>
    <w:p w14:paraId="3EE77ED9" w14:textId="51FA1B4E" w:rsidR="0042316D" w:rsidRPr="00FC5C72" w:rsidRDefault="0042316D" w:rsidP="00785B18">
      <w:pPr>
        <w:spacing w:after="0" w:line="240" w:lineRule="auto"/>
        <w:jc w:val="both"/>
        <w:rPr>
          <w:sz w:val="24"/>
          <w:szCs w:val="24"/>
        </w:rPr>
      </w:pPr>
    </w:p>
    <w:p w14:paraId="02F65C53" w14:textId="152985B3" w:rsidR="0042316D" w:rsidRPr="00FC5C72" w:rsidRDefault="0042316D" w:rsidP="00785B18">
      <w:pPr>
        <w:spacing w:after="0" w:line="240" w:lineRule="auto"/>
        <w:jc w:val="both"/>
        <w:rPr>
          <w:sz w:val="24"/>
          <w:szCs w:val="24"/>
        </w:rPr>
      </w:pPr>
      <w:r w:rsidRPr="00FC5C72">
        <w:rPr>
          <w:sz w:val="24"/>
          <w:szCs w:val="24"/>
        </w:rPr>
        <w:t xml:space="preserve">ბავშვთა ასაკის პაციენტების პოპულაციაშია აპიქსაბანის გამოყენების უსაფრთხოების ბაზა დაფუძნებულია კვლევის </w:t>
      </w:r>
      <w:r w:rsidRPr="00FC5C72">
        <w:rPr>
          <w:rFonts w:ascii="Times New Roman" w:hAnsi="Times New Roman"/>
          <w:sz w:val="24"/>
          <w:szCs w:val="24"/>
          <w:lang w:val="uz-Cyrl-UZ"/>
        </w:rPr>
        <w:t>CV185325</w:t>
      </w:r>
      <w:r w:rsidRPr="00FC5C72">
        <w:rPr>
          <w:sz w:val="24"/>
          <w:szCs w:val="24"/>
        </w:rPr>
        <w:t xml:space="preserve"> მონაცემებზე, რომელშიც პრეპარატი გამოიყენებოდა ვთგ-ის სამკურნალოდ და მორეციდივე ვთგ-ის პროფილაქტიკისთვის, და მასში დამატებულია კვლევების </w:t>
      </w:r>
      <w:r w:rsidRPr="00FC5C72">
        <w:rPr>
          <w:rFonts w:ascii="Times New Roman" w:hAnsi="Times New Roman"/>
          <w:sz w:val="24"/>
          <w:szCs w:val="24"/>
          <w:lang w:val="uz-Cyrl-UZ"/>
        </w:rPr>
        <w:t xml:space="preserve">PREVAPIX-ALL </w:t>
      </w:r>
      <w:r w:rsidRPr="00FC5C72">
        <w:rPr>
          <w:rFonts w:ascii="Sylfaen" w:hAnsi="Sylfaen"/>
          <w:sz w:val="24"/>
          <w:szCs w:val="24"/>
        </w:rPr>
        <w:t>და</w:t>
      </w:r>
      <w:r w:rsidRPr="00FC5C72">
        <w:rPr>
          <w:rFonts w:ascii="Times New Roman" w:hAnsi="Times New Roman"/>
          <w:sz w:val="24"/>
          <w:szCs w:val="24"/>
          <w:lang w:val="uz-Cyrl-UZ"/>
        </w:rPr>
        <w:t xml:space="preserve"> SAXOPHONE</w:t>
      </w:r>
      <w:r w:rsidRPr="00FC5C72">
        <w:rPr>
          <w:sz w:val="24"/>
          <w:szCs w:val="24"/>
        </w:rPr>
        <w:t xml:space="preserve"> მონაცემები, რომლებშიც შეისწავლეს პრეპარატის გამოყენება ვთგ-ის პირველადი პროფილაქტიკისთვის, ასევე პრეპარატის ერთჯერადი გამოყენების კვლევები - </w:t>
      </w:r>
      <w:r w:rsidRPr="00FC5C72">
        <w:rPr>
          <w:rFonts w:ascii="Times New Roman" w:hAnsi="Times New Roman"/>
          <w:sz w:val="24"/>
          <w:szCs w:val="24"/>
          <w:lang w:val="uz-Cyrl-UZ"/>
        </w:rPr>
        <w:t>CV185118</w:t>
      </w:r>
      <w:r w:rsidRPr="00FC5C72">
        <w:rPr>
          <w:sz w:val="24"/>
          <w:szCs w:val="24"/>
        </w:rPr>
        <w:t xml:space="preserve">. ის მოიცავს ბავშვთა ასაკის 970 პაციენტის მონაცემებს, რომელთაგან 568 იღებდა აპიქსაბანს. </w:t>
      </w:r>
    </w:p>
    <w:p w14:paraId="0D88EBD0" w14:textId="74FAF313" w:rsidR="0042316D" w:rsidRPr="00FC5C72" w:rsidRDefault="0042316D" w:rsidP="00785B18">
      <w:pPr>
        <w:spacing w:after="0" w:line="240" w:lineRule="auto"/>
        <w:jc w:val="both"/>
        <w:rPr>
          <w:sz w:val="24"/>
          <w:szCs w:val="24"/>
        </w:rPr>
      </w:pPr>
    </w:p>
    <w:p w14:paraId="5A4C11F1" w14:textId="5BACAC0B" w:rsidR="0042316D" w:rsidRPr="00FC5C72" w:rsidRDefault="0042316D" w:rsidP="00785B18">
      <w:pPr>
        <w:spacing w:after="0" w:line="240" w:lineRule="auto"/>
        <w:jc w:val="both"/>
        <w:rPr>
          <w:sz w:val="24"/>
          <w:szCs w:val="24"/>
        </w:rPr>
      </w:pPr>
      <w:r w:rsidRPr="00FC5C72">
        <w:rPr>
          <w:sz w:val="24"/>
          <w:szCs w:val="24"/>
        </w:rPr>
        <w:t>ბავშვთა ასაკის პაციენტებში გამოყენების რეგისტრირებული ჩვენებები ვთ</w:t>
      </w:r>
      <w:r w:rsidR="00332CB8" w:rsidRPr="00FC5C72">
        <w:rPr>
          <w:sz w:val="24"/>
          <w:szCs w:val="24"/>
        </w:rPr>
        <w:t>გ</w:t>
      </w:r>
      <w:r w:rsidRPr="00FC5C72">
        <w:rPr>
          <w:sz w:val="24"/>
          <w:szCs w:val="24"/>
        </w:rPr>
        <w:t xml:space="preserve">-ის პირველადი პროფილაქტიკისთვის არ არის. </w:t>
      </w:r>
    </w:p>
    <w:p w14:paraId="43AA3240" w14:textId="73569A69" w:rsidR="0042316D" w:rsidRPr="00FC5C72" w:rsidRDefault="0042316D" w:rsidP="00785B18">
      <w:pPr>
        <w:spacing w:after="0" w:line="240" w:lineRule="auto"/>
        <w:jc w:val="both"/>
        <w:rPr>
          <w:sz w:val="24"/>
          <w:szCs w:val="24"/>
        </w:rPr>
      </w:pPr>
    </w:p>
    <w:p w14:paraId="5C6EB431" w14:textId="0589A341" w:rsidR="0042316D" w:rsidRPr="00FC5C72" w:rsidRDefault="006D76C3" w:rsidP="00785B18">
      <w:pPr>
        <w:spacing w:after="0" w:line="240" w:lineRule="auto"/>
        <w:jc w:val="both"/>
        <w:rPr>
          <w:i/>
          <w:iCs/>
          <w:sz w:val="24"/>
          <w:szCs w:val="24"/>
          <w:u w:val="single"/>
        </w:rPr>
      </w:pPr>
      <w:r w:rsidRPr="00FC5C72">
        <w:rPr>
          <w:i/>
          <w:iCs/>
          <w:sz w:val="24"/>
          <w:szCs w:val="24"/>
          <w:u w:val="single"/>
        </w:rPr>
        <w:t>ვთგ-ის პროფილაქტიკა ბავშვთა ასაკის პაციენტებში მწვავე ლიმფობლასტური ლეიკოზით ან ლიმფობლასტური ლიმფომით (მლლ ან ლლ)</w:t>
      </w:r>
    </w:p>
    <w:p w14:paraId="0C489C54" w14:textId="5634D725" w:rsidR="00301BB8" w:rsidRPr="00FC5C72" w:rsidRDefault="00301BB8" w:rsidP="00785B18">
      <w:pPr>
        <w:spacing w:after="0" w:line="240" w:lineRule="auto"/>
        <w:jc w:val="both"/>
        <w:rPr>
          <w:i/>
          <w:iCs/>
          <w:sz w:val="24"/>
          <w:szCs w:val="24"/>
        </w:rPr>
      </w:pPr>
    </w:p>
    <w:p w14:paraId="442E9509" w14:textId="1BDF8889" w:rsidR="00FA13BC" w:rsidRPr="00FC5C72" w:rsidRDefault="00FA13BC" w:rsidP="00785B18">
      <w:pPr>
        <w:spacing w:after="0" w:line="240" w:lineRule="auto"/>
        <w:jc w:val="both"/>
        <w:rPr>
          <w:sz w:val="24"/>
          <w:szCs w:val="24"/>
        </w:rPr>
      </w:pPr>
      <w:r w:rsidRPr="00FC5C72">
        <w:rPr>
          <w:sz w:val="24"/>
          <w:szCs w:val="24"/>
        </w:rPr>
        <w:t xml:space="preserve">კვლევის </w:t>
      </w:r>
      <w:r w:rsidRPr="00FC5C72">
        <w:rPr>
          <w:rFonts w:ascii="Times New Roman" w:hAnsi="Times New Roman"/>
          <w:sz w:val="24"/>
          <w:szCs w:val="24"/>
          <w:lang w:val="uz-Cyrl-UZ"/>
        </w:rPr>
        <w:t>PREVAPIX-ALL</w:t>
      </w:r>
      <w:r w:rsidRPr="00FC5C72">
        <w:rPr>
          <w:sz w:val="24"/>
          <w:szCs w:val="24"/>
        </w:rPr>
        <w:t xml:space="preserve"> ფარგლებში საერთო ჯამში </w:t>
      </w:r>
      <w:r w:rsidRPr="00FC5C72">
        <w:rPr>
          <w:sz w:val="24"/>
          <w:szCs w:val="24"/>
          <w:u w:val="single"/>
        </w:rPr>
        <w:t>&gt;</w:t>
      </w:r>
      <w:r w:rsidRPr="00FC5C72">
        <w:rPr>
          <w:sz w:val="24"/>
          <w:szCs w:val="24"/>
        </w:rPr>
        <w:t>1 წლის და &lt;18 წლის ასაკის 512 პაციენტი პირველად რეგისტრირებულ მლლ ან ლლ-ით, რომლებიც იღებდნენ ინდუქციუ</w:t>
      </w:r>
      <w:r w:rsidR="00332CB8" w:rsidRPr="00FC5C72">
        <w:rPr>
          <w:sz w:val="24"/>
          <w:szCs w:val="24"/>
        </w:rPr>
        <w:t>რ</w:t>
      </w:r>
      <w:r w:rsidRPr="00FC5C72">
        <w:rPr>
          <w:sz w:val="24"/>
          <w:szCs w:val="24"/>
        </w:rPr>
        <w:t xml:space="preserve"> ქიმიოთერაპიას ასპარ</w:t>
      </w:r>
      <w:r w:rsidR="00332CB8" w:rsidRPr="00FC5C72">
        <w:rPr>
          <w:sz w:val="24"/>
          <w:szCs w:val="24"/>
        </w:rPr>
        <w:t>ა</w:t>
      </w:r>
      <w:r w:rsidRPr="00FC5C72">
        <w:rPr>
          <w:sz w:val="24"/>
          <w:szCs w:val="24"/>
        </w:rPr>
        <w:t>გინაზის შეყვანით მუდმივი ცენტრალური ვენური კათეტერის საშუალებით, რანდომიზ</w:t>
      </w:r>
      <w:r w:rsidR="00332CB8" w:rsidRPr="00FC5C72">
        <w:rPr>
          <w:sz w:val="24"/>
          <w:szCs w:val="24"/>
        </w:rPr>
        <w:t>ებული</w:t>
      </w:r>
      <w:r w:rsidRPr="00FC5C72">
        <w:rPr>
          <w:sz w:val="24"/>
          <w:szCs w:val="24"/>
        </w:rPr>
        <w:t xml:space="preserve"> </w:t>
      </w:r>
      <w:r w:rsidR="00332CB8" w:rsidRPr="00FC5C72">
        <w:rPr>
          <w:sz w:val="24"/>
          <w:szCs w:val="24"/>
        </w:rPr>
        <w:t>იყო</w:t>
      </w:r>
      <w:r w:rsidRPr="00FC5C72">
        <w:rPr>
          <w:sz w:val="24"/>
          <w:szCs w:val="24"/>
        </w:rPr>
        <w:t xml:space="preserve"> თანაფარდობით 1:1, პროცედურების გასავლელად, რომლებიც მიმართულია თრომბოემბოლიის პროფილაქტიკაზე  ღია რეჟიმში აპიქსაბანის ან სტანდარტული მკურნალობის (ანტიკოაგულანტებით სისტემური თერაპიის გამოყენების გარეშე) გამოყენებით. აპიქსაბანს იყენებდნენ ფიქსირებული დოზით, წონის მიხედვით, მოზრდილების კონცენტრაციის მსგავსი კონცენტრაციის მისაღწევად შერჩეული რეჟიმით, </w:t>
      </w:r>
      <w:r w:rsidR="00AA7AAA" w:rsidRPr="00FC5C72">
        <w:rPr>
          <w:sz w:val="24"/>
          <w:szCs w:val="24"/>
        </w:rPr>
        <w:t>რომლებიც იღებდნენ პრეპარატ</w:t>
      </w:r>
      <w:r w:rsidR="007F3755" w:rsidRPr="00FC5C72">
        <w:rPr>
          <w:sz w:val="24"/>
          <w:szCs w:val="24"/>
        </w:rPr>
        <w:t>ი</w:t>
      </w:r>
      <w:r w:rsidR="00AA7AAA" w:rsidRPr="00FC5C72">
        <w:rPr>
          <w:sz w:val="24"/>
          <w:szCs w:val="24"/>
        </w:rPr>
        <w:t>ს 2,5 მგ</w:t>
      </w:r>
      <w:r w:rsidR="007F3755" w:rsidRPr="00FC5C72">
        <w:rPr>
          <w:sz w:val="24"/>
          <w:szCs w:val="24"/>
        </w:rPr>
        <w:t>-ს</w:t>
      </w:r>
      <w:r w:rsidR="00AA7AAA" w:rsidRPr="00FC5C72">
        <w:rPr>
          <w:sz w:val="24"/>
          <w:szCs w:val="24"/>
        </w:rPr>
        <w:t xml:space="preserve"> ორჯერ დღე-ღამეში (იხ. ცხრილი 12). აპიქსაბანის მიწოდება ხდებოდა 2,5 მგ </w:t>
      </w:r>
      <w:r w:rsidR="007F3755" w:rsidRPr="00FC5C72">
        <w:rPr>
          <w:sz w:val="24"/>
          <w:szCs w:val="24"/>
        </w:rPr>
        <w:t>და</w:t>
      </w:r>
      <w:r w:rsidR="00AA7AAA" w:rsidRPr="00FC5C72">
        <w:rPr>
          <w:sz w:val="24"/>
          <w:szCs w:val="24"/>
        </w:rPr>
        <w:t xml:space="preserve"> 0,5 მგ დოზირების ტაბლეტების ფორმით, ასევე 0,4 მგ/მლ დოზირების პერორალური გამოყენების ხსნარის ფორმით. აპიქსაბანის ჯგუფში პრეპარატის გამოყენების ხანგრძლივობის მედიანა შეადგენდა 25 დღეს. </w:t>
      </w:r>
    </w:p>
    <w:p w14:paraId="55E1E3D7" w14:textId="55EE9A7A" w:rsidR="00AA7AAA" w:rsidRPr="00FC5C72" w:rsidRDefault="00AA7AAA" w:rsidP="00785B18">
      <w:pPr>
        <w:spacing w:after="0" w:line="240" w:lineRule="auto"/>
        <w:jc w:val="both"/>
        <w:rPr>
          <w:sz w:val="24"/>
          <w:szCs w:val="24"/>
        </w:rPr>
      </w:pPr>
    </w:p>
    <w:p w14:paraId="3DA91F53" w14:textId="5BD19395" w:rsidR="00AA7AAA" w:rsidRPr="00FC5C72" w:rsidRDefault="00AA7AAA" w:rsidP="00785B18">
      <w:pPr>
        <w:spacing w:after="0" w:line="240" w:lineRule="auto"/>
        <w:jc w:val="both"/>
        <w:rPr>
          <w:b/>
          <w:bCs/>
          <w:sz w:val="24"/>
          <w:szCs w:val="24"/>
          <w:lang w:eastAsia="en-GB"/>
        </w:rPr>
      </w:pPr>
      <w:r w:rsidRPr="00FC5C72">
        <w:rPr>
          <w:b/>
          <w:bCs/>
          <w:sz w:val="24"/>
          <w:szCs w:val="24"/>
        </w:rPr>
        <w:t xml:space="preserve">ცხრილი 12. აპიქსაბანის დოზირების რეჟიმი კვლევის </w:t>
      </w:r>
      <w:r w:rsidRPr="00FC5C72">
        <w:rPr>
          <w:rFonts w:ascii="Times New Roman" w:hAnsi="Times New Roman"/>
          <w:b/>
          <w:bCs/>
          <w:sz w:val="24"/>
          <w:szCs w:val="24"/>
          <w:lang w:val="uz-Cyrl-UZ" w:eastAsia="en-GB"/>
        </w:rPr>
        <w:t>PREVAPIX-ALL</w:t>
      </w:r>
      <w:r w:rsidRPr="00FC5C72">
        <w:rPr>
          <w:b/>
          <w:bCs/>
          <w:sz w:val="24"/>
          <w:szCs w:val="24"/>
          <w:lang w:eastAsia="en-GB"/>
        </w:rPr>
        <w:t xml:space="preserve"> ფარგლებში</w:t>
      </w:r>
    </w:p>
    <w:p w14:paraId="1217B4F7" w14:textId="3286288B" w:rsidR="00AA7AAA" w:rsidRPr="00FC5C72" w:rsidRDefault="00AA7AAA" w:rsidP="00785B18">
      <w:pPr>
        <w:spacing w:after="0" w:line="240" w:lineRule="auto"/>
        <w:jc w:val="both"/>
        <w:rPr>
          <w:b/>
          <w:bCs/>
          <w:sz w:val="24"/>
          <w:szCs w:val="24"/>
          <w:lang w:eastAsia="en-GB"/>
        </w:rPr>
      </w:pPr>
    </w:p>
    <w:tbl>
      <w:tblPr>
        <w:tblStyle w:val="TableGrid"/>
        <w:tblW w:w="0" w:type="auto"/>
        <w:tblLook w:val="04A0" w:firstRow="1" w:lastRow="0" w:firstColumn="1" w:lastColumn="0" w:noHBand="0" w:noVBand="1"/>
      </w:tblPr>
      <w:tblGrid>
        <w:gridCol w:w="3390"/>
        <w:gridCol w:w="3390"/>
      </w:tblGrid>
      <w:tr w:rsidR="00FC5C72" w:rsidRPr="00FC5C72" w14:paraId="7A176B7B" w14:textId="77777777" w:rsidTr="00AA7AAA">
        <w:trPr>
          <w:trHeight w:val="388"/>
        </w:trPr>
        <w:tc>
          <w:tcPr>
            <w:tcW w:w="3390" w:type="dxa"/>
          </w:tcPr>
          <w:p w14:paraId="489C422D" w14:textId="25B4BEB9" w:rsidR="00AA7AAA" w:rsidRPr="00FC5C72" w:rsidRDefault="00AA7AAA" w:rsidP="00785B18">
            <w:pPr>
              <w:jc w:val="both"/>
              <w:rPr>
                <w:b/>
                <w:bCs/>
                <w:sz w:val="24"/>
                <w:szCs w:val="24"/>
              </w:rPr>
            </w:pPr>
            <w:r w:rsidRPr="00FC5C72">
              <w:rPr>
                <w:b/>
                <w:bCs/>
                <w:sz w:val="24"/>
                <w:szCs w:val="24"/>
              </w:rPr>
              <w:t>სხეულის მასის დიაპაზონი</w:t>
            </w:r>
          </w:p>
        </w:tc>
        <w:tc>
          <w:tcPr>
            <w:tcW w:w="3390" w:type="dxa"/>
          </w:tcPr>
          <w:p w14:paraId="2DA3A5AB" w14:textId="68B889A7" w:rsidR="00AA7AAA" w:rsidRPr="00FC5C72" w:rsidRDefault="00AA7AAA" w:rsidP="00785B18">
            <w:pPr>
              <w:jc w:val="both"/>
              <w:rPr>
                <w:b/>
                <w:bCs/>
                <w:sz w:val="24"/>
                <w:szCs w:val="24"/>
              </w:rPr>
            </w:pPr>
            <w:r w:rsidRPr="00FC5C72">
              <w:rPr>
                <w:b/>
                <w:bCs/>
                <w:sz w:val="24"/>
                <w:szCs w:val="24"/>
              </w:rPr>
              <w:t>გამოყენების სქემა</w:t>
            </w:r>
          </w:p>
        </w:tc>
      </w:tr>
      <w:tr w:rsidR="00FC5C72" w:rsidRPr="00FC5C72" w14:paraId="7C89DA38" w14:textId="77777777" w:rsidTr="00AA7AAA">
        <w:trPr>
          <w:trHeight w:val="388"/>
        </w:trPr>
        <w:tc>
          <w:tcPr>
            <w:tcW w:w="3390" w:type="dxa"/>
          </w:tcPr>
          <w:p w14:paraId="60A60D9A" w14:textId="77C466E3" w:rsidR="00AA7AAA" w:rsidRPr="00FC5C72" w:rsidRDefault="00AA7AAA" w:rsidP="00785B18">
            <w:pPr>
              <w:jc w:val="both"/>
              <w:rPr>
                <w:sz w:val="24"/>
                <w:szCs w:val="24"/>
              </w:rPr>
            </w:pPr>
            <w:r w:rsidRPr="00FC5C72">
              <w:rPr>
                <w:sz w:val="24"/>
                <w:szCs w:val="24"/>
              </w:rPr>
              <w:t>6-დან &lt;10,5 კგ</w:t>
            </w:r>
          </w:p>
        </w:tc>
        <w:tc>
          <w:tcPr>
            <w:tcW w:w="3390" w:type="dxa"/>
          </w:tcPr>
          <w:p w14:paraId="5D64BBEA" w14:textId="14451C90" w:rsidR="00AA7AAA" w:rsidRPr="00FC5C72" w:rsidRDefault="00AA7AAA" w:rsidP="00785B18">
            <w:pPr>
              <w:jc w:val="both"/>
              <w:rPr>
                <w:sz w:val="24"/>
                <w:szCs w:val="24"/>
              </w:rPr>
            </w:pPr>
            <w:r w:rsidRPr="00FC5C72">
              <w:rPr>
                <w:sz w:val="24"/>
                <w:szCs w:val="24"/>
              </w:rPr>
              <w:t>0,5 მგ ორჯერ დღე-ღამეში</w:t>
            </w:r>
          </w:p>
        </w:tc>
      </w:tr>
      <w:tr w:rsidR="00FC5C72" w:rsidRPr="00FC5C72" w14:paraId="3FEA9B3C" w14:textId="77777777" w:rsidTr="00AA7AAA">
        <w:trPr>
          <w:trHeight w:val="388"/>
        </w:trPr>
        <w:tc>
          <w:tcPr>
            <w:tcW w:w="3390" w:type="dxa"/>
          </w:tcPr>
          <w:p w14:paraId="5B9DAC37" w14:textId="7FBCB145" w:rsidR="00AA7AAA" w:rsidRPr="00FC5C72" w:rsidRDefault="00AA7AAA" w:rsidP="00785B18">
            <w:pPr>
              <w:jc w:val="both"/>
              <w:rPr>
                <w:sz w:val="24"/>
                <w:szCs w:val="24"/>
              </w:rPr>
            </w:pPr>
            <w:r w:rsidRPr="00FC5C72">
              <w:rPr>
                <w:sz w:val="24"/>
                <w:szCs w:val="24"/>
              </w:rPr>
              <w:t>10,5-დან &lt;18 კგ</w:t>
            </w:r>
          </w:p>
        </w:tc>
        <w:tc>
          <w:tcPr>
            <w:tcW w:w="3390" w:type="dxa"/>
          </w:tcPr>
          <w:p w14:paraId="4AE4A068" w14:textId="1127AA10" w:rsidR="00AA7AAA" w:rsidRPr="00FC5C72" w:rsidRDefault="00AA7AAA" w:rsidP="00785B18">
            <w:pPr>
              <w:jc w:val="both"/>
              <w:rPr>
                <w:sz w:val="24"/>
                <w:szCs w:val="24"/>
              </w:rPr>
            </w:pPr>
            <w:r w:rsidRPr="00FC5C72">
              <w:rPr>
                <w:sz w:val="24"/>
                <w:szCs w:val="24"/>
              </w:rPr>
              <w:t>1 მგ ორჯერ დღე-ღამეში</w:t>
            </w:r>
          </w:p>
        </w:tc>
      </w:tr>
      <w:tr w:rsidR="00FC5C72" w:rsidRPr="00FC5C72" w14:paraId="4A9BD313" w14:textId="77777777" w:rsidTr="00AA7AAA">
        <w:trPr>
          <w:trHeight w:val="388"/>
        </w:trPr>
        <w:tc>
          <w:tcPr>
            <w:tcW w:w="3390" w:type="dxa"/>
          </w:tcPr>
          <w:p w14:paraId="1C948707" w14:textId="2B7D23E4" w:rsidR="00AA7AAA" w:rsidRPr="00FC5C72" w:rsidRDefault="00AA7AAA" w:rsidP="00785B18">
            <w:pPr>
              <w:jc w:val="both"/>
              <w:rPr>
                <w:sz w:val="24"/>
                <w:szCs w:val="24"/>
              </w:rPr>
            </w:pPr>
            <w:r w:rsidRPr="00FC5C72">
              <w:rPr>
                <w:sz w:val="24"/>
                <w:szCs w:val="24"/>
              </w:rPr>
              <w:t>18-დან &lt;25 კგ</w:t>
            </w:r>
          </w:p>
        </w:tc>
        <w:tc>
          <w:tcPr>
            <w:tcW w:w="3390" w:type="dxa"/>
          </w:tcPr>
          <w:p w14:paraId="090CC986" w14:textId="168F12F9" w:rsidR="00AA7AAA" w:rsidRPr="00FC5C72" w:rsidRDefault="00AA7AAA" w:rsidP="00785B18">
            <w:pPr>
              <w:jc w:val="both"/>
              <w:rPr>
                <w:sz w:val="24"/>
                <w:szCs w:val="24"/>
              </w:rPr>
            </w:pPr>
            <w:r w:rsidRPr="00FC5C72">
              <w:rPr>
                <w:sz w:val="24"/>
                <w:szCs w:val="24"/>
              </w:rPr>
              <w:t>1,5 მგ ორჯერ დღე-ღამეში</w:t>
            </w:r>
          </w:p>
        </w:tc>
      </w:tr>
      <w:tr w:rsidR="00FC5C72" w:rsidRPr="00FC5C72" w14:paraId="68EBBEC0" w14:textId="77777777" w:rsidTr="00AA7AAA">
        <w:trPr>
          <w:trHeight w:val="388"/>
        </w:trPr>
        <w:tc>
          <w:tcPr>
            <w:tcW w:w="3390" w:type="dxa"/>
          </w:tcPr>
          <w:p w14:paraId="72CBBAE9" w14:textId="386FCBE3" w:rsidR="00AA7AAA" w:rsidRPr="00FC5C72" w:rsidRDefault="00AA7AAA" w:rsidP="00785B18">
            <w:pPr>
              <w:jc w:val="both"/>
              <w:rPr>
                <w:sz w:val="24"/>
                <w:szCs w:val="24"/>
              </w:rPr>
            </w:pPr>
            <w:r w:rsidRPr="00FC5C72">
              <w:rPr>
                <w:sz w:val="24"/>
                <w:szCs w:val="24"/>
              </w:rPr>
              <w:t>25-დან &lt;35 კგ</w:t>
            </w:r>
          </w:p>
        </w:tc>
        <w:tc>
          <w:tcPr>
            <w:tcW w:w="3390" w:type="dxa"/>
          </w:tcPr>
          <w:p w14:paraId="0CCE7F06" w14:textId="3A5D11AD" w:rsidR="00AA7AAA" w:rsidRPr="00FC5C72" w:rsidRDefault="00AA7AAA" w:rsidP="00785B18">
            <w:pPr>
              <w:jc w:val="both"/>
              <w:rPr>
                <w:sz w:val="24"/>
                <w:szCs w:val="24"/>
              </w:rPr>
            </w:pPr>
            <w:r w:rsidRPr="00FC5C72">
              <w:rPr>
                <w:sz w:val="24"/>
                <w:szCs w:val="24"/>
              </w:rPr>
              <w:t>2 მგ ორჯერ დღე-ღამეში</w:t>
            </w:r>
          </w:p>
        </w:tc>
      </w:tr>
      <w:tr w:rsidR="00AA7AAA" w:rsidRPr="00FC5C72" w14:paraId="6E2056AE" w14:textId="77777777" w:rsidTr="00AA7AAA">
        <w:trPr>
          <w:trHeight w:val="388"/>
        </w:trPr>
        <w:tc>
          <w:tcPr>
            <w:tcW w:w="3390" w:type="dxa"/>
          </w:tcPr>
          <w:p w14:paraId="0280920D" w14:textId="3F9F6970" w:rsidR="00AA7AAA" w:rsidRPr="00FC5C72" w:rsidRDefault="00AA7AAA" w:rsidP="00785B18">
            <w:pPr>
              <w:jc w:val="both"/>
              <w:rPr>
                <w:sz w:val="24"/>
                <w:szCs w:val="24"/>
              </w:rPr>
            </w:pPr>
            <w:r w:rsidRPr="00FC5C72">
              <w:rPr>
                <w:sz w:val="24"/>
                <w:szCs w:val="24"/>
              </w:rPr>
              <w:t>35 კგ-დან</w:t>
            </w:r>
          </w:p>
        </w:tc>
        <w:tc>
          <w:tcPr>
            <w:tcW w:w="3390" w:type="dxa"/>
          </w:tcPr>
          <w:p w14:paraId="196FB931" w14:textId="4F4A6BAB" w:rsidR="00AA7AAA" w:rsidRPr="00FC5C72" w:rsidRDefault="00AA7AAA" w:rsidP="00785B18">
            <w:pPr>
              <w:jc w:val="both"/>
              <w:rPr>
                <w:sz w:val="24"/>
                <w:szCs w:val="24"/>
              </w:rPr>
            </w:pPr>
            <w:r w:rsidRPr="00FC5C72">
              <w:rPr>
                <w:sz w:val="24"/>
                <w:szCs w:val="24"/>
              </w:rPr>
              <w:t>2,5 მგ ორჯერ დღე-ღამეში</w:t>
            </w:r>
          </w:p>
        </w:tc>
      </w:tr>
    </w:tbl>
    <w:p w14:paraId="5FCE3AE7" w14:textId="7511573C" w:rsidR="00AA7AAA" w:rsidRPr="00FC5C72" w:rsidRDefault="00AA7AAA" w:rsidP="00785B18">
      <w:pPr>
        <w:spacing w:after="0" w:line="240" w:lineRule="auto"/>
        <w:jc w:val="both"/>
        <w:rPr>
          <w:b/>
          <w:bCs/>
          <w:sz w:val="24"/>
          <w:szCs w:val="24"/>
        </w:rPr>
      </w:pPr>
    </w:p>
    <w:p w14:paraId="3BEDD39D" w14:textId="6A6D999E" w:rsidR="00AA7AAA" w:rsidRPr="00FC5C72" w:rsidRDefault="00AA7AAA" w:rsidP="00785B18">
      <w:pPr>
        <w:spacing w:after="0" w:line="240" w:lineRule="auto"/>
        <w:jc w:val="both"/>
        <w:rPr>
          <w:sz w:val="24"/>
          <w:szCs w:val="24"/>
        </w:rPr>
      </w:pPr>
      <w:r w:rsidRPr="00FC5C72">
        <w:rPr>
          <w:sz w:val="24"/>
          <w:szCs w:val="24"/>
        </w:rPr>
        <w:t>ეფექტიანობის შეფასების ძირითად საბოლოო წერტილს წარმოადგენ</w:t>
      </w:r>
      <w:r w:rsidR="00332CB8" w:rsidRPr="00FC5C72">
        <w:rPr>
          <w:sz w:val="24"/>
          <w:szCs w:val="24"/>
        </w:rPr>
        <w:t>და</w:t>
      </w:r>
      <w:r w:rsidRPr="00FC5C72">
        <w:rPr>
          <w:sz w:val="24"/>
          <w:szCs w:val="24"/>
        </w:rPr>
        <w:t xml:space="preserve"> ღრმა ვენების დადასტურებული არალეტალური თრომბოზის (როგორც სიმპტომებით, ასევე მათ გარეშე მიმდინარე), ფილტვის არტერიის თრომბოემბოლიის, თავის ტვინის ვენური სინუსის თრომბოზის</w:t>
      </w:r>
      <w:r w:rsidR="00247ED7" w:rsidRPr="00FC5C72">
        <w:rPr>
          <w:sz w:val="24"/>
          <w:szCs w:val="24"/>
        </w:rPr>
        <w:t xml:space="preserve"> და ვენური თრომბოემბოლიის შედეგად სიკვდილის</w:t>
      </w:r>
      <w:r w:rsidRPr="00FC5C72">
        <w:rPr>
          <w:sz w:val="24"/>
          <w:szCs w:val="24"/>
        </w:rPr>
        <w:t xml:space="preserve"> განვითარება</w:t>
      </w:r>
      <w:r w:rsidR="00247ED7" w:rsidRPr="00FC5C72">
        <w:rPr>
          <w:sz w:val="24"/>
          <w:szCs w:val="24"/>
        </w:rPr>
        <w:t>. ეფექტიანობის შეფასების ძირი</w:t>
      </w:r>
      <w:r w:rsidR="00332CB8" w:rsidRPr="00FC5C72">
        <w:rPr>
          <w:sz w:val="24"/>
          <w:szCs w:val="24"/>
        </w:rPr>
        <w:t>თ</w:t>
      </w:r>
      <w:r w:rsidR="00247ED7" w:rsidRPr="00FC5C72">
        <w:rPr>
          <w:sz w:val="24"/>
          <w:szCs w:val="24"/>
        </w:rPr>
        <w:t xml:space="preserve">ადი საბოლოო წერტილით გათვალისწინებული მოვლენების განვითარების სიხშირე შეადგენდა 31-ს (12,1%) აპიქსაბანის გამოყენების ჯგუფში და 45-ს (17,6%) სტანდარტული მკურნალობის ჯგუფში. ფარდობითი რისკის შემცირებამ არ მიაღწია მნიშვნელოვან დონეს. </w:t>
      </w:r>
    </w:p>
    <w:p w14:paraId="3FE9CDE7" w14:textId="078CFF99" w:rsidR="00247ED7" w:rsidRPr="00FC5C72" w:rsidRDefault="00247ED7" w:rsidP="00785B18">
      <w:pPr>
        <w:spacing w:after="0" w:line="240" w:lineRule="auto"/>
        <w:jc w:val="both"/>
        <w:rPr>
          <w:sz w:val="24"/>
          <w:szCs w:val="24"/>
        </w:rPr>
      </w:pPr>
    </w:p>
    <w:p w14:paraId="47363A8B" w14:textId="6CE6995B" w:rsidR="00247ED7" w:rsidRPr="00FC5C72" w:rsidRDefault="00E33234" w:rsidP="00785B18">
      <w:pPr>
        <w:spacing w:after="0" w:line="240" w:lineRule="auto"/>
        <w:jc w:val="both"/>
        <w:rPr>
          <w:sz w:val="24"/>
          <w:szCs w:val="24"/>
        </w:rPr>
      </w:pPr>
      <w:r w:rsidRPr="00FC5C72">
        <w:rPr>
          <w:sz w:val="24"/>
          <w:szCs w:val="24"/>
        </w:rPr>
        <w:t>უსაფ</w:t>
      </w:r>
      <w:r w:rsidR="00553C62" w:rsidRPr="00FC5C72">
        <w:rPr>
          <w:sz w:val="24"/>
          <w:szCs w:val="24"/>
        </w:rPr>
        <w:t>რთ</w:t>
      </w:r>
      <w:r w:rsidRPr="00FC5C72">
        <w:rPr>
          <w:sz w:val="24"/>
          <w:szCs w:val="24"/>
        </w:rPr>
        <w:t xml:space="preserve">ხოების შეფასების საბოლოო წერტილები დადასტურებული იყო </w:t>
      </w:r>
      <w:r w:rsidRPr="00FC5C72">
        <w:rPr>
          <w:sz w:val="24"/>
          <w:szCs w:val="24"/>
          <w:lang w:val="en-US"/>
        </w:rPr>
        <w:t>ISTH</w:t>
      </w:r>
      <w:r w:rsidRPr="00FC5C72">
        <w:rPr>
          <w:sz w:val="24"/>
          <w:szCs w:val="24"/>
        </w:rPr>
        <w:t xml:space="preserve"> კრიტერიუმების შესაბამისად. უსაფრთხოების შეფ</w:t>
      </w:r>
      <w:r w:rsidR="0015295F" w:rsidRPr="00FC5C72">
        <w:rPr>
          <w:sz w:val="24"/>
          <w:szCs w:val="24"/>
        </w:rPr>
        <w:t>ა</w:t>
      </w:r>
      <w:r w:rsidRPr="00FC5C72">
        <w:rPr>
          <w:sz w:val="24"/>
          <w:szCs w:val="24"/>
        </w:rPr>
        <w:t>სების ძირითადი საბოლოო წერტილი, მნიშვნელოვანი სისხლდენა, აღინიშნა პაციენტების 0,8% მკურნალობის თითოეულ ჯგუფში. კლინიკურად მნიშვნელოვანი მცირე სისხლდენა განვითარდა 11 პაციენტში (4,3%) აპიქსაბანის გამოყენების ჯგუფში და 3 პაციენტში (1,2%) სტანდარტული მკურნალობის ჯგუფში. ყველაზე ხშირად რეგისტრირებული კლინიკურად მნიშვნელოვანი მცირე სისხლდენა, რომელიც მიუთი</w:t>
      </w:r>
      <w:r w:rsidR="0015295F" w:rsidRPr="00FC5C72">
        <w:rPr>
          <w:sz w:val="24"/>
          <w:szCs w:val="24"/>
        </w:rPr>
        <w:t>თ</w:t>
      </w:r>
      <w:r w:rsidRPr="00FC5C72">
        <w:rPr>
          <w:sz w:val="24"/>
          <w:szCs w:val="24"/>
        </w:rPr>
        <w:t xml:space="preserve">ებდა მკურნალობის მეთოდებს შორის სხვაობაზე, იყო მსუბუქიდან საშუალო ხარისხის სიმძიმის სისხლდენა ცხვირიდან. მცირე სისხლდენები განუვითარდა 37 პაციენტს აპიქსაბანის გამოყენების ჯგუფში (14,5%) და 20 პაციენტს (7,8%) სტანდარტული მკურნალობის ჯგუფში. </w:t>
      </w:r>
    </w:p>
    <w:p w14:paraId="729B22CB" w14:textId="4492B730" w:rsidR="00E33234" w:rsidRPr="00FC5C72" w:rsidRDefault="00E33234" w:rsidP="00785B18">
      <w:pPr>
        <w:spacing w:after="0" w:line="240" w:lineRule="auto"/>
        <w:jc w:val="both"/>
        <w:rPr>
          <w:sz w:val="24"/>
          <w:szCs w:val="24"/>
        </w:rPr>
      </w:pPr>
    </w:p>
    <w:p w14:paraId="4B8A8693" w14:textId="76289BBC" w:rsidR="00E33234" w:rsidRPr="00FC5C72" w:rsidRDefault="007F3755" w:rsidP="00785B18">
      <w:pPr>
        <w:spacing w:after="0" w:line="240" w:lineRule="auto"/>
        <w:jc w:val="both"/>
        <w:rPr>
          <w:i/>
          <w:iCs/>
          <w:sz w:val="24"/>
          <w:szCs w:val="24"/>
          <w:u w:val="single"/>
        </w:rPr>
      </w:pPr>
      <w:r w:rsidRPr="00FC5C72">
        <w:rPr>
          <w:i/>
          <w:iCs/>
          <w:sz w:val="24"/>
          <w:szCs w:val="24"/>
          <w:u w:val="single"/>
        </w:rPr>
        <w:t>თრომბოემბოლიების (თე) პროფილაქტიკა ბავშვთა ასაკის პაციენტებში გულის თანდაყოლილი ან შეძენილი დაავადებებით</w:t>
      </w:r>
    </w:p>
    <w:p w14:paraId="00E53860" w14:textId="168B604D" w:rsidR="007F3755" w:rsidRPr="00FC5C72" w:rsidRDefault="007F3755" w:rsidP="00785B18">
      <w:pPr>
        <w:spacing w:after="0" w:line="240" w:lineRule="auto"/>
        <w:jc w:val="both"/>
        <w:rPr>
          <w:sz w:val="24"/>
          <w:szCs w:val="24"/>
        </w:rPr>
      </w:pPr>
      <w:r w:rsidRPr="00FC5C72">
        <w:rPr>
          <w:sz w:val="24"/>
          <w:szCs w:val="24"/>
        </w:rPr>
        <w:t xml:space="preserve">კვლევა </w:t>
      </w:r>
      <w:r w:rsidRPr="00FC5C72">
        <w:rPr>
          <w:rFonts w:ascii="Times New Roman" w:hAnsi="Times New Roman"/>
          <w:sz w:val="24"/>
          <w:szCs w:val="24"/>
          <w:lang w:val="uz-Cyrl-UZ"/>
        </w:rPr>
        <w:t>SAXOPHONE</w:t>
      </w:r>
      <w:r w:rsidRPr="00FC5C72">
        <w:rPr>
          <w:sz w:val="24"/>
          <w:szCs w:val="24"/>
        </w:rPr>
        <w:t xml:space="preserve"> წარმოადგენდა ღია მულტიცენტრულ შედარებით კვლევას რანდომიზაციით 2:1 თანაფარდობით, 28 დღიდან &lt;18 წლამდე ასაკის გულის თანდაყოლილი ან შეძენილი დაავადების მქონე პაციენტების მონაწილეობით, რომლებსაც ესაჭიროებათ თერაპია ანტიკოაგულანტებით. პაციენტები იღებდნენ აპიქსაბანს ან თრომბოემბოლიის პროფილაქტიკაზე მიმართულ სტანდარტულ მკურნალობას, </w:t>
      </w:r>
      <w:r w:rsidRPr="00FC5C72">
        <w:rPr>
          <w:sz w:val="24"/>
          <w:szCs w:val="24"/>
          <w:lang w:val="en-US"/>
        </w:rPr>
        <w:t xml:space="preserve">K </w:t>
      </w:r>
      <w:r w:rsidRPr="00FC5C72">
        <w:rPr>
          <w:sz w:val="24"/>
          <w:szCs w:val="24"/>
        </w:rPr>
        <w:t xml:space="preserve">ვიტამინის ანტაგონისტის ან დაბალმოლეკულური ჰეპარინის გამოყენებით. აპიქსაბანს იყენებდნენ ფიქსირებული დოზით, წონის მიხედვით, მოზრდილების კონცენტრაციის მსგავსი კონცენტრაციის მისაღწევად შერჩეული რეჟიმით, რომლებიც იღებდნენ 5 მგ დოზას ორჯერ დღე-ღამეში (იხ. ცხრილი 13). აპიქსაბანის მიწოდება ხდებოდა 5 მგ და 0,5 მგ დოზირების ტაბლეტების ფორმით, ასევე 0,4 მგ/მლ დოზირების პერორალური გამოყენების ხსნარის ფორმით.  აპიქსაბანის ჯგუფში პრეპარატის გამოყენების საშუალო ხანგრძლივობა  შეადგენდა 331 დღეს. </w:t>
      </w:r>
    </w:p>
    <w:p w14:paraId="74B058C5" w14:textId="77777777" w:rsidR="007F3755" w:rsidRPr="00FC5C72" w:rsidRDefault="007F3755" w:rsidP="00785B18">
      <w:pPr>
        <w:spacing w:after="0" w:line="240" w:lineRule="auto"/>
        <w:jc w:val="both"/>
        <w:rPr>
          <w:sz w:val="24"/>
          <w:szCs w:val="24"/>
        </w:rPr>
      </w:pPr>
    </w:p>
    <w:p w14:paraId="2C4A699E" w14:textId="7BA453BE" w:rsidR="007F3755" w:rsidRPr="00FC5C72" w:rsidRDefault="007F3755" w:rsidP="00785B18">
      <w:pPr>
        <w:spacing w:after="0" w:line="240" w:lineRule="auto"/>
        <w:jc w:val="both"/>
        <w:rPr>
          <w:b/>
          <w:bCs/>
          <w:sz w:val="24"/>
          <w:szCs w:val="24"/>
          <w:lang w:eastAsia="en-GB"/>
        </w:rPr>
      </w:pPr>
      <w:r w:rsidRPr="00FC5C72">
        <w:rPr>
          <w:b/>
          <w:bCs/>
          <w:sz w:val="24"/>
          <w:szCs w:val="24"/>
        </w:rPr>
        <w:t xml:space="preserve">ცხრილი 13. აპიქსაბანის დოზირების რეჟიმი კვლევის </w:t>
      </w:r>
      <w:r w:rsidRPr="00FC5C72">
        <w:rPr>
          <w:rFonts w:ascii="Times New Roman" w:eastAsia="Yu Gothic" w:hAnsi="Times New Roman"/>
          <w:b/>
          <w:bCs/>
          <w:sz w:val="24"/>
          <w:szCs w:val="24"/>
          <w:lang w:val="uz-Cyrl-UZ" w:eastAsia="en-GB"/>
        </w:rPr>
        <w:t>SAXOPHONE</w:t>
      </w:r>
      <w:r w:rsidRPr="00FC5C72">
        <w:rPr>
          <w:b/>
          <w:bCs/>
          <w:sz w:val="24"/>
          <w:szCs w:val="24"/>
          <w:lang w:eastAsia="en-GB"/>
        </w:rPr>
        <w:t xml:space="preserve"> ფარგლებში</w:t>
      </w:r>
    </w:p>
    <w:p w14:paraId="3DC28E91" w14:textId="77777777" w:rsidR="007F3755" w:rsidRPr="00FC5C72" w:rsidRDefault="007F3755" w:rsidP="00785B18">
      <w:pPr>
        <w:spacing w:after="0" w:line="240" w:lineRule="auto"/>
        <w:jc w:val="both"/>
        <w:rPr>
          <w:b/>
          <w:bCs/>
          <w:sz w:val="24"/>
          <w:szCs w:val="24"/>
          <w:lang w:eastAsia="en-GB"/>
        </w:rPr>
      </w:pPr>
    </w:p>
    <w:tbl>
      <w:tblPr>
        <w:tblStyle w:val="TableGrid"/>
        <w:tblW w:w="0" w:type="auto"/>
        <w:tblLook w:val="04A0" w:firstRow="1" w:lastRow="0" w:firstColumn="1" w:lastColumn="0" w:noHBand="0" w:noVBand="1"/>
      </w:tblPr>
      <w:tblGrid>
        <w:gridCol w:w="3390"/>
        <w:gridCol w:w="3390"/>
      </w:tblGrid>
      <w:tr w:rsidR="00FC5C72" w:rsidRPr="00FC5C72" w14:paraId="59C53092" w14:textId="77777777" w:rsidTr="0041684A">
        <w:trPr>
          <w:trHeight w:val="388"/>
        </w:trPr>
        <w:tc>
          <w:tcPr>
            <w:tcW w:w="3390" w:type="dxa"/>
          </w:tcPr>
          <w:p w14:paraId="6BE4250B" w14:textId="77777777" w:rsidR="007F3755" w:rsidRPr="00FC5C72" w:rsidRDefault="007F3755" w:rsidP="00785B18">
            <w:pPr>
              <w:jc w:val="both"/>
              <w:rPr>
                <w:b/>
                <w:bCs/>
                <w:sz w:val="24"/>
                <w:szCs w:val="24"/>
              </w:rPr>
            </w:pPr>
            <w:r w:rsidRPr="00FC5C72">
              <w:rPr>
                <w:b/>
                <w:bCs/>
                <w:sz w:val="24"/>
                <w:szCs w:val="24"/>
              </w:rPr>
              <w:t>სხეულის მასის დიაპაზონი</w:t>
            </w:r>
          </w:p>
        </w:tc>
        <w:tc>
          <w:tcPr>
            <w:tcW w:w="3390" w:type="dxa"/>
          </w:tcPr>
          <w:p w14:paraId="2A6E0511" w14:textId="77777777" w:rsidR="007F3755" w:rsidRPr="00FC5C72" w:rsidRDefault="007F3755" w:rsidP="00785B18">
            <w:pPr>
              <w:jc w:val="both"/>
              <w:rPr>
                <w:b/>
                <w:bCs/>
                <w:sz w:val="24"/>
                <w:szCs w:val="24"/>
              </w:rPr>
            </w:pPr>
            <w:r w:rsidRPr="00FC5C72">
              <w:rPr>
                <w:b/>
                <w:bCs/>
                <w:sz w:val="24"/>
                <w:szCs w:val="24"/>
              </w:rPr>
              <w:t>გამოყენების სქემა</w:t>
            </w:r>
          </w:p>
        </w:tc>
      </w:tr>
      <w:tr w:rsidR="00FC5C72" w:rsidRPr="00FC5C72" w14:paraId="16AB7D51" w14:textId="77777777" w:rsidTr="0041684A">
        <w:trPr>
          <w:trHeight w:val="388"/>
        </w:trPr>
        <w:tc>
          <w:tcPr>
            <w:tcW w:w="3390" w:type="dxa"/>
          </w:tcPr>
          <w:p w14:paraId="7CE5313E" w14:textId="703567BF" w:rsidR="007F3755" w:rsidRPr="00FC5C72" w:rsidRDefault="007F3755" w:rsidP="00785B18">
            <w:pPr>
              <w:jc w:val="both"/>
              <w:rPr>
                <w:sz w:val="24"/>
                <w:szCs w:val="24"/>
              </w:rPr>
            </w:pPr>
            <w:r w:rsidRPr="00FC5C72">
              <w:rPr>
                <w:sz w:val="24"/>
                <w:szCs w:val="24"/>
              </w:rPr>
              <w:t>6-დან &lt;9 კგ</w:t>
            </w:r>
          </w:p>
        </w:tc>
        <w:tc>
          <w:tcPr>
            <w:tcW w:w="3390" w:type="dxa"/>
          </w:tcPr>
          <w:p w14:paraId="7F9F206A" w14:textId="06A436E1" w:rsidR="007F3755" w:rsidRPr="00FC5C72" w:rsidRDefault="007F3755" w:rsidP="00785B18">
            <w:pPr>
              <w:jc w:val="both"/>
              <w:rPr>
                <w:sz w:val="24"/>
                <w:szCs w:val="24"/>
              </w:rPr>
            </w:pPr>
            <w:r w:rsidRPr="00FC5C72">
              <w:rPr>
                <w:sz w:val="24"/>
                <w:szCs w:val="24"/>
              </w:rPr>
              <w:t>1 მგ ორჯერ დღე-ღამეში</w:t>
            </w:r>
          </w:p>
        </w:tc>
      </w:tr>
      <w:tr w:rsidR="00FC5C72" w:rsidRPr="00FC5C72" w14:paraId="0A76D473" w14:textId="77777777" w:rsidTr="0041684A">
        <w:trPr>
          <w:trHeight w:val="388"/>
        </w:trPr>
        <w:tc>
          <w:tcPr>
            <w:tcW w:w="3390" w:type="dxa"/>
          </w:tcPr>
          <w:p w14:paraId="4BF35B2D" w14:textId="7E17E41F" w:rsidR="007F3755" w:rsidRPr="00FC5C72" w:rsidRDefault="007F3755" w:rsidP="00785B18">
            <w:pPr>
              <w:jc w:val="both"/>
              <w:rPr>
                <w:sz w:val="24"/>
                <w:szCs w:val="24"/>
              </w:rPr>
            </w:pPr>
            <w:r w:rsidRPr="00FC5C72">
              <w:rPr>
                <w:sz w:val="24"/>
                <w:szCs w:val="24"/>
              </w:rPr>
              <w:t>9-დან &lt;12 კგ</w:t>
            </w:r>
          </w:p>
        </w:tc>
        <w:tc>
          <w:tcPr>
            <w:tcW w:w="3390" w:type="dxa"/>
          </w:tcPr>
          <w:p w14:paraId="51FDA384" w14:textId="50B6A98F" w:rsidR="007F3755" w:rsidRPr="00FC5C72" w:rsidRDefault="007F3755" w:rsidP="00785B18">
            <w:pPr>
              <w:jc w:val="both"/>
              <w:rPr>
                <w:sz w:val="24"/>
                <w:szCs w:val="24"/>
              </w:rPr>
            </w:pPr>
            <w:r w:rsidRPr="00FC5C72">
              <w:rPr>
                <w:sz w:val="24"/>
                <w:szCs w:val="24"/>
              </w:rPr>
              <w:t>1,5 მგ ორჯერ დღე-ღამეში</w:t>
            </w:r>
          </w:p>
        </w:tc>
      </w:tr>
      <w:tr w:rsidR="00FC5C72" w:rsidRPr="00FC5C72" w14:paraId="57E4E3CE" w14:textId="77777777" w:rsidTr="0041684A">
        <w:trPr>
          <w:trHeight w:val="388"/>
        </w:trPr>
        <w:tc>
          <w:tcPr>
            <w:tcW w:w="3390" w:type="dxa"/>
          </w:tcPr>
          <w:p w14:paraId="0BC0FCEC" w14:textId="01264824" w:rsidR="007F3755" w:rsidRPr="00FC5C72" w:rsidRDefault="007F3755" w:rsidP="00785B18">
            <w:pPr>
              <w:jc w:val="both"/>
              <w:rPr>
                <w:sz w:val="24"/>
                <w:szCs w:val="24"/>
              </w:rPr>
            </w:pPr>
            <w:r w:rsidRPr="00FC5C72">
              <w:rPr>
                <w:sz w:val="24"/>
                <w:szCs w:val="24"/>
              </w:rPr>
              <w:t>12-დან &lt;18 კგ</w:t>
            </w:r>
          </w:p>
        </w:tc>
        <w:tc>
          <w:tcPr>
            <w:tcW w:w="3390" w:type="dxa"/>
          </w:tcPr>
          <w:p w14:paraId="05B3A59B" w14:textId="0142075C" w:rsidR="007F3755" w:rsidRPr="00FC5C72" w:rsidRDefault="007F3755" w:rsidP="00785B18">
            <w:pPr>
              <w:jc w:val="both"/>
              <w:rPr>
                <w:sz w:val="24"/>
                <w:szCs w:val="24"/>
              </w:rPr>
            </w:pPr>
            <w:r w:rsidRPr="00FC5C72">
              <w:rPr>
                <w:sz w:val="24"/>
                <w:szCs w:val="24"/>
              </w:rPr>
              <w:t>2 მგ ორჯერ დღე-ღამეში</w:t>
            </w:r>
          </w:p>
        </w:tc>
      </w:tr>
      <w:tr w:rsidR="00FC5C72" w:rsidRPr="00FC5C72" w14:paraId="44569B1D" w14:textId="77777777" w:rsidTr="0041684A">
        <w:trPr>
          <w:trHeight w:val="388"/>
        </w:trPr>
        <w:tc>
          <w:tcPr>
            <w:tcW w:w="3390" w:type="dxa"/>
          </w:tcPr>
          <w:p w14:paraId="03042E08" w14:textId="078086A3" w:rsidR="007F3755" w:rsidRPr="00FC5C72" w:rsidRDefault="007F3755" w:rsidP="00785B18">
            <w:pPr>
              <w:jc w:val="both"/>
              <w:rPr>
                <w:sz w:val="24"/>
                <w:szCs w:val="24"/>
              </w:rPr>
            </w:pPr>
            <w:r w:rsidRPr="00FC5C72">
              <w:rPr>
                <w:sz w:val="24"/>
                <w:szCs w:val="24"/>
              </w:rPr>
              <w:t>18-დან &lt;25 კგ</w:t>
            </w:r>
          </w:p>
        </w:tc>
        <w:tc>
          <w:tcPr>
            <w:tcW w:w="3390" w:type="dxa"/>
          </w:tcPr>
          <w:p w14:paraId="5266945D" w14:textId="3DCA907D" w:rsidR="007F3755" w:rsidRPr="00FC5C72" w:rsidRDefault="007F3755" w:rsidP="00785B18">
            <w:pPr>
              <w:jc w:val="both"/>
              <w:rPr>
                <w:sz w:val="24"/>
                <w:szCs w:val="24"/>
              </w:rPr>
            </w:pPr>
            <w:r w:rsidRPr="00FC5C72">
              <w:rPr>
                <w:sz w:val="24"/>
                <w:szCs w:val="24"/>
              </w:rPr>
              <w:t>3 მგ ორჯერ დღე-ღამეში</w:t>
            </w:r>
          </w:p>
        </w:tc>
      </w:tr>
      <w:tr w:rsidR="00FC5C72" w:rsidRPr="00FC5C72" w14:paraId="6A582ABF" w14:textId="77777777" w:rsidTr="0041684A">
        <w:trPr>
          <w:trHeight w:val="388"/>
        </w:trPr>
        <w:tc>
          <w:tcPr>
            <w:tcW w:w="3390" w:type="dxa"/>
          </w:tcPr>
          <w:p w14:paraId="100F1456" w14:textId="4404CEC7" w:rsidR="007F3755" w:rsidRPr="00FC5C72" w:rsidRDefault="007F3755" w:rsidP="00785B18">
            <w:pPr>
              <w:jc w:val="both"/>
              <w:rPr>
                <w:sz w:val="24"/>
                <w:szCs w:val="24"/>
              </w:rPr>
            </w:pPr>
            <w:r w:rsidRPr="00FC5C72">
              <w:rPr>
                <w:sz w:val="24"/>
                <w:szCs w:val="24"/>
              </w:rPr>
              <w:t>25-დან &lt;35 კგ</w:t>
            </w:r>
          </w:p>
        </w:tc>
        <w:tc>
          <w:tcPr>
            <w:tcW w:w="3390" w:type="dxa"/>
          </w:tcPr>
          <w:p w14:paraId="2D8BE18A" w14:textId="3D687B8C" w:rsidR="007F3755" w:rsidRPr="00FC5C72" w:rsidRDefault="007F3755" w:rsidP="00785B18">
            <w:pPr>
              <w:jc w:val="both"/>
              <w:rPr>
                <w:sz w:val="24"/>
                <w:szCs w:val="24"/>
              </w:rPr>
            </w:pPr>
            <w:r w:rsidRPr="00FC5C72">
              <w:rPr>
                <w:sz w:val="24"/>
                <w:szCs w:val="24"/>
              </w:rPr>
              <w:t>4 მგ ორჯერ დღე-ღამეში</w:t>
            </w:r>
          </w:p>
        </w:tc>
      </w:tr>
      <w:tr w:rsidR="007F3755" w:rsidRPr="00FC5C72" w14:paraId="157C60A9" w14:textId="77777777" w:rsidTr="0041684A">
        <w:trPr>
          <w:trHeight w:val="388"/>
        </w:trPr>
        <w:tc>
          <w:tcPr>
            <w:tcW w:w="3390" w:type="dxa"/>
          </w:tcPr>
          <w:p w14:paraId="49898485" w14:textId="6C586DAB" w:rsidR="007F3755" w:rsidRPr="00FC5C72" w:rsidRDefault="007F3755" w:rsidP="00785B18">
            <w:pPr>
              <w:jc w:val="both"/>
              <w:rPr>
                <w:sz w:val="24"/>
                <w:szCs w:val="24"/>
              </w:rPr>
            </w:pPr>
            <w:r w:rsidRPr="00FC5C72">
              <w:rPr>
                <w:sz w:val="24"/>
                <w:szCs w:val="24"/>
                <w:u w:val="single"/>
              </w:rPr>
              <w:t>&gt;</w:t>
            </w:r>
            <w:r w:rsidRPr="00FC5C72">
              <w:rPr>
                <w:sz w:val="24"/>
                <w:szCs w:val="24"/>
              </w:rPr>
              <w:t>35 კგ-დან</w:t>
            </w:r>
          </w:p>
        </w:tc>
        <w:tc>
          <w:tcPr>
            <w:tcW w:w="3390" w:type="dxa"/>
          </w:tcPr>
          <w:p w14:paraId="3BADCC1E" w14:textId="5D3E7F8F" w:rsidR="007F3755" w:rsidRPr="00FC5C72" w:rsidRDefault="007F3755" w:rsidP="00785B18">
            <w:pPr>
              <w:jc w:val="both"/>
              <w:rPr>
                <w:sz w:val="24"/>
                <w:szCs w:val="24"/>
              </w:rPr>
            </w:pPr>
            <w:r w:rsidRPr="00FC5C72">
              <w:rPr>
                <w:sz w:val="24"/>
                <w:szCs w:val="24"/>
              </w:rPr>
              <w:t>5 მგ ორჯერ დღე-ღამეში</w:t>
            </w:r>
          </w:p>
        </w:tc>
      </w:tr>
    </w:tbl>
    <w:p w14:paraId="5F94EAFD" w14:textId="77777777" w:rsidR="007F3755" w:rsidRPr="00FC5C72" w:rsidRDefault="007F3755" w:rsidP="00785B18">
      <w:pPr>
        <w:spacing w:after="0" w:line="240" w:lineRule="auto"/>
        <w:jc w:val="both"/>
        <w:rPr>
          <w:b/>
          <w:bCs/>
          <w:sz w:val="24"/>
          <w:szCs w:val="24"/>
        </w:rPr>
      </w:pPr>
    </w:p>
    <w:p w14:paraId="7752F8D5" w14:textId="4F9D0CA4" w:rsidR="007F3755" w:rsidRPr="00FC5C72" w:rsidRDefault="00553C62" w:rsidP="00785B18">
      <w:pPr>
        <w:spacing w:after="0" w:line="240" w:lineRule="auto"/>
        <w:jc w:val="both"/>
        <w:rPr>
          <w:sz w:val="24"/>
          <w:szCs w:val="24"/>
        </w:rPr>
      </w:pPr>
      <w:r w:rsidRPr="00FC5C72">
        <w:rPr>
          <w:sz w:val="24"/>
          <w:szCs w:val="24"/>
        </w:rPr>
        <w:t xml:space="preserve">უსაფრთხოების შეფასების ძირითადი საბოლოო წერტილი, </w:t>
      </w:r>
      <w:r w:rsidRPr="00FC5C72">
        <w:rPr>
          <w:sz w:val="24"/>
          <w:szCs w:val="24"/>
          <w:lang w:val="en-US"/>
        </w:rPr>
        <w:t>ISTH</w:t>
      </w:r>
      <w:r w:rsidRPr="00FC5C72">
        <w:rPr>
          <w:sz w:val="24"/>
          <w:szCs w:val="24"/>
        </w:rPr>
        <w:t xml:space="preserve"> კრიტერიუმებით დადასტურებული და განსაზღვრული მნიშვნელოვანი და კლინიკურად მნიშვნელოვანი სისხლდენა, აღინიშნა 126 პაციენტიდან 1-ში (0,8%) აპიქსაბანის გამოყენების ჯგუფში და 62 პაციენტიდან 3-ში (4,8%) სტანდარტული მკურნალობის ჯგუფში.  მოვლენების განვიტარების სიხშირე, რომლებიც წარმოადგენდა უსაფრთხოების შეფასების მეორად საბოლოო წერტილებს (დადასტურებული მნიშვნელოვანი და კლინიკურად მნიშვნელოვანი მცირე სისხლდენა, ასევე სისხლდენის ყველა მოვლენა), კვლევის ორივე ჯგუფში იყო მსგავსი. უსაფრთხოების შეფასების მეორადი საბოლოო წერტილი, რომელიც წარმოადგენს პრეპარატის გამოყენების შეწყვეტა არასასურველი მოვლენის, აუტანლობის ან სისხლდენის გამო, რეგისტრირებული იყო 7 პაციენტში </w:t>
      </w:r>
      <w:r w:rsidR="000A3ADE" w:rsidRPr="00FC5C72">
        <w:rPr>
          <w:sz w:val="24"/>
          <w:szCs w:val="24"/>
        </w:rPr>
        <w:t>(5,6%) აპიქსაბანის გამოყენების ჯგუფში და 1 პაციენტში (1,6%) სტანდარტული მკურნალობის ჯგუფში. ორივე ჯგუფში არ იყო თ</w:t>
      </w:r>
      <w:r w:rsidR="0015295F" w:rsidRPr="00FC5C72">
        <w:rPr>
          <w:sz w:val="24"/>
          <w:szCs w:val="24"/>
        </w:rPr>
        <w:t>რ</w:t>
      </w:r>
      <w:r w:rsidR="000A3ADE" w:rsidRPr="00FC5C72">
        <w:rPr>
          <w:sz w:val="24"/>
          <w:szCs w:val="24"/>
        </w:rPr>
        <w:t xml:space="preserve">ომბოემბოლიის განვითარების შემთხვევები. არცერთ ჯგუფში იყო სიკვდილის შემთხვევები. </w:t>
      </w:r>
    </w:p>
    <w:p w14:paraId="2137CAEC" w14:textId="747093CD" w:rsidR="000A3ADE" w:rsidRPr="00FC5C72" w:rsidRDefault="000A3ADE" w:rsidP="00785B18">
      <w:pPr>
        <w:spacing w:after="0" w:line="240" w:lineRule="auto"/>
        <w:jc w:val="both"/>
        <w:rPr>
          <w:sz w:val="24"/>
          <w:szCs w:val="24"/>
        </w:rPr>
      </w:pPr>
    </w:p>
    <w:p w14:paraId="1DE31809" w14:textId="30CCD59D" w:rsidR="000A3ADE" w:rsidRPr="00FC5C72" w:rsidRDefault="000A3ADE" w:rsidP="00785B18">
      <w:pPr>
        <w:spacing w:after="0" w:line="240" w:lineRule="auto"/>
        <w:jc w:val="both"/>
        <w:rPr>
          <w:sz w:val="24"/>
          <w:szCs w:val="24"/>
        </w:rPr>
      </w:pPr>
      <w:r w:rsidRPr="00FC5C72">
        <w:rPr>
          <w:sz w:val="24"/>
          <w:szCs w:val="24"/>
        </w:rPr>
        <w:t>ამ კვ</w:t>
      </w:r>
      <w:r w:rsidR="0015295F" w:rsidRPr="00FC5C72">
        <w:rPr>
          <w:sz w:val="24"/>
          <w:szCs w:val="24"/>
        </w:rPr>
        <w:t>ლ</w:t>
      </w:r>
      <w:r w:rsidRPr="00FC5C72">
        <w:rPr>
          <w:sz w:val="24"/>
          <w:szCs w:val="24"/>
        </w:rPr>
        <w:t>ე</w:t>
      </w:r>
      <w:r w:rsidR="0015295F" w:rsidRPr="00FC5C72">
        <w:rPr>
          <w:sz w:val="24"/>
          <w:szCs w:val="24"/>
        </w:rPr>
        <w:t>ვ</w:t>
      </w:r>
      <w:r w:rsidRPr="00FC5C72">
        <w:rPr>
          <w:sz w:val="24"/>
          <w:szCs w:val="24"/>
        </w:rPr>
        <w:t xml:space="preserve">ის დიზაინი იყო პროსპექტული იმისათვის, რომ შესაძლებელი ყოფილიყო ეფექტიანობისა და უსაფრთხოების აღწერა, ვინაიდან თრომბოემბოლიის და სისხლდენების განვითარების პროგნოზირებული სიხშირე ამ პოპულაციაში დაბალი იყო. ამ კვლევაში აღნიშნული თრომბოემბოლიის განვითარების დაბალი სიხშირის გამო, </w:t>
      </w:r>
      <w:r w:rsidR="00FB28C6" w:rsidRPr="00FC5C72">
        <w:rPr>
          <w:sz w:val="24"/>
          <w:szCs w:val="24"/>
        </w:rPr>
        <w:t xml:space="preserve">სარგებელისა და რისკის კონკრეტული თანაფარდობის დადგენა შეუძლებელი იყო. </w:t>
      </w:r>
    </w:p>
    <w:p w14:paraId="1C383092" w14:textId="77777777" w:rsidR="00FB28C6" w:rsidRPr="00FC5C72" w:rsidRDefault="00FB28C6" w:rsidP="00785B18">
      <w:pPr>
        <w:spacing w:after="0" w:line="240" w:lineRule="auto"/>
        <w:jc w:val="both"/>
        <w:rPr>
          <w:sz w:val="24"/>
          <w:szCs w:val="24"/>
        </w:rPr>
      </w:pPr>
    </w:p>
    <w:p w14:paraId="71F05E48" w14:textId="5BEE434D" w:rsidR="008757D6" w:rsidRPr="00FC5C72" w:rsidRDefault="008757D6" w:rsidP="00785B18">
      <w:pPr>
        <w:pStyle w:val="BMSBodyText"/>
        <w:spacing w:before="0" w:after="0" w:line="240" w:lineRule="auto"/>
        <w:contextualSpacing/>
        <w:rPr>
          <w:rFonts w:asciiTheme="minorHAnsi" w:hAnsiTheme="minorHAnsi"/>
          <w:noProof/>
          <w:color w:val="auto"/>
          <w:szCs w:val="24"/>
          <w:lang w:val="ka-GE"/>
        </w:rPr>
      </w:pPr>
      <w:r w:rsidRPr="00FC5C72">
        <w:rPr>
          <w:rFonts w:asciiTheme="minorHAnsi" w:hAnsiTheme="minorHAnsi"/>
          <w:noProof/>
          <w:color w:val="auto"/>
          <w:szCs w:val="24"/>
          <w:lang w:val="ka-GE"/>
        </w:rPr>
        <w:t xml:space="preserve">სამკურნალო საშუალებების ევროპულმა სააგენტომ </w:t>
      </w:r>
      <w:r w:rsidR="00FB28C6" w:rsidRPr="00FC5C72">
        <w:rPr>
          <w:rFonts w:asciiTheme="minorHAnsi" w:hAnsiTheme="minorHAnsi"/>
          <w:noProof/>
          <w:color w:val="auto"/>
          <w:szCs w:val="24"/>
          <w:lang w:val="ka-GE"/>
        </w:rPr>
        <w:t>გადაავადა</w:t>
      </w:r>
      <w:r w:rsidRPr="00FC5C72">
        <w:rPr>
          <w:rFonts w:asciiTheme="minorHAnsi" w:hAnsiTheme="minorHAnsi"/>
          <w:noProof/>
          <w:color w:val="auto"/>
          <w:szCs w:val="24"/>
          <w:lang w:val="ka-GE"/>
        </w:rPr>
        <w:t xml:space="preserve"> ვალდებულებ</w:t>
      </w:r>
      <w:r w:rsidR="00FB28C6" w:rsidRPr="00FC5C72">
        <w:rPr>
          <w:rFonts w:asciiTheme="minorHAnsi" w:hAnsiTheme="minorHAnsi"/>
          <w:noProof/>
          <w:color w:val="auto"/>
          <w:szCs w:val="24"/>
          <w:lang w:val="ka-GE"/>
        </w:rPr>
        <w:t>ის შესრულება</w:t>
      </w:r>
      <w:r w:rsidRPr="00FC5C72">
        <w:rPr>
          <w:rFonts w:asciiTheme="minorHAnsi" w:hAnsiTheme="minorHAnsi"/>
          <w:noProof/>
          <w:color w:val="auto"/>
          <w:szCs w:val="24"/>
          <w:lang w:val="ka-GE"/>
        </w:rPr>
        <w:t xml:space="preserve"> წარმოადგინოს  ელიქვისის</w:t>
      </w:r>
      <w:r w:rsidR="00FB28C6" w:rsidRPr="00FC5C72">
        <w:rPr>
          <w:rFonts w:asciiTheme="minorHAnsi" w:hAnsiTheme="minorHAnsi"/>
          <w:noProof/>
          <w:color w:val="auto"/>
          <w:szCs w:val="24"/>
          <w:lang w:val="ka-GE"/>
        </w:rPr>
        <w:t xml:space="preserve"> გამოყენების</w:t>
      </w:r>
      <w:r w:rsidRPr="00FC5C72">
        <w:rPr>
          <w:rFonts w:asciiTheme="minorHAnsi" w:hAnsiTheme="minorHAnsi"/>
          <w:noProof/>
          <w:color w:val="auto"/>
          <w:szCs w:val="24"/>
          <w:lang w:val="ka-GE"/>
        </w:rPr>
        <w:t xml:space="preserve"> კვლევების შედეგები ვენური ან არტერიული ემბოლიის </w:t>
      </w:r>
      <w:r w:rsidR="00FB28C6" w:rsidRPr="00FC5C72">
        <w:rPr>
          <w:rFonts w:asciiTheme="minorHAnsi" w:hAnsiTheme="minorHAnsi"/>
          <w:noProof/>
          <w:color w:val="auto"/>
          <w:szCs w:val="24"/>
          <w:lang w:val="ka-GE"/>
        </w:rPr>
        <w:t>და</w:t>
      </w:r>
      <w:r w:rsidRPr="00FC5C72">
        <w:rPr>
          <w:rFonts w:asciiTheme="minorHAnsi" w:hAnsiTheme="minorHAnsi"/>
          <w:noProof/>
          <w:color w:val="auto"/>
          <w:szCs w:val="24"/>
          <w:lang w:val="ka-GE"/>
        </w:rPr>
        <w:t xml:space="preserve"> თრომბოზის მქონე ბავშვთა ასაკის პაციენტების ერთ ან მეტ ქვეჯგუფში (ინფორმაცია ბავშვებში გამოყენების შესახებ იხ. პარაგრაფში “გამოყენების წესი და დოზები“).  </w:t>
      </w:r>
    </w:p>
    <w:p w14:paraId="79C41334" w14:textId="7221B3BD" w:rsidR="008757D6" w:rsidRPr="00FC5C72" w:rsidRDefault="008757D6" w:rsidP="00785B18">
      <w:pPr>
        <w:pStyle w:val="BMSBodyText"/>
        <w:spacing w:before="0" w:after="0" w:line="240" w:lineRule="auto"/>
        <w:contextualSpacing/>
        <w:rPr>
          <w:rFonts w:asciiTheme="minorHAnsi" w:hAnsiTheme="minorHAnsi"/>
          <w:noProof/>
          <w:color w:val="auto"/>
          <w:szCs w:val="24"/>
          <w:lang w:val="ka-GE"/>
        </w:rPr>
      </w:pPr>
    </w:p>
    <w:p w14:paraId="11F951A0" w14:textId="2533463B" w:rsidR="008757D6" w:rsidRPr="00FC5C72" w:rsidRDefault="008757D6" w:rsidP="00785B18">
      <w:pPr>
        <w:pStyle w:val="BMSBodyText"/>
        <w:spacing w:before="0" w:after="0" w:line="240" w:lineRule="auto"/>
        <w:contextualSpacing/>
        <w:rPr>
          <w:rFonts w:asciiTheme="minorHAnsi" w:hAnsiTheme="minorHAnsi"/>
          <w:b/>
          <w:bCs/>
          <w:i/>
          <w:iCs/>
          <w:noProof/>
          <w:color w:val="auto"/>
          <w:szCs w:val="24"/>
          <w:lang w:val="ka-GE"/>
        </w:rPr>
      </w:pPr>
      <w:r w:rsidRPr="00FC5C72">
        <w:rPr>
          <w:rFonts w:asciiTheme="minorHAnsi" w:hAnsiTheme="minorHAnsi"/>
          <w:b/>
          <w:bCs/>
          <w:i/>
          <w:iCs/>
          <w:noProof/>
          <w:color w:val="auto"/>
          <w:szCs w:val="24"/>
          <w:lang w:val="ka-GE"/>
        </w:rPr>
        <w:t>ფარმაკოკინეტიკა</w:t>
      </w:r>
    </w:p>
    <w:p w14:paraId="3B1A147C" w14:textId="698AEABD" w:rsidR="008757D6" w:rsidRPr="00FC5C72" w:rsidRDefault="008757D6" w:rsidP="00785B18">
      <w:pPr>
        <w:pStyle w:val="BMSBodyText"/>
        <w:spacing w:before="0" w:after="0" w:line="240" w:lineRule="auto"/>
        <w:contextualSpacing/>
        <w:rPr>
          <w:rFonts w:asciiTheme="minorHAnsi" w:hAnsiTheme="minorHAnsi"/>
          <w:i/>
          <w:iCs/>
          <w:noProof/>
          <w:color w:val="auto"/>
          <w:szCs w:val="24"/>
          <w:lang w:val="ka-GE"/>
        </w:rPr>
      </w:pPr>
      <w:r w:rsidRPr="00FC5C72">
        <w:rPr>
          <w:rFonts w:asciiTheme="minorHAnsi" w:hAnsiTheme="minorHAnsi"/>
          <w:i/>
          <w:iCs/>
          <w:noProof/>
          <w:color w:val="auto"/>
          <w:szCs w:val="24"/>
          <w:lang w:val="ka-GE"/>
        </w:rPr>
        <w:t>შეწოვა</w:t>
      </w:r>
    </w:p>
    <w:p w14:paraId="115C3F49" w14:textId="5D773E69" w:rsidR="008757D6" w:rsidRPr="00FC5C72" w:rsidRDefault="004A2736"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noProof/>
          <w:color w:val="auto"/>
          <w:szCs w:val="24"/>
          <w:lang w:val="ka-GE"/>
        </w:rPr>
        <w:t xml:space="preserve">მოზრდილებში </w:t>
      </w:r>
      <w:r w:rsidR="008757D6" w:rsidRPr="00FC5C72">
        <w:rPr>
          <w:rFonts w:asciiTheme="minorHAnsi" w:hAnsiTheme="minorHAnsi"/>
          <w:noProof/>
          <w:color w:val="auto"/>
          <w:szCs w:val="24"/>
          <w:lang w:val="ka-GE"/>
        </w:rPr>
        <w:t xml:space="preserve">10 მგ-მდე დოზის პერორალურად მიღებისას აპიქსაბანის აბსოლუტური ბიოშეღწევადობა შეადგენს დაახლოებით 50%-ს. აპიქსაბანი სწრაფად შეიწოვება და მაქსიმალურ კონცენტრაციას </w:t>
      </w:r>
      <w:r w:rsidR="008757D6" w:rsidRPr="00FC5C72">
        <w:rPr>
          <w:color w:val="auto"/>
          <w:szCs w:val="24"/>
          <w:lang w:eastAsia="ru-RU"/>
        </w:rPr>
        <w:t>(C</w:t>
      </w:r>
      <w:r w:rsidR="008757D6" w:rsidRPr="00FC5C72">
        <w:rPr>
          <w:color w:val="auto"/>
          <w:szCs w:val="24"/>
          <w:vertAlign w:val="subscript"/>
          <w:lang w:eastAsia="ru-RU"/>
        </w:rPr>
        <w:t>max</w:t>
      </w:r>
      <w:r w:rsidR="008757D6" w:rsidRPr="00FC5C72">
        <w:rPr>
          <w:color w:val="auto"/>
          <w:szCs w:val="24"/>
          <w:lang w:eastAsia="ru-RU"/>
        </w:rPr>
        <w:t>)</w:t>
      </w:r>
      <w:r w:rsidR="008757D6" w:rsidRPr="00FC5C72">
        <w:rPr>
          <w:rFonts w:asciiTheme="minorHAnsi" w:hAnsiTheme="minorHAnsi"/>
          <w:color w:val="auto"/>
          <w:szCs w:val="24"/>
          <w:lang w:val="ka-GE" w:eastAsia="ru-RU"/>
        </w:rPr>
        <w:t xml:space="preserve"> აღწევს ტაბლეტის მიღებიდან 3-4 საათში. </w:t>
      </w:r>
      <w:r w:rsidR="00AE354B" w:rsidRPr="00FC5C72">
        <w:rPr>
          <w:rFonts w:asciiTheme="minorHAnsi" w:hAnsiTheme="minorHAnsi"/>
          <w:color w:val="auto"/>
          <w:szCs w:val="24"/>
          <w:lang w:val="ka-GE" w:eastAsia="ru-RU"/>
        </w:rPr>
        <w:t>პრეპარატის მიღება 10 მგ დოზით</w:t>
      </w:r>
      <w:r w:rsidRPr="00FC5C72">
        <w:rPr>
          <w:rFonts w:asciiTheme="minorHAnsi" w:hAnsiTheme="minorHAnsi"/>
          <w:color w:val="auto"/>
          <w:szCs w:val="24"/>
          <w:lang w:val="ka-GE" w:eastAsia="ru-RU"/>
        </w:rPr>
        <w:t xml:space="preserve"> საკვებთან ერთად</w:t>
      </w:r>
      <w:r w:rsidR="00AE354B" w:rsidRPr="00FC5C72">
        <w:rPr>
          <w:rFonts w:asciiTheme="minorHAnsi" w:hAnsiTheme="minorHAnsi"/>
          <w:color w:val="auto"/>
          <w:szCs w:val="24"/>
          <w:lang w:val="ka-GE" w:eastAsia="ru-RU"/>
        </w:rPr>
        <w:t xml:space="preserve"> არ ახდენს გავლენას </w:t>
      </w:r>
      <w:r w:rsidR="00AE354B" w:rsidRPr="00FC5C72">
        <w:rPr>
          <w:color w:val="auto"/>
          <w:szCs w:val="24"/>
          <w:lang w:eastAsia="ru-RU"/>
        </w:rPr>
        <w:t>AUC</w:t>
      </w:r>
      <w:r w:rsidR="00AE354B" w:rsidRPr="00FC5C72">
        <w:rPr>
          <w:rFonts w:asciiTheme="minorHAnsi" w:hAnsiTheme="minorHAnsi"/>
          <w:color w:val="auto"/>
          <w:szCs w:val="24"/>
          <w:lang w:val="ka-GE" w:eastAsia="ru-RU"/>
        </w:rPr>
        <w:t xml:space="preserve"> (პრეპარატის ექსპოზიცია სისხლის პლაზმაში ან მრუდქვეშა ფართობი “კონცენტრაცია-დრო“) ან </w:t>
      </w:r>
      <w:r w:rsidR="00AE354B" w:rsidRPr="00FC5C72">
        <w:rPr>
          <w:color w:val="auto"/>
          <w:szCs w:val="24"/>
          <w:lang w:eastAsia="ru-RU"/>
        </w:rPr>
        <w:t>C</w:t>
      </w:r>
      <w:r w:rsidR="00AE354B" w:rsidRPr="00FC5C72">
        <w:rPr>
          <w:color w:val="auto"/>
          <w:szCs w:val="24"/>
          <w:vertAlign w:val="subscript"/>
          <w:lang w:eastAsia="ru-RU"/>
        </w:rPr>
        <w:t>max</w:t>
      </w:r>
      <w:r w:rsidR="00AE354B" w:rsidRPr="00FC5C72">
        <w:rPr>
          <w:rFonts w:asciiTheme="minorHAnsi" w:hAnsiTheme="minorHAnsi"/>
          <w:color w:val="auto"/>
          <w:szCs w:val="24"/>
          <w:lang w:val="ka-GE" w:eastAsia="ru-RU"/>
        </w:rPr>
        <w:t xml:space="preserve"> მნ</w:t>
      </w:r>
      <w:r w:rsidR="008E663B" w:rsidRPr="00FC5C72">
        <w:rPr>
          <w:rFonts w:asciiTheme="minorHAnsi" w:hAnsiTheme="minorHAnsi"/>
          <w:color w:val="auto"/>
          <w:szCs w:val="24"/>
          <w:lang w:val="ka-GE" w:eastAsia="ru-RU"/>
        </w:rPr>
        <w:t>ი</w:t>
      </w:r>
      <w:r w:rsidR="00AE354B" w:rsidRPr="00FC5C72">
        <w:rPr>
          <w:rFonts w:asciiTheme="minorHAnsi" w:hAnsiTheme="minorHAnsi"/>
          <w:color w:val="auto"/>
          <w:szCs w:val="24"/>
          <w:lang w:val="ka-GE" w:eastAsia="ru-RU"/>
        </w:rPr>
        <w:t>შვნელობაზე. ამიტომ, აპიქსაბანის მიღება შეიძლება საკვებ</w:t>
      </w:r>
      <w:r w:rsidR="0015295F" w:rsidRPr="00FC5C72">
        <w:rPr>
          <w:rFonts w:asciiTheme="minorHAnsi" w:hAnsiTheme="minorHAnsi"/>
          <w:color w:val="auto"/>
          <w:szCs w:val="24"/>
          <w:lang w:val="ka-GE" w:eastAsia="ru-RU"/>
        </w:rPr>
        <w:t>თან ერთად ან მის გარეშე.</w:t>
      </w:r>
    </w:p>
    <w:p w14:paraId="540745DD" w14:textId="6082BF6F" w:rsidR="00AE354B" w:rsidRPr="00FC5C72" w:rsidRDefault="00AE354B"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color w:val="auto"/>
          <w:szCs w:val="24"/>
          <w:lang w:val="ka-GE" w:eastAsia="ru-RU"/>
        </w:rPr>
        <w:t>აპიქსაბანი 10 მგ-მდე დოზების დიაპაზონში ავლენს ხაზოვან ფარმაკოკინეტიკას, ანუ ზემოქმედების გაზრდა მიღებული დოზის პროპორციულად.</w:t>
      </w:r>
      <w:r w:rsidRPr="00FC5C72">
        <w:rPr>
          <w:color w:val="auto"/>
          <w:szCs w:val="24"/>
          <w:lang w:eastAsia="ru-RU"/>
        </w:rPr>
        <w:t xml:space="preserve"> </w:t>
      </w:r>
      <w:r w:rsidRPr="00FC5C72">
        <w:rPr>
          <w:color w:val="auto"/>
          <w:szCs w:val="24"/>
          <w:lang w:eastAsia="ru-RU"/>
        </w:rPr>
        <w:sym w:font="Symbol" w:char="F0B3"/>
      </w:r>
      <w:r w:rsidRPr="00FC5C72">
        <w:rPr>
          <w:color w:val="auto"/>
          <w:szCs w:val="24"/>
          <w:lang w:eastAsia="ru-RU"/>
        </w:rPr>
        <w:t> 25</w:t>
      </w:r>
      <w:r w:rsidRPr="00FC5C72">
        <w:rPr>
          <w:rFonts w:asciiTheme="minorHAnsi" w:hAnsiTheme="minorHAnsi"/>
          <w:color w:val="auto"/>
          <w:szCs w:val="24"/>
          <w:lang w:val="ka-GE" w:eastAsia="ru-RU"/>
        </w:rPr>
        <w:t xml:space="preserve"> მგ დოზის მიღებისას აპიქსაბანის შეწოვა შეზღუდულია და ბიოშეღწევადობა შემცირებული. აპიქსაბანის ზემოქმედების პარამეტრები ხასიათდება დაბალი ან ზომიერი ინდივიდუალური ვარიაბელურობით: ვარიაციის კოეფიციენტი შესა</w:t>
      </w:r>
      <w:r w:rsidR="004A5381" w:rsidRPr="00FC5C72">
        <w:rPr>
          <w:rFonts w:asciiTheme="minorHAnsi" w:hAnsiTheme="minorHAnsi"/>
          <w:color w:val="auto"/>
          <w:szCs w:val="24"/>
          <w:lang w:val="ka-GE" w:eastAsia="ru-RU"/>
        </w:rPr>
        <w:t xml:space="preserve">ბამისად, დაახლოებით 20% და 30%. </w:t>
      </w:r>
    </w:p>
    <w:p w14:paraId="0F15DF14" w14:textId="23F03F07" w:rsidR="004A5381" w:rsidRPr="00FC5C72" w:rsidRDefault="004A5381"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color w:val="auto"/>
          <w:szCs w:val="24"/>
          <w:lang w:val="ka-GE" w:eastAsia="ru-RU"/>
        </w:rPr>
        <w:t>10 მგ დოზით აპიქსაბანის პერორალური მიღების შემდეგ, რომელიც მიიღება 30 მლ წყალში სუსპენდირებული 5 მგ-იანი 2 დაფშვნილი ტაბლეტის სახით, სამკურნალო საშუალების ზემოქმედების დონე იყო აპიქსაბანი</w:t>
      </w:r>
      <w:r w:rsidR="0015295F" w:rsidRPr="00FC5C72">
        <w:rPr>
          <w:rFonts w:asciiTheme="minorHAnsi" w:hAnsiTheme="minorHAnsi"/>
          <w:color w:val="auto"/>
          <w:szCs w:val="24"/>
          <w:lang w:val="ka-GE" w:eastAsia="ru-RU"/>
        </w:rPr>
        <w:t>ს</w:t>
      </w:r>
      <w:r w:rsidRPr="00FC5C72">
        <w:rPr>
          <w:rFonts w:asciiTheme="minorHAnsi" w:hAnsiTheme="minorHAnsi"/>
          <w:color w:val="auto"/>
          <w:szCs w:val="24"/>
          <w:lang w:val="ka-GE" w:eastAsia="ru-RU"/>
        </w:rPr>
        <w:t xml:space="preserve"> 5 მგ-იანი 2 მთლიანი ტაბლეტის პერორალური მიღების</w:t>
      </w:r>
      <w:r w:rsidR="008E663B" w:rsidRPr="00FC5C72">
        <w:rPr>
          <w:rFonts w:asciiTheme="minorHAnsi" w:hAnsiTheme="minorHAnsi"/>
          <w:color w:val="auto"/>
          <w:szCs w:val="24"/>
          <w:lang w:val="ka-GE" w:eastAsia="ru-RU"/>
        </w:rPr>
        <w:t xml:space="preserve"> მსგავსი</w:t>
      </w:r>
      <w:r w:rsidRPr="00FC5C72">
        <w:rPr>
          <w:rFonts w:asciiTheme="minorHAnsi" w:hAnsiTheme="minorHAnsi"/>
          <w:color w:val="auto"/>
          <w:szCs w:val="24"/>
          <w:lang w:val="ka-GE" w:eastAsia="ru-RU"/>
        </w:rPr>
        <w:t>. 10 მგ დოზით აპიქსაბანის პერორალური მიღების შემდეგ, რომელიც მიიღება 30 გ ვაშლის ფაფაში  დაფშვნილი  5 მგ-იანი 2 ტაბლეტის სახით,</w:t>
      </w:r>
      <w:r w:rsidRPr="00FC5C72">
        <w:rPr>
          <w:color w:val="auto"/>
          <w:szCs w:val="24"/>
          <w:lang w:val="ka-GE"/>
        </w:rPr>
        <w:t xml:space="preserve"> C</w:t>
      </w:r>
      <w:r w:rsidRPr="00FC5C72">
        <w:rPr>
          <w:color w:val="auto"/>
          <w:szCs w:val="24"/>
          <w:vertAlign w:val="subscript"/>
          <w:lang w:val="ka-GE"/>
        </w:rPr>
        <w:t>max</w:t>
      </w:r>
      <w:r w:rsidRPr="00FC5C72">
        <w:rPr>
          <w:color w:val="auto"/>
          <w:szCs w:val="24"/>
          <w:lang w:val="ka-GE"/>
        </w:rPr>
        <w:t xml:space="preserve"> </w:t>
      </w:r>
      <w:r w:rsidRPr="00FC5C72">
        <w:rPr>
          <w:rFonts w:ascii="Sylfaen" w:hAnsi="Sylfaen"/>
          <w:color w:val="auto"/>
          <w:szCs w:val="24"/>
          <w:lang w:val="ka-GE"/>
        </w:rPr>
        <w:t xml:space="preserve">და </w:t>
      </w:r>
      <w:r w:rsidRPr="00FC5C72">
        <w:rPr>
          <w:color w:val="auto"/>
          <w:szCs w:val="24"/>
          <w:lang w:val="ka-GE"/>
        </w:rPr>
        <w:t>AUC</w:t>
      </w:r>
      <w:r w:rsidRPr="00FC5C72">
        <w:rPr>
          <w:rFonts w:asciiTheme="minorHAnsi" w:hAnsiTheme="minorHAnsi"/>
          <w:color w:val="auto"/>
          <w:szCs w:val="24"/>
          <w:lang w:val="ka-GE"/>
        </w:rPr>
        <w:t xml:space="preserve"> მნიშვნელობები შესაბამისად, </w:t>
      </w:r>
      <w:r w:rsidRPr="00FC5C72">
        <w:rPr>
          <w:color w:val="auto"/>
          <w:szCs w:val="24"/>
          <w:lang w:val="ka-GE"/>
        </w:rPr>
        <w:t>21%</w:t>
      </w:r>
      <w:r w:rsidRPr="00FC5C72">
        <w:rPr>
          <w:rFonts w:asciiTheme="minorHAnsi" w:hAnsiTheme="minorHAnsi"/>
          <w:color w:val="auto"/>
          <w:szCs w:val="24"/>
          <w:lang w:val="ka-GE"/>
        </w:rPr>
        <w:t>-ით</w:t>
      </w:r>
      <w:r w:rsidRPr="00FC5C72">
        <w:rPr>
          <w:color w:val="auto"/>
          <w:szCs w:val="24"/>
          <w:lang w:val="ka-GE"/>
        </w:rPr>
        <w:t xml:space="preserve"> </w:t>
      </w:r>
      <w:r w:rsidRPr="00FC5C72">
        <w:rPr>
          <w:rFonts w:ascii="Sylfaen" w:hAnsi="Sylfaen"/>
          <w:color w:val="auto"/>
          <w:szCs w:val="24"/>
          <w:lang w:val="ka-GE"/>
        </w:rPr>
        <w:t>და</w:t>
      </w:r>
      <w:r w:rsidRPr="00FC5C72">
        <w:rPr>
          <w:color w:val="auto"/>
          <w:szCs w:val="24"/>
          <w:lang w:val="ka-GE"/>
        </w:rPr>
        <w:t xml:space="preserve"> 16%</w:t>
      </w:r>
      <w:r w:rsidRPr="00FC5C72">
        <w:rPr>
          <w:rFonts w:asciiTheme="minorHAnsi" w:hAnsiTheme="minorHAnsi"/>
          <w:color w:val="auto"/>
          <w:szCs w:val="24"/>
          <w:lang w:val="ka-GE"/>
        </w:rPr>
        <w:t xml:space="preserve">-ით უფრო დაბალი იყო, ვიდრე 5 მგ-იანი </w:t>
      </w:r>
      <w:r w:rsidRPr="00FC5C72">
        <w:rPr>
          <w:rFonts w:asciiTheme="minorHAnsi" w:hAnsiTheme="minorHAnsi"/>
          <w:color w:val="auto"/>
          <w:szCs w:val="24"/>
          <w:lang w:val="ka-GE" w:eastAsia="ru-RU"/>
        </w:rPr>
        <w:t xml:space="preserve">2 მთლიანი ტაბლეტის მიღების შემდეგ. ზემოქმედების დონის მსგავსი ცვლილება არ </w:t>
      </w:r>
      <w:r w:rsidR="004A2736" w:rsidRPr="00FC5C72">
        <w:rPr>
          <w:rFonts w:asciiTheme="minorHAnsi" w:hAnsiTheme="minorHAnsi"/>
          <w:color w:val="auto"/>
          <w:szCs w:val="24"/>
          <w:lang w:val="ka-GE" w:eastAsia="ru-RU"/>
        </w:rPr>
        <w:t>ითვლება</w:t>
      </w:r>
      <w:r w:rsidRPr="00FC5C72">
        <w:rPr>
          <w:rFonts w:asciiTheme="minorHAnsi" w:hAnsiTheme="minorHAnsi"/>
          <w:color w:val="auto"/>
          <w:szCs w:val="24"/>
          <w:lang w:val="ka-GE" w:eastAsia="ru-RU"/>
        </w:rPr>
        <w:t xml:space="preserve"> კლინიკურად მნიშვნელოვ</w:t>
      </w:r>
      <w:r w:rsidR="004A2736" w:rsidRPr="00FC5C72">
        <w:rPr>
          <w:rFonts w:asciiTheme="minorHAnsi" w:hAnsiTheme="minorHAnsi"/>
          <w:color w:val="auto"/>
          <w:szCs w:val="24"/>
          <w:lang w:val="ka-GE" w:eastAsia="ru-RU"/>
        </w:rPr>
        <w:t>ნად</w:t>
      </w:r>
      <w:r w:rsidRPr="00FC5C72">
        <w:rPr>
          <w:rFonts w:asciiTheme="minorHAnsi" w:hAnsiTheme="minorHAnsi"/>
          <w:color w:val="auto"/>
          <w:szCs w:val="24"/>
          <w:lang w:val="ka-GE" w:eastAsia="ru-RU"/>
        </w:rPr>
        <w:t xml:space="preserve">. </w:t>
      </w:r>
    </w:p>
    <w:p w14:paraId="7B3E5178" w14:textId="430F5F80" w:rsidR="004A5381" w:rsidRPr="00FC5C72" w:rsidRDefault="004A5381"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color w:val="auto"/>
          <w:szCs w:val="24"/>
          <w:lang w:val="ka-GE" w:eastAsia="ru-RU"/>
        </w:rPr>
        <w:t>60 მლ გლუკოზის 5%-იან წყალხსნარში სუსპენდირებული აპიქსაბანის 5 მგ-იანი დაფშვნილი ტაბლეტის ნაზოგასტრალური ზონდით შეყვანის შემდეგ, აპიქსაბანის ზემოქმედების დონე მსგავსი</w:t>
      </w:r>
      <w:r w:rsidR="004A2736" w:rsidRPr="00FC5C72">
        <w:rPr>
          <w:rFonts w:asciiTheme="minorHAnsi" w:hAnsiTheme="minorHAnsi"/>
          <w:color w:val="auto"/>
          <w:szCs w:val="24"/>
          <w:lang w:val="ka-GE" w:eastAsia="ru-RU"/>
        </w:rPr>
        <w:t xml:space="preserve"> იყო</w:t>
      </w:r>
      <w:r w:rsidRPr="00FC5C72">
        <w:rPr>
          <w:rFonts w:asciiTheme="minorHAnsi" w:hAnsiTheme="minorHAnsi"/>
          <w:color w:val="auto"/>
          <w:szCs w:val="24"/>
          <w:lang w:val="ka-GE" w:eastAsia="ru-RU"/>
        </w:rPr>
        <w:t xml:space="preserve"> ზემოქმედების დონისა, რომელიც აღინიშნება </w:t>
      </w:r>
      <w:r w:rsidR="00DF0194" w:rsidRPr="00FC5C72">
        <w:rPr>
          <w:rFonts w:asciiTheme="minorHAnsi" w:hAnsiTheme="minorHAnsi"/>
          <w:color w:val="auto"/>
          <w:szCs w:val="24"/>
          <w:lang w:val="ka-GE" w:eastAsia="ru-RU"/>
        </w:rPr>
        <w:t>სხვა კლინიკურ კვლევებში</w:t>
      </w:r>
      <w:r w:rsidRPr="00FC5C72">
        <w:rPr>
          <w:rFonts w:asciiTheme="minorHAnsi" w:hAnsiTheme="minorHAnsi"/>
          <w:color w:val="auto"/>
          <w:szCs w:val="24"/>
          <w:lang w:val="ka-GE" w:eastAsia="ru-RU"/>
        </w:rPr>
        <w:t xml:space="preserve"> მონაწილე </w:t>
      </w:r>
      <w:r w:rsidR="00DF0194" w:rsidRPr="00FC5C72">
        <w:rPr>
          <w:rFonts w:asciiTheme="minorHAnsi" w:hAnsiTheme="minorHAnsi"/>
          <w:color w:val="auto"/>
          <w:szCs w:val="24"/>
          <w:lang w:val="ka-GE" w:eastAsia="ru-RU"/>
        </w:rPr>
        <w:t xml:space="preserve">ჯანმრთელ პირებში, რომლებმაც პერორალურად ერთჯერადად მიიღეს აპიქსაბანის 5 მგ დოზირების ტაბლეტი. </w:t>
      </w:r>
    </w:p>
    <w:p w14:paraId="4E18986A" w14:textId="209BEE6E" w:rsidR="00D23018" w:rsidRPr="00FC5C72" w:rsidRDefault="00DF0194"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color w:val="auto"/>
          <w:szCs w:val="24"/>
          <w:lang w:val="ka-GE" w:eastAsia="ru-RU"/>
        </w:rPr>
        <w:t>აპიქსაბანის პროგნოზირებადი და დოზის პროპორციული ფარმაკოკინეტიკური პროფილის გათვალისწინებით ჩატარებულ კვლევებში მიღებული აპიქსაბანის ბიოშეღწევადობის შედეგები მოქმედია აპიქსა</w:t>
      </w:r>
      <w:r w:rsidR="00442C95" w:rsidRPr="00FC5C72">
        <w:rPr>
          <w:rFonts w:asciiTheme="minorHAnsi" w:hAnsiTheme="minorHAnsi"/>
          <w:color w:val="auto"/>
          <w:szCs w:val="24"/>
          <w:lang w:val="ka-GE" w:eastAsia="ru-RU"/>
        </w:rPr>
        <w:t>ბ</w:t>
      </w:r>
      <w:r w:rsidRPr="00FC5C72">
        <w:rPr>
          <w:rFonts w:asciiTheme="minorHAnsi" w:hAnsiTheme="minorHAnsi"/>
          <w:color w:val="auto"/>
          <w:szCs w:val="24"/>
          <w:lang w:val="ka-GE" w:eastAsia="ru-RU"/>
        </w:rPr>
        <w:t xml:space="preserve">ანის უფრო დაბალი დოზების მიმართ. </w:t>
      </w:r>
    </w:p>
    <w:p w14:paraId="0CF0FE47" w14:textId="094BE320" w:rsidR="00301A3A" w:rsidRPr="00FC5C72" w:rsidRDefault="00301A3A" w:rsidP="00785B18">
      <w:pPr>
        <w:pStyle w:val="BMSBodyText"/>
        <w:spacing w:before="0" w:after="0" w:line="240" w:lineRule="auto"/>
        <w:contextualSpacing/>
        <w:rPr>
          <w:rFonts w:asciiTheme="minorHAnsi" w:hAnsiTheme="minorHAnsi"/>
          <w:i/>
          <w:iCs/>
          <w:color w:val="auto"/>
          <w:szCs w:val="24"/>
          <w:lang w:val="ka-GE" w:eastAsia="ru-RU"/>
        </w:rPr>
      </w:pPr>
      <w:r w:rsidRPr="00FC5C72">
        <w:rPr>
          <w:rFonts w:asciiTheme="minorHAnsi" w:hAnsiTheme="minorHAnsi"/>
          <w:i/>
          <w:iCs/>
          <w:color w:val="auto"/>
          <w:szCs w:val="24"/>
          <w:lang w:val="ka-GE" w:eastAsia="ru-RU"/>
        </w:rPr>
        <w:t>ბავშვები</w:t>
      </w:r>
    </w:p>
    <w:p w14:paraId="3F54EC6F" w14:textId="71B134DA" w:rsidR="00301A3A" w:rsidRPr="00FC5C72" w:rsidRDefault="00301A3A" w:rsidP="00785B18">
      <w:pPr>
        <w:pStyle w:val="BMSBodyText"/>
        <w:spacing w:before="0" w:after="0" w:line="240" w:lineRule="auto"/>
        <w:contextualSpacing/>
        <w:rPr>
          <w:rFonts w:asciiTheme="minorHAnsi" w:hAnsiTheme="minorHAnsi"/>
          <w:color w:val="auto"/>
          <w:szCs w:val="24"/>
          <w:lang w:val="ka-GE" w:eastAsia="ru-RU"/>
        </w:rPr>
      </w:pPr>
      <w:proofErr w:type="spellStart"/>
      <w:r w:rsidRPr="00FC5C72">
        <w:rPr>
          <w:rFonts w:asciiTheme="minorHAnsi" w:hAnsiTheme="minorHAnsi"/>
          <w:color w:val="auto"/>
          <w:szCs w:val="24"/>
          <w:lang w:val="ka-GE" w:eastAsia="ru-RU"/>
        </w:rPr>
        <w:t>აპიქსაბანი</w:t>
      </w:r>
      <w:proofErr w:type="spellEnd"/>
      <w:r w:rsidRPr="00FC5C72">
        <w:rPr>
          <w:rFonts w:asciiTheme="minorHAnsi" w:hAnsiTheme="minorHAnsi"/>
          <w:color w:val="auto"/>
          <w:szCs w:val="24"/>
          <w:lang w:val="ka-GE" w:eastAsia="ru-RU"/>
        </w:rPr>
        <w:t xml:space="preserve"> სწრაფად შეიწოვება, მისი კონცენტრაცია აღწევს მაქსიმალურ მნიშვნელობას (</w:t>
      </w:r>
      <w:proofErr w:type="spellStart"/>
      <w:r w:rsidRPr="00FC5C72">
        <w:rPr>
          <w:rFonts w:asciiTheme="minorHAnsi" w:hAnsiTheme="minorHAnsi"/>
          <w:color w:val="auto"/>
          <w:szCs w:val="24"/>
          <w:lang w:val="ka-GE" w:eastAsia="ru-RU"/>
        </w:rPr>
        <w:t>C</w:t>
      </w:r>
      <w:r w:rsidRPr="00FC5C72">
        <w:rPr>
          <w:rFonts w:asciiTheme="minorHAnsi" w:hAnsiTheme="minorHAnsi"/>
          <w:color w:val="auto"/>
          <w:szCs w:val="24"/>
          <w:vertAlign w:val="subscript"/>
          <w:lang w:val="ka-GE" w:eastAsia="ru-RU"/>
        </w:rPr>
        <w:t>max</w:t>
      </w:r>
      <w:proofErr w:type="spellEnd"/>
      <w:r w:rsidRPr="00FC5C72">
        <w:rPr>
          <w:rFonts w:asciiTheme="minorHAnsi" w:hAnsiTheme="minorHAnsi"/>
          <w:color w:val="auto"/>
          <w:szCs w:val="24"/>
          <w:lang w:val="ka-GE" w:eastAsia="ru-RU"/>
        </w:rPr>
        <w:t>) ერთი დოზის მიღებიდან დაახლოებით 2 საათში.</w:t>
      </w:r>
    </w:p>
    <w:p w14:paraId="22EC0CA3" w14:textId="77777777" w:rsidR="00301A3A" w:rsidRPr="00FC5C72" w:rsidRDefault="00301A3A" w:rsidP="00785B18">
      <w:pPr>
        <w:pStyle w:val="BMSBodyText"/>
        <w:spacing w:before="0" w:after="0" w:line="240" w:lineRule="auto"/>
        <w:contextualSpacing/>
        <w:rPr>
          <w:rFonts w:asciiTheme="minorHAnsi" w:hAnsiTheme="minorHAnsi"/>
          <w:i/>
          <w:iCs/>
          <w:color w:val="auto"/>
          <w:szCs w:val="24"/>
          <w:lang w:val="ka-GE" w:eastAsia="ru-RU"/>
        </w:rPr>
      </w:pPr>
    </w:p>
    <w:p w14:paraId="212A8B03" w14:textId="36457D7E" w:rsidR="00DF0194" w:rsidRPr="00FC5C72" w:rsidRDefault="00DF0194" w:rsidP="00785B18">
      <w:pPr>
        <w:pStyle w:val="BMSBodyText"/>
        <w:spacing w:before="0" w:after="0" w:line="240" w:lineRule="auto"/>
        <w:contextualSpacing/>
        <w:rPr>
          <w:rFonts w:asciiTheme="minorHAnsi" w:hAnsiTheme="minorHAnsi"/>
          <w:i/>
          <w:iCs/>
          <w:color w:val="auto"/>
          <w:szCs w:val="24"/>
          <w:lang w:val="ka-GE" w:eastAsia="ru-RU"/>
        </w:rPr>
      </w:pPr>
      <w:r w:rsidRPr="00FC5C72">
        <w:rPr>
          <w:rFonts w:asciiTheme="minorHAnsi" w:hAnsiTheme="minorHAnsi"/>
          <w:i/>
          <w:iCs/>
          <w:color w:val="auto"/>
          <w:szCs w:val="24"/>
          <w:lang w:val="ka-GE" w:eastAsia="ru-RU"/>
        </w:rPr>
        <w:t>განაწილება</w:t>
      </w:r>
    </w:p>
    <w:p w14:paraId="3ADDBA55" w14:textId="26E27696" w:rsidR="00DF0194" w:rsidRPr="00FC5C72" w:rsidRDefault="00301A3A"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color w:val="auto"/>
          <w:szCs w:val="24"/>
          <w:lang w:val="ka-GE" w:eastAsia="ru-RU"/>
        </w:rPr>
        <w:t>მოზრდილებში</w:t>
      </w:r>
      <w:r w:rsidR="00DF0194" w:rsidRPr="00FC5C72">
        <w:rPr>
          <w:rFonts w:asciiTheme="minorHAnsi" w:hAnsiTheme="minorHAnsi"/>
          <w:color w:val="auto"/>
          <w:szCs w:val="24"/>
          <w:lang w:val="ka-GE" w:eastAsia="ru-RU"/>
        </w:rPr>
        <w:t xml:space="preserve"> სისხლის ცილებთან შეკავშირება შეადგენს დაახლოებით 87%-ს. განაწილების მოცულობა </w:t>
      </w:r>
      <w:r w:rsidR="00DF0194" w:rsidRPr="00FC5C72">
        <w:rPr>
          <w:color w:val="auto"/>
          <w:szCs w:val="24"/>
          <w:lang w:eastAsia="ru-RU"/>
        </w:rPr>
        <w:t>(Vss)</w:t>
      </w:r>
      <w:r w:rsidR="00DF0194" w:rsidRPr="00FC5C72">
        <w:rPr>
          <w:rFonts w:asciiTheme="minorHAnsi" w:hAnsiTheme="minorHAnsi"/>
          <w:color w:val="auto"/>
          <w:szCs w:val="24"/>
          <w:lang w:val="ka-GE" w:eastAsia="ru-RU"/>
        </w:rPr>
        <w:t xml:space="preserve"> შეადგენს დაახლოებით 21 ლიტრს. </w:t>
      </w:r>
    </w:p>
    <w:p w14:paraId="58EC1E66" w14:textId="75571AF3" w:rsidR="00301A3A" w:rsidRPr="00FC5C72" w:rsidRDefault="00301A3A" w:rsidP="00785B18">
      <w:pPr>
        <w:pStyle w:val="BMSBodyText"/>
        <w:spacing w:before="0" w:after="0" w:line="240" w:lineRule="auto"/>
        <w:contextualSpacing/>
        <w:rPr>
          <w:rFonts w:asciiTheme="minorHAnsi" w:hAnsiTheme="minorHAnsi"/>
          <w:color w:val="auto"/>
          <w:szCs w:val="24"/>
          <w:lang w:val="ka-GE" w:eastAsia="ru-RU"/>
        </w:rPr>
      </w:pPr>
    </w:p>
    <w:p w14:paraId="29B1CBB3" w14:textId="2A3D470E" w:rsidR="00301A3A" w:rsidRPr="00FC5C72" w:rsidRDefault="00301A3A"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color w:val="auto"/>
          <w:szCs w:val="24"/>
          <w:lang w:val="ka-GE" w:eastAsia="ru-RU"/>
        </w:rPr>
        <w:t>კონკრეტულად ბავშვთა ასაკის პაციენტების პოპულაციისთვის პლაზმის ცილებთან აპიქსაბანის შეკავშირების მონაცემები არ არსებობს.</w:t>
      </w:r>
    </w:p>
    <w:p w14:paraId="76EC27CB" w14:textId="77777777" w:rsidR="00301A3A" w:rsidRPr="00FC5C72" w:rsidRDefault="00301A3A" w:rsidP="00785B18">
      <w:pPr>
        <w:pStyle w:val="BMSBodyText"/>
        <w:spacing w:before="0" w:after="0" w:line="240" w:lineRule="auto"/>
        <w:contextualSpacing/>
        <w:rPr>
          <w:rFonts w:asciiTheme="minorHAnsi" w:hAnsiTheme="minorHAnsi"/>
          <w:color w:val="auto"/>
          <w:szCs w:val="24"/>
          <w:lang w:val="ka-GE" w:eastAsia="ru-RU"/>
        </w:rPr>
      </w:pPr>
    </w:p>
    <w:p w14:paraId="1036EB88" w14:textId="36A9365A" w:rsidR="004A5381" w:rsidRPr="00FC5C72" w:rsidRDefault="00DF0194" w:rsidP="00785B18">
      <w:pPr>
        <w:pStyle w:val="BMSBodyText"/>
        <w:spacing w:before="0" w:after="0" w:line="240" w:lineRule="auto"/>
        <w:contextualSpacing/>
        <w:rPr>
          <w:rFonts w:asciiTheme="minorHAnsi" w:hAnsiTheme="minorHAnsi"/>
          <w:i/>
          <w:iCs/>
          <w:color w:val="auto"/>
          <w:szCs w:val="24"/>
          <w:lang w:val="ka-GE" w:eastAsia="ru-RU"/>
        </w:rPr>
      </w:pPr>
      <w:r w:rsidRPr="00FC5C72">
        <w:rPr>
          <w:rFonts w:asciiTheme="minorHAnsi" w:hAnsiTheme="minorHAnsi"/>
          <w:i/>
          <w:iCs/>
          <w:color w:val="auto"/>
          <w:szCs w:val="24"/>
          <w:lang w:val="ka-GE" w:eastAsia="ru-RU"/>
        </w:rPr>
        <w:t>ბიოტრანსფორმაცია</w:t>
      </w:r>
      <w:r w:rsidR="00301A3A" w:rsidRPr="00FC5C72">
        <w:rPr>
          <w:rFonts w:asciiTheme="minorHAnsi" w:hAnsiTheme="minorHAnsi"/>
          <w:i/>
          <w:iCs/>
          <w:color w:val="auto"/>
          <w:szCs w:val="24"/>
          <w:lang w:val="ka-GE" w:eastAsia="ru-RU"/>
        </w:rPr>
        <w:t xml:space="preserve"> და ელიმინაცია</w:t>
      </w:r>
    </w:p>
    <w:p w14:paraId="7A16CCA4" w14:textId="2F5DA751" w:rsidR="00301A3A" w:rsidRPr="00FC5C72" w:rsidRDefault="00301A3A"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color w:val="auto"/>
          <w:szCs w:val="24"/>
          <w:lang w:val="ka-GE" w:eastAsia="ru-RU"/>
        </w:rPr>
        <w:t xml:space="preserve">აპიქსაბანის ელიმინაცია მიმდინარეობს რამდენიმე გზით. მოზრდილებში მიღებული დოზის დაახლოებით 25% ვლინდება მეტაბოლიტების სახით, რომელთა </w:t>
      </w:r>
      <w:r w:rsidR="00500B23" w:rsidRPr="00FC5C72">
        <w:rPr>
          <w:rFonts w:asciiTheme="minorHAnsi" w:hAnsiTheme="minorHAnsi"/>
          <w:color w:val="auto"/>
          <w:szCs w:val="24"/>
          <w:lang w:val="ka-GE" w:eastAsia="ru-RU"/>
        </w:rPr>
        <w:t>უმეტესი ნაწილი</w:t>
      </w:r>
      <w:r w:rsidRPr="00FC5C72">
        <w:rPr>
          <w:rFonts w:asciiTheme="minorHAnsi" w:hAnsiTheme="minorHAnsi"/>
          <w:color w:val="auto"/>
          <w:szCs w:val="24"/>
          <w:lang w:val="ka-GE" w:eastAsia="ru-RU"/>
        </w:rPr>
        <w:t xml:space="preserve"> განავალშია. მოზრდილებში აპიქსაბანის თირკმლისმიერი ექსკრეცია შეადგენს საერთო კლირენსის დაახლოებით 27%-ს</w:t>
      </w:r>
      <w:r w:rsidR="00500B23" w:rsidRPr="00FC5C72">
        <w:rPr>
          <w:rFonts w:asciiTheme="minorHAnsi" w:hAnsiTheme="minorHAnsi"/>
          <w:color w:val="auto"/>
          <w:szCs w:val="24"/>
          <w:lang w:val="ka-GE" w:eastAsia="ru-RU"/>
        </w:rPr>
        <w:t>.</w:t>
      </w:r>
      <w:r w:rsidRPr="00FC5C72">
        <w:rPr>
          <w:rFonts w:asciiTheme="minorHAnsi" w:hAnsiTheme="minorHAnsi"/>
          <w:color w:val="auto"/>
          <w:szCs w:val="24"/>
          <w:lang w:val="ka-GE" w:eastAsia="ru-RU"/>
        </w:rPr>
        <w:t xml:space="preserve"> კლინიკურ და პრეკლინიკურ კვლევებში აღინიშნა დამატებითი ექსკრეცია შესაბამისად, ნაღვლგამომყოფი გზებიდან და უშუალოდ ნაწლავიდან. </w:t>
      </w:r>
    </w:p>
    <w:p w14:paraId="53C033B7" w14:textId="6BE77A57" w:rsidR="00730560" w:rsidRPr="00FC5C72" w:rsidRDefault="00301A3A"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color w:val="auto"/>
          <w:szCs w:val="24"/>
          <w:lang w:val="ka-GE" w:eastAsia="ru-RU"/>
        </w:rPr>
        <w:t xml:space="preserve">მოზრდილებში </w:t>
      </w:r>
      <w:r w:rsidR="00DF0194" w:rsidRPr="00FC5C72">
        <w:rPr>
          <w:rFonts w:asciiTheme="minorHAnsi" w:hAnsiTheme="minorHAnsi"/>
          <w:color w:val="auto"/>
          <w:szCs w:val="24"/>
          <w:lang w:val="ka-GE" w:eastAsia="ru-RU"/>
        </w:rPr>
        <w:t>აპიქსაბანის საერთო კლირენსი შეადგენს დაახლოებით 3.3 ლ/სთ, ნახევარგამოყოფის პერიოდი - დაახლოებით 12 სთ-ს.</w:t>
      </w:r>
    </w:p>
    <w:p w14:paraId="2A4D4029" w14:textId="72C13FC5" w:rsidR="00D34B92" w:rsidRPr="00FC5C72" w:rsidRDefault="00D34B92" w:rsidP="00785B18">
      <w:pPr>
        <w:pStyle w:val="BMSBodyText"/>
        <w:spacing w:before="0" w:after="0" w:line="240" w:lineRule="auto"/>
        <w:contextualSpacing/>
        <w:rPr>
          <w:rFonts w:asciiTheme="minorHAnsi" w:hAnsiTheme="minorHAnsi"/>
          <w:color w:val="auto"/>
          <w:szCs w:val="24"/>
          <w:lang w:val="ka-GE" w:eastAsia="ru-RU"/>
        </w:rPr>
      </w:pPr>
      <w:r w:rsidRPr="00FC5C72">
        <w:rPr>
          <w:rFonts w:asciiTheme="minorHAnsi" w:hAnsiTheme="minorHAnsi"/>
          <w:color w:val="auto"/>
          <w:szCs w:val="24"/>
          <w:lang w:val="ka-GE" w:eastAsia="ru-RU"/>
        </w:rPr>
        <w:t>ბავშვთა ასაკის პაციენტებში აპიქსაბანის საერთო აშკარა კლირენსი შეადგენს დაახლოებით 3,0 ლ/სთ.</w:t>
      </w:r>
    </w:p>
    <w:p w14:paraId="3BD7DA48" w14:textId="46686795" w:rsidR="00DF0194" w:rsidRPr="00FC5C72" w:rsidRDefault="00730560" w:rsidP="00785B18">
      <w:pPr>
        <w:pStyle w:val="BMSBodyText"/>
        <w:spacing w:before="0" w:after="0" w:line="240" w:lineRule="auto"/>
        <w:contextualSpacing/>
        <w:rPr>
          <w:rFonts w:asciiTheme="minorHAnsi" w:hAnsiTheme="minorHAnsi"/>
          <w:color w:val="auto"/>
          <w:szCs w:val="24"/>
          <w:lang w:val="ka-GE"/>
        </w:rPr>
      </w:pPr>
      <w:r w:rsidRPr="00FC5C72">
        <w:rPr>
          <w:rFonts w:asciiTheme="minorHAnsi" w:hAnsiTheme="minorHAnsi"/>
          <w:color w:val="auto"/>
          <w:szCs w:val="24"/>
        </w:rPr>
        <w:t>O-</w:t>
      </w:r>
      <w:r w:rsidRPr="00FC5C72">
        <w:rPr>
          <w:rFonts w:asciiTheme="minorHAnsi" w:hAnsiTheme="minorHAnsi"/>
          <w:color w:val="auto"/>
          <w:szCs w:val="24"/>
          <w:lang w:val="ka-GE"/>
        </w:rPr>
        <w:t>დ</w:t>
      </w:r>
      <w:r w:rsidRPr="00FC5C72">
        <w:rPr>
          <w:rFonts w:asciiTheme="minorHAnsi" w:hAnsiTheme="minorHAnsi" w:cs="Sylfaen"/>
          <w:color w:val="auto"/>
          <w:szCs w:val="24"/>
        </w:rPr>
        <w:t>ემეთილირება</w:t>
      </w:r>
      <w:r w:rsidRPr="00FC5C72">
        <w:rPr>
          <w:rFonts w:asciiTheme="minorHAnsi" w:hAnsiTheme="minorHAnsi"/>
          <w:color w:val="auto"/>
          <w:szCs w:val="24"/>
        </w:rPr>
        <w:t xml:space="preserve"> </w:t>
      </w:r>
      <w:r w:rsidRPr="00FC5C72">
        <w:rPr>
          <w:rFonts w:asciiTheme="minorHAnsi" w:hAnsiTheme="minorHAnsi" w:cs="Sylfaen"/>
          <w:color w:val="auto"/>
          <w:szCs w:val="24"/>
        </w:rPr>
        <w:t>და</w:t>
      </w:r>
      <w:r w:rsidRPr="00FC5C72">
        <w:rPr>
          <w:rFonts w:asciiTheme="minorHAnsi" w:hAnsiTheme="minorHAnsi"/>
          <w:color w:val="auto"/>
          <w:szCs w:val="24"/>
        </w:rPr>
        <w:t xml:space="preserve"> </w:t>
      </w:r>
      <w:r w:rsidRPr="00FC5C72">
        <w:rPr>
          <w:rFonts w:asciiTheme="minorHAnsi" w:hAnsiTheme="minorHAnsi" w:cs="Sylfaen"/>
          <w:color w:val="auto"/>
          <w:szCs w:val="24"/>
        </w:rPr>
        <w:t>ჰიდროქსილირება</w:t>
      </w:r>
      <w:r w:rsidRPr="00FC5C72">
        <w:rPr>
          <w:rFonts w:asciiTheme="minorHAnsi" w:hAnsiTheme="minorHAnsi"/>
          <w:color w:val="auto"/>
          <w:szCs w:val="24"/>
        </w:rPr>
        <w:t xml:space="preserve"> 3-</w:t>
      </w:r>
      <w:r w:rsidRPr="00FC5C72">
        <w:rPr>
          <w:rFonts w:asciiTheme="minorHAnsi" w:hAnsiTheme="minorHAnsi" w:cs="Sylfaen"/>
          <w:color w:val="auto"/>
          <w:szCs w:val="24"/>
        </w:rPr>
        <w:t>ოქსოპიპერიდინილის</w:t>
      </w:r>
      <w:r w:rsidRPr="00FC5C72">
        <w:rPr>
          <w:rFonts w:asciiTheme="minorHAnsi" w:hAnsiTheme="minorHAnsi"/>
          <w:color w:val="auto"/>
          <w:szCs w:val="24"/>
        </w:rPr>
        <w:t xml:space="preserve"> </w:t>
      </w:r>
      <w:r w:rsidRPr="00FC5C72">
        <w:rPr>
          <w:rFonts w:asciiTheme="minorHAnsi" w:hAnsiTheme="minorHAnsi" w:cs="Sylfaen"/>
          <w:color w:val="auto"/>
          <w:szCs w:val="24"/>
        </w:rPr>
        <w:t>ნარჩენით</w:t>
      </w:r>
      <w:r w:rsidRPr="00FC5C72">
        <w:rPr>
          <w:rFonts w:asciiTheme="minorHAnsi" w:hAnsiTheme="minorHAnsi"/>
          <w:color w:val="auto"/>
          <w:szCs w:val="24"/>
        </w:rPr>
        <w:t xml:space="preserve"> </w:t>
      </w:r>
      <w:r w:rsidRPr="00FC5C72">
        <w:rPr>
          <w:rFonts w:asciiTheme="minorHAnsi" w:hAnsiTheme="minorHAnsi" w:cs="Sylfaen"/>
          <w:color w:val="auto"/>
          <w:szCs w:val="24"/>
        </w:rPr>
        <w:t>წარმოადგენს</w:t>
      </w:r>
      <w:r w:rsidRPr="00FC5C72">
        <w:rPr>
          <w:rFonts w:asciiTheme="minorHAnsi" w:hAnsiTheme="minorHAnsi" w:cs="Sylfaen"/>
          <w:color w:val="auto"/>
          <w:szCs w:val="24"/>
          <w:lang w:val="ka-GE"/>
        </w:rPr>
        <w:t xml:space="preserve"> აპიქსაბანი</w:t>
      </w:r>
      <w:r w:rsidR="00442C95" w:rsidRPr="00FC5C72">
        <w:rPr>
          <w:rFonts w:asciiTheme="minorHAnsi" w:hAnsiTheme="minorHAnsi" w:cs="Sylfaen"/>
          <w:color w:val="auto"/>
          <w:szCs w:val="24"/>
          <w:lang w:val="ka-GE"/>
        </w:rPr>
        <w:t>ს</w:t>
      </w:r>
      <w:r w:rsidRPr="00FC5C72">
        <w:rPr>
          <w:rFonts w:asciiTheme="minorHAnsi" w:hAnsiTheme="minorHAnsi" w:cs="Sylfaen"/>
          <w:color w:val="auto"/>
          <w:szCs w:val="24"/>
          <w:lang w:val="ka-GE"/>
        </w:rPr>
        <w:t xml:space="preserve"> </w:t>
      </w:r>
      <w:r w:rsidRPr="00FC5C72">
        <w:rPr>
          <w:rFonts w:asciiTheme="minorHAnsi" w:hAnsiTheme="minorHAnsi" w:cs="Sylfaen"/>
          <w:color w:val="auto"/>
          <w:szCs w:val="24"/>
        </w:rPr>
        <w:t>ბიოტრანსფორმაციის</w:t>
      </w:r>
      <w:r w:rsidRPr="00FC5C72">
        <w:rPr>
          <w:rFonts w:asciiTheme="minorHAnsi" w:hAnsiTheme="minorHAnsi"/>
          <w:color w:val="auto"/>
          <w:szCs w:val="24"/>
        </w:rPr>
        <w:t xml:space="preserve"> </w:t>
      </w:r>
      <w:r w:rsidRPr="00FC5C72">
        <w:rPr>
          <w:rFonts w:asciiTheme="minorHAnsi" w:hAnsiTheme="minorHAnsi" w:cs="Sylfaen"/>
          <w:color w:val="auto"/>
          <w:szCs w:val="24"/>
        </w:rPr>
        <w:t>ძირითად</w:t>
      </w:r>
      <w:r w:rsidRPr="00FC5C72">
        <w:rPr>
          <w:rFonts w:asciiTheme="minorHAnsi" w:hAnsiTheme="minorHAnsi"/>
          <w:color w:val="auto"/>
          <w:szCs w:val="24"/>
        </w:rPr>
        <w:t xml:space="preserve"> </w:t>
      </w:r>
      <w:r w:rsidRPr="00FC5C72">
        <w:rPr>
          <w:rFonts w:asciiTheme="minorHAnsi" w:hAnsiTheme="minorHAnsi" w:cs="Sylfaen"/>
          <w:color w:val="auto"/>
          <w:szCs w:val="24"/>
        </w:rPr>
        <w:t>გზებს</w:t>
      </w:r>
      <w:r w:rsidRPr="00FC5C72">
        <w:rPr>
          <w:rFonts w:asciiTheme="minorHAnsi" w:hAnsiTheme="minorHAnsi"/>
          <w:color w:val="auto"/>
          <w:szCs w:val="24"/>
        </w:rPr>
        <w:t xml:space="preserve">. </w:t>
      </w:r>
      <w:r w:rsidRPr="00FC5C72">
        <w:rPr>
          <w:rFonts w:asciiTheme="minorHAnsi" w:hAnsiTheme="minorHAnsi" w:cs="Sylfaen"/>
          <w:color w:val="auto"/>
          <w:szCs w:val="24"/>
        </w:rPr>
        <w:t>აპიქსაბანი</w:t>
      </w:r>
      <w:r w:rsidRPr="00FC5C72">
        <w:rPr>
          <w:rFonts w:asciiTheme="minorHAnsi" w:hAnsiTheme="minorHAnsi"/>
          <w:color w:val="auto"/>
          <w:szCs w:val="24"/>
        </w:rPr>
        <w:t xml:space="preserve"> </w:t>
      </w:r>
      <w:r w:rsidRPr="00FC5C72">
        <w:rPr>
          <w:rFonts w:asciiTheme="minorHAnsi" w:hAnsiTheme="minorHAnsi" w:cs="Sylfaen"/>
          <w:color w:val="auto"/>
          <w:szCs w:val="24"/>
        </w:rPr>
        <w:t>მეტაბოლიზდება</w:t>
      </w:r>
      <w:r w:rsidRPr="00FC5C72">
        <w:rPr>
          <w:rFonts w:asciiTheme="minorHAnsi" w:hAnsiTheme="minorHAnsi"/>
          <w:color w:val="auto"/>
          <w:szCs w:val="24"/>
        </w:rPr>
        <w:t xml:space="preserve"> </w:t>
      </w:r>
      <w:r w:rsidRPr="00FC5C72">
        <w:rPr>
          <w:rFonts w:asciiTheme="minorHAnsi" w:hAnsiTheme="minorHAnsi" w:cs="Sylfaen"/>
          <w:color w:val="auto"/>
          <w:szCs w:val="24"/>
        </w:rPr>
        <w:t>ძირითადად</w:t>
      </w:r>
      <w:r w:rsidRPr="00FC5C72">
        <w:rPr>
          <w:rFonts w:asciiTheme="minorHAnsi" w:hAnsiTheme="minorHAnsi"/>
          <w:color w:val="auto"/>
          <w:szCs w:val="24"/>
        </w:rPr>
        <w:t xml:space="preserve"> CYP3A4/5</w:t>
      </w:r>
      <w:r w:rsidRPr="00FC5C72">
        <w:rPr>
          <w:rFonts w:asciiTheme="minorHAnsi" w:hAnsiTheme="minorHAnsi"/>
          <w:color w:val="auto"/>
          <w:szCs w:val="24"/>
          <w:lang w:val="ka-GE"/>
        </w:rPr>
        <w:t xml:space="preserve"> </w:t>
      </w:r>
      <w:r w:rsidRPr="00FC5C72">
        <w:rPr>
          <w:rFonts w:asciiTheme="minorHAnsi" w:hAnsiTheme="minorHAnsi" w:cs="Sylfaen"/>
          <w:color w:val="auto"/>
          <w:szCs w:val="24"/>
        </w:rPr>
        <w:t>იზოფერმენტის</w:t>
      </w:r>
      <w:r w:rsidRPr="00FC5C72">
        <w:rPr>
          <w:rFonts w:asciiTheme="minorHAnsi" w:hAnsiTheme="minorHAnsi"/>
          <w:color w:val="auto"/>
          <w:szCs w:val="24"/>
        </w:rPr>
        <w:t xml:space="preserve"> </w:t>
      </w:r>
      <w:r w:rsidRPr="00FC5C72">
        <w:rPr>
          <w:rFonts w:asciiTheme="minorHAnsi" w:hAnsiTheme="minorHAnsi" w:cs="Sylfaen"/>
          <w:color w:val="auto"/>
          <w:szCs w:val="24"/>
        </w:rPr>
        <w:t>მონაწილეობით</w:t>
      </w:r>
      <w:r w:rsidRPr="00FC5C72">
        <w:rPr>
          <w:rFonts w:asciiTheme="minorHAnsi" w:hAnsiTheme="minorHAnsi"/>
          <w:color w:val="auto"/>
          <w:szCs w:val="24"/>
        </w:rPr>
        <w:t xml:space="preserve"> </w:t>
      </w:r>
      <w:r w:rsidRPr="00FC5C72">
        <w:rPr>
          <w:rFonts w:asciiTheme="minorHAnsi" w:hAnsiTheme="minorHAnsi" w:cs="Sylfaen"/>
          <w:color w:val="auto"/>
          <w:szCs w:val="24"/>
        </w:rPr>
        <w:t>და</w:t>
      </w:r>
      <w:r w:rsidRPr="00FC5C72">
        <w:rPr>
          <w:rFonts w:asciiTheme="minorHAnsi" w:hAnsiTheme="minorHAnsi"/>
          <w:color w:val="auto"/>
          <w:szCs w:val="24"/>
        </w:rPr>
        <w:t xml:space="preserve"> </w:t>
      </w:r>
      <w:r w:rsidRPr="00FC5C72">
        <w:rPr>
          <w:rFonts w:asciiTheme="minorHAnsi" w:hAnsiTheme="minorHAnsi" w:cs="Sylfaen"/>
          <w:color w:val="auto"/>
          <w:szCs w:val="24"/>
        </w:rPr>
        <w:t>ნაკლებ</w:t>
      </w:r>
      <w:r w:rsidR="00C82B6E" w:rsidRPr="00FC5C72">
        <w:rPr>
          <w:rFonts w:asciiTheme="minorHAnsi" w:hAnsiTheme="minorHAnsi" w:cs="Sylfaen"/>
          <w:color w:val="auto"/>
          <w:szCs w:val="24"/>
          <w:lang w:val="ka-GE"/>
        </w:rPr>
        <w:t>ი ხარისხით</w:t>
      </w:r>
      <w:r w:rsidRPr="00FC5C72">
        <w:rPr>
          <w:rFonts w:asciiTheme="minorHAnsi" w:hAnsiTheme="minorHAnsi"/>
          <w:color w:val="auto"/>
          <w:szCs w:val="24"/>
        </w:rPr>
        <w:t xml:space="preserve">, CYP1A2, 2C8, 2C9, 2C19 </w:t>
      </w:r>
      <w:r w:rsidRPr="00FC5C72">
        <w:rPr>
          <w:rFonts w:asciiTheme="minorHAnsi" w:hAnsiTheme="minorHAnsi" w:cs="Sylfaen"/>
          <w:color w:val="auto"/>
          <w:szCs w:val="24"/>
        </w:rPr>
        <w:t>და</w:t>
      </w:r>
      <w:r w:rsidRPr="00FC5C72">
        <w:rPr>
          <w:rFonts w:asciiTheme="minorHAnsi" w:hAnsiTheme="minorHAnsi"/>
          <w:color w:val="auto"/>
          <w:szCs w:val="24"/>
        </w:rPr>
        <w:t xml:space="preserve"> 2J2</w:t>
      </w:r>
      <w:r w:rsidRPr="00FC5C72">
        <w:rPr>
          <w:rFonts w:asciiTheme="minorHAnsi" w:hAnsiTheme="minorHAnsi"/>
          <w:color w:val="auto"/>
          <w:szCs w:val="24"/>
          <w:lang w:val="ka-GE"/>
        </w:rPr>
        <w:t xml:space="preserve"> </w:t>
      </w:r>
      <w:r w:rsidRPr="00FC5C72">
        <w:rPr>
          <w:rFonts w:asciiTheme="minorHAnsi" w:hAnsiTheme="minorHAnsi" w:cs="Sylfaen"/>
          <w:color w:val="auto"/>
          <w:szCs w:val="24"/>
        </w:rPr>
        <w:t>იზოფერმენტებით</w:t>
      </w:r>
      <w:r w:rsidRPr="00FC5C72">
        <w:rPr>
          <w:rFonts w:asciiTheme="minorHAnsi" w:hAnsiTheme="minorHAnsi"/>
          <w:color w:val="auto"/>
          <w:szCs w:val="24"/>
        </w:rPr>
        <w:t xml:space="preserve">. </w:t>
      </w:r>
      <w:r w:rsidRPr="00FC5C72">
        <w:rPr>
          <w:rFonts w:asciiTheme="minorHAnsi" w:hAnsiTheme="minorHAnsi" w:cs="Sylfaen"/>
          <w:color w:val="auto"/>
          <w:szCs w:val="24"/>
        </w:rPr>
        <w:t>უცვლელი</w:t>
      </w:r>
      <w:r w:rsidRPr="00FC5C72">
        <w:rPr>
          <w:rFonts w:asciiTheme="minorHAnsi" w:hAnsiTheme="minorHAnsi"/>
          <w:color w:val="auto"/>
          <w:szCs w:val="24"/>
        </w:rPr>
        <w:t xml:space="preserve"> </w:t>
      </w:r>
      <w:r w:rsidRPr="00FC5C72">
        <w:rPr>
          <w:rFonts w:asciiTheme="minorHAnsi" w:hAnsiTheme="minorHAnsi" w:cs="Sylfaen"/>
          <w:color w:val="auto"/>
          <w:szCs w:val="24"/>
        </w:rPr>
        <w:t>აპიქსაბანი</w:t>
      </w:r>
      <w:r w:rsidRPr="00FC5C72">
        <w:rPr>
          <w:rFonts w:asciiTheme="minorHAnsi" w:hAnsiTheme="minorHAnsi"/>
          <w:color w:val="auto"/>
          <w:szCs w:val="24"/>
        </w:rPr>
        <w:t xml:space="preserve"> </w:t>
      </w:r>
      <w:r w:rsidRPr="00FC5C72">
        <w:rPr>
          <w:rFonts w:asciiTheme="minorHAnsi" w:hAnsiTheme="minorHAnsi" w:cs="Sylfaen"/>
          <w:color w:val="auto"/>
          <w:szCs w:val="24"/>
        </w:rPr>
        <w:t>წარმოადგენს</w:t>
      </w:r>
      <w:r w:rsidRPr="00FC5C72">
        <w:rPr>
          <w:rFonts w:asciiTheme="minorHAnsi" w:hAnsiTheme="minorHAnsi"/>
          <w:color w:val="auto"/>
          <w:szCs w:val="24"/>
        </w:rPr>
        <w:t xml:space="preserve"> </w:t>
      </w:r>
      <w:r w:rsidRPr="00FC5C72">
        <w:rPr>
          <w:rFonts w:asciiTheme="minorHAnsi" w:hAnsiTheme="minorHAnsi" w:cs="Sylfaen"/>
          <w:color w:val="auto"/>
          <w:szCs w:val="24"/>
        </w:rPr>
        <w:t>ძირითად</w:t>
      </w:r>
      <w:r w:rsidRPr="00FC5C72">
        <w:rPr>
          <w:rFonts w:asciiTheme="minorHAnsi" w:hAnsiTheme="minorHAnsi" w:cs="Sylfaen"/>
          <w:color w:val="auto"/>
          <w:szCs w:val="24"/>
          <w:lang w:val="ka-GE"/>
        </w:rPr>
        <w:t xml:space="preserve"> აქტიურ</w:t>
      </w:r>
      <w:r w:rsidRPr="00FC5C72">
        <w:rPr>
          <w:rFonts w:asciiTheme="minorHAnsi" w:hAnsiTheme="minorHAnsi"/>
          <w:color w:val="auto"/>
          <w:szCs w:val="24"/>
        </w:rPr>
        <w:t xml:space="preserve"> </w:t>
      </w:r>
      <w:r w:rsidRPr="00FC5C72">
        <w:rPr>
          <w:rFonts w:asciiTheme="minorHAnsi" w:hAnsiTheme="minorHAnsi" w:cs="Sylfaen"/>
          <w:color w:val="auto"/>
          <w:szCs w:val="24"/>
        </w:rPr>
        <w:t>ნივთიერებას</w:t>
      </w:r>
      <w:r w:rsidRPr="00FC5C72">
        <w:rPr>
          <w:rFonts w:asciiTheme="minorHAnsi" w:hAnsiTheme="minorHAnsi"/>
          <w:color w:val="auto"/>
          <w:szCs w:val="24"/>
        </w:rPr>
        <w:t xml:space="preserve">, </w:t>
      </w:r>
      <w:r w:rsidRPr="00FC5C72">
        <w:rPr>
          <w:rFonts w:asciiTheme="minorHAnsi" w:hAnsiTheme="minorHAnsi" w:cs="Sylfaen"/>
          <w:color w:val="auto"/>
          <w:szCs w:val="24"/>
        </w:rPr>
        <w:t>რომელიც</w:t>
      </w:r>
      <w:r w:rsidRPr="00FC5C72">
        <w:rPr>
          <w:rFonts w:asciiTheme="minorHAnsi" w:hAnsiTheme="minorHAnsi" w:cs="Sylfaen"/>
          <w:color w:val="auto"/>
          <w:szCs w:val="24"/>
          <w:lang w:val="ka-GE"/>
        </w:rPr>
        <w:t xml:space="preserve"> </w:t>
      </w:r>
      <w:r w:rsidRPr="00FC5C72">
        <w:rPr>
          <w:rFonts w:asciiTheme="minorHAnsi" w:hAnsiTheme="minorHAnsi" w:cs="Sylfaen"/>
          <w:color w:val="auto"/>
          <w:szCs w:val="24"/>
        </w:rPr>
        <w:t>ცირკულირებს</w:t>
      </w:r>
      <w:r w:rsidRPr="00FC5C72">
        <w:rPr>
          <w:rFonts w:asciiTheme="minorHAnsi" w:hAnsiTheme="minorHAnsi"/>
          <w:color w:val="auto"/>
          <w:szCs w:val="24"/>
        </w:rPr>
        <w:t xml:space="preserve"> </w:t>
      </w:r>
      <w:r w:rsidRPr="00FC5C72">
        <w:rPr>
          <w:rFonts w:asciiTheme="minorHAnsi" w:hAnsiTheme="minorHAnsi" w:cs="Sylfaen"/>
          <w:color w:val="auto"/>
          <w:szCs w:val="24"/>
        </w:rPr>
        <w:t>ადამიანის</w:t>
      </w:r>
      <w:r w:rsidRPr="00FC5C72">
        <w:rPr>
          <w:rFonts w:asciiTheme="minorHAnsi" w:hAnsiTheme="minorHAnsi"/>
          <w:color w:val="auto"/>
          <w:szCs w:val="24"/>
        </w:rPr>
        <w:t xml:space="preserve"> </w:t>
      </w:r>
      <w:r w:rsidRPr="00FC5C72">
        <w:rPr>
          <w:rFonts w:asciiTheme="minorHAnsi" w:hAnsiTheme="minorHAnsi" w:cs="Sylfaen"/>
          <w:color w:val="auto"/>
          <w:szCs w:val="24"/>
        </w:rPr>
        <w:t>სისხლის</w:t>
      </w:r>
      <w:r w:rsidRPr="00FC5C72">
        <w:rPr>
          <w:rFonts w:asciiTheme="minorHAnsi" w:hAnsiTheme="minorHAnsi"/>
          <w:color w:val="auto"/>
          <w:szCs w:val="24"/>
        </w:rPr>
        <w:t xml:space="preserve"> </w:t>
      </w:r>
      <w:r w:rsidRPr="00FC5C72">
        <w:rPr>
          <w:rFonts w:asciiTheme="minorHAnsi" w:hAnsiTheme="minorHAnsi" w:cs="Sylfaen"/>
          <w:color w:val="auto"/>
          <w:szCs w:val="24"/>
        </w:rPr>
        <w:t>პლაზმაში</w:t>
      </w:r>
      <w:r w:rsidRPr="00FC5C72">
        <w:rPr>
          <w:rFonts w:asciiTheme="minorHAnsi" w:hAnsiTheme="minorHAnsi" w:cs="Sylfaen"/>
          <w:color w:val="auto"/>
          <w:szCs w:val="24"/>
          <w:lang w:val="ka-GE"/>
        </w:rPr>
        <w:t>, ხოლო</w:t>
      </w:r>
      <w:r w:rsidRPr="00FC5C72">
        <w:rPr>
          <w:rFonts w:asciiTheme="minorHAnsi" w:hAnsiTheme="minorHAnsi"/>
          <w:color w:val="auto"/>
          <w:szCs w:val="24"/>
        </w:rPr>
        <w:t xml:space="preserve"> </w:t>
      </w:r>
      <w:r w:rsidRPr="00FC5C72">
        <w:rPr>
          <w:rFonts w:asciiTheme="minorHAnsi" w:hAnsiTheme="minorHAnsi" w:cs="Sylfaen"/>
          <w:color w:val="auto"/>
          <w:szCs w:val="24"/>
        </w:rPr>
        <w:t>სისხლის</w:t>
      </w:r>
      <w:r w:rsidRPr="00FC5C72">
        <w:rPr>
          <w:rFonts w:asciiTheme="minorHAnsi" w:hAnsiTheme="minorHAnsi"/>
          <w:color w:val="auto"/>
          <w:szCs w:val="24"/>
        </w:rPr>
        <w:t xml:space="preserve"> </w:t>
      </w:r>
      <w:r w:rsidRPr="00FC5C72">
        <w:rPr>
          <w:rFonts w:asciiTheme="minorHAnsi" w:hAnsiTheme="minorHAnsi" w:cs="Sylfaen"/>
          <w:color w:val="auto"/>
          <w:szCs w:val="24"/>
        </w:rPr>
        <w:t>დინებაში</w:t>
      </w:r>
      <w:r w:rsidRPr="00FC5C72">
        <w:rPr>
          <w:rFonts w:asciiTheme="minorHAnsi" w:hAnsiTheme="minorHAnsi"/>
          <w:color w:val="auto"/>
          <w:szCs w:val="24"/>
        </w:rPr>
        <w:t xml:space="preserve"> </w:t>
      </w:r>
      <w:r w:rsidRPr="00FC5C72">
        <w:rPr>
          <w:rFonts w:asciiTheme="minorHAnsi" w:hAnsiTheme="minorHAnsi" w:cs="Sylfaen"/>
          <w:color w:val="auto"/>
          <w:szCs w:val="24"/>
        </w:rPr>
        <w:t>მოცირკულირე</w:t>
      </w:r>
      <w:r w:rsidRPr="00FC5C72">
        <w:rPr>
          <w:rFonts w:asciiTheme="minorHAnsi" w:hAnsiTheme="minorHAnsi"/>
          <w:color w:val="auto"/>
          <w:szCs w:val="24"/>
        </w:rPr>
        <w:t xml:space="preserve"> </w:t>
      </w:r>
      <w:r w:rsidRPr="00FC5C72">
        <w:rPr>
          <w:rFonts w:asciiTheme="minorHAnsi" w:hAnsiTheme="minorHAnsi" w:cs="Sylfaen"/>
          <w:color w:val="auto"/>
          <w:szCs w:val="24"/>
        </w:rPr>
        <w:t>აქტიური</w:t>
      </w:r>
      <w:r w:rsidRPr="00FC5C72">
        <w:rPr>
          <w:rFonts w:asciiTheme="minorHAnsi" w:hAnsiTheme="minorHAnsi" w:cs="Sylfaen"/>
          <w:color w:val="auto"/>
          <w:szCs w:val="24"/>
          <w:lang w:val="ka-GE"/>
        </w:rPr>
        <w:t xml:space="preserve"> </w:t>
      </w:r>
      <w:r w:rsidRPr="00FC5C72">
        <w:rPr>
          <w:rFonts w:asciiTheme="minorHAnsi" w:hAnsiTheme="minorHAnsi" w:cs="Sylfaen"/>
          <w:color w:val="auto"/>
          <w:szCs w:val="24"/>
        </w:rPr>
        <w:t>მეტაბოლიტები</w:t>
      </w:r>
      <w:r w:rsidRPr="00FC5C72">
        <w:rPr>
          <w:rFonts w:asciiTheme="minorHAnsi" w:hAnsiTheme="minorHAnsi"/>
          <w:color w:val="auto"/>
          <w:szCs w:val="24"/>
        </w:rPr>
        <w:t xml:space="preserve"> </w:t>
      </w:r>
      <w:r w:rsidRPr="00FC5C72">
        <w:rPr>
          <w:rFonts w:asciiTheme="minorHAnsi" w:hAnsiTheme="minorHAnsi" w:cs="Sylfaen"/>
          <w:color w:val="auto"/>
          <w:szCs w:val="24"/>
        </w:rPr>
        <w:t>არ</w:t>
      </w:r>
      <w:r w:rsidRPr="00FC5C72">
        <w:rPr>
          <w:rFonts w:asciiTheme="minorHAnsi" w:hAnsiTheme="minorHAnsi"/>
          <w:color w:val="auto"/>
          <w:szCs w:val="24"/>
        </w:rPr>
        <w:t xml:space="preserve"> </w:t>
      </w:r>
      <w:r w:rsidRPr="00FC5C72">
        <w:rPr>
          <w:rFonts w:asciiTheme="minorHAnsi" w:hAnsiTheme="minorHAnsi" w:cs="Sylfaen"/>
          <w:color w:val="auto"/>
          <w:szCs w:val="24"/>
          <w:lang w:val="ka-GE"/>
        </w:rPr>
        <w:t>არის დაფიქსირებული</w:t>
      </w:r>
      <w:r w:rsidRPr="00FC5C72">
        <w:rPr>
          <w:rFonts w:asciiTheme="minorHAnsi" w:hAnsiTheme="minorHAnsi"/>
          <w:color w:val="auto"/>
          <w:szCs w:val="24"/>
        </w:rPr>
        <w:t xml:space="preserve">. </w:t>
      </w:r>
      <w:r w:rsidRPr="00FC5C72">
        <w:rPr>
          <w:rFonts w:asciiTheme="minorHAnsi" w:hAnsiTheme="minorHAnsi" w:cs="Sylfaen"/>
          <w:color w:val="auto"/>
          <w:szCs w:val="24"/>
        </w:rPr>
        <w:t>აპიქსაბანი</w:t>
      </w:r>
      <w:r w:rsidRPr="00FC5C72">
        <w:rPr>
          <w:rFonts w:asciiTheme="minorHAnsi" w:hAnsiTheme="minorHAnsi"/>
          <w:color w:val="auto"/>
          <w:szCs w:val="24"/>
        </w:rPr>
        <w:t xml:space="preserve"> </w:t>
      </w:r>
      <w:r w:rsidRPr="00FC5C72">
        <w:rPr>
          <w:rFonts w:asciiTheme="minorHAnsi" w:hAnsiTheme="minorHAnsi" w:cs="Sylfaen"/>
          <w:color w:val="auto"/>
          <w:szCs w:val="24"/>
        </w:rPr>
        <w:t>არის</w:t>
      </w:r>
      <w:r w:rsidRPr="00FC5C72">
        <w:rPr>
          <w:rFonts w:asciiTheme="minorHAnsi" w:hAnsiTheme="minorHAnsi"/>
          <w:color w:val="auto"/>
          <w:szCs w:val="24"/>
        </w:rPr>
        <w:t xml:space="preserve"> </w:t>
      </w:r>
      <w:r w:rsidRPr="00FC5C72">
        <w:rPr>
          <w:rFonts w:asciiTheme="minorHAnsi" w:hAnsiTheme="minorHAnsi" w:cs="Sylfaen"/>
          <w:color w:val="auto"/>
          <w:szCs w:val="24"/>
        </w:rPr>
        <w:t>სატრანსპორტო</w:t>
      </w:r>
      <w:r w:rsidRPr="00FC5C72">
        <w:rPr>
          <w:rFonts w:asciiTheme="minorHAnsi" w:hAnsiTheme="minorHAnsi"/>
          <w:color w:val="auto"/>
          <w:szCs w:val="24"/>
        </w:rPr>
        <w:t xml:space="preserve"> </w:t>
      </w:r>
      <w:r w:rsidRPr="00FC5C72">
        <w:rPr>
          <w:rFonts w:asciiTheme="minorHAnsi" w:hAnsiTheme="minorHAnsi" w:cs="Sylfaen"/>
          <w:color w:val="auto"/>
          <w:szCs w:val="24"/>
        </w:rPr>
        <w:t>ცილების</w:t>
      </w:r>
      <w:r w:rsidRPr="00FC5C72">
        <w:rPr>
          <w:rFonts w:asciiTheme="minorHAnsi" w:hAnsiTheme="minorHAnsi" w:cs="Sylfaen"/>
          <w:color w:val="auto"/>
          <w:szCs w:val="24"/>
          <w:lang w:val="ka-GE"/>
        </w:rPr>
        <w:t xml:space="preserve">, </w:t>
      </w:r>
      <w:r w:rsidRPr="00FC5C72">
        <w:rPr>
          <w:rFonts w:asciiTheme="minorHAnsi" w:hAnsiTheme="minorHAnsi"/>
          <w:color w:val="auto"/>
          <w:szCs w:val="24"/>
        </w:rPr>
        <w:t>P-</w:t>
      </w:r>
      <w:r w:rsidRPr="00FC5C72">
        <w:rPr>
          <w:rFonts w:asciiTheme="minorHAnsi" w:hAnsiTheme="minorHAnsi" w:cs="Sylfaen"/>
          <w:color w:val="auto"/>
          <w:szCs w:val="24"/>
        </w:rPr>
        <w:t>გლიკოპროტეინის</w:t>
      </w:r>
      <w:r w:rsidRPr="00FC5C72">
        <w:rPr>
          <w:rFonts w:asciiTheme="minorHAnsi" w:hAnsiTheme="minorHAnsi"/>
          <w:color w:val="auto"/>
          <w:szCs w:val="24"/>
        </w:rPr>
        <w:t xml:space="preserve"> (P-gp) </w:t>
      </w:r>
      <w:r w:rsidRPr="00FC5C72">
        <w:rPr>
          <w:rFonts w:asciiTheme="minorHAnsi" w:hAnsiTheme="minorHAnsi" w:cs="Sylfaen"/>
          <w:color w:val="auto"/>
          <w:szCs w:val="24"/>
        </w:rPr>
        <w:t>და</w:t>
      </w:r>
      <w:r w:rsidRPr="00FC5C72">
        <w:rPr>
          <w:rFonts w:asciiTheme="minorHAnsi" w:hAnsiTheme="minorHAnsi"/>
          <w:color w:val="auto"/>
          <w:szCs w:val="24"/>
        </w:rPr>
        <w:t xml:space="preserve"> </w:t>
      </w:r>
      <w:r w:rsidRPr="00FC5C72">
        <w:rPr>
          <w:rFonts w:asciiTheme="minorHAnsi" w:hAnsiTheme="minorHAnsi" w:cs="Sylfaen"/>
          <w:color w:val="auto"/>
          <w:szCs w:val="24"/>
        </w:rPr>
        <w:t>ძუძუს</w:t>
      </w:r>
      <w:r w:rsidRPr="00FC5C72">
        <w:rPr>
          <w:rFonts w:asciiTheme="minorHAnsi" w:hAnsiTheme="minorHAnsi"/>
          <w:color w:val="auto"/>
          <w:szCs w:val="24"/>
        </w:rPr>
        <w:t xml:space="preserve"> </w:t>
      </w:r>
      <w:r w:rsidRPr="00FC5C72">
        <w:rPr>
          <w:rFonts w:asciiTheme="minorHAnsi" w:hAnsiTheme="minorHAnsi" w:cs="Sylfaen"/>
          <w:color w:val="auto"/>
          <w:szCs w:val="24"/>
        </w:rPr>
        <w:t>კიბოს</w:t>
      </w:r>
      <w:r w:rsidRPr="00FC5C72">
        <w:rPr>
          <w:rFonts w:asciiTheme="minorHAnsi" w:hAnsiTheme="minorHAnsi"/>
          <w:color w:val="auto"/>
          <w:szCs w:val="24"/>
        </w:rPr>
        <w:t xml:space="preserve"> </w:t>
      </w:r>
      <w:r w:rsidRPr="00FC5C72">
        <w:rPr>
          <w:rFonts w:asciiTheme="minorHAnsi" w:hAnsiTheme="minorHAnsi" w:cs="Sylfaen"/>
          <w:color w:val="auto"/>
          <w:szCs w:val="24"/>
        </w:rPr>
        <w:t>რეზისტენტობის</w:t>
      </w:r>
      <w:r w:rsidRPr="00FC5C72">
        <w:rPr>
          <w:rFonts w:asciiTheme="minorHAnsi" w:hAnsiTheme="minorHAnsi"/>
          <w:color w:val="auto"/>
          <w:szCs w:val="24"/>
        </w:rPr>
        <w:t xml:space="preserve"> </w:t>
      </w:r>
      <w:r w:rsidRPr="00FC5C72">
        <w:rPr>
          <w:rFonts w:asciiTheme="minorHAnsi" w:hAnsiTheme="minorHAnsi" w:cs="Sylfaen"/>
          <w:color w:val="auto"/>
          <w:szCs w:val="24"/>
          <w:lang w:val="ka-GE"/>
        </w:rPr>
        <w:t>ცილის</w:t>
      </w:r>
      <w:r w:rsidRPr="00FC5C72">
        <w:rPr>
          <w:rFonts w:asciiTheme="minorHAnsi" w:hAnsiTheme="minorHAnsi"/>
          <w:color w:val="auto"/>
          <w:szCs w:val="24"/>
        </w:rPr>
        <w:t xml:space="preserve"> (BCRP) </w:t>
      </w:r>
      <w:r w:rsidRPr="00FC5C72">
        <w:rPr>
          <w:rFonts w:asciiTheme="minorHAnsi" w:hAnsiTheme="minorHAnsi" w:cs="Sylfaen"/>
          <w:color w:val="auto"/>
          <w:szCs w:val="24"/>
        </w:rPr>
        <w:t>სუბსტრატი</w:t>
      </w:r>
      <w:r w:rsidRPr="00FC5C72">
        <w:rPr>
          <w:rFonts w:asciiTheme="minorHAnsi" w:hAnsiTheme="minorHAnsi"/>
          <w:color w:val="auto"/>
          <w:szCs w:val="24"/>
          <w:lang w:val="ka-GE"/>
        </w:rPr>
        <w:t xml:space="preserve">. </w:t>
      </w:r>
    </w:p>
    <w:p w14:paraId="5E48CE7D" w14:textId="36FF68B4" w:rsidR="00730560" w:rsidRPr="00FC5C72" w:rsidRDefault="00D34B92" w:rsidP="00785B18">
      <w:pPr>
        <w:pStyle w:val="BMSBodyText"/>
        <w:spacing w:before="0" w:after="0" w:line="240" w:lineRule="auto"/>
        <w:contextualSpacing/>
        <w:rPr>
          <w:rFonts w:asciiTheme="minorHAnsi" w:hAnsiTheme="minorHAnsi"/>
          <w:color w:val="auto"/>
          <w:szCs w:val="24"/>
        </w:rPr>
      </w:pPr>
      <w:r w:rsidRPr="00FC5C72">
        <w:rPr>
          <w:rFonts w:asciiTheme="minorHAnsi" w:hAnsiTheme="minorHAnsi"/>
          <w:i/>
          <w:iCs/>
          <w:color w:val="auto"/>
          <w:szCs w:val="24"/>
          <w:lang w:val="ka-GE" w:eastAsia="ru-RU"/>
        </w:rPr>
        <w:t xml:space="preserve">  </w:t>
      </w:r>
    </w:p>
    <w:p w14:paraId="59AA0A28" w14:textId="36FD41F4" w:rsidR="00730560" w:rsidRPr="00FC5C72" w:rsidRDefault="00730560" w:rsidP="00785B18">
      <w:pPr>
        <w:pStyle w:val="BMSBodyText"/>
        <w:spacing w:before="0" w:after="0" w:line="240" w:lineRule="auto"/>
        <w:contextualSpacing/>
        <w:rPr>
          <w:rFonts w:asciiTheme="minorHAnsi" w:hAnsiTheme="minorHAnsi"/>
          <w:i/>
          <w:iCs/>
          <w:color w:val="auto"/>
          <w:szCs w:val="24"/>
          <w:lang w:val="ka-GE"/>
        </w:rPr>
      </w:pPr>
      <w:r w:rsidRPr="00FC5C72">
        <w:rPr>
          <w:rFonts w:asciiTheme="minorHAnsi" w:hAnsiTheme="minorHAnsi"/>
          <w:i/>
          <w:iCs/>
          <w:color w:val="auto"/>
          <w:szCs w:val="24"/>
          <w:lang w:val="ka-GE"/>
        </w:rPr>
        <w:t>ხანდაზმული პაციენტები</w:t>
      </w:r>
    </w:p>
    <w:p w14:paraId="3369770F" w14:textId="7FE3CA26" w:rsidR="00E42F36" w:rsidRPr="00FC5C72" w:rsidRDefault="00730560" w:rsidP="00785B18">
      <w:pPr>
        <w:spacing w:after="0" w:line="240" w:lineRule="auto"/>
        <w:jc w:val="both"/>
        <w:rPr>
          <w:sz w:val="24"/>
          <w:szCs w:val="24"/>
        </w:rPr>
      </w:pPr>
      <w:r w:rsidRPr="00FC5C72">
        <w:rPr>
          <w:sz w:val="24"/>
          <w:szCs w:val="24"/>
        </w:rPr>
        <w:t xml:space="preserve">ხანდაზმულ პაციენტებში (65 წელზე მეტი ასაკის) აღინიშნა </w:t>
      </w:r>
      <w:r w:rsidR="00E42F36" w:rsidRPr="00FC5C72">
        <w:rPr>
          <w:sz w:val="24"/>
          <w:szCs w:val="24"/>
        </w:rPr>
        <w:t>აპიქსაბანის</w:t>
      </w:r>
      <w:r w:rsidRPr="00FC5C72">
        <w:rPr>
          <w:sz w:val="24"/>
          <w:szCs w:val="24"/>
        </w:rPr>
        <w:t xml:space="preserve"> უფრო მაღალი კონცენტრაცია სისხლის პლაზმაში უფრო ახალგაზრდა</w:t>
      </w:r>
      <w:r w:rsidR="00E42F36" w:rsidRPr="00FC5C72">
        <w:rPr>
          <w:sz w:val="24"/>
          <w:szCs w:val="24"/>
        </w:rPr>
        <w:t xml:space="preserve"> </w:t>
      </w:r>
      <w:r w:rsidRPr="00FC5C72">
        <w:rPr>
          <w:sz w:val="24"/>
          <w:szCs w:val="24"/>
        </w:rPr>
        <w:t>პაციენტებთან შედარებით</w:t>
      </w:r>
      <w:r w:rsidR="00E42F36" w:rsidRPr="00FC5C72">
        <w:rPr>
          <w:sz w:val="24"/>
          <w:szCs w:val="24"/>
        </w:rPr>
        <w:t>, ამასთან</w:t>
      </w:r>
      <w:r w:rsidRPr="00FC5C72">
        <w:rPr>
          <w:sz w:val="24"/>
          <w:szCs w:val="24"/>
        </w:rPr>
        <w:t xml:space="preserve"> AUC-ის საშუალო მნიშვნელობები იყო დაახლოებით 32%-ით უფრო მაღალი, ხოლო Cmax-ის </w:t>
      </w:r>
      <w:r w:rsidR="00E66A28" w:rsidRPr="00FC5C72">
        <w:rPr>
          <w:sz w:val="24"/>
          <w:szCs w:val="24"/>
        </w:rPr>
        <w:t>განსხვავება არ არის გამოვლენილი.</w:t>
      </w:r>
      <w:r w:rsidRPr="00FC5C72">
        <w:rPr>
          <w:sz w:val="24"/>
          <w:szCs w:val="24"/>
        </w:rPr>
        <w:t xml:space="preserve"> </w:t>
      </w:r>
    </w:p>
    <w:p w14:paraId="66B65C3A" w14:textId="77777777" w:rsidR="00C82B6E" w:rsidRPr="00FC5C72" w:rsidRDefault="00C82B6E" w:rsidP="00785B18">
      <w:pPr>
        <w:spacing w:after="0" w:line="240" w:lineRule="auto"/>
        <w:jc w:val="both"/>
        <w:rPr>
          <w:sz w:val="24"/>
          <w:szCs w:val="24"/>
        </w:rPr>
      </w:pPr>
    </w:p>
    <w:p w14:paraId="309A5091" w14:textId="71DE27B8" w:rsidR="00E42F36" w:rsidRPr="00FC5C72" w:rsidRDefault="00730560" w:rsidP="00785B18">
      <w:pPr>
        <w:spacing w:after="0" w:line="240" w:lineRule="auto"/>
        <w:jc w:val="both"/>
        <w:rPr>
          <w:i/>
          <w:iCs/>
          <w:sz w:val="24"/>
          <w:szCs w:val="24"/>
        </w:rPr>
      </w:pPr>
      <w:r w:rsidRPr="00FC5C72">
        <w:rPr>
          <w:i/>
          <w:iCs/>
          <w:sz w:val="24"/>
          <w:szCs w:val="24"/>
        </w:rPr>
        <w:t>თირკმ</w:t>
      </w:r>
      <w:r w:rsidR="00EF3A8C" w:rsidRPr="00FC5C72">
        <w:rPr>
          <w:i/>
          <w:iCs/>
          <w:sz w:val="24"/>
          <w:szCs w:val="24"/>
        </w:rPr>
        <w:t>ელებ</w:t>
      </w:r>
      <w:r w:rsidRPr="00FC5C72">
        <w:rPr>
          <w:i/>
          <w:iCs/>
          <w:sz w:val="24"/>
          <w:szCs w:val="24"/>
        </w:rPr>
        <w:t xml:space="preserve">ის ფუნქციის დარღვევა </w:t>
      </w:r>
    </w:p>
    <w:p w14:paraId="2522689C" w14:textId="776B457F" w:rsidR="001B12C7" w:rsidRPr="00FC5C72" w:rsidRDefault="00730560" w:rsidP="00785B18">
      <w:pPr>
        <w:spacing w:after="0" w:line="240" w:lineRule="auto"/>
        <w:jc w:val="both"/>
        <w:rPr>
          <w:sz w:val="24"/>
          <w:szCs w:val="24"/>
        </w:rPr>
      </w:pPr>
      <w:r w:rsidRPr="00FC5C72">
        <w:rPr>
          <w:sz w:val="24"/>
          <w:szCs w:val="24"/>
        </w:rPr>
        <w:t>თირკმ</w:t>
      </w:r>
      <w:r w:rsidR="00EF3A8C" w:rsidRPr="00FC5C72">
        <w:rPr>
          <w:sz w:val="24"/>
          <w:szCs w:val="24"/>
        </w:rPr>
        <w:t>ელებ</w:t>
      </w:r>
      <w:r w:rsidRPr="00FC5C72">
        <w:rPr>
          <w:sz w:val="24"/>
          <w:szCs w:val="24"/>
        </w:rPr>
        <w:t>ის ფუნქციის დარღვევა არ ახდენ</w:t>
      </w:r>
      <w:r w:rsidR="001B12C7" w:rsidRPr="00FC5C72">
        <w:rPr>
          <w:sz w:val="24"/>
          <w:szCs w:val="24"/>
        </w:rPr>
        <w:t>ს</w:t>
      </w:r>
      <w:r w:rsidRPr="00FC5C72">
        <w:rPr>
          <w:sz w:val="24"/>
          <w:szCs w:val="24"/>
        </w:rPr>
        <w:t xml:space="preserve"> გავლენას აპიქსაბანის მაქსიმალურ</w:t>
      </w:r>
      <w:r w:rsidR="001B12C7" w:rsidRPr="00FC5C72">
        <w:rPr>
          <w:sz w:val="24"/>
          <w:szCs w:val="24"/>
        </w:rPr>
        <w:t xml:space="preserve"> </w:t>
      </w:r>
      <w:r w:rsidRPr="00FC5C72">
        <w:rPr>
          <w:sz w:val="24"/>
          <w:szCs w:val="24"/>
        </w:rPr>
        <w:t>კონცენტრაციაზე</w:t>
      </w:r>
      <w:r w:rsidR="001B12C7" w:rsidRPr="00FC5C72">
        <w:rPr>
          <w:sz w:val="24"/>
          <w:szCs w:val="24"/>
        </w:rPr>
        <w:t xml:space="preserve"> სისხლის პლაზმაში</w:t>
      </w:r>
      <w:r w:rsidRPr="00FC5C72">
        <w:rPr>
          <w:sz w:val="24"/>
          <w:szCs w:val="24"/>
        </w:rPr>
        <w:t>. კრეატინინის კლირენსის შეფასების შედეგებზე დაყრდნობით</w:t>
      </w:r>
      <w:r w:rsidR="001B12C7" w:rsidRPr="00FC5C72">
        <w:rPr>
          <w:sz w:val="24"/>
          <w:szCs w:val="24"/>
        </w:rPr>
        <w:t xml:space="preserve"> </w:t>
      </w:r>
      <w:r w:rsidRPr="00FC5C72">
        <w:rPr>
          <w:sz w:val="24"/>
          <w:szCs w:val="24"/>
        </w:rPr>
        <w:t xml:space="preserve">გამოვლინდა, რომ აპიქსაბანის </w:t>
      </w:r>
      <w:r w:rsidR="001B12C7" w:rsidRPr="00FC5C72">
        <w:rPr>
          <w:sz w:val="24"/>
          <w:szCs w:val="24"/>
        </w:rPr>
        <w:t>კონცენტრაციის</w:t>
      </w:r>
      <w:r w:rsidRPr="00FC5C72">
        <w:rPr>
          <w:sz w:val="24"/>
          <w:szCs w:val="24"/>
        </w:rPr>
        <w:t xml:space="preserve"> ზრდა კორელირებს თირკმლის ფუნქციის</w:t>
      </w:r>
      <w:r w:rsidR="001B12C7" w:rsidRPr="00FC5C72">
        <w:rPr>
          <w:sz w:val="24"/>
          <w:szCs w:val="24"/>
        </w:rPr>
        <w:t xml:space="preserve"> დარღვევის ხარისხთან</w:t>
      </w:r>
      <w:r w:rsidRPr="00FC5C72">
        <w:rPr>
          <w:sz w:val="24"/>
          <w:szCs w:val="24"/>
        </w:rPr>
        <w:t>. თირკმლის ფუნქციის მსუბუქი ( კრეატინინის კლირენსი 51-80 მლ/წთ), ზომიერი (კრეატინინის კლირენსი 30-50 მლ/წთ) და მძიმე (კრეატინინის კლირენსი 15-29</w:t>
      </w:r>
      <w:r w:rsidR="001B12C7" w:rsidRPr="00FC5C72">
        <w:rPr>
          <w:sz w:val="24"/>
          <w:szCs w:val="24"/>
        </w:rPr>
        <w:t xml:space="preserve"> </w:t>
      </w:r>
      <w:r w:rsidRPr="00FC5C72">
        <w:rPr>
          <w:sz w:val="24"/>
          <w:szCs w:val="24"/>
        </w:rPr>
        <w:t>მლ/წთ) დარღვევის მქონე პირებში აპიქსაბანის</w:t>
      </w:r>
      <w:r w:rsidR="001B12C7" w:rsidRPr="00FC5C72">
        <w:rPr>
          <w:sz w:val="24"/>
          <w:szCs w:val="24"/>
        </w:rPr>
        <w:t xml:space="preserve"> კონცენტრაცია სისხლის პლაზმაში (</w:t>
      </w:r>
      <w:r w:rsidRPr="00FC5C72">
        <w:rPr>
          <w:sz w:val="24"/>
          <w:szCs w:val="24"/>
        </w:rPr>
        <w:t>AUC</w:t>
      </w:r>
      <w:r w:rsidR="001B12C7" w:rsidRPr="00FC5C72">
        <w:rPr>
          <w:sz w:val="24"/>
          <w:szCs w:val="24"/>
        </w:rPr>
        <w:t>)</w:t>
      </w:r>
      <w:r w:rsidRPr="00FC5C72">
        <w:rPr>
          <w:sz w:val="24"/>
          <w:szCs w:val="24"/>
        </w:rPr>
        <w:t xml:space="preserve"> იზრდებოდა </w:t>
      </w:r>
      <w:r w:rsidR="001B12C7" w:rsidRPr="00FC5C72">
        <w:rPr>
          <w:sz w:val="24"/>
          <w:szCs w:val="24"/>
        </w:rPr>
        <w:t xml:space="preserve">შესაბამისად, </w:t>
      </w:r>
      <w:r w:rsidRPr="00FC5C72">
        <w:rPr>
          <w:sz w:val="24"/>
          <w:szCs w:val="24"/>
        </w:rPr>
        <w:t>16%, 29% და 44%</w:t>
      </w:r>
      <w:r w:rsidR="001B12C7" w:rsidRPr="00FC5C72">
        <w:rPr>
          <w:sz w:val="24"/>
          <w:szCs w:val="24"/>
        </w:rPr>
        <w:t>-ით,</w:t>
      </w:r>
      <w:r w:rsidRPr="00FC5C72">
        <w:rPr>
          <w:sz w:val="24"/>
          <w:szCs w:val="24"/>
        </w:rPr>
        <w:t xml:space="preserve">  კრეატინინის ნორმალური კლირენსის მქონე</w:t>
      </w:r>
      <w:r w:rsidR="001B12C7" w:rsidRPr="00FC5C72">
        <w:rPr>
          <w:sz w:val="24"/>
          <w:szCs w:val="24"/>
        </w:rPr>
        <w:t xml:space="preserve"> </w:t>
      </w:r>
      <w:r w:rsidRPr="00FC5C72">
        <w:rPr>
          <w:sz w:val="24"/>
          <w:szCs w:val="24"/>
        </w:rPr>
        <w:t>პირებთან შედარებით. თირკმლის ფუნქციის დარღვევა არ ახდენდა გამოხატულ გავლენას</w:t>
      </w:r>
      <w:r w:rsidR="001B12C7" w:rsidRPr="00FC5C72">
        <w:rPr>
          <w:sz w:val="24"/>
          <w:szCs w:val="24"/>
        </w:rPr>
        <w:t xml:space="preserve"> სისხლის </w:t>
      </w:r>
      <w:r w:rsidRPr="00FC5C72">
        <w:rPr>
          <w:sz w:val="24"/>
          <w:szCs w:val="24"/>
        </w:rPr>
        <w:t>პლაზმაში აპიქსაბანის კონცენტრაციასა და  Xa-ფაქტორ</w:t>
      </w:r>
      <w:r w:rsidR="001B12C7" w:rsidRPr="00FC5C72">
        <w:rPr>
          <w:sz w:val="24"/>
          <w:szCs w:val="24"/>
        </w:rPr>
        <w:t>ის</w:t>
      </w:r>
      <w:r w:rsidRPr="00FC5C72">
        <w:rPr>
          <w:sz w:val="24"/>
          <w:szCs w:val="24"/>
        </w:rPr>
        <w:t xml:space="preserve"> აქტივობ</w:t>
      </w:r>
      <w:r w:rsidR="001B12C7" w:rsidRPr="00FC5C72">
        <w:rPr>
          <w:sz w:val="24"/>
          <w:szCs w:val="24"/>
        </w:rPr>
        <w:t>ის ინჰიბირებას</w:t>
      </w:r>
      <w:r w:rsidRPr="00FC5C72">
        <w:rPr>
          <w:sz w:val="24"/>
          <w:szCs w:val="24"/>
        </w:rPr>
        <w:t xml:space="preserve"> შორის</w:t>
      </w:r>
      <w:r w:rsidR="001B12C7" w:rsidRPr="00FC5C72">
        <w:rPr>
          <w:sz w:val="24"/>
          <w:szCs w:val="24"/>
        </w:rPr>
        <w:t xml:space="preserve"> </w:t>
      </w:r>
      <w:r w:rsidRPr="00FC5C72">
        <w:rPr>
          <w:sz w:val="24"/>
          <w:szCs w:val="24"/>
        </w:rPr>
        <w:t>ურთიერთკავშირზე.</w:t>
      </w:r>
    </w:p>
    <w:p w14:paraId="1EA36F8E" w14:textId="69D6D78D" w:rsidR="004A5381" w:rsidRPr="00FC5C72" w:rsidRDefault="00730560" w:rsidP="00785B18">
      <w:pPr>
        <w:spacing w:after="0" w:line="240" w:lineRule="auto"/>
        <w:jc w:val="both"/>
        <w:rPr>
          <w:sz w:val="24"/>
          <w:szCs w:val="24"/>
        </w:rPr>
      </w:pPr>
      <w:r w:rsidRPr="00FC5C72">
        <w:rPr>
          <w:sz w:val="24"/>
          <w:szCs w:val="24"/>
        </w:rPr>
        <w:t xml:space="preserve">თირკმელების </w:t>
      </w:r>
      <w:r w:rsidR="001B12C7" w:rsidRPr="00FC5C72">
        <w:rPr>
          <w:sz w:val="24"/>
          <w:szCs w:val="24"/>
        </w:rPr>
        <w:t>დაავადების</w:t>
      </w:r>
      <w:r w:rsidRPr="00FC5C72">
        <w:rPr>
          <w:sz w:val="24"/>
          <w:szCs w:val="24"/>
        </w:rPr>
        <w:t xml:space="preserve"> ტერმინალური სტადიის მქონე </w:t>
      </w:r>
      <w:r w:rsidR="001B12C7" w:rsidRPr="00FC5C72">
        <w:rPr>
          <w:sz w:val="24"/>
          <w:szCs w:val="24"/>
        </w:rPr>
        <w:t>პაციენტებში</w:t>
      </w:r>
      <w:r w:rsidRPr="00FC5C72">
        <w:rPr>
          <w:sz w:val="24"/>
          <w:szCs w:val="24"/>
        </w:rPr>
        <w:t xml:space="preserve"> აპიქსაბანის AUC</w:t>
      </w:r>
      <w:r w:rsidR="007B2EBB" w:rsidRPr="00FC5C72">
        <w:rPr>
          <w:sz w:val="24"/>
          <w:szCs w:val="24"/>
        </w:rPr>
        <w:t xml:space="preserve"> მნიშვნელობა</w:t>
      </w:r>
      <w:r w:rsidRPr="00FC5C72">
        <w:rPr>
          <w:sz w:val="24"/>
          <w:szCs w:val="24"/>
        </w:rPr>
        <w:t xml:space="preserve"> 36%-ით </w:t>
      </w:r>
      <w:r w:rsidR="007B2EBB" w:rsidRPr="00FC5C72">
        <w:rPr>
          <w:sz w:val="24"/>
          <w:szCs w:val="24"/>
        </w:rPr>
        <w:t xml:space="preserve">უფრო მაღალი იყო </w:t>
      </w:r>
      <w:r w:rsidRPr="00FC5C72">
        <w:rPr>
          <w:sz w:val="24"/>
          <w:szCs w:val="24"/>
        </w:rPr>
        <w:t>ჰემოდიალიზის შემდეგ დაუყოვნებლივ აპიქსაბანის ერთჯერადი 5 მგ</w:t>
      </w:r>
      <w:r w:rsidR="007B2EBB" w:rsidRPr="00FC5C72">
        <w:rPr>
          <w:sz w:val="24"/>
          <w:szCs w:val="24"/>
        </w:rPr>
        <w:t xml:space="preserve"> </w:t>
      </w:r>
      <w:r w:rsidRPr="00FC5C72">
        <w:rPr>
          <w:sz w:val="24"/>
          <w:szCs w:val="24"/>
        </w:rPr>
        <w:t xml:space="preserve">დოზის მიღებისას თირკმელების ნორმალური ფუნქციის მქონე </w:t>
      </w:r>
      <w:r w:rsidR="00700431" w:rsidRPr="00FC5C72">
        <w:rPr>
          <w:sz w:val="24"/>
          <w:szCs w:val="24"/>
        </w:rPr>
        <w:t xml:space="preserve">პაციენტებში AUC </w:t>
      </w:r>
      <w:r w:rsidRPr="00FC5C72">
        <w:rPr>
          <w:sz w:val="24"/>
          <w:szCs w:val="24"/>
        </w:rPr>
        <w:t xml:space="preserve">მნიშვნელობასთან შედარებით. ჰემოდიალიზი, რომელიც დაიწყო </w:t>
      </w:r>
      <w:r w:rsidR="00E66A28" w:rsidRPr="00FC5C72">
        <w:rPr>
          <w:sz w:val="24"/>
          <w:szCs w:val="24"/>
        </w:rPr>
        <w:t xml:space="preserve">აპიქსაბანის ერთჯერადი 5 მგ დოზის მიღებიდან </w:t>
      </w:r>
      <w:r w:rsidRPr="00FC5C72">
        <w:rPr>
          <w:sz w:val="24"/>
          <w:szCs w:val="24"/>
        </w:rPr>
        <w:t xml:space="preserve">ორი საათის შემდეგ, ამცირებდა AUC </w:t>
      </w:r>
      <w:r w:rsidR="00700431" w:rsidRPr="00FC5C72">
        <w:rPr>
          <w:sz w:val="24"/>
          <w:szCs w:val="24"/>
        </w:rPr>
        <w:t xml:space="preserve"> მნიშვნელობას </w:t>
      </w:r>
      <w:r w:rsidRPr="00FC5C72">
        <w:rPr>
          <w:sz w:val="24"/>
          <w:szCs w:val="24"/>
        </w:rPr>
        <w:t>14%-ით</w:t>
      </w:r>
      <w:r w:rsidR="00700431" w:rsidRPr="00FC5C72">
        <w:rPr>
          <w:sz w:val="24"/>
          <w:szCs w:val="24"/>
        </w:rPr>
        <w:t xml:space="preserve"> </w:t>
      </w:r>
      <w:r w:rsidRPr="00FC5C72">
        <w:rPr>
          <w:sz w:val="24"/>
          <w:szCs w:val="24"/>
        </w:rPr>
        <w:t>თტ</w:t>
      </w:r>
      <w:r w:rsidR="00700431" w:rsidRPr="00FC5C72">
        <w:rPr>
          <w:sz w:val="24"/>
          <w:szCs w:val="24"/>
        </w:rPr>
        <w:t>დ</w:t>
      </w:r>
      <w:r w:rsidRPr="00FC5C72">
        <w:rPr>
          <w:sz w:val="24"/>
          <w:szCs w:val="24"/>
        </w:rPr>
        <w:t xml:space="preserve">-ს (თირკმლის ტერმინალური </w:t>
      </w:r>
      <w:r w:rsidR="00700431" w:rsidRPr="00FC5C72">
        <w:rPr>
          <w:sz w:val="24"/>
          <w:szCs w:val="24"/>
        </w:rPr>
        <w:t>დაავადების</w:t>
      </w:r>
      <w:r w:rsidRPr="00FC5C72">
        <w:rPr>
          <w:sz w:val="24"/>
          <w:szCs w:val="24"/>
        </w:rPr>
        <w:t>) მქონე პაციენტებში, რაც შეესაბამებ</w:t>
      </w:r>
      <w:r w:rsidR="002F38DA" w:rsidRPr="00FC5C72">
        <w:rPr>
          <w:sz w:val="24"/>
          <w:szCs w:val="24"/>
        </w:rPr>
        <w:t>ა</w:t>
      </w:r>
      <w:r w:rsidR="00700431" w:rsidRPr="00FC5C72">
        <w:rPr>
          <w:sz w:val="24"/>
          <w:szCs w:val="24"/>
        </w:rPr>
        <w:t xml:space="preserve"> </w:t>
      </w:r>
      <w:r w:rsidRPr="00FC5C72">
        <w:rPr>
          <w:sz w:val="24"/>
          <w:szCs w:val="24"/>
        </w:rPr>
        <w:t>აპიქსაბანის</w:t>
      </w:r>
      <w:r w:rsidR="00700431" w:rsidRPr="00FC5C72">
        <w:rPr>
          <w:sz w:val="24"/>
          <w:szCs w:val="24"/>
        </w:rPr>
        <w:t xml:space="preserve"> დიალიზურ</w:t>
      </w:r>
      <w:r w:rsidRPr="00FC5C72">
        <w:rPr>
          <w:sz w:val="24"/>
          <w:szCs w:val="24"/>
        </w:rPr>
        <w:t xml:space="preserve"> კლირენსს 18 მლ/წთ. </w:t>
      </w:r>
      <w:r w:rsidR="00700431" w:rsidRPr="00FC5C72">
        <w:rPr>
          <w:sz w:val="24"/>
          <w:szCs w:val="24"/>
        </w:rPr>
        <w:t>შესაბამისად</w:t>
      </w:r>
      <w:r w:rsidRPr="00FC5C72">
        <w:rPr>
          <w:sz w:val="24"/>
          <w:szCs w:val="24"/>
        </w:rPr>
        <w:t>, ჰემოდიალიზი, სავარაუდოდ, არ შეიძლება</w:t>
      </w:r>
      <w:r w:rsidR="00700431" w:rsidRPr="00FC5C72">
        <w:rPr>
          <w:sz w:val="24"/>
          <w:szCs w:val="24"/>
        </w:rPr>
        <w:t xml:space="preserve"> </w:t>
      </w:r>
      <w:r w:rsidRPr="00FC5C72">
        <w:rPr>
          <w:sz w:val="24"/>
          <w:szCs w:val="24"/>
        </w:rPr>
        <w:t>წარმოადგენდეს მკურნალობის ეფექტ</w:t>
      </w:r>
      <w:r w:rsidR="00700431" w:rsidRPr="00FC5C72">
        <w:rPr>
          <w:sz w:val="24"/>
          <w:szCs w:val="24"/>
        </w:rPr>
        <w:t>იან</w:t>
      </w:r>
      <w:r w:rsidRPr="00FC5C72">
        <w:rPr>
          <w:sz w:val="24"/>
          <w:szCs w:val="24"/>
        </w:rPr>
        <w:t xml:space="preserve"> საშუალებას აპიქსაბანის დოზის გადაჭარბების</w:t>
      </w:r>
      <w:r w:rsidR="00700431" w:rsidRPr="00FC5C72">
        <w:rPr>
          <w:sz w:val="24"/>
          <w:szCs w:val="24"/>
        </w:rPr>
        <w:t xml:space="preserve"> </w:t>
      </w:r>
      <w:r w:rsidRPr="00FC5C72">
        <w:rPr>
          <w:sz w:val="24"/>
          <w:szCs w:val="24"/>
        </w:rPr>
        <w:t>დროს.</w:t>
      </w:r>
    </w:p>
    <w:p w14:paraId="237BCBA3" w14:textId="45A69B86" w:rsidR="002F38DA" w:rsidRPr="00FC5C72" w:rsidRDefault="00D95FE9" w:rsidP="00785B18">
      <w:pPr>
        <w:spacing w:after="0" w:line="240" w:lineRule="auto"/>
        <w:jc w:val="both"/>
        <w:rPr>
          <w:sz w:val="24"/>
          <w:szCs w:val="24"/>
        </w:rPr>
      </w:pPr>
      <w:r w:rsidRPr="00FC5C72">
        <w:rPr>
          <w:sz w:val="24"/>
          <w:szCs w:val="24"/>
          <w:u w:val="single"/>
        </w:rPr>
        <w:t>&gt;</w:t>
      </w:r>
      <w:r w:rsidRPr="00FC5C72">
        <w:rPr>
          <w:sz w:val="24"/>
          <w:szCs w:val="24"/>
        </w:rPr>
        <w:t>2 წლის ასაკის ბავშვებში თირკმელების ფუნქციის მძიმე დარღვევა განისაზღვრება გლომერულური ფილტრაციის სავარაუდო სიჩქარით - ის უნდა შეადგენდეს 30 მლ/წთ ნაკლებს 1,73 სხეულის ზედაპირის ფართობის მ</w:t>
      </w:r>
      <w:r w:rsidRPr="00FC5C72">
        <w:rPr>
          <w:sz w:val="24"/>
          <w:szCs w:val="24"/>
          <w:vertAlign w:val="superscript"/>
        </w:rPr>
        <w:t>2</w:t>
      </w:r>
      <w:r w:rsidRPr="00FC5C72">
        <w:rPr>
          <w:sz w:val="24"/>
          <w:szCs w:val="24"/>
        </w:rPr>
        <w:t>. ცხრილში 14</w:t>
      </w:r>
      <w:r w:rsidRPr="00FC5C72">
        <w:rPr>
          <w:sz w:val="24"/>
          <w:szCs w:val="24"/>
          <w:vertAlign w:val="superscript"/>
        </w:rPr>
        <w:t xml:space="preserve">  </w:t>
      </w:r>
      <w:r w:rsidRPr="00FC5C72">
        <w:rPr>
          <w:sz w:val="24"/>
          <w:szCs w:val="24"/>
        </w:rPr>
        <w:t xml:space="preserve">ქვემოთ წარმოდგენილია ზღვრული მნიშვნელობები, რომლებიც გამოყენებულია კვლევაში </w:t>
      </w:r>
      <w:r w:rsidRPr="00FC5C72">
        <w:rPr>
          <w:rFonts w:ascii="Times New Roman" w:hAnsi="Times New Roman"/>
          <w:sz w:val="24"/>
          <w:szCs w:val="24"/>
          <w:lang w:val="uz-Cyrl-UZ"/>
        </w:rPr>
        <w:t>CV185325</w:t>
      </w:r>
      <w:r w:rsidRPr="00FC5C72">
        <w:rPr>
          <w:sz w:val="24"/>
          <w:szCs w:val="24"/>
        </w:rPr>
        <w:t xml:space="preserve"> 2 წლამდე ასაკის პაციენტებში თირკმელების ფუნქციის მძიმე დარღვევის განსაზღვრის მიზნით სქესისა და ასაკის მიხედვით; თითოეული მათგანი შეესაბამება გლომერულური ფილტრაციის სავარაუდო სიჩქარე &lt;30 მლ/სხეულის ზედაპირის ფართობის მ</w:t>
      </w:r>
      <w:r w:rsidRPr="00FC5C72">
        <w:rPr>
          <w:sz w:val="24"/>
          <w:szCs w:val="24"/>
          <w:vertAlign w:val="superscript"/>
        </w:rPr>
        <w:t>2</w:t>
      </w:r>
      <w:r w:rsidRPr="00FC5C72">
        <w:rPr>
          <w:sz w:val="24"/>
          <w:szCs w:val="24"/>
        </w:rPr>
        <w:t xml:space="preserve"> </w:t>
      </w:r>
      <w:r w:rsidRPr="00FC5C72">
        <w:rPr>
          <w:sz w:val="24"/>
          <w:szCs w:val="24"/>
          <w:u w:val="single"/>
        </w:rPr>
        <w:t>&gt;</w:t>
      </w:r>
      <w:r w:rsidRPr="00FC5C72">
        <w:rPr>
          <w:sz w:val="24"/>
          <w:szCs w:val="24"/>
        </w:rPr>
        <w:t xml:space="preserve">2 წლის ასაკის პაციენტებისთვის. </w:t>
      </w:r>
    </w:p>
    <w:p w14:paraId="23A93581" w14:textId="2D7656D4" w:rsidR="00D95FE9" w:rsidRPr="00FC5C72" w:rsidRDefault="00D95FE9" w:rsidP="00785B18">
      <w:pPr>
        <w:spacing w:after="0" w:line="240" w:lineRule="auto"/>
        <w:jc w:val="both"/>
        <w:rPr>
          <w:sz w:val="24"/>
          <w:szCs w:val="24"/>
        </w:rPr>
      </w:pPr>
    </w:p>
    <w:p w14:paraId="2FEDC900" w14:textId="67AA3555" w:rsidR="00D95FE9" w:rsidRPr="00FC5C72" w:rsidRDefault="00D95FE9" w:rsidP="00785B18">
      <w:pPr>
        <w:spacing w:after="0" w:line="240" w:lineRule="auto"/>
        <w:jc w:val="both"/>
        <w:rPr>
          <w:b/>
          <w:bCs/>
          <w:sz w:val="24"/>
          <w:szCs w:val="24"/>
        </w:rPr>
      </w:pPr>
      <w:r w:rsidRPr="00FC5C72">
        <w:rPr>
          <w:b/>
          <w:bCs/>
          <w:sz w:val="24"/>
          <w:szCs w:val="24"/>
        </w:rPr>
        <w:t xml:space="preserve">ცხრილი 14. </w:t>
      </w:r>
      <w:r w:rsidR="00163EF7" w:rsidRPr="00FC5C72">
        <w:rPr>
          <w:b/>
          <w:bCs/>
          <w:sz w:val="24"/>
          <w:szCs w:val="24"/>
        </w:rPr>
        <w:t xml:space="preserve">გლომერულური ფილტრაციის სავარაუდო სიჩქარის ზღვრული მნიშვნელობები კვლევაში </w:t>
      </w:r>
      <w:r w:rsidR="00163EF7" w:rsidRPr="00FC5C72">
        <w:rPr>
          <w:rFonts w:ascii="Times New Roman" w:hAnsi="Times New Roman"/>
          <w:b/>
          <w:bCs/>
          <w:sz w:val="24"/>
          <w:szCs w:val="24"/>
          <w:lang w:val="uz-Cyrl-UZ"/>
        </w:rPr>
        <w:t>CV185325</w:t>
      </w:r>
      <w:r w:rsidR="00163EF7" w:rsidRPr="00FC5C72">
        <w:rPr>
          <w:b/>
          <w:bCs/>
          <w:sz w:val="24"/>
          <w:szCs w:val="24"/>
        </w:rPr>
        <w:t xml:space="preserve"> ჩასართავად</w:t>
      </w:r>
    </w:p>
    <w:p w14:paraId="07CCE2D0" w14:textId="5A25EC60" w:rsidR="00163EF7" w:rsidRPr="00FC5C72" w:rsidRDefault="00163EF7" w:rsidP="00785B18">
      <w:pPr>
        <w:spacing w:after="0" w:line="240" w:lineRule="auto"/>
        <w:jc w:val="both"/>
        <w:rPr>
          <w:b/>
          <w:bCs/>
          <w:sz w:val="24"/>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865"/>
        <w:gridCol w:w="2453"/>
        <w:gridCol w:w="3667"/>
      </w:tblGrid>
      <w:tr w:rsidR="00FC5C72" w:rsidRPr="00FC5C72" w14:paraId="0B50147D" w14:textId="77777777" w:rsidTr="00163EF7">
        <w:trPr>
          <w:cantSplit/>
          <w:trHeight w:val="1573"/>
          <w:tblHeader/>
        </w:trPr>
        <w:tc>
          <w:tcPr>
            <w:tcW w:w="3865" w:type="dxa"/>
            <w:tcMar>
              <w:left w:w="108" w:type="dxa"/>
              <w:right w:w="108" w:type="dxa"/>
            </w:tcMar>
            <w:vAlign w:val="center"/>
          </w:tcPr>
          <w:p w14:paraId="176F9AD5" w14:textId="5B96314B" w:rsidR="00163EF7" w:rsidRPr="00FC5C72" w:rsidRDefault="00163EF7" w:rsidP="00785B18">
            <w:pPr>
              <w:keepNext/>
              <w:spacing w:after="0" w:line="240" w:lineRule="auto"/>
              <w:jc w:val="center"/>
              <w:rPr>
                <w:rFonts w:ascii="Times New Roman" w:eastAsia="DengXian Light" w:hAnsi="Times New Roman"/>
                <w:b/>
                <w:bCs/>
                <w:sz w:val="24"/>
                <w:szCs w:val="24"/>
                <w:lang w:val="uz-Cyrl-UZ"/>
              </w:rPr>
            </w:pPr>
            <w:r w:rsidRPr="00FC5C72">
              <w:rPr>
                <w:rFonts w:ascii="Sylfaen" w:hAnsi="Sylfaen"/>
                <w:b/>
                <w:sz w:val="24"/>
                <w:szCs w:val="24"/>
              </w:rPr>
              <w:t>პოსტნატალური ასაკი</w:t>
            </w:r>
            <w:r w:rsidRPr="00FC5C72">
              <w:rPr>
                <w:rFonts w:ascii="Times New Roman" w:hAnsi="Times New Roman"/>
                <w:b/>
                <w:sz w:val="24"/>
                <w:szCs w:val="24"/>
                <w:lang w:val="uz-Cyrl-UZ"/>
              </w:rPr>
              <w:t xml:space="preserve"> (</w:t>
            </w:r>
            <w:r w:rsidRPr="00FC5C72">
              <w:rPr>
                <w:rFonts w:ascii="Sylfaen" w:hAnsi="Sylfaen"/>
                <w:b/>
                <w:sz w:val="24"/>
                <w:szCs w:val="24"/>
              </w:rPr>
              <w:t>სქესი</w:t>
            </w:r>
            <w:r w:rsidRPr="00FC5C72">
              <w:rPr>
                <w:rFonts w:ascii="Times New Roman" w:hAnsi="Times New Roman"/>
                <w:b/>
                <w:sz w:val="24"/>
                <w:szCs w:val="24"/>
                <w:lang w:val="uz-Cyrl-UZ"/>
              </w:rPr>
              <w:t>)</w:t>
            </w:r>
          </w:p>
        </w:tc>
        <w:tc>
          <w:tcPr>
            <w:tcW w:w="2453" w:type="dxa"/>
            <w:tcMar>
              <w:left w:w="108" w:type="dxa"/>
              <w:right w:w="108" w:type="dxa"/>
            </w:tcMar>
            <w:vAlign w:val="center"/>
          </w:tcPr>
          <w:p w14:paraId="4DA156C7" w14:textId="4DD9C2B9" w:rsidR="00163EF7" w:rsidRPr="00FC5C72" w:rsidRDefault="00163EF7" w:rsidP="00785B18">
            <w:pPr>
              <w:keepNext/>
              <w:spacing w:after="0" w:line="240" w:lineRule="auto"/>
              <w:jc w:val="center"/>
              <w:rPr>
                <w:rFonts w:ascii="Times New Roman" w:eastAsia="DengXian Light" w:hAnsi="Times New Roman"/>
                <w:b/>
                <w:bCs/>
                <w:sz w:val="24"/>
                <w:szCs w:val="24"/>
                <w:lang w:val="uz-Cyrl-UZ"/>
              </w:rPr>
            </w:pPr>
            <w:r w:rsidRPr="00FC5C72">
              <w:rPr>
                <w:rFonts w:ascii="Sylfaen" w:hAnsi="Sylfaen"/>
                <w:b/>
                <w:sz w:val="24"/>
                <w:szCs w:val="24"/>
              </w:rPr>
              <w:t xml:space="preserve">გფს-ის ნორმალური მნიშვნელობების დიაპაზონი </w:t>
            </w:r>
            <w:r w:rsidRPr="00FC5C72">
              <w:rPr>
                <w:rFonts w:ascii="Times New Roman" w:hAnsi="Times New Roman"/>
                <w:b/>
                <w:sz w:val="24"/>
                <w:szCs w:val="24"/>
                <w:lang w:val="uz-Cyrl-UZ"/>
              </w:rPr>
              <w:t>(</w:t>
            </w:r>
            <w:r w:rsidRPr="00FC5C72">
              <w:rPr>
                <w:rFonts w:ascii="Sylfaen" w:hAnsi="Sylfaen"/>
                <w:b/>
                <w:sz w:val="24"/>
                <w:szCs w:val="24"/>
              </w:rPr>
              <w:t>მლ</w:t>
            </w:r>
            <w:r w:rsidRPr="00FC5C72">
              <w:rPr>
                <w:rFonts w:ascii="Times New Roman" w:hAnsi="Times New Roman"/>
                <w:b/>
                <w:sz w:val="24"/>
                <w:szCs w:val="24"/>
                <w:lang w:val="uz-Cyrl-UZ"/>
              </w:rPr>
              <w:t>/</w:t>
            </w:r>
            <w:r w:rsidRPr="00FC5C72">
              <w:rPr>
                <w:rFonts w:ascii="Sylfaen" w:hAnsi="Sylfaen"/>
                <w:b/>
                <w:sz w:val="24"/>
                <w:szCs w:val="24"/>
              </w:rPr>
              <w:t>წთ</w:t>
            </w:r>
            <w:r w:rsidRPr="00FC5C72">
              <w:rPr>
                <w:rFonts w:ascii="Times New Roman" w:hAnsi="Times New Roman"/>
                <w:b/>
                <w:sz w:val="24"/>
                <w:szCs w:val="24"/>
                <w:lang w:val="uz-Cyrl-UZ"/>
              </w:rPr>
              <w:t>/1,73 </w:t>
            </w:r>
            <w:r w:rsidRPr="00FC5C72">
              <w:rPr>
                <w:rFonts w:ascii="Sylfaen" w:hAnsi="Sylfaen"/>
                <w:b/>
                <w:sz w:val="24"/>
                <w:szCs w:val="24"/>
              </w:rPr>
              <w:t>მ</w:t>
            </w:r>
            <w:r w:rsidRPr="00FC5C72">
              <w:rPr>
                <w:rFonts w:ascii="Times New Roman" w:hAnsi="Times New Roman"/>
                <w:b/>
                <w:sz w:val="24"/>
                <w:szCs w:val="24"/>
                <w:vertAlign w:val="superscript"/>
                <w:lang w:val="uz-Cyrl-UZ"/>
              </w:rPr>
              <w:t>2</w:t>
            </w:r>
            <w:r w:rsidRPr="00FC5C72">
              <w:rPr>
                <w:rFonts w:ascii="Times New Roman" w:hAnsi="Times New Roman"/>
                <w:b/>
                <w:sz w:val="24"/>
                <w:szCs w:val="24"/>
                <w:lang w:val="uz-Cyrl-UZ"/>
              </w:rPr>
              <w:t>)</w:t>
            </w:r>
          </w:p>
        </w:tc>
        <w:tc>
          <w:tcPr>
            <w:tcW w:w="3667" w:type="dxa"/>
            <w:tcMar>
              <w:left w:w="108" w:type="dxa"/>
              <w:right w:w="108" w:type="dxa"/>
            </w:tcMar>
            <w:vAlign w:val="center"/>
          </w:tcPr>
          <w:p w14:paraId="418AF7C5" w14:textId="26A09472" w:rsidR="00163EF7" w:rsidRPr="00FC5C72" w:rsidRDefault="00163EF7" w:rsidP="00785B18">
            <w:pPr>
              <w:keepNext/>
              <w:spacing w:after="0" w:line="240" w:lineRule="auto"/>
              <w:jc w:val="center"/>
              <w:rPr>
                <w:rFonts w:ascii="Times New Roman" w:eastAsia="DengXian Light" w:hAnsi="Times New Roman"/>
                <w:b/>
                <w:bCs/>
                <w:sz w:val="24"/>
                <w:szCs w:val="24"/>
                <w:lang w:val="uz-Cyrl-UZ"/>
              </w:rPr>
            </w:pPr>
            <w:r w:rsidRPr="00FC5C72">
              <w:rPr>
                <w:b/>
                <w:bCs/>
                <w:sz w:val="24"/>
                <w:szCs w:val="24"/>
              </w:rPr>
              <w:t>გლომერულური ფილტრაციის სავარაუდო სიჩქარის ზღვრული მნიშვნელობა კვლევაში ჩასართავად</w:t>
            </w:r>
            <w:r w:rsidRPr="00FC5C72">
              <w:rPr>
                <w:rFonts w:ascii="Times New Roman" w:hAnsi="Times New Roman"/>
                <w:b/>
                <w:sz w:val="24"/>
                <w:szCs w:val="24"/>
                <w:lang w:val="uz-Cyrl-UZ"/>
              </w:rPr>
              <w:t>*</w:t>
            </w:r>
          </w:p>
        </w:tc>
      </w:tr>
      <w:tr w:rsidR="00FC5C72" w:rsidRPr="00FC5C72" w14:paraId="4CB73F74" w14:textId="77777777" w:rsidTr="00163EF7">
        <w:trPr>
          <w:cantSplit/>
          <w:trHeight w:val="673"/>
        </w:trPr>
        <w:tc>
          <w:tcPr>
            <w:tcW w:w="3865" w:type="dxa"/>
            <w:tcMar>
              <w:left w:w="108" w:type="dxa"/>
              <w:right w:w="108" w:type="dxa"/>
            </w:tcMar>
            <w:vAlign w:val="center"/>
          </w:tcPr>
          <w:p w14:paraId="1A2EC3AC" w14:textId="3C4EC2D0" w:rsidR="00163EF7" w:rsidRPr="00FC5C72" w:rsidRDefault="00163EF7" w:rsidP="00785B18">
            <w:pPr>
              <w:spacing w:after="0" w:line="240" w:lineRule="auto"/>
              <w:ind w:left="-20" w:right="-20"/>
              <w:rPr>
                <w:rFonts w:ascii="Times New Roman" w:hAnsi="Times New Roman"/>
                <w:sz w:val="24"/>
                <w:szCs w:val="24"/>
                <w:lang w:val="uz-Cyrl-UZ"/>
              </w:rPr>
            </w:pPr>
            <w:r w:rsidRPr="00FC5C72">
              <w:rPr>
                <w:rFonts w:ascii="Times New Roman" w:hAnsi="Times New Roman"/>
                <w:sz w:val="24"/>
                <w:szCs w:val="24"/>
                <w:lang w:val="uz-Cyrl-UZ"/>
              </w:rPr>
              <w:t>1 </w:t>
            </w:r>
            <w:r w:rsidRPr="00FC5C72">
              <w:rPr>
                <w:rFonts w:ascii="Sylfaen" w:hAnsi="Sylfaen"/>
                <w:sz w:val="24"/>
                <w:szCs w:val="24"/>
              </w:rPr>
              <w:t>კვირა</w:t>
            </w:r>
            <w:r w:rsidRPr="00FC5C72">
              <w:rPr>
                <w:rFonts w:ascii="Times New Roman" w:hAnsi="Times New Roman"/>
                <w:sz w:val="24"/>
                <w:szCs w:val="24"/>
                <w:lang w:val="uz-Cyrl-UZ"/>
              </w:rPr>
              <w:t xml:space="preserve"> (</w:t>
            </w:r>
            <w:r w:rsidRPr="00FC5C72">
              <w:rPr>
                <w:rFonts w:ascii="Sylfaen" w:hAnsi="Sylfaen"/>
                <w:sz w:val="24"/>
                <w:szCs w:val="24"/>
              </w:rPr>
              <w:t>მამრობითი და მდედრობითი სქესი</w:t>
            </w:r>
            <w:r w:rsidRPr="00FC5C72">
              <w:rPr>
                <w:rFonts w:ascii="Times New Roman" w:hAnsi="Times New Roman"/>
                <w:sz w:val="24"/>
                <w:szCs w:val="24"/>
                <w:lang w:val="uz-Cyrl-UZ"/>
              </w:rPr>
              <w:t>)</w:t>
            </w:r>
          </w:p>
        </w:tc>
        <w:tc>
          <w:tcPr>
            <w:tcW w:w="2453" w:type="dxa"/>
            <w:tcMar>
              <w:left w:w="108" w:type="dxa"/>
              <w:right w:w="108" w:type="dxa"/>
            </w:tcMar>
            <w:vAlign w:val="center"/>
          </w:tcPr>
          <w:p w14:paraId="0F15632C"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41 ± 15</w:t>
            </w:r>
          </w:p>
        </w:tc>
        <w:tc>
          <w:tcPr>
            <w:tcW w:w="3667" w:type="dxa"/>
            <w:tcMar>
              <w:left w:w="108" w:type="dxa"/>
              <w:right w:w="108" w:type="dxa"/>
            </w:tcMar>
            <w:vAlign w:val="center"/>
          </w:tcPr>
          <w:p w14:paraId="428A3F9D"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 8</w:t>
            </w:r>
          </w:p>
        </w:tc>
      </w:tr>
      <w:tr w:rsidR="00FC5C72" w:rsidRPr="00FC5C72" w14:paraId="633035E0" w14:textId="77777777" w:rsidTr="00163EF7">
        <w:trPr>
          <w:cantSplit/>
          <w:trHeight w:val="57"/>
        </w:trPr>
        <w:tc>
          <w:tcPr>
            <w:tcW w:w="3865" w:type="dxa"/>
            <w:tcMar>
              <w:left w:w="108" w:type="dxa"/>
              <w:right w:w="108" w:type="dxa"/>
            </w:tcMar>
            <w:vAlign w:val="center"/>
          </w:tcPr>
          <w:p w14:paraId="2D0A21AE" w14:textId="77623D83" w:rsidR="00163EF7" w:rsidRPr="00FC5C72" w:rsidRDefault="00163EF7" w:rsidP="00785B18">
            <w:pPr>
              <w:spacing w:after="0" w:line="240" w:lineRule="auto"/>
              <w:ind w:left="-20" w:right="-20"/>
              <w:rPr>
                <w:rFonts w:ascii="Times New Roman" w:hAnsi="Times New Roman"/>
                <w:sz w:val="24"/>
                <w:szCs w:val="24"/>
                <w:lang w:val="uz-Cyrl-UZ"/>
              </w:rPr>
            </w:pPr>
            <w:r w:rsidRPr="00FC5C72">
              <w:rPr>
                <w:rFonts w:ascii="Times New Roman" w:hAnsi="Times New Roman"/>
                <w:sz w:val="24"/>
                <w:szCs w:val="24"/>
                <w:lang w:val="uz-Cyrl-UZ"/>
              </w:rPr>
              <w:t>2–8 </w:t>
            </w:r>
            <w:r w:rsidRPr="00FC5C72">
              <w:rPr>
                <w:rFonts w:ascii="Sylfaen" w:hAnsi="Sylfaen"/>
                <w:sz w:val="24"/>
                <w:szCs w:val="24"/>
              </w:rPr>
              <w:t>კვირა</w:t>
            </w:r>
            <w:r w:rsidRPr="00FC5C72">
              <w:rPr>
                <w:rFonts w:ascii="Times New Roman" w:hAnsi="Times New Roman"/>
                <w:sz w:val="24"/>
                <w:szCs w:val="24"/>
                <w:lang w:val="uz-Cyrl-UZ"/>
              </w:rPr>
              <w:t xml:space="preserve"> (</w:t>
            </w:r>
            <w:r w:rsidRPr="00FC5C72">
              <w:rPr>
                <w:rFonts w:ascii="Sylfaen" w:hAnsi="Sylfaen"/>
                <w:sz w:val="24"/>
                <w:szCs w:val="24"/>
              </w:rPr>
              <w:t>მამრობითი და მდედრობითი სქესი</w:t>
            </w:r>
            <w:r w:rsidRPr="00FC5C72">
              <w:rPr>
                <w:rFonts w:ascii="Times New Roman" w:hAnsi="Times New Roman"/>
                <w:sz w:val="24"/>
                <w:szCs w:val="24"/>
                <w:lang w:val="uz-Cyrl-UZ"/>
              </w:rPr>
              <w:t>)</w:t>
            </w:r>
          </w:p>
        </w:tc>
        <w:tc>
          <w:tcPr>
            <w:tcW w:w="2453" w:type="dxa"/>
            <w:tcMar>
              <w:left w:w="108" w:type="dxa"/>
              <w:right w:w="108" w:type="dxa"/>
            </w:tcMar>
            <w:vAlign w:val="center"/>
          </w:tcPr>
          <w:p w14:paraId="78BAD032"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66 ± 25</w:t>
            </w:r>
          </w:p>
        </w:tc>
        <w:tc>
          <w:tcPr>
            <w:tcW w:w="3667" w:type="dxa"/>
            <w:tcMar>
              <w:left w:w="108" w:type="dxa"/>
              <w:right w:w="108" w:type="dxa"/>
            </w:tcMar>
            <w:vAlign w:val="center"/>
          </w:tcPr>
          <w:p w14:paraId="31D21303"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 12</w:t>
            </w:r>
          </w:p>
        </w:tc>
      </w:tr>
      <w:tr w:rsidR="00FC5C72" w:rsidRPr="00FC5C72" w14:paraId="70A95598" w14:textId="77777777" w:rsidTr="00163EF7">
        <w:trPr>
          <w:cantSplit/>
          <w:trHeight w:val="57"/>
        </w:trPr>
        <w:tc>
          <w:tcPr>
            <w:tcW w:w="3865" w:type="dxa"/>
            <w:tcMar>
              <w:left w:w="108" w:type="dxa"/>
              <w:right w:w="108" w:type="dxa"/>
            </w:tcMar>
            <w:vAlign w:val="center"/>
          </w:tcPr>
          <w:p w14:paraId="4B8FBFC5" w14:textId="30A89451" w:rsidR="00163EF7" w:rsidRPr="00FC5C72" w:rsidRDefault="00163EF7" w:rsidP="00785B18">
            <w:pPr>
              <w:spacing w:after="0" w:line="240" w:lineRule="auto"/>
              <w:ind w:left="-20" w:right="-20"/>
              <w:rPr>
                <w:rFonts w:ascii="Times New Roman" w:hAnsi="Times New Roman"/>
                <w:sz w:val="24"/>
                <w:szCs w:val="24"/>
                <w:lang w:val="uz-Cyrl-UZ"/>
              </w:rPr>
            </w:pPr>
            <w:r w:rsidRPr="00FC5C72">
              <w:rPr>
                <w:rFonts w:ascii="Times New Roman" w:hAnsi="Times New Roman"/>
                <w:sz w:val="24"/>
                <w:szCs w:val="24"/>
                <w:lang w:val="uz-Cyrl-UZ"/>
              </w:rPr>
              <w:t>&gt; 8 </w:t>
            </w:r>
            <w:r w:rsidRPr="00FC5C72">
              <w:rPr>
                <w:rFonts w:ascii="Sylfaen" w:hAnsi="Sylfaen"/>
                <w:sz w:val="24"/>
                <w:szCs w:val="24"/>
              </w:rPr>
              <w:t>კვირა</w:t>
            </w:r>
            <w:r w:rsidRPr="00FC5C72">
              <w:rPr>
                <w:rFonts w:ascii="Times New Roman" w:hAnsi="Times New Roman"/>
                <w:sz w:val="24"/>
                <w:szCs w:val="24"/>
                <w:lang w:val="uz-Cyrl-UZ"/>
              </w:rPr>
              <w:t xml:space="preserve"> </w:t>
            </w:r>
            <w:r w:rsidRPr="00FC5C72">
              <w:rPr>
                <w:rFonts w:ascii="Sylfaen" w:hAnsi="Sylfaen"/>
                <w:sz w:val="24"/>
                <w:szCs w:val="24"/>
              </w:rPr>
              <w:t>და</w:t>
            </w:r>
            <w:r w:rsidRPr="00FC5C72">
              <w:rPr>
                <w:rFonts w:ascii="Times New Roman" w:hAnsi="Times New Roman"/>
                <w:sz w:val="24"/>
                <w:szCs w:val="24"/>
                <w:lang w:val="uz-Cyrl-UZ"/>
              </w:rPr>
              <w:t xml:space="preserve"> &lt; 2 </w:t>
            </w:r>
            <w:r w:rsidRPr="00FC5C72">
              <w:rPr>
                <w:rFonts w:ascii="Sylfaen" w:hAnsi="Sylfaen"/>
                <w:sz w:val="24"/>
                <w:szCs w:val="24"/>
              </w:rPr>
              <w:t>წელი</w:t>
            </w:r>
            <w:r w:rsidRPr="00FC5C72">
              <w:rPr>
                <w:rFonts w:ascii="Times New Roman" w:hAnsi="Times New Roman"/>
                <w:sz w:val="24"/>
                <w:szCs w:val="24"/>
                <w:lang w:val="uz-Cyrl-UZ"/>
              </w:rPr>
              <w:t xml:space="preserve"> (</w:t>
            </w:r>
            <w:r w:rsidRPr="00FC5C72">
              <w:rPr>
                <w:rFonts w:ascii="Sylfaen" w:hAnsi="Sylfaen"/>
                <w:sz w:val="24"/>
                <w:szCs w:val="24"/>
              </w:rPr>
              <w:t>მამრობითი და მდედრობითი სქესი</w:t>
            </w:r>
            <w:r w:rsidRPr="00FC5C72">
              <w:rPr>
                <w:rFonts w:ascii="Times New Roman" w:hAnsi="Times New Roman"/>
                <w:sz w:val="24"/>
                <w:szCs w:val="24"/>
                <w:lang w:val="uz-Cyrl-UZ"/>
              </w:rPr>
              <w:t>)</w:t>
            </w:r>
          </w:p>
        </w:tc>
        <w:tc>
          <w:tcPr>
            <w:tcW w:w="2453" w:type="dxa"/>
            <w:tcMar>
              <w:left w:w="108" w:type="dxa"/>
              <w:right w:w="108" w:type="dxa"/>
            </w:tcMar>
            <w:vAlign w:val="center"/>
          </w:tcPr>
          <w:p w14:paraId="64BCC9E5"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96 ± 22</w:t>
            </w:r>
          </w:p>
        </w:tc>
        <w:tc>
          <w:tcPr>
            <w:tcW w:w="3667" w:type="dxa"/>
            <w:tcMar>
              <w:left w:w="108" w:type="dxa"/>
              <w:right w:w="108" w:type="dxa"/>
            </w:tcMar>
            <w:vAlign w:val="center"/>
          </w:tcPr>
          <w:p w14:paraId="399A5485"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 22</w:t>
            </w:r>
          </w:p>
        </w:tc>
      </w:tr>
      <w:tr w:rsidR="00FC5C72" w:rsidRPr="00FC5C72" w14:paraId="545993D9" w14:textId="77777777" w:rsidTr="00163EF7">
        <w:trPr>
          <w:cantSplit/>
          <w:trHeight w:val="57"/>
        </w:trPr>
        <w:tc>
          <w:tcPr>
            <w:tcW w:w="3865" w:type="dxa"/>
            <w:tcMar>
              <w:left w:w="108" w:type="dxa"/>
              <w:right w:w="108" w:type="dxa"/>
            </w:tcMar>
            <w:vAlign w:val="center"/>
          </w:tcPr>
          <w:p w14:paraId="2B459BE9" w14:textId="301E5CFE" w:rsidR="00163EF7" w:rsidRPr="00FC5C72" w:rsidRDefault="00163EF7" w:rsidP="00785B18">
            <w:pPr>
              <w:spacing w:after="0" w:line="240" w:lineRule="auto"/>
              <w:ind w:left="-20" w:right="-20"/>
              <w:rPr>
                <w:rFonts w:ascii="Times New Roman" w:hAnsi="Times New Roman"/>
                <w:sz w:val="24"/>
                <w:szCs w:val="24"/>
                <w:lang w:val="uz-Cyrl-UZ"/>
              </w:rPr>
            </w:pPr>
            <w:r w:rsidRPr="00FC5C72">
              <w:rPr>
                <w:rFonts w:ascii="Times New Roman" w:hAnsi="Times New Roman"/>
                <w:sz w:val="24"/>
                <w:szCs w:val="24"/>
                <w:lang w:val="uz-Cyrl-UZ"/>
              </w:rPr>
              <w:t>2–12 </w:t>
            </w:r>
            <w:r w:rsidRPr="00FC5C72">
              <w:rPr>
                <w:rFonts w:ascii="Sylfaen" w:hAnsi="Sylfaen"/>
                <w:sz w:val="24"/>
                <w:szCs w:val="24"/>
              </w:rPr>
              <w:t>წელი</w:t>
            </w:r>
            <w:r w:rsidRPr="00FC5C72">
              <w:rPr>
                <w:rFonts w:ascii="Times New Roman" w:hAnsi="Times New Roman"/>
                <w:sz w:val="24"/>
                <w:szCs w:val="24"/>
                <w:lang w:val="uz-Cyrl-UZ"/>
              </w:rPr>
              <w:t xml:space="preserve"> (</w:t>
            </w:r>
            <w:r w:rsidRPr="00FC5C72">
              <w:rPr>
                <w:rFonts w:ascii="Sylfaen" w:hAnsi="Sylfaen"/>
                <w:sz w:val="24"/>
                <w:szCs w:val="24"/>
              </w:rPr>
              <w:t>მამრობითი და მდედრობითი სქესი</w:t>
            </w:r>
            <w:r w:rsidRPr="00FC5C72">
              <w:rPr>
                <w:rFonts w:ascii="Times New Roman" w:hAnsi="Times New Roman"/>
                <w:sz w:val="24"/>
                <w:szCs w:val="24"/>
                <w:lang w:val="uz-Cyrl-UZ"/>
              </w:rPr>
              <w:t>)</w:t>
            </w:r>
          </w:p>
        </w:tc>
        <w:tc>
          <w:tcPr>
            <w:tcW w:w="2453" w:type="dxa"/>
            <w:tcMar>
              <w:left w:w="108" w:type="dxa"/>
              <w:right w:w="108" w:type="dxa"/>
            </w:tcMar>
            <w:vAlign w:val="center"/>
          </w:tcPr>
          <w:p w14:paraId="287AFE81"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133 ± 27</w:t>
            </w:r>
          </w:p>
        </w:tc>
        <w:tc>
          <w:tcPr>
            <w:tcW w:w="3667" w:type="dxa"/>
            <w:tcMar>
              <w:left w:w="108" w:type="dxa"/>
              <w:right w:w="108" w:type="dxa"/>
            </w:tcMar>
            <w:vAlign w:val="center"/>
          </w:tcPr>
          <w:p w14:paraId="118271EF"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 30</w:t>
            </w:r>
          </w:p>
        </w:tc>
      </w:tr>
      <w:tr w:rsidR="00FC5C72" w:rsidRPr="00FC5C72" w14:paraId="7066841B" w14:textId="77777777" w:rsidTr="00163EF7">
        <w:trPr>
          <w:cantSplit/>
          <w:trHeight w:val="57"/>
        </w:trPr>
        <w:tc>
          <w:tcPr>
            <w:tcW w:w="3865" w:type="dxa"/>
            <w:tcMar>
              <w:left w:w="108" w:type="dxa"/>
              <w:right w:w="108" w:type="dxa"/>
            </w:tcMar>
            <w:vAlign w:val="center"/>
          </w:tcPr>
          <w:p w14:paraId="0B89C440" w14:textId="3F1A4ADD" w:rsidR="00163EF7" w:rsidRPr="00FC5C72" w:rsidRDefault="00163EF7" w:rsidP="00785B18">
            <w:pPr>
              <w:keepNext/>
              <w:spacing w:after="0" w:line="240" w:lineRule="auto"/>
              <w:ind w:left="-20" w:right="-20"/>
              <w:rPr>
                <w:rFonts w:ascii="Times New Roman" w:hAnsi="Times New Roman"/>
                <w:sz w:val="24"/>
                <w:szCs w:val="24"/>
                <w:lang w:val="uz-Cyrl-UZ"/>
              </w:rPr>
            </w:pPr>
            <w:r w:rsidRPr="00FC5C72">
              <w:rPr>
                <w:rFonts w:ascii="Times New Roman" w:hAnsi="Times New Roman"/>
                <w:sz w:val="24"/>
                <w:szCs w:val="24"/>
                <w:lang w:val="uz-Cyrl-UZ"/>
              </w:rPr>
              <w:t>13–17 </w:t>
            </w:r>
            <w:r w:rsidRPr="00FC5C72">
              <w:rPr>
                <w:rFonts w:ascii="Sylfaen" w:hAnsi="Sylfaen"/>
                <w:sz w:val="24"/>
                <w:szCs w:val="24"/>
              </w:rPr>
              <w:t>წელი</w:t>
            </w:r>
            <w:r w:rsidRPr="00FC5C72">
              <w:rPr>
                <w:rFonts w:ascii="Times New Roman" w:hAnsi="Times New Roman"/>
                <w:sz w:val="24"/>
                <w:szCs w:val="24"/>
                <w:lang w:val="uz-Cyrl-UZ"/>
              </w:rPr>
              <w:t xml:space="preserve"> (</w:t>
            </w:r>
            <w:r w:rsidRPr="00FC5C72">
              <w:rPr>
                <w:rFonts w:ascii="Sylfaen" w:hAnsi="Sylfaen"/>
                <w:sz w:val="24"/>
                <w:szCs w:val="24"/>
              </w:rPr>
              <w:t>მამრობითი სქესი</w:t>
            </w:r>
            <w:r w:rsidRPr="00FC5C72">
              <w:rPr>
                <w:rFonts w:ascii="Times New Roman" w:hAnsi="Times New Roman"/>
                <w:sz w:val="24"/>
                <w:szCs w:val="24"/>
                <w:lang w:val="uz-Cyrl-UZ"/>
              </w:rPr>
              <w:t>)</w:t>
            </w:r>
          </w:p>
        </w:tc>
        <w:tc>
          <w:tcPr>
            <w:tcW w:w="2453" w:type="dxa"/>
            <w:tcMar>
              <w:left w:w="108" w:type="dxa"/>
              <w:right w:w="108" w:type="dxa"/>
            </w:tcMar>
            <w:vAlign w:val="center"/>
          </w:tcPr>
          <w:p w14:paraId="3F3A8B9D"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140 ± 30</w:t>
            </w:r>
          </w:p>
        </w:tc>
        <w:tc>
          <w:tcPr>
            <w:tcW w:w="3667" w:type="dxa"/>
            <w:tcMar>
              <w:left w:w="108" w:type="dxa"/>
              <w:right w:w="108" w:type="dxa"/>
            </w:tcMar>
            <w:vAlign w:val="center"/>
          </w:tcPr>
          <w:p w14:paraId="440AE100"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 30</w:t>
            </w:r>
          </w:p>
        </w:tc>
      </w:tr>
      <w:tr w:rsidR="00FC5C72" w:rsidRPr="00FC5C72" w14:paraId="2013A2FB" w14:textId="77777777" w:rsidTr="00163EF7">
        <w:trPr>
          <w:cantSplit/>
          <w:trHeight w:val="57"/>
        </w:trPr>
        <w:tc>
          <w:tcPr>
            <w:tcW w:w="3865" w:type="dxa"/>
            <w:tcMar>
              <w:left w:w="108" w:type="dxa"/>
              <w:right w:w="108" w:type="dxa"/>
            </w:tcMar>
            <w:vAlign w:val="center"/>
          </w:tcPr>
          <w:p w14:paraId="27E6E81C" w14:textId="1F599770" w:rsidR="00163EF7" w:rsidRPr="00FC5C72" w:rsidRDefault="00163EF7" w:rsidP="00785B18">
            <w:pPr>
              <w:keepNext/>
              <w:spacing w:after="0" w:line="240" w:lineRule="auto"/>
              <w:ind w:left="-20" w:right="-20"/>
              <w:rPr>
                <w:rFonts w:ascii="Times New Roman" w:hAnsi="Times New Roman"/>
                <w:sz w:val="24"/>
                <w:szCs w:val="24"/>
                <w:lang w:val="uz-Cyrl-UZ"/>
              </w:rPr>
            </w:pPr>
            <w:r w:rsidRPr="00FC5C72">
              <w:rPr>
                <w:rFonts w:ascii="Times New Roman" w:hAnsi="Times New Roman"/>
                <w:sz w:val="24"/>
                <w:szCs w:val="24"/>
                <w:lang w:val="uz-Cyrl-UZ"/>
              </w:rPr>
              <w:t>13–17 </w:t>
            </w:r>
            <w:r w:rsidRPr="00FC5C72">
              <w:rPr>
                <w:rFonts w:ascii="Sylfaen" w:hAnsi="Sylfaen"/>
                <w:sz w:val="24"/>
                <w:szCs w:val="24"/>
              </w:rPr>
              <w:t>წელი</w:t>
            </w:r>
            <w:r w:rsidRPr="00FC5C72">
              <w:rPr>
                <w:rFonts w:ascii="Times New Roman" w:hAnsi="Times New Roman"/>
                <w:sz w:val="24"/>
                <w:szCs w:val="24"/>
                <w:lang w:val="uz-Cyrl-UZ"/>
              </w:rPr>
              <w:t xml:space="preserve"> (</w:t>
            </w:r>
            <w:r w:rsidRPr="00FC5C72">
              <w:rPr>
                <w:rFonts w:ascii="Sylfaen" w:hAnsi="Sylfaen"/>
                <w:sz w:val="24"/>
                <w:szCs w:val="24"/>
              </w:rPr>
              <w:t>მდედრობითი სქესი</w:t>
            </w:r>
            <w:r w:rsidRPr="00FC5C72">
              <w:rPr>
                <w:rFonts w:ascii="Times New Roman" w:hAnsi="Times New Roman"/>
                <w:sz w:val="24"/>
                <w:szCs w:val="24"/>
                <w:lang w:val="uz-Cyrl-UZ"/>
              </w:rPr>
              <w:t>)</w:t>
            </w:r>
          </w:p>
        </w:tc>
        <w:tc>
          <w:tcPr>
            <w:tcW w:w="2453" w:type="dxa"/>
            <w:tcMar>
              <w:left w:w="108" w:type="dxa"/>
              <w:right w:w="108" w:type="dxa"/>
            </w:tcMar>
            <w:vAlign w:val="center"/>
          </w:tcPr>
          <w:p w14:paraId="60634E04"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126 ± 22</w:t>
            </w:r>
          </w:p>
        </w:tc>
        <w:tc>
          <w:tcPr>
            <w:tcW w:w="3667" w:type="dxa"/>
            <w:tcMar>
              <w:left w:w="108" w:type="dxa"/>
              <w:right w:w="108" w:type="dxa"/>
            </w:tcMar>
            <w:vAlign w:val="center"/>
          </w:tcPr>
          <w:p w14:paraId="5CB4D31B" w14:textId="77777777" w:rsidR="00163EF7" w:rsidRPr="00FC5C72" w:rsidRDefault="00163EF7" w:rsidP="00785B18">
            <w:pPr>
              <w:spacing w:after="0" w:line="240" w:lineRule="auto"/>
              <w:ind w:left="-20" w:right="-20"/>
              <w:jc w:val="center"/>
              <w:rPr>
                <w:rFonts w:ascii="Times New Roman" w:hAnsi="Times New Roman"/>
                <w:sz w:val="24"/>
                <w:szCs w:val="24"/>
                <w:lang w:val="uz-Cyrl-UZ"/>
              </w:rPr>
            </w:pPr>
            <w:r w:rsidRPr="00FC5C72">
              <w:rPr>
                <w:rFonts w:ascii="Times New Roman" w:hAnsi="Times New Roman"/>
                <w:sz w:val="24"/>
                <w:szCs w:val="24"/>
                <w:lang w:val="uz-Cyrl-UZ"/>
              </w:rPr>
              <w:t>≥ 30</w:t>
            </w:r>
          </w:p>
        </w:tc>
      </w:tr>
    </w:tbl>
    <w:p w14:paraId="7BE9FC28" w14:textId="4AE4DE74" w:rsidR="00163EF7" w:rsidRPr="00FC5C72" w:rsidRDefault="00163EF7" w:rsidP="00785B18">
      <w:pPr>
        <w:spacing w:after="0" w:line="240" w:lineRule="auto"/>
        <w:jc w:val="both"/>
        <w:rPr>
          <w:sz w:val="24"/>
          <w:szCs w:val="24"/>
        </w:rPr>
      </w:pPr>
      <w:r w:rsidRPr="00FC5C72">
        <w:rPr>
          <w:sz w:val="24"/>
          <w:szCs w:val="24"/>
        </w:rPr>
        <w:t>*</w:t>
      </w:r>
      <w:r w:rsidR="000C2BF5" w:rsidRPr="00FC5C72">
        <w:rPr>
          <w:sz w:val="24"/>
          <w:szCs w:val="24"/>
        </w:rPr>
        <w:t xml:space="preserve"> </w:t>
      </w:r>
      <w:proofErr w:type="spellStart"/>
      <w:r w:rsidR="000C2BF5" w:rsidRPr="00FC5C72">
        <w:rPr>
          <w:sz w:val="24"/>
          <w:szCs w:val="24"/>
        </w:rPr>
        <w:t>გორგლოვანი</w:t>
      </w:r>
      <w:proofErr w:type="spellEnd"/>
      <w:r w:rsidR="000C2BF5" w:rsidRPr="00FC5C72">
        <w:rPr>
          <w:sz w:val="24"/>
          <w:szCs w:val="24"/>
        </w:rPr>
        <w:t xml:space="preserve"> ფილტრაციის სავარაუდო სიჩქარის ზღვრული მნიშვნელობა კვლევაში </w:t>
      </w:r>
      <w:r w:rsidR="000C2BF5" w:rsidRPr="00FC5C72">
        <w:rPr>
          <w:rFonts w:ascii="Times New Roman" w:hAnsi="Times New Roman"/>
          <w:sz w:val="24"/>
          <w:szCs w:val="24"/>
          <w:lang w:val="uz-Cyrl-UZ"/>
        </w:rPr>
        <w:t>CV185325</w:t>
      </w:r>
      <w:r w:rsidR="000C2BF5" w:rsidRPr="00FC5C72">
        <w:rPr>
          <w:sz w:val="24"/>
          <w:szCs w:val="24"/>
        </w:rPr>
        <w:t xml:space="preserve"> ჩასართავად, რომელიც გამოთვლილი იყო შვარცის განახლებული ფორმულით </w:t>
      </w:r>
      <w:r w:rsidR="000C2BF5" w:rsidRPr="00FC5C72">
        <w:rPr>
          <w:rFonts w:ascii="Times New Roman" w:hAnsi="Times New Roman"/>
          <w:sz w:val="24"/>
          <w:szCs w:val="24"/>
          <w:lang w:val="uz-Cyrl-UZ"/>
        </w:rPr>
        <w:t>(Schwartz, GJ с соавт., CJASN 2009).</w:t>
      </w:r>
      <w:r w:rsidR="000C2BF5" w:rsidRPr="00FC5C72">
        <w:rPr>
          <w:sz w:val="24"/>
          <w:szCs w:val="24"/>
        </w:rPr>
        <w:t xml:space="preserve"> </w:t>
      </w:r>
      <w:r w:rsidR="000C2BF5" w:rsidRPr="00FC5C72">
        <w:rPr>
          <w:rFonts w:ascii="Sylfaen" w:hAnsi="Sylfaen"/>
          <w:sz w:val="24"/>
          <w:szCs w:val="24"/>
        </w:rPr>
        <w:t>თუ პოტენცი</w:t>
      </w:r>
      <w:r w:rsidR="00E66A28" w:rsidRPr="00FC5C72">
        <w:rPr>
          <w:rFonts w:ascii="Sylfaen" w:hAnsi="Sylfaen"/>
          <w:sz w:val="24"/>
          <w:szCs w:val="24"/>
        </w:rPr>
        <w:t xml:space="preserve">ური </w:t>
      </w:r>
      <w:r w:rsidR="000C2BF5" w:rsidRPr="00FC5C72">
        <w:rPr>
          <w:rFonts w:ascii="Sylfaen" w:hAnsi="Sylfaen"/>
          <w:sz w:val="24"/>
          <w:szCs w:val="24"/>
        </w:rPr>
        <w:t xml:space="preserve">მონაწილის </w:t>
      </w:r>
      <w:r w:rsidR="000C2BF5" w:rsidRPr="00FC5C72">
        <w:rPr>
          <w:sz w:val="24"/>
          <w:szCs w:val="24"/>
        </w:rPr>
        <w:t xml:space="preserve">გორგლოვანი ფილტრაციის სავარაუდო სიჩქარე პროტოკოლში მითითებულ ამ ზღვრულ მნიშვნელობაზე უფრო დაბალი იყო, ითვლება, რომ ამ მონაწილეს აქვს „თირკმელების ფუნქციის უკმარისობა“, რომელიც გამორიცხავს კვლევაში </w:t>
      </w:r>
      <w:r w:rsidR="000C2BF5" w:rsidRPr="00FC5C72">
        <w:rPr>
          <w:rFonts w:ascii="Times New Roman" w:hAnsi="Times New Roman"/>
          <w:sz w:val="24"/>
          <w:szCs w:val="24"/>
          <w:lang w:val="uz-Cyrl-UZ"/>
        </w:rPr>
        <w:t>CV185325</w:t>
      </w:r>
      <w:r w:rsidR="00D96AB9" w:rsidRPr="00FC5C72">
        <w:rPr>
          <w:sz w:val="24"/>
          <w:szCs w:val="24"/>
        </w:rPr>
        <w:t xml:space="preserve"> მონაწილეობის შესაძლებლობას. ზღვრულის სახით შერჩეული იქნა გორგლოვანი ფილტრაციის სავარაუდო სიჩქარე, რომელიც 1 სტანდარტული გადაცდომიდან 30%-იანი სიდიდის უფრო დაბალი იყო ქვედა ზღვრის ნორმალური დიაპაზონიდან სქესისა და ასაკისთვის. 2 წლამდე ასაკის პაციენტებისთვის ზღვრული მნიშვნელობები შეესაბამება გორგლოვანი ფილტრაციის სავარაუდო სიჩქარეს &lt;30 მლ/წთ/1,73 მ</w:t>
      </w:r>
      <w:r w:rsidR="00D96AB9" w:rsidRPr="00FC5C72">
        <w:rPr>
          <w:sz w:val="24"/>
          <w:szCs w:val="24"/>
          <w:vertAlign w:val="superscript"/>
        </w:rPr>
        <w:t>2</w:t>
      </w:r>
      <w:r w:rsidR="00D96AB9" w:rsidRPr="00FC5C72">
        <w:rPr>
          <w:sz w:val="24"/>
          <w:szCs w:val="24"/>
        </w:rPr>
        <w:t>,</w:t>
      </w:r>
      <w:r w:rsidR="00011ED6" w:rsidRPr="00FC5C72">
        <w:rPr>
          <w:sz w:val="24"/>
          <w:szCs w:val="24"/>
        </w:rPr>
        <w:t xml:space="preserve"> რომელიც ჩვეულებრივ დამახასიათებელია თირკმელების მძიმე უკმარისობისთვის 2 წელზე უფროსი ასაკის პაციენტებისთვის. </w:t>
      </w:r>
    </w:p>
    <w:p w14:paraId="3BB37C61" w14:textId="6FB760D7" w:rsidR="00011ED6" w:rsidRPr="00FC5C72" w:rsidRDefault="00011ED6" w:rsidP="00785B18">
      <w:pPr>
        <w:spacing w:after="0" w:line="240" w:lineRule="auto"/>
        <w:jc w:val="both"/>
        <w:rPr>
          <w:sz w:val="24"/>
          <w:szCs w:val="24"/>
        </w:rPr>
      </w:pPr>
    </w:p>
    <w:p w14:paraId="690AFC82" w14:textId="4936EB7F" w:rsidR="00011ED6" w:rsidRPr="00FC5C72" w:rsidRDefault="00011ED6" w:rsidP="00785B18">
      <w:pPr>
        <w:spacing w:after="0" w:line="240" w:lineRule="auto"/>
        <w:jc w:val="both"/>
        <w:rPr>
          <w:sz w:val="24"/>
          <w:szCs w:val="24"/>
          <w:u w:val="single"/>
        </w:rPr>
      </w:pPr>
      <w:r w:rsidRPr="00FC5C72">
        <w:rPr>
          <w:sz w:val="24"/>
          <w:szCs w:val="24"/>
        </w:rPr>
        <w:t xml:space="preserve">ბავშვთა ასაკის პაციენტები, რომლებშიც გორგლოვანი ფილტრაციის სიჩქარე შეადგენდა </w:t>
      </w:r>
      <w:r w:rsidRPr="00FC5C72">
        <w:rPr>
          <w:sz w:val="24"/>
          <w:szCs w:val="24"/>
          <w:u w:val="single"/>
        </w:rPr>
        <w:t>&lt;</w:t>
      </w:r>
      <w:r w:rsidRPr="00FC5C72">
        <w:rPr>
          <w:sz w:val="24"/>
          <w:szCs w:val="24"/>
        </w:rPr>
        <w:t>55 მლ/წთ/1,73 მ</w:t>
      </w:r>
      <w:r w:rsidRPr="00FC5C72">
        <w:rPr>
          <w:sz w:val="24"/>
          <w:szCs w:val="24"/>
          <w:vertAlign w:val="superscript"/>
        </w:rPr>
        <w:t>2</w:t>
      </w:r>
      <w:r w:rsidRPr="00FC5C72">
        <w:rPr>
          <w:sz w:val="24"/>
          <w:szCs w:val="24"/>
        </w:rPr>
        <w:t xml:space="preserve">, არ იღებდნენ მონაწილეობას კვლევაში </w:t>
      </w:r>
      <w:r w:rsidRPr="00FC5C72">
        <w:rPr>
          <w:rFonts w:ascii="Times New Roman" w:hAnsi="Times New Roman"/>
          <w:sz w:val="24"/>
          <w:szCs w:val="24"/>
          <w:lang w:val="uz-Cyrl-UZ"/>
        </w:rPr>
        <w:t>CV185325</w:t>
      </w:r>
      <w:r w:rsidRPr="00FC5C72">
        <w:rPr>
          <w:sz w:val="24"/>
          <w:szCs w:val="24"/>
        </w:rPr>
        <w:t xml:space="preserve">, თუმცა თირკმელების ფუნქციის მსუბუქი ან ზომიერი დარღვევის (გორგლოვანი ფილტრაციის სავარაუდო სიჩქარე </w:t>
      </w:r>
      <w:r w:rsidRPr="00FC5C72">
        <w:rPr>
          <w:sz w:val="24"/>
          <w:szCs w:val="24"/>
          <w:u w:val="single"/>
        </w:rPr>
        <w:t>&gt;</w:t>
      </w:r>
      <w:r w:rsidRPr="00FC5C72">
        <w:rPr>
          <w:sz w:val="24"/>
          <w:szCs w:val="24"/>
        </w:rPr>
        <w:t>30-დან &lt;60-მდე მლ/წთ/1,73 სხეულის ზედაპირის ფართობის მ</w:t>
      </w:r>
      <w:r w:rsidRPr="00FC5C72">
        <w:rPr>
          <w:sz w:val="24"/>
          <w:szCs w:val="24"/>
          <w:vertAlign w:val="superscript"/>
        </w:rPr>
        <w:t>2</w:t>
      </w:r>
      <w:r w:rsidRPr="00FC5C72">
        <w:rPr>
          <w:sz w:val="24"/>
          <w:szCs w:val="24"/>
        </w:rPr>
        <w:t xml:space="preserve">) მქონე პაციენტები მონაწილეობისთვის შესაფერისი იყვნენ. </w:t>
      </w:r>
      <w:r w:rsidR="00AF0132" w:rsidRPr="00FC5C72">
        <w:rPr>
          <w:sz w:val="24"/>
          <w:szCs w:val="24"/>
        </w:rPr>
        <w:t xml:space="preserve">მოზრდილი პაციენტების მონაცემებისა და ბავშვთა ასაკის ყველა პაციენტისთვის შეზღუდული მონაცემების თანახმად, აპიქსაბანის მიღების ჯგუფში, თირკმელების ფუნქციის მსუბუქი ან ზომიერი დარღვევის მქონე ბავშვთა ასაკის პაციენტებისთვის დოზის კორექტირება საჭირო არ არის. </w:t>
      </w:r>
      <w:r w:rsidR="0041684A" w:rsidRPr="00FC5C72">
        <w:rPr>
          <w:sz w:val="24"/>
          <w:szCs w:val="24"/>
        </w:rPr>
        <w:t>აპიქსაბანის მიღება არ არის რეკომენდებული თირკმელების ფუნქციის მძიმე დარღვევის მქონე პაციენტებისთვის (იხ. პარაგრაფები „გამოყენების წესი და დოზები“ და „განსაკუთრებული მითითება“).</w:t>
      </w:r>
    </w:p>
    <w:p w14:paraId="357ECA83" w14:textId="5C2BE6B8" w:rsidR="002F38DA" w:rsidRPr="00FC5C72" w:rsidRDefault="002F38DA" w:rsidP="00785B18">
      <w:pPr>
        <w:spacing w:after="0" w:line="240" w:lineRule="auto"/>
        <w:jc w:val="both"/>
        <w:rPr>
          <w:sz w:val="24"/>
          <w:szCs w:val="24"/>
        </w:rPr>
      </w:pPr>
    </w:p>
    <w:p w14:paraId="08737B72" w14:textId="6E245ACD" w:rsidR="00700431" w:rsidRPr="00FC5C72" w:rsidRDefault="00700431" w:rsidP="00785B18">
      <w:pPr>
        <w:spacing w:after="0" w:line="240" w:lineRule="auto"/>
        <w:jc w:val="both"/>
        <w:rPr>
          <w:i/>
          <w:iCs/>
          <w:sz w:val="24"/>
          <w:szCs w:val="24"/>
        </w:rPr>
      </w:pPr>
      <w:r w:rsidRPr="00FC5C72">
        <w:rPr>
          <w:i/>
          <w:iCs/>
          <w:sz w:val="24"/>
          <w:szCs w:val="24"/>
        </w:rPr>
        <w:t>ღვიძლის ფუნქციის დარღვევა</w:t>
      </w:r>
    </w:p>
    <w:p w14:paraId="4C9BD7E9" w14:textId="061DC2AC" w:rsidR="007837B3" w:rsidRPr="00FC5C72" w:rsidRDefault="00700431" w:rsidP="00785B18">
      <w:pPr>
        <w:spacing w:after="0" w:line="240" w:lineRule="auto"/>
        <w:jc w:val="both"/>
        <w:rPr>
          <w:sz w:val="24"/>
          <w:szCs w:val="24"/>
        </w:rPr>
      </w:pPr>
      <w:r w:rsidRPr="00FC5C72">
        <w:rPr>
          <w:sz w:val="24"/>
          <w:szCs w:val="24"/>
        </w:rPr>
        <w:t xml:space="preserve">კვლევაში, სადაც ღვიძლის ფუნქციის მსუბუქი დარღვევის მქონე 8 </w:t>
      </w:r>
      <w:r w:rsidR="007837B3" w:rsidRPr="00FC5C72">
        <w:rPr>
          <w:sz w:val="24"/>
          <w:szCs w:val="24"/>
        </w:rPr>
        <w:t>პაციენტი</w:t>
      </w:r>
      <w:r w:rsidRPr="00FC5C72">
        <w:rPr>
          <w:sz w:val="24"/>
          <w:szCs w:val="24"/>
        </w:rPr>
        <w:t xml:space="preserve"> (A კლასი</w:t>
      </w:r>
      <w:r w:rsidR="007837B3" w:rsidRPr="00FC5C72">
        <w:rPr>
          <w:sz w:val="24"/>
          <w:szCs w:val="24"/>
        </w:rPr>
        <w:t xml:space="preserve"> </w:t>
      </w:r>
      <w:r w:rsidRPr="00FC5C72">
        <w:rPr>
          <w:sz w:val="24"/>
          <w:szCs w:val="24"/>
        </w:rPr>
        <w:t xml:space="preserve">ჩაილდ-პიუს </w:t>
      </w:r>
      <w:r w:rsidR="007837B3" w:rsidRPr="00FC5C72">
        <w:rPr>
          <w:sz w:val="24"/>
          <w:szCs w:val="24"/>
        </w:rPr>
        <w:t>კლასიფიკაციის</w:t>
      </w:r>
      <w:r w:rsidRPr="00FC5C72">
        <w:rPr>
          <w:sz w:val="24"/>
          <w:szCs w:val="24"/>
        </w:rPr>
        <w:t xml:space="preserve"> მიხედვით</w:t>
      </w:r>
      <w:r w:rsidR="007837B3" w:rsidRPr="00FC5C72">
        <w:rPr>
          <w:sz w:val="24"/>
          <w:szCs w:val="24"/>
        </w:rPr>
        <w:t>,</w:t>
      </w:r>
      <w:r w:rsidRPr="00FC5C72">
        <w:rPr>
          <w:sz w:val="24"/>
          <w:szCs w:val="24"/>
        </w:rPr>
        <w:t xml:space="preserve"> </w:t>
      </w:r>
      <w:r w:rsidR="0041684A" w:rsidRPr="00FC5C72">
        <w:rPr>
          <w:sz w:val="24"/>
          <w:szCs w:val="24"/>
        </w:rPr>
        <w:t>ქულა</w:t>
      </w:r>
      <w:r w:rsidRPr="00FC5C72">
        <w:rPr>
          <w:sz w:val="24"/>
          <w:szCs w:val="24"/>
        </w:rPr>
        <w:t xml:space="preserve"> 5 (n = 6) და 6 (n = 2)) და 8 </w:t>
      </w:r>
      <w:r w:rsidR="007837B3" w:rsidRPr="00FC5C72">
        <w:rPr>
          <w:sz w:val="24"/>
          <w:szCs w:val="24"/>
        </w:rPr>
        <w:t>პაციენტი</w:t>
      </w:r>
      <w:r w:rsidRPr="00FC5C72">
        <w:rPr>
          <w:sz w:val="24"/>
          <w:szCs w:val="24"/>
        </w:rPr>
        <w:t xml:space="preserve"> ღვიძლის</w:t>
      </w:r>
      <w:r w:rsidR="007837B3" w:rsidRPr="00FC5C72">
        <w:rPr>
          <w:sz w:val="24"/>
          <w:szCs w:val="24"/>
        </w:rPr>
        <w:t xml:space="preserve"> </w:t>
      </w:r>
      <w:r w:rsidRPr="00FC5C72">
        <w:rPr>
          <w:sz w:val="24"/>
          <w:szCs w:val="24"/>
        </w:rPr>
        <w:t xml:space="preserve">ფუნქციის ზომიერი დარღვევით (კლასი B ჩაილდ-პიუს </w:t>
      </w:r>
      <w:r w:rsidR="007837B3" w:rsidRPr="00FC5C72">
        <w:rPr>
          <w:sz w:val="24"/>
          <w:szCs w:val="24"/>
        </w:rPr>
        <w:t xml:space="preserve">კლასიფიკაციის </w:t>
      </w:r>
      <w:r w:rsidRPr="00FC5C72">
        <w:rPr>
          <w:sz w:val="24"/>
          <w:szCs w:val="24"/>
        </w:rPr>
        <w:t>მიხედვით</w:t>
      </w:r>
      <w:r w:rsidR="007837B3" w:rsidRPr="00FC5C72">
        <w:rPr>
          <w:sz w:val="24"/>
          <w:szCs w:val="24"/>
        </w:rPr>
        <w:t>,</w:t>
      </w:r>
      <w:r w:rsidRPr="00FC5C72">
        <w:rPr>
          <w:sz w:val="24"/>
          <w:szCs w:val="24"/>
        </w:rPr>
        <w:t xml:space="preserve"> </w:t>
      </w:r>
      <w:r w:rsidR="0041684A" w:rsidRPr="00FC5C72">
        <w:rPr>
          <w:sz w:val="24"/>
          <w:szCs w:val="24"/>
        </w:rPr>
        <w:t>ქულა</w:t>
      </w:r>
      <w:r w:rsidR="007837B3" w:rsidRPr="00FC5C72">
        <w:rPr>
          <w:sz w:val="24"/>
          <w:szCs w:val="24"/>
        </w:rPr>
        <w:t xml:space="preserve"> </w:t>
      </w:r>
      <w:r w:rsidRPr="00FC5C72">
        <w:rPr>
          <w:sz w:val="24"/>
          <w:szCs w:val="24"/>
        </w:rPr>
        <w:t xml:space="preserve">7 (n =6) და 8 (n = 2)) შედარებული იყო 16 ჯანმრთელ </w:t>
      </w:r>
      <w:r w:rsidR="007837B3" w:rsidRPr="00FC5C72">
        <w:rPr>
          <w:sz w:val="24"/>
          <w:szCs w:val="24"/>
        </w:rPr>
        <w:t>მოხალისესთან</w:t>
      </w:r>
      <w:r w:rsidRPr="00FC5C72">
        <w:rPr>
          <w:sz w:val="24"/>
          <w:szCs w:val="24"/>
        </w:rPr>
        <w:t xml:space="preserve"> საკონტროლო ჯგუფიდან, აპიქსაბანის 5 მგ ერთჯერადი დოზის ფარმაკოკინეტიკ</w:t>
      </w:r>
      <w:r w:rsidR="007837B3" w:rsidRPr="00FC5C72">
        <w:rPr>
          <w:sz w:val="24"/>
          <w:szCs w:val="24"/>
        </w:rPr>
        <w:t>ური</w:t>
      </w:r>
      <w:r w:rsidRPr="00FC5C72">
        <w:rPr>
          <w:sz w:val="24"/>
          <w:szCs w:val="24"/>
        </w:rPr>
        <w:t xml:space="preserve"> და ფარმაკოდინამიკ</w:t>
      </w:r>
      <w:r w:rsidR="007837B3" w:rsidRPr="00FC5C72">
        <w:rPr>
          <w:sz w:val="24"/>
          <w:szCs w:val="24"/>
        </w:rPr>
        <w:t>ური პარამეტრები</w:t>
      </w:r>
      <w:r w:rsidRPr="00FC5C72">
        <w:rPr>
          <w:sz w:val="24"/>
          <w:szCs w:val="24"/>
        </w:rPr>
        <w:t xml:space="preserve"> არ შეცვლილა</w:t>
      </w:r>
      <w:r w:rsidR="007837B3" w:rsidRPr="00FC5C72">
        <w:rPr>
          <w:sz w:val="24"/>
          <w:szCs w:val="24"/>
        </w:rPr>
        <w:t xml:space="preserve"> </w:t>
      </w:r>
      <w:r w:rsidRPr="00FC5C72">
        <w:rPr>
          <w:sz w:val="24"/>
          <w:szCs w:val="24"/>
        </w:rPr>
        <w:t xml:space="preserve">ღვიძლის ფუნქციის დარღვევის მქონე </w:t>
      </w:r>
      <w:r w:rsidR="007837B3" w:rsidRPr="00FC5C72">
        <w:rPr>
          <w:sz w:val="24"/>
          <w:szCs w:val="24"/>
        </w:rPr>
        <w:t>პაციენტებში</w:t>
      </w:r>
      <w:r w:rsidRPr="00FC5C72">
        <w:rPr>
          <w:sz w:val="24"/>
          <w:szCs w:val="24"/>
        </w:rPr>
        <w:t>. ანტი-Xa-ფაქტორული აქტივობისა და</w:t>
      </w:r>
      <w:r w:rsidR="007837B3" w:rsidRPr="00FC5C72">
        <w:rPr>
          <w:sz w:val="24"/>
          <w:szCs w:val="24"/>
        </w:rPr>
        <w:t xml:space="preserve"> </w:t>
      </w:r>
      <w:r w:rsidRPr="00FC5C72">
        <w:rPr>
          <w:sz w:val="24"/>
          <w:szCs w:val="24"/>
        </w:rPr>
        <w:t>სნთ-ის</w:t>
      </w:r>
      <w:r w:rsidR="007837B3" w:rsidRPr="00FC5C72">
        <w:rPr>
          <w:sz w:val="24"/>
          <w:szCs w:val="24"/>
        </w:rPr>
        <w:t xml:space="preserve"> (საერთაშორისო ნორმალიზებული დრო)</w:t>
      </w:r>
      <w:r w:rsidRPr="00FC5C72">
        <w:rPr>
          <w:sz w:val="24"/>
          <w:szCs w:val="24"/>
        </w:rPr>
        <w:t xml:space="preserve"> ცვლილებები იყო შედარებადი ღვიძლის </w:t>
      </w:r>
      <w:r w:rsidR="007837B3" w:rsidRPr="00FC5C72">
        <w:rPr>
          <w:sz w:val="24"/>
          <w:szCs w:val="24"/>
        </w:rPr>
        <w:t xml:space="preserve">ფუნქციის </w:t>
      </w:r>
      <w:r w:rsidRPr="00FC5C72">
        <w:rPr>
          <w:sz w:val="24"/>
          <w:szCs w:val="24"/>
        </w:rPr>
        <w:t xml:space="preserve">მსუბუქი და ზომიერი </w:t>
      </w:r>
      <w:r w:rsidR="007837B3" w:rsidRPr="00FC5C72">
        <w:rPr>
          <w:sz w:val="24"/>
          <w:szCs w:val="24"/>
        </w:rPr>
        <w:t>დარღვევის</w:t>
      </w:r>
      <w:r w:rsidRPr="00FC5C72">
        <w:rPr>
          <w:sz w:val="24"/>
          <w:szCs w:val="24"/>
        </w:rPr>
        <w:t xml:space="preserve"> მქონე</w:t>
      </w:r>
      <w:r w:rsidR="007837B3" w:rsidRPr="00FC5C72">
        <w:rPr>
          <w:sz w:val="24"/>
          <w:szCs w:val="24"/>
        </w:rPr>
        <w:t xml:space="preserve"> პაციენტებსა</w:t>
      </w:r>
      <w:r w:rsidRPr="00FC5C72">
        <w:rPr>
          <w:sz w:val="24"/>
          <w:szCs w:val="24"/>
        </w:rPr>
        <w:t xml:space="preserve"> და ჯანმრთელ </w:t>
      </w:r>
      <w:r w:rsidR="007837B3" w:rsidRPr="00FC5C72">
        <w:rPr>
          <w:sz w:val="24"/>
          <w:szCs w:val="24"/>
        </w:rPr>
        <w:t>პირებს</w:t>
      </w:r>
      <w:r w:rsidRPr="00FC5C72">
        <w:rPr>
          <w:sz w:val="24"/>
          <w:szCs w:val="24"/>
        </w:rPr>
        <w:t xml:space="preserve"> შორის. </w:t>
      </w:r>
    </w:p>
    <w:p w14:paraId="3EC1F097" w14:textId="7A443277" w:rsidR="0041684A" w:rsidRPr="00FC5C72" w:rsidRDefault="0041684A" w:rsidP="00785B18">
      <w:pPr>
        <w:spacing w:after="0" w:line="240" w:lineRule="auto"/>
        <w:jc w:val="both"/>
        <w:rPr>
          <w:sz w:val="24"/>
          <w:szCs w:val="24"/>
        </w:rPr>
      </w:pPr>
      <w:r w:rsidRPr="00FC5C72">
        <w:rPr>
          <w:sz w:val="24"/>
          <w:szCs w:val="24"/>
        </w:rPr>
        <w:t xml:space="preserve">ღვიძლის ფუნქციის დარღვევის მქონე ბავშვთა ასაკის პაციენტების პოპულაციაში აპიქსაბანის გამოყენება არ არის შესწავლილი. </w:t>
      </w:r>
    </w:p>
    <w:p w14:paraId="38FE12A3" w14:textId="77777777" w:rsidR="0041684A" w:rsidRPr="00FC5C72" w:rsidRDefault="0041684A" w:rsidP="00785B18">
      <w:pPr>
        <w:spacing w:after="0" w:line="240" w:lineRule="auto"/>
        <w:jc w:val="both"/>
        <w:rPr>
          <w:sz w:val="24"/>
          <w:szCs w:val="24"/>
        </w:rPr>
      </w:pPr>
    </w:p>
    <w:p w14:paraId="32D5E51F" w14:textId="77777777" w:rsidR="007837B3" w:rsidRPr="00FC5C72" w:rsidRDefault="00700431" w:rsidP="00785B18">
      <w:pPr>
        <w:spacing w:after="0" w:line="240" w:lineRule="auto"/>
        <w:jc w:val="both"/>
        <w:rPr>
          <w:i/>
          <w:iCs/>
          <w:sz w:val="24"/>
          <w:szCs w:val="24"/>
        </w:rPr>
      </w:pPr>
      <w:r w:rsidRPr="00FC5C72">
        <w:rPr>
          <w:i/>
          <w:iCs/>
          <w:sz w:val="24"/>
          <w:szCs w:val="24"/>
        </w:rPr>
        <w:t xml:space="preserve">სქესი </w:t>
      </w:r>
    </w:p>
    <w:p w14:paraId="036BFA46" w14:textId="18C7F288" w:rsidR="001A779F" w:rsidRPr="00FC5C72" w:rsidRDefault="00700431" w:rsidP="00785B18">
      <w:pPr>
        <w:spacing w:after="0" w:line="240" w:lineRule="auto"/>
        <w:jc w:val="both"/>
        <w:rPr>
          <w:sz w:val="24"/>
          <w:szCs w:val="24"/>
        </w:rPr>
      </w:pPr>
      <w:r w:rsidRPr="00FC5C72">
        <w:rPr>
          <w:sz w:val="24"/>
          <w:szCs w:val="24"/>
        </w:rPr>
        <w:t xml:space="preserve">აპიქსაბანის </w:t>
      </w:r>
      <w:r w:rsidR="002E09D3" w:rsidRPr="00FC5C72">
        <w:rPr>
          <w:sz w:val="24"/>
          <w:szCs w:val="24"/>
        </w:rPr>
        <w:t>ზემოქმედება</w:t>
      </w:r>
      <w:r w:rsidRPr="00FC5C72">
        <w:rPr>
          <w:sz w:val="24"/>
          <w:szCs w:val="24"/>
        </w:rPr>
        <w:t xml:space="preserve"> ქალ</w:t>
      </w:r>
      <w:r w:rsidR="002E09D3" w:rsidRPr="00FC5C72">
        <w:rPr>
          <w:sz w:val="24"/>
          <w:szCs w:val="24"/>
        </w:rPr>
        <w:t>ის ორგანიზმზე</w:t>
      </w:r>
      <w:r w:rsidRPr="00FC5C72">
        <w:rPr>
          <w:sz w:val="24"/>
          <w:szCs w:val="24"/>
        </w:rPr>
        <w:t xml:space="preserve"> დაახლოებით 18%-ით უფრო მაღალია, ვიდრე მამაკაცებში. </w:t>
      </w:r>
    </w:p>
    <w:p w14:paraId="49B0124A" w14:textId="4F8BFC23" w:rsidR="002E09D3" w:rsidRPr="00FC5C72" w:rsidRDefault="002E09D3" w:rsidP="00785B18">
      <w:pPr>
        <w:spacing w:after="0" w:line="240" w:lineRule="auto"/>
        <w:jc w:val="both"/>
        <w:rPr>
          <w:sz w:val="24"/>
          <w:szCs w:val="24"/>
        </w:rPr>
      </w:pPr>
      <w:r w:rsidRPr="00FC5C72">
        <w:rPr>
          <w:sz w:val="24"/>
          <w:szCs w:val="24"/>
        </w:rPr>
        <w:t xml:space="preserve">ბავშვთა ასაკის პაციენტებში ფარმაკოკინეტიკური თვისებების გენდერული სხვაობები არ არის შესწავლილი. </w:t>
      </w:r>
    </w:p>
    <w:p w14:paraId="4854AC1F" w14:textId="77777777" w:rsidR="002E09D3" w:rsidRPr="00FC5C72" w:rsidRDefault="002E09D3" w:rsidP="00785B18">
      <w:pPr>
        <w:spacing w:after="0" w:line="240" w:lineRule="auto"/>
        <w:jc w:val="both"/>
        <w:rPr>
          <w:sz w:val="24"/>
          <w:szCs w:val="24"/>
        </w:rPr>
      </w:pPr>
    </w:p>
    <w:p w14:paraId="51D208DC" w14:textId="77777777" w:rsidR="001A779F" w:rsidRPr="00FC5C72" w:rsidRDefault="001A779F" w:rsidP="00785B18">
      <w:pPr>
        <w:spacing w:after="0" w:line="240" w:lineRule="auto"/>
        <w:jc w:val="both"/>
        <w:rPr>
          <w:i/>
          <w:iCs/>
          <w:sz w:val="24"/>
          <w:szCs w:val="24"/>
        </w:rPr>
      </w:pPr>
      <w:r w:rsidRPr="00FC5C72">
        <w:rPr>
          <w:i/>
          <w:iCs/>
          <w:sz w:val="24"/>
          <w:szCs w:val="24"/>
        </w:rPr>
        <w:t xml:space="preserve">რასა და </w:t>
      </w:r>
      <w:r w:rsidR="00700431" w:rsidRPr="00FC5C72">
        <w:rPr>
          <w:i/>
          <w:iCs/>
          <w:sz w:val="24"/>
          <w:szCs w:val="24"/>
        </w:rPr>
        <w:t xml:space="preserve">ეთნიკური წარმომავლობა </w:t>
      </w:r>
    </w:p>
    <w:p w14:paraId="335E7AEC" w14:textId="76890700" w:rsidR="00527A04" w:rsidRPr="00FC5C72" w:rsidRDefault="00700431" w:rsidP="00785B18">
      <w:pPr>
        <w:spacing w:after="0" w:line="240" w:lineRule="auto"/>
        <w:jc w:val="both"/>
        <w:rPr>
          <w:sz w:val="24"/>
          <w:szCs w:val="24"/>
        </w:rPr>
      </w:pPr>
      <w:r w:rsidRPr="00FC5C72">
        <w:rPr>
          <w:sz w:val="24"/>
          <w:szCs w:val="24"/>
        </w:rPr>
        <w:t>I ფაზის კვლევების დროს მიღებული შედეგები</w:t>
      </w:r>
      <w:r w:rsidR="00527A04" w:rsidRPr="00FC5C72">
        <w:rPr>
          <w:sz w:val="24"/>
          <w:szCs w:val="24"/>
        </w:rPr>
        <w:t xml:space="preserve"> არ</w:t>
      </w:r>
      <w:r w:rsidRPr="00FC5C72">
        <w:rPr>
          <w:sz w:val="24"/>
          <w:szCs w:val="24"/>
        </w:rPr>
        <w:t xml:space="preserve"> მიუთითებენ აშკარა განსხვავებ</w:t>
      </w:r>
      <w:r w:rsidR="00527A04" w:rsidRPr="00FC5C72">
        <w:rPr>
          <w:sz w:val="24"/>
          <w:szCs w:val="24"/>
        </w:rPr>
        <w:t xml:space="preserve">აზე </w:t>
      </w:r>
      <w:r w:rsidRPr="00FC5C72">
        <w:rPr>
          <w:sz w:val="24"/>
          <w:szCs w:val="24"/>
        </w:rPr>
        <w:t>აპიქსაბანის ფარმაკოკინეტიკაში ევროპეოიდული, მონღოლური და</w:t>
      </w:r>
      <w:r w:rsidR="00527A04" w:rsidRPr="00FC5C72">
        <w:rPr>
          <w:sz w:val="24"/>
          <w:szCs w:val="24"/>
        </w:rPr>
        <w:t xml:space="preserve"> </w:t>
      </w:r>
      <w:r w:rsidRPr="00FC5C72">
        <w:rPr>
          <w:sz w:val="24"/>
          <w:szCs w:val="24"/>
        </w:rPr>
        <w:t>ნეგროიდული რასების წარმომადგენლებს შორის. პოპულაციური ფარმაკოკინეტიკური</w:t>
      </w:r>
      <w:r w:rsidR="00527A04" w:rsidRPr="00FC5C72">
        <w:rPr>
          <w:sz w:val="24"/>
          <w:szCs w:val="24"/>
        </w:rPr>
        <w:t xml:space="preserve"> </w:t>
      </w:r>
      <w:r w:rsidRPr="00FC5C72">
        <w:rPr>
          <w:sz w:val="24"/>
          <w:szCs w:val="24"/>
        </w:rPr>
        <w:t>ანალიზის შედეგები პაციენტებში, რომლებიც იღებდნენ აპიქსაბანს, ზოგადად</w:t>
      </w:r>
      <w:r w:rsidR="00527A04" w:rsidRPr="00FC5C72">
        <w:rPr>
          <w:sz w:val="24"/>
          <w:szCs w:val="24"/>
        </w:rPr>
        <w:t xml:space="preserve"> </w:t>
      </w:r>
      <w:r w:rsidRPr="00FC5C72">
        <w:rPr>
          <w:sz w:val="24"/>
          <w:szCs w:val="24"/>
        </w:rPr>
        <w:t xml:space="preserve">შეესაბამებოდა I ფაზის კვლევების შედეგებს. </w:t>
      </w:r>
    </w:p>
    <w:p w14:paraId="01DE80A4" w14:textId="0FAB5B65" w:rsidR="002E09D3" w:rsidRPr="00FC5C72" w:rsidRDefault="002E09D3" w:rsidP="00785B18">
      <w:pPr>
        <w:spacing w:after="0" w:line="240" w:lineRule="auto"/>
        <w:jc w:val="both"/>
        <w:rPr>
          <w:sz w:val="24"/>
          <w:szCs w:val="24"/>
        </w:rPr>
      </w:pPr>
      <w:r w:rsidRPr="00FC5C72">
        <w:rPr>
          <w:sz w:val="24"/>
          <w:szCs w:val="24"/>
        </w:rPr>
        <w:t>ეთნიკურ წარმომავლობასთან და რასასთან დაკავშირებული ფარმაკოკინეტიკური თვისებების სხვაობები ბავშვთა ასაკის პაციენტების პოპულაციაში არ არის შესწავლილი.</w:t>
      </w:r>
    </w:p>
    <w:p w14:paraId="103057D4" w14:textId="77777777" w:rsidR="00470736" w:rsidRPr="00FC5C72" w:rsidRDefault="00470736" w:rsidP="00785B18">
      <w:pPr>
        <w:spacing w:after="0" w:line="240" w:lineRule="auto"/>
        <w:jc w:val="both"/>
        <w:rPr>
          <w:sz w:val="24"/>
          <w:szCs w:val="24"/>
        </w:rPr>
      </w:pPr>
    </w:p>
    <w:p w14:paraId="3ADAAE92" w14:textId="77777777" w:rsidR="00527A04" w:rsidRPr="00FC5C72" w:rsidRDefault="00700431" w:rsidP="00785B18">
      <w:pPr>
        <w:spacing w:after="0" w:line="240" w:lineRule="auto"/>
        <w:jc w:val="both"/>
        <w:rPr>
          <w:i/>
          <w:iCs/>
          <w:sz w:val="24"/>
          <w:szCs w:val="24"/>
        </w:rPr>
      </w:pPr>
      <w:r w:rsidRPr="00FC5C72">
        <w:rPr>
          <w:i/>
          <w:iCs/>
          <w:sz w:val="24"/>
          <w:szCs w:val="24"/>
        </w:rPr>
        <w:t xml:space="preserve">სხეულის მასა </w:t>
      </w:r>
    </w:p>
    <w:p w14:paraId="021DF9A9" w14:textId="5EEFDEA1" w:rsidR="00490555" w:rsidRPr="00FC5C72" w:rsidRDefault="00490555" w:rsidP="00785B18">
      <w:pPr>
        <w:spacing w:after="0" w:line="240" w:lineRule="auto"/>
        <w:jc w:val="both"/>
        <w:rPr>
          <w:sz w:val="24"/>
          <w:szCs w:val="24"/>
        </w:rPr>
      </w:pPr>
      <w:r w:rsidRPr="00FC5C72">
        <w:rPr>
          <w:sz w:val="24"/>
          <w:szCs w:val="24"/>
        </w:rPr>
        <w:t xml:space="preserve">120 კგ-ზე მეტი წონის პაციენტების სისხლის პლაზმაში აპიქსაბანის კონცენტრაცია დაახლოებით 30%-ით უფრო დაბალი იყო, ვიდრე 65-85 კგ მასის მქონე პაციენტებში, ხოლო 50 კგ-ზე ნაკლები წონის პაციენტებში ეს მაჩვენებელი დაახლოებით 30%-ით მაღალია. </w:t>
      </w:r>
    </w:p>
    <w:p w14:paraId="333CB1B6" w14:textId="66C232BE" w:rsidR="00607DCC" w:rsidRPr="00FC5C72" w:rsidRDefault="00607DCC" w:rsidP="00785B18">
      <w:pPr>
        <w:spacing w:after="0" w:line="240" w:lineRule="auto"/>
        <w:jc w:val="both"/>
        <w:rPr>
          <w:sz w:val="24"/>
          <w:szCs w:val="24"/>
        </w:rPr>
      </w:pPr>
      <w:r w:rsidRPr="00FC5C72">
        <w:rPr>
          <w:sz w:val="24"/>
          <w:szCs w:val="24"/>
        </w:rPr>
        <w:t>ბავშვთა ასაკის პაციენტების პოპულაციაში აპიქსაბანი გამოიყენებოდა ფიქსირებული დოზით, წონის მიხედვით.</w:t>
      </w:r>
    </w:p>
    <w:p w14:paraId="6F97037F" w14:textId="77777777" w:rsidR="00844DAD" w:rsidRPr="00FC5C72" w:rsidRDefault="00844DAD" w:rsidP="00785B18">
      <w:pPr>
        <w:spacing w:after="0" w:line="240" w:lineRule="auto"/>
        <w:jc w:val="both"/>
        <w:rPr>
          <w:i/>
          <w:iCs/>
          <w:sz w:val="24"/>
          <w:szCs w:val="24"/>
        </w:rPr>
      </w:pPr>
    </w:p>
    <w:p w14:paraId="6A42D172" w14:textId="1BD71D8E" w:rsidR="00490555" w:rsidRPr="00FC5C72" w:rsidRDefault="00700431" w:rsidP="00785B18">
      <w:pPr>
        <w:spacing w:after="0" w:line="240" w:lineRule="auto"/>
        <w:jc w:val="both"/>
        <w:rPr>
          <w:i/>
          <w:iCs/>
          <w:sz w:val="24"/>
          <w:szCs w:val="24"/>
        </w:rPr>
      </w:pPr>
      <w:r w:rsidRPr="00FC5C72">
        <w:rPr>
          <w:i/>
          <w:iCs/>
          <w:sz w:val="24"/>
          <w:szCs w:val="24"/>
        </w:rPr>
        <w:t>ფარმაკოკინეტიკ</w:t>
      </w:r>
      <w:r w:rsidR="00490555" w:rsidRPr="00FC5C72">
        <w:rPr>
          <w:i/>
          <w:iCs/>
          <w:sz w:val="24"/>
          <w:szCs w:val="24"/>
        </w:rPr>
        <w:t xml:space="preserve">ის და </w:t>
      </w:r>
      <w:r w:rsidRPr="00FC5C72">
        <w:rPr>
          <w:i/>
          <w:iCs/>
          <w:sz w:val="24"/>
          <w:szCs w:val="24"/>
        </w:rPr>
        <w:t>ფარმაკოდინამიკ</w:t>
      </w:r>
      <w:r w:rsidR="00490555" w:rsidRPr="00FC5C72">
        <w:rPr>
          <w:i/>
          <w:iCs/>
          <w:sz w:val="24"/>
          <w:szCs w:val="24"/>
        </w:rPr>
        <w:t xml:space="preserve">ის პარამეტრების </w:t>
      </w:r>
      <w:r w:rsidR="00A10233" w:rsidRPr="00FC5C72">
        <w:rPr>
          <w:i/>
          <w:iCs/>
          <w:sz w:val="24"/>
          <w:szCs w:val="24"/>
        </w:rPr>
        <w:t>დამოკიდებულება</w:t>
      </w:r>
    </w:p>
    <w:p w14:paraId="4AA75D6C" w14:textId="0DBD9872" w:rsidR="00700431" w:rsidRPr="00FC5C72" w:rsidRDefault="00A10233" w:rsidP="00785B18">
      <w:pPr>
        <w:spacing w:after="0" w:line="240" w:lineRule="auto"/>
        <w:jc w:val="both"/>
        <w:rPr>
          <w:sz w:val="24"/>
          <w:szCs w:val="24"/>
        </w:rPr>
      </w:pPr>
      <w:r w:rsidRPr="00FC5C72">
        <w:rPr>
          <w:sz w:val="24"/>
          <w:szCs w:val="24"/>
        </w:rPr>
        <w:t xml:space="preserve">მოზრდილებში </w:t>
      </w:r>
      <w:r w:rsidR="00700431" w:rsidRPr="00FC5C72">
        <w:rPr>
          <w:sz w:val="24"/>
          <w:szCs w:val="24"/>
        </w:rPr>
        <w:t xml:space="preserve">ფარმაკოკინეტიკური/ფარმაკოდინამიკური </w:t>
      </w:r>
      <w:r w:rsidRPr="00FC5C72">
        <w:rPr>
          <w:sz w:val="24"/>
          <w:szCs w:val="24"/>
        </w:rPr>
        <w:t>ურთიერთკავშირი</w:t>
      </w:r>
      <w:r w:rsidR="00700431" w:rsidRPr="00FC5C72">
        <w:rPr>
          <w:sz w:val="24"/>
          <w:szCs w:val="24"/>
        </w:rPr>
        <w:t xml:space="preserve"> სისხლის პლაზმაში</w:t>
      </w:r>
      <w:r w:rsidR="00490555" w:rsidRPr="00FC5C72">
        <w:rPr>
          <w:sz w:val="24"/>
          <w:szCs w:val="24"/>
        </w:rPr>
        <w:t xml:space="preserve"> აპიქსაბანის </w:t>
      </w:r>
      <w:r w:rsidR="00700431" w:rsidRPr="00FC5C72">
        <w:rPr>
          <w:sz w:val="24"/>
          <w:szCs w:val="24"/>
        </w:rPr>
        <w:t>კონცენტრაცი</w:t>
      </w:r>
      <w:r w:rsidR="00490555" w:rsidRPr="00FC5C72">
        <w:rPr>
          <w:sz w:val="24"/>
          <w:szCs w:val="24"/>
        </w:rPr>
        <w:t>ა</w:t>
      </w:r>
      <w:r w:rsidR="00700431" w:rsidRPr="00FC5C72">
        <w:rPr>
          <w:sz w:val="24"/>
          <w:szCs w:val="24"/>
        </w:rPr>
        <w:t xml:space="preserve">სა და რამდენიმე ფარმაკოდინამიკურ საბოლოო წერტილს შორის </w:t>
      </w:r>
      <w:r w:rsidR="00490555" w:rsidRPr="00FC5C72">
        <w:rPr>
          <w:sz w:val="24"/>
          <w:szCs w:val="24"/>
        </w:rPr>
        <w:t>(</w:t>
      </w:r>
      <w:r w:rsidR="00700431" w:rsidRPr="00FC5C72">
        <w:rPr>
          <w:sz w:val="24"/>
          <w:szCs w:val="24"/>
        </w:rPr>
        <w:t>Xa- ფაქტორ</w:t>
      </w:r>
      <w:r w:rsidR="00490555" w:rsidRPr="00FC5C72">
        <w:rPr>
          <w:sz w:val="24"/>
          <w:szCs w:val="24"/>
        </w:rPr>
        <w:t>ის</w:t>
      </w:r>
      <w:r w:rsidR="00700431" w:rsidRPr="00FC5C72">
        <w:rPr>
          <w:sz w:val="24"/>
          <w:szCs w:val="24"/>
        </w:rPr>
        <w:t xml:space="preserve"> აქტივობ</w:t>
      </w:r>
      <w:r w:rsidR="00490555" w:rsidRPr="00FC5C72">
        <w:rPr>
          <w:sz w:val="24"/>
          <w:szCs w:val="24"/>
        </w:rPr>
        <w:t>ის დათრგუნვა</w:t>
      </w:r>
      <w:r w:rsidR="00700431" w:rsidRPr="00FC5C72">
        <w:rPr>
          <w:sz w:val="24"/>
          <w:szCs w:val="24"/>
        </w:rPr>
        <w:t xml:space="preserve">, სნთ, პდ, ანთდ) შეფასებული იყო </w:t>
      </w:r>
      <w:r w:rsidR="00490555" w:rsidRPr="00FC5C72">
        <w:rPr>
          <w:sz w:val="24"/>
          <w:szCs w:val="24"/>
        </w:rPr>
        <w:t xml:space="preserve">პრეპარატის </w:t>
      </w:r>
      <w:r w:rsidR="00700431" w:rsidRPr="00FC5C72">
        <w:rPr>
          <w:sz w:val="24"/>
          <w:szCs w:val="24"/>
        </w:rPr>
        <w:t xml:space="preserve"> დოზების</w:t>
      </w:r>
      <w:r w:rsidR="00490555" w:rsidRPr="00FC5C72">
        <w:rPr>
          <w:sz w:val="24"/>
          <w:szCs w:val="24"/>
        </w:rPr>
        <w:t xml:space="preserve"> </w:t>
      </w:r>
      <w:r w:rsidR="00700431" w:rsidRPr="00FC5C72">
        <w:rPr>
          <w:sz w:val="24"/>
          <w:szCs w:val="24"/>
        </w:rPr>
        <w:t xml:space="preserve">მიღების შემდეგ ფართო დიაპაზონში </w:t>
      </w:r>
      <w:r w:rsidR="00490555" w:rsidRPr="00FC5C72">
        <w:rPr>
          <w:sz w:val="24"/>
          <w:szCs w:val="24"/>
        </w:rPr>
        <w:t>(</w:t>
      </w:r>
      <w:r w:rsidR="00700431" w:rsidRPr="00FC5C72">
        <w:rPr>
          <w:sz w:val="24"/>
          <w:szCs w:val="24"/>
        </w:rPr>
        <w:t>0.5 მგ-დან 50 მგ-მდე</w:t>
      </w:r>
      <w:r w:rsidR="00490555" w:rsidRPr="00FC5C72">
        <w:rPr>
          <w:sz w:val="24"/>
          <w:szCs w:val="24"/>
        </w:rPr>
        <w:t>)</w:t>
      </w:r>
      <w:r w:rsidR="00700431" w:rsidRPr="00FC5C72">
        <w:rPr>
          <w:sz w:val="24"/>
          <w:szCs w:val="24"/>
        </w:rPr>
        <w:t xml:space="preserve">. </w:t>
      </w:r>
      <w:r w:rsidRPr="00FC5C72">
        <w:rPr>
          <w:sz w:val="24"/>
          <w:szCs w:val="24"/>
        </w:rPr>
        <w:t>დამოკიდებულება</w:t>
      </w:r>
      <w:r w:rsidR="00700431" w:rsidRPr="00FC5C72">
        <w:rPr>
          <w:sz w:val="24"/>
          <w:szCs w:val="24"/>
        </w:rPr>
        <w:t xml:space="preserve"> აპიქსაბანის კონცენტრაციასა და Xa-</w:t>
      </w:r>
      <w:r w:rsidR="00490555" w:rsidRPr="00FC5C72">
        <w:rPr>
          <w:sz w:val="24"/>
          <w:szCs w:val="24"/>
        </w:rPr>
        <w:t>ფაქტორის</w:t>
      </w:r>
      <w:r w:rsidR="00700431" w:rsidRPr="00FC5C72">
        <w:rPr>
          <w:sz w:val="24"/>
          <w:szCs w:val="24"/>
        </w:rPr>
        <w:t xml:space="preserve"> აქტივობ</w:t>
      </w:r>
      <w:r w:rsidR="00490555" w:rsidRPr="00FC5C72">
        <w:rPr>
          <w:sz w:val="24"/>
          <w:szCs w:val="24"/>
        </w:rPr>
        <w:t>ი</w:t>
      </w:r>
      <w:r w:rsidR="00700431" w:rsidRPr="00FC5C72">
        <w:rPr>
          <w:sz w:val="24"/>
          <w:szCs w:val="24"/>
        </w:rPr>
        <w:t>ს</w:t>
      </w:r>
      <w:r w:rsidR="00490555" w:rsidRPr="00FC5C72">
        <w:rPr>
          <w:sz w:val="24"/>
          <w:szCs w:val="24"/>
        </w:rPr>
        <w:t xml:space="preserve"> დათრგუნვას</w:t>
      </w:r>
      <w:r w:rsidR="00700431" w:rsidRPr="00FC5C72">
        <w:rPr>
          <w:sz w:val="24"/>
          <w:szCs w:val="24"/>
        </w:rPr>
        <w:t xml:space="preserve"> შორის ყველაზე</w:t>
      </w:r>
      <w:r w:rsidR="00490555" w:rsidRPr="00FC5C72">
        <w:rPr>
          <w:sz w:val="24"/>
          <w:szCs w:val="24"/>
        </w:rPr>
        <w:t xml:space="preserve"> </w:t>
      </w:r>
      <w:r w:rsidR="00700431" w:rsidRPr="00FC5C72">
        <w:rPr>
          <w:sz w:val="24"/>
          <w:szCs w:val="24"/>
        </w:rPr>
        <w:t xml:space="preserve">კარგად იყო აღწერილი ხაზოვანი მოდელის გამოყენებით. </w:t>
      </w:r>
      <w:r w:rsidR="00490555" w:rsidRPr="00FC5C72">
        <w:rPr>
          <w:sz w:val="24"/>
          <w:szCs w:val="24"/>
        </w:rPr>
        <w:t xml:space="preserve">აპიქსაბანის </w:t>
      </w:r>
      <w:r w:rsidR="00700431" w:rsidRPr="00FC5C72">
        <w:rPr>
          <w:sz w:val="24"/>
          <w:szCs w:val="24"/>
        </w:rPr>
        <w:t>ფარმაკოკინეტიკ</w:t>
      </w:r>
      <w:r w:rsidRPr="00FC5C72">
        <w:rPr>
          <w:sz w:val="24"/>
          <w:szCs w:val="24"/>
        </w:rPr>
        <w:t xml:space="preserve">ისა და </w:t>
      </w:r>
      <w:r w:rsidR="00700431" w:rsidRPr="00FC5C72">
        <w:rPr>
          <w:sz w:val="24"/>
          <w:szCs w:val="24"/>
        </w:rPr>
        <w:t>ფარმაკოდინამიკ</w:t>
      </w:r>
      <w:r w:rsidRPr="00FC5C72">
        <w:rPr>
          <w:sz w:val="24"/>
          <w:szCs w:val="24"/>
        </w:rPr>
        <w:t>ის</w:t>
      </w:r>
      <w:r w:rsidR="00700431" w:rsidRPr="00FC5C72">
        <w:rPr>
          <w:sz w:val="24"/>
          <w:szCs w:val="24"/>
        </w:rPr>
        <w:t xml:space="preserve"> პარამეტრები</w:t>
      </w:r>
      <w:r w:rsidR="00490555" w:rsidRPr="00FC5C72">
        <w:rPr>
          <w:sz w:val="24"/>
          <w:szCs w:val="24"/>
        </w:rPr>
        <w:t xml:space="preserve">ს </w:t>
      </w:r>
      <w:r w:rsidRPr="00FC5C72">
        <w:rPr>
          <w:sz w:val="24"/>
          <w:szCs w:val="24"/>
        </w:rPr>
        <w:t xml:space="preserve">დამოკიდებულება </w:t>
      </w:r>
      <w:r w:rsidR="00700431" w:rsidRPr="00FC5C72">
        <w:rPr>
          <w:sz w:val="24"/>
          <w:szCs w:val="24"/>
        </w:rPr>
        <w:t>პაციენტებში შეესაბამებოდა ანალოგიურ</w:t>
      </w:r>
      <w:r w:rsidR="00490555" w:rsidRPr="00FC5C72">
        <w:rPr>
          <w:sz w:val="24"/>
          <w:szCs w:val="24"/>
        </w:rPr>
        <w:t xml:space="preserve"> მაჩვენებლებს</w:t>
      </w:r>
      <w:r w:rsidR="00700431" w:rsidRPr="00FC5C72">
        <w:rPr>
          <w:sz w:val="24"/>
          <w:szCs w:val="24"/>
        </w:rPr>
        <w:t xml:space="preserve"> ჯანმრთელ</w:t>
      </w:r>
      <w:r w:rsidR="00490555" w:rsidRPr="00FC5C72">
        <w:rPr>
          <w:sz w:val="24"/>
          <w:szCs w:val="24"/>
        </w:rPr>
        <w:t xml:space="preserve"> </w:t>
      </w:r>
      <w:r w:rsidR="00700431" w:rsidRPr="00FC5C72">
        <w:rPr>
          <w:sz w:val="24"/>
          <w:szCs w:val="24"/>
        </w:rPr>
        <w:t>მოხალისეებში.</w:t>
      </w:r>
    </w:p>
    <w:p w14:paraId="3D8E1319" w14:textId="676F0E7F" w:rsidR="00A10233" w:rsidRPr="00FC5C72" w:rsidRDefault="00A10233" w:rsidP="00785B18">
      <w:pPr>
        <w:spacing w:after="0" w:line="240" w:lineRule="auto"/>
        <w:jc w:val="both"/>
        <w:rPr>
          <w:sz w:val="24"/>
          <w:szCs w:val="24"/>
        </w:rPr>
      </w:pPr>
      <w:r w:rsidRPr="00FC5C72">
        <w:rPr>
          <w:sz w:val="24"/>
          <w:szCs w:val="24"/>
        </w:rPr>
        <w:t xml:space="preserve">ანალოგიურად, ბავშვთა ასაკის პაციენტების პოპულაციაში </w:t>
      </w:r>
      <w:r w:rsidR="00F835A6" w:rsidRPr="00FC5C72">
        <w:rPr>
          <w:sz w:val="24"/>
          <w:szCs w:val="24"/>
        </w:rPr>
        <w:t>აპიქსაბანის ფარმაკოკინეტიკისა და ფარმაკოდინამიკის შეფასების შედეგები მიუთითებს ხაზოვან დამოკიდებულებაზე აპიქსაბანის კონცენტრაციასა და Xa ფაქტორის აქტ</w:t>
      </w:r>
      <w:r w:rsidR="008709B9" w:rsidRPr="00FC5C72">
        <w:rPr>
          <w:sz w:val="24"/>
          <w:szCs w:val="24"/>
        </w:rPr>
        <w:t>ი</w:t>
      </w:r>
      <w:r w:rsidR="00F835A6" w:rsidRPr="00FC5C72">
        <w:rPr>
          <w:sz w:val="24"/>
          <w:szCs w:val="24"/>
        </w:rPr>
        <w:t xml:space="preserve">ვობის ინჰიბირებას შორის. გამოვლენილი დამოკიდებულება შეესაბამება მოზრდილებში ადრე დოკუმენტირებულ მაჩვენებელს. </w:t>
      </w:r>
    </w:p>
    <w:p w14:paraId="23345A95" w14:textId="77777777" w:rsidR="00F835A6" w:rsidRPr="00FC5C72" w:rsidRDefault="00F835A6" w:rsidP="00785B18">
      <w:pPr>
        <w:spacing w:after="0" w:line="240" w:lineRule="auto"/>
        <w:jc w:val="both"/>
        <w:rPr>
          <w:sz w:val="24"/>
          <w:szCs w:val="24"/>
        </w:rPr>
      </w:pPr>
    </w:p>
    <w:p w14:paraId="48A3DCA4" w14:textId="69731D37" w:rsidR="0061005F" w:rsidRPr="00FC5C72" w:rsidRDefault="0061005F" w:rsidP="00785B18">
      <w:pPr>
        <w:spacing w:after="0" w:line="240" w:lineRule="auto"/>
        <w:jc w:val="both"/>
        <w:rPr>
          <w:b/>
          <w:bCs/>
          <w:sz w:val="24"/>
          <w:szCs w:val="24"/>
        </w:rPr>
      </w:pPr>
      <w:r w:rsidRPr="00FC5C72">
        <w:rPr>
          <w:b/>
          <w:bCs/>
          <w:sz w:val="24"/>
          <w:szCs w:val="24"/>
        </w:rPr>
        <w:t>გამოყენების ჩვენება</w:t>
      </w:r>
    </w:p>
    <w:p w14:paraId="0034A76B" w14:textId="2E37510C" w:rsidR="00D26D6D" w:rsidRPr="00FC5C72" w:rsidRDefault="00F835A6" w:rsidP="00785B18">
      <w:pPr>
        <w:spacing w:after="0" w:line="240" w:lineRule="auto"/>
        <w:jc w:val="both"/>
        <w:rPr>
          <w:sz w:val="24"/>
          <w:szCs w:val="24"/>
          <w:u w:val="single"/>
        </w:rPr>
      </w:pPr>
      <w:r w:rsidRPr="00FC5C72">
        <w:rPr>
          <w:sz w:val="24"/>
          <w:szCs w:val="24"/>
          <w:u w:val="single"/>
        </w:rPr>
        <w:t>მოზრდილი პაციენტები</w:t>
      </w:r>
    </w:p>
    <w:p w14:paraId="6B5B0A75" w14:textId="2250A820" w:rsidR="00303F95" w:rsidRPr="00FC5C72" w:rsidRDefault="00F835A6" w:rsidP="00785B18">
      <w:pPr>
        <w:pStyle w:val="ListParagraph"/>
        <w:numPr>
          <w:ilvl w:val="0"/>
          <w:numId w:val="13"/>
        </w:numPr>
        <w:spacing w:after="0" w:line="240" w:lineRule="auto"/>
        <w:jc w:val="both"/>
        <w:rPr>
          <w:sz w:val="24"/>
          <w:szCs w:val="24"/>
        </w:rPr>
      </w:pPr>
      <w:r w:rsidRPr="00FC5C72">
        <w:rPr>
          <w:sz w:val="24"/>
          <w:szCs w:val="24"/>
        </w:rPr>
        <w:t>ვენური თრომბოემბოლური გართულებების</w:t>
      </w:r>
      <w:r w:rsidR="00303F95" w:rsidRPr="00FC5C72">
        <w:rPr>
          <w:sz w:val="24"/>
          <w:szCs w:val="24"/>
        </w:rPr>
        <w:t xml:space="preserve"> (ვთგ)</w:t>
      </w:r>
      <w:r w:rsidRPr="00FC5C72">
        <w:rPr>
          <w:sz w:val="24"/>
          <w:szCs w:val="24"/>
        </w:rPr>
        <w:t xml:space="preserve"> პროფილაქტიკა მოზრდილ</w:t>
      </w:r>
      <w:r w:rsidR="00303F95" w:rsidRPr="00FC5C72">
        <w:rPr>
          <w:sz w:val="24"/>
          <w:szCs w:val="24"/>
        </w:rPr>
        <w:t xml:space="preserve"> პაციენტებში მენჯ-ბარძაყის ან მუხლის სახსრის გეგმიური ენდოპროთეზირების შემდეგ. </w:t>
      </w:r>
    </w:p>
    <w:p w14:paraId="4FC52196" w14:textId="64BECF0B" w:rsidR="00303F95" w:rsidRPr="00FC5C72" w:rsidRDefault="00D26D6D" w:rsidP="000A08B8">
      <w:pPr>
        <w:pStyle w:val="ListParagraph"/>
        <w:numPr>
          <w:ilvl w:val="0"/>
          <w:numId w:val="13"/>
        </w:numPr>
        <w:spacing w:after="0" w:line="240" w:lineRule="auto"/>
        <w:jc w:val="both"/>
        <w:rPr>
          <w:sz w:val="24"/>
          <w:szCs w:val="24"/>
        </w:rPr>
      </w:pPr>
      <w:r w:rsidRPr="00FC5C72">
        <w:rPr>
          <w:sz w:val="24"/>
          <w:szCs w:val="24"/>
        </w:rPr>
        <w:t xml:space="preserve">ინსულტისა და სისტემური ემბოლიის პროფილაქტიკა მოზრდილ პაციენტებში წინაგულების არასარქვლოვანი ფიბრილაციით (წასფ), რომლებსაც აქვთ ერთი ან რამდენიმე ისეთი რისკ-ფაქტორი, როგორიცაა </w:t>
      </w:r>
      <w:r w:rsidR="00303F95" w:rsidRPr="00FC5C72">
        <w:rPr>
          <w:sz w:val="24"/>
          <w:szCs w:val="24"/>
        </w:rPr>
        <w:t xml:space="preserve">მანამდე გადატანილი ინსულტი ან ტრანზიტორული იშემიური შეტევა (ტიშ), ასაკი </w:t>
      </w:r>
      <w:r w:rsidR="00303F95" w:rsidRPr="00FC5C72">
        <w:rPr>
          <w:sz w:val="24"/>
          <w:szCs w:val="24"/>
          <w:u w:val="single"/>
        </w:rPr>
        <w:t>&gt;</w:t>
      </w:r>
      <w:r w:rsidR="00303F95" w:rsidRPr="00FC5C72">
        <w:rPr>
          <w:sz w:val="24"/>
          <w:szCs w:val="24"/>
        </w:rPr>
        <w:t xml:space="preserve">75 წელი, არტერიული ჰიპერტენზია, შაქრიანი დიაბეტი,  </w:t>
      </w:r>
      <w:r w:rsidRPr="00FC5C72">
        <w:rPr>
          <w:sz w:val="24"/>
          <w:szCs w:val="24"/>
        </w:rPr>
        <w:t xml:space="preserve">გულის სიმპტომური უკმარისობა </w:t>
      </w:r>
      <w:r w:rsidR="00B0672E" w:rsidRPr="00FC5C72">
        <w:rPr>
          <w:sz w:val="24"/>
          <w:szCs w:val="24"/>
        </w:rPr>
        <w:t xml:space="preserve">ფკ </w:t>
      </w:r>
      <w:r w:rsidR="00B0672E" w:rsidRPr="00FC5C72">
        <w:rPr>
          <w:sz w:val="24"/>
          <w:szCs w:val="24"/>
          <w:u w:val="single"/>
        </w:rPr>
        <w:t>&gt;</w:t>
      </w:r>
      <w:r w:rsidR="00B0672E" w:rsidRPr="00FC5C72">
        <w:rPr>
          <w:sz w:val="24"/>
          <w:szCs w:val="24"/>
        </w:rPr>
        <w:t>II NYHA-ს (ნიუ-იორკის კარდიოლოგიური ასოციაციის) კლასიფიკაციით.</w:t>
      </w:r>
    </w:p>
    <w:p w14:paraId="45F77E63" w14:textId="7B9FF2F5" w:rsidR="003F0EAA" w:rsidRPr="00FC5C72" w:rsidRDefault="00B0672E" w:rsidP="000A08B8">
      <w:pPr>
        <w:pStyle w:val="ListParagraph"/>
        <w:numPr>
          <w:ilvl w:val="0"/>
          <w:numId w:val="13"/>
        </w:numPr>
        <w:spacing w:after="0" w:line="240" w:lineRule="auto"/>
        <w:jc w:val="both"/>
        <w:rPr>
          <w:sz w:val="24"/>
          <w:szCs w:val="24"/>
        </w:rPr>
      </w:pPr>
      <w:r w:rsidRPr="00FC5C72">
        <w:rPr>
          <w:sz w:val="24"/>
          <w:szCs w:val="24"/>
        </w:rPr>
        <w:t>ღრმა ვენების თრომბოზის (</w:t>
      </w:r>
      <w:proofErr w:type="spellStart"/>
      <w:r w:rsidRPr="00FC5C72">
        <w:rPr>
          <w:sz w:val="24"/>
          <w:szCs w:val="24"/>
        </w:rPr>
        <w:t>ღვთ</w:t>
      </w:r>
      <w:proofErr w:type="spellEnd"/>
      <w:r w:rsidRPr="00FC5C72">
        <w:rPr>
          <w:sz w:val="24"/>
          <w:szCs w:val="24"/>
        </w:rPr>
        <w:t>) და ფილტვის არტერიის თრომბოემბოლიის (ფათე) მკურნალობა, ასევე მორეციდივე ღვთ-ის და ფათე-ის პროფილაქტიკა  მოზრდილებში</w:t>
      </w:r>
      <w:r w:rsidR="003F0EAA" w:rsidRPr="00FC5C72">
        <w:rPr>
          <w:sz w:val="24"/>
          <w:szCs w:val="24"/>
        </w:rPr>
        <w:t xml:space="preserve"> (ინფორმაცია არასტაბილური ჰემოდინამიკით ფათე-ის მქონე პაციენტებში გამოყენების შესახებ მოცემულია პარაგრაფში 4.4)</w:t>
      </w:r>
      <w:r w:rsidRPr="00FC5C72">
        <w:rPr>
          <w:sz w:val="24"/>
          <w:szCs w:val="24"/>
        </w:rPr>
        <w:t>.</w:t>
      </w:r>
    </w:p>
    <w:p w14:paraId="38B49B35" w14:textId="77777777" w:rsidR="003F0EAA" w:rsidRPr="00FC5C72" w:rsidRDefault="003F0EAA" w:rsidP="00785B18">
      <w:pPr>
        <w:spacing w:after="0" w:line="240" w:lineRule="auto"/>
        <w:jc w:val="both"/>
        <w:rPr>
          <w:sz w:val="24"/>
          <w:szCs w:val="24"/>
        </w:rPr>
      </w:pPr>
    </w:p>
    <w:p w14:paraId="0D2439F7" w14:textId="06ED24B9" w:rsidR="00D26D6D" w:rsidRPr="00FC5C72" w:rsidRDefault="003F0EAA" w:rsidP="00785B18">
      <w:pPr>
        <w:spacing w:after="0" w:line="240" w:lineRule="auto"/>
        <w:jc w:val="both"/>
        <w:rPr>
          <w:sz w:val="24"/>
          <w:szCs w:val="24"/>
        </w:rPr>
      </w:pPr>
      <w:r w:rsidRPr="00FC5C72">
        <w:rPr>
          <w:sz w:val="24"/>
          <w:szCs w:val="24"/>
          <w:u w:val="single"/>
        </w:rPr>
        <w:t>ბავშვთა ასაკის პაციენტები</w:t>
      </w:r>
      <w:r w:rsidR="00B0672E" w:rsidRPr="00FC5C72">
        <w:rPr>
          <w:sz w:val="24"/>
          <w:szCs w:val="24"/>
        </w:rPr>
        <w:t xml:space="preserve"> </w:t>
      </w:r>
    </w:p>
    <w:p w14:paraId="33498764" w14:textId="3A477456" w:rsidR="003F0EAA" w:rsidRPr="00FC5C72" w:rsidRDefault="00B0672E" w:rsidP="000A08B8">
      <w:pPr>
        <w:pStyle w:val="ListParagraph"/>
        <w:numPr>
          <w:ilvl w:val="0"/>
          <w:numId w:val="13"/>
        </w:numPr>
        <w:spacing w:after="0" w:line="240" w:lineRule="auto"/>
        <w:jc w:val="both"/>
        <w:rPr>
          <w:sz w:val="24"/>
          <w:szCs w:val="24"/>
        </w:rPr>
      </w:pPr>
      <w:r w:rsidRPr="00FC5C72">
        <w:rPr>
          <w:sz w:val="24"/>
          <w:szCs w:val="24"/>
        </w:rPr>
        <w:t xml:space="preserve">ვენური </w:t>
      </w:r>
      <w:proofErr w:type="spellStart"/>
      <w:r w:rsidR="003F0EAA" w:rsidRPr="00FC5C72">
        <w:rPr>
          <w:sz w:val="24"/>
          <w:szCs w:val="24"/>
        </w:rPr>
        <w:t>თრომბოემბოლიის</w:t>
      </w:r>
      <w:proofErr w:type="spellEnd"/>
      <w:r w:rsidRPr="00FC5C72">
        <w:rPr>
          <w:sz w:val="24"/>
          <w:szCs w:val="24"/>
        </w:rPr>
        <w:t xml:space="preserve"> (</w:t>
      </w:r>
      <w:proofErr w:type="spellStart"/>
      <w:r w:rsidRPr="00FC5C72">
        <w:rPr>
          <w:sz w:val="24"/>
          <w:szCs w:val="24"/>
        </w:rPr>
        <w:t>ვთგ</w:t>
      </w:r>
      <w:proofErr w:type="spellEnd"/>
      <w:r w:rsidRPr="00FC5C72">
        <w:rPr>
          <w:sz w:val="24"/>
          <w:szCs w:val="24"/>
        </w:rPr>
        <w:t>)</w:t>
      </w:r>
      <w:r w:rsidR="003F0EAA" w:rsidRPr="00FC5C72">
        <w:rPr>
          <w:sz w:val="24"/>
          <w:szCs w:val="24"/>
        </w:rPr>
        <w:t xml:space="preserve"> მკურნალობა და მორეციდივე ვენური თრომბოემბოლიის (ვთგ)</w:t>
      </w:r>
      <w:r w:rsidRPr="00FC5C72">
        <w:rPr>
          <w:sz w:val="24"/>
          <w:szCs w:val="24"/>
        </w:rPr>
        <w:t xml:space="preserve"> პროფილაქტიკა </w:t>
      </w:r>
      <w:r w:rsidR="003F0EAA" w:rsidRPr="00FC5C72">
        <w:rPr>
          <w:sz w:val="24"/>
          <w:szCs w:val="24"/>
        </w:rPr>
        <w:t xml:space="preserve">28 დღიდან 18 წლამდე ასაკის ბავშვებსა და მოზარდებში. </w:t>
      </w:r>
    </w:p>
    <w:p w14:paraId="7D40C7ED" w14:textId="77777777" w:rsidR="00B0672E" w:rsidRPr="00FC5C72" w:rsidRDefault="00B0672E" w:rsidP="00785B18">
      <w:pPr>
        <w:spacing w:after="0" w:line="240" w:lineRule="auto"/>
        <w:jc w:val="both"/>
        <w:rPr>
          <w:sz w:val="24"/>
          <w:szCs w:val="24"/>
        </w:rPr>
      </w:pPr>
    </w:p>
    <w:p w14:paraId="77085DF4" w14:textId="77777777" w:rsidR="00B0672E" w:rsidRPr="00FC5C72" w:rsidRDefault="00B0672E" w:rsidP="00785B18">
      <w:pPr>
        <w:spacing w:after="0" w:line="240" w:lineRule="auto"/>
        <w:jc w:val="both"/>
        <w:rPr>
          <w:b/>
          <w:bCs/>
          <w:sz w:val="24"/>
          <w:szCs w:val="24"/>
        </w:rPr>
      </w:pPr>
      <w:r w:rsidRPr="00FC5C72">
        <w:rPr>
          <w:b/>
          <w:bCs/>
          <w:sz w:val="24"/>
          <w:szCs w:val="24"/>
        </w:rPr>
        <w:t>გამოყენების წესი და დოზები</w:t>
      </w:r>
    </w:p>
    <w:p w14:paraId="5E6E9CA2" w14:textId="0CBB4096" w:rsidR="00B0672E" w:rsidRPr="00FC5C72" w:rsidRDefault="00B0672E" w:rsidP="00785B18">
      <w:pPr>
        <w:spacing w:after="0" w:line="240" w:lineRule="auto"/>
        <w:jc w:val="both"/>
        <w:rPr>
          <w:sz w:val="24"/>
          <w:szCs w:val="24"/>
          <w:u w:val="single"/>
        </w:rPr>
      </w:pPr>
      <w:r w:rsidRPr="00FC5C72">
        <w:rPr>
          <w:sz w:val="24"/>
          <w:szCs w:val="24"/>
          <w:u w:val="single"/>
        </w:rPr>
        <w:t>დოზირების რეჟიმი</w:t>
      </w:r>
    </w:p>
    <w:p w14:paraId="06A96069" w14:textId="7BC0A7F2" w:rsidR="00121E06" w:rsidRPr="00FC5C72" w:rsidRDefault="003A37E3" w:rsidP="00785B18">
      <w:pPr>
        <w:spacing w:after="0" w:line="240" w:lineRule="auto"/>
        <w:jc w:val="both"/>
        <w:rPr>
          <w:i/>
          <w:iCs/>
          <w:sz w:val="24"/>
          <w:szCs w:val="24"/>
          <w:u w:val="single"/>
        </w:rPr>
      </w:pPr>
      <w:r w:rsidRPr="00FC5C72">
        <w:rPr>
          <w:i/>
          <w:iCs/>
          <w:sz w:val="24"/>
          <w:szCs w:val="24"/>
          <w:u w:val="single"/>
        </w:rPr>
        <w:t>ვთგ-ის პროფილაქტიკა: მენჯ-ბარძაყის ან მუხლის სახსრის გეგმიური ენდოპროთეზირება მოზრდილებში</w:t>
      </w:r>
    </w:p>
    <w:p w14:paraId="3513D8F3" w14:textId="01BC89C5" w:rsidR="00065345" w:rsidRPr="00FC5C72" w:rsidRDefault="00065345" w:rsidP="00785B18">
      <w:pPr>
        <w:spacing w:after="0" w:line="240" w:lineRule="auto"/>
        <w:jc w:val="both"/>
        <w:rPr>
          <w:sz w:val="24"/>
          <w:szCs w:val="24"/>
          <w:lang w:eastAsia="ru-RU"/>
        </w:rPr>
      </w:pPr>
      <w:r w:rsidRPr="00FC5C72">
        <w:rPr>
          <w:sz w:val="24"/>
          <w:szCs w:val="24"/>
          <w:lang w:eastAsia="ru-RU"/>
        </w:rPr>
        <w:t>აპიქსაბანის რეკომენდებული დოზა შეადგენს 2.5 მგ-ს ორჯერ დღე-ღამეში. პირველი დოზა უნდა იქნას მიღებული ოპერაციიდან 12-24 საათის განმავლობაში.</w:t>
      </w:r>
    </w:p>
    <w:p w14:paraId="38FE0653" w14:textId="7BCFE413" w:rsidR="00065345" w:rsidRPr="00FC5C72" w:rsidRDefault="00065345" w:rsidP="00785B18">
      <w:pPr>
        <w:spacing w:after="0" w:line="240" w:lineRule="auto"/>
        <w:jc w:val="both"/>
        <w:rPr>
          <w:sz w:val="24"/>
          <w:szCs w:val="24"/>
          <w:lang w:eastAsia="ru-RU"/>
        </w:rPr>
      </w:pPr>
      <w:r w:rsidRPr="00FC5C72">
        <w:rPr>
          <w:sz w:val="24"/>
          <w:szCs w:val="24"/>
          <w:lang w:eastAsia="ru-RU"/>
        </w:rPr>
        <w:t>მითითებულ ინტერვალში პრეპარატის მიღების დროის შერჩევისას ექიმებმა შეიძლება იხელმძღვანელონ ვთგ-ის და ჩარევის შემდეგ სისხლდენის რისკის პროფილაქ</w:t>
      </w:r>
      <w:r w:rsidR="008709B9" w:rsidRPr="00FC5C72">
        <w:rPr>
          <w:sz w:val="24"/>
          <w:szCs w:val="24"/>
          <w:lang w:eastAsia="ru-RU"/>
        </w:rPr>
        <w:t>ტ</w:t>
      </w:r>
      <w:r w:rsidRPr="00FC5C72">
        <w:rPr>
          <w:sz w:val="24"/>
          <w:szCs w:val="24"/>
          <w:lang w:eastAsia="ru-RU"/>
        </w:rPr>
        <w:t xml:space="preserve">იკისთვის </w:t>
      </w:r>
      <w:proofErr w:type="spellStart"/>
      <w:r w:rsidRPr="00FC5C72">
        <w:rPr>
          <w:sz w:val="24"/>
          <w:szCs w:val="24"/>
          <w:lang w:eastAsia="ru-RU"/>
        </w:rPr>
        <w:t>ანტიკოაგულა</w:t>
      </w:r>
      <w:r w:rsidR="00D005FE" w:rsidRPr="00FC5C72">
        <w:rPr>
          <w:sz w:val="24"/>
          <w:szCs w:val="24"/>
          <w:lang w:eastAsia="ru-RU"/>
        </w:rPr>
        <w:t>ცი</w:t>
      </w:r>
      <w:r w:rsidRPr="00FC5C72">
        <w:rPr>
          <w:sz w:val="24"/>
          <w:szCs w:val="24"/>
          <w:lang w:eastAsia="ru-RU"/>
        </w:rPr>
        <w:t>ური</w:t>
      </w:r>
      <w:proofErr w:type="spellEnd"/>
      <w:r w:rsidRPr="00FC5C72">
        <w:rPr>
          <w:sz w:val="24"/>
          <w:szCs w:val="24"/>
          <w:lang w:eastAsia="ru-RU"/>
        </w:rPr>
        <w:t xml:space="preserve"> თერაპიის უფრო ადრე დაწყების პოტენციუ</w:t>
      </w:r>
      <w:r w:rsidR="008709B9" w:rsidRPr="00FC5C72">
        <w:rPr>
          <w:sz w:val="24"/>
          <w:szCs w:val="24"/>
          <w:lang w:eastAsia="ru-RU"/>
        </w:rPr>
        <w:t>რ</w:t>
      </w:r>
      <w:r w:rsidRPr="00FC5C72">
        <w:rPr>
          <w:sz w:val="24"/>
          <w:szCs w:val="24"/>
          <w:lang w:eastAsia="ru-RU"/>
        </w:rPr>
        <w:t xml:space="preserve">ი სარგებლიდან გამომდინარე. </w:t>
      </w:r>
    </w:p>
    <w:p w14:paraId="1B4EBE4D" w14:textId="0B6C82B9" w:rsidR="00065345" w:rsidRPr="00FC5C72" w:rsidRDefault="00065345" w:rsidP="00785B18">
      <w:pPr>
        <w:spacing w:after="0" w:line="240" w:lineRule="auto"/>
        <w:jc w:val="both"/>
        <w:rPr>
          <w:sz w:val="24"/>
          <w:szCs w:val="24"/>
          <w:lang w:eastAsia="ru-RU"/>
        </w:rPr>
      </w:pPr>
    </w:p>
    <w:p w14:paraId="5CDF9932" w14:textId="6B2AD7B1" w:rsidR="00065345" w:rsidRPr="00FC5C72" w:rsidRDefault="005156F7" w:rsidP="00785B18">
      <w:pPr>
        <w:spacing w:after="0" w:line="240" w:lineRule="auto"/>
        <w:jc w:val="both"/>
        <w:rPr>
          <w:i/>
          <w:iCs/>
          <w:sz w:val="24"/>
          <w:szCs w:val="24"/>
          <w:lang w:eastAsia="ru-RU"/>
        </w:rPr>
      </w:pPr>
      <w:r w:rsidRPr="00FC5C72">
        <w:rPr>
          <w:i/>
          <w:iCs/>
          <w:sz w:val="24"/>
          <w:szCs w:val="24"/>
          <w:lang w:eastAsia="ru-RU"/>
        </w:rPr>
        <w:t xml:space="preserve">პაციენტებისთვის </w:t>
      </w:r>
      <w:r w:rsidR="00065345" w:rsidRPr="00FC5C72">
        <w:rPr>
          <w:i/>
          <w:iCs/>
          <w:sz w:val="24"/>
          <w:szCs w:val="24"/>
          <w:lang w:eastAsia="ru-RU"/>
        </w:rPr>
        <w:t>მენჯ</w:t>
      </w:r>
      <w:r w:rsidRPr="00FC5C72">
        <w:rPr>
          <w:i/>
          <w:iCs/>
          <w:sz w:val="24"/>
          <w:szCs w:val="24"/>
          <w:lang w:eastAsia="ru-RU"/>
        </w:rPr>
        <w:t>-</w:t>
      </w:r>
      <w:r w:rsidR="00065345" w:rsidRPr="00FC5C72">
        <w:rPr>
          <w:i/>
          <w:iCs/>
          <w:sz w:val="24"/>
          <w:szCs w:val="24"/>
          <w:lang w:eastAsia="ru-RU"/>
        </w:rPr>
        <w:t>ბარძაყის</w:t>
      </w:r>
      <w:r w:rsidRPr="00FC5C72">
        <w:rPr>
          <w:i/>
          <w:iCs/>
          <w:sz w:val="24"/>
          <w:szCs w:val="24"/>
          <w:lang w:eastAsia="ru-RU"/>
        </w:rPr>
        <w:t xml:space="preserve"> სახსრის ენდოპროთეზირების შემდეგ</w:t>
      </w:r>
      <w:r w:rsidR="00065345" w:rsidRPr="00FC5C72">
        <w:rPr>
          <w:i/>
          <w:iCs/>
          <w:sz w:val="24"/>
          <w:szCs w:val="24"/>
          <w:lang w:eastAsia="ru-RU"/>
        </w:rPr>
        <w:t xml:space="preserve"> </w:t>
      </w:r>
    </w:p>
    <w:p w14:paraId="65A19789" w14:textId="26D54106" w:rsidR="005156F7" w:rsidRPr="00FC5C72" w:rsidRDefault="00B2032F" w:rsidP="00785B18">
      <w:pPr>
        <w:spacing w:after="0" w:line="240" w:lineRule="auto"/>
        <w:jc w:val="both"/>
        <w:rPr>
          <w:sz w:val="24"/>
          <w:szCs w:val="24"/>
          <w:lang w:eastAsia="ru-RU"/>
        </w:rPr>
      </w:pPr>
      <w:r w:rsidRPr="00FC5C72">
        <w:rPr>
          <w:sz w:val="24"/>
          <w:szCs w:val="24"/>
          <w:lang w:eastAsia="ru-RU"/>
        </w:rPr>
        <w:t xml:space="preserve">თერაპიის </w:t>
      </w:r>
      <w:r w:rsidR="005156F7" w:rsidRPr="00FC5C72">
        <w:rPr>
          <w:sz w:val="24"/>
          <w:szCs w:val="24"/>
          <w:lang w:eastAsia="ru-RU"/>
        </w:rPr>
        <w:t>რეკომენდებული ხანგრძლივობა შეადგენს 32-დან 38 დღეს.</w:t>
      </w:r>
    </w:p>
    <w:p w14:paraId="59CE6DF9" w14:textId="5F5DC1A5" w:rsidR="005156F7" w:rsidRPr="00FC5C72" w:rsidRDefault="005156F7" w:rsidP="00785B18">
      <w:pPr>
        <w:spacing w:after="0" w:line="240" w:lineRule="auto"/>
        <w:jc w:val="both"/>
        <w:rPr>
          <w:sz w:val="24"/>
          <w:szCs w:val="24"/>
          <w:lang w:eastAsia="ru-RU"/>
        </w:rPr>
      </w:pPr>
    </w:p>
    <w:p w14:paraId="2ADACF21" w14:textId="6854CB7E" w:rsidR="005156F7" w:rsidRPr="00FC5C72" w:rsidRDefault="005156F7" w:rsidP="00785B18">
      <w:pPr>
        <w:spacing w:after="0" w:line="240" w:lineRule="auto"/>
        <w:jc w:val="both"/>
        <w:rPr>
          <w:sz w:val="24"/>
          <w:szCs w:val="24"/>
          <w:lang w:eastAsia="ru-RU"/>
        </w:rPr>
      </w:pPr>
      <w:r w:rsidRPr="00FC5C72">
        <w:rPr>
          <w:i/>
          <w:iCs/>
          <w:sz w:val="24"/>
          <w:szCs w:val="24"/>
          <w:lang w:eastAsia="ru-RU"/>
        </w:rPr>
        <w:t>პაციენტებისთვის მუხლის სახსრის ენდოპროთეზირების შემდეგ</w:t>
      </w:r>
    </w:p>
    <w:p w14:paraId="2B2F5F24" w14:textId="6B7310A6" w:rsidR="005156F7" w:rsidRPr="00FC5C72" w:rsidRDefault="00B2032F" w:rsidP="00785B18">
      <w:pPr>
        <w:spacing w:after="0" w:line="240" w:lineRule="auto"/>
        <w:jc w:val="both"/>
        <w:rPr>
          <w:sz w:val="24"/>
          <w:szCs w:val="24"/>
          <w:lang w:eastAsia="ru-RU"/>
        </w:rPr>
      </w:pPr>
      <w:r w:rsidRPr="00FC5C72">
        <w:rPr>
          <w:sz w:val="24"/>
          <w:szCs w:val="24"/>
          <w:lang w:eastAsia="ru-RU"/>
        </w:rPr>
        <w:t>თერაპიის</w:t>
      </w:r>
      <w:r w:rsidR="005156F7" w:rsidRPr="00FC5C72">
        <w:rPr>
          <w:sz w:val="24"/>
          <w:szCs w:val="24"/>
          <w:lang w:eastAsia="ru-RU"/>
        </w:rPr>
        <w:t xml:space="preserve"> რეკომენდებული ხანგრძლივობა შეადგენს 10-დან 14 დღეს.</w:t>
      </w:r>
    </w:p>
    <w:p w14:paraId="134B1E63" w14:textId="77777777" w:rsidR="00121E06" w:rsidRPr="00FC5C72" w:rsidRDefault="00121E06" w:rsidP="00785B18">
      <w:pPr>
        <w:spacing w:after="0" w:line="240" w:lineRule="auto"/>
        <w:jc w:val="both"/>
        <w:rPr>
          <w:sz w:val="24"/>
          <w:szCs w:val="24"/>
          <w:u w:val="single"/>
        </w:rPr>
      </w:pPr>
    </w:p>
    <w:p w14:paraId="0148AE56" w14:textId="29F063CB" w:rsidR="00B0672E" w:rsidRPr="00FC5C72" w:rsidRDefault="00B0672E" w:rsidP="00785B18">
      <w:pPr>
        <w:spacing w:after="0" w:line="240" w:lineRule="auto"/>
        <w:jc w:val="both"/>
        <w:rPr>
          <w:i/>
          <w:iCs/>
          <w:sz w:val="24"/>
          <w:szCs w:val="24"/>
        </w:rPr>
      </w:pPr>
      <w:r w:rsidRPr="00FC5C72">
        <w:rPr>
          <w:i/>
          <w:iCs/>
          <w:sz w:val="24"/>
          <w:szCs w:val="24"/>
          <w:u w:val="single"/>
        </w:rPr>
        <w:t xml:space="preserve">ინსულტის და სისტემური ემბოლიის პროფილაქტიკა </w:t>
      </w:r>
      <w:r w:rsidR="005156F7" w:rsidRPr="00FC5C72">
        <w:rPr>
          <w:i/>
          <w:iCs/>
          <w:sz w:val="24"/>
          <w:szCs w:val="24"/>
          <w:u w:val="single"/>
        </w:rPr>
        <w:t xml:space="preserve">მოზრდილ </w:t>
      </w:r>
      <w:r w:rsidRPr="00FC5C72">
        <w:rPr>
          <w:i/>
          <w:iCs/>
          <w:sz w:val="24"/>
          <w:szCs w:val="24"/>
          <w:u w:val="single"/>
        </w:rPr>
        <w:t>პაციენტებში წინაგულების არასარქვლოვანი ფიბრილაციით (წასფ)</w:t>
      </w:r>
      <w:r w:rsidRPr="00FC5C72">
        <w:rPr>
          <w:i/>
          <w:iCs/>
          <w:sz w:val="24"/>
          <w:szCs w:val="24"/>
        </w:rPr>
        <w:t xml:space="preserve"> </w:t>
      </w:r>
    </w:p>
    <w:p w14:paraId="3F98ABBE" w14:textId="4E761531" w:rsidR="00B0672E" w:rsidRPr="00FC5C72" w:rsidRDefault="00014AE3" w:rsidP="00785B18">
      <w:pPr>
        <w:spacing w:after="0" w:line="240" w:lineRule="auto"/>
        <w:jc w:val="both"/>
        <w:rPr>
          <w:sz w:val="24"/>
          <w:szCs w:val="24"/>
          <w:lang w:eastAsia="ru-RU"/>
        </w:rPr>
      </w:pPr>
      <w:r w:rsidRPr="00FC5C72">
        <w:rPr>
          <w:sz w:val="24"/>
          <w:szCs w:val="24"/>
          <w:lang w:eastAsia="ru-RU"/>
        </w:rPr>
        <w:t xml:space="preserve">აპიქსაბანის რეკომენდებული დოზა შეადგენს 5 მგ-ს ორჯერ დღე-ღამეში. </w:t>
      </w:r>
    </w:p>
    <w:p w14:paraId="2317C7DA" w14:textId="099AFD9C" w:rsidR="00014AE3" w:rsidRPr="00FC5C72" w:rsidRDefault="00014AE3" w:rsidP="00785B18">
      <w:pPr>
        <w:spacing w:after="0" w:line="240" w:lineRule="auto"/>
        <w:jc w:val="both"/>
        <w:rPr>
          <w:b/>
          <w:bCs/>
          <w:sz w:val="24"/>
          <w:szCs w:val="24"/>
          <w:lang w:eastAsia="ru-RU"/>
        </w:rPr>
      </w:pPr>
      <w:r w:rsidRPr="00FC5C72">
        <w:rPr>
          <w:i/>
          <w:iCs/>
          <w:sz w:val="24"/>
          <w:szCs w:val="24"/>
          <w:lang w:eastAsia="ru-RU"/>
        </w:rPr>
        <w:t>დოზის შემცირება</w:t>
      </w:r>
    </w:p>
    <w:p w14:paraId="19FFFAE7" w14:textId="2A879D78" w:rsidR="00014AE3" w:rsidRPr="00FC5C72" w:rsidRDefault="00014AE3" w:rsidP="00785B18">
      <w:pPr>
        <w:spacing w:after="0" w:line="240" w:lineRule="auto"/>
        <w:jc w:val="both"/>
        <w:rPr>
          <w:sz w:val="24"/>
          <w:szCs w:val="24"/>
        </w:rPr>
      </w:pPr>
      <w:r w:rsidRPr="00FC5C72">
        <w:rPr>
          <w:sz w:val="24"/>
          <w:szCs w:val="24"/>
        </w:rPr>
        <w:t xml:space="preserve">პაციენტებისთვის წინაგულების არასარქვლოვანი ფიბრილაციით და სულ მცირე ორი შემდეგი რისკ-ფაქტორით - ასაკი  </w:t>
      </w:r>
      <w:r w:rsidRPr="00FC5C72">
        <w:rPr>
          <w:sz w:val="24"/>
          <w:szCs w:val="24"/>
          <w:u w:val="single"/>
        </w:rPr>
        <w:t>&gt;</w:t>
      </w:r>
      <w:r w:rsidRPr="00FC5C72">
        <w:rPr>
          <w:sz w:val="24"/>
          <w:szCs w:val="24"/>
        </w:rPr>
        <w:t xml:space="preserve">80 წელი, </w:t>
      </w:r>
      <w:r w:rsidR="008709B9" w:rsidRPr="00FC5C72">
        <w:rPr>
          <w:sz w:val="24"/>
          <w:szCs w:val="24"/>
        </w:rPr>
        <w:t>სხეულის მასა</w:t>
      </w:r>
      <w:r w:rsidRPr="00FC5C72">
        <w:rPr>
          <w:sz w:val="24"/>
          <w:szCs w:val="24"/>
        </w:rPr>
        <w:t xml:space="preserve"> </w:t>
      </w:r>
      <w:r w:rsidRPr="00FC5C72">
        <w:rPr>
          <w:sz w:val="24"/>
          <w:szCs w:val="24"/>
          <w:u w:val="single"/>
        </w:rPr>
        <w:t>&lt;</w:t>
      </w:r>
      <w:r w:rsidRPr="00FC5C72">
        <w:rPr>
          <w:sz w:val="24"/>
          <w:szCs w:val="24"/>
        </w:rPr>
        <w:t xml:space="preserve">60 კგ ან </w:t>
      </w:r>
      <w:r w:rsidR="007428F2" w:rsidRPr="00FC5C72">
        <w:rPr>
          <w:sz w:val="24"/>
          <w:szCs w:val="24"/>
        </w:rPr>
        <w:t xml:space="preserve">სისხლის შრატში </w:t>
      </w:r>
      <w:r w:rsidRPr="00FC5C72">
        <w:rPr>
          <w:sz w:val="24"/>
          <w:szCs w:val="24"/>
        </w:rPr>
        <w:t xml:space="preserve">კრეატინინის კონცენტრაცია </w:t>
      </w:r>
      <w:r w:rsidR="007428F2" w:rsidRPr="00FC5C72">
        <w:rPr>
          <w:sz w:val="24"/>
          <w:szCs w:val="24"/>
          <w:u w:val="single"/>
        </w:rPr>
        <w:t>&gt;</w:t>
      </w:r>
      <w:r w:rsidR="007428F2" w:rsidRPr="00FC5C72">
        <w:rPr>
          <w:sz w:val="24"/>
          <w:szCs w:val="24"/>
        </w:rPr>
        <w:t>1.5 მგ/დლ (133 მკმოლი/ლ) - შეადგენს 2.5 მგ</w:t>
      </w:r>
      <w:r w:rsidR="005C4668" w:rsidRPr="00FC5C72">
        <w:rPr>
          <w:sz w:val="24"/>
          <w:szCs w:val="24"/>
        </w:rPr>
        <w:t xml:space="preserve">-ს ორჯერ დღე-ღამეში. </w:t>
      </w:r>
    </w:p>
    <w:p w14:paraId="4375FBC2" w14:textId="77777777" w:rsidR="00B2032F" w:rsidRPr="00FC5C72" w:rsidRDefault="00B2032F" w:rsidP="00785B18">
      <w:pPr>
        <w:spacing w:after="0" w:line="240" w:lineRule="auto"/>
        <w:jc w:val="both"/>
        <w:rPr>
          <w:sz w:val="24"/>
          <w:szCs w:val="24"/>
        </w:rPr>
      </w:pPr>
    </w:p>
    <w:p w14:paraId="4136DC08" w14:textId="20481C38" w:rsidR="005C4668" w:rsidRPr="00FC5C72" w:rsidRDefault="005C4668" w:rsidP="00785B18">
      <w:pPr>
        <w:spacing w:after="0" w:line="240" w:lineRule="auto"/>
        <w:jc w:val="both"/>
        <w:rPr>
          <w:sz w:val="24"/>
          <w:szCs w:val="24"/>
        </w:rPr>
      </w:pPr>
      <w:r w:rsidRPr="00FC5C72">
        <w:rPr>
          <w:sz w:val="24"/>
          <w:szCs w:val="24"/>
        </w:rPr>
        <w:t xml:space="preserve">თერაპია უნდა იყოს ხანგრძლივი. </w:t>
      </w:r>
    </w:p>
    <w:p w14:paraId="096F428D" w14:textId="77777777" w:rsidR="00B2032F" w:rsidRPr="00FC5C72" w:rsidRDefault="00B2032F" w:rsidP="00785B18">
      <w:pPr>
        <w:spacing w:after="0" w:line="240" w:lineRule="auto"/>
        <w:jc w:val="both"/>
        <w:rPr>
          <w:sz w:val="24"/>
          <w:szCs w:val="24"/>
        </w:rPr>
      </w:pPr>
    </w:p>
    <w:p w14:paraId="1E6FD73C" w14:textId="50B4BF90" w:rsidR="00BE4783" w:rsidRPr="00FC5C72" w:rsidRDefault="00BE4783" w:rsidP="00785B18">
      <w:pPr>
        <w:spacing w:after="0" w:line="240" w:lineRule="auto"/>
        <w:jc w:val="both"/>
        <w:rPr>
          <w:b/>
          <w:bCs/>
          <w:i/>
          <w:iCs/>
          <w:sz w:val="24"/>
          <w:szCs w:val="24"/>
          <w:u w:val="single"/>
          <w:lang w:eastAsia="ru-RU"/>
        </w:rPr>
      </w:pPr>
      <w:r w:rsidRPr="00FC5C72">
        <w:rPr>
          <w:i/>
          <w:iCs/>
          <w:sz w:val="24"/>
          <w:szCs w:val="24"/>
          <w:u w:val="single"/>
        </w:rPr>
        <w:t>ღვთ-ის მკურნალობა, ფათე-ის მკურნალობა და მორეციდივე ღვთ-ის და ფათე-ის პროფილაქტიკა (ვთგ</w:t>
      </w:r>
      <w:r w:rsidR="000D1344" w:rsidRPr="00FC5C72">
        <w:rPr>
          <w:i/>
          <w:iCs/>
          <w:sz w:val="24"/>
          <w:szCs w:val="24"/>
          <w:u w:val="single"/>
        </w:rPr>
        <w:t>-ის</w:t>
      </w:r>
      <w:r w:rsidRPr="00FC5C72">
        <w:rPr>
          <w:i/>
          <w:iCs/>
          <w:sz w:val="24"/>
          <w:szCs w:val="24"/>
          <w:u w:val="single"/>
        </w:rPr>
        <w:t xml:space="preserve"> მკურნალობა)</w:t>
      </w:r>
      <w:r w:rsidR="00114678" w:rsidRPr="00FC5C72">
        <w:rPr>
          <w:i/>
          <w:iCs/>
          <w:sz w:val="24"/>
          <w:szCs w:val="24"/>
          <w:u w:val="single"/>
        </w:rPr>
        <w:t xml:space="preserve"> მოზრდილებში</w:t>
      </w:r>
    </w:p>
    <w:p w14:paraId="5AEBC040" w14:textId="733F451E" w:rsidR="00BE4783" w:rsidRPr="00FC5C72" w:rsidRDefault="00BE4783"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 xml:space="preserve">მწვავე ღვთ-ის და ფათე-ის სამკურნალოდ აპიქსაბანის რეკომენდებული დოზა შეადგენს 10 მგ-ს პერორალურად ორჯერ </w:t>
      </w:r>
      <w:r w:rsidR="00042D85" w:rsidRPr="00FC5C72">
        <w:rPr>
          <w:rFonts w:asciiTheme="minorHAnsi" w:hAnsiTheme="minorHAnsi"/>
          <w:sz w:val="24"/>
          <w:szCs w:val="24"/>
          <w:lang w:val="ka-GE"/>
        </w:rPr>
        <w:t>დღე-ღამეში, პირველი 7 დღის განმავლობაში, შემდეგ 5 მგ პერორალურად ორჯერ დღე-ღამეში. არსებული სამედიცინო რეკომენდაციების შესაბამისად ხანმოკლე მკურნალობა (არანაკლებ 3 თვე) უნდა ეფუძნებოდეს დროებით რისკ-ფაქტორებს (მაგალითად, ახლახანს გადატანილი ქირურგიული ჩარევა, ტრავმა ან იმობილიზაცია).</w:t>
      </w:r>
    </w:p>
    <w:p w14:paraId="7D996651" w14:textId="77777777" w:rsidR="00114678" w:rsidRPr="00FC5C72" w:rsidRDefault="00042D85"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 xml:space="preserve">მორეციდივე ღვთ-ის და ფათე-ის პროფილაქტიკისთვის აპიქსაბანის რეკომენდებული დოზა შეადგენს </w:t>
      </w:r>
      <w:r w:rsidR="008D6682" w:rsidRPr="00FC5C72">
        <w:rPr>
          <w:rFonts w:asciiTheme="minorHAnsi" w:hAnsiTheme="minorHAnsi"/>
          <w:sz w:val="24"/>
          <w:szCs w:val="24"/>
          <w:lang w:val="ka-GE"/>
        </w:rPr>
        <w:t>2.5 მგ პერორალურად ორჯერ დღე-ღამეში. როდესაც ნაჩვენებია მორეციდივე ღვთ-ის და ფათე-ის პროფილაქტიკა პრეპარატის მიღება დოზით 2.5 მგ პერორალურად ორჯერ დღე-ღამეში უნდა დაიწყ</w:t>
      </w:r>
      <w:r w:rsidR="00F32DA6" w:rsidRPr="00FC5C72">
        <w:rPr>
          <w:rFonts w:asciiTheme="minorHAnsi" w:hAnsiTheme="minorHAnsi"/>
          <w:sz w:val="24"/>
          <w:szCs w:val="24"/>
          <w:lang w:val="ka-GE"/>
        </w:rPr>
        <w:t>ო</w:t>
      </w:r>
      <w:r w:rsidR="008D6682" w:rsidRPr="00FC5C72">
        <w:rPr>
          <w:rFonts w:asciiTheme="minorHAnsi" w:hAnsiTheme="minorHAnsi"/>
          <w:sz w:val="24"/>
          <w:szCs w:val="24"/>
          <w:lang w:val="ka-GE"/>
        </w:rPr>
        <w:t>თ ორჯერ დღე-ღამეში 5 მგ აპიქსაბანით ან სხვა ანტიკოაგულანტით მკურნალობის 6 თვიანი კურსის დასრულების შემდეგ, როგორც მითითებულია ქვემოთ წარმოდგენილ ცხრილში 1</w:t>
      </w:r>
      <w:r w:rsidR="00114678" w:rsidRPr="00FC5C72">
        <w:rPr>
          <w:rFonts w:asciiTheme="minorHAnsi" w:hAnsiTheme="minorHAnsi"/>
          <w:sz w:val="24"/>
          <w:szCs w:val="24"/>
          <w:lang w:val="ka-GE"/>
        </w:rPr>
        <w:t>5 (იხ. პარაგრაფი „ფარმაკოდინამიკა“).</w:t>
      </w:r>
    </w:p>
    <w:p w14:paraId="7A9CE592" w14:textId="77777777" w:rsidR="00BE4783" w:rsidRPr="00FC5C72" w:rsidRDefault="00BE4783" w:rsidP="00785B18">
      <w:pPr>
        <w:pStyle w:val="EMEABodyText"/>
        <w:jc w:val="both"/>
        <w:rPr>
          <w:rFonts w:asciiTheme="minorHAnsi" w:hAnsiTheme="minorHAnsi"/>
          <w:sz w:val="24"/>
          <w:szCs w:val="24"/>
          <w:lang w:val="ka-GE"/>
        </w:rPr>
      </w:pPr>
    </w:p>
    <w:p w14:paraId="18CD6D42" w14:textId="5B3DA090" w:rsidR="00BE4783" w:rsidRPr="00FC5C72" w:rsidRDefault="008D6682" w:rsidP="00785B18">
      <w:pPr>
        <w:autoSpaceDE w:val="0"/>
        <w:autoSpaceDN w:val="0"/>
        <w:adjustRightInd w:val="0"/>
        <w:spacing w:after="0" w:line="240" w:lineRule="auto"/>
        <w:jc w:val="both"/>
        <w:rPr>
          <w:rFonts w:eastAsia="TimesNewRoman"/>
          <w:sz w:val="24"/>
          <w:szCs w:val="24"/>
          <w:lang w:eastAsia="ru-RU"/>
        </w:rPr>
      </w:pPr>
      <w:r w:rsidRPr="00FC5C72">
        <w:rPr>
          <w:rFonts w:eastAsia="TimesNewRoman"/>
          <w:b/>
          <w:bCs/>
          <w:sz w:val="24"/>
          <w:szCs w:val="24"/>
          <w:lang w:eastAsia="ru-RU"/>
        </w:rPr>
        <w:t>ცხრილი 1</w:t>
      </w:r>
      <w:r w:rsidR="00114678" w:rsidRPr="00FC5C72">
        <w:rPr>
          <w:rFonts w:eastAsia="TimesNewRoman"/>
          <w:b/>
          <w:bCs/>
          <w:sz w:val="24"/>
          <w:szCs w:val="24"/>
          <w:lang w:eastAsia="ru-RU"/>
        </w:rPr>
        <w:t>5</w:t>
      </w:r>
      <w:r w:rsidRPr="00FC5C72">
        <w:rPr>
          <w:rFonts w:eastAsia="TimesNewRoman"/>
          <w:b/>
          <w:bCs/>
          <w:sz w:val="24"/>
          <w:szCs w:val="24"/>
          <w:lang w:eastAsia="ru-RU"/>
        </w:rPr>
        <w:t>. რეკომენდებული დოზა (ვთგ-ის მკურნალობა)</w:t>
      </w:r>
      <w:r w:rsidRPr="00FC5C72">
        <w:rPr>
          <w:rFonts w:eastAsia="TimesNewRoman"/>
          <w:sz w:val="24"/>
          <w:szCs w:val="24"/>
          <w:lang w:eastAsia="ru-RU"/>
        </w:rPr>
        <w:t xml:space="preserve"> </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3060"/>
        <w:gridCol w:w="2430"/>
      </w:tblGrid>
      <w:tr w:rsidR="00FC5C72" w:rsidRPr="00FC5C72" w14:paraId="480899D9" w14:textId="77777777" w:rsidTr="002736DD">
        <w:trPr>
          <w:trHeight w:val="547"/>
        </w:trPr>
        <w:tc>
          <w:tcPr>
            <w:tcW w:w="4500" w:type="dxa"/>
          </w:tcPr>
          <w:p w14:paraId="57D90377" w14:textId="77777777" w:rsidR="008D6682" w:rsidRPr="00FC5C72" w:rsidRDefault="008D6682" w:rsidP="00785B18">
            <w:pPr>
              <w:autoSpaceDE w:val="0"/>
              <w:autoSpaceDN w:val="0"/>
              <w:adjustRightInd w:val="0"/>
              <w:spacing w:after="0" w:line="240" w:lineRule="auto"/>
              <w:jc w:val="both"/>
              <w:rPr>
                <w:rFonts w:ascii="Times New Roman" w:eastAsia="TimesNewRoman" w:hAnsi="Times New Roman"/>
                <w:sz w:val="24"/>
                <w:szCs w:val="24"/>
                <w:lang w:eastAsia="ru-RU"/>
              </w:rPr>
            </w:pPr>
          </w:p>
        </w:tc>
        <w:tc>
          <w:tcPr>
            <w:tcW w:w="3060" w:type="dxa"/>
          </w:tcPr>
          <w:p w14:paraId="3B66C41F" w14:textId="60711CE7" w:rsidR="008D6682" w:rsidRPr="00FC5C72" w:rsidRDefault="008D6682" w:rsidP="00785B18">
            <w:pPr>
              <w:autoSpaceDE w:val="0"/>
              <w:autoSpaceDN w:val="0"/>
              <w:adjustRightInd w:val="0"/>
              <w:spacing w:after="0" w:line="240" w:lineRule="auto"/>
              <w:jc w:val="both"/>
              <w:rPr>
                <w:rFonts w:ascii="Sylfaen" w:eastAsia="TimesNewRoman" w:hAnsi="Sylfaen"/>
                <w:sz w:val="24"/>
                <w:szCs w:val="24"/>
                <w:lang w:eastAsia="ru-RU"/>
              </w:rPr>
            </w:pPr>
            <w:r w:rsidRPr="00FC5C72">
              <w:rPr>
                <w:rFonts w:ascii="Sylfaen" w:eastAsia="TimesNewRoman" w:hAnsi="Sylfaen"/>
                <w:sz w:val="24"/>
                <w:szCs w:val="24"/>
                <w:lang w:eastAsia="ru-RU"/>
              </w:rPr>
              <w:t>დოზირების რეჟიმი</w:t>
            </w:r>
          </w:p>
        </w:tc>
        <w:tc>
          <w:tcPr>
            <w:tcW w:w="2430" w:type="dxa"/>
          </w:tcPr>
          <w:p w14:paraId="707EB592" w14:textId="664FF16A" w:rsidR="008D6682" w:rsidRPr="00FC5C72" w:rsidRDefault="008D6682" w:rsidP="00785B18">
            <w:pPr>
              <w:autoSpaceDE w:val="0"/>
              <w:autoSpaceDN w:val="0"/>
              <w:adjustRightInd w:val="0"/>
              <w:spacing w:after="0" w:line="240" w:lineRule="auto"/>
              <w:jc w:val="both"/>
              <w:rPr>
                <w:rFonts w:ascii="Sylfaen" w:eastAsia="TimesNewRoman" w:hAnsi="Sylfaen"/>
                <w:sz w:val="24"/>
                <w:szCs w:val="24"/>
                <w:lang w:eastAsia="ru-RU"/>
              </w:rPr>
            </w:pPr>
            <w:r w:rsidRPr="00FC5C72">
              <w:rPr>
                <w:rFonts w:ascii="Sylfaen" w:eastAsia="TimesNewRoman" w:hAnsi="Sylfaen"/>
                <w:sz w:val="24"/>
                <w:szCs w:val="24"/>
                <w:lang w:eastAsia="ru-RU"/>
              </w:rPr>
              <w:t>მაქსიმალური სადღეღამისო დოზა</w:t>
            </w:r>
          </w:p>
        </w:tc>
      </w:tr>
      <w:tr w:rsidR="00FC5C72" w:rsidRPr="00FC5C72" w14:paraId="42874240" w14:textId="77777777" w:rsidTr="002736DD">
        <w:trPr>
          <w:trHeight w:val="656"/>
        </w:trPr>
        <w:tc>
          <w:tcPr>
            <w:tcW w:w="4500" w:type="dxa"/>
            <w:vMerge w:val="restart"/>
          </w:tcPr>
          <w:p w14:paraId="0D0304C2" w14:textId="77777777" w:rsidR="008D6682" w:rsidRPr="00FC5C72" w:rsidRDefault="008D6682" w:rsidP="00785B18">
            <w:pPr>
              <w:autoSpaceDE w:val="0"/>
              <w:autoSpaceDN w:val="0"/>
              <w:adjustRightInd w:val="0"/>
              <w:spacing w:after="0" w:line="240" w:lineRule="auto"/>
              <w:jc w:val="both"/>
              <w:rPr>
                <w:rFonts w:ascii="Times New Roman" w:eastAsia="TimesNewRoman" w:hAnsi="Times New Roman"/>
                <w:sz w:val="24"/>
                <w:szCs w:val="24"/>
                <w:lang w:eastAsia="ru-RU"/>
              </w:rPr>
            </w:pPr>
          </w:p>
          <w:p w14:paraId="47DA41AB" w14:textId="703B41F1" w:rsidR="008D6682" w:rsidRPr="00FC5C72" w:rsidRDefault="008D6682" w:rsidP="00785B18">
            <w:pPr>
              <w:autoSpaceDE w:val="0"/>
              <w:autoSpaceDN w:val="0"/>
              <w:adjustRightInd w:val="0"/>
              <w:spacing w:after="0" w:line="240" w:lineRule="auto"/>
              <w:jc w:val="both"/>
              <w:rPr>
                <w:rFonts w:eastAsia="TimesNewRoman"/>
                <w:sz w:val="24"/>
                <w:szCs w:val="24"/>
                <w:lang w:eastAsia="ru-RU"/>
              </w:rPr>
            </w:pPr>
            <w:r w:rsidRPr="00FC5C72">
              <w:rPr>
                <w:rFonts w:ascii="Sylfaen" w:eastAsia="TimesNewRoman" w:hAnsi="Sylfaen"/>
                <w:sz w:val="24"/>
                <w:szCs w:val="24"/>
                <w:lang w:eastAsia="ru-RU"/>
              </w:rPr>
              <w:t>ღვთ-ის ან ფათე-ის მკურნალობა</w:t>
            </w:r>
            <w:r w:rsidRPr="00FC5C72">
              <w:rPr>
                <w:rFonts w:ascii="Times New Roman" w:eastAsia="TimesNewRoman" w:hAnsi="Times New Roman"/>
                <w:sz w:val="24"/>
                <w:szCs w:val="24"/>
                <w:lang w:eastAsia="ru-RU"/>
              </w:rPr>
              <w:t xml:space="preserve"> </w:t>
            </w:r>
            <w:r w:rsidRPr="00FC5C72">
              <w:rPr>
                <w:rFonts w:eastAsia="TimesNewRoman"/>
                <w:sz w:val="24"/>
                <w:szCs w:val="24"/>
                <w:lang w:eastAsia="ru-RU"/>
              </w:rPr>
              <w:t xml:space="preserve"> </w:t>
            </w:r>
          </w:p>
        </w:tc>
        <w:tc>
          <w:tcPr>
            <w:tcW w:w="3060" w:type="dxa"/>
          </w:tcPr>
          <w:p w14:paraId="1B1629FF" w14:textId="04A1BAD8" w:rsidR="008D6682" w:rsidRPr="00FC5C72" w:rsidRDefault="008D6682" w:rsidP="00785B18">
            <w:pPr>
              <w:autoSpaceDE w:val="0"/>
              <w:autoSpaceDN w:val="0"/>
              <w:adjustRightInd w:val="0"/>
              <w:spacing w:after="0" w:line="240" w:lineRule="auto"/>
              <w:jc w:val="both"/>
              <w:rPr>
                <w:rFonts w:eastAsia="TimesNewRoman"/>
                <w:sz w:val="24"/>
                <w:szCs w:val="24"/>
                <w:lang w:eastAsia="ru-RU"/>
              </w:rPr>
            </w:pPr>
            <w:r w:rsidRPr="00FC5C72">
              <w:rPr>
                <w:rFonts w:ascii="Times New Roman" w:eastAsia="TimesNewRoman" w:hAnsi="Times New Roman"/>
                <w:sz w:val="24"/>
                <w:szCs w:val="24"/>
                <w:lang w:eastAsia="ru-RU"/>
              </w:rPr>
              <w:t xml:space="preserve">10 </w:t>
            </w:r>
            <w:r w:rsidRPr="00FC5C72">
              <w:rPr>
                <w:rFonts w:ascii="Sylfaen" w:eastAsia="TimesNewRoman" w:hAnsi="Sylfaen"/>
                <w:sz w:val="24"/>
                <w:szCs w:val="24"/>
                <w:lang w:eastAsia="ru-RU"/>
              </w:rPr>
              <w:t>მგ ორჯერ დღე-ღამეში პირველი 7 დღე</w:t>
            </w:r>
            <w:r w:rsidRPr="00FC5C72">
              <w:rPr>
                <w:rFonts w:ascii="Times New Roman" w:eastAsia="TimesNewRoman" w:hAnsi="Times New Roman"/>
                <w:sz w:val="24"/>
                <w:szCs w:val="24"/>
                <w:lang w:eastAsia="ru-RU"/>
              </w:rPr>
              <w:t xml:space="preserve"> </w:t>
            </w:r>
            <w:r w:rsidRPr="00FC5C72">
              <w:rPr>
                <w:rFonts w:eastAsia="TimesNewRoman"/>
                <w:sz w:val="24"/>
                <w:szCs w:val="24"/>
                <w:lang w:eastAsia="ru-RU"/>
              </w:rPr>
              <w:t xml:space="preserve"> </w:t>
            </w:r>
          </w:p>
        </w:tc>
        <w:tc>
          <w:tcPr>
            <w:tcW w:w="2430" w:type="dxa"/>
          </w:tcPr>
          <w:p w14:paraId="3C55CC31" w14:textId="3868D8AB" w:rsidR="008D6682" w:rsidRPr="00FC5C72" w:rsidRDefault="008D6682" w:rsidP="00785B18">
            <w:pPr>
              <w:autoSpaceDE w:val="0"/>
              <w:autoSpaceDN w:val="0"/>
              <w:adjustRightInd w:val="0"/>
              <w:spacing w:after="0" w:line="240" w:lineRule="auto"/>
              <w:jc w:val="both"/>
              <w:rPr>
                <w:rFonts w:ascii="Sylfaen" w:eastAsia="TimesNewRoman" w:hAnsi="Sylfaen"/>
                <w:sz w:val="24"/>
                <w:szCs w:val="24"/>
                <w:lang w:eastAsia="ru-RU"/>
              </w:rPr>
            </w:pPr>
            <w:r w:rsidRPr="00FC5C72">
              <w:rPr>
                <w:rFonts w:ascii="Times New Roman" w:eastAsia="TimesNewRoman" w:hAnsi="Times New Roman"/>
                <w:sz w:val="24"/>
                <w:szCs w:val="24"/>
                <w:lang w:eastAsia="ru-RU"/>
              </w:rPr>
              <w:t xml:space="preserve">20 </w:t>
            </w:r>
            <w:r w:rsidRPr="00FC5C72">
              <w:rPr>
                <w:rFonts w:ascii="Sylfaen" w:eastAsia="TimesNewRoman" w:hAnsi="Sylfaen"/>
                <w:sz w:val="24"/>
                <w:szCs w:val="24"/>
                <w:lang w:eastAsia="ru-RU"/>
              </w:rPr>
              <w:t>მგ</w:t>
            </w:r>
          </w:p>
        </w:tc>
      </w:tr>
      <w:tr w:rsidR="00FC5C72" w:rsidRPr="00FC5C72" w14:paraId="5807CD80" w14:textId="77777777" w:rsidTr="002736DD">
        <w:trPr>
          <w:trHeight w:val="384"/>
        </w:trPr>
        <w:tc>
          <w:tcPr>
            <w:tcW w:w="4500" w:type="dxa"/>
            <w:vMerge/>
          </w:tcPr>
          <w:p w14:paraId="5A0571E8" w14:textId="77777777" w:rsidR="008D6682" w:rsidRPr="00FC5C72" w:rsidRDefault="008D6682" w:rsidP="00785B18">
            <w:pPr>
              <w:autoSpaceDE w:val="0"/>
              <w:autoSpaceDN w:val="0"/>
              <w:adjustRightInd w:val="0"/>
              <w:spacing w:after="0" w:line="240" w:lineRule="auto"/>
              <w:jc w:val="both"/>
              <w:rPr>
                <w:rFonts w:ascii="Times New Roman" w:eastAsia="TimesNewRoman" w:hAnsi="Times New Roman"/>
                <w:sz w:val="24"/>
                <w:szCs w:val="24"/>
                <w:lang w:eastAsia="ru-RU"/>
              </w:rPr>
            </w:pPr>
          </w:p>
        </w:tc>
        <w:tc>
          <w:tcPr>
            <w:tcW w:w="3060" w:type="dxa"/>
          </w:tcPr>
          <w:p w14:paraId="1DEFB743" w14:textId="3F0D6C29" w:rsidR="008D6682" w:rsidRPr="00FC5C72" w:rsidRDefault="008D6682" w:rsidP="00785B18">
            <w:pPr>
              <w:autoSpaceDE w:val="0"/>
              <w:autoSpaceDN w:val="0"/>
              <w:adjustRightInd w:val="0"/>
              <w:spacing w:after="0" w:line="240" w:lineRule="auto"/>
              <w:jc w:val="both"/>
              <w:rPr>
                <w:rFonts w:ascii="Sylfaen" w:eastAsia="TimesNewRoman" w:hAnsi="Sylfaen"/>
                <w:sz w:val="24"/>
                <w:szCs w:val="24"/>
                <w:lang w:eastAsia="ru-RU"/>
              </w:rPr>
            </w:pPr>
            <w:r w:rsidRPr="00FC5C72">
              <w:rPr>
                <w:rFonts w:ascii="Sylfaen" w:eastAsia="TimesNewRoman" w:hAnsi="Sylfaen"/>
                <w:sz w:val="24"/>
                <w:szCs w:val="24"/>
                <w:lang w:eastAsia="ru-RU"/>
              </w:rPr>
              <w:t xml:space="preserve">შემდეგ 5 მგ ორჯერ დღე-ღამეში </w:t>
            </w:r>
          </w:p>
        </w:tc>
        <w:tc>
          <w:tcPr>
            <w:tcW w:w="2430" w:type="dxa"/>
          </w:tcPr>
          <w:p w14:paraId="105640FC" w14:textId="22265F4B" w:rsidR="008D6682" w:rsidRPr="00FC5C72" w:rsidRDefault="008D6682" w:rsidP="00785B18">
            <w:pPr>
              <w:autoSpaceDE w:val="0"/>
              <w:autoSpaceDN w:val="0"/>
              <w:adjustRightInd w:val="0"/>
              <w:spacing w:after="0" w:line="240" w:lineRule="auto"/>
              <w:jc w:val="both"/>
              <w:rPr>
                <w:rFonts w:ascii="Sylfaen" w:eastAsia="TimesNewRoman" w:hAnsi="Sylfaen"/>
                <w:sz w:val="24"/>
                <w:szCs w:val="24"/>
                <w:lang w:eastAsia="ru-RU"/>
              </w:rPr>
            </w:pPr>
            <w:r w:rsidRPr="00FC5C72">
              <w:rPr>
                <w:rFonts w:ascii="Times New Roman" w:eastAsia="TimesNewRoman" w:hAnsi="Times New Roman"/>
                <w:sz w:val="24"/>
                <w:szCs w:val="24"/>
                <w:lang w:eastAsia="ru-RU"/>
              </w:rPr>
              <w:t xml:space="preserve">10 </w:t>
            </w:r>
            <w:r w:rsidRPr="00FC5C72">
              <w:rPr>
                <w:rFonts w:ascii="Sylfaen" w:eastAsia="TimesNewRoman" w:hAnsi="Sylfaen"/>
                <w:sz w:val="24"/>
                <w:szCs w:val="24"/>
                <w:lang w:eastAsia="ru-RU"/>
              </w:rPr>
              <w:t>მგ</w:t>
            </w:r>
          </w:p>
        </w:tc>
      </w:tr>
      <w:tr w:rsidR="00FC5C72" w:rsidRPr="00FC5C72" w14:paraId="35453A8C" w14:textId="77777777" w:rsidTr="002736DD">
        <w:trPr>
          <w:trHeight w:val="989"/>
        </w:trPr>
        <w:tc>
          <w:tcPr>
            <w:tcW w:w="4500" w:type="dxa"/>
          </w:tcPr>
          <w:p w14:paraId="3E638C0E" w14:textId="516C347D" w:rsidR="008D6682" w:rsidRPr="00FC5C72" w:rsidRDefault="008D6682" w:rsidP="00785B18">
            <w:pPr>
              <w:autoSpaceDE w:val="0"/>
              <w:autoSpaceDN w:val="0"/>
              <w:adjustRightInd w:val="0"/>
              <w:spacing w:after="0" w:line="240" w:lineRule="auto"/>
              <w:jc w:val="both"/>
              <w:rPr>
                <w:rFonts w:eastAsia="TimesNewRoman"/>
                <w:sz w:val="24"/>
                <w:szCs w:val="24"/>
                <w:lang w:eastAsia="ru-RU"/>
              </w:rPr>
            </w:pPr>
            <w:r w:rsidRPr="00FC5C72">
              <w:rPr>
                <w:rFonts w:eastAsia="TimesNewRoman"/>
                <w:sz w:val="24"/>
                <w:szCs w:val="24"/>
                <w:lang w:eastAsia="ru-RU"/>
              </w:rPr>
              <w:t xml:space="preserve">მორეციდივე ღვთ-ის ან(და) ფათე-ის პროფილაქტიკა </w:t>
            </w:r>
            <w:r w:rsidR="002736DD" w:rsidRPr="00FC5C72">
              <w:rPr>
                <w:rFonts w:eastAsia="TimesNewRoman"/>
                <w:sz w:val="24"/>
                <w:szCs w:val="24"/>
                <w:lang w:eastAsia="ru-RU"/>
              </w:rPr>
              <w:t>ღვთ-ის ან ფათე-ის მკურნალობის 6 თვიანი კურსის დასრულების შემდეგ.</w:t>
            </w:r>
          </w:p>
        </w:tc>
        <w:tc>
          <w:tcPr>
            <w:tcW w:w="3060" w:type="dxa"/>
          </w:tcPr>
          <w:p w14:paraId="0C00C5CA" w14:textId="77777777" w:rsidR="008D6682" w:rsidRPr="00FC5C72" w:rsidRDefault="008D6682" w:rsidP="00785B18">
            <w:pPr>
              <w:autoSpaceDE w:val="0"/>
              <w:autoSpaceDN w:val="0"/>
              <w:adjustRightInd w:val="0"/>
              <w:spacing w:after="0" w:line="240" w:lineRule="auto"/>
              <w:jc w:val="both"/>
              <w:rPr>
                <w:rFonts w:ascii="Times New Roman" w:eastAsia="TimesNewRoman" w:hAnsi="Times New Roman"/>
                <w:sz w:val="24"/>
                <w:szCs w:val="24"/>
                <w:lang w:eastAsia="ru-RU"/>
              </w:rPr>
            </w:pPr>
          </w:p>
          <w:p w14:paraId="5180874B" w14:textId="3523A189" w:rsidR="008D6682" w:rsidRPr="00FC5C72" w:rsidRDefault="008D6682" w:rsidP="00785B18">
            <w:pPr>
              <w:autoSpaceDE w:val="0"/>
              <w:autoSpaceDN w:val="0"/>
              <w:adjustRightInd w:val="0"/>
              <w:spacing w:after="0" w:line="240" w:lineRule="auto"/>
              <w:jc w:val="both"/>
              <w:rPr>
                <w:rFonts w:ascii="Times New Roman" w:eastAsia="TimesNewRoman" w:hAnsi="Times New Roman"/>
                <w:sz w:val="24"/>
                <w:szCs w:val="24"/>
                <w:lang w:eastAsia="ru-RU"/>
              </w:rPr>
            </w:pPr>
            <w:r w:rsidRPr="00FC5C72">
              <w:rPr>
                <w:rFonts w:ascii="Times New Roman" w:eastAsia="TimesNewRoman" w:hAnsi="Times New Roman"/>
                <w:sz w:val="24"/>
                <w:szCs w:val="24"/>
                <w:lang w:eastAsia="ru-RU"/>
              </w:rPr>
              <w:t xml:space="preserve">2,5 </w:t>
            </w:r>
            <w:r w:rsidRPr="00FC5C72">
              <w:rPr>
                <w:rFonts w:ascii="Sylfaen" w:eastAsia="TimesNewRoman" w:hAnsi="Sylfaen"/>
                <w:sz w:val="24"/>
                <w:szCs w:val="24"/>
                <w:lang w:eastAsia="ru-RU"/>
              </w:rPr>
              <w:t>მგ ორჯერ დღე-ღამეში</w:t>
            </w:r>
          </w:p>
        </w:tc>
        <w:tc>
          <w:tcPr>
            <w:tcW w:w="2430" w:type="dxa"/>
          </w:tcPr>
          <w:p w14:paraId="4AD3357E" w14:textId="77777777" w:rsidR="008D6682" w:rsidRPr="00FC5C72" w:rsidRDefault="008D6682" w:rsidP="00785B18">
            <w:pPr>
              <w:autoSpaceDE w:val="0"/>
              <w:autoSpaceDN w:val="0"/>
              <w:adjustRightInd w:val="0"/>
              <w:spacing w:after="0" w:line="240" w:lineRule="auto"/>
              <w:jc w:val="both"/>
              <w:rPr>
                <w:rFonts w:ascii="Times New Roman" w:eastAsia="TimesNewRoman" w:hAnsi="Times New Roman"/>
                <w:sz w:val="24"/>
                <w:szCs w:val="24"/>
                <w:lang w:eastAsia="ru-RU"/>
              </w:rPr>
            </w:pPr>
          </w:p>
          <w:p w14:paraId="636BAFD4" w14:textId="0AAD247F" w:rsidR="008D6682" w:rsidRPr="00FC5C72" w:rsidRDefault="008D6682" w:rsidP="00785B18">
            <w:pPr>
              <w:autoSpaceDE w:val="0"/>
              <w:autoSpaceDN w:val="0"/>
              <w:adjustRightInd w:val="0"/>
              <w:spacing w:after="0" w:line="240" w:lineRule="auto"/>
              <w:jc w:val="both"/>
              <w:rPr>
                <w:rFonts w:ascii="Sylfaen" w:eastAsia="TimesNewRoman" w:hAnsi="Sylfaen"/>
                <w:sz w:val="24"/>
                <w:szCs w:val="24"/>
                <w:lang w:eastAsia="ru-RU"/>
              </w:rPr>
            </w:pPr>
            <w:r w:rsidRPr="00FC5C72">
              <w:rPr>
                <w:rFonts w:ascii="Times New Roman" w:eastAsia="TimesNewRoman" w:hAnsi="Times New Roman"/>
                <w:sz w:val="24"/>
                <w:szCs w:val="24"/>
                <w:lang w:eastAsia="ru-RU"/>
              </w:rPr>
              <w:t xml:space="preserve">5 </w:t>
            </w:r>
            <w:r w:rsidRPr="00FC5C72">
              <w:rPr>
                <w:rFonts w:ascii="Sylfaen" w:eastAsia="TimesNewRoman" w:hAnsi="Sylfaen"/>
                <w:sz w:val="24"/>
                <w:szCs w:val="24"/>
                <w:lang w:eastAsia="ru-RU"/>
              </w:rPr>
              <w:t>მგ</w:t>
            </w:r>
          </w:p>
        </w:tc>
      </w:tr>
    </w:tbl>
    <w:p w14:paraId="45EE4E8B" w14:textId="76367E88" w:rsidR="008D6682" w:rsidRPr="00FC5C72" w:rsidRDefault="008D6682" w:rsidP="00785B18">
      <w:pPr>
        <w:pStyle w:val="EMEABodyText"/>
        <w:jc w:val="both"/>
        <w:rPr>
          <w:rFonts w:asciiTheme="minorHAnsi" w:hAnsiTheme="minorHAnsi"/>
          <w:sz w:val="24"/>
          <w:szCs w:val="24"/>
          <w:lang w:val="ka-GE"/>
        </w:rPr>
      </w:pPr>
    </w:p>
    <w:p w14:paraId="04CB95E8" w14:textId="42DE71C8" w:rsidR="002736DD" w:rsidRPr="00FC5C72" w:rsidRDefault="002736DD" w:rsidP="00785B18">
      <w:pPr>
        <w:pStyle w:val="EMEABodyText"/>
        <w:jc w:val="both"/>
        <w:rPr>
          <w:rFonts w:asciiTheme="minorHAnsi" w:hAnsiTheme="minorHAnsi"/>
          <w:sz w:val="24"/>
          <w:szCs w:val="24"/>
        </w:rPr>
      </w:pPr>
      <w:r w:rsidRPr="00FC5C72">
        <w:rPr>
          <w:rFonts w:ascii="Sylfaen" w:hAnsi="Sylfaen" w:cs="Sylfaen"/>
          <w:sz w:val="24"/>
          <w:szCs w:val="24"/>
        </w:rPr>
        <w:t>თერაპიის</w:t>
      </w:r>
      <w:r w:rsidRPr="00FC5C72">
        <w:rPr>
          <w:sz w:val="24"/>
          <w:szCs w:val="24"/>
        </w:rPr>
        <w:t xml:space="preserve"> </w:t>
      </w:r>
      <w:r w:rsidRPr="00FC5C72">
        <w:rPr>
          <w:rFonts w:asciiTheme="minorHAnsi" w:hAnsiTheme="minorHAnsi" w:cs="Sylfaen"/>
          <w:sz w:val="24"/>
          <w:szCs w:val="24"/>
        </w:rPr>
        <w:t>ხანგრძლივობა</w:t>
      </w:r>
      <w:r w:rsidRPr="00FC5C72">
        <w:rPr>
          <w:rFonts w:asciiTheme="minorHAnsi" w:hAnsiTheme="minorHAnsi"/>
          <w:sz w:val="24"/>
          <w:szCs w:val="24"/>
        </w:rPr>
        <w:t xml:space="preserve"> </w:t>
      </w:r>
      <w:r w:rsidR="00114678" w:rsidRPr="00FC5C72">
        <w:rPr>
          <w:rFonts w:asciiTheme="minorHAnsi" w:hAnsiTheme="minorHAnsi"/>
          <w:sz w:val="24"/>
          <w:szCs w:val="24"/>
          <w:lang w:val="ka-GE"/>
        </w:rPr>
        <w:t xml:space="preserve">ზოგადად </w:t>
      </w:r>
      <w:r w:rsidRPr="00FC5C72">
        <w:rPr>
          <w:rFonts w:asciiTheme="minorHAnsi" w:hAnsiTheme="minorHAnsi" w:cs="Sylfaen"/>
          <w:sz w:val="24"/>
          <w:szCs w:val="24"/>
        </w:rPr>
        <w:t>განისაზღვრება</w:t>
      </w:r>
      <w:r w:rsidRPr="00FC5C72">
        <w:rPr>
          <w:rFonts w:asciiTheme="minorHAnsi" w:hAnsiTheme="minorHAnsi"/>
          <w:sz w:val="24"/>
          <w:szCs w:val="24"/>
        </w:rPr>
        <w:t xml:space="preserve"> </w:t>
      </w:r>
      <w:r w:rsidRPr="00FC5C72">
        <w:rPr>
          <w:rFonts w:asciiTheme="minorHAnsi" w:hAnsiTheme="minorHAnsi" w:cs="Sylfaen"/>
          <w:sz w:val="24"/>
          <w:szCs w:val="24"/>
        </w:rPr>
        <w:t>ინდივიდუალურად</w:t>
      </w:r>
      <w:r w:rsidRPr="00FC5C72">
        <w:rPr>
          <w:rFonts w:asciiTheme="minorHAnsi" w:hAnsiTheme="minorHAnsi"/>
          <w:sz w:val="24"/>
          <w:szCs w:val="24"/>
        </w:rPr>
        <w:t xml:space="preserve">, </w:t>
      </w:r>
      <w:r w:rsidRPr="00FC5C72">
        <w:rPr>
          <w:rFonts w:asciiTheme="minorHAnsi" w:hAnsiTheme="minorHAnsi" w:cs="Sylfaen"/>
          <w:sz w:val="24"/>
          <w:szCs w:val="24"/>
        </w:rPr>
        <w:t>მკურნალობის</w:t>
      </w:r>
      <w:r w:rsidRPr="00FC5C72">
        <w:rPr>
          <w:rFonts w:asciiTheme="minorHAnsi" w:hAnsiTheme="minorHAnsi" w:cs="Sylfaen"/>
          <w:sz w:val="24"/>
          <w:szCs w:val="24"/>
          <w:lang w:val="ka-GE"/>
        </w:rPr>
        <w:t xml:space="preserve"> </w:t>
      </w:r>
      <w:r w:rsidR="00114678" w:rsidRPr="00FC5C72">
        <w:rPr>
          <w:rFonts w:asciiTheme="minorHAnsi" w:hAnsiTheme="minorHAnsi" w:cs="Sylfaen"/>
          <w:sz w:val="24"/>
          <w:szCs w:val="24"/>
          <w:lang w:val="ka-GE"/>
        </w:rPr>
        <w:t>სარგებლობის</w:t>
      </w:r>
      <w:r w:rsidRPr="00FC5C72">
        <w:rPr>
          <w:rFonts w:asciiTheme="minorHAnsi" w:hAnsiTheme="minorHAnsi"/>
          <w:sz w:val="24"/>
          <w:szCs w:val="24"/>
        </w:rPr>
        <w:t xml:space="preserve"> </w:t>
      </w:r>
      <w:r w:rsidRPr="00FC5C72">
        <w:rPr>
          <w:rFonts w:asciiTheme="minorHAnsi" w:hAnsiTheme="minorHAnsi" w:cs="Sylfaen"/>
          <w:sz w:val="24"/>
          <w:szCs w:val="24"/>
        </w:rPr>
        <w:t>გულდასმით</w:t>
      </w:r>
      <w:r w:rsidRPr="00FC5C72">
        <w:rPr>
          <w:rFonts w:asciiTheme="minorHAnsi" w:hAnsiTheme="minorHAnsi"/>
          <w:sz w:val="24"/>
          <w:szCs w:val="24"/>
        </w:rPr>
        <w:t xml:space="preserve"> </w:t>
      </w:r>
      <w:r w:rsidRPr="00FC5C72">
        <w:rPr>
          <w:rFonts w:asciiTheme="minorHAnsi" w:hAnsiTheme="minorHAnsi" w:cs="Sylfaen"/>
          <w:sz w:val="24"/>
          <w:szCs w:val="24"/>
        </w:rPr>
        <w:t>შეფასების</w:t>
      </w:r>
      <w:r w:rsidRPr="00FC5C72">
        <w:rPr>
          <w:rFonts w:asciiTheme="minorHAnsi" w:hAnsiTheme="minorHAnsi"/>
          <w:sz w:val="24"/>
          <w:szCs w:val="24"/>
        </w:rPr>
        <w:t xml:space="preserve"> </w:t>
      </w:r>
      <w:r w:rsidRPr="00FC5C72">
        <w:rPr>
          <w:rFonts w:asciiTheme="minorHAnsi" w:hAnsiTheme="minorHAnsi" w:cs="Sylfaen"/>
          <w:sz w:val="24"/>
          <w:szCs w:val="24"/>
        </w:rPr>
        <w:t>შემდეგ</w:t>
      </w:r>
      <w:r w:rsidRPr="00FC5C72">
        <w:rPr>
          <w:rFonts w:asciiTheme="minorHAnsi" w:hAnsiTheme="minorHAnsi"/>
          <w:sz w:val="24"/>
          <w:szCs w:val="24"/>
        </w:rPr>
        <w:t xml:space="preserve"> </w:t>
      </w:r>
      <w:r w:rsidRPr="00FC5C72">
        <w:rPr>
          <w:rFonts w:asciiTheme="minorHAnsi" w:hAnsiTheme="minorHAnsi" w:cs="Sylfaen"/>
          <w:sz w:val="24"/>
          <w:szCs w:val="24"/>
        </w:rPr>
        <w:t>სისხლდენის</w:t>
      </w:r>
      <w:r w:rsidRPr="00FC5C72">
        <w:rPr>
          <w:rFonts w:asciiTheme="minorHAnsi" w:hAnsiTheme="minorHAnsi"/>
          <w:sz w:val="24"/>
          <w:szCs w:val="24"/>
        </w:rPr>
        <w:t xml:space="preserve"> </w:t>
      </w:r>
      <w:r w:rsidRPr="00FC5C72">
        <w:rPr>
          <w:rFonts w:asciiTheme="minorHAnsi" w:hAnsiTheme="minorHAnsi" w:cs="Sylfaen"/>
          <w:sz w:val="24"/>
          <w:szCs w:val="24"/>
        </w:rPr>
        <w:t>განვითარების</w:t>
      </w:r>
      <w:r w:rsidRPr="00FC5C72">
        <w:rPr>
          <w:rFonts w:asciiTheme="minorHAnsi" w:hAnsiTheme="minorHAnsi"/>
          <w:sz w:val="24"/>
          <w:szCs w:val="24"/>
        </w:rPr>
        <w:t xml:space="preserve"> </w:t>
      </w:r>
      <w:r w:rsidRPr="00FC5C72">
        <w:rPr>
          <w:rFonts w:asciiTheme="minorHAnsi" w:hAnsiTheme="minorHAnsi" w:cs="Sylfaen"/>
          <w:sz w:val="24"/>
          <w:szCs w:val="24"/>
        </w:rPr>
        <w:t>რისკთან</w:t>
      </w:r>
      <w:r w:rsidRPr="00FC5C72">
        <w:rPr>
          <w:rFonts w:asciiTheme="minorHAnsi" w:hAnsiTheme="minorHAnsi" w:cs="Sylfaen"/>
          <w:sz w:val="24"/>
          <w:szCs w:val="24"/>
          <w:lang w:val="ka-GE"/>
        </w:rPr>
        <w:t xml:space="preserve"> </w:t>
      </w:r>
      <w:r w:rsidRPr="00FC5C72">
        <w:rPr>
          <w:rFonts w:asciiTheme="minorHAnsi" w:hAnsiTheme="minorHAnsi" w:cs="Sylfaen"/>
          <w:sz w:val="24"/>
          <w:szCs w:val="24"/>
        </w:rPr>
        <w:t>შედარებით</w:t>
      </w:r>
      <w:r w:rsidR="00114678" w:rsidRPr="00FC5C72">
        <w:rPr>
          <w:rFonts w:asciiTheme="minorHAnsi" w:hAnsiTheme="minorHAnsi" w:cs="Sylfaen"/>
          <w:sz w:val="24"/>
          <w:szCs w:val="24"/>
          <w:lang w:val="ka-GE"/>
        </w:rPr>
        <w:t xml:space="preserve"> (იხ. პარაგრაფი „განსაკუთრებული მითითება“)</w:t>
      </w:r>
      <w:r w:rsidRPr="00FC5C72">
        <w:rPr>
          <w:rFonts w:asciiTheme="minorHAnsi" w:hAnsiTheme="minorHAnsi"/>
          <w:sz w:val="24"/>
          <w:szCs w:val="24"/>
        </w:rPr>
        <w:t xml:space="preserve">. </w:t>
      </w:r>
    </w:p>
    <w:p w14:paraId="6ABFE2F1" w14:textId="5E7216DC" w:rsidR="00114678" w:rsidRPr="00FC5C72" w:rsidRDefault="00114678" w:rsidP="00785B18">
      <w:pPr>
        <w:pStyle w:val="EMEABodyText"/>
        <w:jc w:val="both"/>
        <w:rPr>
          <w:rFonts w:asciiTheme="minorHAnsi" w:hAnsiTheme="minorHAnsi"/>
          <w:sz w:val="24"/>
          <w:szCs w:val="24"/>
        </w:rPr>
      </w:pPr>
    </w:p>
    <w:p w14:paraId="59E3D18F" w14:textId="5A60EAB9" w:rsidR="00114678" w:rsidRPr="00FC5C72" w:rsidRDefault="00114678" w:rsidP="00785B18">
      <w:pPr>
        <w:pStyle w:val="EMEABodyText"/>
        <w:jc w:val="both"/>
        <w:rPr>
          <w:rFonts w:asciiTheme="minorHAnsi" w:hAnsiTheme="minorHAnsi"/>
          <w:sz w:val="24"/>
          <w:szCs w:val="24"/>
          <w:u w:val="single"/>
          <w:lang w:val="ka-GE"/>
        </w:rPr>
      </w:pPr>
      <w:r w:rsidRPr="00FC5C72">
        <w:rPr>
          <w:rFonts w:asciiTheme="minorHAnsi" w:hAnsiTheme="minorHAnsi"/>
          <w:i/>
          <w:iCs/>
          <w:sz w:val="24"/>
          <w:szCs w:val="24"/>
          <w:u w:val="single"/>
          <w:lang w:val="ka-GE"/>
        </w:rPr>
        <w:t>ვთგ-ის მკურნალობა და მორეციდივე ვთგ-ის პროფილაქტიკა ბავშვებსა და მოზარდებში</w:t>
      </w:r>
    </w:p>
    <w:p w14:paraId="5319A96D" w14:textId="5C0E50A9" w:rsidR="00114678" w:rsidRPr="00FC5C72" w:rsidRDefault="00114678"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 xml:space="preserve">28 დღიდან 18 წლამდე ასაკის ბავშვებსა და მოზარდებში აპიქსაბანით მკურნალობის დაწყება საჭიროა პარენტერალური ანტიკოაგულანტების გამოყენების დაწყებიდან სულ მცირე 5 დღის გასვლის შემდეგ (იხ. პარაგრაფი „ფარმაკოდინამიკა“). </w:t>
      </w:r>
    </w:p>
    <w:p w14:paraId="2C394C4C" w14:textId="081AE169" w:rsidR="00114678" w:rsidRPr="00FC5C72" w:rsidRDefault="00114678" w:rsidP="00785B18">
      <w:pPr>
        <w:pStyle w:val="EMEABodyText"/>
        <w:jc w:val="both"/>
        <w:rPr>
          <w:rFonts w:asciiTheme="minorHAnsi" w:hAnsiTheme="minorHAnsi"/>
          <w:sz w:val="24"/>
          <w:szCs w:val="24"/>
          <w:lang w:val="ka-GE"/>
        </w:rPr>
      </w:pPr>
    </w:p>
    <w:p w14:paraId="0A461CD0" w14:textId="5F090CC7" w:rsidR="00114678" w:rsidRPr="00FC5C72" w:rsidRDefault="00114678"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 xml:space="preserve">ბავშვებსა და </w:t>
      </w:r>
      <w:r w:rsidR="00407A01" w:rsidRPr="00FC5C72">
        <w:rPr>
          <w:rFonts w:asciiTheme="minorHAnsi" w:hAnsiTheme="minorHAnsi"/>
          <w:sz w:val="24"/>
          <w:szCs w:val="24"/>
          <w:lang w:val="ka-GE"/>
        </w:rPr>
        <w:t>მოზარდებში აპიქსაბანით მკურნალობა იწყება წონის გათვალისწინებით</w:t>
      </w:r>
      <w:r w:rsidR="00756090" w:rsidRPr="00FC5C72">
        <w:rPr>
          <w:rFonts w:asciiTheme="minorHAnsi" w:hAnsiTheme="minorHAnsi"/>
          <w:sz w:val="24"/>
          <w:szCs w:val="24"/>
          <w:lang w:val="ka-GE"/>
        </w:rPr>
        <w:t>.</w:t>
      </w:r>
      <w:r w:rsidR="00407A01" w:rsidRPr="00FC5C72">
        <w:rPr>
          <w:rFonts w:asciiTheme="minorHAnsi" w:hAnsiTheme="minorHAnsi"/>
          <w:sz w:val="24"/>
          <w:szCs w:val="24"/>
          <w:lang w:val="ka-GE"/>
        </w:rPr>
        <w:t xml:space="preserve"> ცხრილში 16 წარმოდგენილია აპიქსაბანის რეკომენდე</w:t>
      </w:r>
      <w:r w:rsidR="00756090" w:rsidRPr="00FC5C72">
        <w:rPr>
          <w:rFonts w:asciiTheme="minorHAnsi" w:hAnsiTheme="minorHAnsi"/>
          <w:sz w:val="24"/>
          <w:szCs w:val="24"/>
          <w:lang w:val="ka-GE"/>
        </w:rPr>
        <w:t>ბუ</w:t>
      </w:r>
      <w:r w:rsidR="00407A01" w:rsidRPr="00FC5C72">
        <w:rPr>
          <w:rFonts w:asciiTheme="minorHAnsi" w:hAnsiTheme="minorHAnsi"/>
          <w:sz w:val="24"/>
          <w:szCs w:val="24"/>
          <w:lang w:val="ka-GE"/>
        </w:rPr>
        <w:t xml:space="preserve">ლი დოზები ბავშვთა ასაკის პაციენტებისთვის წონით </w:t>
      </w:r>
      <w:r w:rsidR="00407A01" w:rsidRPr="00FC5C72">
        <w:rPr>
          <w:rFonts w:asciiTheme="minorHAnsi" w:hAnsiTheme="minorHAnsi"/>
          <w:sz w:val="24"/>
          <w:szCs w:val="24"/>
          <w:u w:val="single"/>
          <w:lang w:val="ka-GE"/>
        </w:rPr>
        <w:t>&gt;</w:t>
      </w:r>
      <w:r w:rsidR="00407A01" w:rsidRPr="00FC5C72">
        <w:rPr>
          <w:rFonts w:asciiTheme="minorHAnsi" w:hAnsiTheme="minorHAnsi"/>
          <w:sz w:val="24"/>
          <w:szCs w:val="24"/>
          <w:lang w:val="ka-GE"/>
        </w:rPr>
        <w:t>35 კგ.</w:t>
      </w:r>
    </w:p>
    <w:p w14:paraId="1DC37CE4" w14:textId="6F9AFADC" w:rsidR="00407A01" w:rsidRPr="00FC5C72" w:rsidRDefault="00407A01" w:rsidP="00785B18">
      <w:pPr>
        <w:pStyle w:val="EMEABodyText"/>
        <w:jc w:val="both"/>
        <w:rPr>
          <w:rFonts w:asciiTheme="minorHAnsi" w:hAnsiTheme="minorHAnsi"/>
          <w:sz w:val="24"/>
          <w:szCs w:val="24"/>
          <w:lang w:val="ka-GE"/>
        </w:rPr>
      </w:pPr>
    </w:p>
    <w:p w14:paraId="2796C76E" w14:textId="5C2C5D9B" w:rsidR="00407A01" w:rsidRPr="00FC5C72" w:rsidRDefault="00407A01" w:rsidP="00785B18">
      <w:pPr>
        <w:pStyle w:val="EMEABodyText"/>
        <w:jc w:val="both"/>
        <w:rPr>
          <w:rFonts w:asciiTheme="minorHAnsi" w:hAnsiTheme="minorHAnsi"/>
          <w:b/>
          <w:bCs/>
          <w:sz w:val="24"/>
          <w:szCs w:val="24"/>
          <w:lang w:val="ka-GE"/>
        </w:rPr>
      </w:pPr>
      <w:r w:rsidRPr="00FC5C72">
        <w:rPr>
          <w:rFonts w:asciiTheme="minorHAnsi" w:hAnsiTheme="minorHAnsi"/>
          <w:b/>
          <w:bCs/>
          <w:sz w:val="24"/>
          <w:szCs w:val="24"/>
          <w:lang w:val="ka-GE"/>
        </w:rPr>
        <w:t xml:space="preserve">ცხრილი 16. დოზირების რეკომენდაციები ვთგ-ის მკურნალობისას და მორეციდივე ვთგ-ის პროფილაქტიკისას </w:t>
      </w:r>
      <w:r w:rsidR="007B1442" w:rsidRPr="00FC5C72">
        <w:rPr>
          <w:rFonts w:asciiTheme="minorHAnsi" w:hAnsiTheme="minorHAnsi"/>
          <w:b/>
          <w:bCs/>
          <w:sz w:val="24"/>
          <w:szCs w:val="24"/>
          <w:lang w:val="ka-GE"/>
        </w:rPr>
        <w:t xml:space="preserve">ბავშვებში წონით </w:t>
      </w:r>
      <w:r w:rsidR="007B1442" w:rsidRPr="00FC5C72">
        <w:rPr>
          <w:rFonts w:asciiTheme="minorHAnsi" w:hAnsiTheme="minorHAnsi"/>
          <w:b/>
          <w:bCs/>
          <w:sz w:val="24"/>
          <w:szCs w:val="24"/>
          <w:u w:val="single"/>
          <w:lang w:val="ka-GE"/>
        </w:rPr>
        <w:t>&gt;</w:t>
      </w:r>
      <w:r w:rsidR="007B1442" w:rsidRPr="00FC5C72">
        <w:rPr>
          <w:rFonts w:asciiTheme="minorHAnsi" w:hAnsiTheme="minorHAnsi"/>
          <w:b/>
          <w:bCs/>
          <w:sz w:val="24"/>
          <w:szCs w:val="24"/>
          <w:lang w:val="ka-GE"/>
        </w:rPr>
        <w:t>35 კგ (საწყისი პარენტერალური ანტიკოაგულაციის შემდეგ)</w:t>
      </w:r>
    </w:p>
    <w:p w14:paraId="2D0FE3AB" w14:textId="77777777" w:rsidR="007B1442" w:rsidRPr="00FC5C72" w:rsidRDefault="007B1442" w:rsidP="00785B18">
      <w:pPr>
        <w:pStyle w:val="EMEABodyText"/>
        <w:jc w:val="both"/>
        <w:rPr>
          <w:rFonts w:asciiTheme="minorHAnsi" w:hAnsiTheme="minorHAnsi"/>
          <w:b/>
          <w:bCs/>
          <w:sz w:val="24"/>
          <w:szCs w:val="24"/>
          <w:lang w:val="ka-GE"/>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725"/>
        <w:gridCol w:w="1950"/>
        <w:gridCol w:w="1755"/>
        <w:gridCol w:w="1875"/>
        <w:gridCol w:w="2500"/>
      </w:tblGrid>
      <w:tr w:rsidR="00FC5C72" w:rsidRPr="00FC5C72" w14:paraId="3C400854" w14:textId="77777777" w:rsidTr="00756090">
        <w:trPr>
          <w:cantSplit/>
          <w:trHeight w:val="57"/>
          <w:tblHeader/>
        </w:trPr>
        <w:tc>
          <w:tcPr>
            <w:tcW w:w="1725" w:type="dxa"/>
            <w:tcMar>
              <w:left w:w="108" w:type="dxa"/>
              <w:right w:w="108" w:type="dxa"/>
            </w:tcMar>
          </w:tcPr>
          <w:p w14:paraId="44018082" w14:textId="77777777" w:rsidR="007B1442" w:rsidRPr="00FC5C72" w:rsidRDefault="007B1442" w:rsidP="00785B18">
            <w:pPr>
              <w:keepNext/>
              <w:spacing w:line="240" w:lineRule="auto"/>
              <w:jc w:val="center"/>
              <w:rPr>
                <w:rFonts w:ascii="Times New Roman" w:hAnsi="Times New Roman"/>
                <w:sz w:val="24"/>
                <w:szCs w:val="24"/>
                <w:lang w:val="uz-Cyrl-UZ" w:eastAsia="en-GB"/>
              </w:rPr>
            </w:pPr>
          </w:p>
        </w:tc>
        <w:tc>
          <w:tcPr>
            <w:tcW w:w="3705" w:type="dxa"/>
            <w:gridSpan w:val="2"/>
            <w:tcMar>
              <w:left w:w="108" w:type="dxa"/>
              <w:right w:w="108" w:type="dxa"/>
            </w:tcMar>
          </w:tcPr>
          <w:p w14:paraId="08ABCB67" w14:textId="26D5B92E" w:rsidR="007B1442" w:rsidRPr="00FC5C72" w:rsidRDefault="007B1442" w:rsidP="00785B18">
            <w:pPr>
              <w:keepNext/>
              <w:spacing w:line="240" w:lineRule="auto"/>
              <w:jc w:val="center"/>
              <w:rPr>
                <w:sz w:val="24"/>
                <w:szCs w:val="24"/>
                <w:lang w:eastAsia="zh-CN" w:bidi="he-IL"/>
              </w:rPr>
            </w:pPr>
            <w:r w:rsidRPr="00FC5C72">
              <w:rPr>
                <w:rFonts w:ascii="Sylfaen" w:eastAsia="DengXian" w:hAnsi="Sylfaen"/>
                <w:sz w:val="24"/>
                <w:szCs w:val="24"/>
                <w:lang w:eastAsia="zh-CN" w:bidi="he-IL"/>
              </w:rPr>
              <w:t>1-7 დღეები</w:t>
            </w:r>
            <w:r w:rsidRPr="00FC5C72">
              <w:rPr>
                <w:rFonts w:ascii="Times New Roman" w:eastAsia="DengXian" w:hAnsi="Times New Roman"/>
                <w:sz w:val="24"/>
                <w:szCs w:val="24"/>
                <w:lang w:val="uz-Cyrl-UZ" w:eastAsia="zh-CN" w:bidi="he-IL"/>
              </w:rPr>
              <w:t> </w:t>
            </w:r>
            <w:r w:rsidRPr="00FC5C72">
              <w:rPr>
                <w:rFonts w:eastAsia="DengXian"/>
                <w:sz w:val="24"/>
                <w:szCs w:val="24"/>
                <w:lang w:eastAsia="zh-CN" w:bidi="he-IL"/>
              </w:rPr>
              <w:t xml:space="preserve"> </w:t>
            </w:r>
          </w:p>
        </w:tc>
        <w:tc>
          <w:tcPr>
            <w:tcW w:w="4375" w:type="dxa"/>
            <w:gridSpan w:val="2"/>
            <w:tcMar>
              <w:left w:w="108" w:type="dxa"/>
              <w:right w:w="108" w:type="dxa"/>
            </w:tcMar>
          </w:tcPr>
          <w:p w14:paraId="41A6EF88" w14:textId="40AA84FA" w:rsidR="007B1442" w:rsidRPr="00FC5C72" w:rsidRDefault="007B1442" w:rsidP="00785B18">
            <w:pPr>
              <w:keepNext/>
              <w:spacing w:line="240" w:lineRule="auto"/>
              <w:jc w:val="center"/>
              <w:rPr>
                <w:rFonts w:ascii="Sylfaen" w:hAnsi="Sylfaen"/>
                <w:sz w:val="24"/>
                <w:szCs w:val="24"/>
                <w:lang w:eastAsia="zh-CN" w:bidi="he-IL"/>
              </w:rPr>
            </w:pPr>
            <w:r w:rsidRPr="00FC5C72">
              <w:rPr>
                <w:rFonts w:ascii="Sylfaen" w:eastAsia="DengXian" w:hAnsi="Sylfaen"/>
                <w:sz w:val="24"/>
                <w:szCs w:val="24"/>
                <w:lang w:eastAsia="zh-CN" w:bidi="he-IL"/>
              </w:rPr>
              <w:t>მე-8 დღე და შემდეგ</w:t>
            </w:r>
          </w:p>
        </w:tc>
      </w:tr>
      <w:tr w:rsidR="00FC5C72" w:rsidRPr="00FC5C72" w14:paraId="3F93F09A" w14:textId="77777777" w:rsidTr="00756090">
        <w:trPr>
          <w:cantSplit/>
          <w:trHeight w:val="1006"/>
          <w:tblHeader/>
        </w:trPr>
        <w:tc>
          <w:tcPr>
            <w:tcW w:w="1725" w:type="dxa"/>
            <w:tcMar>
              <w:left w:w="108" w:type="dxa"/>
              <w:right w:w="108" w:type="dxa"/>
            </w:tcMar>
          </w:tcPr>
          <w:p w14:paraId="7F8C42C6" w14:textId="2F598A39" w:rsidR="007B1442" w:rsidRPr="00FC5C72" w:rsidRDefault="007B1442" w:rsidP="00785B18">
            <w:pPr>
              <w:keepNext/>
              <w:spacing w:line="240" w:lineRule="auto"/>
              <w:jc w:val="center"/>
              <w:rPr>
                <w:rFonts w:ascii="Times New Roman" w:hAnsi="Times New Roman"/>
                <w:sz w:val="24"/>
                <w:szCs w:val="24"/>
                <w:lang w:val="uz-Cyrl-UZ" w:eastAsia="zh-CN" w:bidi="he-IL"/>
              </w:rPr>
            </w:pPr>
            <w:r w:rsidRPr="00FC5C72">
              <w:rPr>
                <w:rFonts w:ascii="Sylfaen" w:eastAsia="DengXian" w:hAnsi="Sylfaen"/>
                <w:sz w:val="24"/>
                <w:szCs w:val="24"/>
                <w:lang w:eastAsia="zh-CN" w:bidi="he-IL"/>
              </w:rPr>
              <w:t>წონა</w:t>
            </w:r>
            <w:r w:rsidRPr="00FC5C72">
              <w:rPr>
                <w:rFonts w:ascii="Times New Roman" w:eastAsia="DengXian" w:hAnsi="Times New Roman"/>
                <w:sz w:val="24"/>
                <w:szCs w:val="24"/>
                <w:lang w:val="uz-Cyrl-UZ" w:eastAsia="zh-CN" w:bidi="he-IL"/>
              </w:rPr>
              <w:t xml:space="preserve"> (</w:t>
            </w:r>
            <w:r w:rsidRPr="00FC5C72">
              <w:rPr>
                <w:rFonts w:ascii="Sylfaen" w:eastAsia="DengXian" w:hAnsi="Sylfaen"/>
                <w:sz w:val="24"/>
                <w:szCs w:val="24"/>
                <w:lang w:eastAsia="zh-CN" w:bidi="he-IL"/>
              </w:rPr>
              <w:t>კგ</w:t>
            </w:r>
            <w:r w:rsidRPr="00FC5C72">
              <w:rPr>
                <w:rFonts w:ascii="Times New Roman" w:eastAsia="DengXian" w:hAnsi="Times New Roman"/>
                <w:sz w:val="24"/>
                <w:szCs w:val="24"/>
                <w:lang w:val="uz-Cyrl-UZ" w:eastAsia="zh-CN" w:bidi="he-IL"/>
              </w:rPr>
              <w:t>)</w:t>
            </w:r>
          </w:p>
        </w:tc>
        <w:tc>
          <w:tcPr>
            <w:tcW w:w="1950" w:type="dxa"/>
            <w:tcMar>
              <w:left w:w="108" w:type="dxa"/>
              <w:right w:w="108" w:type="dxa"/>
            </w:tcMar>
          </w:tcPr>
          <w:p w14:paraId="42EA91FA" w14:textId="7B21FDA4" w:rsidR="007B1442" w:rsidRPr="00FC5C72" w:rsidRDefault="007B1442" w:rsidP="00785B18">
            <w:pPr>
              <w:keepNext/>
              <w:spacing w:line="240" w:lineRule="auto"/>
              <w:jc w:val="center"/>
              <w:rPr>
                <w:rFonts w:ascii="Sylfaen" w:hAnsi="Sylfaen"/>
                <w:sz w:val="24"/>
                <w:szCs w:val="24"/>
                <w:lang w:eastAsia="zh-CN" w:bidi="he-IL"/>
              </w:rPr>
            </w:pPr>
            <w:r w:rsidRPr="00FC5C72">
              <w:rPr>
                <w:rFonts w:ascii="Sylfaen" w:eastAsia="DengXian" w:hAnsi="Sylfaen"/>
                <w:sz w:val="24"/>
                <w:szCs w:val="24"/>
                <w:lang w:eastAsia="zh-CN" w:bidi="he-IL"/>
              </w:rPr>
              <w:t>დოზირების რეჟიმი</w:t>
            </w:r>
          </w:p>
        </w:tc>
        <w:tc>
          <w:tcPr>
            <w:tcW w:w="1755" w:type="dxa"/>
            <w:tcMar>
              <w:left w:w="108" w:type="dxa"/>
              <w:right w:w="108" w:type="dxa"/>
            </w:tcMar>
          </w:tcPr>
          <w:p w14:paraId="3BEEFAF6" w14:textId="1F282FFA" w:rsidR="007B1442" w:rsidRPr="00FC5C72" w:rsidRDefault="007B1442" w:rsidP="00785B18">
            <w:pPr>
              <w:keepNext/>
              <w:spacing w:line="240" w:lineRule="auto"/>
              <w:jc w:val="center"/>
              <w:rPr>
                <w:rFonts w:ascii="Sylfaen" w:hAnsi="Sylfaen"/>
                <w:sz w:val="24"/>
                <w:szCs w:val="24"/>
                <w:lang w:eastAsia="zh-CN" w:bidi="he-IL"/>
              </w:rPr>
            </w:pPr>
            <w:r w:rsidRPr="00FC5C72">
              <w:rPr>
                <w:rFonts w:ascii="Sylfaen" w:eastAsia="DengXian" w:hAnsi="Sylfaen"/>
                <w:sz w:val="24"/>
                <w:szCs w:val="24"/>
                <w:lang w:eastAsia="zh-CN" w:bidi="he-IL"/>
              </w:rPr>
              <w:t>მაქსიმალური სადღეღამისო დოზა</w:t>
            </w:r>
          </w:p>
        </w:tc>
        <w:tc>
          <w:tcPr>
            <w:tcW w:w="1875" w:type="dxa"/>
            <w:tcMar>
              <w:left w:w="108" w:type="dxa"/>
              <w:right w:w="108" w:type="dxa"/>
            </w:tcMar>
          </w:tcPr>
          <w:p w14:paraId="5A1E92B9" w14:textId="648CCBD4" w:rsidR="007B1442" w:rsidRPr="00FC5C72" w:rsidRDefault="007B1442" w:rsidP="00785B18">
            <w:pPr>
              <w:keepNext/>
              <w:spacing w:line="240" w:lineRule="auto"/>
              <w:jc w:val="center"/>
              <w:rPr>
                <w:rFonts w:ascii="Times New Roman" w:hAnsi="Times New Roman"/>
                <w:sz w:val="24"/>
                <w:szCs w:val="24"/>
                <w:lang w:val="uz-Cyrl-UZ" w:eastAsia="zh-CN" w:bidi="he-IL"/>
              </w:rPr>
            </w:pPr>
            <w:r w:rsidRPr="00FC5C72">
              <w:rPr>
                <w:rFonts w:ascii="Sylfaen" w:eastAsia="DengXian" w:hAnsi="Sylfaen"/>
                <w:sz w:val="24"/>
                <w:szCs w:val="24"/>
                <w:lang w:eastAsia="zh-CN" w:bidi="he-IL"/>
              </w:rPr>
              <w:t>დოზირების რეჟიმი</w:t>
            </w:r>
          </w:p>
        </w:tc>
        <w:tc>
          <w:tcPr>
            <w:tcW w:w="2500" w:type="dxa"/>
            <w:tcMar>
              <w:left w:w="108" w:type="dxa"/>
              <w:right w:w="108" w:type="dxa"/>
            </w:tcMar>
          </w:tcPr>
          <w:p w14:paraId="61EF9780" w14:textId="7363EAAD" w:rsidR="007B1442" w:rsidRPr="00FC5C72" w:rsidRDefault="007B1442" w:rsidP="00785B18">
            <w:pPr>
              <w:keepNext/>
              <w:spacing w:line="240" w:lineRule="auto"/>
              <w:jc w:val="center"/>
              <w:rPr>
                <w:rFonts w:ascii="Times New Roman" w:hAnsi="Times New Roman"/>
                <w:sz w:val="24"/>
                <w:szCs w:val="24"/>
                <w:lang w:val="uz-Cyrl-UZ" w:eastAsia="zh-CN" w:bidi="he-IL"/>
              </w:rPr>
            </w:pPr>
            <w:r w:rsidRPr="00FC5C72">
              <w:rPr>
                <w:rFonts w:ascii="Sylfaen" w:eastAsia="DengXian" w:hAnsi="Sylfaen"/>
                <w:sz w:val="24"/>
                <w:szCs w:val="24"/>
                <w:lang w:eastAsia="zh-CN" w:bidi="he-IL"/>
              </w:rPr>
              <w:t>მაქსიმალური სადღეღამისო დოზა</w:t>
            </w:r>
          </w:p>
        </w:tc>
      </w:tr>
      <w:tr w:rsidR="007B1442" w:rsidRPr="00FC5C72" w14:paraId="01CD30FA" w14:textId="77777777" w:rsidTr="00756090">
        <w:trPr>
          <w:cantSplit/>
          <w:trHeight w:val="57"/>
        </w:trPr>
        <w:tc>
          <w:tcPr>
            <w:tcW w:w="1725" w:type="dxa"/>
            <w:tcMar>
              <w:left w:w="108" w:type="dxa"/>
              <w:right w:w="108" w:type="dxa"/>
            </w:tcMar>
          </w:tcPr>
          <w:p w14:paraId="29821B63" w14:textId="77777777" w:rsidR="007B1442" w:rsidRPr="00FC5C72" w:rsidRDefault="007B1442" w:rsidP="00785B18">
            <w:pPr>
              <w:keepNext/>
              <w:spacing w:line="240" w:lineRule="auto"/>
              <w:jc w:val="center"/>
              <w:rPr>
                <w:rFonts w:ascii="Times New Roman" w:hAnsi="Times New Roman"/>
                <w:sz w:val="24"/>
                <w:szCs w:val="24"/>
                <w:lang w:val="uz-Cyrl-UZ" w:eastAsia="zh-CN" w:bidi="he-IL"/>
              </w:rPr>
            </w:pPr>
            <w:r w:rsidRPr="00FC5C72">
              <w:rPr>
                <w:rFonts w:ascii="Times New Roman" w:eastAsia="DengXian" w:hAnsi="Times New Roman"/>
                <w:sz w:val="24"/>
                <w:szCs w:val="24"/>
                <w:lang w:val="uz-Cyrl-UZ" w:eastAsia="zh-CN" w:bidi="he-IL"/>
              </w:rPr>
              <w:t>≥ 35</w:t>
            </w:r>
          </w:p>
        </w:tc>
        <w:tc>
          <w:tcPr>
            <w:tcW w:w="1950" w:type="dxa"/>
            <w:tcMar>
              <w:left w:w="108" w:type="dxa"/>
              <w:right w:w="108" w:type="dxa"/>
            </w:tcMar>
          </w:tcPr>
          <w:p w14:paraId="7F617DD4" w14:textId="1C4893E1" w:rsidR="007B1442" w:rsidRPr="00FC5C72" w:rsidRDefault="007B1442" w:rsidP="00785B18">
            <w:pPr>
              <w:keepNext/>
              <w:spacing w:line="240" w:lineRule="auto"/>
              <w:jc w:val="center"/>
              <w:rPr>
                <w:rFonts w:ascii="Sylfaen" w:hAnsi="Sylfaen"/>
                <w:sz w:val="24"/>
                <w:szCs w:val="24"/>
                <w:lang w:eastAsia="zh-CN" w:bidi="he-IL"/>
              </w:rPr>
            </w:pPr>
            <w:r w:rsidRPr="00FC5C72">
              <w:rPr>
                <w:rFonts w:ascii="Times New Roman" w:eastAsia="DengXian" w:hAnsi="Times New Roman"/>
                <w:sz w:val="24"/>
                <w:szCs w:val="24"/>
                <w:lang w:val="uz-Cyrl-UZ" w:eastAsia="zh-CN" w:bidi="he-IL"/>
              </w:rPr>
              <w:t>10 </w:t>
            </w:r>
            <w:r w:rsidR="00845EEE" w:rsidRPr="00FC5C72">
              <w:rPr>
                <w:rFonts w:ascii="Sylfaen" w:eastAsia="DengXian" w:hAnsi="Sylfaen"/>
                <w:sz w:val="24"/>
                <w:szCs w:val="24"/>
                <w:lang w:eastAsia="zh-CN" w:bidi="he-IL"/>
              </w:rPr>
              <w:t>მგ ორჯერ დღე-ღამეში</w:t>
            </w:r>
          </w:p>
        </w:tc>
        <w:tc>
          <w:tcPr>
            <w:tcW w:w="1755" w:type="dxa"/>
            <w:tcMar>
              <w:left w:w="108" w:type="dxa"/>
              <w:right w:w="108" w:type="dxa"/>
            </w:tcMar>
          </w:tcPr>
          <w:p w14:paraId="5A251830" w14:textId="77C6361E" w:rsidR="007B1442" w:rsidRPr="00FC5C72" w:rsidRDefault="007B1442" w:rsidP="00785B18">
            <w:pPr>
              <w:keepNext/>
              <w:spacing w:line="240" w:lineRule="auto"/>
              <w:jc w:val="center"/>
              <w:rPr>
                <w:rFonts w:ascii="Sylfaen" w:hAnsi="Sylfaen"/>
                <w:sz w:val="24"/>
                <w:szCs w:val="24"/>
                <w:lang w:eastAsia="zh-CN" w:bidi="he-IL"/>
              </w:rPr>
            </w:pPr>
            <w:r w:rsidRPr="00FC5C72">
              <w:rPr>
                <w:rFonts w:ascii="Times New Roman" w:eastAsia="DengXian" w:hAnsi="Times New Roman"/>
                <w:sz w:val="24"/>
                <w:szCs w:val="24"/>
                <w:lang w:val="uz-Cyrl-UZ" w:eastAsia="zh-CN" w:bidi="he-IL"/>
              </w:rPr>
              <w:t>20 </w:t>
            </w:r>
            <w:r w:rsidR="00845EEE" w:rsidRPr="00FC5C72">
              <w:rPr>
                <w:rFonts w:ascii="Sylfaen" w:eastAsia="DengXian" w:hAnsi="Sylfaen"/>
                <w:sz w:val="24"/>
                <w:szCs w:val="24"/>
                <w:lang w:eastAsia="zh-CN" w:bidi="he-IL"/>
              </w:rPr>
              <w:t>მგ</w:t>
            </w:r>
          </w:p>
        </w:tc>
        <w:tc>
          <w:tcPr>
            <w:tcW w:w="1875" w:type="dxa"/>
            <w:tcMar>
              <w:left w:w="108" w:type="dxa"/>
              <w:right w:w="108" w:type="dxa"/>
            </w:tcMar>
          </w:tcPr>
          <w:p w14:paraId="5C1DD21C" w14:textId="4A2A4057" w:rsidR="007B1442" w:rsidRPr="00FC5C72" w:rsidRDefault="007B1442" w:rsidP="00785B18">
            <w:pPr>
              <w:keepNext/>
              <w:spacing w:line="240" w:lineRule="auto"/>
              <w:jc w:val="center"/>
              <w:rPr>
                <w:rFonts w:ascii="Times New Roman" w:hAnsi="Times New Roman"/>
                <w:sz w:val="24"/>
                <w:szCs w:val="24"/>
                <w:lang w:val="uz-Cyrl-UZ" w:eastAsia="zh-CN" w:bidi="he-IL"/>
              </w:rPr>
            </w:pPr>
            <w:r w:rsidRPr="00FC5C72">
              <w:rPr>
                <w:rFonts w:ascii="Times New Roman" w:eastAsia="DengXian" w:hAnsi="Times New Roman"/>
                <w:sz w:val="24"/>
                <w:szCs w:val="24"/>
                <w:lang w:val="uz-Cyrl-UZ" w:eastAsia="zh-CN" w:bidi="he-IL"/>
              </w:rPr>
              <w:t>5 </w:t>
            </w:r>
            <w:r w:rsidR="00845EEE" w:rsidRPr="00FC5C72">
              <w:rPr>
                <w:rFonts w:ascii="Sylfaen" w:eastAsia="DengXian" w:hAnsi="Sylfaen"/>
                <w:sz w:val="24"/>
                <w:szCs w:val="24"/>
                <w:lang w:eastAsia="zh-CN" w:bidi="he-IL"/>
              </w:rPr>
              <w:t>მგ ორჯერ დღე-ღამეში</w:t>
            </w:r>
          </w:p>
        </w:tc>
        <w:tc>
          <w:tcPr>
            <w:tcW w:w="2500" w:type="dxa"/>
            <w:tcMar>
              <w:left w:w="108" w:type="dxa"/>
              <w:right w:w="108" w:type="dxa"/>
            </w:tcMar>
          </w:tcPr>
          <w:p w14:paraId="7F1272DB" w14:textId="3B4F274B" w:rsidR="007B1442" w:rsidRPr="00FC5C72" w:rsidRDefault="007B1442" w:rsidP="00785B18">
            <w:pPr>
              <w:keepNext/>
              <w:spacing w:line="240" w:lineRule="auto"/>
              <w:jc w:val="center"/>
              <w:rPr>
                <w:rFonts w:ascii="Sylfaen" w:hAnsi="Sylfaen"/>
                <w:sz w:val="24"/>
                <w:szCs w:val="24"/>
                <w:lang w:eastAsia="zh-CN" w:bidi="he-IL"/>
              </w:rPr>
            </w:pPr>
            <w:r w:rsidRPr="00FC5C72">
              <w:rPr>
                <w:rFonts w:ascii="Times New Roman" w:eastAsia="DengXian" w:hAnsi="Times New Roman"/>
                <w:sz w:val="24"/>
                <w:szCs w:val="24"/>
                <w:lang w:val="uz-Cyrl-UZ" w:eastAsia="zh-CN" w:bidi="he-IL"/>
              </w:rPr>
              <w:t>10 </w:t>
            </w:r>
            <w:r w:rsidR="00845EEE" w:rsidRPr="00FC5C72">
              <w:rPr>
                <w:rFonts w:ascii="Sylfaen" w:eastAsia="DengXian" w:hAnsi="Sylfaen"/>
                <w:sz w:val="24"/>
                <w:szCs w:val="24"/>
                <w:lang w:eastAsia="zh-CN" w:bidi="he-IL"/>
              </w:rPr>
              <w:t>მგ</w:t>
            </w:r>
          </w:p>
        </w:tc>
      </w:tr>
    </w:tbl>
    <w:p w14:paraId="38D01A47" w14:textId="228CD542" w:rsidR="007B1442" w:rsidRPr="00FC5C72" w:rsidRDefault="007B1442" w:rsidP="00785B18">
      <w:pPr>
        <w:pStyle w:val="EMEABodyText"/>
        <w:jc w:val="both"/>
        <w:rPr>
          <w:rFonts w:asciiTheme="minorHAnsi" w:hAnsiTheme="minorHAnsi"/>
          <w:b/>
          <w:bCs/>
          <w:sz w:val="24"/>
          <w:szCs w:val="24"/>
          <w:lang w:val="ka-GE"/>
        </w:rPr>
      </w:pPr>
    </w:p>
    <w:p w14:paraId="0FDE190D" w14:textId="2372183D" w:rsidR="007B1442" w:rsidRPr="00FC5C72" w:rsidRDefault="00845EEE"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ვთგ-ის მკურნალობის რეკომენდაციების თანახმად ბავშვთა ასაკის პაციენტებში თერაპიის ხანგრძლივობა ზოგადად უნდა იყოს პერსონალიზირებული მკურნალობის სარგებლისა და სისხლდენის განვითარების რისკის გულდასმით შეფასების შემდეგ (იხ. პარაგრაფი „განსაკუთრებული მითითება“).</w:t>
      </w:r>
    </w:p>
    <w:p w14:paraId="6B189687" w14:textId="2953A5FE" w:rsidR="00845EEE" w:rsidRPr="00FC5C72" w:rsidRDefault="00845EEE" w:rsidP="00785B18">
      <w:pPr>
        <w:pStyle w:val="EMEABodyText"/>
        <w:jc w:val="both"/>
        <w:rPr>
          <w:rFonts w:asciiTheme="minorHAnsi" w:hAnsiTheme="minorHAnsi"/>
          <w:sz w:val="24"/>
          <w:szCs w:val="24"/>
          <w:lang w:val="ka-GE"/>
        </w:rPr>
      </w:pPr>
    </w:p>
    <w:p w14:paraId="59F0FF0D" w14:textId="6534E45A" w:rsidR="00343494" w:rsidRPr="00FC5C72" w:rsidRDefault="00343494" w:rsidP="00785B18">
      <w:pPr>
        <w:pStyle w:val="EMEABodyText"/>
        <w:jc w:val="both"/>
        <w:rPr>
          <w:rFonts w:asciiTheme="minorHAnsi" w:hAnsiTheme="minorHAnsi"/>
          <w:i/>
          <w:iCs/>
          <w:sz w:val="24"/>
          <w:szCs w:val="24"/>
          <w:u w:val="single"/>
          <w:lang w:val="ka-GE"/>
        </w:rPr>
      </w:pPr>
      <w:r w:rsidRPr="00FC5C72">
        <w:rPr>
          <w:rFonts w:asciiTheme="minorHAnsi" w:hAnsiTheme="minorHAnsi"/>
          <w:i/>
          <w:iCs/>
          <w:sz w:val="24"/>
          <w:szCs w:val="24"/>
          <w:u w:val="single"/>
          <w:lang w:val="ka-GE"/>
        </w:rPr>
        <w:t>პრეპარატის მიღების გამოტოვება</w:t>
      </w:r>
      <w:r w:rsidR="00845EEE" w:rsidRPr="00FC5C72">
        <w:rPr>
          <w:rFonts w:asciiTheme="minorHAnsi" w:hAnsiTheme="minorHAnsi"/>
          <w:i/>
          <w:iCs/>
          <w:sz w:val="24"/>
          <w:szCs w:val="24"/>
          <w:u w:val="single"/>
          <w:lang w:val="ka-GE"/>
        </w:rPr>
        <w:t xml:space="preserve"> მოზრდილ პაციენტებში და ბავშვთა ასაკის პაციენტებში</w:t>
      </w:r>
    </w:p>
    <w:p w14:paraId="7B7C6567" w14:textId="54516C2B" w:rsidR="003A3451" w:rsidRPr="00FC5C72" w:rsidRDefault="00845EEE"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 xml:space="preserve">გამოტოვებული დილის დოზა უნდა იქნას მიღებული პრეპარატის მიღების გამოტოვების გახსენებისთანავე; დილის დოზის მიღება შეიძლება საღამოს დოზასთან ერთად. გამოტოვებული საღამოს დოზის მიღება შეიძლება მხოლოდ იმავე დღის საღამოს: პაციენტმა არ უნდა მიიღოს ორი დოზა მეორე დღის დილით. მეორე დღეს პაციენტმა უნდა გააგრძელოს ჩვეულებრივი დოზის მიღება ორჯერ დღე-ღამეში რეკომენდაციების დაცვით. </w:t>
      </w:r>
    </w:p>
    <w:p w14:paraId="7E53F8C7" w14:textId="77777777" w:rsidR="00845EEE" w:rsidRPr="00FC5C72" w:rsidRDefault="00845EEE" w:rsidP="00785B18">
      <w:pPr>
        <w:pStyle w:val="EMEABodyText"/>
        <w:jc w:val="both"/>
        <w:rPr>
          <w:rFonts w:asciiTheme="minorHAnsi" w:hAnsiTheme="minorHAnsi"/>
          <w:i/>
          <w:iCs/>
          <w:sz w:val="24"/>
          <w:szCs w:val="24"/>
          <w:lang w:val="ka-GE"/>
        </w:rPr>
      </w:pPr>
    </w:p>
    <w:p w14:paraId="7F2B563E" w14:textId="3661E3B5" w:rsidR="00343494" w:rsidRPr="00FC5C72" w:rsidRDefault="003A3451" w:rsidP="00785B18">
      <w:pPr>
        <w:pStyle w:val="EMEABodyText"/>
        <w:jc w:val="both"/>
        <w:rPr>
          <w:rFonts w:asciiTheme="minorHAnsi" w:hAnsiTheme="minorHAnsi"/>
          <w:i/>
          <w:iCs/>
          <w:sz w:val="24"/>
          <w:szCs w:val="24"/>
          <w:u w:val="single"/>
          <w:lang w:val="ka-GE"/>
        </w:rPr>
      </w:pPr>
      <w:r w:rsidRPr="00FC5C72">
        <w:rPr>
          <w:rFonts w:asciiTheme="minorHAnsi" w:hAnsiTheme="minorHAnsi"/>
          <w:i/>
          <w:iCs/>
          <w:sz w:val="24"/>
          <w:szCs w:val="24"/>
          <w:u w:val="single"/>
          <w:lang w:val="ka-GE"/>
        </w:rPr>
        <w:t xml:space="preserve">პრეპარატის შეცვლა </w:t>
      </w:r>
    </w:p>
    <w:p w14:paraId="66B0599C" w14:textId="442B7281" w:rsidR="003A3451" w:rsidRPr="00FC5C72" w:rsidRDefault="003A3451"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პარენტერალური ანტიკოაგულანტებით თერაპიიდან ელიქვისზე (და პირიქით) გადასვლა შეიძლება შემდეგი დოზის დაგეგმილი მიღების დროს</w:t>
      </w:r>
      <w:r w:rsidR="00925A4B" w:rsidRPr="00FC5C72">
        <w:rPr>
          <w:rFonts w:asciiTheme="minorHAnsi" w:hAnsiTheme="minorHAnsi"/>
          <w:sz w:val="24"/>
          <w:szCs w:val="24"/>
          <w:lang w:val="ka-GE"/>
        </w:rPr>
        <w:t xml:space="preserve"> (იხ. პარაგრაფი „სამკურნალწამლო ურთიერთქმედება“)</w:t>
      </w:r>
      <w:r w:rsidRPr="00FC5C72">
        <w:rPr>
          <w:rFonts w:asciiTheme="minorHAnsi" w:hAnsiTheme="minorHAnsi"/>
          <w:sz w:val="24"/>
          <w:szCs w:val="24"/>
          <w:lang w:val="ka-GE"/>
        </w:rPr>
        <w:t xml:space="preserve">. ამ პრეპარატების ერთდროულად მიღება მიზანშეწონილი არ არის. </w:t>
      </w:r>
    </w:p>
    <w:p w14:paraId="51D48585" w14:textId="77777777" w:rsidR="00925A4B" w:rsidRPr="00FC5C72" w:rsidRDefault="00925A4B" w:rsidP="00785B18">
      <w:pPr>
        <w:pStyle w:val="EMEABodyText"/>
        <w:jc w:val="both"/>
        <w:rPr>
          <w:rFonts w:asciiTheme="minorHAnsi" w:hAnsiTheme="minorHAnsi"/>
          <w:sz w:val="24"/>
          <w:szCs w:val="24"/>
          <w:lang w:val="ka-GE"/>
        </w:rPr>
      </w:pPr>
    </w:p>
    <w:p w14:paraId="312AC069" w14:textId="1171A734" w:rsidR="003A3451" w:rsidRPr="00FC5C72" w:rsidRDefault="003A3451" w:rsidP="00785B18">
      <w:pPr>
        <w:pStyle w:val="EMEABodyText"/>
        <w:jc w:val="both"/>
        <w:rPr>
          <w:rFonts w:asciiTheme="minorHAnsi" w:hAnsiTheme="minorHAnsi"/>
          <w:i/>
          <w:iCs/>
          <w:sz w:val="24"/>
          <w:szCs w:val="24"/>
          <w:u w:val="single"/>
          <w:lang w:val="ka-GE"/>
        </w:rPr>
      </w:pPr>
      <w:r w:rsidRPr="00FC5C72">
        <w:rPr>
          <w:rFonts w:asciiTheme="minorHAnsi" w:hAnsiTheme="minorHAnsi"/>
          <w:i/>
          <w:iCs/>
          <w:sz w:val="24"/>
          <w:szCs w:val="24"/>
          <w:u w:val="single"/>
          <w:lang w:val="en-US"/>
        </w:rPr>
        <w:t xml:space="preserve">K </w:t>
      </w:r>
      <w:r w:rsidRPr="00FC5C72">
        <w:rPr>
          <w:rFonts w:asciiTheme="minorHAnsi" w:hAnsiTheme="minorHAnsi"/>
          <w:i/>
          <w:iCs/>
          <w:sz w:val="24"/>
          <w:szCs w:val="24"/>
          <w:u w:val="single"/>
          <w:lang w:val="ka-GE"/>
        </w:rPr>
        <w:t>ვიტამინის ანტაგონისტებით (</w:t>
      </w:r>
      <w:r w:rsidRPr="00FC5C72">
        <w:rPr>
          <w:rFonts w:asciiTheme="minorHAnsi" w:hAnsiTheme="minorHAnsi"/>
          <w:i/>
          <w:iCs/>
          <w:sz w:val="24"/>
          <w:szCs w:val="24"/>
          <w:u w:val="single"/>
          <w:lang w:val="en-US"/>
        </w:rPr>
        <w:t>K</w:t>
      </w:r>
      <w:r w:rsidRPr="00FC5C72">
        <w:rPr>
          <w:rFonts w:asciiTheme="minorHAnsi" w:hAnsiTheme="minorHAnsi"/>
          <w:i/>
          <w:iCs/>
          <w:sz w:val="24"/>
          <w:szCs w:val="24"/>
          <w:u w:val="single"/>
          <w:lang w:val="ka-GE"/>
        </w:rPr>
        <w:t>ვა) თერაპიიდან გადასვლა ელიქვისზე</w:t>
      </w:r>
    </w:p>
    <w:p w14:paraId="00452A2B" w14:textId="49C4B786" w:rsidR="008F6508" w:rsidRPr="00FC5C72" w:rsidRDefault="003A3451"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 xml:space="preserve">პაციენტების გადაყვანისას </w:t>
      </w:r>
      <w:r w:rsidRPr="00FC5C72">
        <w:rPr>
          <w:rFonts w:asciiTheme="minorHAnsi" w:hAnsiTheme="minorHAnsi"/>
          <w:sz w:val="24"/>
          <w:szCs w:val="24"/>
          <w:lang w:val="en-US"/>
        </w:rPr>
        <w:t xml:space="preserve">K </w:t>
      </w:r>
      <w:r w:rsidRPr="00FC5C72">
        <w:rPr>
          <w:rFonts w:asciiTheme="minorHAnsi" w:hAnsiTheme="minorHAnsi"/>
          <w:sz w:val="24"/>
          <w:szCs w:val="24"/>
          <w:lang w:val="ka-GE"/>
        </w:rPr>
        <w:t>ვიტამინის ანტაგონისტებით (</w:t>
      </w:r>
      <w:r w:rsidRPr="00FC5C72">
        <w:rPr>
          <w:rFonts w:asciiTheme="minorHAnsi" w:hAnsiTheme="minorHAnsi"/>
          <w:sz w:val="24"/>
          <w:szCs w:val="24"/>
          <w:lang w:val="en-US"/>
        </w:rPr>
        <w:t>K</w:t>
      </w:r>
      <w:r w:rsidRPr="00FC5C72">
        <w:rPr>
          <w:rFonts w:asciiTheme="minorHAnsi" w:hAnsiTheme="minorHAnsi"/>
          <w:sz w:val="24"/>
          <w:szCs w:val="24"/>
          <w:lang w:val="ka-GE"/>
        </w:rPr>
        <w:t xml:space="preserve">ვა) თერაპიიდან ელიქვისზე, უნდა შეწყდეს ვარფარინის ან </w:t>
      </w:r>
      <w:r w:rsidRPr="00FC5C72">
        <w:rPr>
          <w:rFonts w:asciiTheme="minorHAnsi" w:hAnsiTheme="minorHAnsi"/>
          <w:sz w:val="24"/>
          <w:szCs w:val="24"/>
        </w:rPr>
        <w:t>K</w:t>
      </w:r>
      <w:r w:rsidRPr="00FC5C72">
        <w:rPr>
          <w:rFonts w:asciiTheme="minorHAnsi" w:hAnsiTheme="minorHAnsi"/>
          <w:sz w:val="24"/>
          <w:szCs w:val="24"/>
          <w:lang w:val="ka-GE"/>
        </w:rPr>
        <w:t xml:space="preserve"> ვიტამინის სხვა ანტაგონისტების მიღება და დაწყებული იქნას ელიქ</w:t>
      </w:r>
      <w:r w:rsidR="0059368E" w:rsidRPr="00FC5C72">
        <w:rPr>
          <w:rFonts w:asciiTheme="minorHAnsi" w:hAnsiTheme="minorHAnsi"/>
          <w:sz w:val="24"/>
          <w:szCs w:val="24"/>
          <w:lang w:val="ka-GE"/>
        </w:rPr>
        <w:t>ვ</w:t>
      </w:r>
      <w:r w:rsidRPr="00FC5C72">
        <w:rPr>
          <w:rFonts w:asciiTheme="minorHAnsi" w:hAnsiTheme="minorHAnsi"/>
          <w:sz w:val="24"/>
          <w:szCs w:val="24"/>
          <w:lang w:val="ka-GE"/>
        </w:rPr>
        <w:t xml:space="preserve">ისის </w:t>
      </w:r>
      <w:r w:rsidR="008F6508" w:rsidRPr="00FC5C72">
        <w:rPr>
          <w:rFonts w:asciiTheme="minorHAnsi" w:hAnsiTheme="minorHAnsi"/>
          <w:sz w:val="24"/>
          <w:szCs w:val="24"/>
          <w:lang w:val="ka-GE"/>
        </w:rPr>
        <w:t>მიღება</w:t>
      </w:r>
      <w:r w:rsidR="00F32DA6" w:rsidRPr="00FC5C72">
        <w:rPr>
          <w:rFonts w:asciiTheme="minorHAnsi" w:hAnsiTheme="minorHAnsi"/>
          <w:sz w:val="24"/>
          <w:szCs w:val="24"/>
          <w:lang w:val="ka-GE"/>
        </w:rPr>
        <w:t>, როდესაც</w:t>
      </w:r>
      <w:r w:rsidR="008F6508" w:rsidRPr="00FC5C72">
        <w:rPr>
          <w:rFonts w:asciiTheme="minorHAnsi" w:hAnsiTheme="minorHAnsi"/>
          <w:sz w:val="24"/>
          <w:szCs w:val="24"/>
          <w:lang w:val="ka-GE"/>
        </w:rPr>
        <w:t xml:space="preserve"> საერთაშორისო ნორმალიზებული თანაფარდობის (სნთ) მნიშვნელობა იქნება </w:t>
      </w:r>
      <w:r w:rsidR="00AC27FD" w:rsidRPr="00FC5C72">
        <w:rPr>
          <w:rFonts w:asciiTheme="minorHAnsi" w:hAnsiTheme="minorHAnsi"/>
          <w:sz w:val="24"/>
          <w:szCs w:val="24"/>
          <w:lang w:val="ka-GE"/>
        </w:rPr>
        <w:t>2-ზე ნაკლები</w:t>
      </w:r>
      <w:r w:rsidR="008F6508" w:rsidRPr="00FC5C72">
        <w:rPr>
          <w:rFonts w:asciiTheme="minorHAnsi" w:hAnsiTheme="minorHAnsi"/>
          <w:sz w:val="24"/>
          <w:szCs w:val="24"/>
          <w:lang w:val="ka-GE"/>
        </w:rPr>
        <w:t>.</w:t>
      </w:r>
    </w:p>
    <w:p w14:paraId="166C0A49" w14:textId="77777777" w:rsidR="00AC27FD" w:rsidRPr="00FC5C72" w:rsidRDefault="00AC27FD" w:rsidP="00785B18">
      <w:pPr>
        <w:pStyle w:val="EMEABodyText"/>
        <w:jc w:val="both"/>
        <w:rPr>
          <w:rFonts w:asciiTheme="minorHAnsi" w:hAnsiTheme="minorHAnsi"/>
          <w:sz w:val="24"/>
          <w:szCs w:val="24"/>
          <w:lang w:val="ka-GE"/>
        </w:rPr>
      </w:pPr>
    </w:p>
    <w:p w14:paraId="50282D69" w14:textId="37862FDC" w:rsidR="003A3451" w:rsidRPr="00FC5C72" w:rsidRDefault="008F6508" w:rsidP="00785B18">
      <w:pPr>
        <w:pStyle w:val="EMEABodyText"/>
        <w:jc w:val="both"/>
        <w:rPr>
          <w:rFonts w:ascii="Sylfaen" w:hAnsi="Sylfaen"/>
          <w:sz w:val="24"/>
          <w:szCs w:val="24"/>
          <w:u w:val="single"/>
          <w:lang w:val="ka-GE"/>
        </w:rPr>
      </w:pPr>
      <w:r w:rsidRPr="00FC5C72">
        <w:rPr>
          <w:rFonts w:asciiTheme="minorHAnsi" w:hAnsiTheme="minorHAnsi"/>
          <w:i/>
          <w:iCs/>
          <w:sz w:val="24"/>
          <w:szCs w:val="24"/>
          <w:u w:val="single"/>
          <w:lang w:val="ka-GE"/>
        </w:rPr>
        <w:t xml:space="preserve">გადასვლა ელიქვისით თერაპიიდან  </w:t>
      </w:r>
      <w:r w:rsidRPr="00FC5C72">
        <w:rPr>
          <w:rFonts w:ascii="Sylfaen" w:hAnsi="Sylfaen"/>
          <w:i/>
          <w:iCs/>
          <w:sz w:val="24"/>
          <w:szCs w:val="24"/>
          <w:u w:val="single"/>
          <w:lang w:val="en-US"/>
        </w:rPr>
        <w:t xml:space="preserve">K </w:t>
      </w:r>
      <w:r w:rsidRPr="00FC5C72">
        <w:rPr>
          <w:rFonts w:ascii="Sylfaen" w:hAnsi="Sylfaen"/>
          <w:i/>
          <w:iCs/>
          <w:sz w:val="24"/>
          <w:szCs w:val="24"/>
          <w:u w:val="single"/>
          <w:lang w:val="ka-GE"/>
        </w:rPr>
        <w:t>ვიტამინის ანტაგონისტზე</w:t>
      </w:r>
    </w:p>
    <w:p w14:paraId="31E6E1C4" w14:textId="792864F5" w:rsidR="008F6508" w:rsidRPr="00FC5C72" w:rsidRDefault="008F6508"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 xml:space="preserve">პაციენტების გადაყვანისას ელიქვისით თერაპიიდან </w:t>
      </w:r>
      <w:r w:rsidRPr="00FC5C72">
        <w:rPr>
          <w:rFonts w:asciiTheme="minorHAnsi" w:hAnsiTheme="minorHAnsi"/>
          <w:sz w:val="24"/>
          <w:szCs w:val="24"/>
          <w:lang w:val="en-US"/>
        </w:rPr>
        <w:t xml:space="preserve">K </w:t>
      </w:r>
      <w:r w:rsidR="00591CFA" w:rsidRPr="00FC5C72">
        <w:rPr>
          <w:rFonts w:ascii="Sylfaen" w:hAnsi="Sylfaen"/>
          <w:sz w:val="24"/>
          <w:szCs w:val="24"/>
          <w:lang w:val="ka-GE"/>
        </w:rPr>
        <w:t xml:space="preserve">ვიტამინის ანტაგონისტზე ელიქვისის მიღება უნდა გაგრძელდეს </w:t>
      </w:r>
      <w:r w:rsidR="00591CFA" w:rsidRPr="00FC5C72">
        <w:rPr>
          <w:rFonts w:asciiTheme="minorHAnsi" w:hAnsiTheme="minorHAnsi"/>
          <w:sz w:val="24"/>
          <w:szCs w:val="24"/>
          <w:lang w:val="en-US"/>
        </w:rPr>
        <w:t xml:space="preserve">K </w:t>
      </w:r>
      <w:r w:rsidR="00591CFA" w:rsidRPr="00FC5C72">
        <w:rPr>
          <w:rFonts w:ascii="Sylfaen" w:hAnsi="Sylfaen"/>
          <w:sz w:val="24"/>
          <w:szCs w:val="24"/>
          <w:lang w:val="ka-GE"/>
        </w:rPr>
        <w:t xml:space="preserve">ვიტამინის ანტაგონისტით თერაპიის დაწყებიდან სულ მცირე ორი დღის განმავლობაში. ელიქვისისა და </w:t>
      </w:r>
      <w:r w:rsidR="00591CFA" w:rsidRPr="00FC5C72">
        <w:rPr>
          <w:rFonts w:asciiTheme="minorHAnsi" w:hAnsiTheme="minorHAnsi"/>
          <w:sz w:val="24"/>
          <w:szCs w:val="24"/>
          <w:lang w:val="en-US"/>
        </w:rPr>
        <w:t xml:space="preserve">K </w:t>
      </w:r>
      <w:r w:rsidR="00591CFA" w:rsidRPr="00FC5C72">
        <w:rPr>
          <w:rFonts w:ascii="Sylfaen" w:hAnsi="Sylfaen"/>
          <w:sz w:val="24"/>
          <w:szCs w:val="24"/>
          <w:lang w:val="ka-GE"/>
        </w:rPr>
        <w:t xml:space="preserve">ვიტამინის ანტაგონისტის ერთდროულად გამოყენებიდან 2 დღის შემდეგ უნდა განისაზღვროს სნთ ელიქვისის მიღების სქემით მომდევნო დოზის მიღებამდე. ელიქვისისა და </w:t>
      </w:r>
      <w:r w:rsidR="00591CFA" w:rsidRPr="00FC5C72">
        <w:rPr>
          <w:rFonts w:asciiTheme="minorHAnsi" w:hAnsiTheme="minorHAnsi"/>
          <w:sz w:val="24"/>
          <w:szCs w:val="24"/>
          <w:lang w:val="en-US"/>
        </w:rPr>
        <w:t xml:space="preserve">K </w:t>
      </w:r>
      <w:r w:rsidR="00591CFA" w:rsidRPr="00FC5C72">
        <w:rPr>
          <w:rFonts w:ascii="Sylfaen" w:hAnsi="Sylfaen"/>
          <w:sz w:val="24"/>
          <w:szCs w:val="24"/>
          <w:lang w:val="ka-GE"/>
        </w:rPr>
        <w:t>ვიტამინის ანტაგონისტის ერთდროულად მიღება უნდა გაგრძელდეს სნთ-ის</w:t>
      </w:r>
      <w:r w:rsidR="00591CFA" w:rsidRPr="00FC5C72">
        <w:rPr>
          <w:sz w:val="24"/>
          <w:szCs w:val="24"/>
        </w:rPr>
        <w:t xml:space="preserve"> ≥2</w:t>
      </w:r>
      <w:r w:rsidR="00F32DA6" w:rsidRPr="00FC5C72">
        <w:rPr>
          <w:rFonts w:asciiTheme="minorHAnsi" w:hAnsiTheme="minorHAnsi"/>
          <w:sz w:val="24"/>
          <w:szCs w:val="24"/>
          <w:lang w:val="ka-GE"/>
        </w:rPr>
        <w:t>.</w:t>
      </w:r>
      <w:r w:rsidR="00591CFA" w:rsidRPr="00FC5C72">
        <w:rPr>
          <w:sz w:val="24"/>
          <w:szCs w:val="24"/>
        </w:rPr>
        <w:t>0</w:t>
      </w:r>
      <w:r w:rsidR="00591CFA" w:rsidRPr="00FC5C72">
        <w:rPr>
          <w:rFonts w:asciiTheme="minorHAnsi" w:hAnsiTheme="minorHAnsi"/>
          <w:sz w:val="24"/>
          <w:szCs w:val="24"/>
          <w:lang w:val="ka-GE"/>
        </w:rPr>
        <w:t xml:space="preserve"> მნიშვნელობის მიღწევამდე. </w:t>
      </w:r>
    </w:p>
    <w:p w14:paraId="1DB5F6FA" w14:textId="68D0A4EB" w:rsidR="00580D54" w:rsidRPr="00FC5C72" w:rsidRDefault="00580D54" w:rsidP="00785B18">
      <w:pPr>
        <w:pStyle w:val="EMEABodyText"/>
        <w:jc w:val="both"/>
        <w:rPr>
          <w:rFonts w:asciiTheme="minorHAnsi" w:hAnsiTheme="minorHAnsi"/>
          <w:sz w:val="24"/>
          <w:szCs w:val="24"/>
          <w:lang w:val="ka-GE"/>
        </w:rPr>
      </w:pPr>
    </w:p>
    <w:p w14:paraId="2753ABE1" w14:textId="406E1006" w:rsidR="00580D54" w:rsidRPr="00FC5C72" w:rsidRDefault="00EA02C1" w:rsidP="00785B18">
      <w:pPr>
        <w:pStyle w:val="EMEABodyText"/>
        <w:jc w:val="both"/>
        <w:rPr>
          <w:rFonts w:asciiTheme="minorHAnsi" w:hAnsiTheme="minorHAnsi"/>
          <w:sz w:val="24"/>
          <w:szCs w:val="24"/>
          <w:lang w:val="ka-GE"/>
        </w:rPr>
      </w:pPr>
      <w:r w:rsidRPr="00FC5C72">
        <w:rPr>
          <w:rFonts w:asciiTheme="minorHAnsi" w:hAnsiTheme="minorHAnsi"/>
          <w:sz w:val="24"/>
          <w:szCs w:val="24"/>
          <w:lang w:val="ka-GE"/>
        </w:rPr>
        <w:t>ბავშვთა ასაკის პაციენტებთან დაკავშირებით მონაცემები არ არის.</w:t>
      </w:r>
    </w:p>
    <w:p w14:paraId="607AFE75" w14:textId="6980B740" w:rsidR="00591CFA" w:rsidRPr="00FC5C72" w:rsidRDefault="00591CFA" w:rsidP="00785B18">
      <w:pPr>
        <w:pStyle w:val="EMEABodyText"/>
        <w:jc w:val="both"/>
        <w:rPr>
          <w:rFonts w:asciiTheme="minorHAnsi" w:hAnsiTheme="minorHAnsi"/>
          <w:sz w:val="24"/>
          <w:szCs w:val="24"/>
          <w:lang w:val="ka-GE"/>
        </w:rPr>
      </w:pPr>
    </w:p>
    <w:p w14:paraId="0A030FE9" w14:textId="25D70CEC" w:rsidR="00591CFA" w:rsidRPr="00FC5C72" w:rsidRDefault="00591CFA" w:rsidP="00785B18">
      <w:pPr>
        <w:pStyle w:val="EMEABodyText"/>
        <w:jc w:val="both"/>
        <w:rPr>
          <w:rFonts w:asciiTheme="minorHAnsi" w:hAnsiTheme="minorHAnsi"/>
          <w:sz w:val="24"/>
          <w:szCs w:val="24"/>
          <w:u w:val="single"/>
          <w:lang w:val="ka-GE"/>
        </w:rPr>
      </w:pPr>
      <w:r w:rsidRPr="00FC5C72">
        <w:rPr>
          <w:rFonts w:asciiTheme="minorHAnsi" w:hAnsiTheme="minorHAnsi"/>
          <w:sz w:val="24"/>
          <w:szCs w:val="24"/>
          <w:u w:val="single"/>
          <w:lang w:val="ka-GE"/>
        </w:rPr>
        <w:t>პაციენტების განსაკუთრებული ჯგუფები</w:t>
      </w:r>
    </w:p>
    <w:p w14:paraId="43FA4824" w14:textId="77777777" w:rsidR="00EA02C1" w:rsidRPr="00FC5C72" w:rsidRDefault="00EA02C1" w:rsidP="00785B18">
      <w:pPr>
        <w:pStyle w:val="EMEABodyText"/>
        <w:jc w:val="both"/>
        <w:rPr>
          <w:rFonts w:ascii="Sylfaen" w:hAnsi="Sylfaen"/>
          <w:i/>
          <w:iCs/>
          <w:sz w:val="24"/>
          <w:szCs w:val="24"/>
          <w:lang w:val="ka-GE"/>
        </w:rPr>
      </w:pPr>
    </w:p>
    <w:p w14:paraId="73AEFDDA" w14:textId="0E347083" w:rsidR="00E579AC" w:rsidRPr="00FC5C72" w:rsidRDefault="00E579AC" w:rsidP="00785B18">
      <w:pPr>
        <w:pStyle w:val="EMEABodyText"/>
        <w:jc w:val="both"/>
        <w:rPr>
          <w:rFonts w:ascii="Sylfaen" w:hAnsi="Sylfaen"/>
          <w:sz w:val="24"/>
          <w:szCs w:val="24"/>
          <w:u w:val="single"/>
          <w:lang w:val="ka-GE"/>
        </w:rPr>
      </w:pPr>
      <w:r w:rsidRPr="00FC5C72">
        <w:rPr>
          <w:rFonts w:ascii="Sylfaen" w:hAnsi="Sylfaen"/>
          <w:i/>
          <w:iCs/>
          <w:sz w:val="24"/>
          <w:szCs w:val="24"/>
          <w:u w:val="single"/>
          <w:lang w:val="ka-GE"/>
        </w:rPr>
        <w:t>ხანდაზმული პაციენტები</w:t>
      </w:r>
    </w:p>
    <w:p w14:paraId="68046DC7" w14:textId="0595A43C" w:rsidR="00E579AC" w:rsidRPr="00FC5C72" w:rsidRDefault="00E579AC" w:rsidP="00785B18">
      <w:pPr>
        <w:pStyle w:val="EMEABodyText"/>
        <w:jc w:val="both"/>
        <w:rPr>
          <w:rFonts w:ascii="Sylfaen" w:hAnsi="Sylfaen"/>
          <w:sz w:val="24"/>
          <w:szCs w:val="24"/>
          <w:lang w:val="ka-GE"/>
        </w:rPr>
      </w:pPr>
      <w:r w:rsidRPr="00FC5C72">
        <w:rPr>
          <w:rFonts w:ascii="Sylfaen" w:hAnsi="Sylfaen"/>
          <w:sz w:val="24"/>
          <w:szCs w:val="24"/>
          <w:lang w:val="ka-GE"/>
        </w:rPr>
        <w:t xml:space="preserve">ვთგ-ის პროფილაქტიკა და </w:t>
      </w:r>
      <w:r w:rsidR="00A10A8A" w:rsidRPr="00FC5C72">
        <w:rPr>
          <w:rFonts w:ascii="Sylfaen" w:hAnsi="Sylfaen"/>
          <w:sz w:val="24"/>
          <w:szCs w:val="24"/>
          <w:lang w:val="ka-GE"/>
        </w:rPr>
        <w:t xml:space="preserve">ვთგ-ის </w:t>
      </w:r>
      <w:r w:rsidRPr="00FC5C72">
        <w:rPr>
          <w:rFonts w:ascii="Sylfaen" w:hAnsi="Sylfaen"/>
          <w:sz w:val="24"/>
          <w:szCs w:val="24"/>
          <w:lang w:val="ka-GE"/>
        </w:rPr>
        <w:t xml:space="preserve">მკურნალობა - პრეპარატის დოზის კორექტირება საჭირო არ არის (იხ. პარაგრაფები “განსაკუთრებული მითითება“ და “ფარმაკოკინეტიკა“). </w:t>
      </w:r>
      <w:r w:rsidR="00A10A8A" w:rsidRPr="00FC5C72">
        <w:rPr>
          <w:rFonts w:ascii="Sylfaen" w:hAnsi="Sylfaen"/>
          <w:sz w:val="24"/>
          <w:szCs w:val="24"/>
          <w:lang w:val="ka-GE"/>
        </w:rPr>
        <w:t xml:space="preserve"> </w:t>
      </w:r>
    </w:p>
    <w:p w14:paraId="58CA4712" w14:textId="77777777" w:rsidR="00A10A8A" w:rsidRPr="00FC5C72" w:rsidRDefault="00A10A8A" w:rsidP="00785B18">
      <w:pPr>
        <w:pStyle w:val="EMEABodyText"/>
        <w:jc w:val="both"/>
        <w:rPr>
          <w:rFonts w:ascii="Sylfaen" w:hAnsi="Sylfaen"/>
          <w:sz w:val="24"/>
          <w:szCs w:val="24"/>
          <w:lang w:val="ka-GE"/>
        </w:rPr>
      </w:pPr>
    </w:p>
    <w:p w14:paraId="3E92C004" w14:textId="5EF2D069" w:rsidR="00A10A8A" w:rsidRPr="00FC5C72" w:rsidRDefault="00A10A8A" w:rsidP="00785B18">
      <w:pPr>
        <w:pStyle w:val="EMEABodyText"/>
        <w:jc w:val="both"/>
        <w:rPr>
          <w:rFonts w:ascii="Sylfaen" w:hAnsi="Sylfaen"/>
          <w:sz w:val="24"/>
          <w:szCs w:val="24"/>
          <w:lang w:val="ka-GE"/>
        </w:rPr>
      </w:pPr>
      <w:r w:rsidRPr="00FC5C72">
        <w:rPr>
          <w:rFonts w:ascii="Sylfaen" w:hAnsi="Sylfaen"/>
          <w:sz w:val="24"/>
          <w:szCs w:val="24"/>
          <w:lang w:val="ka-GE"/>
        </w:rPr>
        <w:t>წინაგულების არასარქვლოვანი ფიბრილაცია - პრეპარატის დოზის კორექტირება საჭირო არ არის, გარდა იმ შემთხვევებისა, როდესაც პაციენტის მდგომარეობა შეესაბამება  დოზის შემცირების საჭიროების კრიტერიუმებს (იხ.</w:t>
      </w:r>
      <w:r w:rsidR="00756090" w:rsidRPr="00FC5C72">
        <w:rPr>
          <w:rFonts w:ascii="Sylfaen" w:hAnsi="Sylfaen"/>
          <w:sz w:val="24"/>
          <w:szCs w:val="24"/>
          <w:lang w:val="ka-GE"/>
        </w:rPr>
        <w:t xml:space="preserve"> „</w:t>
      </w:r>
      <w:r w:rsidRPr="00FC5C72">
        <w:rPr>
          <w:rFonts w:ascii="Sylfaen" w:hAnsi="Sylfaen"/>
          <w:sz w:val="24"/>
          <w:szCs w:val="24"/>
          <w:lang w:val="ka-GE"/>
        </w:rPr>
        <w:t xml:space="preserve">დოზის შემცირება“ პარაგრაფის </w:t>
      </w:r>
      <w:r w:rsidR="00756090" w:rsidRPr="00FC5C72">
        <w:rPr>
          <w:rFonts w:ascii="Sylfaen" w:hAnsi="Sylfaen"/>
          <w:sz w:val="24"/>
          <w:szCs w:val="24"/>
          <w:lang w:val="ka-GE"/>
        </w:rPr>
        <w:t>„</w:t>
      </w:r>
      <w:r w:rsidRPr="00FC5C72">
        <w:rPr>
          <w:rFonts w:ascii="Sylfaen" w:hAnsi="Sylfaen"/>
          <w:sz w:val="24"/>
          <w:szCs w:val="24"/>
          <w:lang w:val="ka-GE"/>
        </w:rPr>
        <w:t xml:space="preserve">გამოყენების წესი და დოზები“ დასაწყისში). </w:t>
      </w:r>
    </w:p>
    <w:p w14:paraId="30F0CB76" w14:textId="20BA4D54" w:rsidR="00A10A8A" w:rsidRPr="00FC5C72" w:rsidRDefault="00A10A8A" w:rsidP="00785B18">
      <w:pPr>
        <w:pStyle w:val="EMEABodyText"/>
        <w:jc w:val="both"/>
        <w:rPr>
          <w:rFonts w:ascii="Sylfaen" w:hAnsi="Sylfaen"/>
          <w:sz w:val="24"/>
          <w:szCs w:val="24"/>
          <w:lang w:val="ka-GE"/>
        </w:rPr>
      </w:pPr>
    </w:p>
    <w:p w14:paraId="66B380C9" w14:textId="6661ACBB" w:rsidR="00A10A8A" w:rsidRPr="00FC5C72" w:rsidRDefault="00A10A8A" w:rsidP="00785B18">
      <w:pPr>
        <w:spacing w:after="0" w:line="240" w:lineRule="auto"/>
        <w:jc w:val="both"/>
        <w:rPr>
          <w:rFonts w:eastAsia="Times New Roman"/>
          <w:i/>
          <w:iCs/>
          <w:sz w:val="24"/>
          <w:szCs w:val="24"/>
          <w:u w:val="single"/>
          <w:lang w:eastAsia="ru-RU"/>
        </w:rPr>
      </w:pPr>
      <w:r w:rsidRPr="00FC5C72">
        <w:rPr>
          <w:rFonts w:eastAsia="Times New Roman"/>
          <w:i/>
          <w:iCs/>
          <w:sz w:val="24"/>
          <w:szCs w:val="24"/>
          <w:u w:val="single"/>
          <w:lang w:eastAsia="ru-RU"/>
        </w:rPr>
        <w:t xml:space="preserve">პაციენტები თირკმელების </w:t>
      </w:r>
      <w:r w:rsidR="00374AF1" w:rsidRPr="00FC5C72">
        <w:rPr>
          <w:rFonts w:eastAsia="Times New Roman"/>
          <w:i/>
          <w:iCs/>
          <w:sz w:val="24"/>
          <w:szCs w:val="24"/>
          <w:u w:val="single"/>
          <w:lang w:eastAsia="ru-RU"/>
        </w:rPr>
        <w:t>ფუნქციის დარღვევით</w:t>
      </w:r>
    </w:p>
    <w:p w14:paraId="2C907A01" w14:textId="77777777" w:rsidR="00374AF1" w:rsidRPr="00FC5C72" w:rsidRDefault="00374AF1" w:rsidP="00785B18">
      <w:pPr>
        <w:spacing w:after="0" w:line="240" w:lineRule="auto"/>
        <w:jc w:val="both"/>
        <w:rPr>
          <w:rFonts w:eastAsia="Times New Roman"/>
          <w:i/>
          <w:iCs/>
          <w:sz w:val="24"/>
          <w:szCs w:val="24"/>
          <w:lang w:eastAsia="ru-RU"/>
        </w:rPr>
      </w:pPr>
      <w:r w:rsidRPr="00FC5C72">
        <w:rPr>
          <w:rFonts w:eastAsia="Times New Roman"/>
          <w:i/>
          <w:iCs/>
          <w:sz w:val="24"/>
          <w:szCs w:val="24"/>
          <w:lang w:eastAsia="ru-RU"/>
        </w:rPr>
        <w:t>მოზრდილი პაციენტები</w:t>
      </w:r>
    </w:p>
    <w:p w14:paraId="482FB493" w14:textId="199E5684" w:rsidR="00374AF1" w:rsidRPr="00FC5C72" w:rsidRDefault="00A10A8A" w:rsidP="00785B18">
      <w:pPr>
        <w:spacing w:after="0" w:line="240" w:lineRule="auto"/>
        <w:jc w:val="both"/>
        <w:rPr>
          <w:rFonts w:eastAsia="Times New Roman"/>
          <w:sz w:val="24"/>
          <w:szCs w:val="24"/>
          <w:lang w:eastAsia="ru-RU"/>
        </w:rPr>
      </w:pPr>
      <w:r w:rsidRPr="00FC5C72">
        <w:rPr>
          <w:rFonts w:eastAsia="Times New Roman"/>
          <w:i/>
          <w:iCs/>
          <w:sz w:val="24"/>
          <w:szCs w:val="24"/>
          <w:lang w:eastAsia="ru-RU"/>
        </w:rPr>
        <w:t xml:space="preserve">თირკმელების ფუნქციის მსუბუქი ან ზომიერი დარღვევის </w:t>
      </w:r>
      <w:r w:rsidRPr="00FC5C72">
        <w:rPr>
          <w:rFonts w:eastAsia="Times New Roman"/>
          <w:sz w:val="24"/>
          <w:szCs w:val="24"/>
          <w:lang w:eastAsia="ru-RU"/>
        </w:rPr>
        <w:t xml:space="preserve">მქონე </w:t>
      </w:r>
      <w:r w:rsidR="00374AF1" w:rsidRPr="00FC5C72">
        <w:rPr>
          <w:rFonts w:eastAsia="Times New Roman"/>
          <w:sz w:val="24"/>
          <w:szCs w:val="24"/>
          <w:lang w:eastAsia="ru-RU"/>
        </w:rPr>
        <w:t>მოზრდილ</w:t>
      </w:r>
      <w:r w:rsidR="00756090" w:rsidRPr="00FC5C72">
        <w:rPr>
          <w:rFonts w:eastAsia="Times New Roman"/>
          <w:sz w:val="24"/>
          <w:szCs w:val="24"/>
          <w:lang w:eastAsia="ru-RU"/>
        </w:rPr>
        <w:t>ი</w:t>
      </w:r>
      <w:r w:rsidR="00374AF1" w:rsidRPr="00FC5C72">
        <w:rPr>
          <w:rFonts w:eastAsia="Times New Roman"/>
          <w:sz w:val="24"/>
          <w:szCs w:val="24"/>
          <w:lang w:eastAsia="ru-RU"/>
        </w:rPr>
        <w:t xml:space="preserve"> </w:t>
      </w:r>
      <w:r w:rsidRPr="00FC5C72">
        <w:rPr>
          <w:rFonts w:eastAsia="Times New Roman"/>
          <w:sz w:val="24"/>
          <w:szCs w:val="24"/>
          <w:lang w:eastAsia="ru-RU"/>
        </w:rPr>
        <w:t>პაციენტებ</w:t>
      </w:r>
      <w:r w:rsidR="00756090" w:rsidRPr="00FC5C72">
        <w:rPr>
          <w:rFonts w:eastAsia="Times New Roman"/>
          <w:sz w:val="24"/>
          <w:szCs w:val="24"/>
          <w:lang w:eastAsia="ru-RU"/>
        </w:rPr>
        <w:t>ის მიმართ</w:t>
      </w:r>
      <w:r w:rsidRPr="00FC5C72">
        <w:rPr>
          <w:rFonts w:eastAsia="Times New Roman"/>
          <w:sz w:val="24"/>
          <w:szCs w:val="24"/>
          <w:lang w:eastAsia="ru-RU"/>
        </w:rPr>
        <w:t xml:space="preserve"> </w:t>
      </w:r>
      <w:r w:rsidR="00756090" w:rsidRPr="00FC5C72">
        <w:rPr>
          <w:rFonts w:eastAsia="Times New Roman"/>
          <w:sz w:val="24"/>
          <w:szCs w:val="24"/>
          <w:lang w:eastAsia="ru-RU"/>
        </w:rPr>
        <w:t>მოქმედებს</w:t>
      </w:r>
      <w:r w:rsidRPr="00FC5C72">
        <w:rPr>
          <w:rFonts w:eastAsia="Times New Roman"/>
          <w:sz w:val="24"/>
          <w:szCs w:val="24"/>
          <w:lang w:eastAsia="ru-RU"/>
        </w:rPr>
        <w:t xml:space="preserve"> შემდეგი რეკომენდაციები: </w:t>
      </w:r>
    </w:p>
    <w:p w14:paraId="077E6F09" w14:textId="2775037F" w:rsidR="00F9641D" w:rsidRPr="00FC5C72" w:rsidRDefault="00A10A8A" w:rsidP="00785B18">
      <w:pPr>
        <w:pStyle w:val="ListParagraph"/>
        <w:numPr>
          <w:ilvl w:val="0"/>
          <w:numId w:val="11"/>
        </w:numPr>
        <w:spacing w:after="0" w:line="240" w:lineRule="auto"/>
        <w:jc w:val="both"/>
        <w:rPr>
          <w:rFonts w:eastAsia="Times New Roman"/>
          <w:i/>
          <w:iCs/>
          <w:sz w:val="24"/>
          <w:szCs w:val="24"/>
          <w:lang w:eastAsia="ru-RU"/>
        </w:rPr>
      </w:pPr>
      <w:r w:rsidRPr="00FC5C72">
        <w:rPr>
          <w:rFonts w:eastAsia="Times New Roman"/>
          <w:sz w:val="24"/>
          <w:szCs w:val="24"/>
          <w:lang w:eastAsia="ru-RU"/>
        </w:rPr>
        <w:t>ვთგ-ის პროფილაქტიკ</w:t>
      </w:r>
      <w:r w:rsidR="00756090" w:rsidRPr="00FC5C72">
        <w:rPr>
          <w:rFonts w:eastAsia="Times New Roman"/>
          <w:sz w:val="24"/>
          <w:szCs w:val="24"/>
          <w:lang w:eastAsia="ru-RU"/>
        </w:rPr>
        <w:t>ისთვის</w:t>
      </w:r>
      <w:r w:rsidRPr="00FC5C72">
        <w:rPr>
          <w:rFonts w:eastAsia="Times New Roman"/>
          <w:sz w:val="24"/>
          <w:szCs w:val="24"/>
          <w:lang w:eastAsia="ru-RU"/>
        </w:rPr>
        <w:t xml:space="preserve"> მენჯ-ბარძაყის </w:t>
      </w:r>
      <w:r w:rsidR="00F9641D" w:rsidRPr="00FC5C72">
        <w:rPr>
          <w:rFonts w:eastAsia="Times New Roman"/>
          <w:sz w:val="24"/>
          <w:szCs w:val="24"/>
          <w:lang w:eastAsia="ru-RU"/>
        </w:rPr>
        <w:t>ან</w:t>
      </w:r>
      <w:r w:rsidRPr="00FC5C72">
        <w:rPr>
          <w:rFonts w:eastAsia="Times New Roman"/>
          <w:sz w:val="24"/>
          <w:szCs w:val="24"/>
          <w:lang w:eastAsia="ru-RU"/>
        </w:rPr>
        <w:t xml:space="preserve"> მუხლის სახსრის გეგმიური ენდოპროთეზირების შემდეგ (ვთგ-ის პროფილაქტიკა), ღვთ-ის  მკურნალობ</w:t>
      </w:r>
      <w:r w:rsidR="00756090" w:rsidRPr="00FC5C72">
        <w:rPr>
          <w:rFonts w:eastAsia="Times New Roman"/>
          <w:sz w:val="24"/>
          <w:szCs w:val="24"/>
          <w:lang w:eastAsia="ru-RU"/>
        </w:rPr>
        <w:t>ისთვის</w:t>
      </w:r>
      <w:r w:rsidRPr="00FC5C72">
        <w:rPr>
          <w:rFonts w:eastAsia="Times New Roman"/>
          <w:sz w:val="24"/>
          <w:szCs w:val="24"/>
          <w:lang w:eastAsia="ru-RU"/>
        </w:rPr>
        <w:t>, ფათე-ის მკურნალობ</w:t>
      </w:r>
      <w:r w:rsidR="00756090" w:rsidRPr="00FC5C72">
        <w:rPr>
          <w:rFonts w:eastAsia="Times New Roman"/>
          <w:sz w:val="24"/>
          <w:szCs w:val="24"/>
          <w:lang w:eastAsia="ru-RU"/>
        </w:rPr>
        <w:t xml:space="preserve">ისთვის </w:t>
      </w:r>
      <w:r w:rsidRPr="00FC5C72">
        <w:rPr>
          <w:rFonts w:eastAsia="Times New Roman"/>
          <w:sz w:val="24"/>
          <w:szCs w:val="24"/>
          <w:lang w:eastAsia="ru-RU"/>
        </w:rPr>
        <w:t>და მორეციდივე  ღვთ-ის და ფათე-ის პროფილაქტიკ</w:t>
      </w:r>
      <w:r w:rsidR="00756090" w:rsidRPr="00FC5C72">
        <w:rPr>
          <w:rFonts w:eastAsia="Times New Roman"/>
          <w:sz w:val="24"/>
          <w:szCs w:val="24"/>
          <w:lang w:eastAsia="ru-RU"/>
        </w:rPr>
        <w:t xml:space="preserve">ისთვის </w:t>
      </w:r>
      <w:r w:rsidRPr="00FC5C72">
        <w:rPr>
          <w:rFonts w:eastAsia="Times New Roman"/>
          <w:sz w:val="24"/>
          <w:szCs w:val="24"/>
          <w:lang w:eastAsia="ru-RU"/>
        </w:rPr>
        <w:t>(ვთგ-ის მკურნალობა) დოზის კორექტირებას არ საჭიროებს</w:t>
      </w:r>
      <w:r w:rsidR="00F9641D" w:rsidRPr="00FC5C72">
        <w:rPr>
          <w:rFonts w:eastAsia="Times New Roman"/>
          <w:sz w:val="24"/>
          <w:szCs w:val="24"/>
          <w:lang w:eastAsia="ru-RU"/>
        </w:rPr>
        <w:t xml:space="preserve"> (იხ. პარაგრაფი „ფარმაკოკინეტიკა“)</w:t>
      </w:r>
      <w:r w:rsidRPr="00FC5C72">
        <w:rPr>
          <w:rFonts w:eastAsia="Times New Roman"/>
          <w:sz w:val="24"/>
          <w:szCs w:val="24"/>
          <w:lang w:eastAsia="ru-RU"/>
        </w:rPr>
        <w:t xml:space="preserve">; </w:t>
      </w:r>
    </w:p>
    <w:p w14:paraId="0581C525" w14:textId="4F13E4AB" w:rsidR="00A10A8A" w:rsidRPr="00FC5C72" w:rsidRDefault="00A10A8A" w:rsidP="00785B18">
      <w:pPr>
        <w:pStyle w:val="ListParagraph"/>
        <w:numPr>
          <w:ilvl w:val="0"/>
          <w:numId w:val="11"/>
        </w:numPr>
        <w:spacing w:after="0" w:line="240" w:lineRule="auto"/>
        <w:jc w:val="both"/>
        <w:rPr>
          <w:rFonts w:eastAsia="Times New Roman"/>
          <w:i/>
          <w:iCs/>
          <w:sz w:val="24"/>
          <w:szCs w:val="24"/>
          <w:lang w:eastAsia="ru-RU"/>
        </w:rPr>
      </w:pPr>
      <w:r w:rsidRPr="00FC5C72">
        <w:rPr>
          <w:rFonts w:eastAsia="Times New Roman"/>
          <w:sz w:val="24"/>
          <w:szCs w:val="24"/>
          <w:lang w:eastAsia="ru-RU"/>
        </w:rPr>
        <w:t xml:space="preserve">ინსულტის და სისტემური ემბოლიის პროფილაქტიკისთვის პაციენტებში წინაგულების არასარქვლოვანი ფიბრილაციით და შრატში კრეატინინის დონით </w:t>
      </w:r>
      <w:r w:rsidRPr="00FC5C72">
        <w:rPr>
          <w:rFonts w:eastAsia="Times New Roman"/>
          <w:sz w:val="24"/>
          <w:szCs w:val="24"/>
          <w:u w:val="single"/>
          <w:lang w:eastAsia="ru-RU"/>
        </w:rPr>
        <w:t>&gt;</w:t>
      </w:r>
      <w:r w:rsidRPr="00FC5C72">
        <w:rPr>
          <w:rFonts w:eastAsia="Times New Roman"/>
          <w:sz w:val="24"/>
          <w:szCs w:val="24"/>
          <w:lang w:eastAsia="ru-RU"/>
        </w:rPr>
        <w:t xml:space="preserve">1.5 მგ/დლ (133 მკმოლი/ლ), </w:t>
      </w:r>
      <w:r w:rsidRPr="00FC5C72">
        <w:rPr>
          <w:rFonts w:eastAsia="Times New Roman"/>
          <w:sz w:val="24"/>
          <w:szCs w:val="24"/>
          <w:u w:val="single"/>
          <w:lang w:eastAsia="ru-RU"/>
        </w:rPr>
        <w:t>&gt;</w:t>
      </w:r>
      <w:r w:rsidRPr="00FC5C72">
        <w:rPr>
          <w:rFonts w:eastAsia="Times New Roman"/>
          <w:sz w:val="24"/>
          <w:szCs w:val="24"/>
          <w:lang w:eastAsia="ru-RU"/>
        </w:rPr>
        <w:t xml:space="preserve">80 წლის ასაკთან ან </w:t>
      </w:r>
      <w:r w:rsidRPr="00FC5C72">
        <w:rPr>
          <w:rFonts w:eastAsia="Times New Roman"/>
          <w:sz w:val="24"/>
          <w:szCs w:val="24"/>
          <w:u w:val="single"/>
          <w:lang w:eastAsia="ru-RU"/>
        </w:rPr>
        <w:t>&lt;</w:t>
      </w:r>
      <w:r w:rsidRPr="00FC5C72">
        <w:rPr>
          <w:rFonts w:eastAsia="Times New Roman"/>
          <w:sz w:val="24"/>
          <w:szCs w:val="24"/>
          <w:lang w:eastAsia="ru-RU"/>
        </w:rPr>
        <w:t>60 კგ წონასთან ერთად,  საჭიროა დოზის შემცირება</w:t>
      </w:r>
      <w:r w:rsidR="00F9641D" w:rsidRPr="00FC5C72">
        <w:rPr>
          <w:rFonts w:eastAsia="Times New Roman"/>
          <w:sz w:val="24"/>
          <w:szCs w:val="24"/>
          <w:lang w:eastAsia="ru-RU"/>
        </w:rPr>
        <w:t xml:space="preserve"> (იხ. პარაგრაფი </w:t>
      </w:r>
      <w:r w:rsidR="00F9641D" w:rsidRPr="00FC5C72">
        <w:rPr>
          <w:rFonts w:eastAsia="Times New Roman"/>
          <w:i/>
          <w:iCs/>
          <w:sz w:val="24"/>
          <w:szCs w:val="24"/>
          <w:lang w:eastAsia="ru-RU"/>
        </w:rPr>
        <w:t>„დოზის შემცირება“</w:t>
      </w:r>
      <w:r w:rsidR="00F9641D" w:rsidRPr="00FC5C72">
        <w:rPr>
          <w:rFonts w:eastAsia="Times New Roman"/>
          <w:sz w:val="24"/>
          <w:szCs w:val="24"/>
          <w:lang w:eastAsia="ru-RU"/>
        </w:rPr>
        <w:t xml:space="preserve"> ზემოთ)</w:t>
      </w:r>
      <w:r w:rsidRPr="00FC5C72">
        <w:rPr>
          <w:rFonts w:eastAsia="Times New Roman"/>
          <w:sz w:val="24"/>
          <w:szCs w:val="24"/>
          <w:lang w:eastAsia="ru-RU"/>
        </w:rPr>
        <w:t>. დოზის შემცირების სხვა კრიტერიუმების (ასაკი, სხეულის მასა) არარსებობისას, დოზის კორექცია საჭირო არ არის</w:t>
      </w:r>
      <w:r w:rsidR="00F9641D" w:rsidRPr="00FC5C72">
        <w:rPr>
          <w:rFonts w:eastAsia="Times New Roman"/>
          <w:sz w:val="24"/>
          <w:szCs w:val="24"/>
          <w:lang w:eastAsia="ru-RU"/>
        </w:rPr>
        <w:t xml:space="preserve"> (იხ. </w:t>
      </w:r>
      <w:r w:rsidR="00AD2C74" w:rsidRPr="00FC5C72">
        <w:rPr>
          <w:rFonts w:eastAsia="Times New Roman"/>
          <w:sz w:val="24"/>
          <w:szCs w:val="24"/>
          <w:lang w:eastAsia="ru-RU"/>
        </w:rPr>
        <w:t>პარაგრაფი „ფარმაკოკინეტიკა“</w:t>
      </w:r>
      <w:r w:rsidR="00F9641D" w:rsidRPr="00FC5C72">
        <w:rPr>
          <w:rFonts w:eastAsia="Times New Roman"/>
          <w:sz w:val="24"/>
          <w:szCs w:val="24"/>
          <w:lang w:eastAsia="ru-RU"/>
        </w:rPr>
        <w:t>)</w:t>
      </w:r>
      <w:r w:rsidRPr="00FC5C72">
        <w:rPr>
          <w:rFonts w:eastAsia="Times New Roman"/>
          <w:sz w:val="24"/>
          <w:szCs w:val="24"/>
          <w:lang w:eastAsia="ru-RU"/>
        </w:rPr>
        <w:t xml:space="preserve">. </w:t>
      </w:r>
    </w:p>
    <w:p w14:paraId="4938638A" w14:textId="11D0B1C1" w:rsidR="00756090" w:rsidRPr="00FC5C72" w:rsidRDefault="00756090" w:rsidP="00785B18">
      <w:pPr>
        <w:spacing w:after="0" w:line="240" w:lineRule="auto"/>
        <w:jc w:val="both"/>
        <w:rPr>
          <w:rFonts w:eastAsia="Times New Roman"/>
          <w:i/>
          <w:iCs/>
          <w:sz w:val="24"/>
          <w:szCs w:val="24"/>
          <w:lang w:eastAsia="ru-RU"/>
        </w:rPr>
      </w:pPr>
    </w:p>
    <w:p w14:paraId="0E400671" w14:textId="0B0B64AC" w:rsidR="00756090" w:rsidRPr="00FC5C72" w:rsidRDefault="00756090"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თირკმელების ფუნქციის მძიმე დარღვევის მქონე (კრეატინინის კლირენსი 15-29 მლ/წთ) მოზრდილი პაციენტების მიმართ მოქმედებს შემდეგი რეკომენდაციები (იხ. პარაგრაფები „განსაკუთრებული მითითება“ და „ფარმაკოკინეტიკა“): </w:t>
      </w:r>
    </w:p>
    <w:p w14:paraId="5701820D" w14:textId="7CD79C11" w:rsidR="00E75E5B" w:rsidRPr="00FC5C72" w:rsidRDefault="00756090" w:rsidP="00785B18">
      <w:pPr>
        <w:pStyle w:val="ListParagraph"/>
        <w:numPr>
          <w:ilvl w:val="0"/>
          <w:numId w:val="11"/>
        </w:numPr>
        <w:spacing w:after="0" w:line="240" w:lineRule="auto"/>
        <w:ind w:left="450" w:hanging="450"/>
        <w:jc w:val="both"/>
        <w:rPr>
          <w:rFonts w:eastAsia="Times New Roman"/>
          <w:i/>
          <w:iCs/>
          <w:sz w:val="24"/>
          <w:szCs w:val="24"/>
          <w:lang w:eastAsia="ru-RU"/>
        </w:rPr>
      </w:pPr>
      <w:r w:rsidRPr="00FC5C72">
        <w:rPr>
          <w:rFonts w:eastAsia="Times New Roman"/>
          <w:sz w:val="24"/>
          <w:szCs w:val="24"/>
          <w:lang w:eastAsia="ru-RU"/>
        </w:rPr>
        <w:t xml:space="preserve">ვთგ-ის პროფილაქტიკისთვის მენჯ-ბარძაყის ან მუხლის სახსრის გეგმიური </w:t>
      </w:r>
      <w:proofErr w:type="spellStart"/>
      <w:r w:rsidRPr="00FC5C72">
        <w:rPr>
          <w:rFonts w:eastAsia="Times New Roman"/>
          <w:sz w:val="24"/>
          <w:szCs w:val="24"/>
          <w:lang w:eastAsia="ru-RU"/>
        </w:rPr>
        <w:t>ენდოპროთეზირების</w:t>
      </w:r>
      <w:proofErr w:type="spellEnd"/>
      <w:r w:rsidRPr="00FC5C72">
        <w:rPr>
          <w:rFonts w:eastAsia="Times New Roman"/>
          <w:sz w:val="24"/>
          <w:szCs w:val="24"/>
          <w:lang w:eastAsia="ru-RU"/>
        </w:rPr>
        <w:t xml:space="preserve"> შემდეგ (</w:t>
      </w:r>
      <w:proofErr w:type="spellStart"/>
      <w:r w:rsidRPr="00FC5C72">
        <w:rPr>
          <w:rFonts w:eastAsia="Times New Roman"/>
          <w:sz w:val="24"/>
          <w:szCs w:val="24"/>
          <w:lang w:eastAsia="ru-RU"/>
        </w:rPr>
        <w:t>ვთგ</w:t>
      </w:r>
      <w:proofErr w:type="spellEnd"/>
      <w:r w:rsidRPr="00FC5C72">
        <w:rPr>
          <w:rFonts w:eastAsia="Times New Roman"/>
          <w:sz w:val="24"/>
          <w:szCs w:val="24"/>
          <w:lang w:eastAsia="ru-RU"/>
        </w:rPr>
        <w:t xml:space="preserve">-ის პროფილაქტიკა), </w:t>
      </w:r>
      <w:proofErr w:type="spellStart"/>
      <w:r w:rsidRPr="00FC5C72">
        <w:rPr>
          <w:rFonts w:eastAsia="Times New Roman"/>
          <w:sz w:val="24"/>
          <w:szCs w:val="24"/>
          <w:lang w:eastAsia="ru-RU"/>
        </w:rPr>
        <w:t>ღვთ</w:t>
      </w:r>
      <w:proofErr w:type="spellEnd"/>
      <w:r w:rsidRPr="00FC5C72">
        <w:rPr>
          <w:rFonts w:eastAsia="Times New Roman"/>
          <w:sz w:val="24"/>
          <w:szCs w:val="24"/>
          <w:lang w:eastAsia="ru-RU"/>
        </w:rPr>
        <w:t xml:space="preserve">-ის  მკურნალობისთვის, </w:t>
      </w:r>
      <w:proofErr w:type="spellStart"/>
      <w:r w:rsidRPr="00FC5C72">
        <w:rPr>
          <w:rFonts w:eastAsia="Times New Roman"/>
          <w:sz w:val="24"/>
          <w:szCs w:val="24"/>
          <w:lang w:eastAsia="ru-RU"/>
        </w:rPr>
        <w:t>ფათე</w:t>
      </w:r>
      <w:proofErr w:type="spellEnd"/>
      <w:r w:rsidRPr="00FC5C72">
        <w:rPr>
          <w:rFonts w:eastAsia="Times New Roman"/>
          <w:sz w:val="24"/>
          <w:szCs w:val="24"/>
          <w:lang w:eastAsia="ru-RU"/>
        </w:rPr>
        <w:t xml:space="preserve">-ის მკურნალობისთვის და მორეციდივე </w:t>
      </w:r>
      <w:proofErr w:type="spellStart"/>
      <w:r w:rsidRPr="00FC5C72">
        <w:rPr>
          <w:rFonts w:eastAsia="Times New Roman"/>
          <w:sz w:val="24"/>
          <w:szCs w:val="24"/>
          <w:lang w:eastAsia="ru-RU"/>
        </w:rPr>
        <w:t>ღვთ</w:t>
      </w:r>
      <w:proofErr w:type="spellEnd"/>
      <w:r w:rsidRPr="00FC5C72">
        <w:rPr>
          <w:rFonts w:eastAsia="Times New Roman"/>
          <w:sz w:val="24"/>
          <w:szCs w:val="24"/>
          <w:lang w:eastAsia="ru-RU"/>
        </w:rPr>
        <w:t xml:space="preserve">-ის და </w:t>
      </w:r>
      <w:proofErr w:type="spellStart"/>
      <w:r w:rsidRPr="00FC5C72">
        <w:rPr>
          <w:rFonts w:eastAsia="Times New Roman"/>
          <w:sz w:val="24"/>
          <w:szCs w:val="24"/>
          <w:lang w:eastAsia="ru-RU"/>
        </w:rPr>
        <w:t>ფათე</w:t>
      </w:r>
      <w:proofErr w:type="spellEnd"/>
      <w:r w:rsidRPr="00FC5C72">
        <w:rPr>
          <w:rFonts w:eastAsia="Times New Roman"/>
          <w:sz w:val="24"/>
          <w:szCs w:val="24"/>
          <w:lang w:eastAsia="ru-RU"/>
        </w:rPr>
        <w:t xml:space="preserve">-ის პროფილაქტიკისთვის (ვთგ-ის მკურნალობა) </w:t>
      </w:r>
      <w:r w:rsidR="00E75E5B" w:rsidRPr="00FC5C72">
        <w:rPr>
          <w:rFonts w:eastAsia="Times New Roman"/>
          <w:sz w:val="24"/>
          <w:szCs w:val="24"/>
          <w:lang w:eastAsia="ru-RU"/>
        </w:rPr>
        <w:t>აპიქსაბანის გამოყენება საჭიროა სიფრთხილის ზომების დაცვით</w:t>
      </w:r>
      <w:r w:rsidRPr="00FC5C72">
        <w:rPr>
          <w:rFonts w:eastAsia="Times New Roman"/>
          <w:sz w:val="24"/>
          <w:szCs w:val="24"/>
          <w:lang w:eastAsia="ru-RU"/>
        </w:rPr>
        <w:t>;</w:t>
      </w:r>
    </w:p>
    <w:p w14:paraId="470BF2CD" w14:textId="0583270B" w:rsidR="00756090" w:rsidRPr="00FC5C72" w:rsidRDefault="00E75E5B" w:rsidP="00785B18">
      <w:pPr>
        <w:pStyle w:val="ListParagraph"/>
        <w:numPr>
          <w:ilvl w:val="0"/>
          <w:numId w:val="11"/>
        </w:numPr>
        <w:spacing w:after="0" w:line="240" w:lineRule="auto"/>
        <w:ind w:left="450" w:hanging="450"/>
        <w:jc w:val="both"/>
        <w:rPr>
          <w:rFonts w:eastAsia="Times New Roman"/>
          <w:sz w:val="24"/>
          <w:szCs w:val="24"/>
          <w:lang w:eastAsia="ru-RU"/>
        </w:rPr>
      </w:pPr>
      <w:r w:rsidRPr="00FC5C72">
        <w:rPr>
          <w:rFonts w:eastAsia="Times New Roman"/>
          <w:sz w:val="24"/>
          <w:szCs w:val="24"/>
          <w:lang w:eastAsia="ru-RU"/>
        </w:rPr>
        <w:t>ინსულტის და სისტემური ემბოლიის პროფილაქტიკისთვის პაციენტებში წინაგულების არასარქვლოვანი ფიბრილაციით პაციენტებმა უნდა მიიღონ  აპიქსაბანის შემცირებული დოზა 2,5 მგ ორჯერ დღე-ღამეში.</w:t>
      </w:r>
    </w:p>
    <w:p w14:paraId="00CB0134" w14:textId="77777777" w:rsidR="00AD2C74" w:rsidRPr="00FC5C72" w:rsidRDefault="00AD2C74" w:rsidP="00785B18">
      <w:pPr>
        <w:pStyle w:val="ListParagraph"/>
        <w:spacing w:after="0" w:line="240" w:lineRule="auto"/>
        <w:jc w:val="both"/>
        <w:rPr>
          <w:rFonts w:eastAsia="Times New Roman"/>
          <w:i/>
          <w:iCs/>
          <w:sz w:val="24"/>
          <w:szCs w:val="24"/>
          <w:lang w:eastAsia="ru-RU"/>
        </w:rPr>
      </w:pPr>
    </w:p>
    <w:p w14:paraId="3B52EBF5" w14:textId="3D54D217" w:rsidR="00AD2C74" w:rsidRPr="00FC5C72" w:rsidRDefault="00AD2C74" w:rsidP="00785B18">
      <w:pPr>
        <w:spacing w:after="0" w:line="240" w:lineRule="auto"/>
        <w:jc w:val="both"/>
        <w:rPr>
          <w:sz w:val="24"/>
          <w:szCs w:val="24"/>
        </w:rPr>
      </w:pPr>
      <w:r w:rsidRPr="00FC5C72">
        <w:rPr>
          <w:sz w:val="24"/>
          <w:szCs w:val="24"/>
        </w:rPr>
        <w:t xml:space="preserve">&lt;15 მლ/წთ კრეატინინის კლირენსით ან დიალიზზე მყოფ პაციენტებში აპიქსაბანის კლინიკური გამოყენების გამოცდილების არარსებობის გამო, პაციენტების ამ ჯგუფში პრეპარატის მიღება რეკომენდებული არ არის (იხ. პარაგრაფები „განსაკუთრებული მითითება“ და „ფარმაკოკინეტიკა“). </w:t>
      </w:r>
    </w:p>
    <w:p w14:paraId="559177E6" w14:textId="77777777" w:rsidR="00073835" w:rsidRPr="00FC5C72" w:rsidRDefault="00073835" w:rsidP="00785B18">
      <w:pPr>
        <w:spacing w:after="0" w:line="240" w:lineRule="auto"/>
        <w:jc w:val="both"/>
        <w:rPr>
          <w:sz w:val="24"/>
          <w:szCs w:val="24"/>
        </w:rPr>
      </w:pPr>
    </w:p>
    <w:p w14:paraId="5A70937C" w14:textId="44B895FE" w:rsidR="00A10A8A" w:rsidRPr="00FC5C72" w:rsidRDefault="00AD2C74" w:rsidP="00785B18">
      <w:pPr>
        <w:spacing w:after="0" w:line="240" w:lineRule="auto"/>
        <w:jc w:val="both"/>
        <w:rPr>
          <w:i/>
          <w:iCs/>
          <w:sz w:val="24"/>
          <w:szCs w:val="24"/>
        </w:rPr>
      </w:pPr>
      <w:r w:rsidRPr="00FC5C72">
        <w:rPr>
          <w:i/>
          <w:iCs/>
          <w:sz w:val="24"/>
          <w:szCs w:val="24"/>
        </w:rPr>
        <w:t>ბავშვთა ასაკის პაციენტები</w:t>
      </w:r>
    </w:p>
    <w:p w14:paraId="785F14B3" w14:textId="63BCD5A8" w:rsidR="00AD2C74" w:rsidRPr="00FC5C72" w:rsidRDefault="00AD2C74" w:rsidP="00785B18">
      <w:pPr>
        <w:spacing w:after="0" w:line="240" w:lineRule="auto"/>
        <w:jc w:val="both"/>
        <w:rPr>
          <w:sz w:val="24"/>
          <w:szCs w:val="24"/>
        </w:rPr>
      </w:pPr>
      <w:r w:rsidRPr="00FC5C72">
        <w:rPr>
          <w:sz w:val="24"/>
          <w:szCs w:val="24"/>
        </w:rPr>
        <w:t>მოზრდილ პაციენტებში მონაცემებისა და ბავშვთა ასაკის პაციენტებში შეზღუდული მონაცემების თანახმად (იხ. პარაგრაფი „ფარმაკოკინეტიკა“) თირკმელების ფუნქციის მსუბუქი ან საშუალო ხარისხის დარღვევის მქონე ბავშვთა ასაკის პაციენტებისთვის დოზის კორექცია საჭირო არ არის. აპიქსაბანის მიღება არ არის რეკომენდებული თირკმელების ფუნქციის მძიმე დარღვევის მქონე ბავშვებისთვის და მოზარდებისთვის (იხ. პარაგრაფი „განსაკუთრებული მითითებები“).</w:t>
      </w:r>
    </w:p>
    <w:p w14:paraId="6389F542" w14:textId="77777777" w:rsidR="00A10A8A" w:rsidRPr="00FC5C72" w:rsidRDefault="00A10A8A" w:rsidP="00785B18">
      <w:pPr>
        <w:pStyle w:val="EMEABodyText"/>
        <w:jc w:val="both"/>
        <w:rPr>
          <w:rFonts w:ascii="Sylfaen" w:hAnsi="Sylfaen"/>
          <w:sz w:val="24"/>
          <w:szCs w:val="24"/>
          <w:lang w:val="ka-GE"/>
        </w:rPr>
      </w:pPr>
    </w:p>
    <w:p w14:paraId="4091DBC6" w14:textId="4885F93D" w:rsidR="00E579AC" w:rsidRPr="00FC5C72" w:rsidRDefault="00E579AC" w:rsidP="00785B18">
      <w:pPr>
        <w:pStyle w:val="EMEABodyText"/>
        <w:jc w:val="both"/>
        <w:rPr>
          <w:rFonts w:ascii="Sylfaen" w:hAnsi="Sylfaen"/>
          <w:sz w:val="24"/>
          <w:szCs w:val="24"/>
          <w:u w:val="single"/>
          <w:lang w:val="ka-GE"/>
        </w:rPr>
      </w:pPr>
      <w:r w:rsidRPr="00FC5C72">
        <w:rPr>
          <w:rFonts w:ascii="Sylfaen" w:hAnsi="Sylfaen"/>
          <w:i/>
          <w:iCs/>
          <w:sz w:val="24"/>
          <w:szCs w:val="24"/>
          <w:u w:val="single"/>
          <w:lang w:val="ka-GE"/>
        </w:rPr>
        <w:t>ღვიძლის ფუნქციის დარღვევის მქონე პაციენტები</w:t>
      </w:r>
    </w:p>
    <w:p w14:paraId="3167F6FA" w14:textId="5F6D4F62" w:rsidR="00E579AC" w:rsidRPr="00FC5C72" w:rsidRDefault="00E579AC" w:rsidP="00785B18">
      <w:pPr>
        <w:pStyle w:val="EMEABodyText"/>
        <w:jc w:val="both"/>
        <w:rPr>
          <w:rFonts w:ascii="Sylfaen" w:hAnsi="Sylfaen"/>
          <w:sz w:val="24"/>
          <w:szCs w:val="24"/>
          <w:lang w:val="ka-GE"/>
        </w:rPr>
      </w:pPr>
      <w:r w:rsidRPr="00FC5C72">
        <w:rPr>
          <w:rFonts w:ascii="Sylfaen" w:hAnsi="Sylfaen"/>
          <w:sz w:val="24"/>
          <w:szCs w:val="24"/>
          <w:lang w:val="ka-GE"/>
        </w:rPr>
        <w:t xml:space="preserve">ელიქვისის მიღება უკუნაჩვენებია </w:t>
      </w:r>
      <w:r w:rsidR="00EE0BF9" w:rsidRPr="00FC5C72">
        <w:rPr>
          <w:rFonts w:ascii="Sylfaen" w:hAnsi="Sylfaen"/>
          <w:sz w:val="24"/>
          <w:szCs w:val="24"/>
          <w:lang w:val="ka-GE"/>
        </w:rPr>
        <w:t xml:space="preserve">მოზრდილი </w:t>
      </w:r>
      <w:r w:rsidR="00A24093" w:rsidRPr="00FC5C72">
        <w:rPr>
          <w:rFonts w:ascii="Sylfaen" w:hAnsi="Sylfaen"/>
          <w:sz w:val="24"/>
          <w:szCs w:val="24"/>
          <w:lang w:val="ka-GE"/>
        </w:rPr>
        <w:t xml:space="preserve">პაციენტებისთვის </w:t>
      </w:r>
      <w:r w:rsidRPr="00FC5C72">
        <w:rPr>
          <w:rFonts w:ascii="Sylfaen" w:hAnsi="Sylfaen"/>
          <w:sz w:val="24"/>
          <w:szCs w:val="24"/>
          <w:lang w:val="ka-GE"/>
        </w:rPr>
        <w:t>ღვიძლის დაავადები</w:t>
      </w:r>
      <w:r w:rsidR="00A24093" w:rsidRPr="00FC5C72">
        <w:rPr>
          <w:rFonts w:ascii="Sylfaen" w:hAnsi="Sylfaen"/>
          <w:sz w:val="24"/>
          <w:szCs w:val="24"/>
          <w:lang w:val="ka-GE"/>
        </w:rPr>
        <w:t xml:space="preserve">თ კოაგულოპათიის და </w:t>
      </w:r>
      <w:r w:rsidR="00EE0BF9" w:rsidRPr="00FC5C72">
        <w:rPr>
          <w:rFonts w:ascii="Sylfaen" w:hAnsi="Sylfaen"/>
          <w:sz w:val="24"/>
          <w:szCs w:val="24"/>
          <w:lang w:val="ka-GE"/>
        </w:rPr>
        <w:t xml:space="preserve">სისხლდენის განვითარების </w:t>
      </w:r>
      <w:r w:rsidR="00A24093" w:rsidRPr="00FC5C72">
        <w:rPr>
          <w:rFonts w:ascii="Sylfaen" w:hAnsi="Sylfaen"/>
          <w:sz w:val="24"/>
          <w:szCs w:val="24"/>
          <w:lang w:val="ka-GE"/>
        </w:rPr>
        <w:t>კლინიკურად მნიშვნელოვანი რისკის თანხლებით</w:t>
      </w:r>
      <w:r w:rsidR="00EE0BF9" w:rsidRPr="00FC5C72">
        <w:rPr>
          <w:rFonts w:ascii="Sylfaen" w:hAnsi="Sylfaen"/>
          <w:sz w:val="24"/>
          <w:szCs w:val="24"/>
          <w:lang w:val="ka-GE"/>
        </w:rPr>
        <w:t xml:space="preserve"> (იხ. პარაგრაფი „უკუჩვენება“)</w:t>
      </w:r>
      <w:r w:rsidR="00A24093" w:rsidRPr="00FC5C72">
        <w:rPr>
          <w:rFonts w:ascii="Sylfaen" w:hAnsi="Sylfaen"/>
          <w:sz w:val="24"/>
          <w:szCs w:val="24"/>
          <w:lang w:val="ka-GE"/>
        </w:rPr>
        <w:t xml:space="preserve">. </w:t>
      </w:r>
    </w:p>
    <w:p w14:paraId="39C495F9" w14:textId="0157ECDC" w:rsidR="00EF0804" w:rsidRPr="00FC5C72" w:rsidRDefault="00EF0804" w:rsidP="00785B18">
      <w:pPr>
        <w:pStyle w:val="EMEABodyText"/>
        <w:jc w:val="both"/>
        <w:rPr>
          <w:rFonts w:ascii="Sylfaen" w:hAnsi="Sylfaen"/>
          <w:sz w:val="24"/>
          <w:szCs w:val="24"/>
          <w:lang w:val="ka-GE"/>
        </w:rPr>
      </w:pPr>
      <w:r w:rsidRPr="00FC5C72">
        <w:rPr>
          <w:rFonts w:ascii="Sylfaen" w:hAnsi="Sylfaen"/>
          <w:sz w:val="24"/>
          <w:szCs w:val="24"/>
          <w:lang w:val="ka-GE"/>
        </w:rPr>
        <w:t>პრეპარატის მიღება არ არის რეკომენდებული ღვიძლის ფუნქციის მძიმე დარღვევის მქონე პაციენტებისთვის</w:t>
      </w:r>
      <w:r w:rsidR="00EE0BF9" w:rsidRPr="00FC5C72">
        <w:rPr>
          <w:rFonts w:ascii="Sylfaen" w:hAnsi="Sylfaen"/>
          <w:sz w:val="24"/>
          <w:szCs w:val="24"/>
          <w:lang w:val="ka-GE"/>
        </w:rPr>
        <w:t xml:space="preserve"> (იხ. პარაგრაფები „განსაკუთრებული მითითება“ და „ფარმაკოკინეტიკა“)</w:t>
      </w:r>
      <w:r w:rsidRPr="00FC5C72">
        <w:rPr>
          <w:rFonts w:ascii="Sylfaen" w:hAnsi="Sylfaen"/>
          <w:sz w:val="24"/>
          <w:szCs w:val="24"/>
          <w:lang w:val="ka-GE"/>
        </w:rPr>
        <w:t xml:space="preserve">. </w:t>
      </w:r>
    </w:p>
    <w:p w14:paraId="76DC2F0C" w14:textId="031D8CFB" w:rsidR="00EF0804" w:rsidRPr="00FC5C72" w:rsidRDefault="00EF0804" w:rsidP="00785B18">
      <w:pPr>
        <w:pStyle w:val="EMEABodyText"/>
        <w:jc w:val="both"/>
        <w:rPr>
          <w:rFonts w:ascii="Sylfaen" w:hAnsi="Sylfaen"/>
          <w:sz w:val="24"/>
          <w:szCs w:val="24"/>
          <w:lang w:val="ka-GE"/>
        </w:rPr>
      </w:pPr>
      <w:r w:rsidRPr="00FC5C72">
        <w:rPr>
          <w:rFonts w:ascii="Sylfaen" w:hAnsi="Sylfaen"/>
          <w:sz w:val="24"/>
          <w:szCs w:val="24"/>
          <w:lang w:val="ka-GE"/>
        </w:rPr>
        <w:t>პრეპარატი სიფრთხილის ზომების დაცვით გამოიყენება პაციენტებში ღვიძლის ფუნქციის მსუბუქი ან ზომიერი დარღვევი</w:t>
      </w:r>
      <w:r w:rsidR="00F32DA6" w:rsidRPr="00FC5C72">
        <w:rPr>
          <w:rFonts w:ascii="Sylfaen" w:hAnsi="Sylfaen"/>
          <w:sz w:val="24"/>
          <w:szCs w:val="24"/>
          <w:lang w:val="ka-GE"/>
        </w:rPr>
        <w:t xml:space="preserve">თ </w:t>
      </w:r>
      <w:r w:rsidRPr="00FC5C72">
        <w:rPr>
          <w:rFonts w:ascii="Sylfaen" w:hAnsi="Sylfaen"/>
          <w:sz w:val="24"/>
          <w:szCs w:val="24"/>
          <w:lang w:val="ka-GE"/>
        </w:rPr>
        <w:t xml:space="preserve">(კლასი A და B </w:t>
      </w:r>
      <w:proofErr w:type="spellStart"/>
      <w:r w:rsidRPr="00FC5C72">
        <w:rPr>
          <w:rFonts w:ascii="Sylfaen" w:hAnsi="Sylfaen"/>
          <w:sz w:val="24"/>
          <w:szCs w:val="24"/>
          <w:lang w:val="ka-GE"/>
        </w:rPr>
        <w:t>ჩაილდ</w:t>
      </w:r>
      <w:proofErr w:type="spellEnd"/>
      <w:r w:rsidRPr="00FC5C72">
        <w:rPr>
          <w:rFonts w:ascii="Sylfaen" w:hAnsi="Sylfaen"/>
          <w:sz w:val="24"/>
          <w:szCs w:val="24"/>
          <w:lang w:val="ka-GE"/>
        </w:rPr>
        <w:t>-პიუს კლასიფიკაციით). ღვიძლის ფუნქციის მსუბუქი ან ზომიერი დარღვევის მქონე პაციენტებში პრეპარატის დოზის კორექტირება საჭირო არ არის</w:t>
      </w:r>
      <w:r w:rsidR="00EE0BF9" w:rsidRPr="00FC5C72">
        <w:rPr>
          <w:rFonts w:ascii="Sylfaen" w:hAnsi="Sylfaen"/>
          <w:sz w:val="24"/>
          <w:szCs w:val="24"/>
          <w:lang w:val="ka-GE"/>
        </w:rPr>
        <w:t xml:space="preserve"> (იხ. პარაგრაფები „განსაკუთრებული მითითება“ და „ფარმაკოკინეტიკა“).  </w:t>
      </w:r>
      <w:r w:rsidRPr="00FC5C72">
        <w:rPr>
          <w:rFonts w:ascii="Sylfaen" w:hAnsi="Sylfaen"/>
          <w:sz w:val="24"/>
          <w:szCs w:val="24"/>
          <w:lang w:val="ka-GE"/>
        </w:rPr>
        <w:t xml:space="preserve">  </w:t>
      </w:r>
    </w:p>
    <w:p w14:paraId="127FF5DA" w14:textId="576DE2F4" w:rsidR="00E579AC" w:rsidRPr="00FC5C72" w:rsidRDefault="00EF0804" w:rsidP="00785B18">
      <w:pPr>
        <w:pStyle w:val="EMEABodyText"/>
        <w:jc w:val="both"/>
        <w:rPr>
          <w:rFonts w:ascii="Sylfaen" w:hAnsi="Sylfaen"/>
          <w:sz w:val="24"/>
          <w:szCs w:val="24"/>
          <w:lang w:val="ka-GE"/>
        </w:rPr>
      </w:pPr>
      <w:r w:rsidRPr="00FC5C72">
        <w:rPr>
          <w:rFonts w:ascii="Sylfaen" w:hAnsi="Sylfaen"/>
          <w:sz w:val="24"/>
          <w:szCs w:val="24"/>
          <w:lang w:val="ka-GE"/>
        </w:rPr>
        <w:t xml:space="preserve">ღვიძლის ფერმენტების მომატებული აქტივობის (ალტ/ასტ-ის </w:t>
      </w:r>
      <w:r w:rsidR="00F32DA6" w:rsidRPr="00FC5C72">
        <w:rPr>
          <w:rFonts w:ascii="Sylfaen" w:hAnsi="Sylfaen"/>
          <w:sz w:val="24"/>
          <w:szCs w:val="24"/>
          <w:lang w:val="ka-GE"/>
        </w:rPr>
        <w:t xml:space="preserve">ნორმის ზედა ზღვარზე </w:t>
      </w:r>
      <w:r w:rsidRPr="00FC5C72">
        <w:rPr>
          <w:rFonts w:ascii="Sylfaen" w:hAnsi="Sylfaen"/>
          <w:sz w:val="24"/>
          <w:szCs w:val="24"/>
          <w:lang w:val="ka-GE"/>
        </w:rPr>
        <w:t>ორჯერ მეტად მომატება) ან საერთო ბილირუბინის ნორმის ზედა ზღვარზე 1.5-ჯერ ან მეტად მომატების შემთხვევაში პაციენტები არ ჩართეს კლინიკურ კვლევ</w:t>
      </w:r>
      <w:r w:rsidR="00EE0BF9" w:rsidRPr="00FC5C72">
        <w:rPr>
          <w:rFonts w:ascii="Sylfaen" w:hAnsi="Sylfaen"/>
          <w:sz w:val="24"/>
          <w:szCs w:val="24"/>
          <w:lang w:val="ka-GE"/>
        </w:rPr>
        <w:t>ებ</w:t>
      </w:r>
      <w:r w:rsidRPr="00FC5C72">
        <w:rPr>
          <w:rFonts w:ascii="Sylfaen" w:hAnsi="Sylfaen"/>
          <w:sz w:val="24"/>
          <w:szCs w:val="24"/>
          <w:lang w:val="ka-GE"/>
        </w:rPr>
        <w:t xml:space="preserve">ში. ამიტომ, პაციენტების ამ ჯგუფში, ელიქვისი გამოიყენება სიფრთხილის ზომების დაცვით (იხ. პარაგრაფები </w:t>
      </w:r>
      <w:r w:rsidR="00DB579E" w:rsidRPr="00FC5C72">
        <w:rPr>
          <w:rFonts w:ascii="Sylfaen" w:hAnsi="Sylfaen"/>
          <w:sz w:val="24"/>
          <w:szCs w:val="24"/>
          <w:lang w:val="ka-GE"/>
        </w:rPr>
        <w:t>„</w:t>
      </w:r>
      <w:r w:rsidRPr="00FC5C72">
        <w:rPr>
          <w:rFonts w:ascii="Sylfaen" w:hAnsi="Sylfaen"/>
          <w:sz w:val="24"/>
          <w:szCs w:val="24"/>
          <w:lang w:val="ka-GE"/>
        </w:rPr>
        <w:t xml:space="preserve">გამოყენების წესი და დოზები“ და </w:t>
      </w:r>
      <w:r w:rsidR="00DB579E" w:rsidRPr="00FC5C72">
        <w:rPr>
          <w:rFonts w:ascii="Sylfaen" w:hAnsi="Sylfaen"/>
          <w:sz w:val="24"/>
          <w:szCs w:val="24"/>
          <w:lang w:val="ka-GE"/>
        </w:rPr>
        <w:t>„</w:t>
      </w:r>
      <w:r w:rsidRPr="00FC5C72">
        <w:rPr>
          <w:rFonts w:ascii="Sylfaen" w:hAnsi="Sylfaen"/>
          <w:sz w:val="24"/>
          <w:szCs w:val="24"/>
          <w:lang w:val="ka-GE"/>
        </w:rPr>
        <w:t xml:space="preserve">ფარმაკოკინეტიკა“). </w:t>
      </w:r>
    </w:p>
    <w:p w14:paraId="4C9B022D" w14:textId="3DF9EF67" w:rsidR="00EF0804" w:rsidRPr="00FC5C72" w:rsidRDefault="00EF0804" w:rsidP="00785B18">
      <w:pPr>
        <w:pStyle w:val="EMEABodyText"/>
        <w:jc w:val="both"/>
        <w:rPr>
          <w:rFonts w:ascii="Sylfaen" w:hAnsi="Sylfaen"/>
          <w:sz w:val="24"/>
          <w:szCs w:val="24"/>
          <w:lang w:val="ka-GE"/>
        </w:rPr>
      </w:pPr>
      <w:r w:rsidRPr="00FC5C72">
        <w:rPr>
          <w:rFonts w:ascii="Sylfaen" w:hAnsi="Sylfaen"/>
          <w:sz w:val="24"/>
          <w:szCs w:val="24"/>
          <w:lang w:val="ka-GE"/>
        </w:rPr>
        <w:t xml:space="preserve">ელიქვისის მიღების დაწყებამდე საჭიროა ღვიძლის ფუნქციის გამოკვლევა. </w:t>
      </w:r>
    </w:p>
    <w:p w14:paraId="38620867" w14:textId="23E923EC" w:rsidR="00EE0BF9" w:rsidRPr="00FC5C72" w:rsidRDefault="00EE0BF9" w:rsidP="00785B18">
      <w:pPr>
        <w:pStyle w:val="EMEABodyText"/>
        <w:jc w:val="both"/>
        <w:rPr>
          <w:rFonts w:ascii="Sylfaen" w:hAnsi="Sylfaen"/>
          <w:sz w:val="24"/>
          <w:szCs w:val="24"/>
          <w:lang w:val="ka-GE"/>
        </w:rPr>
      </w:pPr>
    </w:p>
    <w:p w14:paraId="4213D9AB" w14:textId="6F776EE9" w:rsidR="00EE0BF9" w:rsidRPr="00FC5C72" w:rsidRDefault="00EE0BF9" w:rsidP="00785B18">
      <w:pPr>
        <w:pStyle w:val="EMEABodyText"/>
        <w:jc w:val="both"/>
        <w:rPr>
          <w:rFonts w:ascii="Sylfaen" w:hAnsi="Sylfaen"/>
          <w:sz w:val="24"/>
          <w:szCs w:val="24"/>
          <w:lang w:val="ka-GE"/>
        </w:rPr>
      </w:pPr>
      <w:r w:rsidRPr="00FC5C72">
        <w:rPr>
          <w:rFonts w:ascii="Sylfaen" w:hAnsi="Sylfaen"/>
          <w:sz w:val="24"/>
          <w:szCs w:val="24"/>
          <w:lang w:val="ka-GE"/>
        </w:rPr>
        <w:t xml:space="preserve">ღვიძლის ფუნქციის დარღვევის მქონე ბავშვთა ასაკის პაციენტების პოპულაციაში აპიქსაბანის გამოყენება არ არის შესწავლილი. </w:t>
      </w:r>
    </w:p>
    <w:p w14:paraId="7B6E63F9" w14:textId="15A5CC0A" w:rsidR="007A1CFF" w:rsidRPr="00FC5C72" w:rsidRDefault="007A1CFF" w:rsidP="00785B18">
      <w:pPr>
        <w:pStyle w:val="ListParagraph"/>
        <w:spacing w:after="0" w:line="240" w:lineRule="auto"/>
        <w:ind w:left="0"/>
        <w:jc w:val="both"/>
        <w:rPr>
          <w:sz w:val="24"/>
          <w:szCs w:val="24"/>
        </w:rPr>
      </w:pPr>
    </w:p>
    <w:p w14:paraId="4FA0741B" w14:textId="29A3BE16" w:rsidR="00E2267A" w:rsidRPr="00FC5C72" w:rsidRDefault="00E2267A" w:rsidP="00785B18">
      <w:pPr>
        <w:pStyle w:val="ListParagraph"/>
        <w:spacing w:after="0" w:line="240" w:lineRule="auto"/>
        <w:ind w:left="0"/>
        <w:jc w:val="both"/>
        <w:rPr>
          <w:i/>
          <w:iCs/>
          <w:sz w:val="24"/>
          <w:szCs w:val="24"/>
          <w:u w:val="single"/>
        </w:rPr>
      </w:pPr>
      <w:r w:rsidRPr="00FC5C72">
        <w:rPr>
          <w:i/>
          <w:iCs/>
          <w:sz w:val="24"/>
          <w:szCs w:val="24"/>
          <w:u w:val="single"/>
        </w:rPr>
        <w:t>სხეულის მასა</w:t>
      </w:r>
    </w:p>
    <w:p w14:paraId="443184CC" w14:textId="77777777" w:rsidR="00423F37" w:rsidRPr="00FC5C72" w:rsidRDefault="00CE01EB" w:rsidP="00785B18">
      <w:pPr>
        <w:pStyle w:val="ListParagraph"/>
        <w:spacing w:after="0" w:line="240" w:lineRule="auto"/>
        <w:ind w:left="0"/>
        <w:jc w:val="both"/>
        <w:rPr>
          <w:rFonts w:ascii="Sylfaen" w:hAnsi="Sylfaen"/>
          <w:sz w:val="24"/>
          <w:szCs w:val="24"/>
        </w:rPr>
      </w:pPr>
      <w:r w:rsidRPr="00FC5C72">
        <w:rPr>
          <w:rFonts w:ascii="Sylfaen" w:hAnsi="Sylfaen"/>
          <w:sz w:val="24"/>
          <w:szCs w:val="24"/>
        </w:rPr>
        <w:t xml:space="preserve">ვთგ-ის პროფილაქტიკა და მკურნალობა - </w:t>
      </w:r>
      <w:r w:rsidR="00423F37" w:rsidRPr="00FC5C72">
        <w:rPr>
          <w:rFonts w:ascii="Sylfaen" w:hAnsi="Sylfaen"/>
          <w:sz w:val="24"/>
          <w:szCs w:val="24"/>
        </w:rPr>
        <w:t xml:space="preserve">მოზრდილებში </w:t>
      </w:r>
      <w:r w:rsidRPr="00FC5C72">
        <w:rPr>
          <w:rFonts w:ascii="Sylfaen" w:hAnsi="Sylfaen"/>
          <w:sz w:val="24"/>
          <w:szCs w:val="24"/>
        </w:rPr>
        <w:t>პრეპარატის დოზის კორექტირება საჭირო არ არის</w:t>
      </w:r>
      <w:r w:rsidR="00423F37" w:rsidRPr="00FC5C72">
        <w:rPr>
          <w:rFonts w:ascii="Sylfaen" w:hAnsi="Sylfaen"/>
          <w:sz w:val="24"/>
          <w:szCs w:val="24"/>
        </w:rPr>
        <w:t xml:space="preserve"> (იხ. პარაგრაფები „განსაკუთრებული მითითება“ და „ფარმაკოკინეტიკა“)</w:t>
      </w:r>
      <w:r w:rsidRPr="00FC5C72">
        <w:rPr>
          <w:rFonts w:ascii="Sylfaen" w:hAnsi="Sylfaen"/>
          <w:sz w:val="24"/>
          <w:szCs w:val="24"/>
        </w:rPr>
        <w:t>.</w:t>
      </w:r>
    </w:p>
    <w:p w14:paraId="3C54A539" w14:textId="41C52BE3" w:rsidR="00423F37" w:rsidRPr="00FC5C72" w:rsidRDefault="00CE01EB" w:rsidP="00785B18">
      <w:pPr>
        <w:pStyle w:val="ListParagraph"/>
        <w:spacing w:after="0" w:line="240" w:lineRule="auto"/>
        <w:ind w:left="0"/>
        <w:jc w:val="both"/>
        <w:rPr>
          <w:rFonts w:ascii="Sylfaen" w:hAnsi="Sylfaen"/>
          <w:sz w:val="24"/>
          <w:szCs w:val="24"/>
        </w:rPr>
      </w:pPr>
      <w:r w:rsidRPr="00FC5C72">
        <w:rPr>
          <w:rFonts w:ascii="Sylfaen" w:hAnsi="Sylfaen"/>
          <w:sz w:val="24"/>
          <w:szCs w:val="24"/>
        </w:rPr>
        <w:t xml:space="preserve"> </w:t>
      </w:r>
    </w:p>
    <w:p w14:paraId="69DC2611" w14:textId="6ACA8C28" w:rsidR="00423F37" w:rsidRPr="00FC5C72" w:rsidRDefault="00423F37" w:rsidP="00785B18">
      <w:pPr>
        <w:pStyle w:val="ListParagraph"/>
        <w:spacing w:after="0" w:line="240" w:lineRule="auto"/>
        <w:ind w:left="0"/>
        <w:jc w:val="both"/>
        <w:rPr>
          <w:rFonts w:ascii="Sylfaen" w:hAnsi="Sylfaen"/>
          <w:sz w:val="24"/>
          <w:szCs w:val="24"/>
        </w:rPr>
      </w:pPr>
      <w:r w:rsidRPr="00FC5C72">
        <w:rPr>
          <w:rFonts w:ascii="Sylfaen" w:hAnsi="Sylfaen"/>
          <w:sz w:val="24"/>
          <w:szCs w:val="24"/>
        </w:rPr>
        <w:t>წინაგულების არასარქვლოვანი ფიბრილაცია - დოზის კორექტირება საჭირო არ არის, გარდა იმ შემთხვევებისა, როდესაც პაციენტის მდგომარეობ</w:t>
      </w:r>
      <w:r w:rsidR="00226DB9" w:rsidRPr="00FC5C72">
        <w:rPr>
          <w:rFonts w:ascii="Sylfaen" w:hAnsi="Sylfaen"/>
          <w:sz w:val="24"/>
          <w:szCs w:val="24"/>
        </w:rPr>
        <w:t>ა შეესაბამება დოზის შემცირების აუცილებლობის კრიტერიუმებს (იხ. პარაგრაფი „დოზის შემცირება“ პარაგრაფის „გამოყენების წესი და დოზები“ დასაწყისში)</w:t>
      </w:r>
      <w:r w:rsidRPr="00FC5C72">
        <w:rPr>
          <w:rFonts w:ascii="Sylfaen" w:hAnsi="Sylfaen"/>
          <w:sz w:val="24"/>
          <w:szCs w:val="24"/>
        </w:rPr>
        <w:t xml:space="preserve">. </w:t>
      </w:r>
    </w:p>
    <w:p w14:paraId="776FCBD2" w14:textId="16EB29B5" w:rsidR="00226DB9" w:rsidRPr="00FC5C72" w:rsidRDefault="00226DB9" w:rsidP="00785B18">
      <w:pPr>
        <w:pStyle w:val="ListParagraph"/>
        <w:spacing w:after="0" w:line="240" w:lineRule="auto"/>
        <w:ind w:left="0"/>
        <w:jc w:val="both"/>
        <w:rPr>
          <w:rFonts w:ascii="Sylfaen" w:hAnsi="Sylfaen"/>
          <w:sz w:val="24"/>
          <w:szCs w:val="24"/>
        </w:rPr>
      </w:pPr>
    </w:p>
    <w:p w14:paraId="56ABC651" w14:textId="07D1AE27" w:rsidR="00226DB9" w:rsidRPr="00FC5C72" w:rsidRDefault="00226DB9" w:rsidP="00785B18">
      <w:pPr>
        <w:pStyle w:val="ListParagraph"/>
        <w:spacing w:after="0" w:line="240" w:lineRule="auto"/>
        <w:ind w:left="0"/>
        <w:jc w:val="both"/>
        <w:rPr>
          <w:rFonts w:ascii="Sylfaen" w:hAnsi="Sylfaen"/>
          <w:sz w:val="24"/>
          <w:szCs w:val="24"/>
        </w:rPr>
      </w:pPr>
      <w:r w:rsidRPr="00FC5C72">
        <w:rPr>
          <w:rFonts w:ascii="Sylfaen" w:hAnsi="Sylfaen"/>
          <w:sz w:val="24"/>
          <w:szCs w:val="24"/>
        </w:rPr>
        <w:t>ბავშვებსა და მოზარდებში მკურნალობისა და პროფილაქტიკისას გამოიყენება აპიქსაბანის ფიქსირებული დოზა, რომელიც დამოკიდებულია სხეულის მასაზე (იხ. პარაგრაფი „გამოყენების წესი და დოზები“).</w:t>
      </w:r>
    </w:p>
    <w:p w14:paraId="52C0CFC4" w14:textId="211BDE11" w:rsidR="00CE01EB" w:rsidRPr="00FC5C72" w:rsidRDefault="00CE01EB" w:rsidP="00785B18">
      <w:pPr>
        <w:pStyle w:val="ListParagraph"/>
        <w:spacing w:after="0" w:line="240" w:lineRule="auto"/>
        <w:ind w:left="0"/>
        <w:jc w:val="both"/>
        <w:rPr>
          <w:rFonts w:ascii="Sylfaen" w:hAnsi="Sylfaen"/>
          <w:sz w:val="24"/>
          <w:szCs w:val="24"/>
        </w:rPr>
      </w:pPr>
    </w:p>
    <w:p w14:paraId="4522F5D6" w14:textId="26DFD629" w:rsidR="00CE01EB" w:rsidRPr="00FC5C72" w:rsidRDefault="00CE01EB" w:rsidP="00785B18">
      <w:pPr>
        <w:pStyle w:val="ListParagraph"/>
        <w:spacing w:after="0" w:line="240" w:lineRule="auto"/>
        <w:ind w:left="0"/>
        <w:jc w:val="both"/>
        <w:rPr>
          <w:rFonts w:ascii="Sylfaen" w:hAnsi="Sylfaen"/>
          <w:i/>
          <w:iCs/>
          <w:sz w:val="24"/>
          <w:szCs w:val="24"/>
          <w:u w:val="single"/>
        </w:rPr>
      </w:pPr>
      <w:r w:rsidRPr="00FC5C72">
        <w:rPr>
          <w:rFonts w:ascii="Sylfaen" w:hAnsi="Sylfaen"/>
          <w:i/>
          <w:iCs/>
          <w:sz w:val="24"/>
          <w:szCs w:val="24"/>
          <w:u w:val="single"/>
        </w:rPr>
        <w:t>სქესი</w:t>
      </w:r>
    </w:p>
    <w:p w14:paraId="74279EE9" w14:textId="106A49C1" w:rsidR="00CE01EB" w:rsidRPr="00FC5C72" w:rsidRDefault="00CE01EB" w:rsidP="00785B18">
      <w:pPr>
        <w:pStyle w:val="ListParagraph"/>
        <w:spacing w:after="0" w:line="240" w:lineRule="auto"/>
        <w:ind w:left="0"/>
        <w:jc w:val="both"/>
        <w:rPr>
          <w:rFonts w:ascii="Sylfaen" w:hAnsi="Sylfaen"/>
          <w:sz w:val="24"/>
          <w:szCs w:val="24"/>
        </w:rPr>
      </w:pPr>
      <w:r w:rsidRPr="00FC5C72">
        <w:rPr>
          <w:rFonts w:ascii="Sylfaen" w:hAnsi="Sylfaen"/>
          <w:sz w:val="24"/>
          <w:szCs w:val="24"/>
        </w:rPr>
        <w:t>პრეპარატის დოზის კორექტირება საჭირო არ არის</w:t>
      </w:r>
      <w:r w:rsidR="00226DB9" w:rsidRPr="00FC5C72">
        <w:rPr>
          <w:rFonts w:ascii="Sylfaen" w:hAnsi="Sylfaen"/>
          <w:sz w:val="24"/>
          <w:szCs w:val="24"/>
        </w:rPr>
        <w:t xml:space="preserve"> (იხ. პარაგრაფი „ფარმაკოკინეტიკა“)</w:t>
      </w:r>
      <w:r w:rsidRPr="00FC5C72">
        <w:rPr>
          <w:rFonts w:ascii="Sylfaen" w:hAnsi="Sylfaen"/>
          <w:sz w:val="24"/>
          <w:szCs w:val="24"/>
        </w:rPr>
        <w:t xml:space="preserve">. </w:t>
      </w:r>
    </w:p>
    <w:p w14:paraId="7B1E688D" w14:textId="77777777" w:rsidR="00226DB9" w:rsidRPr="00FC5C72" w:rsidRDefault="00226DB9" w:rsidP="00785B18">
      <w:pPr>
        <w:pStyle w:val="ListParagraph"/>
        <w:spacing w:after="0" w:line="240" w:lineRule="auto"/>
        <w:ind w:left="0"/>
        <w:jc w:val="both"/>
        <w:rPr>
          <w:rFonts w:ascii="Sylfaen" w:hAnsi="Sylfaen"/>
          <w:i/>
          <w:iCs/>
          <w:sz w:val="24"/>
          <w:szCs w:val="24"/>
        </w:rPr>
      </w:pPr>
    </w:p>
    <w:p w14:paraId="781D690F" w14:textId="21BA1759" w:rsidR="00CE01EB" w:rsidRPr="00FC5C72" w:rsidRDefault="00CE01EB" w:rsidP="00785B18">
      <w:pPr>
        <w:pStyle w:val="ListParagraph"/>
        <w:spacing w:after="0" w:line="240" w:lineRule="auto"/>
        <w:ind w:left="0"/>
        <w:jc w:val="both"/>
        <w:rPr>
          <w:rFonts w:ascii="Sylfaen" w:hAnsi="Sylfaen"/>
          <w:i/>
          <w:iCs/>
          <w:sz w:val="24"/>
          <w:szCs w:val="24"/>
          <w:u w:val="single"/>
        </w:rPr>
      </w:pPr>
      <w:r w:rsidRPr="00FC5C72">
        <w:rPr>
          <w:rFonts w:ascii="Sylfaen" w:hAnsi="Sylfaen"/>
          <w:i/>
          <w:iCs/>
          <w:sz w:val="24"/>
          <w:szCs w:val="24"/>
          <w:u w:val="single"/>
        </w:rPr>
        <w:t>პაციენტები, რომლებსაც უტარდებათ კათეტერული აბლაცია (წასფ)</w:t>
      </w:r>
    </w:p>
    <w:p w14:paraId="3E133EA3" w14:textId="1212C818" w:rsidR="00CE01EB" w:rsidRPr="00FC5C72" w:rsidRDefault="00CE01EB" w:rsidP="00785B18">
      <w:pPr>
        <w:pStyle w:val="ListParagraph"/>
        <w:spacing w:after="0" w:line="240" w:lineRule="auto"/>
        <w:ind w:left="0"/>
        <w:jc w:val="both"/>
        <w:rPr>
          <w:rFonts w:ascii="Sylfaen" w:hAnsi="Sylfaen"/>
          <w:sz w:val="24"/>
          <w:szCs w:val="24"/>
        </w:rPr>
      </w:pPr>
      <w:r w:rsidRPr="00FC5C72">
        <w:rPr>
          <w:rFonts w:ascii="Sylfaen" w:hAnsi="Sylfaen"/>
          <w:sz w:val="24"/>
          <w:szCs w:val="24"/>
        </w:rPr>
        <w:t>პაციენტებს შეუძ</w:t>
      </w:r>
      <w:r w:rsidR="00FD68E7" w:rsidRPr="00FC5C72">
        <w:rPr>
          <w:rFonts w:ascii="Sylfaen" w:hAnsi="Sylfaen"/>
          <w:sz w:val="24"/>
          <w:szCs w:val="24"/>
        </w:rPr>
        <w:t>ლ</w:t>
      </w:r>
      <w:r w:rsidRPr="00FC5C72">
        <w:rPr>
          <w:rFonts w:ascii="Sylfaen" w:hAnsi="Sylfaen"/>
          <w:sz w:val="24"/>
          <w:szCs w:val="24"/>
        </w:rPr>
        <w:t xml:space="preserve">იათ გააგრძელონ აპიქსაბანის მიღება კათეტერული აბლაციის დროს (იხ. პარაგრაფები “უკუჩვენება“, “განსაკუთრებული მითითებები“ და “სამკურნალწამლო ურთიერთქმედება“). </w:t>
      </w:r>
    </w:p>
    <w:p w14:paraId="7592F47B" w14:textId="77777777" w:rsidR="00226DB9" w:rsidRPr="00FC5C72" w:rsidRDefault="00226DB9" w:rsidP="00785B18">
      <w:pPr>
        <w:pStyle w:val="ListParagraph"/>
        <w:spacing w:after="0" w:line="240" w:lineRule="auto"/>
        <w:ind w:left="0"/>
        <w:jc w:val="both"/>
        <w:rPr>
          <w:rFonts w:ascii="Sylfaen" w:hAnsi="Sylfaen"/>
          <w:sz w:val="24"/>
          <w:szCs w:val="24"/>
        </w:rPr>
      </w:pPr>
    </w:p>
    <w:p w14:paraId="430C1C45" w14:textId="52CAFED4" w:rsidR="009A195C" w:rsidRPr="00FC5C72" w:rsidRDefault="009A195C" w:rsidP="00785B18">
      <w:pPr>
        <w:pStyle w:val="ListParagraph"/>
        <w:spacing w:after="0" w:line="240" w:lineRule="auto"/>
        <w:ind w:left="0"/>
        <w:jc w:val="both"/>
        <w:rPr>
          <w:rFonts w:ascii="Sylfaen" w:hAnsi="Sylfaen"/>
          <w:i/>
          <w:iCs/>
          <w:sz w:val="24"/>
          <w:szCs w:val="24"/>
          <w:u w:val="single"/>
        </w:rPr>
      </w:pPr>
      <w:r w:rsidRPr="00FC5C72">
        <w:rPr>
          <w:rFonts w:ascii="Sylfaen" w:hAnsi="Sylfaen"/>
          <w:i/>
          <w:iCs/>
          <w:sz w:val="24"/>
          <w:szCs w:val="24"/>
          <w:u w:val="single"/>
        </w:rPr>
        <w:t xml:space="preserve">პაციენტები, რომლებსაც </w:t>
      </w:r>
      <w:r w:rsidR="00E02EC5" w:rsidRPr="00FC5C72">
        <w:rPr>
          <w:rFonts w:ascii="Sylfaen" w:hAnsi="Sylfaen"/>
          <w:i/>
          <w:iCs/>
          <w:sz w:val="24"/>
          <w:szCs w:val="24"/>
          <w:u w:val="single"/>
        </w:rPr>
        <w:t>ჩაუტარდათ</w:t>
      </w:r>
      <w:r w:rsidRPr="00FC5C72">
        <w:rPr>
          <w:rFonts w:ascii="Sylfaen" w:hAnsi="Sylfaen"/>
          <w:i/>
          <w:iCs/>
          <w:sz w:val="24"/>
          <w:szCs w:val="24"/>
          <w:u w:val="single"/>
        </w:rPr>
        <w:t xml:space="preserve"> </w:t>
      </w:r>
      <w:proofErr w:type="spellStart"/>
      <w:r w:rsidRPr="00FC5C72">
        <w:rPr>
          <w:rFonts w:ascii="Sylfaen" w:hAnsi="Sylfaen"/>
          <w:i/>
          <w:iCs/>
          <w:sz w:val="24"/>
          <w:szCs w:val="24"/>
          <w:u w:val="single"/>
        </w:rPr>
        <w:t>კარდიოვერსია</w:t>
      </w:r>
      <w:proofErr w:type="spellEnd"/>
    </w:p>
    <w:p w14:paraId="747BC187" w14:textId="49980A4D" w:rsidR="009A195C" w:rsidRPr="00FC5C72" w:rsidRDefault="009A195C" w:rsidP="00785B18">
      <w:pPr>
        <w:pStyle w:val="ListParagraph"/>
        <w:spacing w:after="0" w:line="240" w:lineRule="auto"/>
        <w:ind w:left="0"/>
        <w:jc w:val="both"/>
        <w:rPr>
          <w:rFonts w:ascii="Sylfaen" w:hAnsi="Sylfaen"/>
          <w:i/>
          <w:iCs/>
          <w:sz w:val="24"/>
          <w:szCs w:val="24"/>
        </w:rPr>
      </w:pPr>
      <w:r w:rsidRPr="00FC5C72">
        <w:rPr>
          <w:rFonts w:ascii="Sylfaen" w:hAnsi="Sylfaen"/>
          <w:sz w:val="24"/>
          <w:szCs w:val="24"/>
        </w:rPr>
        <w:t xml:space="preserve">წინაგულების არასარქვლოვანი </w:t>
      </w:r>
      <w:r w:rsidR="00D41E28" w:rsidRPr="00FC5C72">
        <w:rPr>
          <w:rFonts w:ascii="Sylfaen" w:hAnsi="Sylfaen"/>
          <w:sz w:val="24"/>
          <w:szCs w:val="24"/>
        </w:rPr>
        <w:t>ფიბრილაციის მქონე</w:t>
      </w:r>
      <w:r w:rsidR="00624336" w:rsidRPr="00FC5C72">
        <w:rPr>
          <w:rFonts w:ascii="Sylfaen" w:hAnsi="Sylfaen"/>
          <w:sz w:val="24"/>
          <w:szCs w:val="24"/>
        </w:rPr>
        <w:t xml:space="preserve"> მოზრდილ</w:t>
      </w:r>
      <w:r w:rsidR="00D41E28" w:rsidRPr="00FC5C72">
        <w:rPr>
          <w:rFonts w:ascii="Sylfaen" w:hAnsi="Sylfaen"/>
          <w:sz w:val="24"/>
          <w:szCs w:val="24"/>
        </w:rPr>
        <w:t xml:space="preserve"> პაციენტებში, რომლებ</w:t>
      </w:r>
      <w:r w:rsidR="00FD68E7" w:rsidRPr="00FC5C72">
        <w:rPr>
          <w:rFonts w:ascii="Sylfaen" w:hAnsi="Sylfaen"/>
          <w:sz w:val="24"/>
          <w:szCs w:val="24"/>
        </w:rPr>
        <w:t>იც საჭიროებენ</w:t>
      </w:r>
      <w:r w:rsidR="00E02EC5" w:rsidRPr="00FC5C72">
        <w:rPr>
          <w:rFonts w:ascii="Sylfaen" w:hAnsi="Sylfaen"/>
          <w:sz w:val="24"/>
          <w:szCs w:val="24"/>
        </w:rPr>
        <w:t xml:space="preserve"> </w:t>
      </w:r>
      <w:r w:rsidR="00D41E28" w:rsidRPr="00FC5C72">
        <w:rPr>
          <w:rFonts w:ascii="Sylfaen" w:hAnsi="Sylfaen"/>
          <w:sz w:val="24"/>
          <w:szCs w:val="24"/>
        </w:rPr>
        <w:t>კარდიოვერსი</w:t>
      </w:r>
      <w:r w:rsidR="00E02EC5" w:rsidRPr="00FC5C72">
        <w:rPr>
          <w:rFonts w:ascii="Sylfaen" w:hAnsi="Sylfaen"/>
          <w:sz w:val="24"/>
          <w:szCs w:val="24"/>
        </w:rPr>
        <w:t>ა</w:t>
      </w:r>
      <w:r w:rsidR="00FD68E7" w:rsidRPr="00FC5C72">
        <w:rPr>
          <w:rFonts w:ascii="Sylfaen" w:hAnsi="Sylfaen"/>
          <w:sz w:val="24"/>
          <w:szCs w:val="24"/>
        </w:rPr>
        <w:t>ს</w:t>
      </w:r>
      <w:r w:rsidR="00D41E28" w:rsidRPr="00FC5C72">
        <w:rPr>
          <w:rFonts w:ascii="Sylfaen" w:hAnsi="Sylfaen"/>
          <w:sz w:val="24"/>
          <w:szCs w:val="24"/>
        </w:rPr>
        <w:t xml:space="preserve">, </w:t>
      </w:r>
      <w:r w:rsidR="00E02EC5" w:rsidRPr="00FC5C72">
        <w:rPr>
          <w:rFonts w:ascii="Sylfaen" w:hAnsi="Sylfaen"/>
          <w:sz w:val="24"/>
          <w:szCs w:val="24"/>
        </w:rPr>
        <w:t xml:space="preserve">შეიძლება </w:t>
      </w:r>
      <w:r w:rsidR="00D41E28" w:rsidRPr="00FC5C72">
        <w:rPr>
          <w:rFonts w:ascii="Sylfaen" w:hAnsi="Sylfaen"/>
          <w:sz w:val="24"/>
          <w:szCs w:val="24"/>
        </w:rPr>
        <w:t>აპიქსაბანით მკურნალობის დაწყება ან გაგრძელება</w:t>
      </w:r>
      <w:r w:rsidR="00E02EC5" w:rsidRPr="00FC5C72">
        <w:rPr>
          <w:rFonts w:ascii="Sylfaen" w:hAnsi="Sylfaen"/>
          <w:sz w:val="24"/>
          <w:szCs w:val="24"/>
        </w:rPr>
        <w:t>.</w:t>
      </w:r>
    </w:p>
    <w:p w14:paraId="00B46CAE" w14:textId="36D62C1F" w:rsidR="00E02EC5" w:rsidRPr="00FC5C72" w:rsidRDefault="00D41E28" w:rsidP="00785B18">
      <w:pPr>
        <w:pStyle w:val="ListParagraph"/>
        <w:spacing w:after="0" w:line="240" w:lineRule="auto"/>
        <w:ind w:left="0"/>
        <w:jc w:val="both"/>
        <w:rPr>
          <w:sz w:val="24"/>
          <w:szCs w:val="24"/>
        </w:rPr>
      </w:pPr>
      <w:r w:rsidRPr="00FC5C72">
        <w:rPr>
          <w:sz w:val="24"/>
          <w:szCs w:val="24"/>
        </w:rPr>
        <w:t>პაციენტებში, რომლებიც ადრე არ ღებულობდნენ მკურნალობას ანტიკოაგულანტებით, მარცხენა წინაგულის თრომბოზის არსებობა უნდა გამოირიცხოს ვიზუალიზაციის</w:t>
      </w:r>
      <w:r w:rsidR="00E02EC5" w:rsidRPr="00FC5C72">
        <w:rPr>
          <w:sz w:val="24"/>
          <w:szCs w:val="24"/>
        </w:rPr>
        <w:t xml:space="preserve"> </w:t>
      </w:r>
      <w:r w:rsidR="00905DC5" w:rsidRPr="00FC5C72">
        <w:rPr>
          <w:sz w:val="24"/>
          <w:szCs w:val="24"/>
        </w:rPr>
        <w:t>მეთოდით</w:t>
      </w:r>
      <w:r w:rsidRPr="00FC5C72">
        <w:rPr>
          <w:sz w:val="24"/>
          <w:szCs w:val="24"/>
        </w:rPr>
        <w:t xml:space="preserve"> (მაგალითად, ტრანსეზოფაგური ექოკარდიოგრაფია (ტეე</w:t>
      </w:r>
      <w:r w:rsidR="00FD68E7" w:rsidRPr="00FC5C72">
        <w:rPr>
          <w:sz w:val="24"/>
          <w:szCs w:val="24"/>
        </w:rPr>
        <w:t>ქოკგ</w:t>
      </w:r>
      <w:r w:rsidRPr="00FC5C72">
        <w:rPr>
          <w:sz w:val="24"/>
          <w:szCs w:val="24"/>
        </w:rPr>
        <w:t>) ან კომპიუტერული</w:t>
      </w:r>
      <w:r w:rsidR="00FD68E7" w:rsidRPr="00FC5C72">
        <w:rPr>
          <w:sz w:val="24"/>
          <w:szCs w:val="24"/>
        </w:rPr>
        <w:t xml:space="preserve"> </w:t>
      </w:r>
      <w:r w:rsidRPr="00FC5C72">
        <w:rPr>
          <w:sz w:val="24"/>
          <w:szCs w:val="24"/>
        </w:rPr>
        <w:t xml:space="preserve">ტომოგრაფია (კტ)), კარდიოვერსიის </w:t>
      </w:r>
      <w:r w:rsidR="00FD68E7" w:rsidRPr="00FC5C72">
        <w:rPr>
          <w:sz w:val="24"/>
          <w:szCs w:val="24"/>
        </w:rPr>
        <w:t xml:space="preserve">ჩატარებამდე </w:t>
      </w:r>
      <w:r w:rsidRPr="00FC5C72">
        <w:rPr>
          <w:sz w:val="24"/>
          <w:szCs w:val="24"/>
        </w:rPr>
        <w:t xml:space="preserve">დადგენილი სამედიცინო მითითებების შესაბამისად. </w:t>
      </w:r>
    </w:p>
    <w:p w14:paraId="17BF490E" w14:textId="77E1F8E6" w:rsidR="00E02EC5" w:rsidRPr="00FC5C72" w:rsidRDefault="00D41E28" w:rsidP="00785B18">
      <w:pPr>
        <w:spacing w:after="0" w:line="240" w:lineRule="auto"/>
        <w:jc w:val="both"/>
        <w:rPr>
          <w:sz w:val="24"/>
          <w:szCs w:val="24"/>
        </w:rPr>
      </w:pPr>
      <w:r w:rsidRPr="00FC5C72">
        <w:rPr>
          <w:sz w:val="24"/>
          <w:szCs w:val="24"/>
        </w:rPr>
        <w:t>პაციენტებში, რომლებიც იწყებენ აპიქსაბანით მკურნალობას, ადე</w:t>
      </w:r>
      <w:r w:rsidR="00E02EC5" w:rsidRPr="00FC5C72">
        <w:rPr>
          <w:sz w:val="24"/>
          <w:szCs w:val="24"/>
        </w:rPr>
        <w:t>კ</w:t>
      </w:r>
      <w:r w:rsidRPr="00FC5C72">
        <w:rPr>
          <w:sz w:val="24"/>
          <w:szCs w:val="24"/>
        </w:rPr>
        <w:t>ვატური</w:t>
      </w:r>
      <w:r w:rsidR="00E02EC5" w:rsidRPr="00FC5C72">
        <w:rPr>
          <w:sz w:val="24"/>
          <w:szCs w:val="24"/>
        </w:rPr>
        <w:t xml:space="preserve"> </w:t>
      </w:r>
      <w:r w:rsidRPr="00FC5C72">
        <w:rPr>
          <w:sz w:val="24"/>
          <w:szCs w:val="24"/>
        </w:rPr>
        <w:t>ანტიკოაგულანტური მოქმედების უზრუნველსაყოფად უნდა იქნას გამოყენებული 5 მგ დოზა</w:t>
      </w:r>
      <w:r w:rsidR="00E02EC5" w:rsidRPr="00FC5C72">
        <w:rPr>
          <w:sz w:val="24"/>
          <w:szCs w:val="24"/>
        </w:rPr>
        <w:t xml:space="preserve"> </w:t>
      </w:r>
      <w:r w:rsidRPr="00FC5C72">
        <w:rPr>
          <w:sz w:val="24"/>
          <w:szCs w:val="24"/>
        </w:rPr>
        <w:t>ორჯერ დღე-ღამეში არანაკლებ 2,5 დღის განმავლობაში (5 ერთჯერადი დოზა) კარდიოვერსის</w:t>
      </w:r>
      <w:r w:rsidR="00E02EC5" w:rsidRPr="00FC5C72">
        <w:rPr>
          <w:sz w:val="24"/>
          <w:szCs w:val="24"/>
        </w:rPr>
        <w:t xml:space="preserve"> </w:t>
      </w:r>
      <w:r w:rsidRPr="00FC5C72">
        <w:rPr>
          <w:sz w:val="24"/>
          <w:szCs w:val="24"/>
        </w:rPr>
        <w:t>ჩატარებამდე</w:t>
      </w:r>
      <w:r w:rsidR="00E02EC5" w:rsidRPr="00FC5C72">
        <w:rPr>
          <w:sz w:val="24"/>
          <w:szCs w:val="24"/>
        </w:rPr>
        <w:t xml:space="preserve"> (იხ. პარაგრაფი “ფარმაკოდინამიკა“)</w:t>
      </w:r>
      <w:r w:rsidRPr="00FC5C72">
        <w:rPr>
          <w:sz w:val="24"/>
          <w:szCs w:val="24"/>
        </w:rPr>
        <w:t>. დოზ</w:t>
      </w:r>
      <w:r w:rsidR="00624336" w:rsidRPr="00FC5C72">
        <w:rPr>
          <w:sz w:val="24"/>
          <w:szCs w:val="24"/>
        </w:rPr>
        <w:t>ირების რეჟიმი</w:t>
      </w:r>
      <w:r w:rsidRPr="00FC5C72">
        <w:rPr>
          <w:sz w:val="24"/>
          <w:szCs w:val="24"/>
        </w:rPr>
        <w:t xml:space="preserve"> უნდა შემცირდეს </w:t>
      </w:r>
      <w:r w:rsidR="00415EC1" w:rsidRPr="00FC5C72">
        <w:rPr>
          <w:sz w:val="24"/>
          <w:szCs w:val="24"/>
        </w:rPr>
        <w:t xml:space="preserve">აპიქსაბანის </w:t>
      </w:r>
      <w:r w:rsidRPr="00FC5C72">
        <w:rPr>
          <w:sz w:val="24"/>
          <w:szCs w:val="24"/>
        </w:rPr>
        <w:t>2</w:t>
      </w:r>
      <w:r w:rsidR="00E02EC5" w:rsidRPr="00FC5C72">
        <w:rPr>
          <w:sz w:val="24"/>
          <w:szCs w:val="24"/>
        </w:rPr>
        <w:t>.</w:t>
      </w:r>
      <w:r w:rsidRPr="00FC5C72">
        <w:rPr>
          <w:sz w:val="24"/>
          <w:szCs w:val="24"/>
        </w:rPr>
        <w:t>5 მგ</w:t>
      </w:r>
      <w:r w:rsidR="00415EC1" w:rsidRPr="00FC5C72">
        <w:rPr>
          <w:sz w:val="24"/>
          <w:szCs w:val="24"/>
        </w:rPr>
        <w:t>-მდე</w:t>
      </w:r>
      <w:r w:rsidRPr="00FC5C72">
        <w:rPr>
          <w:sz w:val="24"/>
          <w:szCs w:val="24"/>
        </w:rPr>
        <w:t xml:space="preserve"> ორჯერ დღე-ღამეში არანაკლებ 2,5</w:t>
      </w:r>
      <w:r w:rsidR="00E02EC5" w:rsidRPr="00FC5C72">
        <w:rPr>
          <w:sz w:val="24"/>
          <w:szCs w:val="24"/>
        </w:rPr>
        <w:t xml:space="preserve"> </w:t>
      </w:r>
      <w:r w:rsidRPr="00FC5C72">
        <w:rPr>
          <w:sz w:val="24"/>
          <w:szCs w:val="24"/>
        </w:rPr>
        <w:t xml:space="preserve">დღის განმავლობაში (5 ერთჯერადი დოზა), თუ პაციენტი აკმაყოფილებს </w:t>
      </w:r>
      <w:r w:rsidR="00E02EC5" w:rsidRPr="00FC5C72">
        <w:rPr>
          <w:sz w:val="24"/>
          <w:szCs w:val="24"/>
        </w:rPr>
        <w:t xml:space="preserve">პრეპარატის </w:t>
      </w:r>
      <w:r w:rsidRPr="00FC5C72">
        <w:rPr>
          <w:sz w:val="24"/>
          <w:szCs w:val="24"/>
        </w:rPr>
        <w:t>დოზის შემცირების</w:t>
      </w:r>
      <w:r w:rsidR="00E02EC5" w:rsidRPr="00FC5C72">
        <w:rPr>
          <w:sz w:val="24"/>
          <w:szCs w:val="24"/>
        </w:rPr>
        <w:t xml:space="preserve"> </w:t>
      </w:r>
      <w:r w:rsidRPr="00FC5C72">
        <w:rPr>
          <w:sz w:val="24"/>
          <w:szCs w:val="24"/>
        </w:rPr>
        <w:t xml:space="preserve">კრიტერიუმებს (იხ. </w:t>
      </w:r>
      <w:r w:rsidR="00E02EC5" w:rsidRPr="00FC5C72">
        <w:rPr>
          <w:sz w:val="24"/>
          <w:szCs w:val="24"/>
        </w:rPr>
        <w:t>ზემოთ</w:t>
      </w:r>
      <w:r w:rsidRPr="00FC5C72">
        <w:rPr>
          <w:sz w:val="24"/>
          <w:szCs w:val="24"/>
        </w:rPr>
        <w:t xml:space="preserve"> ქვეპუნქტ</w:t>
      </w:r>
      <w:r w:rsidR="00E02EC5" w:rsidRPr="00FC5C72">
        <w:rPr>
          <w:sz w:val="24"/>
          <w:szCs w:val="24"/>
        </w:rPr>
        <w:t>ებ</w:t>
      </w:r>
      <w:r w:rsidRPr="00FC5C72">
        <w:rPr>
          <w:sz w:val="24"/>
          <w:szCs w:val="24"/>
        </w:rPr>
        <w:t xml:space="preserve">ი </w:t>
      </w:r>
      <w:r w:rsidR="00415EC1" w:rsidRPr="00FC5C72">
        <w:rPr>
          <w:sz w:val="24"/>
          <w:szCs w:val="24"/>
        </w:rPr>
        <w:t>„</w:t>
      </w:r>
      <w:r w:rsidR="00E02EC5" w:rsidRPr="00FC5C72">
        <w:rPr>
          <w:sz w:val="24"/>
          <w:szCs w:val="24"/>
        </w:rPr>
        <w:t xml:space="preserve">დოზის შემცირება“ და </w:t>
      </w:r>
      <w:r w:rsidR="00415EC1" w:rsidRPr="00FC5C72">
        <w:rPr>
          <w:sz w:val="24"/>
          <w:szCs w:val="24"/>
        </w:rPr>
        <w:t>„</w:t>
      </w:r>
      <w:r w:rsidR="00E02EC5" w:rsidRPr="00FC5C72">
        <w:rPr>
          <w:rFonts w:eastAsia="Times New Roman"/>
          <w:i/>
          <w:iCs/>
          <w:sz w:val="24"/>
          <w:szCs w:val="24"/>
          <w:lang w:eastAsia="ru-RU"/>
        </w:rPr>
        <w:t>პაციენტები თირკმელების უკმარისობით</w:t>
      </w:r>
      <w:r w:rsidR="00E02EC5" w:rsidRPr="00FC5C72">
        <w:rPr>
          <w:sz w:val="24"/>
          <w:szCs w:val="24"/>
        </w:rPr>
        <w:t>“</w:t>
      </w:r>
      <w:r w:rsidRPr="00FC5C72">
        <w:rPr>
          <w:sz w:val="24"/>
          <w:szCs w:val="24"/>
        </w:rPr>
        <w:t xml:space="preserve">). </w:t>
      </w:r>
    </w:p>
    <w:p w14:paraId="08678C88" w14:textId="43CC446E" w:rsidR="00390220" w:rsidRPr="00FC5C72" w:rsidRDefault="00D41E28" w:rsidP="00785B18">
      <w:pPr>
        <w:spacing w:after="0" w:line="240" w:lineRule="auto"/>
        <w:jc w:val="both"/>
        <w:rPr>
          <w:sz w:val="24"/>
          <w:szCs w:val="24"/>
        </w:rPr>
      </w:pPr>
      <w:r w:rsidRPr="00FC5C72">
        <w:rPr>
          <w:sz w:val="24"/>
          <w:szCs w:val="24"/>
        </w:rPr>
        <w:t>თუ კარდიოვერსია საჭიროა აპიქსაბანის</w:t>
      </w:r>
      <w:r w:rsidR="00E02EC5" w:rsidRPr="00FC5C72">
        <w:rPr>
          <w:sz w:val="24"/>
          <w:szCs w:val="24"/>
        </w:rPr>
        <w:t xml:space="preserve"> </w:t>
      </w:r>
      <w:r w:rsidRPr="00FC5C72">
        <w:rPr>
          <w:sz w:val="24"/>
          <w:szCs w:val="24"/>
        </w:rPr>
        <w:t xml:space="preserve">5 დოზის მიღებამდე, უნდა იქნას გამოყენებული </w:t>
      </w:r>
      <w:r w:rsidR="00E02EC5" w:rsidRPr="00FC5C72">
        <w:rPr>
          <w:sz w:val="24"/>
          <w:szCs w:val="24"/>
        </w:rPr>
        <w:t>საწყისი დამტვირთავი</w:t>
      </w:r>
      <w:r w:rsidRPr="00FC5C72">
        <w:rPr>
          <w:sz w:val="24"/>
          <w:szCs w:val="24"/>
        </w:rPr>
        <w:t xml:space="preserve"> დოზა 10 მგ, შემდეგ 5 მგ </w:t>
      </w:r>
      <w:r w:rsidR="00E02EC5" w:rsidRPr="00FC5C72">
        <w:rPr>
          <w:sz w:val="24"/>
          <w:szCs w:val="24"/>
        </w:rPr>
        <w:t xml:space="preserve">ორჯერ </w:t>
      </w:r>
      <w:r w:rsidRPr="00FC5C72">
        <w:rPr>
          <w:sz w:val="24"/>
          <w:szCs w:val="24"/>
        </w:rPr>
        <w:t xml:space="preserve">დღე-ღამეში. </w:t>
      </w:r>
      <w:r w:rsidR="00E02EC5" w:rsidRPr="00FC5C72">
        <w:rPr>
          <w:sz w:val="24"/>
          <w:szCs w:val="24"/>
        </w:rPr>
        <w:t xml:space="preserve">დამტვირთავი </w:t>
      </w:r>
      <w:r w:rsidRPr="00FC5C72">
        <w:rPr>
          <w:sz w:val="24"/>
          <w:szCs w:val="24"/>
        </w:rPr>
        <w:t>დოზა უნდა შემცირდეს 5 მგ</w:t>
      </w:r>
      <w:r w:rsidR="00E02EC5" w:rsidRPr="00FC5C72">
        <w:rPr>
          <w:sz w:val="24"/>
          <w:szCs w:val="24"/>
        </w:rPr>
        <w:t>-მდე</w:t>
      </w:r>
      <w:r w:rsidRPr="00FC5C72">
        <w:rPr>
          <w:sz w:val="24"/>
          <w:szCs w:val="24"/>
        </w:rPr>
        <w:t xml:space="preserve"> და შემდეგ 2.5 მგ-მდე </w:t>
      </w:r>
      <w:r w:rsidR="00E35392" w:rsidRPr="00FC5C72">
        <w:rPr>
          <w:sz w:val="24"/>
          <w:szCs w:val="24"/>
        </w:rPr>
        <w:t xml:space="preserve">ორჯერ </w:t>
      </w:r>
      <w:r w:rsidRPr="00FC5C72">
        <w:rPr>
          <w:sz w:val="24"/>
          <w:szCs w:val="24"/>
        </w:rPr>
        <w:t>დღე-ღამეში</w:t>
      </w:r>
      <w:r w:rsidR="00624336" w:rsidRPr="00FC5C72">
        <w:rPr>
          <w:sz w:val="24"/>
          <w:szCs w:val="24"/>
        </w:rPr>
        <w:t xml:space="preserve"> (იხ. ზემოთ ქვეპუნქტები „დოზი</w:t>
      </w:r>
      <w:r w:rsidR="00415EC1" w:rsidRPr="00FC5C72">
        <w:rPr>
          <w:sz w:val="24"/>
          <w:szCs w:val="24"/>
        </w:rPr>
        <w:t>ს</w:t>
      </w:r>
      <w:r w:rsidR="00624336" w:rsidRPr="00FC5C72">
        <w:rPr>
          <w:sz w:val="24"/>
          <w:szCs w:val="24"/>
        </w:rPr>
        <w:t xml:space="preserve"> შემცირება“ და </w:t>
      </w:r>
      <w:r w:rsidR="00624336" w:rsidRPr="00FC5C72">
        <w:rPr>
          <w:i/>
          <w:iCs/>
          <w:sz w:val="24"/>
          <w:szCs w:val="24"/>
        </w:rPr>
        <w:t>„პაციენტები თირკმელების უკმარისობით“</w:t>
      </w:r>
      <w:r w:rsidR="00624336" w:rsidRPr="00FC5C72">
        <w:rPr>
          <w:sz w:val="24"/>
          <w:szCs w:val="24"/>
        </w:rPr>
        <w:t>)</w:t>
      </w:r>
      <w:r w:rsidRPr="00FC5C72">
        <w:rPr>
          <w:sz w:val="24"/>
          <w:szCs w:val="24"/>
        </w:rPr>
        <w:t xml:space="preserve">, თუ პაციენტი </w:t>
      </w:r>
      <w:r w:rsidR="00415EC1" w:rsidRPr="00FC5C72">
        <w:rPr>
          <w:sz w:val="24"/>
          <w:szCs w:val="24"/>
        </w:rPr>
        <w:t>პასუხობს</w:t>
      </w:r>
      <w:r w:rsidRPr="00FC5C72">
        <w:rPr>
          <w:sz w:val="24"/>
          <w:szCs w:val="24"/>
        </w:rPr>
        <w:t xml:space="preserve"> დოზის შემცირების კრიტერიუმებს</w:t>
      </w:r>
      <w:r w:rsidR="00E35392" w:rsidRPr="00FC5C72">
        <w:rPr>
          <w:sz w:val="24"/>
          <w:szCs w:val="24"/>
        </w:rPr>
        <w:t>.</w:t>
      </w:r>
      <w:r w:rsidRPr="00FC5C72">
        <w:rPr>
          <w:sz w:val="24"/>
          <w:szCs w:val="24"/>
        </w:rPr>
        <w:t xml:space="preserve"> </w:t>
      </w:r>
      <w:r w:rsidR="00390220" w:rsidRPr="00FC5C72">
        <w:rPr>
          <w:sz w:val="24"/>
          <w:szCs w:val="24"/>
        </w:rPr>
        <w:t>საწყისი დამტვირთავი</w:t>
      </w:r>
      <w:r w:rsidRPr="00FC5C72">
        <w:rPr>
          <w:sz w:val="24"/>
          <w:szCs w:val="24"/>
        </w:rPr>
        <w:t xml:space="preserve"> დოზა უნდა იქნას მიღებული კარდიოვერსიამდე მინიმუმ 2 საათით</w:t>
      </w:r>
      <w:r w:rsidR="00390220" w:rsidRPr="00FC5C72">
        <w:rPr>
          <w:sz w:val="24"/>
          <w:szCs w:val="24"/>
        </w:rPr>
        <w:t xml:space="preserve"> </w:t>
      </w:r>
      <w:r w:rsidRPr="00FC5C72">
        <w:rPr>
          <w:sz w:val="24"/>
          <w:szCs w:val="24"/>
        </w:rPr>
        <w:t>ადრე</w:t>
      </w:r>
      <w:r w:rsidR="00624336" w:rsidRPr="00FC5C72">
        <w:rPr>
          <w:sz w:val="24"/>
          <w:szCs w:val="24"/>
        </w:rPr>
        <w:t xml:space="preserve"> (იხ. პარაგრაფი „ფარმაკოდინამიკა“)</w:t>
      </w:r>
      <w:r w:rsidRPr="00FC5C72">
        <w:rPr>
          <w:sz w:val="24"/>
          <w:szCs w:val="24"/>
        </w:rPr>
        <w:t xml:space="preserve">. </w:t>
      </w:r>
    </w:p>
    <w:p w14:paraId="5F4176AF" w14:textId="4848FB85" w:rsidR="00D41E28" w:rsidRPr="00FC5C72" w:rsidRDefault="00D41E28" w:rsidP="00785B18">
      <w:pPr>
        <w:spacing w:after="0" w:line="240" w:lineRule="auto"/>
        <w:jc w:val="both"/>
        <w:rPr>
          <w:sz w:val="24"/>
          <w:szCs w:val="24"/>
        </w:rPr>
      </w:pPr>
      <w:r w:rsidRPr="00FC5C72">
        <w:rPr>
          <w:sz w:val="24"/>
          <w:szCs w:val="24"/>
        </w:rPr>
        <w:t xml:space="preserve">ყველა პაციენტისთვის, რომლებსაც </w:t>
      </w:r>
      <w:r w:rsidR="00390220" w:rsidRPr="00FC5C72">
        <w:rPr>
          <w:sz w:val="24"/>
          <w:szCs w:val="24"/>
        </w:rPr>
        <w:t>უტარდებათ</w:t>
      </w:r>
      <w:r w:rsidRPr="00FC5C72">
        <w:rPr>
          <w:sz w:val="24"/>
          <w:szCs w:val="24"/>
        </w:rPr>
        <w:t xml:space="preserve"> კარდიოვერსი</w:t>
      </w:r>
      <w:r w:rsidR="00390220" w:rsidRPr="00FC5C72">
        <w:rPr>
          <w:sz w:val="24"/>
          <w:szCs w:val="24"/>
        </w:rPr>
        <w:t>ა</w:t>
      </w:r>
      <w:r w:rsidRPr="00FC5C72">
        <w:rPr>
          <w:sz w:val="24"/>
          <w:szCs w:val="24"/>
        </w:rPr>
        <w:t xml:space="preserve">, </w:t>
      </w:r>
      <w:r w:rsidR="00C666C7" w:rsidRPr="00FC5C72">
        <w:rPr>
          <w:sz w:val="24"/>
          <w:szCs w:val="24"/>
        </w:rPr>
        <w:t>პროცედურის</w:t>
      </w:r>
      <w:r w:rsidRPr="00FC5C72">
        <w:rPr>
          <w:sz w:val="24"/>
          <w:szCs w:val="24"/>
        </w:rPr>
        <w:t xml:space="preserve"> ჩატარებამდე</w:t>
      </w:r>
      <w:r w:rsidR="00390220" w:rsidRPr="00FC5C72">
        <w:rPr>
          <w:sz w:val="24"/>
          <w:szCs w:val="24"/>
        </w:rPr>
        <w:t xml:space="preserve"> </w:t>
      </w:r>
      <w:r w:rsidRPr="00FC5C72">
        <w:rPr>
          <w:sz w:val="24"/>
          <w:szCs w:val="24"/>
        </w:rPr>
        <w:t>აუცილებელია დადასტურების მიღება იმის შესახებ, რომ პაციენტ</w:t>
      </w:r>
      <w:r w:rsidR="009D5D04" w:rsidRPr="00FC5C72">
        <w:rPr>
          <w:sz w:val="24"/>
          <w:szCs w:val="24"/>
        </w:rPr>
        <w:t>ი</w:t>
      </w:r>
      <w:r w:rsidRPr="00FC5C72">
        <w:rPr>
          <w:sz w:val="24"/>
          <w:szCs w:val="24"/>
        </w:rPr>
        <w:t xml:space="preserve"> ღებულობდა აპიქსაბანს</w:t>
      </w:r>
      <w:r w:rsidR="009D5D04" w:rsidRPr="00FC5C72">
        <w:rPr>
          <w:sz w:val="24"/>
          <w:szCs w:val="24"/>
        </w:rPr>
        <w:t xml:space="preserve"> </w:t>
      </w:r>
      <w:r w:rsidRPr="00FC5C72">
        <w:rPr>
          <w:sz w:val="24"/>
          <w:szCs w:val="24"/>
        </w:rPr>
        <w:t>დანიშნულების მიხედვით. მკურნალობის დანიშვნისა და მისი ხანგრძლივობის</w:t>
      </w:r>
      <w:r w:rsidR="009D5D04" w:rsidRPr="00FC5C72">
        <w:rPr>
          <w:sz w:val="24"/>
          <w:szCs w:val="24"/>
        </w:rPr>
        <w:t xml:space="preserve"> </w:t>
      </w:r>
      <w:r w:rsidRPr="00FC5C72">
        <w:rPr>
          <w:sz w:val="24"/>
          <w:szCs w:val="24"/>
        </w:rPr>
        <w:t xml:space="preserve">გადაწყვეტილების მიღებისას აუცილებელია გათვალისწინებული </w:t>
      </w:r>
      <w:r w:rsidR="009D5D04" w:rsidRPr="00FC5C72">
        <w:rPr>
          <w:sz w:val="24"/>
          <w:szCs w:val="24"/>
        </w:rPr>
        <w:t xml:space="preserve">იქნას </w:t>
      </w:r>
      <w:r w:rsidRPr="00FC5C72">
        <w:rPr>
          <w:sz w:val="24"/>
          <w:szCs w:val="24"/>
        </w:rPr>
        <w:t>დადგენილი</w:t>
      </w:r>
      <w:r w:rsidR="009D5D04" w:rsidRPr="00FC5C72">
        <w:rPr>
          <w:sz w:val="24"/>
          <w:szCs w:val="24"/>
        </w:rPr>
        <w:t xml:space="preserve"> </w:t>
      </w:r>
      <w:r w:rsidRPr="00FC5C72">
        <w:rPr>
          <w:sz w:val="24"/>
          <w:szCs w:val="24"/>
        </w:rPr>
        <w:t>რეკომენდაციები ანტიკოაგულანტების გამოყენების შესახებ პაციენტებში, რომლებსაც</w:t>
      </w:r>
      <w:r w:rsidR="009D5D04" w:rsidRPr="00FC5C72">
        <w:rPr>
          <w:sz w:val="24"/>
          <w:szCs w:val="24"/>
        </w:rPr>
        <w:t xml:space="preserve"> </w:t>
      </w:r>
      <w:r w:rsidR="00BB7A12" w:rsidRPr="00FC5C72">
        <w:rPr>
          <w:sz w:val="24"/>
          <w:szCs w:val="24"/>
        </w:rPr>
        <w:t>უტარდებათ</w:t>
      </w:r>
      <w:r w:rsidRPr="00FC5C72">
        <w:rPr>
          <w:sz w:val="24"/>
          <w:szCs w:val="24"/>
        </w:rPr>
        <w:t xml:space="preserve"> კარდიოვერსი</w:t>
      </w:r>
      <w:r w:rsidR="00BB7A12" w:rsidRPr="00FC5C72">
        <w:rPr>
          <w:sz w:val="24"/>
          <w:szCs w:val="24"/>
        </w:rPr>
        <w:t>ა</w:t>
      </w:r>
      <w:r w:rsidRPr="00FC5C72">
        <w:rPr>
          <w:sz w:val="24"/>
          <w:szCs w:val="24"/>
        </w:rPr>
        <w:t>.</w:t>
      </w:r>
    </w:p>
    <w:p w14:paraId="23CEB78C" w14:textId="77777777" w:rsidR="00B0079B" w:rsidRPr="00FC5C72" w:rsidRDefault="00B0079B" w:rsidP="00785B18">
      <w:pPr>
        <w:spacing w:after="0" w:line="240" w:lineRule="auto"/>
        <w:jc w:val="both"/>
        <w:rPr>
          <w:rFonts w:eastAsia="Times New Roman"/>
          <w:i/>
          <w:iCs/>
          <w:sz w:val="24"/>
          <w:szCs w:val="24"/>
          <w:lang w:eastAsia="ru-RU"/>
        </w:rPr>
      </w:pPr>
    </w:p>
    <w:p w14:paraId="4C4FA3FD" w14:textId="77777777" w:rsidR="009D5D04" w:rsidRPr="00FC5C72" w:rsidRDefault="009D5D04" w:rsidP="00785B18">
      <w:pPr>
        <w:pStyle w:val="ListParagraph"/>
        <w:spacing w:after="0" w:line="240" w:lineRule="auto"/>
        <w:ind w:left="0"/>
        <w:jc w:val="both"/>
        <w:rPr>
          <w:sz w:val="24"/>
          <w:szCs w:val="24"/>
          <w:u w:val="single"/>
        </w:rPr>
      </w:pPr>
      <w:r w:rsidRPr="00FC5C72">
        <w:rPr>
          <w:i/>
          <w:iCs/>
          <w:sz w:val="24"/>
          <w:szCs w:val="24"/>
          <w:u w:val="single"/>
        </w:rPr>
        <w:t>პაციენტები წასფ-ით და მწვავე კორონარული სინდრომით (მკს) და/ან პერკუტანული კორონარული ჩარევით (პკჩ)</w:t>
      </w:r>
      <w:r w:rsidRPr="00FC5C72">
        <w:rPr>
          <w:sz w:val="24"/>
          <w:szCs w:val="24"/>
          <w:u w:val="single"/>
        </w:rPr>
        <w:t xml:space="preserve"> </w:t>
      </w:r>
    </w:p>
    <w:p w14:paraId="2D40313A" w14:textId="4A1B1755" w:rsidR="00C55981" w:rsidRPr="00FC5C72" w:rsidRDefault="009D5D04" w:rsidP="00785B18">
      <w:pPr>
        <w:pStyle w:val="ListParagraph"/>
        <w:spacing w:after="0" w:line="240" w:lineRule="auto"/>
        <w:ind w:left="0"/>
        <w:jc w:val="both"/>
        <w:rPr>
          <w:sz w:val="24"/>
          <w:szCs w:val="24"/>
        </w:rPr>
      </w:pPr>
      <w:r w:rsidRPr="00FC5C72">
        <w:rPr>
          <w:sz w:val="24"/>
          <w:szCs w:val="24"/>
        </w:rPr>
        <w:t>არსებობს აპიქსაბანი</w:t>
      </w:r>
      <w:r w:rsidR="00C666C7" w:rsidRPr="00FC5C72">
        <w:rPr>
          <w:sz w:val="24"/>
          <w:szCs w:val="24"/>
        </w:rPr>
        <w:t>ს</w:t>
      </w:r>
      <w:r w:rsidRPr="00FC5C72">
        <w:rPr>
          <w:sz w:val="24"/>
          <w:szCs w:val="24"/>
        </w:rPr>
        <w:t xml:space="preserve"> </w:t>
      </w:r>
      <w:r w:rsidR="00BB7A12" w:rsidRPr="00FC5C72">
        <w:rPr>
          <w:sz w:val="24"/>
          <w:szCs w:val="24"/>
        </w:rPr>
        <w:t xml:space="preserve">რეკომენდებული დოზებით </w:t>
      </w:r>
      <w:r w:rsidRPr="00FC5C72">
        <w:rPr>
          <w:sz w:val="24"/>
          <w:szCs w:val="24"/>
        </w:rPr>
        <w:t>მკურნალობის შეზღუდული გამოცდილება  წასფ-ის მქონე პაციენტებში ანტიაგრეგანტებთან ერთად</w:t>
      </w:r>
      <w:r w:rsidR="00C55981" w:rsidRPr="00FC5C72">
        <w:rPr>
          <w:sz w:val="24"/>
          <w:szCs w:val="24"/>
        </w:rPr>
        <w:t xml:space="preserve"> </w:t>
      </w:r>
      <w:r w:rsidRPr="00FC5C72">
        <w:rPr>
          <w:sz w:val="24"/>
          <w:szCs w:val="24"/>
        </w:rPr>
        <w:t>კომბინაციაში გამოყენებისას პაციენტებში მკს-ით და/ან პაციენტებში, რომლებსაც</w:t>
      </w:r>
      <w:r w:rsidR="00C55981" w:rsidRPr="00FC5C72">
        <w:rPr>
          <w:sz w:val="24"/>
          <w:szCs w:val="24"/>
        </w:rPr>
        <w:t xml:space="preserve"> </w:t>
      </w:r>
      <w:r w:rsidRPr="00FC5C72">
        <w:rPr>
          <w:sz w:val="24"/>
          <w:szCs w:val="24"/>
        </w:rPr>
        <w:t>ჩაუტარდათ პკჩ ჰემოსტაზის მიღწევის შემდეგ</w:t>
      </w:r>
      <w:r w:rsidR="00C55981" w:rsidRPr="00FC5C72">
        <w:rPr>
          <w:sz w:val="24"/>
          <w:szCs w:val="24"/>
        </w:rPr>
        <w:t xml:space="preserve"> (იხ. პარაგრაფები “განსაკუთრებული მითითება“</w:t>
      </w:r>
      <w:r w:rsidR="00DF5481" w:rsidRPr="00FC5C72">
        <w:rPr>
          <w:sz w:val="24"/>
          <w:szCs w:val="24"/>
        </w:rPr>
        <w:t xml:space="preserve"> და</w:t>
      </w:r>
      <w:r w:rsidR="00C55981" w:rsidRPr="00FC5C72">
        <w:rPr>
          <w:sz w:val="24"/>
          <w:szCs w:val="24"/>
        </w:rPr>
        <w:t xml:space="preserve"> “ფარმაკოდინამიკა“)</w:t>
      </w:r>
      <w:r w:rsidRPr="00FC5C72">
        <w:rPr>
          <w:sz w:val="24"/>
          <w:szCs w:val="24"/>
        </w:rPr>
        <w:t xml:space="preserve">. </w:t>
      </w:r>
    </w:p>
    <w:p w14:paraId="4F09B6E4" w14:textId="42BA21D8" w:rsidR="00C666C7" w:rsidRPr="00FC5C72" w:rsidRDefault="00C666C7" w:rsidP="00785B18">
      <w:pPr>
        <w:pStyle w:val="ListParagraph"/>
        <w:spacing w:after="0" w:line="240" w:lineRule="auto"/>
        <w:ind w:left="0"/>
        <w:jc w:val="both"/>
        <w:rPr>
          <w:sz w:val="24"/>
          <w:szCs w:val="24"/>
        </w:rPr>
      </w:pPr>
    </w:p>
    <w:p w14:paraId="79B138AD" w14:textId="46A3E291" w:rsidR="00C666C7" w:rsidRPr="00FC5C72" w:rsidRDefault="00C666C7" w:rsidP="00785B18">
      <w:pPr>
        <w:pStyle w:val="ListParagraph"/>
        <w:spacing w:after="0" w:line="240" w:lineRule="auto"/>
        <w:ind w:left="0"/>
        <w:jc w:val="both"/>
        <w:rPr>
          <w:sz w:val="24"/>
          <w:szCs w:val="24"/>
        </w:rPr>
      </w:pPr>
      <w:r w:rsidRPr="00FC5C72">
        <w:rPr>
          <w:i/>
          <w:iCs/>
          <w:sz w:val="24"/>
          <w:szCs w:val="24"/>
          <w:u w:val="single"/>
        </w:rPr>
        <w:t>ბავშვები</w:t>
      </w:r>
    </w:p>
    <w:p w14:paraId="1837B051" w14:textId="7E5BC723" w:rsidR="00C666C7" w:rsidRPr="00FC5C72" w:rsidRDefault="00C666C7" w:rsidP="00785B18">
      <w:pPr>
        <w:pStyle w:val="ListParagraph"/>
        <w:spacing w:after="0" w:line="240" w:lineRule="auto"/>
        <w:ind w:left="0"/>
        <w:jc w:val="both"/>
        <w:rPr>
          <w:sz w:val="24"/>
          <w:szCs w:val="24"/>
        </w:rPr>
      </w:pPr>
      <w:r w:rsidRPr="00FC5C72">
        <w:rPr>
          <w:sz w:val="24"/>
          <w:szCs w:val="24"/>
        </w:rPr>
        <w:t xml:space="preserve">28 დღიდან 18 წლამდე ასაკის ბავშვებსა და მოზარდებში პრეპარატ ელიქვისის გამოყენების უსაფრთხოება და ეფექტიანობა ისეთი ჩვენებით, რომლებიც არ ითვალისწინებს ვთგ-ის მკურნალობას და მორეციდივე ვთგ-ის პროფილაქტიკას, დადგენილი არ არის. </w:t>
      </w:r>
      <w:r w:rsidR="00055C05" w:rsidRPr="00FC5C72">
        <w:rPr>
          <w:sz w:val="24"/>
          <w:szCs w:val="24"/>
        </w:rPr>
        <w:t>მონაცემები პრეპარატის გამოყენების შესახებ ახალშობილების სამკურნალოდ და სხვა ჩვენებით არ</w:t>
      </w:r>
      <w:r w:rsidR="00403D33" w:rsidRPr="00FC5C72">
        <w:rPr>
          <w:sz w:val="24"/>
          <w:szCs w:val="24"/>
        </w:rPr>
        <w:t xml:space="preserve"> </w:t>
      </w:r>
      <w:r w:rsidR="00055C05" w:rsidRPr="00FC5C72">
        <w:rPr>
          <w:sz w:val="24"/>
          <w:szCs w:val="24"/>
        </w:rPr>
        <w:t xml:space="preserve">არსებობს (ასევე, იხ. პარაგრაფი „ფარმაკოდინამიკა“). </w:t>
      </w:r>
    </w:p>
    <w:p w14:paraId="31A1E2A5" w14:textId="0C5AE6DB" w:rsidR="00055C05" w:rsidRPr="00FC5C72" w:rsidRDefault="00055C05" w:rsidP="00785B18">
      <w:pPr>
        <w:pStyle w:val="ListParagraph"/>
        <w:spacing w:after="0" w:line="240" w:lineRule="auto"/>
        <w:ind w:left="0"/>
        <w:jc w:val="both"/>
        <w:rPr>
          <w:sz w:val="24"/>
          <w:szCs w:val="24"/>
        </w:rPr>
      </w:pPr>
      <w:r w:rsidRPr="00FC5C72">
        <w:rPr>
          <w:sz w:val="24"/>
          <w:szCs w:val="24"/>
        </w:rPr>
        <w:t>შესაბამისად, არ არის რეკომენდებული პრეპარატ ელიქვისის გამოყენება ახალშობილების და 28 დღიდან 18 წლამდე ასაკის ბავშვებისა და მოზარდების სამკურნალოდ ვთგ-ის მკურნალობის და მორეციდივე ვთგ-ის პროფილაქტიკისგან განსხვავებული ჩვენებით.</w:t>
      </w:r>
    </w:p>
    <w:p w14:paraId="5BFD1C7C" w14:textId="00675F20" w:rsidR="00055C05" w:rsidRPr="00FC5C72" w:rsidRDefault="00055C05" w:rsidP="00785B18">
      <w:pPr>
        <w:pStyle w:val="ListParagraph"/>
        <w:spacing w:after="0" w:line="240" w:lineRule="auto"/>
        <w:ind w:left="0"/>
        <w:jc w:val="both"/>
        <w:rPr>
          <w:sz w:val="24"/>
          <w:szCs w:val="24"/>
        </w:rPr>
      </w:pPr>
      <w:r w:rsidRPr="00FC5C72">
        <w:rPr>
          <w:sz w:val="24"/>
          <w:szCs w:val="24"/>
        </w:rPr>
        <w:t xml:space="preserve">18 წლამდე ასაკის ბავშვებსა და მოზარდებში „თრომბოემბოლიის პროფილაქტიკის“ ჩვენებით ელიქვისის გამოყენების უსაფრთხოება და ეფექტიანობა დადგენილი არ არის. დღეისათვის არსებული მონაცემები თრომბოემბოლიის პროფილაქტიკასთან დაკავშირებით წარმოდგენილია პარაგრაფში “ფარმაკოდინამიკა“, თუმცა მათ საფუძველზე დოზირების რეკომენდაციის გაცემა შეუძლებელია. </w:t>
      </w:r>
    </w:p>
    <w:p w14:paraId="65441E65" w14:textId="77777777" w:rsidR="00C666C7" w:rsidRPr="00FC5C72" w:rsidRDefault="00C666C7" w:rsidP="00785B18">
      <w:pPr>
        <w:pStyle w:val="ListParagraph"/>
        <w:spacing w:after="0" w:line="240" w:lineRule="auto"/>
        <w:ind w:left="0"/>
        <w:jc w:val="both"/>
        <w:rPr>
          <w:sz w:val="24"/>
          <w:szCs w:val="24"/>
        </w:rPr>
      </w:pPr>
    </w:p>
    <w:p w14:paraId="18885C14" w14:textId="087EC5F5" w:rsidR="00C55981" w:rsidRPr="00FC5C72" w:rsidRDefault="00C55981" w:rsidP="00785B18">
      <w:pPr>
        <w:pStyle w:val="ListParagraph"/>
        <w:spacing w:after="0" w:line="240" w:lineRule="auto"/>
        <w:ind w:left="0"/>
        <w:jc w:val="both"/>
        <w:rPr>
          <w:sz w:val="24"/>
          <w:szCs w:val="24"/>
          <w:u w:val="single"/>
        </w:rPr>
      </w:pPr>
      <w:r w:rsidRPr="00FC5C72">
        <w:rPr>
          <w:sz w:val="24"/>
          <w:szCs w:val="24"/>
          <w:u w:val="single"/>
        </w:rPr>
        <w:t>მიღების წესი</w:t>
      </w:r>
      <w:r w:rsidR="00055C05" w:rsidRPr="00FC5C72">
        <w:rPr>
          <w:sz w:val="24"/>
          <w:szCs w:val="24"/>
          <w:u w:val="single"/>
        </w:rPr>
        <w:t xml:space="preserve"> მოზრდილებში, ბავშვებსა და მოზარდებში</w:t>
      </w:r>
    </w:p>
    <w:p w14:paraId="6F24E7D4" w14:textId="33F82E5A" w:rsidR="00C55981" w:rsidRPr="00FC5C72" w:rsidRDefault="00C55981" w:rsidP="00785B18">
      <w:pPr>
        <w:pStyle w:val="ListParagraph"/>
        <w:spacing w:after="0" w:line="240" w:lineRule="auto"/>
        <w:ind w:left="0"/>
        <w:jc w:val="both"/>
        <w:rPr>
          <w:sz w:val="24"/>
          <w:szCs w:val="24"/>
        </w:rPr>
      </w:pPr>
      <w:r w:rsidRPr="00FC5C72">
        <w:rPr>
          <w:sz w:val="24"/>
          <w:szCs w:val="24"/>
        </w:rPr>
        <w:t xml:space="preserve">პერორალურად მისაღებად, </w:t>
      </w:r>
      <w:r w:rsidR="00055C05" w:rsidRPr="00FC5C72">
        <w:rPr>
          <w:sz w:val="24"/>
          <w:szCs w:val="24"/>
        </w:rPr>
        <w:t xml:space="preserve">პრეპარატ </w:t>
      </w:r>
      <w:r w:rsidRPr="00FC5C72">
        <w:rPr>
          <w:sz w:val="24"/>
          <w:szCs w:val="24"/>
        </w:rPr>
        <w:t>ელიქვისის ტაბლეტები უნდა გადაყლაპოთ წყლის მიყოლებით</w:t>
      </w:r>
      <w:r w:rsidR="00055C05" w:rsidRPr="00FC5C72">
        <w:rPr>
          <w:sz w:val="24"/>
          <w:szCs w:val="24"/>
        </w:rPr>
        <w:t xml:space="preserve">, საკვების მიღებისგან დამოუკიდებლად. </w:t>
      </w:r>
      <w:r w:rsidRPr="00FC5C72">
        <w:rPr>
          <w:sz w:val="24"/>
          <w:szCs w:val="24"/>
        </w:rPr>
        <w:t xml:space="preserve"> </w:t>
      </w:r>
    </w:p>
    <w:p w14:paraId="696A979E" w14:textId="5CC9873A" w:rsidR="00DF2F38" w:rsidRPr="00FC5C72" w:rsidRDefault="00C55981" w:rsidP="00785B18">
      <w:pPr>
        <w:pStyle w:val="ListParagraph"/>
        <w:spacing w:after="0" w:line="240" w:lineRule="auto"/>
        <w:ind w:left="0"/>
        <w:jc w:val="both"/>
        <w:rPr>
          <w:sz w:val="24"/>
          <w:szCs w:val="24"/>
        </w:rPr>
      </w:pPr>
      <w:r w:rsidRPr="00FC5C72">
        <w:rPr>
          <w:sz w:val="24"/>
          <w:szCs w:val="24"/>
        </w:rPr>
        <w:t>პაციენტებისთვის, რომლებსაც არ შეუძლიათ ტაბლეტების მთლიანად გადაყლაპვა, ელიქვისის ტაბლეტები</w:t>
      </w:r>
      <w:r w:rsidR="00D44243" w:rsidRPr="00FC5C72">
        <w:rPr>
          <w:sz w:val="24"/>
          <w:szCs w:val="24"/>
        </w:rPr>
        <w:t xml:space="preserve"> შეიძლება </w:t>
      </w:r>
      <w:r w:rsidRPr="00FC5C72">
        <w:rPr>
          <w:sz w:val="24"/>
          <w:szCs w:val="24"/>
        </w:rPr>
        <w:t>დაი</w:t>
      </w:r>
      <w:r w:rsidR="00D44243" w:rsidRPr="00FC5C72">
        <w:rPr>
          <w:sz w:val="24"/>
          <w:szCs w:val="24"/>
        </w:rPr>
        <w:t>ფ</w:t>
      </w:r>
      <w:r w:rsidRPr="00FC5C72">
        <w:rPr>
          <w:sz w:val="24"/>
          <w:szCs w:val="24"/>
        </w:rPr>
        <w:t xml:space="preserve">შვნას და </w:t>
      </w:r>
      <w:r w:rsidR="00BB7A12" w:rsidRPr="00FC5C72">
        <w:rPr>
          <w:sz w:val="24"/>
          <w:szCs w:val="24"/>
        </w:rPr>
        <w:t>სუსპენდირებული იქნას</w:t>
      </w:r>
      <w:r w:rsidRPr="00FC5C72">
        <w:rPr>
          <w:sz w:val="24"/>
          <w:szCs w:val="24"/>
        </w:rPr>
        <w:t xml:space="preserve"> წყალში, გლუკოზის 5%-იან წყალხსნარში ან ვაშლის </w:t>
      </w:r>
      <w:r w:rsidR="00D44243" w:rsidRPr="00FC5C72">
        <w:rPr>
          <w:sz w:val="24"/>
          <w:szCs w:val="24"/>
        </w:rPr>
        <w:t>წვენში ან შერეული იქნას ვაშლის ფაფაში უშუალოდ მიღების წინ</w:t>
      </w:r>
      <w:r w:rsidR="00055C05" w:rsidRPr="00FC5C72">
        <w:rPr>
          <w:sz w:val="24"/>
          <w:szCs w:val="24"/>
        </w:rPr>
        <w:t xml:space="preserve"> (იხ. პარაგრაფი „ფარმაკოკინეტიკა“)</w:t>
      </w:r>
      <w:r w:rsidR="00D44243" w:rsidRPr="00FC5C72">
        <w:rPr>
          <w:sz w:val="24"/>
          <w:szCs w:val="24"/>
        </w:rPr>
        <w:t>. ალტერნატივის სახით, ელიქვისის ტაბლეტები შეიძლება და</w:t>
      </w:r>
      <w:r w:rsidR="00BB7A12" w:rsidRPr="00FC5C72">
        <w:rPr>
          <w:sz w:val="24"/>
          <w:szCs w:val="24"/>
        </w:rPr>
        <w:t>ი</w:t>
      </w:r>
      <w:r w:rsidR="00D44243" w:rsidRPr="00FC5C72">
        <w:rPr>
          <w:sz w:val="24"/>
          <w:szCs w:val="24"/>
        </w:rPr>
        <w:t xml:space="preserve">ფშვნას და </w:t>
      </w:r>
      <w:r w:rsidR="00BB7A12" w:rsidRPr="00FC5C72">
        <w:rPr>
          <w:sz w:val="24"/>
          <w:szCs w:val="24"/>
        </w:rPr>
        <w:t xml:space="preserve">სუსპენდირებული იქნას </w:t>
      </w:r>
      <w:r w:rsidR="00D44243" w:rsidRPr="00FC5C72">
        <w:rPr>
          <w:sz w:val="24"/>
          <w:szCs w:val="24"/>
        </w:rPr>
        <w:t>60 მლ წყალშ</w:t>
      </w:r>
      <w:r w:rsidR="00BB7A12" w:rsidRPr="00FC5C72">
        <w:rPr>
          <w:sz w:val="24"/>
          <w:szCs w:val="24"/>
        </w:rPr>
        <w:t>ი</w:t>
      </w:r>
      <w:r w:rsidR="00D44243" w:rsidRPr="00FC5C72">
        <w:rPr>
          <w:sz w:val="24"/>
          <w:szCs w:val="24"/>
        </w:rPr>
        <w:t xml:space="preserve"> ან გლუკოზის 5%-იან წყალხსნარში და მიღებული სუსპენზია დაუყოვნებლივ იქნას შეყვანილი ნაზოგასტრალური ზონდის საშუალებით. </w:t>
      </w:r>
    </w:p>
    <w:p w14:paraId="0474FD43" w14:textId="6174E403" w:rsidR="003A07CC" w:rsidRPr="00FC5C72" w:rsidRDefault="003A07CC" w:rsidP="00785B18">
      <w:pPr>
        <w:pStyle w:val="ListParagraph"/>
        <w:spacing w:after="0" w:line="240" w:lineRule="auto"/>
        <w:ind w:left="0"/>
        <w:jc w:val="both"/>
        <w:rPr>
          <w:sz w:val="24"/>
          <w:szCs w:val="24"/>
        </w:rPr>
      </w:pPr>
      <w:r w:rsidRPr="00FC5C72">
        <w:rPr>
          <w:sz w:val="24"/>
          <w:szCs w:val="24"/>
        </w:rPr>
        <w:t xml:space="preserve">ელიქვისის დაფშვნილ ტაბლეტებში მოქმედი ნივთიერება სტაბილურია 4 საათამდე პერიოდში წყალში, გლუკოზის 5%-იან წყალხსნარში, ვაშლის წვენში </w:t>
      </w:r>
      <w:r w:rsidR="00055C05" w:rsidRPr="00FC5C72">
        <w:rPr>
          <w:sz w:val="24"/>
          <w:szCs w:val="24"/>
        </w:rPr>
        <w:t>და</w:t>
      </w:r>
      <w:r w:rsidRPr="00FC5C72">
        <w:rPr>
          <w:sz w:val="24"/>
          <w:szCs w:val="24"/>
        </w:rPr>
        <w:t xml:space="preserve"> ვაშლის ფაფაში. </w:t>
      </w:r>
    </w:p>
    <w:p w14:paraId="71886F78" w14:textId="77777777" w:rsidR="003A07CC" w:rsidRPr="00FC5C72" w:rsidRDefault="003A07CC" w:rsidP="00785B18">
      <w:pPr>
        <w:pStyle w:val="ListParagraph"/>
        <w:spacing w:after="0" w:line="240" w:lineRule="auto"/>
        <w:ind w:left="0"/>
        <w:jc w:val="both"/>
        <w:rPr>
          <w:sz w:val="24"/>
          <w:szCs w:val="24"/>
        </w:rPr>
      </w:pPr>
    </w:p>
    <w:p w14:paraId="48403C8A" w14:textId="77777777" w:rsidR="003A07CC" w:rsidRPr="00FC5C72" w:rsidRDefault="003A07CC" w:rsidP="00785B18">
      <w:pPr>
        <w:pStyle w:val="ListParagraph"/>
        <w:spacing w:after="0" w:line="240" w:lineRule="auto"/>
        <w:ind w:left="0"/>
        <w:jc w:val="both"/>
        <w:rPr>
          <w:b/>
          <w:bCs/>
          <w:sz w:val="24"/>
          <w:szCs w:val="24"/>
        </w:rPr>
      </w:pPr>
      <w:r w:rsidRPr="00FC5C72">
        <w:rPr>
          <w:b/>
          <w:bCs/>
          <w:sz w:val="24"/>
          <w:szCs w:val="24"/>
        </w:rPr>
        <w:t>გვერდითი მოქმედება</w:t>
      </w:r>
    </w:p>
    <w:p w14:paraId="201FC739" w14:textId="15E9876D" w:rsidR="003A07CC" w:rsidRPr="00FC5C72" w:rsidRDefault="003A07CC" w:rsidP="00785B18">
      <w:pPr>
        <w:pStyle w:val="ListParagraph"/>
        <w:spacing w:after="0" w:line="240" w:lineRule="auto"/>
        <w:ind w:left="0"/>
        <w:jc w:val="both"/>
        <w:rPr>
          <w:i/>
          <w:iCs/>
          <w:sz w:val="24"/>
          <w:szCs w:val="24"/>
        </w:rPr>
      </w:pPr>
      <w:r w:rsidRPr="00FC5C72">
        <w:rPr>
          <w:i/>
          <w:iCs/>
          <w:sz w:val="24"/>
          <w:szCs w:val="24"/>
        </w:rPr>
        <w:t>მოკლე მონაცემები უსაფრთხოების პროფილის შესახებ</w:t>
      </w:r>
    </w:p>
    <w:p w14:paraId="3DE5B740" w14:textId="65F39402" w:rsidR="00332895" w:rsidRPr="00FC5C72" w:rsidRDefault="00C42B9A" w:rsidP="00785B18">
      <w:pPr>
        <w:pStyle w:val="ListParagraph"/>
        <w:spacing w:after="0" w:line="240" w:lineRule="auto"/>
        <w:ind w:left="0"/>
        <w:jc w:val="both"/>
        <w:rPr>
          <w:rFonts w:ascii="Sylfaen" w:eastAsia="Times New Roman" w:hAnsi="Sylfaen"/>
          <w:sz w:val="24"/>
          <w:szCs w:val="24"/>
          <w:lang w:eastAsia="ru-RU"/>
        </w:rPr>
      </w:pPr>
      <w:r w:rsidRPr="00FC5C72">
        <w:rPr>
          <w:rFonts w:ascii="Sylfaen" w:eastAsia="Times New Roman" w:hAnsi="Sylfaen"/>
          <w:sz w:val="24"/>
          <w:szCs w:val="24"/>
          <w:lang w:eastAsia="ru-RU"/>
        </w:rPr>
        <w:t xml:space="preserve">მოზრდილებში </w:t>
      </w:r>
      <w:proofErr w:type="spellStart"/>
      <w:r w:rsidRPr="00FC5C72">
        <w:rPr>
          <w:rFonts w:ascii="Sylfaen" w:eastAsia="Times New Roman" w:hAnsi="Sylfaen"/>
          <w:sz w:val="24"/>
          <w:szCs w:val="24"/>
          <w:lang w:eastAsia="ru-RU"/>
        </w:rPr>
        <w:t>აპიქსაბანის</w:t>
      </w:r>
      <w:proofErr w:type="spellEnd"/>
      <w:r w:rsidRPr="00FC5C72">
        <w:rPr>
          <w:rFonts w:ascii="Sylfaen" w:eastAsia="Times New Roman" w:hAnsi="Sylfaen"/>
          <w:sz w:val="24"/>
          <w:szCs w:val="24"/>
          <w:lang w:eastAsia="ru-RU"/>
        </w:rPr>
        <w:t xml:space="preserve"> უსაფრთხოება შეისწავლეს</w:t>
      </w:r>
      <w:r w:rsidR="00332895" w:rsidRPr="00FC5C72">
        <w:rPr>
          <w:rFonts w:ascii="Sylfaen" w:eastAsia="Times New Roman" w:hAnsi="Sylfaen"/>
          <w:sz w:val="24"/>
          <w:szCs w:val="24"/>
          <w:lang w:eastAsia="ru-RU"/>
        </w:rPr>
        <w:t xml:space="preserve"> </w:t>
      </w:r>
      <w:r w:rsidR="003A07CC" w:rsidRPr="00FC5C72">
        <w:rPr>
          <w:rFonts w:ascii="Sylfaen" w:eastAsia="Times New Roman" w:hAnsi="Sylfaen"/>
          <w:sz w:val="24"/>
          <w:szCs w:val="24"/>
          <w:lang w:eastAsia="ru-RU"/>
        </w:rPr>
        <w:t>III ფაზის</w:t>
      </w:r>
      <w:r w:rsidR="00332895" w:rsidRPr="00FC5C72">
        <w:rPr>
          <w:rFonts w:ascii="Sylfaen" w:eastAsia="Times New Roman" w:hAnsi="Sylfaen"/>
          <w:sz w:val="24"/>
          <w:szCs w:val="24"/>
          <w:lang w:eastAsia="ru-RU"/>
        </w:rPr>
        <w:t xml:space="preserve"> 7 კლინიკურ კვლევა</w:t>
      </w:r>
      <w:r w:rsidRPr="00FC5C72">
        <w:rPr>
          <w:rFonts w:ascii="Sylfaen" w:eastAsia="Times New Roman" w:hAnsi="Sylfaen"/>
          <w:sz w:val="24"/>
          <w:szCs w:val="24"/>
          <w:lang w:eastAsia="ru-RU"/>
        </w:rPr>
        <w:t>ში</w:t>
      </w:r>
      <w:r w:rsidR="00332895" w:rsidRPr="00FC5C72">
        <w:rPr>
          <w:rFonts w:ascii="Sylfaen" w:eastAsia="Times New Roman" w:hAnsi="Sylfaen"/>
          <w:sz w:val="24"/>
          <w:szCs w:val="24"/>
          <w:lang w:eastAsia="ru-RU"/>
        </w:rPr>
        <w:t>, რომელიც მოიცავდა 21000</w:t>
      </w:r>
      <w:r w:rsidR="00BB7A12" w:rsidRPr="00FC5C72">
        <w:rPr>
          <w:rFonts w:ascii="Sylfaen" w:eastAsia="Times New Roman" w:hAnsi="Sylfaen"/>
          <w:sz w:val="24"/>
          <w:szCs w:val="24"/>
          <w:lang w:eastAsia="ru-RU"/>
        </w:rPr>
        <w:t>-ზე</w:t>
      </w:r>
      <w:r w:rsidR="00332895" w:rsidRPr="00FC5C72">
        <w:rPr>
          <w:rFonts w:ascii="Sylfaen" w:eastAsia="Times New Roman" w:hAnsi="Sylfaen"/>
          <w:sz w:val="24"/>
          <w:szCs w:val="24"/>
          <w:lang w:eastAsia="ru-RU"/>
        </w:rPr>
        <w:t xml:space="preserve"> </w:t>
      </w:r>
      <w:r w:rsidR="00BB7A12" w:rsidRPr="00FC5C72">
        <w:rPr>
          <w:rFonts w:ascii="Sylfaen" w:eastAsia="Times New Roman" w:hAnsi="Sylfaen"/>
          <w:sz w:val="24"/>
          <w:szCs w:val="24"/>
          <w:lang w:eastAsia="ru-RU"/>
        </w:rPr>
        <w:t xml:space="preserve">მეტ </w:t>
      </w:r>
      <w:r w:rsidR="00332895" w:rsidRPr="00FC5C72">
        <w:rPr>
          <w:rFonts w:ascii="Sylfaen" w:eastAsia="Times New Roman" w:hAnsi="Sylfaen"/>
          <w:sz w:val="24"/>
          <w:szCs w:val="24"/>
          <w:lang w:eastAsia="ru-RU"/>
        </w:rPr>
        <w:t>პაციენტ</w:t>
      </w:r>
      <w:r w:rsidR="00BB7A12" w:rsidRPr="00FC5C72">
        <w:rPr>
          <w:rFonts w:ascii="Sylfaen" w:eastAsia="Times New Roman" w:hAnsi="Sylfaen"/>
          <w:sz w:val="24"/>
          <w:szCs w:val="24"/>
          <w:lang w:eastAsia="ru-RU"/>
        </w:rPr>
        <w:t>ს</w:t>
      </w:r>
      <w:r w:rsidR="00332895" w:rsidRPr="00FC5C72">
        <w:rPr>
          <w:rFonts w:ascii="Sylfaen" w:eastAsia="Times New Roman" w:hAnsi="Sylfaen"/>
          <w:sz w:val="24"/>
          <w:szCs w:val="24"/>
          <w:lang w:eastAsia="ru-RU"/>
        </w:rPr>
        <w:t>: 5000-ზე მეტი პაციენტი ვთგ-ის პროფილაქტიკის კვლევ</w:t>
      </w:r>
      <w:r w:rsidR="00BB7A12" w:rsidRPr="00FC5C72">
        <w:rPr>
          <w:rFonts w:ascii="Sylfaen" w:eastAsia="Times New Roman" w:hAnsi="Sylfaen"/>
          <w:sz w:val="24"/>
          <w:szCs w:val="24"/>
          <w:lang w:eastAsia="ru-RU"/>
        </w:rPr>
        <w:t>ებ</w:t>
      </w:r>
      <w:r w:rsidR="00332895" w:rsidRPr="00FC5C72">
        <w:rPr>
          <w:rFonts w:ascii="Sylfaen" w:eastAsia="Times New Roman" w:hAnsi="Sylfaen"/>
          <w:sz w:val="24"/>
          <w:szCs w:val="24"/>
          <w:lang w:eastAsia="ru-RU"/>
        </w:rPr>
        <w:t>ში, 11000-ზე მეტი პაციენტი წასფ-ის კვლევებშ</w:t>
      </w:r>
      <w:r w:rsidR="00BB7A12" w:rsidRPr="00FC5C72">
        <w:rPr>
          <w:rFonts w:ascii="Sylfaen" w:eastAsia="Times New Roman" w:hAnsi="Sylfaen"/>
          <w:sz w:val="24"/>
          <w:szCs w:val="24"/>
          <w:lang w:eastAsia="ru-RU"/>
        </w:rPr>
        <w:t>ი</w:t>
      </w:r>
      <w:r w:rsidR="00332895" w:rsidRPr="00FC5C72">
        <w:rPr>
          <w:rFonts w:ascii="Sylfaen" w:eastAsia="Times New Roman" w:hAnsi="Sylfaen"/>
          <w:sz w:val="24"/>
          <w:szCs w:val="24"/>
          <w:lang w:eastAsia="ru-RU"/>
        </w:rPr>
        <w:t xml:space="preserve"> და 4000-ზე მეტი პაციენტი - ვთგ-ის მკურნალობის კვლევებში, გამოყენების საშუალო დრო შეადგენდა შესაბამისად 20 დღეს, 1.7 </w:t>
      </w:r>
      <w:r w:rsidR="00EF23C9" w:rsidRPr="00FC5C72">
        <w:rPr>
          <w:rFonts w:ascii="Sylfaen" w:eastAsia="Times New Roman" w:hAnsi="Sylfaen"/>
          <w:sz w:val="24"/>
          <w:szCs w:val="24"/>
          <w:lang w:eastAsia="ru-RU"/>
        </w:rPr>
        <w:t>წელს</w:t>
      </w:r>
      <w:r w:rsidR="00332895" w:rsidRPr="00FC5C72">
        <w:rPr>
          <w:rFonts w:ascii="Sylfaen" w:eastAsia="Times New Roman" w:hAnsi="Sylfaen"/>
          <w:sz w:val="24"/>
          <w:szCs w:val="24"/>
          <w:lang w:eastAsia="ru-RU"/>
        </w:rPr>
        <w:t xml:space="preserve"> და 221 დღეს (იხ. პარაგრაფი “ფარმაკოდინამიკა“).   </w:t>
      </w:r>
    </w:p>
    <w:p w14:paraId="4F0755A3" w14:textId="266DB583" w:rsidR="00BC6150" w:rsidRPr="00FC5C72" w:rsidRDefault="00BC6150" w:rsidP="00785B18">
      <w:pPr>
        <w:pStyle w:val="ListParagraph"/>
        <w:spacing w:after="0" w:line="240" w:lineRule="auto"/>
        <w:ind w:left="0"/>
        <w:jc w:val="both"/>
        <w:rPr>
          <w:rFonts w:ascii="Sylfaen" w:eastAsia="Times New Roman" w:hAnsi="Sylfaen"/>
          <w:sz w:val="24"/>
          <w:szCs w:val="24"/>
          <w:lang w:eastAsia="ru-RU"/>
        </w:rPr>
      </w:pPr>
      <w:r w:rsidRPr="00FC5C72">
        <w:rPr>
          <w:rFonts w:ascii="Sylfaen" w:eastAsia="Times New Roman" w:hAnsi="Sylfaen"/>
          <w:sz w:val="24"/>
          <w:szCs w:val="24"/>
          <w:lang w:eastAsia="ru-RU"/>
        </w:rPr>
        <w:t>ხშირი არასასაურველი რეაქცია იყო სი</w:t>
      </w:r>
      <w:r w:rsidR="00415EC1" w:rsidRPr="00FC5C72">
        <w:rPr>
          <w:rFonts w:ascii="Sylfaen" w:eastAsia="Times New Roman" w:hAnsi="Sylfaen"/>
          <w:sz w:val="24"/>
          <w:szCs w:val="24"/>
          <w:lang w:eastAsia="ru-RU"/>
        </w:rPr>
        <w:t>ს</w:t>
      </w:r>
      <w:r w:rsidRPr="00FC5C72">
        <w:rPr>
          <w:rFonts w:ascii="Sylfaen" w:eastAsia="Times New Roman" w:hAnsi="Sylfaen"/>
          <w:sz w:val="24"/>
          <w:szCs w:val="24"/>
          <w:lang w:eastAsia="ru-RU"/>
        </w:rPr>
        <w:t>ხლდენა, სისხლჩაქცევა, ცხვირიდან სისხლდენა და ჰემატომა (იხ. არასასურველი რეაქციების პროფილი და მათი სიხშირე ჩვენების მიხედვით</w:t>
      </w:r>
      <w:r w:rsidR="00415EC1" w:rsidRPr="00FC5C72">
        <w:rPr>
          <w:rFonts w:ascii="Sylfaen" w:eastAsia="Times New Roman" w:hAnsi="Sylfaen"/>
          <w:sz w:val="24"/>
          <w:szCs w:val="24"/>
          <w:lang w:eastAsia="ru-RU"/>
        </w:rPr>
        <w:t>, რომლებიც წარმოდგენილია</w:t>
      </w:r>
      <w:r w:rsidRPr="00FC5C72">
        <w:rPr>
          <w:rFonts w:ascii="Sylfaen" w:eastAsia="Times New Roman" w:hAnsi="Sylfaen"/>
          <w:sz w:val="24"/>
          <w:szCs w:val="24"/>
          <w:lang w:eastAsia="ru-RU"/>
        </w:rPr>
        <w:t xml:space="preserve"> ცხრილში </w:t>
      </w:r>
      <w:r w:rsidR="00C42B9A" w:rsidRPr="00FC5C72">
        <w:rPr>
          <w:rFonts w:ascii="Sylfaen" w:eastAsia="Times New Roman" w:hAnsi="Sylfaen"/>
          <w:sz w:val="24"/>
          <w:szCs w:val="24"/>
          <w:lang w:eastAsia="ru-RU"/>
        </w:rPr>
        <w:t>17</w:t>
      </w:r>
      <w:r w:rsidRPr="00FC5C72">
        <w:rPr>
          <w:rFonts w:ascii="Sylfaen" w:eastAsia="Times New Roman" w:hAnsi="Sylfaen"/>
          <w:sz w:val="24"/>
          <w:szCs w:val="24"/>
          <w:lang w:eastAsia="ru-RU"/>
        </w:rPr>
        <w:t xml:space="preserve">). </w:t>
      </w:r>
    </w:p>
    <w:p w14:paraId="10925A5E" w14:textId="6348BD86" w:rsidR="00BC6150" w:rsidRPr="00FC5C72" w:rsidRDefault="00BC6150" w:rsidP="00785B18">
      <w:pPr>
        <w:pStyle w:val="ListParagraph"/>
        <w:spacing w:after="0" w:line="240" w:lineRule="auto"/>
        <w:ind w:left="0"/>
        <w:jc w:val="both"/>
        <w:rPr>
          <w:rFonts w:ascii="Sylfaen" w:eastAsia="Times New Roman" w:hAnsi="Sylfaen"/>
          <w:sz w:val="24"/>
          <w:szCs w:val="24"/>
          <w:lang w:eastAsia="ru-RU"/>
        </w:rPr>
      </w:pPr>
      <w:r w:rsidRPr="00FC5C72">
        <w:rPr>
          <w:rFonts w:ascii="Sylfaen" w:eastAsia="Times New Roman" w:hAnsi="Sylfaen"/>
          <w:sz w:val="24"/>
          <w:szCs w:val="24"/>
          <w:lang w:eastAsia="ru-RU"/>
        </w:rPr>
        <w:t>ვთგ-ის</w:t>
      </w:r>
      <w:r w:rsidR="00EF23C9" w:rsidRPr="00FC5C72">
        <w:rPr>
          <w:rFonts w:ascii="Sylfaen" w:eastAsia="Times New Roman" w:hAnsi="Sylfaen"/>
          <w:sz w:val="24"/>
          <w:szCs w:val="24"/>
          <w:lang w:eastAsia="ru-RU"/>
        </w:rPr>
        <w:t xml:space="preserve"> პროფილაქტიკის </w:t>
      </w:r>
      <w:r w:rsidRPr="00FC5C72">
        <w:rPr>
          <w:rFonts w:ascii="Sylfaen" w:eastAsia="Times New Roman" w:hAnsi="Sylfaen"/>
          <w:sz w:val="24"/>
          <w:szCs w:val="24"/>
          <w:lang w:eastAsia="ru-RU"/>
        </w:rPr>
        <w:t xml:space="preserve"> კვლევებში არასასურველი რეაქციები საერთო ჯამში აღინიშნა პაციენტების 11%-ში, დღე-ღამეში ორჯერ 2.5 მგ დოზით აპიქსაბანის მიღების ჯგუფში. აპიქსაბანის გამოყენებისას სისხლდენასთან დაკავშირებული არასასურველი რეაქციების საერთო სიხშირე შეადგენდა 10%-ს აპიქსაბანის კვლევებში ენოქსაპარინთან შედარებით. </w:t>
      </w:r>
    </w:p>
    <w:p w14:paraId="5842CE19" w14:textId="59BB6D1E" w:rsidR="003A07CC" w:rsidRPr="00FC5C72" w:rsidRDefault="00E16C96" w:rsidP="00785B18">
      <w:pPr>
        <w:pStyle w:val="ListParagraph"/>
        <w:spacing w:after="0" w:line="240" w:lineRule="auto"/>
        <w:ind w:left="0"/>
        <w:jc w:val="both"/>
        <w:rPr>
          <w:rFonts w:eastAsia="Times New Roman"/>
          <w:sz w:val="24"/>
          <w:szCs w:val="24"/>
          <w:lang w:eastAsia="ru-RU"/>
        </w:rPr>
      </w:pPr>
      <w:r w:rsidRPr="00FC5C72">
        <w:rPr>
          <w:rFonts w:ascii="Sylfaen" w:eastAsia="Times New Roman" w:hAnsi="Sylfaen"/>
          <w:sz w:val="24"/>
          <w:szCs w:val="24"/>
          <w:lang w:eastAsia="ru-RU"/>
        </w:rPr>
        <w:t>წასფ-ის კვლევებში აპიქსაბანის გამოყენებისას სისხლდენებთან დაკავშირებული არასასურველი რეაქციების საერთო სიხშირე შეადგენდა</w:t>
      </w:r>
      <w:r w:rsidR="003A07CC" w:rsidRPr="00FC5C72">
        <w:rPr>
          <w:rFonts w:ascii="Sylfaen" w:eastAsia="Times New Roman" w:hAnsi="Sylfaen"/>
          <w:sz w:val="24"/>
          <w:szCs w:val="24"/>
          <w:lang w:eastAsia="ru-RU"/>
        </w:rPr>
        <w:t xml:space="preserve"> </w:t>
      </w:r>
      <w:r w:rsidRPr="00FC5C72">
        <w:rPr>
          <w:rFonts w:ascii="Times New Roman" w:hAnsi="Times New Roman"/>
          <w:noProof/>
          <w:sz w:val="24"/>
          <w:szCs w:val="24"/>
        </w:rPr>
        <w:t>24</w:t>
      </w:r>
      <w:r w:rsidRPr="00FC5C72">
        <w:rPr>
          <w:noProof/>
          <w:sz w:val="24"/>
          <w:szCs w:val="24"/>
        </w:rPr>
        <w:t>.</w:t>
      </w:r>
      <w:r w:rsidRPr="00FC5C72">
        <w:rPr>
          <w:rFonts w:ascii="Times New Roman" w:hAnsi="Times New Roman"/>
          <w:noProof/>
          <w:sz w:val="24"/>
          <w:szCs w:val="24"/>
        </w:rPr>
        <w:t>3%</w:t>
      </w:r>
      <w:r w:rsidRPr="00FC5C72">
        <w:rPr>
          <w:noProof/>
          <w:sz w:val="24"/>
          <w:szCs w:val="24"/>
        </w:rPr>
        <w:t>-ს ვარფარინთან შესადარებელ აპიქსაბანის კვლევაში, და 9.6%-ს აცეტილსალიცილის მჟავასთან შესადარებელ აპიქსაბანის კლევაში. ვარფარინთან შესადარებელ აპიქსაბანის კვლევაში კუჭ-ნაწლავიდან მნიშვნელოვანი სისხლდენების განვითარე</w:t>
      </w:r>
      <w:r w:rsidR="00752263" w:rsidRPr="00FC5C72">
        <w:rPr>
          <w:noProof/>
          <w:sz w:val="24"/>
          <w:szCs w:val="24"/>
        </w:rPr>
        <w:t xml:space="preserve">ბის სიხშირე </w:t>
      </w:r>
      <w:r w:rsidR="00752263" w:rsidRPr="00FC5C72">
        <w:rPr>
          <w:rFonts w:ascii="Times New Roman" w:hAnsi="Times New Roman"/>
          <w:noProof/>
          <w:sz w:val="24"/>
          <w:szCs w:val="24"/>
        </w:rPr>
        <w:t>ISTH</w:t>
      </w:r>
      <w:r w:rsidR="00752263" w:rsidRPr="00FC5C72">
        <w:rPr>
          <w:noProof/>
          <w:sz w:val="24"/>
          <w:szCs w:val="24"/>
        </w:rPr>
        <w:t xml:space="preserve"> კრიტერიუმებით (მათ შორის სიხლდენები კუჭ-ნაწლავის ტრაქტის ზედა და ქვედა ორგანოებში და რექტალური სისხლდენა) აპიქსაბანის გამოყენებისას შეადგენდა 0,76%-ს წელიწადში. თვალშიდა მნიშვნელოვანი სისხლდენის განვითარების სიხშირე </w:t>
      </w:r>
      <w:r w:rsidR="00752263" w:rsidRPr="00FC5C72">
        <w:rPr>
          <w:rFonts w:ascii="Times New Roman" w:hAnsi="Times New Roman"/>
          <w:noProof/>
          <w:sz w:val="24"/>
          <w:szCs w:val="24"/>
        </w:rPr>
        <w:t>ISTH</w:t>
      </w:r>
      <w:r w:rsidR="00752263" w:rsidRPr="00FC5C72">
        <w:rPr>
          <w:noProof/>
          <w:sz w:val="24"/>
          <w:szCs w:val="24"/>
        </w:rPr>
        <w:t xml:space="preserve"> კრიტერიუმებით აპიქსაბანის მიღებისას შეადგენდა 0.18%-ს წელიწადში. </w:t>
      </w:r>
    </w:p>
    <w:p w14:paraId="64CDF6F4" w14:textId="77777777" w:rsidR="00752263" w:rsidRPr="00FC5C72" w:rsidRDefault="00752263" w:rsidP="00785B18">
      <w:pPr>
        <w:spacing w:after="0" w:line="240" w:lineRule="auto"/>
        <w:jc w:val="both"/>
        <w:rPr>
          <w:rFonts w:eastAsia="Times New Roman"/>
          <w:sz w:val="24"/>
          <w:szCs w:val="24"/>
          <w:lang w:eastAsia="ru-RU"/>
        </w:rPr>
      </w:pPr>
      <w:r w:rsidRPr="00FC5C72">
        <w:rPr>
          <w:rFonts w:eastAsia="Times New Roman"/>
          <w:sz w:val="24"/>
          <w:szCs w:val="24"/>
          <w:lang w:eastAsia="ru-RU"/>
        </w:rPr>
        <w:t>ვთგ-ის  მკურნალობის კვლევებში აპიქსაბანის გამოყენებისას სისხლდენით გამოწვეული არასასურველი რეაქციების გამოვლენის საერთო სიხშირე შეადგენდა 15.6% ენოქსაპარინთან/ვარფარინთან შესადარებელ აპიქსაბანის კვლევაში და 13.3%-ს პლაცებოსთან შესადარებელ აპიქსაბანის კვლევაში (იხ. პარაგრაფი “ფარმაკოდინამიკა“).</w:t>
      </w:r>
    </w:p>
    <w:p w14:paraId="394783BB" w14:textId="3A468973" w:rsidR="00DF2F38" w:rsidRPr="00FC5C72" w:rsidRDefault="00752263"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 </w:t>
      </w:r>
    </w:p>
    <w:p w14:paraId="3F13E39C" w14:textId="21528A9B" w:rsidR="00752263" w:rsidRPr="00FC5C72" w:rsidRDefault="00752263" w:rsidP="00785B18">
      <w:pPr>
        <w:spacing w:after="0" w:line="240" w:lineRule="auto"/>
        <w:jc w:val="both"/>
        <w:rPr>
          <w:rFonts w:eastAsia="Times New Roman"/>
          <w:sz w:val="24"/>
          <w:szCs w:val="24"/>
          <w:lang w:eastAsia="ru-RU"/>
        </w:rPr>
      </w:pPr>
      <w:r w:rsidRPr="00FC5C72">
        <w:rPr>
          <w:rFonts w:eastAsia="Times New Roman"/>
          <w:sz w:val="24"/>
          <w:szCs w:val="24"/>
          <w:lang w:eastAsia="ru-RU"/>
        </w:rPr>
        <w:t>არასასურველი რეაქციების სიხშირის რაოდენობრივი კრიტერიუმები და არასასურველი რეაქციების კლასიფიკაცია სისტემათა და ორგანოთა კლასიფიკაციის და მათი გამოვლენის სიხშირის შესაბამისად (</w:t>
      </w:r>
      <w:r w:rsidRPr="00FC5C72">
        <w:rPr>
          <w:rFonts w:eastAsia="Times New Roman"/>
          <w:i/>
          <w:iCs/>
          <w:sz w:val="24"/>
          <w:szCs w:val="24"/>
          <w:lang w:eastAsia="ru-RU"/>
        </w:rPr>
        <w:t xml:space="preserve">გვერდითი მოვლენების სიხშირე განისაზღრება შემდეგი კრიტერიუმების შესაბამისად: </w:t>
      </w:r>
      <w:r w:rsidRPr="00FC5C72">
        <w:rPr>
          <w:rFonts w:ascii="Sylfaen" w:hAnsi="Sylfaen"/>
          <w:bCs/>
          <w:i/>
          <w:sz w:val="24"/>
          <w:szCs w:val="24"/>
        </w:rPr>
        <w:t>ძალიან ხშირად</w:t>
      </w:r>
      <w:r w:rsidRPr="00FC5C72">
        <w:rPr>
          <w:rFonts w:ascii="Times New Roman" w:hAnsi="Times New Roman"/>
          <w:bCs/>
          <w:i/>
          <w:sz w:val="24"/>
          <w:szCs w:val="24"/>
        </w:rPr>
        <w:t xml:space="preserve"> (≥ 1/10), </w:t>
      </w:r>
      <w:r w:rsidRPr="00FC5C72">
        <w:rPr>
          <w:rFonts w:ascii="Sylfaen" w:hAnsi="Sylfaen"/>
          <w:bCs/>
          <w:i/>
          <w:sz w:val="24"/>
          <w:szCs w:val="24"/>
        </w:rPr>
        <w:t>ხშირად</w:t>
      </w:r>
      <w:r w:rsidRPr="00FC5C72">
        <w:rPr>
          <w:rFonts w:ascii="Times New Roman" w:hAnsi="Times New Roman"/>
          <w:bCs/>
          <w:i/>
          <w:sz w:val="24"/>
          <w:szCs w:val="24"/>
        </w:rPr>
        <w:t xml:space="preserve"> (≥1/100 </w:t>
      </w:r>
      <w:r w:rsidRPr="00FC5C72">
        <w:rPr>
          <w:bCs/>
          <w:i/>
          <w:sz w:val="24"/>
          <w:szCs w:val="24"/>
        </w:rPr>
        <w:t>-</w:t>
      </w:r>
      <w:r w:rsidRPr="00FC5C72">
        <w:rPr>
          <w:rFonts w:ascii="Times New Roman" w:hAnsi="Times New Roman"/>
          <w:bCs/>
          <w:i/>
          <w:sz w:val="24"/>
          <w:szCs w:val="24"/>
        </w:rPr>
        <w:t xml:space="preserve"> &lt;1/10), </w:t>
      </w:r>
      <w:r w:rsidRPr="00FC5C72">
        <w:rPr>
          <w:rFonts w:ascii="Sylfaen" w:hAnsi="Sylfaen"/>
          <w:bCs/>
          <w:i/>
          <w:sz w:val="24"/>
          <w:szCs w:val="24"/>
        </w:rPr>
        <w:t>არც ისე ხშირად</w:t>
      </w:r>
      <w:r w:rsidRPr="00FC5C72">
        <w:rPr>
          <w:rFonts w:ascii="Times New Roman" w:hAnsi="Times New Roman"/>
          <w:bCs/>
          <w:i/>
          <w:sz w:val="24"/>
          <w:szCs w:val="24"/>
        </w:rPr>
        <w:t xml:space="preserve"> (≥1/1000 </w:t>
      </w:r>
      <w:r w:rsidRPr="00FC5C72">
        <w:rPr>
          <w:bCs/>
          <w:i/>
          <w:sz w:val="24"/>
          <w:szCs w:val="24"/>
        </w:rPr>
        <w:t>-</w:t>
      </w:r>
      <w:r w:rsidRPr="00FC5C72">
        <w:rPr>
          <w:rFonts w:ascii="Times New Roman" w:hAnsi="Times New Roman"/>
          <w:bCs/>
          <w:i/>
          <w:sz w:val="24"/>
          <w:szCs w:val="24"/>
        </w:rPr>
        <w:t xml:space="preserve"> &lt;1/100), </w:t>
      </w:r>
      <w:r w:rsidRPr="00FC5C72">
        <w:rPr>
          <w:rFonts w:ascii="Sylfaen" w:hAnsi="Sylfaen"/>
          <w:bCs/>
          <w:i/>
          <w:sz w:val="24"/>
          <w:szCs w:val="24"/>
        </w:rPr>
        <w:t>იშვიათად</w:t>
      </w:r>
      <w:r w:rsidRPr="00FC5C72">
        <w:rPr>
          <w:rFonts w:ascii="Times New Roman" w:hAnsi="Times New Roman"/>
          <w:bCs/>
          <w:i/>
          <w:sz w:val="24"/>
          <w:szCs w:val="24"/>
        </w:rPr>
        <w:t xml:space="preserve"> (≥1/10000 </w:t>
      </w:r>
      <w:r w:rsidRPr="00FC5C72">
        <w:rPr>
          <w:bCs/>
          <w:i/>
          <w:sz w:val="24"/>
          <w:szCs w:val="24"/>
        </w:rPr>
        <w:t>-</w:t>
      </w:r>
      <w:r w:rsidRPr="00FC5C72">
        <w:rPr>
          <w:rFonts w:ascii="Times New Roman" w:hAnsi="Times New Roman"/>
          <w:bCs/>
          <w:i/>
          <w:sz w:val="24"/>
          <w:szCs w:val="24"/>
        </w:rPr>
        <w:t xml:space="preserve">  &lt;1/1000), </w:t>
      </w:r>
      <w:r w:rsidRPr="00FC5C72">
        <w:rPr>
          <w:rFonts w:ascii="Sylfaen" w:hAnsi="Sylfaen"/>
          <w:bCs/>
          <w:i/>
          <w:sz w:val="24"/>
          <w:szCs w:val="24"/>
        </w:rPr>
        <w:t>ძალიან იშვიათად</w:t>
      </w:r>
      <w:r w:rsidRPr="00FC5C72">
        <w:rPr>
          <w:rFonts w:ascii="Times New Roman" w:hAnsi="Times New Roman"/>
          <w:bCs/>
          <w:i/>
          <w:sz w:val="24"/>
          <w:szCs w:val="24"/>
        </w:rPr>
        <w:t xml:space="preserve"> (&lt;1/10000),</w:t>
      </w:r>
      <w:r w:rsidRPr="00FC5C72">
        <w:rPr>
          <w:rFonts w:ascii="Times New Roman" w:hAnsi="Times New Roman"/>
          <w:i/>
          <w:sz w:val="24"/>
          <w:szCs w:val="24"/>
        </w:rPr>
        <w:t xml:space="preserve"> </w:t>
      </w:r>
      <w:r w:rsidRPr="00FC5C72">
        <w:rPr>
          <w:rFonts w:ascii="Sylfaen" w:hAnsi="Sylfaen"/>
          <w:i/>
          <w:sz w:val="24"/>
          <w:szCs w:val="24"/>
        </w:rPr>
        <w:t>უცნობია</w:t>
      </w:r>
      <w:r w:rsidRPr="00FC5C72">
        <w:rPr>
          <w:rFonts w:ascii="Times New Roman" w:hAnsi="Times New Roman"/>
          <w:i/>
          <w:sz w:val="24"/>
          <w:szCs w:val="24"/>
        </w:rPr>
        <w:t xml:space="preserve"> (</w:t>
      </w:r>
      <w:r w:rsidRPr="00FC5C72">
        <w:rPr>
          <w:rFonts w:ascii="Sylfaen" w:hAnsi="Sylfaen"/>
          <w:i/>
          <w:sz w:val="24"/>
          <w:szCs w:val="24"/>
        </w:rPr>
        <w:t>არსებული მონაცემების საფუძველზე შეფასება შეუძლებელია</w:t>
      </w:r>
      <w:r w:rsidR="00BC2827" w:rsidRPr="00FC5C72">
        <w:rPr>
          <w:rFonts w:eastAsia="Times New Roman"/>
          <w:sz w:val="24"/>
          <w:szCs w:val="24"/>
          <w:lang w:eastAsia="ru-RU"/>
        </w:rPr>
        <w:t xml:space="preserve"> ვთგ-ის პროფილაქტიკისთვის და ვთგ-ის სამკურნალოდ მოზრდილ პაციენტებში, ასევე ვთგ-ის სამკურნალოდ და მორეციდივე ვთგ-ის პროფილაქტიკისთვის 28 დღიდან 18 წლამდე ასაკის ბავშვებსა და მოზარდებში.</w:t>
      </w:r>
    </w:p>
    <w:p w14:paraId="6524D64B" w14:textId="513DE9B1" w:rsidR="00C42B9A" w:rsidRPr="00FC5C72" w:rsidRDefault="00C42B9A" w:rsidP="00785B18">
      <w:pPr>
        <w:spacing w:after="0" w:line="240" w:lineRule="auto"/>
        <w:jc w:val="both"/>
        <w:rPr>
          <w:rFonts w:eastAsia="Times New Roman"/>
          <w:sz w:val="24"/>
          <w:szCs w:val="24"/>
          <w:lang w:eastAsia="ru-RU"/>
        </w:rPr>
      </w:pPr>
    </w:p>
    <w:p w14:paraId="4F3AFB19" w14:textId="7C55D6B3" w:rsidR="00C42B9A" w:rsidRPr="00FC5C72" w:rsidRDefault="00BC2827" w:rsidP="00785B18">
      <w:pPr>
        <w:spacing w:after="0" w:line="240" w:lineRule="auto"/>
        <w:jc w:val="both"/>
        <w:rPr>
          <w:sz w:val="24"/>
          <w:szCs w:val="24"/>
        </w:rPr>
      </w:pPr>
      <w:r w:rsidRPr="00FC5C72">
        <w:rPr>
          <w:rFonts w:eastAsia="Times New Roman"/>
          <w:sz w:val="24"/>
          <w:szCs w:val="24"/>
          <w:lang w:eastAsia="ru-RU"/>
        </w:rPr>
        <w:t xml:space="preserve">მონაცემები ცხრილში 17 მითითებული არასასურველი რეაქციების განვითარების სიხშირის შესახებ ბავშვთა ასაკის პაციენტებში მიღებულია კვლევაში </w:t>
      </w:r>
      <w:r w:rsidRPr="00FC5C72">
        <w:rPr>
          <w:rFonts w:ascii="Times New Roman" w:hAnsi="Times New Roman"/>
          <w:sz w:val="24"/>
          <w:szCs w:val="24"/>
          <w:lang w:val="uz-Cyrl-UZ"/>
        </w:rPr>
        <w:t>CV185325</w:t>
      </w:r>
      <w:r w:rsidRPr="00FC5C72">
        <w:rPr>
          <w:sz w:val="24"/>
          <w:szCs w:val="24"/>
        </w:rPr>
        <w:t xml:space="preserve">, რომელშიც ეს პაციენტები იღებდნენ აპიქსაბანს ვთგ-ის სამკურნალოდ და მორეციდივე ვთგ-ის პროფილაქტიკისთვის. </w:t>
      </w:r>
    </w:p>
    <w:p w14:paraId="041A7F07" w14:textId="0787D589" w:rsidR="00BC2827" w:rsidRPr="00FC5C72" w:rsidRDefault="00BC2827" w:rsidP="00785B18">
      <w:pPr>
        <w:spacing w:after="0" w:line="240" w:lineRule="auto"/>
        <w:jc w:val="both"/>
        <w:rPr>
          <w:sz w:val="24"/>
          <w:szCs w:val="24"/>
        </w:rPr>
      </w:pPr>
    </w:p>
    <w:p w14:paraId="01179FC5" w14:textId="163BBE4C" w:rsidR="00BC2827" w:rsidRPr="00FC5C72" w:rsidRDefault="00BC2827" w:rsidP="00785B18">
      <w:pPr>
        <w:spacing w:after="0" w:line="240" w:lineRule="auto"/>
        <w:jc w:val="both"/>
        <w:rPr>
          <w:b/>
          <w:bCs/>
          <w:i/>
          <w:iCs/>
          <w:sz w:val="24"/>
          <w:szCs w:val="24"/>
        </w:rPr>
      </w:pPr>
      <w:r w:rsidRPr="00FC5C72">
        <w:rPr>
          <w:b/>
          <w:bCs/>
          <w:i/>
          <w:iCs/>
          <w:sz w:val="24"/>
          <w:szCs w:val="24"/>
        </w:rPr>
        <w:t>ცხრილი 17. არასასურველი რეაქციები სისტემურ-ორგანოთა კლასების მიხედვით (სოკ)</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gridCol w:w="2063"/>
        <w:gridCol w:w="1869"/>
        <w:gridCol w:w="1575"/>
        <w:gridCol w:w="1575"/>
      </w:tblGrid>
      <w:tr w:rsidR="00FC5C72" w:rsidRPr="00FC5C72" w14:paraId="5FE304E6" w14:textId="77777777" w:rsidTr="00E75A03">
        <w:trPr>
          <w:tblHeader/>
        </w:trPr>
        <w:tc>
          <w:tcPr>
            <w:tcW w:w="1386" w:type="pct"/>
          </w:tcPr>
          <w:p w14:paraId="30CDBE48" w14:textId="7CF7BDC8" w:rsidR="00BC2827" w:rsidRPr="00FC5C72" w:rsidRDefault="00BC2827" w:rsidP="00785B18">
            <w:pPr>
              <w:spacing w:after="0" w:line="240" w:lineRule="auto"/>
              <w:jc w:val="both"/>
              <w:rPr>
                <w:rFonts w:ascii="Sylfaen" w:hAnsi="Sylfaen"/>
                <w:b/>
                <w:i/>
                <w:sz w:val="24"/>
                <w:szCs w:val="24"/>
              </w:rPr>
            </w:pPr>
            <w:r w:rsidRPr="00FC5C72">
              <w:rPr>
                <w:rFonts w:ascii="Sylfaen" w:hAnsi="Sylfaen"/>
                <w:b/>
                <w:i/>
                <w:sz w:val="24"/>
                <w:szCs w:val="24"/>
              </w:rPr>
              <w:t>სისტემურ-ორგანოთა კლასი</w:t>
            </w:r>
          </w:p>
        </w:tc>
        <w:tc>
          <w:tcPr>
            <w:tcW w:w="1053" w:type="pct"/>
          </w:tcPr>
          <w:p w14:paraId="600990D1" w14:textId="175A5D7C" w:rsidR="00BC2827" w:rsidRPr="00FC5C72" w:rsidRDefault="00BC2827" w:rsidP="00785B18">
            <w:pPr>
              <w:spacing w:after="0" w:line="240" w:lineRule="auto"/>
              <w:jc w:val="both"/>
              <w:rPr>
                <w:rFonts w:ascii="Sylfaen" w:hAnsi="Sylfaen"/>
                <w:b/>
                <w:i/>
                <w:sz w:val="24"/>
                <w:szCs w:val="24"/>
              </w:rPr>
            </w:pPr>
            <w:r w:rsidRPr="00FC5C72">
              <w:rPr>
                <w:rFonts w:ascii="Sylfaen" w:hAnsi="Sylfaen"/>
                <w:b/>
                <w:i/>
                <w:sz w:val="24"/>
                <w:szCs w:val="24"/>
              </w:rPr>
              <w:t>ვთე-ის პროფილაქტიკა მოზრდილ პაციენტებში მენჯ-ბარძაყის ან მუხლის სახსრის გეგმიური ენდოპროთეზირების შემდეგ (2,5 მგ დოზირებისთვის)</w:t>
            </w:r>
          </w:p>
        </w:tc>
        <w:tc>
          <w:tcPr>
            <w:tcW w:w="954" w:type="pct"/>
          </w:tcPr>
          <w:p w14:paraId="6A0598C3" w14:textId="6FB6A32B" w:rsidR="00BC2827" w:rsidRPr="00FC5C72" w:rsidRDefault="0087066D" w:rsidP="00785B18">
            <w:pPr>
              <w:spacing w:after="0" w:line="240" w:lineRule="auto"/>
              <w:jc w:val="both"/>
              <w:rPr>
                <w:rFonts w:eastAsia="Times New Roman"/>
                <w:b/>
                <w:bCs/>
                <w:i/>
                <w:iCs/>
                <w:sz w:val="24"/>
                <w:szCs w:val="24"/>
                <w:lang w:eastAsia="ru-RU"/>
              </w:rPr>
            </w:pPr>
            <w:r w:rsidRPr="00FC5C72">
              <w:rPr>
                <w:rFonts w:eastAsia="Times New Roman"/>
                <w:b/>
                <w:bCs/>
                <w:i/>
                <w:iCs/>
                <w:sz w:val="24"/>
                <w:szCs w:val="24"/>
                <w:lang w:eastAsia="ru-RU"/>
              </w:rPr>
              <w:t>ინსულტისა და სისტემური ემბოლიის პროფილაქტიკისას მოზრდილ პაციენტებში წასფ-ით ერთი ან რამდენიმე რისკ-ფაქტორით (წასფ)</w:t>
            </w:r>
          </w:p>
        </w:tc>
        <w:tc>
          <w:tcPr>
            <w:tcW w:w="804" w:type="pct"/>
          </w:tcPr>
          <w:p w14:paraId="73C24DD3" w14:textId="368D3C36" w:rsidR="00BC2827" w:rsidRPr="00FC5C72" w:rsidRDefault="0087066D" w:rsidP="00785B18">
            <w:pPr>
              <w:spacing w:after="0" w:line="240" w:lineRule="auto"/>
              <w:jc w:val="both"/>
              <w:rPr>
                <w:b/>
                <w:i/>
                <w:sz w:val="24"/>
                <w:szCs w:val="24"/>
              </w:rPr>
            </w:pPr>
            <w:r w:rsidRPr="00FC5C72">
              <w:rPr>
                <w:rFonts w:ascii="Sylfaen" w:hAnsi="Sylfaen"/>
                <w:b/>
                <w:i/>
                <w:sz w:val="24"/>
                <w:szCs w:val="24"/>
              </w:rPr>
              <w:t>ღვთ-ის და ფათე-ის მკურნალობა და მორეციდივე ღვთ-ის და ფათე-ის პროფილაქტიკა მოზრდილებში</w:t>
            </w:r>
            <w:r w:rsidR="00BC2827" w:rsidRPr="00FC5C72">
              <w:rPr>
                <w:rFonts w:ascii="Times New Roman" w:hAnsi="Times New Roman"/>
                <w:b/>
                <w:i/>
                <w:sz w:val="24"/>
                <w:szCs w:val="24"/>
                <w:lang w:val="uz-Cyrl-UZ"/>
              </w:rPr>
              <w:t xml:space="preserve"> </w:t>
            </w:r>
            <w:r w:rsidRPr="00FC5C72">
              <w:rPr>
                <w:b/>
                <w:i/>
                <w:sz w:val="24"/>
                <w:szCs w:val="24"/>
              </w:rPr>
              <w:t xml:space="preserve"> </w:t>
            </w:r>
          </w:p>
        </w:tc>
        <w:tc>
          <w:tcPr>
            <w:tcW w:w="804" w:type="pct"/>
          </w:tcPr>
          <w:p w14:paraId="00308175" w14:textId="5C70E656" w:rsidR="00BC2827" w:rsidRPr="00FC5C72" w:rsidRDefault="0087066D" w:rsidP="00785B18">
            <w:pPr>
              <w:spacing w:after="0" w:line="240" w:lineRule="auto"/>
              <w:jc w:val="both"/>
              <w:rPr>
                <w:rFonts w:ascii="Sylfaen" w:hAnsi="Sylfaen"/>
                <w:b/>
                <w:bCs/>
                <w:i/>
                <w:sz w:val="24"/>
                <w:szCs w:val="24"/>
              </w:rPr>
            </w:pPr>
            <w:r w:rsidRPr="00FC5C72">
              <w:rPr>
                <w:rFonts w:ascii="Sylfaen" w:hAnsi="Sylfaen"/>
                <w:b/>
                <w:bCs/>
                <w:i/>
                <w:sz w:val="24"/>
                <w:szCs w:val="24"/>
              </w:rPr>
              <w:t>ვთე-ის მკურნალობა და მორეციდივე ვთე-ის პროფილაქტიკა 28 დღიდან 18 წლამდე ასაკის ბავშვებსა და მოზარდებში</w:t>
            </w:r>
          </w:p>
        </w:tc>
      </w:tr>
      <w:tr w:rsidR="00FC5C72" w:rsidRPr="00FC5C72" w14:paraId="3116A4BC" w14:textId="77777777" w:rsidTr="00E75A03">
        <w:trPr>
          <w:trHeight w:val="359"/>
        </w:trPr>
        <w:tc>
          <w:tcPr>
            <w:tcW w:w="3393" w:type="pct"/>
            <w:gridSpan w:val="3"/>
          </w:tcPr>
          <w:p w14:paraId="233FC985" w14:textId="74F3C0C9" w:rsidR="00BC2827" w:rsidRPr="00FC5C72" w:rsidRDefault="0087066D"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სისხლისა და ლიმფური სისტემის მხრივ</w:t>
            </w:r>
          </w:p>
        </w:tc>
        <w:tc>
          <w:tcPr>
            <w:tcW w:w="804" w:type="pct"/>
          </w:tcPr>
          <w:p w14:paraId="6122ACA3"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0A45C156"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3F71F653" w14:textId="77777777" w:rsidTr="00E75A03">
        <w:tc>
          <w:tcPr>
            <w:tcW w:w="1386" w:type="pct"/>
          </w:tcPr>
          <w:p w14:paraId="4CBA8561" w14:textId="107752C9" w:rsidR="00BC2827" w:rsidRPr="00FC5C72" w:rsidRDefault="00E75A03" w:rsidP="00785B18">
            <w:pPr>
              <w:spacing w:after="0" w:line="240" w:lineRule="auto"/>
              <w:jc w:val="both"/>
              <w:rPr>
                <w:rFonts w:ascii="Sylfaen" w:hAnsi="Sylfaen"/>
                <w:i/>
                <w:sz w:val="24"/>
                <w:szCs w:val="24"/>
              </w:rPr>
            </w:pPr>
            <w:r w:rsidRPr="00FC5C72">
              <w:rPr>
                <w:rFonts w:ascii="Sylfaen" w:hAnsi="Sylfaen"/>
                <w:i/>
                <w:sz w:val="24"/>
                <w:szCs w:val="24"/>
              </w:rPr>
              <w:t>ანემია</w:t>
            </w:r>
          </w:p>
        </w:tc>
        <w:tc>
          <w:tcPr>
            <w:tcW w:w="1053" w:type="pct"/>
          </w:tcPr>
          <w:p w14:paraId="2A9BC636" w14:textId="1FED219B" w:rsidR="00BC2827" w:rsidRPr="00FC5C72" w:rsidRDefault="00E75A03" w:rsidP="00785B18">
            <w:pPr>
              <w:spacing w:after="0" w:line="240" w:lineRule="auto"/>
              <w:jc w:val="both"/>
              <w:rPr>
                <w:rFonts w:ascii="Sylfaen" w:hAnsi="Sylfaen"/>
                <w:i/>
                <w:sz w:val="24"/>
                <w:szCs w:val="24"/>
              </w:rPr>
            </w:pPr>
            <w:r w:rsidRPr="00FC5C72">
              <w:rPr>
                <w:rFonts w:ascii="Sylfaen" w:hAnsi="Sylfaen"/>
                <w:i/>
                <w:sz w:val="24"/>
                <w:szCs w:val="24"/>
              </w:rPr>
              <w:t>ხშირად</w:t>
            </w:r>
          </w:p>
        </w:tc>
        <w:tc>
          <w:tcPr>
            <w:tcW w:w="954" w:type="pct"/>
          </w:tcPr>
          <w:p w14:paraId="350FD5A4" w14:textId="759836F4"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3B83CE1E" w14:textId="573F3702"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4A87310F" w14:textId="1A376D6A"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68D94686" w14:textId="77777777" w:rsidTr="00E75A03">
        <w:tc>
          <w:tcPr>
            <w:tcW w:w="1386" w:type="pct"/>
          </w:tcPr>
          <w:p w14:paraId="12039AE2" w14:textId="4FF63F65"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თრომბოციტოპენია</w:t>
            </w:r>
            <w:r w:rsidR="00BC2827" w:rsidRPr="00FC5C72">
              <w:rPr>
                <w:rFonts w:ascii="Times New Roman" w:hAnsi="Times New Roman"/>
                <w:i/>
                <w:sz w:val="24"/>
                <w:szCs w:val="24"/>
                <w:lang w:val="uz-Cyrl-UZ"/>
              </w:rPr>
              <w:t xml:space="preserve"> </w:t>
            </w:r>
          </w:p>
        </w:tc>
        <w:tc>
          <w:tcPr>
            <w:tcW w:w="1053" w:type="pct"/>
          </w:tcPr>
          <w:p w14:paraId="2F598394" w14:textId="255DEBE5"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18199671" w14:textId="7A962BB1"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28AD2014" w14:textId="0B33D73C"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14B46D7E" w14:textId="238DF809"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66D2445F" w14:textId="77777777" w:rsidTr="00E75A03">
        <w:trPr>
          <w:trHeight w:val="360"/>
        </w:trPr>
        <w:tc>
          <w:tcPr>
            <w:tcW w:w="3393" w:type="pct"/>
            <w:gridSpan w:val="3"/>
          </w:tcPr>
          <w:p w14:paraId="72737504" w14:textId="10F71081" w:rsidR="00BC2827" w:rsidRPr="00FC5C72" w:rsidRDefault="00E75A03"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იმუნური სისტემის მხრივ</w:t>
            </w:r>
          </w:p>
        </w:tc>
        <w:tc>
          <w:tcPr>
            <w:tcW w:w="804" w:type="pct"/>
          </w:tcPr>
          <w:p w14:paraId="525D21B3"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59E2A49F"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22AA5600" w14:textId="77777777" w:rsidTr="00E75A03">
        <w:tc>
          <w:tcPr>
            <w:tcW w:w="1386" w:type="pct"/>
          </w:tcPr>
          <w:p w14:paraId="2B95DDD5" w14:textId="3F028243"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ჰიპერმგრძნობელობა, ალერგიული შეშუპე</w:t>
            </w:r>
            <w:r w:rsidR="008D543E" w:rsidRPr="00FC5C72">
              <w:rPr>
                <w:rFonts w:ascii="Sylfaen" w:hAnsi="Sylfaen"/>
                <w:i/>
                <w:sz w:val="24"/>
                <w:szCs w:val="24"/>
              </w:rPr>
              <w:t>ბ</w:t>
            </w:r>
            <w:r w:rsidRPr="00FC5C72">
              <w:rPr>
                <w:rFonts w:ascii="Sylfaen" w:hAnsi="Sylfaen"/>
                <w:i/>
                <w:sz w:val="24"/>
                <w:szCs w:val="24"/>
              </w:rPr>
              <w:t>ა და ანაფილაქსია</w:t>
            </w:r>
            <w:r w:rsidRPr="00FC5C72">
              <w:rPr>
                <w:rFonts w:ascii="Times New Roman" w:hAnsi="Times New Roman"/>
                <w:i/>
                <w:sz w:val="24"/>
                <w:szCs w:val="24"/>
                <w:lang w:val="uz-Cyrl-UZ"/>
              </w:rPr>
              <w:t xml:space="preserve"> </w:t>
            </w:r>
          </w:p>
        </w:tc>
        <w:tc>
          <w:tcPr>
            <w:tcW w:w="1053" w:type="pct"/>
          </w:tcPr>
          <w:p w14:paraId="2F6C0EBE" w14:textId="0E4FB8FF" w:rsidR="00E75A03" w:rsidRPr="00FC5C72" w:rsidRDefault="00E75A03" w:rsidP="00785B18">
            <w:pPr>
              <w:spacing w:after="0" w:line="240" w:lineRule="auto"/>
              <w:jc w:val="both"/>
              <w:rPr>
                <w:rFonts w:ascii="Sylfaen" w:hAnsi="Sylfaen"/>
                <w:i/>
                <w:sz w:val="24"/>
                <w:szCs w:val="24"/>
              </w:rPr>
            </w:pPr>
            <w:r w:rsidRPr="00FC5C72">
              <w:rPr>
                <w:rFonts w:ascii="Sylfaen" w:hAnsi="Sylfaen"/>
                <w:i/>
                <w:sz w:val="24"/>
                <w:szCs w:val="24"/>
              </w:rPr>
              <w:t>იშვიათად</w:t>
            </w:r>
          </w:p>
        </w:tc>
        <w:tc>
          <w:tcPr>
            <w:tcW w:w="954" w:type="pct"/>
          </w:tcPr>
          <w:p w14:paraId="5F7E6B1C" w14:textId="79769918"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0FDFF415" w14:textId="798757BD"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1DA3741E" w14:textId="079DE2D8"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r w:rsidRPr="00FC5C72">
              <w:rPr>
                <w:rFonts w:ascii="Times New Roman" w:hAnsi="Times New Roman"/>
                <w:i/>
                <w:sz w:val="24"/>
                <w:szCs w:val="24"/>
                <w:vertAlign w:val="superscript"/>
                <w:lang w:val="uz-Cyrl-UZ"/>
              </w:rPr>
              <w:t>‡</w:t>
            </w:r>
          </w:p>
        </w:tc>
      </w:tr>
      <w:tr w:rsidR="00FC5C72" w:rsidRPr="00FC5C72" w14:paraId="5B6220BD" w14:textId="77777777" w:rsidTr="00E75A03">
        <w:tc>
          <w:tcPr>
            <w:tcW w:w="1386" w:type="pct"/>
          </w:tcPr>
          <w:p w14:paraId="7BB21331" w14:textId="09708658" w:rsidR="00E75A03" w:rsidRPr="00FC5C72" w:rsidRDefault="00E75A03" w:rsidP="00785B18">
            <w:pPr>
              <w:spacing w:after="0" w:line="240" w:lineRule="auto"/>
              <w:jc w:val="both"/>
              <w:rPr>
                <w:rFonts w:ascii="Sylfaen" w:hAnsi="Sylfaen"/>
                <w:i/>
                <w:sz w:val="24"/>
                <w:szCs w:val="24"/>
              </w:rPr>
            </w:pPr>
            <w:r w:rsidRPr="00FC5C72">
              <w:rPr>
                <w:rFonts w:ascii="Sylfaen" w:hAnsi="Sylfaen"/>
                <w:i/>
                <w:sz w:val="24"/>
                <w:szCs w:val="24"/>
              </w:rPr>
              <w:t>ქავილი</w:t>
            </w:r>
          </w:p>
        </w:tc>
        <w:tc>
          <w:tcPr>
            <w:tcW w:w="1053" w:type="pct"/>
          </w:tcPr>
          <w:p w14:paraId="79972CCB" w14:textId="4FF6F3B8"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379E5A76" w14:textId="61608447"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51013E4D" w14:textId="23B04BEB"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r w:rsidRPr="00FC5C72">
              <w:rPr>
                <w:rFonts w:ascii="Times New Roman" w:hAnsi="Times New Roman"/>
                <w:i/>
                <w:sz w:val="24"/>
                <w:szCs w:val="24"/>
                <w:lang w:val="uz-Cyrl-UZ"/>
              </w:rPr>
              <w:t>*</w:t>
            </w:r>
          </w:p>
        </w:tc>
        <w:tc>
          <w:tcPr>
            <w:tcW w:w="804" w:type="pct"/>
          </w:tcPr>
          <w:p w14:paraId="37BFFD38" w14:textId="4BCE94B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4EB17E8D" w14:textId="77777777" w:rsidTr="00E75A03">
        <w:tc>
          <w:tcPr>
            <w:tcW w:w="1386" w:type="pct"/>
          </w:tcPr>
          <w:p w14:paraId="5E8ED2DE" w14:textId="6DD0F9C9" w:rsidR="00E75A03" w:rsidRPr="00FC5C72" w:rsidRDefault="00E75A03" w:rsidP="00785B18">
            <w:pPr>
              <w:spacing w:after="0" w:line="240" w:lineRule="auto"/>
              <w:jc w:val="both"/>
              <w:rPr>
                <w:rFonts w:ascii="Sylfaen" w:hAnsi="Sylfaen"/>
                <w:i/>
                <w:sz w:val="24"/>
                <w:szCs w:val="24"/>
              </w:rPr>
            </w:pPr>
            <w:r w:rsidRPr="00FC5C72">
              <w:rPr>
                <w:rFonts w:ascii="Sylfaen" w:hAnsi="Sylfaen"/>
                <w:i/>
                <w:sz w:val="24"/>
                <w:szCs w:val="24"/>
              </w:rPr>
              <w:t>ანგიონევროზული შეშუპება</w:t>
            </w:r>
          </w:p>
        </w:tc>
        <w:tc>
          <w:tcPr>
            <w:tcW w:w="1053" w:type="pct"/>
          </w:tcPr>
          <w:p w14:paraId="283C712E" w14:textId="7D4906A0" w:rsidR="00E75A03" w:rsidRPr="00FC5C72" w:rsidRDefault="00E75A03" w:rsidP="00785B18">
            <w:pPr>
              <w:spacing w:after="0" w:line="240" w:lineRule="auto"/>
              <w:jc w:val="both"/>
              <w:rPr>
                <w:rFonts w:ascii="Sylfaen" w:hAnsi="Sylfaen"/>
                <w:i/>
                <w:sz w:val="24"/>
                <w:szCs w:val="24"/>
              </w:rPr>
            </w:pPr>
            <w:r w:rsidRPr="00FC5C72">
              <w:rPr>
                <w:rFonts w:ascii="Sylfaen" w:hAnsi="Sylfaen"/>
                <w:i/>
                <w:sz w:val="24"/>
                <w:szCs w:val="24"/>
              </w:rPr>
              <w:t>უცნობია</w:t>
            </w:r>
          </w:p>
        </w:tc>
        <w:tc>
          <w:tcPr>
            <w:tcW w:w="954" w:type="pct"/>
          </w:tcPr>
          <w:p w14:paraId="31CEC615" w14:textId="2A913739"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804" w:type="pct"/>
          </w:tcPr>
          <w:p w14:paraId="6491DB55" w14:textId="4869FA86"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804" w:type="pct"/>
          </w:tcPr>
          <w:p w14:paraId="4A984590" w14:textId="78E1D819"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34BF1396" w14:textId="77777777" w:rsidTr="00E75A03">
        <w:trPr>
          <w:trHeight w:val="360"/>
        </w:trPr>
        <w:tc>
          <w:tcPr>
            <w:tcW w:w="3393" w:type="pct"/>
            <w:gridSpan w:val="3"/>
          </w:tcPr>
          <w:p w14:paraId="0A50CDE1" w14:textId="30C72C3C" w:rsidR="00BC2827" w:rsidRPr="00FC5C72" w:rsidRDefault="002C3F8D"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ნერვული სისტემის მხრივ</w:t>
            </w:r>
          </w:p>
        </w:tc>
        <w:tc>
          <w:tcPr>
            <w:tcW w:w="804" w:type="pct"/>
          </w:tcPr>
          <w:p w14:paraId="58F6DE5E"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11BDADBE"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45AFAEC9" w14:textId="77777777" w:rsidTr="00E75A03">
        <w:tc>
          <w:tcPr>
            <w:tcW w:w="1386" w:type="pct"/>
          </w:tcPr>
          <w:p w14:paraId="215F38DC" w14:textId="1EFDE0EC" w:rsidR="00BC2827" w:rsidRPr="00FC5C72" w:rsidRDefault="002C3F8D"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ქალასშიდა სისხლჩაქცევები</w:t>
            </w:r>
            <w:r w:rsidR="00BC2827" w:rsidRPr="00FC5C72">
              <w:rPr>
                <w:rFonts w:ascii="Times New Roman" w:hAnsi="Times New Roman"/>
                <w:i/>
                <w:sz w:val="24"/>
                <w:szCs w:val="24"/>
                <w:vertAlign w:val="superscript"/>
                <w:lang w:val="uz-Cyrl-UZ"/>
              </w:rPr>
              <w:t>†</w:t>
            </w:r>
          </w:p>
        </w:tc>
        <w:tc>
          <w:tcPr>
            <w:tcW w:w="1053" w:type="pct"/>
          </w:tcPr>
          <w:p w14:paraId="5D1521D1" w14:textId="371302B8"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0EBF3D39" w14:textId="3E3D0BEA"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599C7591" w14:textId="3F8A2A50" w:rsidR="00BC2827" w:rsidRPr="00FC5C72" w:rsidRDefault="002C3F8D" w:rsidP="00785B18">
            <w:pPr>
              <w:spacing w:after="0" w:line="240" w:lineRule="auto"/>
              <w:jc w:val="both"/>
              <w:rPr>
                <w:rFonts w:ascii="Sylfaen" w:hAnsi="Sylfaen"/>
                <w:i/>
                <w:sz w:val="24"/>
                <w:szCs w:val="24"/>
              </w:rPr>
            </w:pPr>
            <w:r w:rsidRPr="00FC5C72">
              <w:rPr>
                <w:rFonts w:ascii="Sylfaen" w:hAnsi="Sylfaen"/>
                <w:i/>
                <w:sz w:val="24"/>
                <w:szCs w:val="24"/>
              </w:rPr>
              <w:t>იშვიათად</w:t>
            </w:r>
          </w:p>
        </w:tc>
        <w:tc>
          <w:tcPr>
            <w:tcW w:w="804" w:type="pct"/>
          </w:tcPr>
          <w:p w14:paraId="62572EEA" w14:textId="39CCA135"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5EED495C" w14:textId="77777777" w:rsidTr="00E75A03">
        <w:trPr>
          <w:trHeight w:val="360"/>
        </w:trPr>
        <w:tc>
          <w:tcPr>
            <w:tcW w:w="3393" w:type="pct"/>
            <w:gridSpan w:val="3"/>
          </w:tcPr>
          <w:p w14:paraId="7FD11E72" w14:textId="6383B7B1" w:rsidR="00BC2827" w:rsidRPr="00FC5C72" w:rsidRDefault="002C3F8D"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მხედველობის ორგანოს მხრივ</w:t>
            </w:r>
          </w:p>
        </w:tc>
        <w:tc>
          <w:tcPr>
            <w:tcW w:w="804" w:type="pct"/>
          </w:tcPr>
          <w:p w14:paraId="1489FBEB"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0C922DA2"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0D90A269" w14:textId="77777777" w:rsidTr="00E75A03">
        <w:tc>
          <w:tcPr>
            <w:tcW w:w="1386" w:type="pct"/>
          </w:tcPr>
          <w:p w14:paraId="50244063" w14:textId="0E986E55" w:rsidR="00BC2827" w:rsidRPr="00FC5C72" w:rsidRDefault="002C3F8D"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სისხლჩაქცევა თვალის გუგის ქსოვილებში</w:t>
            </w:r>
            <w:r w:rsidR="00BC2827" w:rsidRPr="00FC5C72">
              <w:rPr>
                <w:rFonts w:ascii="Times New Roman" w:hAnsi="Times New Roman"/>
                <w:i/>
                <w:sz w:val="24"/>
                <w:szCs w:val="24"/>
                <w:lang w:val="uz-Cyrl-UZ"/>
              </w:rPr>
              <w:t xml:space="preserve"> (</w:t>
            </w:r>
            <w:r w:rsidRPr="00FC5C72">
              <w:rPr>
                <w:rFonts w:ascii="Sylfaen" w:hAnsi="Sylfaen"/>
                <w:i/>
                <w:sz w:val="24"/>
                <w:szCs w:val="24"/>
              </w:rPr>
              <w:t>მათ შორის კონიუნქტივალური სისხლჩაქცევა</w:t>
            </w:r>
            <w:r w:rsidR="00BC2827" w:rsidRPr="00FC5C72">
              <w:rPr>
                <w:rFonts w:ascii="Times New Roman" w:hAnsi="Times New Roman"/>
                <w:i/>
                <w:sz w:val="24"/>
                <w:szCs w:val="24"/>
                <w:lang w:val="uz-Cyrl-UZ"/>
              </w:rPr>
              <w:t>)</w:t>
            </w:r>
          </w:p>
        </w:tc>
        <w:tc>
          <w:tcPr>
            <w:tcW w:w="1053" w:type="pct"/>
          </w:tcPr>
          <w:p w14:paraId="19C6FA5F" w14:textId="389E446E" w:rsidR="00BC2827" w:rsidRPr="00FC5C72" w:rsidRDefault="002C3F8D"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იშვიათად</w:t>
            </w:r>
          </w:p>
        </w:tc>
        <w:tc>
          <w:tcPr>
            <w:tcW w:w="954" w:type="pct"/>
          </w:tcPr>
          <w:p w14:paraId="017FD147" w14:textId="4402572A"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1F8C3E34" w14:textId="393EDF75"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623B0737" w14:textId="1C55C63D" w:rsidR="00BC2827"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1B038BA5" w14:textId="77777777" w:rsidTr="00E75A03">
        <w:trPr>
          <w:trHeight w:val="360"/>
        </w:trPr>
        <w:tc>
          <w:tcPr>
            <w:tcW w:w="4196" w:type="pct"/>
            <w:gridSpan w:val="4"/>
          </w:tcPr>
          <w:p w14:paraId="00B354A4" w14:textId="50061FBE" w:rsidR="00BC2827" w:rsidRPr="00FC5C72" w:rsidRDefault="002C3F8D"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სისხლძარღვების მხრივ</w:t>
            </w:r>
          </w:p>
        </w:tc>
        <w:tc>
          <w:tcPr>
            <w:tcW w:w="804" w:type="pct"/>
          </w:tcPr>
          <w:p w14:paraId="7AC2B76B" w14:textId="77777777" w:rsidR="00BC2827" w:rsidRPr="00FC5C72" w:rsidRDefault="00BC2827" w:rsidP="00785B18">
            <w:pPr>
              <w:spacing w:after="0" w:line="240" w:lineRule="auto"/>
              <w:jc w:val="both"/>
              <w:rPr>
                <w:rFonts w:ascii="Times New Roman" w:hAnsi="Times New Roman"/>
                <w:b/>
                <w:bCs/>
                <w:i/>
                <w:iCs/>
                <w:sz w:val="24"/>
                <w:szCs w:val="24"/>
                <w:lang w:val="uz-Cyrl-UZ"/>
              </w:rPr>
            </w:pPr>
          </w:p>
        </w:tc>
      </w:tr>
      <w:tr w:rsidR="00FC5C72" w:rsidRPr="00FC5C72" w14:paraId="09132D0A" w14:textId="77777777" w:rsidTr="00E75A03">
        <w:tc>
          <w:tcPr>
            <w:tcW w:w="1386" w:type="pct"/>
          </w:tcPr>
          <w:p w14:paraId="7210FD0C" w14:textId="1EC97279" w:rsidR="00E75A03" w:rsidRPr="00FC5C72" w:rsidRDefault="002C3F8D" w:rsidP="00785B18">
            <w:pPr>
              <w:spacing w:after="0" w:line="240" w:lineRule="auto"/>
              <w:jc w:val="both"/>
              <w:rPr>
                <w:rFonts w:ascii="Sylfaen" w:hAnsi="Sylfaen"/>
                <w:i/>
                <w:sz w:val="24"/>
                <w:szCs w:val="24"/>
              </w:rPr>
            </w:pPr>
            <w:r w:rsidRPr="00FC5C72">
              <w:rPr>
                <w:rFonts w:ascii="Sylfaen" w:hAnsi="Sylfaen"/>
                <w:i/>
                <w:sz w:val="24"/>
                <w:szCs w:val="24"/>
              </w:rPr>
              <w:t>სისხლდენა, ჰემატომა</w:t>
            </w:r>
          </w:p>
        </w:tc>
        <w:tc>
          <w:tcPr>
            <w:tcW w:w="1053" w:type="pct"/>
          </w:tcPr>
          <w:p w14:paraId="10C8B9D6" w14:textId="02770E15"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954" w:type="pct"/>
          </w:tcPr>
          <w:p w14:paraId="7F8DFF9C" w14:textId="105D160C"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0593FEB5" w14:textId="13CFFEB5"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199F231F" w14:textId="755B866A"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515B9E18" w14:textId="77777777" w:rsidTr="00E75A03">
        <w:tc>
          <w:tcPr>
            <w:tcW w:w="1386" w:type="pct"/>
          </w:tcPr>
          <w:p w14:paraId="3FB384C4" w14:textId="6DBEECEB"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ჰიპოტენზია (მათ შორის ჰიპოტენზია ჩატარებული პროცედურის შედეგად)</w:t>
            </w:r>
          </w:p>
        </w:tc>
        <w:tc>
          <w:tcPr>
            <w:tcW w:w="1053" w:type="pct"/>
          </w:tcPr>
          <w:p w14:paraId="64F92C84" w14:textId="75AA548C" w:rsidR="00E75A03" w:rsidRPr="00FC5C72" w:rsidRDefault="002C3F8D"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462DB193" w14:textId="2286393B"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62022446" w14:textId="34D53C78"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07368366" w14:textId="6E1C31F3"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55B8C64E" w14:textId="77777777" w:rsidTr="00E75A03">
        <w:tc>
          <w:tcPr>
            <w:tcW w:w="1386" w:type="pct"/>
          </w:tcPr>
          <w:p w14:paraId="42CCE7D8" w14:textId="31EA9BA6"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ინტრააბდომინალური სისხლდება</w:t>
            </w:r>
          </w:p>
        </w:tc>
        <w:tc>
          <w:tcPr>
            <w:tcW w:w="1053" w:type="pct"/>
          </w:tcPr>
          <w:p w14:paraId="49E71D3D" w14:textId="7BE3D720"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425989D9" w14:textId="368726E9"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000A17C3" w14:textId="1E462365"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804" w:type="pct"/>
          </w:tcPr>
          <w:p w14:paraId="1E3E43B9" w14:textId="44B6446D"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6885F063" w14:textId="77777777" w:rsidTr="00E75A03">
        <w:trPr>
          <w:trHeight w:val="360"/>
        </w:trPr>
        <w:tc>
          <w:tcPr>
            <w:tcW w:w="3393" w:type="pct"/>
            <w:gridSpan w:val="3"/>
          </w:tcPr>
          <w:p w14:paraId="2C9C8B5C" w14:textId="4383AE95" w:rsidR="00BC2827" w:rsidRPr="00FC5C72" w:rsidRDefault="001F56D6"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სასუნთქი სისტემის, გულ-მკერდის ორგანოებისა და შუასაყარის მხრივ</w:t>
            </w:r>
          </w:p>
        </w:tc>
        <w:tc>
          <w:tcPr>
            <w:tcW w:w="804" w:type="pct"/>
          </w:tcPr>
          <w:p w14:paraId="0C9B06EA"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32650537"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10F3D4C3" w14:textId="77777777" w:rsidTr="00E75A03">
        <w:tc>
          <w:tcPr>
            <w:tcW w:w="1386" w:type="pct"/>
          </w:tcPr>
          <w:p w14:paraId="7563E4E5" w14:textId="59F6FC73"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სისხლდენა ცხვირიდან</w:t>
            </w:r>
          </w:p>
        </w:tc>
        <w:tc>
          <w:tcPr>
            <w:tcW w:w="1053" w:type="pct"/>
          </w:tcPr>
          <w:p w14:paraId="14512AB7" w14:textId="4137A49D"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08E07C56" w14:textId="0C43D3A5"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270E9828" w14:textId="26E27EEF"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75EFF0BF" w14:textId="2A6708D5"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ძალიან ხშირად</w:t>
            </w:r>
          </w:p>
        </w:tc>
      </w:tr>
      <w:tr w:rsidR="00FC5C72" w:rsidRPr="00FC5C72" w14:paraId="4CF0690E" w14:textId="77777777" w:rsidTr="00E75A03">
        <w:tc>
          <w:tcPr>
            <w:tcW w:w="1386" w:type="pct"/>
          </w:tcPr>
          <w:p w14:paraId="7535FC9A" w14:textId="3B86F1E6"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სისხლიანი ნახველი</w:t>
            </w:r>
          </w:p>
        </w:tc>
        <w:tc>
          <w:tcPr>
            <w:tcW w:w="1053" w:type="pct"/>
          </w:tcPr>
          <w:p w14:paraId="33288FE4" w14:textId="39A52848"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იშვიათად</w:t>
            </w:r>
          </w:p>
        </w:tc>
        <w:tc>
          <w:tcPr>
            <w:tcW w:w="954" w:type="pct"/>
          </w:tcPr>
          <w:p w14:paraId="3624DFB1" w14:textId="2C4ABA2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3FA6562D" w14:textId="4A031F5F"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6B44E41F" w14:textId="4F881F5A"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3612330B" w14:textId="77777777" w:rsidTr="00E75A03">
        <w:tc>
          <w:tcPr>
            <w:tcW w:w="1386" w:type="pct"/>
          </w:tcPr>
          <w:p w14:paraId="3DFB183A" w14:textId="3D74ECD9"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სისხლდენა სასუნთქი გზებიდან</w:t>
            </w:r>
            <w:r w:rsidR="00E75A03" w:rsidRPr="00FC5C72">
              <w:rPr>
                <w:rFonts w:ascii="Times New Roman" w:hAnsi="Times New Roman"/>
                <w:i/>
                <w:sz w:val="24"/>
                <w:szCs w:val="24"/>
                <w:lang w:val="uz-Cyrl-UZ"/>
              </w:rPr>
              <w:t xml:space="preserve"> </w:t>
            </w:r>
          </w:p>
        </w:tc>
        <w:tc>
          <w:tcPr>
            <w:tcW w:w="1053" w:type="pct"/>
          </w:tcPr>
          <w:p w14:paraId="64DD3040" w14:textId="01803187"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1490F686" w14:textId="441D81FA"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იშვიათად</w:t>
            </w:r>
          </w:p>
        </w:tc>
        <w:tc>
          <w:tcPr>
            <w:tcW w:w="804" w:type="pct"/>
          </w:tcPr>
          <w:p w14:paraId="184E1C0B" w14:textId="45EB217D"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იშვიათად</w:t>
            </w:r>
          </w:p>
        </w:tc>
        <w:tc>
          <w:tcPr>
            <w:tcW w:w="804" w:type="pct"/>
          </w:tcPr>
          <w:p w14:paraId="07968FAA" w14:textId="6DD832D6"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554BED4D" w14:textId="77777777" w:rsidTr="00E75A03">
        <w:trPr>
          <w:trHeight w:val="360"/>
        </w:trPr>
        <w:tc>
          <w:tcPr>
            <w:tcW w:w="3393" w:type="pct"/>
            <w:gridSpan w:val="3"/>
          </w:tcPr>
          <w:p w14:paraId="733CEF01" w14:textId="06432881" w:rsidR="00BC2827" w:rsidRPr="00FC5C72" w:rsidRDefault="001F56D6" w:rsidP="00785B18">
            <w:pPr>
              <w:spacing w:after="0" w:line="240" w:lineRule="auto"/>
              <w:jc w:val="both"/>
              <w:rPr>
                <w:rFonts w:ascii="Sylfaen" w:hAnsi="Sylfaen"/>
                <w:b/>
                <w:bCs/>
                <w:i/>
                <w:sz w:val="24"/>
                <w:szCs w:val="24"/>
              </w:rPr>
            </w:pPr>
            <w:r w:rsidRPr="00FC5C72">
              <w:rPr>
                <w:rFonts w:ascii="Sylfaen" w:hAnsi="Sylfaen"/>
                <w:b/>
                <w:bCs/>
                <w:i/>
                <w:sz w:val="24"/>
                <w:szCs w:val="24"/>
              </w:rPr>
              <w:t>კუჭ-ნაწლავური დარღვევები</w:t>
            </w:r>
          </w:p>
        </w:tc>
        <w:tc>
          <w:tcPr>
            <w:tcW w:w="804" w:type="pct"/>
          </w:tcPr>
          <w:p w14:paraId="03A9FA8B"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2AFD5FAB"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35A3BBFD" w14:textId="77777777" w:rsidTr="00E75A03">
        <w:tc>
          <w:tcPr>
            <w:tcW w:w="1386" w:type="pct"/>
          </w:tcPr>
          <w:p w14:paraId="5CDB7611" w14:textId="2055A229"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გულისრევა</w:t>
            </w:r>
          </w:p>
        </w:tc>
        <w:tc>
          <w:tcPr>
            <w:tcW w:w="1053" w:type="pct"/>
          </w:tcPr>
          <w:p w14:paraId="6A4D54DF" w14:textId="141D0296"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954" w:type="pct"/>
          </w:tcPr>
          <w:p w14:paraId="33BDE207" w14:textId="638E9F43"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1694F96B" w14:textId="73F5AF34"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6C312D4C" w14:textId="02E5BDFE"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006536DD" w14:textId="77777777" w:rsidTr="00E75A03">
        <w:tc>
          <w:tcPr>
            <w:tcW w:w="1386" w:type="pct"/>
          </w:tcPr>
          <w:p w14:paraId="656FAAA8" w14:textId="5E4C0A65"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კუჭ-ნაწლავური სისხლდენა</w:t>
            </w:r>
          </w:p>
        </w:tc>
        <w:tc>
          <w:tcPr>
            <w:tcW w:w="1053" w:type="pct"/>
          </w:tcPr>
          <w:p w14:paraId="07F2CF65" w14:textId="064EEF1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090AF970" w14:textId="63A4628B"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050FE375" w14:textId="2FC2585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4D95A199" w14:textId="5A63D587"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0CFAC1C5" w14:textId="77777777" w:rsidTr="00E75A03">
        <w:tc>
          <w:tcPr>
            <w:tcW w:w="1386" w:type="pct"/>
          </w:tcPr>
          <w:p w14:paraId="45F66C50" w14:textId="7892DE0B"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ჰემოროიდული სისხლდენა</w:t>
            </w:r>
          </w:p>
        </w:tc>
        <w:tc>
          <w:tcPr>
            <w:tcW w:w="1053" w:type="pct"/>
          </w:tcPr>
          <w:p w14:paraId="19A62377" w14:textId="1A0B9F3E"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15AB4B66" w14:textId="79AA64B9" w:rsidR="00E75A03" w:rsidRPr="00FC5C72" w:rsidRDefault="00E75A03" w:rsidP="00785B18">
            <w:pPr>
              <w:spacing w:after="0" w:line="240" w:lineRule="auto"/>
              <w:jc w:val="both"/>
              <w:rPr>
                <w:i/>
                <w:sz w:val="24"/>
                <w:szCs w:val="24"/>
              </w:rPr>
            </w:pPr>
            <w:r w:rsidRPr="00FC5C72">
              <w:rPr>
                <w:rFonts w:ascii="Sylfaen" w:hAnsi="Sylfaen"/>
                <w:bCs/>
                <w:i/>
                <w:sz w:val="24"/>
                <w:szCs w:val="24"/>
              </w:rPr>
              <w:t>არც ისე ხშირად</w:t>
            </w:r>
          </w:p>
        </w:tc>
        <w:tc>
          <w:tcPr>
            <w:tcW w:w="804" w:type="pct"/>
          </w:tcPr>
          <w:p w14:paraId="67784040" w14:textId="6F17B3A3"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0B45B9EF" w14:textId="7A6BC72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1C078239" w14:textId="77777777" w:rsidTr="00E75A03">
        <w:tc>
          <w:tcPr>
            <w:tcW w:w="1386" w:type="pct"/>
          </w:tcPr>
          <w:p w14:paraId="0AE86209" w14:textId="46750CF8"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სისხლდენა პირის ღრუ</w:t>
            </w:r>
            <w:r w:rsidR="008D543E" w:rsidRPr="00FC5C72">
              <w:rPr>
                <w:rFonts w:ascii="Sylfaen" w:hAnsi="Sylfaen"/>
                <w:i/>
                <w:sz w:val="24"/>
                <w:szCs w:val="24"/>
              </w:rPr>
              <w:t>ში</w:t>
            </w:r>
          </w:p>
        </w:tc>
        <w:tc>
          <w:tcPr>
            <w:tcW w:w="1053" w:type="pct"/>
          </w:tcPr>
          <w:p w14:paraId="1005A0FB" w14:textId="5F0A259E" w:rsidR="00E75A03" w:rsidRPr="00FC5C72" w:rsidDel="00656FCE"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42FD6904" w14:textId="3E2F635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0EB2A243" w14:textId="4199FCE1" w:rsidR="00E75A03" w:rsidRPr="00FC5C72" w:rsidDel="00656FCE" w:rsidRDefault="001F56D6" w:rsidP="00785B18">
            <w:pPr>
              <w:spacing w:after="0" w:line="240" w:lineRule="auto"/>
              <w:jc w:val="both"/>
              <w:rPr>
                <w:rFonts w:ascii="Sylfaen" w:hAnsi="Sylfaen"/>
                <w:i/>
                <w:sz w:val="24"/>
                <w:szCs w:val="24"/>
              </w:rPr>
            </w:pPr>
            <w:r w:rsidRPr="00FC5C72">
              <w:rPr>
                <w:rFonts w:ascii="Sylfaen" w:hAnsi="Sylfaen"/>
                <w:i/>
                <w:sz w:val="24"/>
                <w:szCs w:val="24"/>
              </w:rPr>
              <w:t>ხშირად</w:t>
            </w:r>
          </w:p>
        </w:tc>
        <w:tc>
          <w:tcPr>
            <w:tcW w:w="804" w:type="pct"/>
          </w:tcPr>
          <w:p w14:paraId="760795B7" w14:textId="4099FA6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1CFEBC85" w14:textId="77777777" w:rsidTr="00E75A03">
        <w:tc>
          <w:tcPr>
            <w:tcW w:w="1386" w:type="pct"/>
          </w:tcPr>
          <w:p w14:paraId="671B782E" w14:textId="5446365A"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განავალში უცვლელი სისხლის არსებობა</w:t>
            </w:r>
          </w:p>
        </w:tc>
        <w:tc>
          <w:tcPr>
            <w:tcW w:w="1053" w:type="pct"/>
          </w:tcPr>
          <w:p w14:paraId="23DE74C0" w14:textId="02EB2902"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28319CC7" w14:textId="53B175A2"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12584C85" w14:textId="58A23100"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607C5611" w14:textId="24FB1DB4"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038F7EE4" w14:textId="77777777" w:rsidTr="00E75A03">
        <w:tc>
          <w:tcPr>
            <w:tcW w:w="1386" w:type="pct"/>
          </w:tcPr>
          <w:p w14:paraId="7392F4D5" w14:textId="6A7ECD6E" w:rsidR="00E75A03" w:rsidRPr="00FC5C72" w:rsidRDefault="001F56D6" w:rsidP="00785B18">
            <w:pPr>
              <w:spacing w:after="0" w:line="240" w:lineRule="auto"/>
              <w:jc w:val="both"/>
              <w:rPr>
                <w:i/>
                <w:sz w:val="24"/>
                <w:szCs w:val="24"/>
              </w:rPr>
            </w:pPr>
            <w:r w:rsidRPr="00FC5C72">
              <w:rPr>
                <w:rFonts w:ascii="Sylfaen" w:hAnsi="Sylfaen"/>
                <w:i/>
                <w:sz w:val="24"/>
                <w:szCs w:val="24"/>
              </w:rPr>
              <w:t xml:space="preserve">რექტალური სისხლდენა, სისხლდენა ღრძილებიდან </w:t>
            </w:r>
            <w:r w:rsidRPr="00FC5C72">
              <w:rPr>
                <w:i/>
                <w:sz w:val="24"/>
                <w:szCs w:val="24"/>
              </w:rPr>
              <w:t xml:space="preserve"> </w:t>
            </w:r>
          </w:p>
        </w:tc>
        <w:tc>
          <w:tcPr>
            <w:tcW w:w="1053" w:type="pct"/>
          </w:tcPr>
          <w:p w14:paraId="67C78A42" w14:textId="1A6C7E18"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იშვიათად</w:t>
            </w:r>
          </w:p>
        </w:tc>
        <w:tc>
          <w:tcPr>
            <w:tcW w:w="954" w:type="pct"/>
          </w:tcPr>
          <w:p w14:paraId="6D1001FB" w14:textId="0E0F2038"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1A28EBA1" w14:textId="27E24369"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2EE43344" w14:textId="0A1B64E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5521485C" w14:textId="77777777" w:rsidTr="00E75A03">
        <w:tc>
          <w:tcPr>
            <w:tcW w:w="1386" w:type="pct"/>
          </w:tcPr>
          <w:p w14:paraId="3303935F" w14:textId="66E494A9" w:rsidR="00E75A03" w:rsidRPr="00FC5C72" w:rsidRDefault="001F56D6" w:rsidP="00785B18">
            <w:pPr>
              <w:pStyle w:val="ListParagraph"/>
              <w:spacing w:after="0" w:line="240" w:lineRule="auto"/>
              <w:ind w:left="0"/>
              <w:jc w:val="both"/>
              <w:rPr>
                <w:rFonts w:eastAsia="Times New Roman"/>
                <w:i/>
                <w:iCs/>
                <w:sz w:val="24"/>
                <w:szCs w:val="24"/>
                <w:lang w:eastAsia="ru-RU"/>
              </w:rPr>
            </w:pPr>
            <w:r w:rsidRPr="00FC5C72">
              <w:rPr>
                <w:rFonts w:eastAsia="Times New Roman"/>
                <w:i/>
                <w:iCs/>
                <w:sz w:val="24"/>
                <w:szCs w:val="24"/>
                <w:lang w:eastAsia="ru-RU"/>
              </w:rPr>
              <w:t>რეტროპერიტონეალური სისხლდენა</w:t>
            </w:r>
          </w:p>
        </w:tc>
        <w:tc>
          <w:tcPr>
            <w:tcW w:w="1053" w:type="pct"/>
          </w:tcPr>
          <w:p w14:paraId="2B39733D" w14:textId="1D5EEECC"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5606A8D3" w14:textId="37C17FB7"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იშვიათად</w:t>
            </w:r>
          </w:p>
        </w:tc>
        <w:tc>
          <w:tcPr>
            <w:tcW w:w="804" w:type="pct"/>
          </w:tcPr>
          <w:p w14:paraId="5887934C" w14:textId="71F62CC5"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804" w:type="pct"/>
          </w:tcPr>
          <w:p w14:paraId="642AB2FC" w14:textId="52118313"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40491B10" w14:textId="77777777" w:rsidTr="00E75A03">
        <w:trPr>
          <w:trHeight w:val="360"/>
        </w:trPr>
        <w:tc>
          <w:tcPr>
            <w:tcW w:w="3393" w:type="pct"/>
            <w:gridSpan w:val="3"/>
          </w:tcPr>
          <w:p w14:paraId="78E1D0F4" w14:textId="79747D60" w:rsidR="00BC2827" w:rsidRPr="00FC5C72" w:rsidRDefault="00457BA5"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ღვიძლისა და ნაღვლგამომყოფი გზების მხრივ</w:t>
            </w:r>
          </w:p>
        </w:tc>
        <w:tc>
          <w:tcPr>
            <w:tcW w:w="804" w:type="pct"/>
          </w:tcPr>
          <w:p w14:paraId="0A1A1130"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25120B52"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198F6A5F" w14:textId="77777777" w:rsidTr="00E75A03">
        <w:tc>
          <w:tcPr>
            <w:tcW w:w="1386" w:type="pct"/>
          </w:tcPr>
          <w:p w14:paraId="4F9FF939" w14:textId="204C2A6E" w:rsidR="00E75A03" w:rsidRPr="00FC5C72" w:rsidRDefault="00457BA5"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ღვიძლის ფუნქციის ბიოქიმიური მაჩვენებლების ნორმიდან გადაცდენა, ასპარტატამინოტრანსფერაზის დონის მომატევა, სისხლში ტუტე ფოსფატაზის დონის მომატება, სისხლში ბილირუბინის დონის მომატება</w:t>
            </w:r>
          </w:p>
        </w:tc>
        <w:tc>
          <w:tcPr>
            <w:tcW w:w="1053" w:type="pct"/>
          </w:tcPr>
          <w:p w14:paraId="4728D354" w14:textId="67F4732D"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04400C45" w14:textId="42ED143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282362DF" w14:textId="6DEC85CE"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7094DA81" w14:textId="7010B085"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4AA4F7A4" w14:textId="77777777" w:rsidTr="00E75A03">
        <w:tc>
          <w:tcPr>
            <w:tcW w:w="1386" w:type="pct"/>
          </w:tcPr>
          <w:p w14:paraId="2DF07A61" w14:textId="4113C722" w:rsidR="00E75A03" w:rsidRPr="00FC5C72" w:rsidDel="00B5263A" w:rsidRDefault="00457BA5" w:rsidP="00785B18">
            <w:pPr>
              <w:spacing w:after="0" w:line="240" w:lineRule="auto"/>
              <w:jc w:val="both"/>
              <w:rPr>
                <w:rFonts w:ascii="Sylfaen" w:hAnsi="Sylfaen"/>
                <w:i/>
                <w:sz w:val="24"/>
                <w:szCs w:val="24"/>
              </w:rPr>
            </w:pPr>
            <w:r w:rsidRPr="00FC5C72">
              <w:rPr>
                <w:rFonts w:ascii="Sylfaen" w:hAnsi="Sylfaen"/>
                <w:i/>
                <w:sz w:val="24"/>
                <w:szCs w:val="24"/>
              </w:rPr>
              <w:t>გამა-გლუტამილტრანსფერაზას დონის მომატება</w:t>
            </w:r>
          </w:p>
        </w:tc>
        <w:tc>
          <w:tcPr>
            <w:tcW w:w="1053" w:type="pct"/>
          </w:tcPr>
          <w:p w14:paraId="7D93BA18" w14:textId="065E5519"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27572946" w14:textId="2774ACAA" w:rsidR="00E75A03" w:rsidRPr="00FC5C72" w:rsidDel="00B5263A"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55D73453" w14:textId="18C83FF7" w:rsidR="00E75A03" w:rsidRPr="00FC5C72" w:rsidDel="00B5263A"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3BFF4273" w14:textId="5BFD6FBA" w:rsidR="00E75A03" w:rsidRPr="00FC5C72" w:rsidRDefault="00E75A03" w:rsidP="00785B18">
            <w:pPr>
              <w:spacing w:line="240" w:lineRule="auto"/>
              <w:jc w:val="center"/>
              <w:rPr>
                <w:rFonts w:ascii="Times New Roman" w:hAnsi="Times New Roman"/>
                <w:sz w:val="24"/>
                <w:szCs w:val="24"/>
                <w:lang w:val="uz-Cyrl-UZ"/>
              </w:rPr>
            </w:pPr>
            <w:r w:rsidRPr="00FC5C72">
              <w:rPr>
                <w:rFonts w:ascii="Sylfaen" w:hAnsi="Sylfaen"/>
                <w:i/>
                <w:sz w:val="24"/>
                <w:szCs w:val="24"/>
              </w:rPr>
              <w:t>უცნობია</w:t>
            </w:r>
          </w:p>
        </w:tc>
      </w:tr>
      <w:tr w:rsidR="00FC5C72" w:rsidRPr="00FC5C72" w14:paraId="3DC7BD40" w14:textId="77777777" w:rsidTr="00E75A03">
        <w:tc>
          <w:tcPr>
            <w:tcW w:w="1386" w:type="pct"/>
          </w:tcPr>
          <w:p w14:paraId="35BD1B75" w14:textId="7F982198" w:rsidR="00E75A03" w:rsidRPr="00FC5C72" w:rsidDel="00B5263A" w:rsidRDefault="00457BA5" w:rsidP="00785B18">
            <w:pPr>
              <w:spacing w:after="0" w:line="240" w:lineRule="auto"/>
              <w:jc w:val="both"/>
              <w:rPr>
                <w:rFonts w:ascii="Sylfaen" w:hAnsi="Sylfaen"/>
                <w:i/>
                <w:sz w:val="24"/>
                <w:szCs w:val="24"/>
              </w:rPr>
            </w:pPr>
            <w:r w:rsidRPr="00FC5C72">
              <w:rPr>
                <w:rFonts w:ascii="Sylfaen" w:hAnsi="Sylfaen"/>
                <w:i/>
                <w:sz w:val="24"/>
                <w:szCs w:val="24"/>
              </w:rPr>
              <w:t xml:space="preserve">ალანინამინოტრანსფერაზას დონის მომატება </w:t>
            </w:r>
          </w:p>
        </w:tc>
        <w:tc>
          <w:tcPr>
            <w:tcW w:w="1053" w:type="pct"/>
          </w:tcPr>
          <w:p w14:paraId="32D318EB" w14:textId="735789E8"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676FB8CC" w14:textId="7A40227B" w:rsidR="00E75A03" w:rsidRPr="00FC5C72" w:rsidDel="00B5263A"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44116A9D" w14:textId="2C329C19" w:rsidR="00E75A03" w:rsidRPr="00FC5C72" w:rsidDel="00B5263A"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6B33D037" w14:textId="18090DD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 xml:space="preserve">ხშირად </w:t>
            </w:r>
          </w:p>
        </w:tc>
      </w:tr>
      <w:tr w:rsidR="00FC5C72" w:rsidRPr="00FC5C72" w14:paraId="6316BAE0" w14:textId="77777777" w:rsidTr="00E75A03">
        <w:trPr>
          <w:trHeight w:val="360"/>
        </w:trPr>
        <w:tc>
          <w:tcPr>
            <w:tcW w:w="3393" w:type="pct"/>
            <w:gridSpan w:val="3"/>
          </w:tcPr>
          <w:p w14:paraId="32B4100D" w14:textId="554F5282" w:rsidR="00BC2827" w:rsidRPr="00FC5C72" w:rsidRDefault="00457BA5"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კანისა და კანქვეშა ქსოვილების მხრივ</w:t>
            </w:r>
          </w:p>
        </w:tc>
        <w:tc>
          <w:tcPr>
            <w:tcW w:w="804" w:type="pct"/>
          </w:tcPr>
          <w:p w14:paraId="40D8875B"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4DCD9695"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69BCB233" w14:textId="77777777" w:rsidTr="00E75A03">
        <w:tc>
          <w:tcPr>
            <w:tcW w:w="1386" w:type="pct"/>
          </w:tcPr>
          <w:p w14:paraId="7A0C2107" w14:textId="0852AB85"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კანზე გამონაყარი</w:t>
            </w:r>
          </w:p>
        </w:tc>
        <w:tc>
          <w:tcPr>
            <w:tcW w:w="1053" w:type="pct"/>
          </w:tcPr>
          <w:p w14:paraId="3E5BFAD6" w14:textId="6E2AB8A2" w:rsidR="00E75A03" w:rsidRPr="00FC5C72" w:rsidRDefault="00457BA5"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69B2AFCB" w14:textId="4D629FD2"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070EE69A" w14:textId="081A5D99"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61B14BFA" w14:textId="74AD70DD"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272166F5" w14:textId="77777777" w:rsidTr="00E75A03">
        <w:tc>
          <w:tcPr>
            <w:tcW w:w="1386" w:type="pct"/>
          </w:tcPr>
          <w:p w14:paraId="070D3C73" w14:textId="50C4D7F6"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ალოპეცია</w:t>
            </w:r>
          </w:p>
        </w:tc>
        <w:tc>
          <w:tcPr>
            <w:tcW w:w="1053" w:type="pct"/>
          </w:tcPr>
          <w:p w14:paraId="21D4CD2A" w14:textId="51B7EF89"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იშვიათად</w:t>
            </w:r>
          </w:p>
        </w:tc>
        <w:tc>
          <w:tcPr>
            <w:tcW w:w="954" w:type="pct"/>
          </w:tcPr>
          <w:p w14:paraId="7BCF7F5F" w14:textId="445F7FAC"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62566BC7" w14:textId="1BF0712D"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 xml:space="preserve">არც ისე ხშირად </w:t>
            </w:r>
          </w:p>
        </w:tc>
        <w:tc>
          <w:tcPr>
            <w:tcW w:w="804" w:type="pct"/>
          </w:tcPr>
          <w:p w14:paraId="28718C55" w14:textId="0970F756"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692AE3F6" w14:textId="77777777" w:rsidTr="00E75A03">
        <w:tc>
          <w:tcPr>
            <w:tcW w:w="1386" w:type="pct"/>
          </w:tcPr>
          <w:p w14:paraId="477782D2" w14:textId="27FD8646"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მულტიფორმული ერითემა</w:t>
            </w:r>
          </w:p>
        </w:tc>
        <w:tc>
          <w:tcPr>
            <w:tcW w:w="1053" w:type="pct"/>
          </w:tcPr>
          <w:p w14:paraId="4EE28682" w14:textId="394F5388"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634F095C" w14:textId="7E09C53B" w:rsidR="00E75A03" w:rsidRPr="00FC5C72" w:rsidRDefault="001F56D6" w:rsidP="00785B18">
            <w:pPr>
              <w:spacing w:after="0" w:line="240" w:lineRule="auto"/>
              <w:jc w:val="both"/>
              <w:rPr>
                <w:rFonts w:ascii="Sylfaen" w:hAnsi="Sylfaen"/>
                <w:i/>
                <w:sz w:val="24"/>
                <w:szCs w:val="24"/>
              </w:rPr>
            </w:pPr>
            <w:r w:rsidRPr="00FC5C72">
              <w:rPr>
                <w:rFonts w:ascii="Sylfaen" w:hAnsi="Sylfaen"/>
                <w:i/>
                <w:sz w:val="24"/>
                <w:szCs w:val="24"/>
              </w:rPr>
              <w:t>ძალიან იშვიათად</w:t>
            </w:r>
          </w:p>
        </w:tc>
        <w:tc>
          <w:tcPr>
            <w:tcW w:w="804" w:type="pct"/>
          </w:tcPr>
          <w:p w14:paraId="6A26E9FB" w14:textId="0425C06F"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804" w:type="pct"/>
          </w:tcPr>
          <w:p w14:paraId="71EB4109" w14:textId="7BAC0544"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7F656DCC" w14:textId="77777777" w:rsidTr="00E75A03">
        <w:tc>
          <w:tcPr>
            <w:tcW w:w="1386" w:type="pct"/>
          </w:tcPr>
          <w:p w14:paraId="2D785193" w14:textId="1CB6113C"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კანის ვასკულიტი</w:t>
            </w:r>
          </w:p>
        </w:tc>
        <w:tc>
          <w:tcPr>
            <w:tcW w:w="1053" w:type="pct"/>
          </w:tcPr>
          <w:p w14:paraId="7BDE3BE1" w14:textId="629C2F7F"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17AC31E2" w14:textId="2D05973D"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804" w:type="pct"/>
          </w:tcPr>
          <w:p w14:paraId="44026A6B" w14:textId="3017482C"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804" w:type="pct"/>
          </w:tcPr>
          <w:p w14:paraId="2BB95101" w14:textId="35BCB2CA"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2328D0C2" w14:textId="77777777" w:rsidTr="00E75A03">
        <w:trPr>
          <w:trHeight w:val="360"/>
        </w:trPr>
        <w:tc>
          <w:tcPr>
            <w:tcW w:w="3393" w:type="pct"/>
            <w:gridSpan w:val="3"/>
          </w:tcPr>
          <w:p w14:paraId="71323486" w14:textId="4802D54B" w:rsidR="00BC2827" w:rsidRPr="00FC5C72" w:rsidRDefault="00457BA5" w:rsidP="00785B18">
            <w:pPr>
              <w:spacing w:after="0" w:line="240" w:lineRule="auto"/>
              <w:jc w:val="both"/>
              <w:rPr>
                <w:rFonts w:ascii="Sylfaen" w:hAnsi="Sylfaen"/>
                <w:b/>
                <w:bCs/>
                <w:i/>
                <w:sz w:val="24"/>
                <w:szCs w:val="24"/>
              </w:rPr>
            </w:pPr>
            <w:r w:rsidRPr="00FC5C72">
              <w:rPr>
                <w:rFonts w:ascii="Sylfaen" w:hAnsi="Sylfaen"/>
                <w:b/>
                <w:bCs/>
                <w:i/>
                <w:sz w:val="24"/>
                <w:szCs w:val="24"/>
              </w:rPr>
              <w:t>დარღვევები ჩონჩხ-კუნთოვანი და შემაერთებელი  ქსოვილის მხრივ</w:t>
            </w:r>
          </w:p>
        </w:tc>
        <w:tc>
          <w:tcPr>
            <w:tcW w:w="804" w:type="pct"/>
          </w:tcPr>
          <w:p w14:paraId="2E15FDFB" w14:textId="77777777" w:rsidR="00BC2827" w:rsidRPr="00FC5C72" w:rsidRDefault="00BC2827" w:rsidP="00785B18">
            <w:pPr>
              <w:spacing w:after="0" w:line="240" w:lineRule="auto"/>
              <w:jc w:val="both"/>
              <w:rPr>
                <w:rFonts w:ascii="Times New Roman" w:hAnsi="Times New Roman"/>
                <w:b/>
                <w:bCs/>
                <w:i/>
                <w:sz w:val="24"/>
                <w:szCs w:val="24"/>
                <w:lang w:val="uz-Cyrl-UZ"/>
              </w:rPr>
            </w:pPr>
          </w:p>
        </w:tc>
        <w:tc>
          <w:tcPr>
            <w:tcW w:w="804" w:type="pct"/>
          </w:tcPr>
          <w:p w14:paraId="1CBD3F0F" w14:textId="77777777" w:rsidR="00BC2827" w:rsidRPr="00FC5C72" w:rsidRDefault="00BC2827" w:rsidP="00785B18">
            <w:pPr>
              <w:spacing w:after="0" w:line="240" w:lineRule="auto"/>
              <w:jc w:val="both"/>
              <w:rPr>
                <w:rFonts w:ascii="Times New Roman" w:hAnsi="Times New Roman"/>
                <w:b/>
                <w:bCs/>
                <w:i/>
                <w:sz w:val="24"/>
                <w:szCs w:val="24"/>
                <w:lang w:val="uz-Cyrl-UZ"/>
              </w:rPr>
            </w:pPr>
          </w:p>
        </w:tc>
      </w:tr>
      <w:tr w:rsidR="00FC5C72" w:rsidRPr="00FC5C72" w14:paraId="1C2F717A" w14:textId="77777777" w:rsidTr="00E75A03">
        <w:tc>
          <w:tcPr>
            <w:tcW w:w="1386" w:type="pct"/>
          </w:tcPr>
          <w:p w14:paraId="6FDD5FB1" w14:textId="5284D623" w:rsidR="001F56D6"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სისხლდენა კუნთებიდან</w:t>
            </w:r>
          </w:p>
        </w:tc>
        <w:tc>
          <w:tcPr>
            <w:tcW w:w="1053" w:type="pct"/>
          </w:tcPr>
          <w:p w14:paraId="1AACF281" w14:textId="00D83EA5" w:rsidR="001F56D6"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იშვიათად</w:t>
            </w:r>
          </w:p>
        </w:tc>
        <w:tc>
          <w:tcPr>
            <w:tcW w:w="954" w:type="pct"/>
          </w:tcPr>
          <w:p w14:paraId="77DFF33C" w14:textId="19498C56" w:rsidR="001F56D6"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იშვიათად</w:t>
            </w:r>
          </w:p>
        </w:tc>
        <w:tc>
          <w:tcPr>
            <w:tcW w:w="804" w:type="pct"/>
          </w:tcPr>
          <w:p w14:paraId="658343B9" w14:textId="165D94A5" w:rsidR="001F56D6"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77CA0504" w14:textId="53AEBF72" w:rsidR="001F56D6"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01B928D8" w14:textId="77777777" w:rsidTr="00E75A03">
        <w:trPr>
          <w:trHeight w:val="360"/>
        </w:trPr>
        <w:tc>
          <w:tcPr>
            <w:tcW w:w="3393" w:type="pct"/>
            <w:gridSpan w:val="3"/>
          </w:tcPr>
          <w:p w14:paraId="63211515" w14:textId="3900056D" w:rsidR="00BC2827" w:rsidRPr="00FC5C72" w:rsidRDefault="00457BA5"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თირკმელებისა და საშარდე გზების მხრივ</w:t>
            </w:r>
          </w:p>
        </w:tc>
        <w:tc>
          <w:tcPr>
            <w:tcW w:w="804" w:type="pct"/>
          </w:tcPr>
          <w:p w14:paraId="0732B693"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3F92E71D"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058FEC81" w14:textId="77777777" w:rsidTr="00E75A03">
        <w:tc>
          <w:tcPr>
            <w:tcW w:w="1386" w:type="pct"/>
          </w:tcPr>
          <w:p w14:paraId="376089C3" w14:textId="064418A1"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 xml:space="preserve">ჰემატურია </w:t>
            </w:r>
          </w:p>
        </w:tc>
        <w:tc>
          <w:tcPr>
            <w:tcW w:w="1053" w:type="pct"/>
          </w:tcPr>
          <w:p w14:paraId="0D91C687" w14:textId="5FEA4A58"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2C79D481" w14:textId="4CE2B469"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58DA19D3" w14:textId="3E3C6BB3"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421DA000" w14:textId="2777ED60"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2FB93CD8" w14:textId="77777777" w:rsidTr="00E75A03">
        <w:tc>
          <w:tcPr>
            <w:tcW w:w="1386" w:type="pct"/>
          </w:tcPr>
          <w:p w14:paraId="7D70D5CB" w14:textId="77B7426A"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ნეფროპათია, გამოწვეული ანტიკოაგულანტის გამოყენებით</w:t>
            </w:r>
          </w:p>
        </w:tc>
        <w:tc>
          <w:tcPr>
            <w:tcW w:w="1053" w:type="pct"/>
          </w:tcPr>
          <w:p w14:paraId="6CC6D124" w14:textId="6DB41C1A"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225250C9" w14:textId="70BEC616"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804" w:type="pct"/>
          </w:tcPr>
          <w:p w14:paraId="4AF1E87D" w14:textId="72A708D6"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804" w:type="pct"/>
          </w:tcPr>
          <w:p w14:paraId="3D70E977" w14:textId="7965A7C2"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5BF342E0" w14:textId="77777777" w:rsidTr="00E75A03">
        <w:trPr>
          <w:trHeight w:val="360"/>
        </w:trPr>
        <w:tc>
          <w:tcPr>
            <w:tcW w:w="3393" w:type="pct"/>
            <w:gridSpan w:val="3"/>
          </w:tcPr>
          <w:p w14:paraId="705FF04D" w14:textId="7BF9354E" w:rsidR="00BC2827" w:rsidRPr="00FC5C72" w:rsidRDefault="00457BA5" w:rsidP="00785B18">
            <w:pPr>
              <w:spacing w:after="0" w:line="240" w:lineRule="auto"/>
              <w:jc w:val="both"/>
              <w:rPr>
                <w:rFonts w:ascii="Sylfaen" w:hAnsi="Sylfaen"/>
                <w:b/>
                <w:bCs/>
                <w:i/>
                <w:iCs/>
                <w:sz w:val="24"/>
                <w:szCs w:val="24"/>
              </w:rPr>
            </w:pPr>
            <w:r w:rsidRPr="00FC5C72">
              <w:rPr>
                <w:rFonts w:ascii="Sylfaen" w:hAnsi="Sylfaen"/>
                <w:b/>
                <w:bCs/>
                <w:i/>
                <w:iCs/>
                <w:sz w:val="24"/>
                <w:szCs w:val="24"/>
              </w:rPr>
              <w:t>დარღვევები რეპროდუქციული სისტემისა და სარძევე ჯირკვლების მხრივ</w:t>
            </w:r>
          </w:p>
        </w:tc>
        <w:tc>
          <w:tcPr>
            <w:tcW w:w="804" w:type="pct"/>
          </w:tcPr>
          <w:p w14:paraId="2B929EE7"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32E6D12C"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7605D83C" w14:textId="77777777" w:rsidTr="00E75A03">
        <w:tc>
          <w:tcPr>
            <w:tcW w:w="1386" w:type="pct"/>
          </w:tcPr>
          <w:p w14:paraId="1E596691" w14:textId="11E5254D"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პათოლოგიური ვაგინალური სისხლდენები, უროგენიტალური სისხლდენები</w:t>
            </w:r>
          </w:p>
        </w:tc>
        <w:tc>
          <w:tcPr>
            <w:tcW w:w="1053" w:type="pct"/>
          </w:tcPr>
          <w:p w14:paraId="66C07E53" w14:textId="0935239B"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01BB1218" w14:textId="5E434CB5"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00B1D154" w14:textId="58E92138"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40B8363F" w14:textId="00E7ACE0"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ძალიან ხშირად</w:t>
            </w:r>
            <w:r w:rsidR="00E75A03" w:rsidRPr="00FC5C72">
              <w:rPr>
                <w:rFonts w:ascii="Times New Roman" w:hAnsi="Times New Roman"/>
                <w:i/>
                <w:sz w:val="24"/>
                <w:szCs w:val="24"/>
                <w:vertAlign w:val="superscript"/>
                <w:lang w:val="uz-Cyrl-UZ"/>
              </w:rPr>
              <w:t>§</w:t>
            </w:r>
          </w:p>
        </w:tc>
      </w:tr>
      <w:tr w:rsidR="00FC5C72" w:rsidRPr="00FC5C72" w14:paraId="1A732DBE" w14:textId="77777777" w:rsidTr="00E75A03">
        <w:trPr>
          <w:trHeight w:val="360"/>
        </w:trPr>
        <w:tc>
          <w:tcPr>
            <w:tcW w:w="3393" w:type="pct"/>
            <w:gridSpan w:val="3"/>
          </w:tcPr>
          <w:p w14:paraId="59455C39" w14:textId="0FC95F3B" w:rsidR="00BC2827" w:rsidRPr="00FC5C72" w:rsidRDefault="00457BA5" w:rsidP="00785B18">
            <w:pPr>
              <w:spacing w:after="0" w:line="240" w:lineRule="auto"/>
              <w:jc w:val="both"/>
              <w:rPr>
                <w:rFonts w:ascii="Sylfaen" w:hAnsi="Sylfaen"/>
                <w:b/>
                <w:bCs/>
                <w:i/>
                <w:sz w:val="24"/>
                <w:szCs w:val="24"/>
              </w:rPr>
            </w:pPr>
            <w:r w:rsidRPr="00FC5C72">
              <w:rPr>
                <w:rFonts w:ascii="Sylfaen" w:hAnsi="Sylfaen"/>
                <w:b/>
                <w:bCs/>
                <w:i/>
                <w:sz w:val="24"/>
                <w:szCs w:val="24"/>
              </w:rPr>
              <w:t>ზოგადი დარღვევები და რეაქციები შეყვანის ადგილზე</w:t>
            </w:r>
          </w:p>
        </w:tc>
        <w:tc>
          <w:tcPr>
            <w:tcW w:w="804" w:type="pct"/>
          </w:tcPr>
          <w:p w14:paraId="54EFDC3C"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10E0C85C"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5AA7E8B6" w14:textId="77777777" w:rsidTr="00E75A03">
        <w:tc>
          <w:tcPr>
            <w:tcW w:w="1386" w:type="pct"/>
          </w:tcPr>
          <w:p w14:paraId="4FAE8DF7" w14:textId="658E7480"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სისხლდენა შეყვანის ადგილზე</w:t>
            </w:r>
          </w:p>
        </w:tc>
        <w:tc>
          <w:tcPr>
            <w:tcW w:w="1053" w:type="pct"/>
          </w:tcPr>
          <w:p w14:paraId="7689228E" w14:textId="1F6D7AEC"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05FF9C06" w14:textId="66CFE8A8"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3A113E2A" w14:textId="6D19CAAA"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428A9CA3" w14:textId="769484A4"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5C4B2613" w14:textId="77777777" w:rsidTr="00E75A03">
        <w:trPr>
          <w:trHeight w:val="360"/>
        </w:trPr>
        <w:tc>
          <w:tcPr>
            <w:tcW w:w="3393" w:type="pct"/>
            <w:gridSpan w:val="3"/>
          </w:tcPr>
          <w:p w14:paraId="7697839A" w14:textId="426A8428" w:rsidR="00BC2827" w:rsidRPr="00FC5C72" w:rsidRDefault="00457BA5" w:rsidP="00785B18">
            <w:pPr>
              <w:spacing w:after="0" w:line="240" w:lineRule="auto"/>
              <w:jc w:val="both"/>
              <w:rPr>
                <w:rFonts w:ascii="Sylfaen" w:hAnsi="Sylfaen"/>
                <w:b/>
                <w:bCs/>
                <w:i/>
                <w:iCs/>
                <w:sz w:val="24"/>
                <w:szCs w:val="24"/>
              </w:rPr>
            </w:pPr>
            <w:r w:rsidRPr="00FC5C72">
              <w:rPr>
                <w:rFonts w:ascii="Sylfaen" w:hAnsi="Sylfaen"/>
                <w:b/>
                <w:bCs/>
                <w:i/>
                <w:iCs/>
                <w:sz w:val="24"/>
                <w:szCs w:val="24"/>
              </w:rPr>
              <w:t>ლაბორატორიული და ინსტრუმენტული მონაცემები</w:t>
            </w:r>
          </w:p>
        </w:tc>
        <w:tc>
          <w:tcPr>
            <w:tcW w:w="804" w:type="pct"/>
          </w:tcPr>
          <w:p w14:paraId="2DA0A3F5"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06BEAEF8"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72F3B778" w14:textId="77777777" w:rsidTr="00E75A03">
        <w:tc>
          <w:tcPr>
            <w:tcW w:w="1386" w:type="pct"/>
          </w:tcPr>
          <w:p w14:paraId="4A0099C4" w14:textId="51F0670C"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დადებითი სინჯი ფარულ სისხლდენაზე</w:t>
            </w:r>
          </w:p>
        </w:tc>
        <w:tc>
          <w:tcPr>
            <w:tcW w:w="1053" w:type="pct"/>
          </w:tcPr>
          <w:p w14:paraId="1417DF81" w14:textId="7C491B2F"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72E60F88" w14:textId="396AC914"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7EEED308" w14:textId="29E13F07"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2B22D936" w14:textId="46684433"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r w:rsidR="00FC5C72" w:rsidRPr="00FC5C72" w14:paraId="3E36F933" w14:textId="77777777" w:rsidTr="00E75A03">
        <w:trPr>
          <w:trHeight w:val="360"/>
        </w:trPr>
        <w:tc>
          <w:tcPr>
            <w:tcW w:w="3393" w:type="pct"/>
            <w:gridSpan w:val="3"/>
          </w:tcPr>
          <w:p w14:paraId="0AD2620B" w14:textId="125CA410" w:rsidR="00BC2827" w:rsidRPr="00FC5C72" w:rsidRDefault="00457BA5" w:rsidP="00785B18">
            <w:pPr>
              <w:spacing w:after="0" w:line="240" w:lineRule="auto"/>
              <w:jc w:val="both"/>
              <w:rPr>
                <w:rFonts w:ascii="Sylfaen" w:hAnsi="Sylfaen"/>
                <w:b/>
                <w:bCs/>
                <w:i/>
                <w:iCs/>
                <w:sz w:val="24"/>
                <w:szCs w:val="24"/>
              </w:rPr>
            </w:pPr>
            <w:r w:rsidRPr="00FC5C72">
              <w:rPr>
                <w:rFonts w:ascii="Sylfaen" w:hAnsi="Sylfaen"/>
                <w:b/>
                <w:bCs/>
                <w:i/>
                <w:iCs/>
                <w:sz w:val="24"/>
                <w:szCs w:val="24"/>
              </w:rPr>
              <w:t>ტრავმები, ინტოქსიკ</w:t>
            </w:r>
            <w:r w:rsidR="008D543E" w:rsidRPr="00FC5C72">
              <w:rPr>
                <w:rFonts w:ascii="Sylfaen" w:hAnsi="Sylfaen"/>
                <w:b/>
                <w:bCs/>
                <w:i/>
                <w:iCs/>
                <w:sz w:val="24"/>
                <w:szCs w:val="24"/>
              </w:rPr>
              <w:t>ა</w:t>
            </w:r>
            <w:r w:rsidRPr="00FC5C72">
              <w:rPr>
                <w:rFonts w:ascii="Sylfaen" w:hAnsi="Sylfaen"/>
                <w:b/>
                <w:bCs/>
                <w:i/>
                <w:iCs/>
                <w:sz w:val="24"/>
                <w:szCs w:val="24"/>
              </w:rPr>
              <w:t>ცია და პროცედურების გართულებები</w:t>
            </w:r>
          </w:p>
        </w:tc>
        <w:tc>
          <w:tcPr>
            <w:tcW w:w="804" w:type="pct"/>
          </w:tcPr>
          <w:p w14:paraId="440805C1" w14:textId="77777777" w:rsidR="00BC2827" w:rsidRPr="00FC5C72" w:rsidRDefault="00BC2827" w:rsidP="00785B18">
            <w:pPr>
              <w:spacing w:after="0" w:line="240" w:lineRule="auto"/>
              <w:jc w:val="both"/>
              <w:rPr>
                <w:rFonts w:ascii="Times New Roman" w:hAnsi="Times New Roman"/>
                <w:i/>
                <w:sz w:val="24"/>
                <w:szCs w:val="24"/>
                <w:lang w:val="uz-Cyrl-UZ"/>
              </w:rPr>
            </w:pPr>
          </w:p>
        </w:tc>
        <w:tc>
          <w:tcPr>
            <w:tcW w:w="804" w:type="pct"/>
          </w:tcPr>
          <w:p w14:paraId="02D19B14" w14:textId="77777777" w:rsidR="00BC2827" w:rsidRPr="00FC5C72" w:rsidRDefault="00BC2827" w:rsidP="00785B18">
            <w:pPr>
              <w:spacing w:after="0" w:line="240" w:lineRule="auto"/>
              <w:jc w:val="both"/>
              <w:rPr>
                <w:rFonts w:ascii="Times New Roman" w:hAnsi="Times New Roman"/>
                <w:i/>
                <w:sz w:val="24"/>
                <w:szCs w:val="24"/>
                <w:lang w:val="uz-Cyrl-UZ"/>
              </w:rPr>
            </w:pPr>
          </w:p>
        </w:tc>
      </w:tr>
      <w:tr w:rsidR="00FC5C72" w:rsidRPr="00FC5C72" w14:paraId="63F74879" w14:textId="77777777" w:rsidTr="00E75A03">
        <w:trPr>
          <w:trHeight w:val="413"/>
        </w:trPr>
        <w:tc>
          <w:tcPr>
            <w:tcW w:w="1386" w:type="pct"/>
          </w:tcPr>
          <w:p w14:paraId="5E02F670" w14:textId="1C721120" w:rsidR="00E75A03" w:rsidRPr="00FC5C72" w:rsidRDefault="00457BA5" w:rsidP="00785B18">
            <w:pPr>
              <w:spacing w:after="0" w:line="240" w:lineRule="auto"/>
              <w:jc w:val="both"/>
              <w:rPr>
                <w:rFonts w:ascii="Sylfaen" w:hAnsi="Sylfaen"/>
                <w:i/>
                <w:sz w:val="24"/>
                <w:szCs w:val="24"/>
              </w:rPr>
            </w:pPr>
            <w:r w:rsidRPr="00FC5C72">
              <w:rPr>
                <w:rFonts w:ascii="Sylfaen" w:hAnsi="Sylfaen"/>
                <w:i/>
                <w:sz w:val="24"/>
                <w:szCs w:val="24"/>
              </w:rPr>
              <w:t>სისხლჩაქცევა</w:t>
            </w:r>
          </w:p>
        </w:tc>
        <w:tc>
          <w:tcPr>
            <w:tcW w:w="1053" w:type="pct"/>
          </w:tcPr>
          <w:p w14:paraId="32B52086" w14:textId="4669EAC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954" w:type="pct"/>
          </w:tcPr>
          <w:p w14:paraId="69AD757E" w14:textId="401EAF70"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3E81412F" w14:textId="6C3B2234"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c>
          <w:tcPr>
            <w:tcW w:w="804" w:type="pct"/>
          </w:tcPr>
          <w:p w14:paraId="7FAE7CD1" w14:textId="0500813C"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3CFAA2A5" w14:textId="77777777" w:rsidTr="00E75A03">
        <w:tc>
          <w:tcPr>
            <w:tcW w:w="1386" w:type="pct"/>
          </w:tcPr>
          <w:p w14:paraId="20A42F30" w14:textId="1B902D66" w:rsidR="00E75A03" w:rsidRPr="00FC5C72" w:rsidRDefault="0056775E" w:rsidP="00785B18">
            <w:pPr>
              <w:spacing w:after="0" w:line="240" w:lineRule="auto"/>
              <w:jc w:val="both"/>
              <w:rPr>
                <w:i/>
                <w:sz w:val="24"/>
                <w:szCs w:val="24"/>
              </w:rPr>
            </w:pPr>
            <w:r w:rsidRPr="00FC5C72">
              <w:rPr>
                <w:rFonts w:ascii="Sylfaen" w:hAnsi="Sylfaen"/>
                <w:i/>
                <w:sz w:val="24"/>
                <w:szCs w:val="24"/>
              </w:rPr>
              <w:t>სისხლდენა პროცედურის შემდეგ (მათ შორის ჰემატომა პროცედურის შემდეგ, სისხლდენა ჭრილობიდან, ჰემატომა სისხლძარღვის ჩხვლეტის ადგილზე და სისხლდენა კათეტერის შეყვანის ადგილზე), გამონადენი ჭრილობიდან, სისხლდენა ჭრილობიდან (მათ შორის ჰემატომა გაჭრის ადგილზე), ინტრაოპერაციული სისხლდენა</w:t>
            </w:r>
            <w:r w:rsidRPr="00FC5C72">
              <w:rPr>
                <w:i/>
                <w:sz w:val="24"/>
                <w:szCs w:val="24"/>
              </w:rPr>
              <w:t xml:space="preserve"> </w:t>
            </w:r>
          </w:p>
        </w:tc>
        <w:tc>
          <w:tcPr>
            <w:tcW w:w="1053" w:type="pct"/>
          </w:tcPr>
          <w:p w14:paraId="55B3071F" w14:textId="304F06D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954" w:type="pct"/>
          </w:tcPr>
          <w:p w14:paraId="5025236D" w14:textId="47E947AF"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3BCCED68" w14:textId="7088B996"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3FBC7C55" w14:textId="3337A3C1"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ხშირად</w:t>
            </w:r>
          </w:p>
        </w:tc>
      </w:tr>
      <w:tr w:rsidR="00FC5C72" w:rsidRPr="00FC5C72" w14:paraId="7305AC0F" w14:textId="77777777" w:rsidTr="00E75A03">
        <w:tc>
          <w:tcPr>
            <w:tcW w:w="1386" w:type="pct"/>
          </w:tcPr>
          <w:p w14:paraId="763E5EA4" w14:textId="54EED961" w:rsidR="00E75A03" w:rsidRPr="00FC5C72" w:rsidRDefault="0056775E" w:rsidP="00785B18">
            <w:pPr>
              <w:spacing w:after="0" w:line="240" w:lineRule="auto"/>
              <w:jc w:val="both"/>
              <w:rPr>
                <w:rFonts w:ascii="Sylfaen" w:hAnsi="Sylfaen"/>
                <w:i/>
                <w:sz w:val="24"/>
                <w:szCs w:val="24"/>
              </w:rPr>
            </w:pPr>
            <w:r w:rsidRPr="00FC5C72">
              <w:rPr>
                <w:rFonts w:ascii="Sylfaen" w:hAnsi="Sylfaen"/>
                <w:i/>
                <w:sz w:val="24"/>
                <w:szCs w:val="24"/>
              </w:rPr>
              <w:t>ტრავმული სისხლდენა</w:t>
            </w:r>
          </w:p>
        </w:tc>
        <w:tc>
          <w:tcPr>
            <w:tcW w:w="1053" w:type="pct"/>
          </w:tcPr>
          <w:p w14:paraId="51C1BD73" w14:textId="275C5AA8"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c>
          <w:tcPr>
            <w:tcW w:w="954" w:type="pct"/>
          </w:tcPr>
          <w:p w14:paraId="108DD8FF" w14:textId="5BF70045"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2CCA578D" w14:textId="76098AAA" w:rsidR="00E75A03" w:rsidRPr="00FC5C72" w:rsidRDefault="00E75A03" w:rsidP="00785B18">
            <w:pPr>
              <w:spacing w:after="0" w:line="240" w:lineRule="auto"/>
              <w:jc w:val="both"/>
              <w:rPr>
                <w:rFonts w:ascii="Times New Roman" w:hAnsi="Times New Roman"/>
                <w:i/>
                <w:sz w:val="24"/>
                <w:szCs w:val="24"/>
                <w:lang w:val="uz-Cyrl-UZ"/>
              </w:rPr>
            </w:pPr>
            <w:r w:rsidRPr="00FC5C72">
              <w:rPr>
                <w:rFonts w:ascii="Sylfaen" w:hAnsi="Sylfaen"/>
                <w:bCs/>
                <w:i/>
                <w:sz w:val="24"/>
                <w:szCs w:val="24"/>
              </w:rPr>
              <w:t>არც ისე ხშირად</w:t>
            </w:r>
          </w:p>
        </w:tc>
        <w:tc>
          <w:tcPr>
            <w:tcW w:w="804" w:type="pct"/>
          </w:tcPr>
          <w:p w14:paraId="698D7671" w14:textId="574786A9" w:rsidR="00E75A03" w:rsidRPr="00FC5C72" w:rsidRDefault="001F56D6" w:rsidP="00785B18">
            <w:pPr>
              <w:spacing w:after="0" w:line="240" w:lineRule="auto"/>
              <w:jc w:val="both"/>
              <w:rPr>
                <w:rFonts w:ascii="Times New Roman" w:hAnsi="Times New Roman"/>
                <w:i/>
                <w:sz w:val="24"/>
                <w:szCs w:val="24"/>
                <w:lang w:val="uz-Cyrl-UZ"/>
              </w:rPr>
            </w:pPr>
            <w:r w:rsidRPr="00FC5C72">
              <w:rPr>
                <w:rFonts w:ascii="Sylfaen" w:hAnsi="Sylfaen"/>
                <w:i/>
                <w:sz w:val="24"/>
                <w:szCs w:val="24"/>
              </w:rPr>
              <w:t>უცნობია</w:t>
            </w:r>
          </w:p>
        </w:tc>
      </w:tr>
    </w:tbl>
    <w:p w14:paraId="0D0017D8" w14:textId="13AB9AFE" w:rsidR="00BC2827" w:rsidRPr="00FC5C72" w:rsidRDefault="0056775E" w:rsidP="00785B18">
      <w:pPr>
        <w:spacing w:after="0" w:line="240" w:lineRule="auto"/>
        <w:jc w:val="both"/>
        <w:rPr>
          <w:b/>
          <w:bCs/>
          <w:i/>
          <w:iCs/>
          <w:sz w:val="24"/>
          <w:szCs w:val="24"/>
        </w:rPr>
      </w:pPr>
      <w:r w:rsidRPr="00FC5C72">
        <w:rPr>
          <w:b/>
          <w:bCs/>
          <w:i/>
          <w:iCs/>
          <w:sz w:val="24"/>
          <w:szCs w:val="24"/>
        </w:rPr>
        <w:t xml:space="preserve">* </w:t>
      </w:r>
      <w:r w:rsidRPr="00FC5C72">
        <w:rPr>
          <w:rFonts w:ascii="Times New Roman" w:eastAsia="MS Mincho" w:hAnsi="Times New Roman"/>
          <w:sz w:val="24"/>
          <w:szCs w:val="24"/>
          <w:lang w:val="uz-Cyrl-UZ"/>
        </w:rPr>
        <w:t>CV185057</w:t>
      </w:r>
      <w:r w:rsidRPr="00FC5C72">
        <w:rPr>
          <w:rFonts w:eastAsia="MS Mincho"/>
          <w:sz w:val="24"/>
          <w:szCs w:val="24"/>
        </w:rPr>
        <w:t xml:space="preserve">-ში (ვთე-ის ხანგრძლივი პროფილაქტიკა) გენერალიზებული ქავილის შემთხვევები არ იყო აღნიშნული. </w:t>
      </w:r>
    </w:p>
    <w:p w14:paraId="4764F69D" w14:textId="759F466F" w:rsidR="002B0096" w:rsidRPr="00FC5C72" w:rsidRDefault="000D3E46" w:rsidP="00785B18">
      <w:pPr>
        <w:spacing w:after="0" w:line="240" w:lineRule="auto"/>
        <w:jc w:val="both"/>
        <w:rPr>
          <w:rFonts w:eastAsia="Times New Roman"/>
          <w:sz w:val="24"/>
          <w:szCs w:val="24"/>
          <w:lang w:eastAsia="ru-RU"/>
        </w:rPr>
      </w:pPr>
      <w:r w:rsidRPr="00FC5C72">
        <w:rPr>
          <w:rFonts w:ascii="Times New Roman" w:hAnsi="Times New Roman"/>
          <w:sz w:val="24"/>
          <w:szCs w:val="24"/>
          <w:vertAlign w:val="superscript"/>
        </w:rPr>
        <w:t>†</w:t>
      </w:r>
      <w:r w:rsidRPr="00FC5C72">
        <w:rPr>
          <w:rFonts w:eastAsia="Times New Roman"/>
          <w:sz w:val="24"/>
          <w:szCs w:val="24"/>
          <w:lang w:eastAsia="ru-RU"/>
        </w:rPr>
        <w:t xml:space="preserve">ტერმინი </w:t>
      </w:r>
      <w:r w:rsidR="00695E19" w:rsidRPr="00FC5C72">
        <w:rPr>
          <w:rFonts w:eastAsia="Times New Roman"/>
          <w:sz w:val="24"/>
          <w:szCs w:val="24"/>
          <w:lang w:eastAsia="ru-RU"/>
        </w:rPr>
        <w:t xml:space="preserve">“სისხლჩაქცევა თავის ტვინში“ აერთიანებს ყველა სახის </w:t>
      </w:r>
      <w:r w:rsidR="00B0745D" w:rsidRPr="00FC5C72">
        <w:rPr>
          <w:sz w:val="24"/>
          <w:szCs w:val="24"/>
        </w:rPr>
        <w:t xml:space="preserve">ქალასშიდა </w:t>
      </w:r>
      <w:r w:rsidR="00695E19" w:rsidRPr="00FC5C72">
        <w:rPr>
          <w:rFonts w:eastAsia="Times New Roman"/>
          <w:sz w:val="24"/>
          <w:szCs w:val="24"/>
          <w:lang w:eastAsia="ru-RU"/>
        </w:rPr>
        <w:t xml:space="preserve">ან ინტრასპინალურ სისხლდენას (მაგალითად, ჰემორაგიული ინსულტი ან </w:t>
      </w:r>
      <w:r w:rsidR="002B0096" w:rsidRPr="00FC5C72">
        <w:rPr>
          <w:rFonts w:eastAsia="Times New Roman"/>
          <w:sz w:val="24"/>
          <w:szCs w:val="24"/>
          <w:lang w:eastAsia="ru-RU"/>
        </w:rPr>
        <w:t>ბაზალურ ბირთვში, სისხლჩაქცევა ნათხემში, სუბდურალური ან პარკუჭშიდა სისხლდენა</w:t>
      </w:r>
      <w:r w:rsidR="00695E19" w:rsidRPr="00FC5C72">
        <w:rPr>
          <w:rFonts w:eastAsia="Times New Roman"/>
          <w:sz w:val="24"/>
          <w:szCs w:val="24"/>
          <w:lang w:eastAsia="ru-RU"/>
        </w:rPr>
        <w:t>)</w:t>
      </w:r>
      <w:r w:rsidR="002B0096" w:rsidRPr="00FC5C72">
        <w:rPr>
          <w:rFonts w:eastAsia="Times New Roman"/>
          <w:sz w:val="24"/>
          <w:szCs w:val="24"/>
          <w:lang w:eastAsia="ru-RU"/>
        </w:rPr>
        <w:t>.</w:t>
      </w:r>
    </w:p>
    <w:p w14:paraId="7A5E0C67" w14:textId="7A8B98F1" w:rsidR="0056775E" w:rsidRPr="00FC5C72" w:rsidRDefault="0056775E" w:rsidP="00785B18">
      <w:pPr>
        <w:spacing w:after="0" w:line="240" w:lineRule="auto"/>
        <w:jc w:val="both"/>
        <w:rPr>
          <w:rFonts w:eastAsia="MS Mincho"/>
          <w:sz w:val="24"/>
          <w:szCs w:val="24"/>
        </w:rPr>
      </w:pPr>
      <w:r w:rsidRPr="00FC5C72">
        <w:rPr>
          <w:rFonts w:ascii="Times New Roman" w:eastAsia="MS Mincho" w:hAnsi="Times New Roman"/>
          <w:sz w:val="24"/>
          <w:szCs w:val="24"/>
          <w:lang w:val="uz-Cyrl-UZ"/>
        </w:rPr>
        <w:t>‡</w:t>
      </w:r>
      <w:r w:rsidRPr="00FC5C72">
        <w:rPr>
          <w:rFonts w:eastAsia="MS Mincho"/>
          <w:sz w:val="24"/>
          <w:szCs w:val="24"/>
        </w:rPr>
        <w:t xml:space="preserve"> მოიცავს ანაფილაქსიურ რეაქციას</w:t>
      </w:r>
      <w:r w:rsidR="00FE5F13" w:rsidRPr="00FC5C72">
        <w:rPr>
          <w:rFonts w:eastAsia="MS Mincho"/>
          <w:sz w:val="24"/>
          <w:szCs w:val="24"/>
        </w:rPr>
        <w:t>, ჰიპერმგრძნობელობას პრეპარატის მიმართ და ჰიპერმგრძნობელობას.</w:t>
      </w:r>
    </w:p>
    <w:p w14:paraId="58774AF6" w14:textId="6D02C14B" w:rsidR="00FE5F13" w:rsidRPr="00FC5C72" w:rsidRDefault="00FE5F13" w:rsidP="00785B18">
      <w:pPr>
        <w:spacing w:after="0" w:line="240" w:lineRule="auto"/>
        <w:jc w:val="both"/>
        <w:rPr>
          <w:rFonts w:eastAsia="MS Mincho"/>
          <w:sz w:val="24"/>
          <w:szCs w:val="24"/>
        </w:rPr>
      </w:pPr>
      <w:r w:rsidRPr="00FC5C72">
        <w:rPr>
          <w:rFonts w:ascii="Times New Roman" w:eastAsia="MS Mincho" w:hAnsi="Times New Roman"/>
          <w:sz w:val="24"/>
          <w:szCs w:val="24"/>
          <w:lang w:val="uz-Cyrl-UZ"/>
        </w:rPr>
        <w:t>§</w:t>
      </w:r>
      <w:r w:rsidRPr="00FC5C72">
        <w:rPr>
          <w:rFonts w:eastAsia="MS Mincho"/>
          <w:sz w:val="24"/>
          <w:szCs w:val="24"/>
        </w:rPr>
        <w:t xml:space="preserve"> მოიცავს ძლიერ მენსტრუალურ სისხლდენას, სისხლდენას მენსტრუაციის შორის და ვაგინალურ სისხლდენას. </w:t>
      </w:r>
    </w:p>
    <w:p w14:paraId="1DBE3F07" w14:textId="2684AEDC" w:rsidR="00FE5F13" w:rsidRPr="00FC5C72" w:rsidRDefault="00FE5F13" w:rsidP="00785B18">
      <w:pPr>
        <w:spacing w:after="0" w:line="240" w:lineRule="auto"/>
        <w:jc w:val="both"/>
        <w:rPr>
          <w:rFonts w:eastAsia="MS Mincho"/>
          <w:sz w:val="24"/>
          <w:szCs w:val="24"/>
        </w:rPr>
      </w:pPr>
    </w:p>
    <w:p w14:paraId="4B34F40E" w14:textId="414C193B" w:rsidR="00FE5F13" w:rsidRPr="00FC5C72" w:rsidRDefault="00FE5F13" w:rsidP="00785B18">
      <w:pPr>
        <w:spacing w:after="0" w:line="240" w:lineRule="auto"/>
        <w:jc w:val="both"/>
        <w:rPr>
          <w:rFonts w:eastAsia="Times New Roman"/>
          <w:sz w:val="24"/>
          <w:szCs w:val="24"/>
          <w:u w:val="single"/>
          <w:lang w:eastAsia="ru-RU"/>
        </w:rPr>
      </w:pPr>
      <w:r w:rsidRPr="00FC5C72">
        <w:rPr>
          <w:rFonts w:eastAsia="MS Mincho"/>
          <w:sz w:val="24"/>
          <w:szCs w:val="24"/>
          <w:u w:val="single"/>
        </w:rPr>
        <w:t>ბავშვები</w:t>
      </w:r>
    </w:p>
    <w:p w14:paraId="57035AE2" w14:textId="539E933C" w:rsidR="00FE5F13" w:rsidRPr="00FC5C72" w:rsidRDefault="00FE5F13" w:rsidP="00785B18">
      <w:pPr>
        <w:spacing w:after="0" w:line="240" w:lineRule="auto"/>
        <w:jc w:val="both"/>
        <w:rPr>
          <w:rFonts w:eastAsia="Times New Roman"/>
          <w:sz w:val="24"/>
          <w:szCs w:val="24"/>
          <w:lang w:eastAsia="ru-RU"/>
        </w:rPr>
      </w:pPr>
      <w:r w:rsidRPr="00FC5C72">
        <w:rPr>
          <w:rFonts w:eastAsia="Times New Roman"/>
          <w:sz w:val="24"/>
          <w:szCs w:val="24"/>
          <w:lang w:eastAsia="ru-RU"/>
        </w:rPr>
        <w:t>აპიქსაბანის უსაფრთხოება შეისწავ</w:t>
      </w:r>
      <w:r w:rsidR="008D543E" w:rsidRPr="00FC5C72">
        <w:rPr>
          <w:rFonts w:eastAsia="Times New Roman"/>
          <w:sz w:val="24"/>
          <w:szCs w:val="24"/>
          <w:lang w:eastAsia="ru-RU"/>
        </w:rPr>
        <w:t>ლ</w:t>
      </w:r>
      <w:r w:rsidRPr="00FC5C72">
        <w:rPr>
          <w:rFonts w:eastAsia="Times New Roman"/>
          <w:sz w:val="24"/>
          <w:szCs w:val="24"/>
          <w:lang w:eastAsia="ru-RU"/>
        </w:rPr>
        <w:t xml:space="preserve">ეს </w:t>
      </w:r>
      <w:r w:rsidRPr="00FC5C72">
        <w:rPr>
          <w:rFonts w:eastAsia="Times New Roman"/>
          <w:sz w:val="24"/>
          <w:szCs w:val="24"/>
          <w:lang w:val="en-US" w:eastAsia="ru-RU"/>
        </w:rPr>
        <w:t>I</w:t>
      </w:r>
      <w:r w:rsidRPr="00FC5C72">
        <w:rPr>
          <w:rFonts w:eastAsia="Times New Roman"/>
          <w:sz w:val="24"/>
          <w:szCs w:val="24"/>
          <w:lang w:eastAsia="ru-RU"/>
        </w:rPr>
        <w:t xml:space="preserve"> ფაზის ერთ კლინიკურ კვლევაში და </w:t>
      </w:r>
      <w:r w:rsidRPr="00FC5C72">
        <w:rPr>
          <w:rFonts w:eastAsia="Times New Roman"/>
          <w:sz w:val="24"/>
          <w:szCs w:val="24"/>
          <w:lang w:val="en-US" w:eastAsia="ru-RU"/>
        </w:rPr>
        <w:t xml:space="preserve">II </w:t>
      </w:r>
      <w:r w:rsidRPr="00FC5C72">
        <w:rPr>
          <w:rFonts w:eastAsia="Times New Roman"/>
          <w:sz w:val="24"/>
          <w:szCs w:val="24"/>
          <w:lang w:eastAsia="ru-RU"/>
        </w:rPr>
        <w:t xml:space="preserve">და </w:t>
      </w:r>
      <w:r w:rsidRPr="00FC5C72">
        <w:rPr>
          <w:rFonts w:eastAsia="Times New Roman"/>
          <w:sz w:val="24"/>
          <w:szCs w:val="24"/>
          <w:lang w:val="en-US" w:eastAsia="ru-RU"/>
        </w:rPr>
        <w:t>III</w:t>
      </w:r>
      <w:r w:rsidRPr="00FC5C72">
        <w:rPr>
          <w:rFonts w:eastAsia="Times New Roman"/>
          <w:sz w:val="24"/>
          <w:szCs w:val="24"/>
          <w:lang w:eastAsia="ru-RU"/>
        </w:rPr>
        <w:t xml:space="preserve"> ფაზების სამ კლინიკურ კვლევაში, რომელშიც მონაწილეობდა 970 პაციენტი. მათ შორის 568 პაციენტი იღებდა აპიქსაბანის ერთ ან რამდენიმე დოზას გამოყენების პერიოდში, რომელიც შესაბამისად შეადგენდა 1, 24, 331 და 80 დღეს (იხ. პარაგრაფი „ფარმაკოდინამიკა“). პაციენტები იღებდნენ აპიქსაბანის დოზას სხეულის მასის მიხედვით, მათი ასაკისთვის შესაფერისი ფორმით. </w:t>
      </w:r>
    </w:p>
    <w:p w14:paraId="5BD44F4F" w14:textId="77777777" w:rsidR="00FE5F13" w:rsidRPr="00FC5C72" w:rsidRDefault="00FE5F13" w:rsidP="00785B18">
      <w:pPr>
        <w:spacing w:after="0" w:line="240" w:lineRule="auto"/>
        <w:jc w:val="both"/>
        <w:rPr>
          <w:rFonts w:eastAsia="Times New Roman"/>
          <w:sz w:val="24"/>
          <w:szCs w:val="24"/>
          <w:lang w:eastAsia="ru-RU"/>
        </w:rPr>
      </w:pPr>
    </w:p>
    <w:p w14:paraId="3CC14169" w14:textId="52CBA20B" w:rsidR="002B0096" w:rsidRPr="00FC5C72" w:rsidRDefault="00FE5F13"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28 დღიდან 18 წლამდე ასაკის ბავშვებსა და მოზარდებში აპიქსაბანის უსაფრთხოების პროფილი ძირითადად მოზრდილების პროფილის ანალოგიური იყო და ზოგადად მსგავსი იყო სხვადასხვა ასაკობრივი ჯგუფის ბავშვებში. </w:t>
      </w:r>
    </w:p>
    <w:p w14:paraId="69144EE5" w14:textId="4B238B4C" w:rsidR="00FE5F13" w:rsidRPr="00FC5C72" w:rsidRDefault="00FE5F13" w:rsidP="00785B18">
      <w:pPr>
        <w:spacing w:after="0" w:line="240" w:lineRule="auto"/>
        <w:jc w:val="both"/>
        <w:rPr>
          <w:rFonts w:eastAsia="Times New Roman"/>
          <w:sz w:val="24"/>
          <w:szCs w:val="24"/>
          <w:lang w:eastAsia="ru-RU"/>
        </w:rPr>
      </w:pPr>
    </w:p>
    <w:p w14:paraId="2DA3AFDD" w14:textId="3ABA2F31" w:rsidR="00FE5F13" w:rsidRPr="00FC5C72" w:rsidRDefault="004D7A28"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ბავშვთა ასაკის პაციენტებში ყველაზე ხშირად რეგისტრირებული არასასურველი რეაქციები იყო სისხლდენა ცხვირიდან და პათოლოგიური ვაგინალური სისხლდენა (არასასურველი რეაქციების პროფილი და მათი სიხშირე ჩვენებების მიხედვით წარმოდგენილია ცხრილში 17). </w:t>
      </w:r>
    </w:p>
    <w:p w14:paraId="13B12C5E" w14:textId="0EFFC328" w:rsidR="004D7A28" w:rsidRPr="00FC5C72" w:rsidRDefault="004D7A28" w:rsidP="00785B18">
      <w:pPr>
        <w:spacing w:after="0" w:line="240" w:lineRule="auto"/>
        <w:jc w:val="both"/>
        <w:rPr>
          <w:rFonts w:eastAsia="Times New Roman"/>
          <w:sz w:val="24"/>
          <w:szCs w:val="24"/>
          <w:lang w:eastAsia="ru-RU"/>
        </w:rPr>
      </w:pPr>
    </w:p>
    <w:p w14:paraId="616979EB" w14:textId="3B1DB99D" w:rsidR="00F52A47" w:rsidRPr="00FC5C72" w:rsidRDefault="004D7A28" w:rsidP="00785B18">
      <w:pPr>
        <w:spacing w:after="0" w:line="240" w:lineRule="auto"/>
        <w:jc w:val="both"/>
        <w:rPr>
          <w:rFonts w:eastAsia="Times New Roman"/>
          <w:sz w:val="24"/>
          <w:szCs w:val="24"/>
          <w:lang w:eastAsia="ru-RU"/>
        </w:rPr>
      </w:pPr>
      <w:r w:rsidRPr="00FC5C72">
        <w:rPr>
          <w:rFonts w:eastAsia="Times New Roman"/>
          <w:sz w:val="24"/>
          <w:szCs w:val="24"/>
          <w:lang w:eastAsia="ru-RU"/>
        </w:rPr>
        <w:t>ბავშვთა ასაკის პაციენტებში სისხლდენა ცხვირიდან (ძალიან ხშირად), პათოლოგიური ვაგინალური სისხლდენა (ძალიან ხშირად), ჰიპერმგრძნობელობა და ანაფილაქსია (ხშირად), ქავილი (ხშირად), ჰიპოტენზია (ხშირად), განავალში უცვლელი სისხლის არსებობა (ხშირად), ასპარტატამინოტრანსფერაზის დონის მომატება (ხშირად), ალოპეცია (ხშირად) და სისხლდენა პროცედურის შემდეგ (ხშირად) რეგისტრირებულია უფრო ხშირად, ვიდრე მოზრდილ პაციენტებში, რომლებიც იღებდნენ აპიქსაბანს, ხოლო ამ რეაქციების სიხშირი</w:t>
      </w:r>
      <w:r w:rsidR="0038743E" w:rsidRPr="00FC5C72">
        <w:rPr>
          <w:rFonts w:eastAsia="Times New Roman"/>
          <w:sz w:val="24"/>
          <w:szCs w:val="24"/>
          <w:lang w:eastAsia="ru-RU"/>
        </w:rPr>
        <w:t>ს</w:t>
      </w:r>
      <w:r w:rsidRPr="00FC5C72">
        <w:rPr>
          <w:rFonts w:eastAsia="Times New Roman"/>
          <w:sz w:val="24"/>
          <w:szCs w:val="24"/>
          <w:lang w:eastAsia="ru-RU"/>
        </w:rPr>
        <w:t xml:space="preserve"> კატეგორია იყო იგივე, რაც ბავშვთა ასაკის პაციენტეში სტანდარტული მკურნალობის ჯგუფში, გარდა პათოლოგიური ვაგინალური სისხლდენისა, რომელიც სტანდარტული მკურნალობის ჯგუფში რეგისტრირებული იყო, როგორც ხშირი რეაქცია. ყველა შემთ</w:t>
      </w:r>
      <w:r w:rsidR="00F52A47" w:rsidRPr="00FC5C72">
        <w:rPr>
          <w:rFonts w:eastAsia="Times New Roman"/>
          <w:sz w:val="24"/>
          <w:szCs w:val="24"/>
          <w:lang w:eastAsia="ru-RU"/>
        </w:rPr>
        <w:t xml:space="preserve">ხვევაში, გარდა ერთისა, ღვიძლის ტრანსამინაზების დონის მომატება რეგისტრირებული იყო ბავშვთა ასაკის პაციენტებში, რომლებიც იღებდნენ თანმხლებ ქიმიოთერაპიას ძირითადი დაავადების (ავთვისებიანი ახალწარმონაქმნის) გამო. </w:t>
      </w:r>
    </w:p>
    <w:p w14:paraId="56CA183F" w14:textId="77777777" w:rsidR="00FE5F13" w:rsidRPr="00FC5C72" w:rsidRDefault="00FE5F13" w:rsidP="00785B18">
      <w:pPr>
        <w:spacing w:after="0" w:line="240" w:lineRule="auto"/>
        <w:jc w:val="both"/>
        <w:rPr>
          <w:rFonts w:eastAsia="Times New Roman"/>
          <w:sz w:val="24"/>
          <w:szCs w:val="24"/>
          <w:lang w:eastAsia="ru-RU"/>
        </w:rPr>
      </w:pPr>
    </w:p>
    <w:p w14:paraId="11C7F20F" w14:textId="4FDE9A58" w:rsidR="002B0096" w:rsidRPr="00FC5C72" w:rsidRDefault="002B0096" w:rsidP="00785B18">
      <w:pPr>
        <w:spacing w:after="0" w:line="240" w:lineRule="auto"/>
        <w:jc w:val="both"/>
        <w:rPr>
          <w:rFonts w:eastAsia="Times New Roman"/>
          <w:sz w:val="24"/>
          <w:szCs w:val="24"/>
          <w:lang w:eastAsia="ru-RU"/>
        </w:rPr>
      </w:pPr>
      <w:r w:rsidRPr="00FC5C72">
        <w:rPr>
          <w:rFonts w:eastAsia="Times New Roman"/>
          <w:sz w:val="24"/>
          <w:szCs w:val="24"/>
          <w:lang w:eastAsia="ru-RU"/>
        </w:rPr>
        <w:t>აპიქსაბა</w:t>
      </w:r>
      <w:r w:rsidR="00F52A47" w:rsidRPr="00FC5C72">
        <w:rPr>
          <w:rFonts w:eastAsia="Times New Roman"/>
          <w:sz w:val="24"/>
          <w:szCs w:val="24"/>
          <w:lang w:eastAsia="ru-RU"/>
        </w:rPr>
        <w:t>ნ</w:t>
      </w:r>
      <w:r w:rsidRPr="00FC5C72">
        <w:rPr>
          <w:rFonts w:eastAsia="Times New Roman"/>
          <w:sz w:val="24"/>
          <w:szCs w:val="24"/>
          <w:lang w:eastAsia="ru-RU"/>
        </w:rPr>
        <w:t xml:space="preserve">ის გამოყენება შეიძლება დაკავშირებული იყოს ნებისმიერი ქსოვილიდან ან ორგანოდან ფარული ან </w:t>
      </w:r>
      <w:r w:rsidR="00194E9A" w:rsidRPr="00FC5C72">
        <w:rPr>
          <w:rFonts w:eastAsia="Times New Roman"/>
          <w:sz w:val="24"/>
          <w:szCs w:val="24"/>
          <w:lang w:eastAsia="ru-RU"/>
        </w:rPr>
        <w:t>აქტიური</w:t>
      </w:r>
      <w:r w:rsidRPr="00FC5C72">
        <w:rPr>
          <w:rFonts w:eastAsia="Times New Roman"/>
          <w:sz w:val="24"/>
          <w:szCs w:val="24"/>
          <w:lang w:eastAsia="ru-RU"/>
        </w:rPr>
        <w:t xml:space="preserve"> სისხლდენის მომატებულ რისკთან, რომელიც შეიძლება გახდეს პოსტჰემორაგიული ანემიის მიზეზი. მისი სიმპტომები და სიმძიმის ხარისხი დამოკიდებული იქნება სისხლდენის ლოკალიზაციაზე და ხარისხზე. </w:t>
      </w:r>
    </w:p>
    <w:p w14:paraId="4403594F" w14:textId="4F86169F" w:rsidR="002B0096" w:rsidRPr="00FC5C72" w:rsidRDefault="002B0096" w:rsidP="00785B18">
      <w:pPr>
        <w:spacing w:after="0" w:line="240" w:lineRule="auto"/>
        <w:jc w:val="both"/>
        <w:rPr>
          <w:rFonts w:eastAsia="Times New Roman"/>
          <w:sz w:val="24"/>
          <w:szCs w:val="24"/>
          <w:lang w:eastAsia="ru-RU"/>
        </w:rPr>
      </w:pPr>
    </w:p>
    <w:p w14:paraId="661EB351" w14:textId="2B72367E" w:rsidR="002B0096" w:rsidRPr="00FC5C72" w:rsidRDefault="002B0096" w:rsidP="00785B18">
      <w:pPr>
        <w:spacing w:after="0" w:line="240" w:lineRule="auto"/>
        <w:jc w:val="both"/>
        <w:rPr>
          <w:rFonts w:eastAsia="Times New Roman"/>
          <w:b/>
          <w:bCs/>
          <w:sz w:val="24"/>
          <w:szCs w:val="24"/>
          <w:lang w:eastAsia="ru-RU"/>
        </w:rPr>
      </w:pPr>
      <w:r w:rsidRPr="00FC5C72">
        <w:rPr>
          <w:rFonts w:eastAsia="Times New Roman"/>
          <w:b/>
          <w:bCs/>
          <w:sz w:val="24"/>
          <w:szCs w:val="24"/>
          <w:lang w:eastAsia="ru-RU"/>
        </w:rPr>
        <w:t>უკუჩვენება</w:t>
      </w:r>
    </w:p>
    <w:p w14:paraId="33A8D18D" w14:textId="77777777" w:rsidR="002B0096" w:rsidRPr="00FC5C72" w:rsidRDefault="002B0096" w:rsidP="00785B18">
      <w:pPr>
        <w:pStyle w:val="ListParagraph"/>
        <w:numPr>
          <w:ilvl w:val="0"/>
          <w:numId w:val="9"/>
        </w:numPr>
        <w:spacing w:after="0" w:line="240" w:lineRule="auto"/>
        <w:ind w:left="360"/>
        <w:jc w:val="both"/>
        <w:rPr>
          <w:rFonts w:eastAsia="Times New Roman"/>
          <w:sz w:val="24"/>
          <w:szCs w:val="24"/>
          <w:lang w:eastAsia="ru-RU"/>
        </w:rPr>
      </w:pPr>
      <w:r w:rsidRPr="00FC5C72">
        <w:rPr>
          <w:sz w:val="24"/>
          <w:szCs w:val="24"/>
        </w:rPr>
        <w:t>ჰიპერმგრძნობელობა მოქმედი ნივთიერების ან ნებისმიერი დამხმარე ნივთიერების მიმართ, რომელიც ჩამოთვლილია პარაგრაფში “შემადგენლობა“.</w:t>
      </w:r>
    </w:p>
    <w:p w14:paraId="201F87BD" w14:textId="7E667C9F" w:rsidR="002B0096" w:rsidRPr="00FC5C72" w:rsidRDefault="002B0096" w:rsidP="00785B18">
      <w:pPr>
        <w:pStyle w:val="ListParagraph"/>
        <w:numPr>
          <w:ilvl w:val="0"/>
          <w:numId w:val="9"/>
        </w:numPr>
        <w:spacing w:after="0" w:line="240" w:lineRule="auto"/>
        <w:ind w:left="360"/>
        <w:jc w:val="both"/>
        <w:rPr>
          <w:rFonts w:eastAsia="Times New Roman"/>
          <w:sz w:val="24"/>
          <w:szCs w:val="24"/>
          <w:lang w:eastAsia="ru-RU"/>
        </w:rPr>
      </w:pPr>
      <w:r w:rsidRPr="00FC5C72">
        <w:rPr>
          <w:sz w:val="24"/>
          <w:szCs w:val="24"/>
        </w:rPr>
        <w:t>კლინიკურად გამოხატული აქტიური სისხლდენა</w:t>
      </w:r>
    </w:p>
    <w:p w14:paraId="0DC9B27C" w14:textId="0307A6BD" w:rsidR="002B0096" w:rsidRPr="00FC5C72" w:rsidRDefault="002B0096" w:rsidP="00785B18">
      <w:pPr>
        <w:pStyle w:val="ListParagraph"/>
        <w:numPr>
          <w:ilvl w:val="0"/>
          <w:numId w:val="9"/>
        </w:numPr>
        <w:spacing w:after="0" w:line="240" w:lineRule="auto"/>
        <w:ind w:left="360"/>
        <w:jc w:val="both"/>
        <w:rPr>
          <w:rFonts w:eastAsia="Times New Roman"/>
          <w:sz w:val="24"/>
          <w:szCs w:val="24"/>
          <w:lang w:eastAsia="ru-RU"/>
        </w:rPr>
      </w:pPr>
      <w:r w:rsidRPr="00FC5C72">
        <w:rPr>
          <w:sz w:val="24"/>
          <w:szCs w:val="24"/>
        </w:rPr>
        <w:t xml:space="preserve">ღვიძლის დაავადება, რომელსაც თან ახლავს კოაგულოპათია და სისხლდენის განვითარების კლინიკურად მნიშვნელოვანი რისკი (იხ. პარაგრაფი </w:t>
      </w:r>
      <w:r w:rsidR="00F52A47" w:rsidRPr="00FC5C72">
        <w:rPr>
          <w:sz w:val="24"/>
          <w:szCs w:val="24"/>
        </w:rPr>
        <w:t>„</w:t>
      </w:r>
      <w:r w:rsidRPr="00FC5C72">
        <w:rPr>
          <w:sz w:val="24"/>
          <w:szCs w:val="24"/>
        </w:rPr>
        <w:t>ფარმაკოკინეტიკა“)</w:t>
      </w:r>
    </w:p>
    <w:p w14:paraId="1288BF15" w14:textId="01D56A29" w:rsidR="005415AD" w:rsidRPr="00FC5C72" w:rsidRDefault="002B0096" w:rsidP="00785B18">
      <w:pPr>
        <w:pStyle w:val="ListParagraph"/>
        <w:numPr>
          <w:ilvl w:val="0"/>
          <w:numId w:val="9"/>
        </w:numPr>
        <w:spacing w:after="0" w:line="240" w:lineRule="auto"/>
        <w:ind w:left="360"/>
        <w:jc w:val="both"/>
        <w:rPr>
          <w:rFonts w:eastAsia="Times New Roman"/>
          <w:sz w:val="24"/>
          <w:szCs w:val="24"/>
          <w:lang w:eastAsia="ru-RU"/>
        </w:rPr>
      </w:pPr>
      <w:r w:rsidRPr="00FC5C72">
        <w:rPr>
          <w:sz w:val="24"/>
          <w:szCs w:val="24"/>
        </w:rPr>
        <w:t xml:space="preserve">დაზიანება ან მდგომარეობა, რომელიც </w:t>
      </w:r>
      <w:r w:rsidR="00F52A47" w:rsidRPr="00FC5C72">
        <w:rPr>
          <w:sz w:val="24"/>
          <w:szCs w:val="24"/>
        </w:rPr>
        <w:t>დაკავშირებულია</w:t>
      </w:r>
      <w:r w:rsidRPr="00FC5C72">
        <w:rPr>
          <w:sz w:val="24"/>
          <w:szCs w:val="24"/>
        </w:rPr>
        <w:t xml:space="preserve"> </w:t>
      </w:r>
      <w:r w:rsidR="00391DD8" w:rsidRPr="00FC5C72">
        <w:rPr>
          <w:sz w:val="24"/>
          <w:szCs w:val="24"/>
        </w:rPr>
        <w:t>მნიშვნელოვანი</w:t>
      </w:r>
      <w:r w:rsidRPr="00FC5C72">
        <w:rPr>
          <w:sz w:val="24"/>
          <w:szCs w:val="24"/>
        </w:rPr>
        <w:t xml:space="preserve"> სისხლდენის</w:t>
      </w:r>
      <w:r w:rsidR="00391DD8" w:rsidRPr="00FC5C72">
        <w:rPr>
          <w:sz w:val="24"/>
          <w:szCs w:val="24"/>
        </w:rPr>
        <w:t xml:space="preserve"> გამოხატულ</w:t>
      </w:r>
      <w:r w:rsidRPr="00FC5C72">
        <w:rPr>
          <w:sz w:val="24"/>
          <w:szCs w:val="24"/>
        </w:rPr>
        <w:t xml:space="preserve"> რისკ</w:t>
      </w:r>
      <w:r w:rsidR="00F52A47" w:rsidRPr="00FC5C72">
        <w:rPr>
          <w:sz w:val="24"/>
          <w:szCs w:val="24"/>
        </w:rPr>
        <w:t>თან</w:t>
      </w:r>
      <w:r w:rsidR="00391DD8" w:rsidRPr="00FC5C72">
        <w:rPr>
          <w:sz w:val="24"/>
          <w:szCs w:val="24"/>
        </w:rPr>
        <w:t>, მაგალითად კნტ-ის აქტიური ან ბოლო დროს განვითარებული წყლული, ავთვისებიანი ახალწარმონაქმნები</w:t>
      </w:r>
      <w:r w:rsidR="00ED425B" w:rsidRPr="00FC5C72">
        <w:rPr>
          <w:sz w:val="24"/>
          <w:szCs w:val="24"/>
        </w:rPr>
        <w:t xml:space="preserve"> სისხლდენის მაღალი რისკით, </w:t>
      </w:r>
      <w:r w:rsidRPr="00FC5C72">
        <w:rPr>
          <w:sz w:val="24"/>
          <w:szCs w:val="24"/>
        </w:rPr>
        <w:t>თავის ტვინის ან ზურგის ტვინის ბოლოდროინდელ</w:t>
      </w:r>
      <w:r w:rsidR="00ED425B" w:rsidRPr="00FC5C72">
        <w:rPr>
          <w:sz w:val="24"/>
          <w:szCs w:val="24"/>
        </w:rPr>
        <w:t>ი</w:t>
      </w:r>
      <w:r w:rsidRPr="00FC5C72">
        <w:rPr>
          <w:sz w:val="24"/>
          <w:szCs w:val="24"/>
        </w:rPr>
        <w:t xml:space="preserve"> </w:t>
      </w:r>
      <w:r w:rsidR="00F52A47" w:rsidRPr="00FC5C72">
        <w:rPr>
          <w:sz w:val="24"/>
          <w:szCs w:val="24"/>
        </w:rPr>
        <w:t>ტრავმა</w:t>
      </w:r>
      <w:r w:rsidRPr="00FC5C72">
        <w:rPr>
          <w:sz w:val="24"/>
          <w:szCs w:val="24"/>
        </w:rPr>
        <w:t>, ახლო</w:t>
      </w:r>
      <w:r w:rsidR="00ED425B" w:rsidRPr="00FC5C72">
        <w:rPr>
          <w:sz w:val="24"/>
          <w:szCs w:val="24"/>
        </w:rPr>
        <w:t xml:space="preserve"> </w:t>
      </w:r>
      <w:r w:rsidRPr="00FC5C72">
        <w:rPr>
          <w:sz w:val="24"/>
          <w:szCs w:val="24"/>
        </w:rPr>
        <w:t>წარსულში გადატანილ</w:t>
      </w:r>
      <w:r w:rsidR="00ED425B" w:rsidRPr="00FC5C72">
        <w:rPr>
          <w:sz w:val="24"/>
          <w:szCs w:val="24"/>
        </w:rPr>
        <w:t>ი</w:t>
      </w:r>
      <w:r w:rsidRPr="00FC5C72">
        <w:rPr>
          <w:sz w:val="24"/>
          <w:szCs w:val="24"/>
        </w:rPr>
        <w:t xml:space="preserve"> ოპერაცი</w:t>
      </w:r>
      <w:r w:rsidR="00ED425B" w:rsidRPr="00FC5C72">
        <w:rPr>
          <w:sz w:val="24"/>
          <w:szCs w:val="24"/>
        </w:rPr>
        <w:t xml:space="preserve">ა </w:t>
      </w:r>
      <w:r w:rsidRPr="00FC5C72">
        <w:rPr>
          <w:sz w:val="24"/>
          <w:szCs w:val="24"/>
        </w:rPr>
        <w:t>თავის ტვინზე, ზურგის ტვინზე ან თვალებზე, ბოლოდროინდელ</w:t>
      </w:r>
      <w:r w:rsidR="00ED425B" w:rsidRPr="00FC5C72">
        <w:rPr>
          <w:sz w:val="24"/>
          <w:szCs w:val="24"/>
        </w:rPr>
        <w:t>ი</w:t>
      </w:r>
      <w:r w:rsidRPr="00FC5C72">
        <w:rPr>
          <w:sz w:val="24"/>
          <w:szCs w:val="24"/>
        </w:rPr>
        <w:t xml:space="preserve"> ქალასშიდა სისხლდენა, საყლაპავის ვენების ცნობილი </w:t>
      </w:r>
      <w:r w:rsidR="002255DD" w:rsidRPr="00FC5C72">
        <w:rPr>
          <w:sz w:val="24"/>
          <w:szCs w:val="24"/>
        </w:rPr>
        <w:t xml:space="preserve">ვარიკოზული გაგანიერება </w:t>
      </w:r>
      <w:r w:rsidRPr="00FC5C72">
        <w:rPr>
          <w:sz w:val="24"/>
          <w:szCs w:val="24"/>
        </w:rPr>
        <w:t xml:space="preserve">ან </w:t>
      </w:r>
      <w:r w:rsidR="002255DD" w:rsidRPr="00FC5C72">
        <w:rPr>
          <w:sz w:val="24"/>
          <w:szCs w:val="24"/>
        </w:rPr>
        <w:t>მასზე ეჭვის არსებობა</w:t>
      </w:r>
      <w:r w:rsidRPr="00FC5C72">
        <w:rPr>
          <w:sz w:val="24"/>
          <w:szCs w:val="24"/>
        </w:rPr>
        <w:t>,</w:t>
      </w:r>
      <w:r w:rsidR="005415AD" w:rsidRPr="00FC5C72">
        <w:rPr>
          <w:sz w:val="24"/>
          <w:szCs w:val="24"/>
        </w:rPr>
        <w:t xml:space="preserve"> სისხლძარღვების განვითარების</w:t>
      </w:r>
      <w:r w:rsidRPr="00FC5C72">
        <w:rPr>
          <w:sz w:val="24"/>
          <w:szCs w:val="24"/>
        </w:rPr>
        <w:t xml:space="preserve"> არტერიოვენ</w:t>
      </w:r>
      <w:r w:rsidR="002255DD" w:rsidRPr="00FC5C72">
        <w:rPr>
          <w:sz w:val="24"/>
          <w:szCs w:val="24"/>
        </w:rPr>
        <w:t>ურ</w:t>
      </w:r>
      <w:r w:rsidRPr="00FC5C72">
        <w:rPr>
          <w:sz w:val="24"/>
          <w:szCs w:val="24"/>
        </w:rPr>
        <w:t>ი პათოლოგიები, სისხლძარღვთა ანევრიზმ</w:t>
      </w:r>
      <w:r w:rsidR="00F52A47" w:rsidRPr="00FC5C72">
        <w:rPr>
          <w:sz w:val="24"/>
          <w:szCs w:val="24"/>
        </w:rPr>
        <w:t>ა</w:t>
      </w:r>
      <w:r w:rsidRPr="00FC5C72">
        <w:rPr>
          <w:sz w:val="24"/>
          <w:szCs w:val="24"/>
        </w:rPr>
        <w:t xml:space="preserve"> ან ზურგის</w:t>
      </w:r>
      <w:r w:rsidR="00F52A47" w:rsidRPr="00FC5C72">
        <w:rPr>
          <w:sz w:val="24"/>
          <w:szCs w:val="24"/>
        </w:rPr>
        <w:t xml:space="preserve"> </w:t>
      </w:r>
      <w:r w:rsidRPr="00FC5C72">
        <w:rPr>
          <w:sz w:val="24"/>
          <w:szCs w:val="24"/>
        </w:rPr>
        <w:t xml:space="preserve">ტვინის ან ინტრაცერებრულ სისხლძარღვთა </w:t>
      </w:r>
      <w:r w:rsidR="005415AD" w:rsidRPr="00FC5C72">
        <w:rPr>
          <w:sz w:val="24"/>
          <w:szCs w:val="24"/>
        </w:rPr>
        <w:t>პათოლოგიური მდგომარეობები</w:t>
      </w:r>
    </w:p>
    <w:p w14:paraId="57A14322" w14:textId="3AE4DC7A" w:rsidR="002B0096" w:rsidRPr="00FC5C72" w:rsidRDefault="002B0096" w:rsidP="00785B18">
      <w:pPr>
        <w:pStyle w:val="ListParagraph"/>
        <w:numPr>
          <w:ilvl w:val="0"/>
          <w:numId w:val="9"/>
        </w:numPr>
        <w:spacing w:after="0" w:line="240" w:lineRule="auto"/>
        <w:ind w:left="360"/>
        <w:jc w:val="both"/>
        <w:rPr>
          <w:rFonts w:eastAsia="Times New Roman"/>
          <w:sz w:val="24"/>
          <w:szCs w:val="24"/>
          <w:lang w:eastAsia="ru-RU"/>
        </w:rPr>
      </w:pPr>
      <w:r w:rsidRPr="00FC5C72">
        <w:rPr>
          <w:sz w:val="24"/>
          <w:szCs w:val="24"/>
        </w:rPr>
        <w:t>ნებისმიერ</w:t>
      </w:r>
      <w:r w:rsidR="00F52A47" w:rsidRPr="00FC5C72">
        <w:rPr>
          <w:sz w:val="24"/>
          <w:szCs w:val="24"/>
        </w:rPr>
        <w:t xml:space="preserve"> სხვა</w:t>
      </w:r>
      <w:r w:rsidRPr="00FC5C72">
        <w:rPr>
          <w:sz w:val="24"/>
          <w:szCs w:val="24"/>
        </w:rPr>
        <w:t xml:space="preserve"> </w:t>
      </w:r>
      <w:proofErr w:type="spellStart"/>
      <w:r w:rsidRPr="00FC5C72">
        <w:rPr>
          <w:sz w:val="24"/>
          <w:szCs w:val="24"/>
        </w:rPr>
        <w:t>ანტიკოაგულა</w:t>
      </w:r>
      <w:r w:rsidR="006514BB" w:rsidRPr="00FC5C72">
        <w:rPr>
          <w:sz w:val="24"/>
          <w:szCs w:val="24"/>
        </w:rPr>
        <w:t>ცი</w:t>
      </w:r>
      <w:r w:rsidRPr="00FC5C72">
        <w:rPr>
          <w:sz w:val="24"/>
          <w:szCs w:val="24"/>
        </w:rPr>
        <w:t>ურ</w:t>
      </w:r>
      <w:proofErr w:type="spellEnd"/>
      <w:r w:rsidRPr="00FC5C72">
        <w:rPr>
          <w:sz w:val="24"/>
          <w:szCs w:val="24"/>
        </w:rPr>
        <w:t xml:space="preserve"> საშუალებ</w:t>
      </w:r>
      <w:r w:rsidR="00B0745D" w:rsidRPr="00FC5C72">
        <w:rPr>
          <w:sz w:val="24"/>
          <w:szCs w:val="24"/>
        </w:rPr>
        <w:t>ას</w:t>
      </w:r>
      <w:r w:rsidRPr="00FC5C72">
        <w:rPr>
          <w:sz w:val="24"/>
          <w:szCs w:val="24"/>
        </w:rPr>
        <w:t xml:space="preserve">თან, მაგალითად, </w:t>
      </w:r>
      <w:proofErr w:type="spellStart"/>
      <w:r w:rsidRPr="00FC5C72">
        <w:rPr>
          <w:sz w:val="24"/>
          <w:szCs w:val="24"/>
        </w:rPr>
        <w:t>არაფრაქციულ</w:t>
      </w:r>
      <w:proofErr w:type="spellEnd"/>
      <w:r w:rsidRPr="00FC5C72">
        <w:rPr>
          <w:sz w:val="24"/>
          <w:szCs w:val="24"/>
        </w:rPr>
        <w:t xml:space="preserve"> ჰეპარინთან</w:t>
      </w:r>
      <w:r w:rsidR="00B0745D" w:rsidRPr="00FC5C72">
        <w:rPr>
          <w:sz w:val="24"/>
          <w:szCs w:val="24"/>
        </w:rPr>
        <w:t xml:space="preserve"> </w:t>
      </w:r>
      <w:r w:rsidRPr="00FC5C72">
        <w:rPr>
          <w:sz w:val="24"/>
          <w:szCs w:val="24"/>
        </w:rPr>
        <w:t>(აფჰ), დაბალმოლეკულური წონის ჰეპარინებთან (ენოქსაპარინი, დალტეპარინი და სხვ</w:t>
      </w:r>
      <w:r w:rsidR="00B0745D" w:rsidRPr="00FC5C72">
        <w:rPr>
          <w:sz w:val="24"/>
          <w:szCs w:val="24"/>
        </w:rPr>
        <w:t>ა</w:t>
      </w:r>
      <w:r w:rsidRPr="00FC5C72">
        <w:rPr>
          <w:sz w:val="24"/>
          <w:szCs w:val="24"/>
        </w:rPr>
        <w:t>), ჰეპარინის წარმოებულებთან (ფონდაპარინუქსი და სხვ</w:t>
      </w:r>
      <w:r w:rsidR="002255DD" w:rsidRPr="00FC5C72">
        <w:rPr>
          <w:sz w:val="24"/>
          <w:szCs w:val="24"/>
        </w:rPr>
        <w:t>ა</w:t>
      </w:r>
      <w:r w:rsidRPr="00FC5C72">
        <w:rPr>
          <w:sz w:val="24"/>
          <w:szCs w:val="24"/>
        </w:rPr>
        <w:t>), პერორალურ ანტიკოაგულანტებთან</w:t>
      </w:r>
      <w:r w:rsidR="002B1865" w:rsidRPr="00FC5C72">
        <w:rPr>
          <w:sz w:val="24"/>
          <w:szCs w:val="24"/>
        </w:rPr>
        <w:t xml:space="preserve"> </w:t>
      </w:r>
      <w:r w:rsidRPr="00FC5C72">
        <w:rPr>
          <w:sz w:val="24"/>
          <w:szCs w:val="24"/>
        </w:rPr>
        <w:t>(ვარფარინი, რივაროქსაბანი, დაბიგატრანი</w:t>
      </w:r>
      <w:r w:rsidR="00F52A47" w:rsidRPr="00FC5C72">
        <w:rPr>
          <w:sz w:val="24"/>
          <w:szCs w:val="24"/>
        </w:rPr>
        <w:t xml:space="preserve">, </w:t>
      </w:r>
      <w:r w:rsidR="006514BB" w:rsidRPr="00FC5C72">
        <w:rPr>
          <w:sz w:val="24"/>
          <w:szCs w:val="24"/>
        </w:rPr>
        <w:t xml:space="preserve"> </w:t>
      </w:r>
      <w:r w:rsidRPr="00FC5C72">
        <w:rPr>
          <w:sz w:val="24"/>
          <w:szCs w:val="24"/>
        </w:rPr>
        <w:t xml:space="preserve"> და სხვ</w:t>
      </w:r>
      <w:r w:rsidR="002255DD" w:rsidRPr="00FC5C72">
        <w:rPr>
          <w:sz w:val="24"/>
          <w:szCs w:val="24"/>
        </w:rPr>
        <w:t>ა</w:t>
      </w:r>
      <w:r w:rsidRPr="00FC5C72">
        <w:rPr>
          <w:sz w:val="24"/>
          <w:szCs w:val="24"/>
        </w:rPr>
        <w:t>) ერთდროულ</w:t>
      </w:r>
      <w:r w:rsidR="0038743E" w:rsidRPr="00FC5C72">
        <w:rPr>
          <w:sz w:val="24"/>
          <w:szCs w:val="24"/>
        </w:rPr>
        <w:t>ად</w:t>
      </w:r>
      <w:r w:rsidRPr="00FC5C72">
        <w:rPr>
          <w:sz w:val="24"/>
          <w:szCs w:val="24"/>
        </w:rPr>
        <w:t xml:space="preserve"> გამოყენება, გარდა</w:t>
      </w:r>
      <w:r w:rsidR="002B1865" w:rsidRPr="00FC5C72">
        <w:rPr>
          <w:sz w:val="24"/>
          <w:szCs w:val="24"/>
        </w:rPr>
        <w:t xml:space="preserve"> </w:t>
      </w:r>
      <w:r w:rsidRPr="00FC5C72">
        <w:rPr>
          <w:sz w:val="24"/>
          <w:szCs w:val="24"/>
        </w:rPr>
        <w:t>ანტიკოაგულანტ</w:t>
      </w:r>
      <w:r w:rsidR="0048765C" w:rsidRPr="00FC5C72">
        <w:rPr>
          <w:sz w:val="24"/>
          <w:szCs w:val="24"/>
        </w:rPr>
        <w:t>ებით</w:t>
      </w:r>
      <w:r w:rsidRPr="00FC5C72">
        <w:rPr>
          <w:sz w:val="24"/>
          <w:szCs w:val="24"/>
        </w:rPr>
        <w:t xml:space="preserve"> თერაპი</w:t>
      </w:r>
      <w:r w:rsidR="0048765C" w:rsidRPr="00FC5C72">
        <w:rPr>
          <w:sz w:val="24"/>
          <w:szCs w:val="24"/>
        </w:rPr>
        <w:t>აზე</w:t>
      </w:r>
      <w:r w:rsidRPr="00FC5C72">
        <w:rPr>
          <w:sz w:val="24"/>
          <w:szCs w:val="24"/>
        </w:rPr>
        <w:t xml:space="preserve"> </w:t>
      </w:r>
      <w:r w:rsidR="0048765C" w:rsidRPr="00FC5C72">
        <w:rPr>
          <w:sz w:val="24"/>
          <w:szCs w:val="24"/>
        </w:rPr>
        <w:t>გადასვლის შემთხვევებისა</w:t>
      </w:r>
      <w:r w:rsidR="002B1865" w:rsidRPr="00FC5C72">
        <w:rPr>
          <w:sz w:val="24"/>
          <w:szCs w:val="24"/>
        </w:rPr>
        <w:t xml:space="preserve"> (იხ. პარაგრაფი “გამოყენების წესი და დოზები“)</w:t>
      </w:r>
      <w:r w:rsidRPr="00FC5C72">
        <w:rPr>
          <w:sz w:val="24"/>
          <w:szCs w:val="24"/>
        </w:rPr>
        <w:t>,</w:t>
      </w:r>
      <w:r w:rsidR="002B1865" w:rsidRPr="00FC5C72">
        <w:rPr>
          <w:sz w:val="24"/>
          <w:szCs w:val="24"/>
        </w:rPr>
        <w:t xml:space="preserve"> როდესაც</w:t>
      </w:r>
      <w:r w:rsidRPr="00FC5C72">
        <w:rPr>
          <w:sz w:val="24"/>
          <w:szCs w:val="24"/>
        </w:rPr>
        <w:t xml:space="preserve"> აფჰ</w:t>
      </w:r>
      <w:r w:rsidR="002B1865" w:rsidRPr="00FC5C72">
        <w:rPr>
          <w:sz w:val="24"/>
          <w:szCs w:val="24"/>
        </w:rPr>
        <w:t xml:space="preserve"> შეიყვანება  </w:t>
      </w:r>
      <w:r w:rsidRPr="00FC5C72">
        <w:rPr>
          <w:sz w:val="24"/>
          <w:szCs w:val="24"/>
        </w:rPr>
        <w:t>დოზებში, რომლებიც აუცილებელია ცენტრალური ვენური ან არტერიული კათეტერის</w:t>
      </w:r>
      <w:r w:rsidR="002B1865" w:rsidRPr="00FC5C72">
        <w:rPr>
          <w:sz w:val="24"/>
          <w:szCs w:val="24"/>
        </w:rPr>
        <w:t xml:space="preserve"> </w:t>
      </w:r>
      <w:r w:rsidRPr="00FC5C72">
        <w:rPr>
          <w:sz w:val="24"/>
          <w:szCs w:val="24"/>
        </w:rPr>
        <w:t xml:space="preserve">გამტარიანობის </w:t>
      </w:r>
      <w:r w:rsidR="002B1865" w:rsidRPr="00FC5C72">
        <w:rPr>
          <w:sz w:val="24"/>
          <w:szCs w:val="24"/>
        </w:rPr>
        <w:t>უზრუნველსაყოფად</w:t>
      </w:r>
      <w:r w:rsidRPr="00FC5C72">
        <w:rPr>
          <w:sz w:val="24"/>
          <w:szCs w:val="24"/>
        </w:rPr>
        <w:t>, ან აფჰ</w:t>
      </w:r>
      <w:r w:rsidR="002B1865" w:rsidRPr="00FC5C72">
        <w:rPr>
          <w:sz w:val="24"/>
          <w:szCs w:val="24"/>
        </w:rPr>
        <w:t xml:space="preserve"> გამოიყენება</w:t>
      </w:r>
      <w:r w:rsidRPr="00FC5C72">
        <w:rPr>
          <w:sz w:val="24"/>
          <w:szCs w:val="24"/>
        </w:rPr>
        <w:t xml:space="preserve">  კათეტერული აბლაციის დრო</w:t>
      </w:r>
      <w:r w:rsidR="002255DD" w:rsidRPr="00FC5C72">
        <w:rPr>
          <w:sz w:val="24"/>
          <w:szCs w:val="24"/>
        </w:rPr>
        <w:t>ს</w:t>
      </w:r>
      <w:r w:rsidR="002B1865" w:rsidRPr="00FC5C72">
        <w:rPr>
          <w:sz w:val="24"/>
          <w:szCs w:val="24"/>
        </w:rPr>
        <w:t xml:space="preserve"> </w:t>
      </w:r>
      <w:r w:rsidRPr="00FC5C72">
        <w:rPr>
          <w:sz w:val="24"/>
          <w:szCs w:val="24"/>
        </w:rPr>
        <w:t>წინაგულების ფიბრილაციის მკურნალობისას</w:t>
      </w:r>
      <w:r w:rsidR="002B1865" w:rsidRPr="00FC5C72">
        <w:rPr>
          <w:sz w:val="24"/>
          <w:szCs w:val="24"/>
        </w:rPr>
        <w:t xml:space="preserve"> (იხ. პარაგრაფები “განსაკუთრებული მითითებები“, “სამკურნალწამლო ურთიერთქმედება“)</w:t>
      </w:r>
      <w:r w:rsidRPr="00FC5C72">
        <w:rPr>
          <w:sz w:val="24"/>
          <w:szCs w:val="24"/>
        </w:rPr>
        <w:t>.</w:t>
      </w:r>
    </w:p>
    <w:p w14:paraId="1B7B0282" w14:textId="12E91EB1" w:rsidR="002B1865" w:rsidRPr="00FC5C72" w:rsidRDefault="002B1865" w:rsidP="00785B18">
      <w:pPr>
        <w:spacing w:after="0" w:line="240" w:lineRule="auto"/>
        <w:jc w:val="both"/>
        <w:rPr>
          <w:rFonts w:eastAsia="Times New Roman"/>
          <w:sz w:val="24"/>
          <w:szCs w:val="24"/>
          <w:lang w:eastAsia="ru-RU"/>
        </w:rPr>
      </w:pPr>
    </w:p>
    <w:p w14:paraId="144B2FE4" w14:textId="4406089C" w:rsidR="002B1865" w:rsidRPr="00FC5C72" w:rsidRDefault="002B1865" w:rsidP="00785B18">
      <w:pPr>
        <w:spacing w:after="0" w:line="240" w:lineRule="auto"/>
        <w:jc w:val="both"/>
        <w:rPr>
          <w:rFonts w:eastAsia="Times New Roman"/>
          <w:b/>
          <w:bCs/>
          <w:sz w:val="24"/>
          <w:szCs w:val="24"/>
          <w:lang w:eastAsia="ru-RU"/>
        </w:rPr>
      </w:pPr>
      <w:r w:rsidRPr="00FC5C72">
        <w:rPr>
          <w:rFonts w:eastAsia="Times New Roman"/>
          <w:b/>
          <w:bCs/>
          <w:sz w:val="24"/>
          <w:szCs w:val="24"/>
          <w:lang w:eastAsia="ru-RU"/>
        </w:rPr>
        <w:t>სამკურნალწამლო ურთიერთქმედება</w:t>
      </w:r>
    </w:p>
    <w:p w14:paraId="5C0F05D6" w14:textId="3AC155DE" w:rsidR="00FE7C45" w:rsidRPr="00FC5C72" w:rsidRDefault="00FE7C45" w:rsidP="00785B18">
      <w:pPr>
        <w:spacing w:after="0" w:line="240" w:lineRule="auto"/>
        <w:jc w:val="both"/>
        <w:rPr>
          <w:rFonts w:eastAsia="Times New Roman"/>
          <w:i/>
          <w:sz w:val="24"/>
          <w:szCs w:val="24"/>
          <w:lang w:eastAsia="ru-RU"/>
        </w:rPr>
      </w:pPr>
      <w:r w:rsidRPr="00FC5C72">
        <w:rPr>
          <w:rFonts w:ascii="Times New Roman" w:eastAsia="Times New Roman" w:hAnsi="Times New Roman"/>
          <w:i/>
          <w:sz w:val="24"/>
          <w:szCs w:val="24"/>
          <w:lang w:eastAsia="ru-RU"/>
        </w:rPr>
        <w:t>CYP3A4</w:t>
      </w:r>
      <w:r w:rsidRPr="00FC5C72">
        <w:rPr>
          <w:rFonts w:eastAsia="Times New Roman"/>
          <w:i/>
          <w:sz w:val="24"/>
          <w:szCs w:val="24"/>
          <w:lang w:eastAsia="ru-RU"/>
        </w:rPr>
        <w:t xml:space="preserve">-ის </w:t>
      </w:r>
      <w:r w:rsidRPr="00FC5C72">
        <w:rPr>
          <w:rFonts w:ascii="Sylfaen" w:eastAsia="Times New Roman" w:hAnsi="Sylfaen"/>
          <w:i/>
          <w:sz w:val="24"/>
          <w:szCs w:val="24"/>
          <w:lang w:eastAsia="ru-RU"/>
        </w:rPr>
        <w:t>და</w:t>
      </w:r>
      <w:r w:rsidRPr="00FC5C72">
        <w:rPr>
          <w:rFonts w:ascii="Times New Roman" w:eastAsia="Times New Roman" w:hAnsi="Times New Roman"/>
          <w:i/>
          <w:sz w:val="24"/>
          <w:szCs w:val="24"/>
          <w:lang w:eastAsia="ru-RU"/>
        </w:rPr>
        <w:t xml:space="preserve"> P-gp</w:t>
      </w:r>
      <w:r w:rsidR="00231F52" w:rsidRPr="00FC5C72">
        <w:rPr>
          <w:rFonts w:eastAsia="Times New Roman"/>
          <w:i/>
          <w:sz w:val="24"/>
          <w:szCs w:val="24"/>
          <w:lang w:eastAsia="ru-RU"/>
        </w:rPr>
        <w:t>-ის ინჰიბიტორები</w:t>
      </w:r>
    </w:p>
    <w:p w14:paraId="563350D5" w14:textId="2522A42B" w:rsidR="00641A74" w:rsidRPr="00FC5C72" w:rsidRDefault="00FE7C45" w:rsidP="00785B18">
      <w:pPr>
        <w:spacing w:after="0" w:line="240" w:lineRule="auto"/>
        <w:jc w:val="both"/>
        <w:rPr>
          <w:sz w:val="24"/>
          <w:szCs w:val="24"/>
        </w:rPr>
      </w:pPr>
      <w:r w:rsidRPr="00FC5C72">
        <w:rPr>
          <w:sz w:val="24"/>
          <w:szCs w:val="24"/>
        </w:rPr>
        <w:t>აპიქსაბანის ერთდროულ</w:t>
      </w:r>
      <w:r w:rsidR="00841822" w:rsidRPr="00FC5C72">
        <w:rPr>
          <w:sz w:val="24"/>
          <w:szCs w:val="24"/>
        </w:rPr>
        <w:t>ად</w:t>
      </w:r>
      <w:r w:rsidRPr="00FC5C72">
        <w:rPr>
          <w:sz w:val="24"/>
          <w:szCs w:val="24"/>
        </w:rPr>
        <w:t xml:space="preserve"> </w:t>
      </w:r>
      <w:r w:rsidR="00841822" w:rsidRPr="00FC5C72">
        <w:rPr>
          <w:sz w:val="24"/>
          <w:szCs w:val="24"/>
        </w:rPr>
        <w:t>მიღება</w:t>
      </w:r>
      <w:r w:rsidRPr="00FC5C72">
        <w:rPr>
          <w:sz w:val="24"/>
          <w:szCs w:val="24"/>
        </w:rPr>
        <w:t xml:space="preserve"> კეტოკონაზოლთან (400 მგ ერთხელ დღე-ღამეში), რომელიც არის CYP3A4-</w:t>
      </w:r>
      <w:r w:rsidR="00841822" w:rsidRPr="00FC5C72">
        <w:rPr>
          <w:sz w:val="24"/>
          <w:szCs w:val="24"/>
        </w:rPr>
        <w:t>ი</w:t>
      </w:r>
      <w:r w:rsidRPr="00FC5C72">
        <w:rPr>
          <w:sz w:val="24"/>
          <w:szCs w:val="24"/>
        </w:rPr>
        <w:t>ს</w:t>
      </w:r>
      <w:r w:rsidR="0048765C" w:rsidRPr="00FC5C72">
        <w:rPr>
          <w:sz w:val="24"/>
          <w:szCs w:val="24"/>
        </w:rPr>
        <w:t xml:space="preserve"> და</w:t>
      </w:r>
      <w:r w:rsidRPr="00FC5C72">
        <w:rPr>
          <w:sz w:val="24"/>
          <w:szCs w:val="24"/>
        </w:rPr>
        <w:t xml:space="preserve"> P-gp-ის ძლიერ ინჰიბიტორ</w:t>
      </w:r>
      <w:r w:rsidR="0038743E" w:rsidRPr="00FC5C72">
        <w:rPr>
          <w:sz w:val="24"/>
          <w:szCs w:val="24"/>
        </w:rPr>
        <w:t>თან</w:t>
      </w:r>
      <w:r w:rsidRPr="00FC5C72">
        <w:rPr>
          <w:sz w:val="24"/>
          <w:szCs w:val="24"/>
        </w:rPr>
        <w:t xml:space="preserve">, </w:t>
      </w:r>
      <w:r w:rsidR="00DA6AA9" w:rsidRPr="00FC5C72">
        <w:rPr>
          <w:sz w:val="24"/>
          <w:szCs w:val="24"/>
        </w:rPr>
        <w:t xml:space="preserve">იწვევდა </w:t>
      </w:r>
      <w:r w:rsidRPr="00FC5C72">
        <w:rPr>
          <w:sz w:val="24"/>
          <w:szCs w:val="24"/>
        </w:rPr>
        <w:t>აპიქსაბანის AUC საშუალო მნიშვნელობის</w:t>
      </w:r>
      <w:r w:rsidR="002F6C4F" w:rsidRPr="00FC5C72">
        <w:rPr>
          <w:sz w:val="24"/>
          <w:szCs w:val="24"/>
        </w:rPr>
        <w:t xml:space="preserve"> </w:t>
      </w:r>
      <w:r w:rsidRPr="00FC5C72">
        <w:rPr>
          <w:sz w:val="24"/>
          <w:szCs w:val="24"/>
        </w:rPr>
        <w:t>გაზრდა</w:t>
      </w:r>
      <w:r w:rsidR="002F6C4F" w:rsidRPr="00FC5C72">
        <w:rPr>
          <w:sz w:val="24"/>
          <w:szCs w:val="24"/>
        </w:rPr>
        <w:t>ს</w:t>
      </w:r>
      <w:r w:rsidRPr="00FC5C72">
        <w:rPr>
          <w:sz w:val="24"/>
          <w:szCs w:val="24"/>
        </w:rPr>
        <w:t xml:space="preserve"> 2-ჯერ და აპიქსაბანის C</w:t>
      </w:r>
      <w:r w:rsidRPr="00FC5C72">
        <w:rPr>
          <w:sz w:val="24"/>
          <w:szCs w:val="24"/>
          <w:vertAlign w:val="subscript"/>
        </w:rPr>
        <w:t>max</w:t>
      </w:r>
      <w:r w:rsidRPr="00FC5C72">
        <w:rPr>
          <w:sz w:val="24"/>
          <w:szCs w:val="24"/>
        </w:rPr>
        <w:t xml:space="preserve"> საშუალო</w:t>
      </w:r>
      <w:r w:rsidR="00641A74" w:rsidRPr="00FC5C72">
        <w:rPr>
          <w:sz w:val="24"/>
          <w:szCs w:val="24"/>
        </w:rPr>
        <w:t xml:space="preserve"> </w:t>
      </w:r>
      <w:r w:rsidRPr="00FC5C72">
        <w:rPr>
          <w:sz w:val="24"/>
          <w:szCs w:val="24"/>
        </w:rPr>
        <w:t xml:space="preserve">მნიშვნელობის </w:t>
      </w:r>
      <w:r w:rsidR="00641A74" w:rsidRPr="00FC5C72">
        <w:rPr>
          <w:sz w:val="24"/>
          <w:szCs w:val="24"/>
        </w:rPr>
        <w:t xml:space="preserve">გაზრდას </w:t>
      </w:r>
      <w:r w:rsidRPr="00FC5C72">
        <w:rPr>
          <w:sz w:val="24"/>
          <w:szCs w:val="24"/>
        </w:rPr>
        <w:t xml:space="preserve">1,6-ჯერ. </w:t>
      </w:r>
    </w:p>
    <w:p w14:paraId="6B1B548C" w14:textId="3D00CD2E" w:rsidR="00690E96" w:rsidRPr="00FC5C72" w:rsidRDefault="00FE7C45" w:rsidP="00785B18">
      <w:pPr>
        <w:spacing w:after="0" w:line="240" w:lineRule="auto"/>
        <w:jc w:val="both"/>
        <w:rPr>
          <w:sz w:val="24"/>
          <w:szCs w:val="24"/>
        </w:rPr>
      </w:pPr>
      <w:r w:rsidRPr="00FC5C72">
        <w:rPr>
          <w:sz w:val="24"/>
          <w:szCs w:val="24"/>
        </w:rPr>
        <w:t>აპიქსაბანის გამოყენება არ არის რეკომენდებული პაციენტებში, რომლებ</w:t>
      </w:r>
      <w:r w:rsidR="00641A74" w:rsidRPr="00FC5C72">
        <w:rPr>
          <w:sz w:val="24"/>
          <w:szCs w:val="24"/>
        </w:rPr>
        <w:t xml:space="preserve">საც უტარდებათ </w:t>
      </w:r>
      <w:r w:rsidRPr="00FC5C72">
        <w:rPr>
          <w:sz w:val="24"/>
          <w:szCs w:val="24"/>
        </w:rPr>
        <w:t>სისტემურ</w:t>
      </w:r>
      <w:r w:rsidR="000F2678" w:rsidRPr="00FC5C72">
        <w:rPr>
          <w:sz w:val="24"/>
          <w:szCs w:val="24"/>
        </w:rPr>
        <w:t>ი</w:t>
      </w:r>
      <w:r w:rsidR="00641A74" w:rsidRPr="00FC5C72">
        <w:rPr>
          <w:sz w:val="24"/>
          <w:szCs w:val="24"/>
        </w:rPr>
        <w:t xml:space="preserve"> </w:t>
      </w:r>
      <w:r w:rsidRPr="00FC5C72">
        <w:rPr>
          <w:sz w:val="24"/>
          <w:szCs w:val="24"/>
        </w:rPr>
        <w:t>მკურნალობა CYP3A4-</w:t>
      </w:r>
      <w:r w:rsidR="0038743E" w:rsidRPr="00FC5C72">
        <w:rPr>
          <w:sz w:val="24"/>
          <w:szCs w:val="24"/>
        </w:rPr>
        <w:t>ი</w:t>
      </w:r>
      <w:r w:rsidRPr="00FC5C72">
        <w:rPr>
          <w:sz w:val="24"/>
          <w:szCs w:val="24"/>
        </w:rPr>
        <w:t>სა და P-gp-ის ძლიერი ინჰიბიტორებით, როგორიცაა</w:t>
      </w:r>
      <w:r w:rsidR="00B41F74" w:rsidRPr="00FC5C72">
        <w:rPr>
          <w:sz w:val="24"/>
          <w:szCs w:val="24"/>
        </w:rPr>
        <w:t xml:space="preserve"> </w:t>
      </w:r>
      <w:r w:rsidRPr="00FC5C72">
        <w:rPr>
          <w:sz w:val="24"/>
          <w:szCs w:val="24"/>
        </w:rPr>
        <w:t>აზოლის სოკოს საწინააღმდეგო საშუალებები (მაგალითად, კეტოკონაზოლი, იტრაკონაზოლი, ვორიკონაზოლი და პოზაკონაზოლი) და აივ პროტეაზას ინჰიბიტორები (მაგალითად, რიტონავირი)</w:t>
      </w:r>
      <w:r w:rsidR="00690E96" w:rsidRPr="00FC5C72">
        <w:rPr>
          <w:sz w:val="24"/>
          <w:szCs w:val="24"/>
        </w:rPr>
        <w:t xml:space="preserve"> (იხ. პარაგრაფი </w:t>
      </w:r>
      <w:r w:rsidR="0048765C" w:rsidRPr="00FC5C72">
        <w:rPr>
          <w:sz w:val="24"/>
          <w:szCs w:val="24"/>
        </w:rPr>
        <w:t>„</w:t>
      </w:r>
      <w:r w:rsidR="00690E96" w:rsidRPr="00FC5C72">
        <w:rPr>
          <w:sz w:val="24"/>
          <w:szCs w:val="24"/>
        </w:rPr>
        <w:t>განსაკუთრებული მითითება“)</w:t>
      </w:r>
      <w:r w:rsidRPr="00FC5C72">
        <w:rPr>
          <w:sz w:val="24"/>
          <w:szCs w:val="24"/>
        </w:rPr>
        <w:t>.</w:t>
      </w:r>
    </w:p>
    <w:p w14:paraId="5142B13C" w14:textId="77777777" w:rsidR="00690E96" w:rsidRPr="00FC5C72" w:rsidRDefault="00690E96" w:rsidP="00785B18">
      <w:pPr>
        <w:spacing w:after="0" w:line="240" w:lineRule="auto"/>
        <w:jc w:val="both"/>
        <w:rPr>
          <w:sz w:val="24"/>
          <w:szCs w:val="24"/>
        </w:rPr>
      </w:pPr>
    </w:p>
    <w:p w14:paraId="3537AA27" w14:textId="3416FFFE" w:rsidR="00FE7C45" w:rsidRPr="00FC5C72" w:rsidRDefault="00FE7C45" w:rsidP="00785B18">
      <w:pPr>
        <w:spacing w:after="0" w:line="240" w:lineRule="auto"/>
        <w:jc w:val="both"/>
        <w:rPr>
          <w:sz w:val="24"/>
          <w:szCs w:val="24"/>
        </w:rPr>
      </w:pPr>
      <w:r w:rsidRPr="00FC5C72">
        <w:rPr>
          <w:sz w:val="24"/>
          <w:szCs w:val="24"/>
        </w:rPr>
        <w:t xml:space="preserve">მოსალოდნელია, რომ აქტიური ნივთიერებები, რომლებიც არ </w:t>
      </w:r>
      <w:r w:rsidR="0038743E" w:rsidRPr="00FC5C72">
        <w:rPr>
          <w:sz w:val="24"/>
          <w:szCs w:val="24"/>
        </w:rPr>
        <w:t>ითვლება</w:t>
      </w:r>
      <w:r w:rsidRPr="00FC5C72">
        <w:rPr>
          <w:sz w:val="24"/>
          <w:szCs w:val="24"/>
        </w:rPr>
        <w:t xml:space="preserve"> CYP3A4-</w:t>
      </w:r>
      <w:r w:rsidR="001F75A3" w:rsidRPr="00FC5C72">
        <w:rPr>
          <w:sz w:val="24"/>
          <w:szCs w:val="24"/>
        </w:rPr>
        <w:t>ი</w:t>
      </w:r>
      <w:r w:rsidRPr="00FC5C72">
        <w:rPr>
          <w:sz w:val="24"/>
          <w:szCs w:val="24"/>
        </w:rPr>
        <w:t>სა და P-gp-ის ძლიერ ინჰიბიტორებ</w:t>
      </w:r>
      <w:r w:rsidR="0038743E" w:rsidRPr="00FC5C72">
        <w:rPr>
          <w:sz w:val="24"/>
          <w:szCs w:val="24"/>
        </w:rPr>
        <w:t>ად</w:t>
      </w:r>
      <w:r w:rsidRPr="00FC5C72">
        <w:rPr>
          <w:sz w:val="24"/>
          <w:szCs w:val="24"/>
        </w:rPr>
        <w:t xml:space="preserve"> (მაგალითად, ამიოდარონი, კლარითრომიცინი, დილთიაზემი, ფლუკონაზოლი, ნაპროქსენი, ქინიდინი, ვერაპამილი), ნაკლებად</w:t>
      </w:r>
      <w:r w:rsidR="001F75A3" w:rsidRPr="00FC5C72">
        <w:rPr>
          <w:sz w:val="24"/>
          <w:szCs w:val="24"/>
        </w:rPr>
        <w:t xml:space="preserve"> </w:t>
      </w:r>
      <w:r w:rsidRPr="00FC5C72">
        <w:rPr>
          <w:sz w:val="24"/>
          <w:szCs w:val="24"/>
        </w:rPr>
        <w:t>გაზრდიან პლაზმაში აპიქსაბანის კონცენტრაციას. არ არის საჭირო აპიქსაბანის</w:t>
      </w:r>
      <w:r w:rsidR="001F75A3" w:rsidRPr="00FC5C72">
        <w:rPr>
          <w:sz w:val="24"/>
          <w:szCs w:val="24"/>
        </w:rPr>
        <w:t xml:space="preserve"> </w:t>
      </w:r>
      <w:r w:rsidRPr="00FC5C72">
        <w:rPr>
          <w:sz w:val="24"/>
          <w:szCs w:val="24"/>
        </w:rPr>
        <w:t>დოზის კორექცია იმ პრეპარატებთან ერთად გამოყენებისას, რომლებიც არ წარმოადგენენ</w:t>
      </w:r>
      <w:r w:rsidR="001F75A3" w:rsidRPr="00FC5C72">
        <w:rPr>
          <w:sz w:val="24"/>
          <w:szCs w:val="24"/>
        </w:rPr>
        <w:t xml:space="preserve"> </w:t>
      </w:r>
      <w:r w:rsidRPr="00FC5C72">
        <w:rPr>
          <w:sz w:val="24"/>
          <w:szCs w:val="24"/>
        </w:rPr>
        <w:t>CYP3A4-ისა და P-gp- ის ძლიერ ინჰიბიტორებს. მაგალითად, დილთიაზემ</w:t>
      </w:r>
      <w:r w:rsidR="00DD27FA" w:rsidRPr="00FC5C72">
        <w:rPr>
          <w:sz w:val="24"/>
          <w:szCs w:val="24"/>
        </w:rPr>
        <w:t>ი</w:t>
      </w:r>
      <w:r w:rsidRPr="00FC5C72">
        <w:rPr>
          <w:sz w:val="24"/>
          <w:szCs w:val="24"/>
        </w:rPr>
        <w:t xml:space="preserve"> (</w:t>
      </w:r>
      <w:r w:rsidR="001F75A3" w:rsidRPr="00FC5C72">
        <w:rPr>
          <w:sz w:val="24"/>
          <w:szCs w:val="24"/>
        </w:rPr>
        <w:t xml:space="preserve">დოზით </w:t>
      </w:r>
      <w:r w:rsidRPr="00FC5C72">
        <w:rPr>
          <w:sz w:val="24"/>
          <w:szCs w:val="24"/>
        </w:rPr>
        <w:t xml:space="preserve">360 მგ </w:t>
      </w:r>
      <w:r w:rsidR="001F75A3" w:rsidRPr="00FC5C72">
        <w:rPr>
          <w:sz w:val="24"/>
          <w:szCs w:val="24"/>
        </w:rPr>
        <w:t xml:space="preserve">ერთხელ </w:t>
      </w:r>
      <w:r w:rsidRPr="00FC5C72">
        <w:rPr>
          <w:sz w:val="24"/>
          <w:szCs w:val="24"/>
        </w:rPr>
        <w:t xml:space="preserve">დღე-ღამეში), რომელიც </w:t>
      </w:r>
      <w:r w:rsidR="00DD27FA" w:rsidRPr="00FC5C72">
        <w:rPr>
          <w:sz w:val="24"/>
          <w:szCs w:val="24"/>
        </w:rPr>
        <w:t>ითვლება</w:t>
      </w:r>
      <w:r w:rsidRPr="00FC5C72">
        <w:rPr>
          <w:sz w:val="24"/>
          <w:szCs w:val="24"/>
        </w:rPr>
        <w:t xml:space="preserve"> CYP3A4-ის ზომიერ ინჰიბიტორ</w:t>
      </w:r>
      <w:r w:rsidR="00DD27FA" w:rsidRPr="00FC5C72">
        <w:rPr>
          <w:sz w:val="24"/>
          <w:szCs w:val="24"/>
        </w:rPr>
        <w:t>ად</w:t>
      </w:r>
      <w:r w:rsidRPr="00FC5C72">
        <w:rPr>
          <w:sz w:val="24"/>
          <w:szCs w:val="24"/>
        </w:rPr>
        <w:t xml:space="preserve"> და P-gp-ის</w:t>
      </w:r>
      <w:r w:rsidR="00DD27FA" w:rsidRPr="00FC5C72">
        <w:rPr>
          <w:sz w:val="24"/>
          <w:szCs w:val="24"/>
        </w:rPr>
        <w:t xml:space="preserve"> </w:t>
      </w:r>
      <w:r w:rsidRPr="00FC5C72">
        <w:rPr>
          <w:sz w:val="24"/>
          <w:szCs w:val="24"/>
        </w:rPr>
        <w:t>სუსტ ინჰიბიტორ</w:t>
      </w:r>
      <w:r w:rsidR="00DD27FA" w:rsidRPr="00FC5C72">
        <w:rPr>
          <w:sz w:val="24"/>
          <w:szCs w:val="24"/>
        </w:rPr>
        <w:t>ად</w:t>
      </w:r>
      <w:r w:rsidRPr="00FC5C72">
        <w:rPr>
          <w:sz w:val="24"/>
          <w:szCs w:val="24"/>
        </w:rPr>
        <w:t xml:space="preserve">, </w:t>
      </w:r>
      <w:r w:rsidR="00DD27FA" w:rsidRPr="00FC5C72">
        <w:rPr>
          <w:sz w:val="24"/>
          <w:szCs w:val="24"/>
        </w:rPr>
        <w:t>იწვევს</w:t>
      </w:r>
      <w:r w:rsidRPr="00FC5C72">
        <w:rPr>
          <w:sz w:val="24"/>
          <w:szCs w:val="24"/>
        </w:rPr>
        <w:t xml:space="preserve"> აპიქსაბანის AUC საშუალო მნიშვნელობების 1.4-ჯერ ზრდა</w:t>
      </w:r>
      <w:r w:rsidR="00DD27FA" w:rsidRPr="00FC5C72">
        <w:rPr>
          <w:sz w:val="24"/>
          <w:szCs w:val="24"/>
        </w:rPr>
        <w:t xml:space="preserve">ს </w:t>
      </w:r>
      <w:r w:rsidRPr="00FC5C72">
        <w:rPr>
          <w:sz w:val="24"/>
          <w:szCs w:val="24"/>
        </w:rPr>
        <w:t>და Cmax საშუალო მნიშვნელობის 1.3-ჯერ ზრდა</w:t>
      </w:r>
      <w:r w:rsidR="00DD27FA" w:rsidRPr="00FC5C72">
        <w:rPr>
          <w:sz w:val="24"/>
          <w:szCs w:val="24"/>
        </w:rPr>
        <w:t>ს</w:t>
      </w:r>
      <w:r w:rsidRPr="00FC5C72">
        <w:rPr>
          <w:sz w:val="24"/>
          <w:szCs w:val="24"/>
        </w:rPr>
        <w:t>. ნაპროქსენ</w:t>
      </w:r>
      <w:r w:rsidR="00DD27FA" w:rsidRPr="00FC5C72">
        <w:rPr>
          <w:sz w:val="24"/>
          <w:szCs w:val="24"/>
        </w:rPr>
        <w:t>ი</w:t>
      </w:r>
      <w:r w:rsidRPr="00FC5C72">
        <w:rPr>
          <w:sz w:val="24"/>
          <w:szCs w:val="24"/>
        </w:rPr>
        <w:t xml:space="preserve"> (500 მგ, ერთჯერადი</w:t>
      </w:r>
      <w:r w:rsidR="00DD27FA" w:rsidRPr="00FC5C72">
        <w:rPr>
          <w:sz w:val="24"/>
          <w:szCs w:val="24"/>
        </w:rPr>
        <w:t xml:space="preserve"> </w:t>
      </w:r>
      <w:r w:rsidRPr="00FC5C72">
        <w:rPr>
          <w:sz w:val="24"/>
          <w:szCs w:val="24"/>
        </w:rPr>
        <w:t xml:space="preserve">დოზა), რომელიც არის P-gp-ის ინჰიბიტორი, </w:t>
      </w:r>
      <w:r w:rsidR="00DD27FA" w:rsidRPr="00FC5C72">
        <w:rPr>
          <w:sz w:val="24"/>
          <w:szCs w:val="24"/>
        </w:rPr>
        <w:t>მაგრამ</w:t>
      </w:r>
      <w:r w:rsidRPr="00FC5C72">
        <w:rPr>
          <w:sz w:val="24"/>
          <w:szCs w:val="24"/>
        </w:rPr>
        <w:t xml:space="preserve"> არ </w:t>
      </w:r>
      <w:r w:rsidR="00DD27FA" w:rsidRPr="00FC5C72">
        <w:rPr>
          <w:sz w:val="24"/>
          <w:szCs w:val="24"/>
        </w:rPr>
        <w:t>ახდენს</w:t>
      </w:r>
      <w:r w:rsidRPr="00FC5C72">
        <w:rPr>
          <w:sz w:val="24"/>
          <w:szCs w:val="24"/>
        </w:rPr>
        <w:t xml:space="preserve"> CYP3A4-ის </w:t>
      </w:r>
      <w:r w:rsidR="00DD27FA" w:rsidRPr="00FC5C72">
        <w:rPr>
          <w:sz w:val="24"/>
          <w:szCs w:val="24"/>
        </w:rPr>
        <w:t>ინჰიბირებას,</w:t>
      </w:r>
      <w:r w:rsidRPr="00FC5C72">
        <w:rPr>
          <w:sz w:val="24"/>
          <w:szCs w:val="24"/>
        </w:rPr>
        <w:t xml:space="preserve"> </w:t>
      </w:r>
      <w:r w:rsidR="00DD27FA" w:rsidRPr="00FC5C72">
        <w:rPr>
          <w:sz w:val="24"/>
          <w:szCs w:val="24"/>
        </w:rPr>
        <w:t>ზრდის</w:t>
      </w:r>
      <w:r w:rsidRPr="00FC5C72">
        <w:rPr>
          <w:sz w:val="24"/>
          <w:szCs w:val="24"/>
        </w:rPr>
        <w:t xml:space="preserve"> AUC და Cmax საშუალო მნიშვნელობებს </w:t>
      </w:r>
      <w:r w:rsidR="00DD27FA" w:rsidRPr="00FC5C72">
        <w:rPr>
          <w:sz w:val="24"/>
          <w:szCs w:val="24"/>
        </w:rPr>
        <w:t>შესაბამისად,</w:t>
      </w:r>
      <w:r w:rsidRPr="00FC5C72">
        <w:rPr>
          <w:sz w:val="24"/>
          <w:szCs w:val="24"/>
        </w:rPr>
        <w:t xml:space="preserve"> 1</w:t>
      </w:r>
      <w:r w:rsidR="00DD27FA" w:rsidRPr="00FC5C72">
        <w:rPr>
          <w:sz w:val="24"/>
          <w:szCs w:val="24"/>
        </w:rPr>
        <w:t>.</w:t>
      </w:r>
      <w:r w:rsidRPr="00FC5C72">
        <w:rPr>
          <w:sz w:val="24"/>
          <w:szCs w:val="24"/>
        </w:rPr>
        <w:t>5 და 1</w:t>
      </w:r>
      <w:r w:rsidR="00DD27FA" w:rsidRPr="00FC5C72">
        <w:rPr>
          <w:sz w:val="24"/>
          <w:szCs w:val="24"/>
        </w:rPr>
        <w:t>.</w:t>
      </w:r>
      <w:r w:rsidRPr="00FC5C72">
        <w:rPr>
          <w:sz w:val="24"/>
          <w:szCs w:val="24"/>
        </w:rPr>
        <w:t>6-ჯერ. კლარითრომიცინი (</w:t>
      </w:r>
      <w:r w:rsidR="00DB6FBB" w:rsidRPr="00FC5C72">
        <w:rPr>
          <w:sz w:val="24"/>
          <w:szCs w:val="24"/>
        </w:rPr>
        <w:t xml:space="preserve">დოზით </w:t>
      </w:r>
      <w:r w:rsidRPr="00FC5C72">
        <w:rPr>
          <w:sz w:val="24"/>
          <w:szCs w:val="24"/>
        </w:rPr>
        <w:t>500 მგ ორჯერ დღე-ღამეში), P-gp-ის ინჰიბიტორი და</w:t>
      </w:r>
      <w:r w:rsidR="00F043E8" w:rsidRPr="00FC5C72">
        <w:rPr>
          <w:sz w:val="24"/>
          <w:szCs w:val="24"/>
        </w:rPr>
        <w:t xml:space="preserve"> </w:t>
      </w:r>
      <w:r w:rsidRPr="00FC5C72">
        <w:rPr>
          <w:sz w:val="24"/>
          <w:szCs w:val="24"/>
        </w:rPr>
        <w:t>CYP3A4-ის ძლიერი ინჰიბიტორი, იწვევდა აპიქსაბანის AUC-ისა და Cmax-ის საშუალო</w:t>
      </w:r>
      <w:r w:rsidR="00F043E8" w:rsidRPr="00FC5C72">
        <w:rPr>
          <w:sz w:val="24"/>
          <w:szCs w:val="24"/>
        </w:rPr>
        <w:t xml:space="preserve"> </w:t>
      </w:r>
      <w:r w:rsidRPr="00FC5C72">
        <w:rPr>
          <w:sz w:val="24"/>
          <w:szCs w:val="24"/>
        </w:rPr>
        <w:t xml:space="preserve">მნიშვნელობების ზრდას </w:t>
      </w:r>
      <w:r w:rsidR="00F043E8" w:rsidRPr="00FC5C72">
        <w:rPr>
          <w:sz w:val="24"/>
          <w:szCs w:val="24"/>
        </w:rPr>
        <w:t xml:space="preserve">შესაბამისად </w:t>
      </w:r>
      <w:r w:rsidRPr="00FC5C72">
        <w:rPr>
          <w:sz w:val="24"/>
          <w:szCs w:val="24"/>
        </w:rPr>
        <w:t>1.6 და 1.3-ჯერ.</w:t>
      </w:r>
    </w:p>
    <w:p w14:paraId="3BD16A81" w14:textId="2D1BFF0D" w:rsidR="00F043E8" w:rsidRPr="00FC5C72" w:rsidRDefault="00F043E8" w:rsidP="00785B18">
      <w:pPr>
        <w:spacing w:after="0" w:line="240" w:lineRule="auto"/>
        <w:jc w:val="both"/>
        <w:rPr>
          <w:rFonts w:eastAsia="Times New Roman"/>
          <w:i/>
          <w:sz w:val="24"/>
          <w:szCs w:val="24"/>
          <w:lang w:eastAsia="ru-RU"/>
        </w:rPr>
      </w:pPr>
      <w:r w:rsidRPr="00FC5C72">
        <w:rPr>
          <w:rFonts w:ascii="Times New Roman" w:eastAsia="Times New Roman" w:hAnsi="Times New Roman"/>
          <w:i/>
          <w:sz w:val="24"/>
          <w:szCs w:val="24"/>
          <w:lang w:eastAsia="ru-RU"/>
        </w:rPr>
        <w:t>CYP3A4</w:t>
      </w:r>
      <w:r w:rsidRPr="00FC5C72">
        <w:rPr>
          <w:rFonts w:eastAsia="Times New Roman"/>
          <w:i/>
          <w:sz w:val="24"/>
          <w:szCs w:val="24"/>
          <w:lang w:eastAsia="ru-RU"/>
        </w:rPr>
        <w:t xml:space="preserve">-ის </w:t>
      </w:r>
      <w:r w:rsidRPr="00FC5C72">
        <w:rPr>
          <w:rFonts w:ascii="Sylfaen" w:eastAsia="Times New Roman" w:hAnsi="Sylfaen"/>
          <w:i/>
          <w:sz w:val="24"/>
          <w:szCs w:val="24"/>
          <w:lang w:eastAsia="ru-RU"/>
        </w:rPr>
        <w:t>და</w:t>
      </w:r>
      <w:r w:rsidRPr="00FC5C72">
        <w:rPr>
          <w:rFonts w:ascii="Times New Roman" w:eastAsia="Times New Roman" w:hAnsi="Times New Roman"/>
          <w:i/>
          <w:sz w:val="24"/>
          <w:szCs w:val="24"/>
          <w:lang w:eastAsia="ru-RU"/>
        </w:rPr>
        <w:t xml:space="preserve"> P-gp</w:t>
      </w:r>
      <w:r w:rsidR="00231F52" w:rsidRPr="00FC5C72">
        <w:rPr>
          <w:rFonts w:eastAsia="Times New Roman"/>
          <w:i/>
          <w:sz w:val="24"/>
          <w:szCs w:val="24"/>
          <w:lang w:eastAsia="ru-RU"/>
        </w:rPr>
        <w:t>-ის ინდუქტორები</w:t>
      </w:r>
    </w:p>
    <w:p w14:paraId="7ECD81B8" w14:textId="782208B6" w:rsidR="008A7C9D" w:rsidRPr="00FC5C72" w:rsidRDefault="00586CA2" w:rsidP="00785B18">
      <w:pPr>
        <w:spacing w:after="0" w:line="240" w:lineRule="auto"/>
        <w:jc w:val="both"/>
        <w:rPr>
          <w:sz w:val="24"/>
          <w:szCs w:val="24"/>
        </w:rPr>
      </w:pPr>
      <w:r w:rsidRPr="00FC5C72">
        <w:rPr>
          <w:sz w:val="24"/>
          <w:szCs w:val="24"/>
        </w:rPr>
        <w:t>აპიქსაბანის ერთდროულმა გამოყენებამ რიფამპიცინთან - CYP3A4-ისა და P-gp-ის ძლიერ</w:t>
      </w:r>
      <w:r w:rsidR="00231F52" w:rsidRPr="00FC5C72">
        <w:rPr>
          <w:sz w:val="24"/>
          <w:szCs w:val="24"/>
        </w:rPr>
        <w:t xml:space="preserve"> </w:t>
      </w:r>
      <w:r w:rsidRPr="00FC5C72">
        <w:rPr>
          <w:sz w:val="24"/>
          <w:szCs w:val="24"/>
        </w:rPr>
        <w:t xml:space="preserve">ინდუქტორთან - გამოიწვია აპიქსაბანის AUC-ისა და Cmax-ის </w:t>
      </w:r>
      <w:r w:rsidR="00231F52" w:rsidRPr="00FC5C72">
        <w:rPr>
          <w:sz w:val="24"/>
          <w:szCs w:val="24"/>
        </w:rPr>
        <w:t xml:space="preserve">საშუალო </w:t>
      </w:r>
      <w:r w:rsidRPr="00FC5C72">
        <w:rPr>
          <w:sz w:val="24"/>
          <w:szCs w:val="24"/>
        </w:rPr>
        <w:t>მნიშვნელობების</w:t>
      </w:r>
      <w:r w:rsidR="00231F52" w:rsidRPr="00FC5C72">
        <w:rPr>
          <w:sz w:val="24"/>
          <w:szCs w:val="24"/>
        </w:rPr>
        <w:t xml:space="preserve"> </w:t>
      </w:r>
      <w:r w:rsidRPr="00FC5C72">
        <w:rPr>
          <w:sz w:val="24"/>
          <w:szCs w:val="24"/>
        </w:rPr>
        <w:t xml:space="preserve">შემცირება </w:t>
      </w:r>
      <w:r w:rsidR="008A7C9D" w:rsidRPr="00FC5C72">
        <w:rPr>
          <w:sz w:val="24"/>
          <w:szCs w:val="24"/>
        </w:rPr>
        <w:t>შესაბამისად</w:t>
      </w:r>
      <w:r w:rsidRPr="00FC5C72">
        <w:rPr>
          <w:sz w:val="24"/>
          <w:szCs w:val="24"/>
        </w:rPr>
        <w:t xml:space="preserve"> 54% და 42%</w:t>
      </w:r>
      <w:r w:rsidR="008A7C9D" w:rsidRPr="00FC5C72">
        <w:rPr>
          <w:sz w:val="24"/>
          <w:szCs w:val="24"/>
        </w:rPr>
        <w:t>-ით</w:t>
      </w:r>
      <w:r w:rsidRPr="00FC5C72">
        <w:rPr>
          <w:sz w:val="24"/>
          <w:szCs w:val="24"/>
        </w:rPr>
        <w:t>. აპიქსაბანის ერთდროულ</w:t>
      </w:r>
      <w:r w:rsidR="008A7C9D" w:rsidRPr="00FC5C72">
        <w:rPr>
          <w:sz w:val="24"/>
          <w:szCs w:val="24"/>
        </w:rPr>
        <w:t>ად</w:t>
      </w:r>
      <w:r w:rsidRPr="00FC5C72">
        <w:rPr>
          <w:sz w:val="24"/>
          <w:szCs w:val="24"/>
        </w:rPr>
        <w:t xml:space="preserve"> გამოყენება</w:t>
      </w:r>
      <w:r w:rsidR="008A7C9D" w:rsidRPr="00FC5C72">
        <w:rPr>
          <w:sz w:val="24"/>
          <w:szCs w:val="24"/>
        </w:rPr>
        <w:t xml:space="preserve"> </w:t>
      </w:r>
      <w:r w:rsidRPr="00FC5C72">
        <w:rPr>
          <w:sz w:val="24"/>
          <w:szCs w:val="24"/>
        </w:rPr>
        <w:t>CYP3A4-ისა და P-gp-ის სხვა ძლიერ ინდუქტორებთან (მაგალითად, ფენიტოინთან, კარბამაზეპინთან, ფენობარბიტალთან ან კრაზანას პრეპარატებთან) შეიძლება ასევე</w:t>
      </w:r>
      <w:r w:rsidR="008A7C9D" w:rsidRPr="00FC5C72">
        <w:rPr>
          <w:sz w:val="24"/>
          <w:szCs w:val="24"/>
        </w:rPr>
        <w:t xml:space="preserve"> იწვევდეს</w:t>
      </w:r>
      <w:r w:rsidRPr="00FC5C72">
        <w:rPr>
          <w:sz w:val="24"/>
          <w:szCs w:val="24"/>
        </w:rPr>
        <w:t xml:space="preserve"> აპიქსაბანის კონცენტრაციის დაქვეითება</w:t>
      </w:r>
      <w:r w:rsidR="008A7C9D" w:rsidRPr="00FC5C72">
        <w:rPr>
          <w:sz w:val="24"/>
          <w:szCs w:val="24"/>
        </w:rPr>
        <w:t>ს</w:t>
      </w:r>
      <w:r w:rsidRPr="00FC5C72">
        <w:rPr>
          <w:sz w:val="24"/>
          <w:szCs w:val="24"/>
        </w:rPr>
        <w:t xml:space="preserve"> სისხლის პლაზმაში. ასეთ სამკურნალო</w:t>
      </w:r>
      <w:r w:rsidR="008A7C9D" w:rsidRPr="00FC5C72">
        <w:rPr>
          <w:sz w:val="24"/>
          <w:szCs w:val="24"/>
        </w:rPr>
        <w:t xml:space="preserve"> </w:t>
      </w:r>
      <w:r w:rsidRPr="00FC5C72">
        <w:rPr>
          <w:sz w:val="24"/>
          <w:szCs w:val="24"/>
        </w:rPr>
        <w:t>საშუალებებთან ერთად გამოყენებისას აპიქსაბანის დოზის კორექცია საჭირო არ არის, მაგრამ</w:t>
      </w:r>
      <w:r w:rsidR="008A7C9D" w:rsidRPr="00FC5C72">
        <w:rPr>
          <w:sz w:val="24"/>
          <w:szCs w:val="24"/>
        </w:rPr>
        <w:t xml:space="preserve"> პაციენტებში, რომლებიც ერთდროულად იღებენ სისტემურ თერაპიას CYP3A4 და P-gp-ის ძლიერი ინდუქტორებით, </w:t>
      </w:r>
      <w:r w:rsidRPr="00FC5C72">
        <w:rPr>
          <w:sz w:val="24"/>
          <w:szCs w:val="24"/>
        </w:rPr>
        <w:t>აპიქსაბანი სიფრთხილით უნდა იქნას გამოყენებული ვთ</w:t>
      </w:r>
      <w:r w:rsidR="008A7C9D" w:rsidRPr="00FC5C72">
        <w:rPr>
          <w:sz w:val="24"/>
          <w:szCs w:val="24"/>
        </w:rPr>
        <w:t>გ</w:t>
      </w:r>
      <w:r w:rsidRPr="00FC5C72">
        <w:rPr>
          <w:sz w:val="24"/>
          <w:szCs w:val="24"/>
        </w:rPr>
        <w:t>-ის პროფილაქტიკისთვის</w:t>
      </w:r>
      <w:r w:rsidR="008A7C9D" w:rsidRPr="00FC5C72">
        <w:rPr>
          <w:sz w:val="24"/>
          <w:szCs w:val="24"/>
        </w:rPr>
        <w:t xml:space="preserve"> </w:t>
      </w:r>
      <w:r w:rsidRPr="00FC5C72">
        <w:rPr>
          <w:sz w:val="24"/>
          <w:szCs w:val="24"/>
        </w:rPr>
        <w:t>მენჯ</w:t>
      </w:r>
      <w:r w:rsidR="008A7C9D" w:rsidRPr="00FC5C72">
        <w:rPr>
          <w:sz w:val="24"/>
          <w:szCs w:val="24"/>
        </w:rPr>
        <w:t>-</w:t>
      </w:r>
      <w:r w:rsidRPr="00FC5C72">
        <w:rPr>
          <w:sz w:val="24"/>
          <w:szCs w:val="24"/>
        </w:rPr>
        <w:t xml:space="preserve">ბარძაყის ან მუხლის სახსრის გეგმიური </w:t>
      </w:r>
      <w:r w:rsidR="008A7C9D" w:rsidRPr="00FC5C72">
        <w:rPr>
          <w:sz w:val="24"/>
          <w:szCs w:val="24"/>
        </w:rPr>
        <w:t>ენდოპროთეზირების შემდეგ</w:t>
      </w:r>
      <w:r w:rsidRPr="00FC5C72">
        <w:rPr>
          <w:sz w:val="24"/>
          <w:szCs w:val="24"/>
        </w:rPr>
        <w:t>, ინსულტის და სისტემური</w:t>
      </w:r>
      <w:r w:rsidR="008A7C9D" w:rsidRPr="00FC5C72">
        <w:rPr>
          <w:sz w:val="24"/>
          <w:szCs w:val="24"/>
        </w:rPr>
        <w:t xml:space="preserve"> </w:t>
      </w:r>
      <w:r w:rsidRPr="00FC5C72">
        <w:rPr>
          <w:sz w:val="24"/>
          <w:szCs w:val="24"/>
        </w:rPr>
        <w:t xml:space="preserve">ემბოლიის პროფილაქტიკისთვის წასფ-ის მქონე პაციენტებში და </w:t>
      </w:r>
      <w:r w:rsidR="008A7C9D" w:rsidRPr="00FC5C72">
        <w:rPr>
          <w:sz w:val="24"/>
          <w:szCs w:val="24"/>
        </w:rPr>
        <w:t xml:space="preserve">მორეციდივე </w:t>
      </w:r>
      <w:r w:rsidRPr="00FC5C72">
        <w:rPr>
          <w:sz w:val="24"/>
          <w:szCs w:val="24"/>
        </w:rPr>
        <w:t>ღვთ-</w:t>
      </w:r>
      <w:r w:rsidR="008A7C9D" w:rsidRPr="00FC5C72">
        <w:rPr>
          <w:sz w:val="24"/>
          <w:szCs w:val="24"/>
        </w:rPr>
        <w:t>ი</w:t>
      </w:r>
      <w:r w:rsidRPr="00FC5C72">
        <w:rPr>
          <w:sz w:val="24"/>
          <w:szCs w:val="24"/>
        </w:rPr>
        <w:t>სა და ფათე-</w:t>
      </w:r>
      <w:r w:rsidR="008A7C9D" w:rsidRPr="00FC5C72">
        <w:rPr>
          <w:sz w:val="24"/>
          <w:szCs w:val="24"/>
        </w:rPr>
        <w:t>ი</w:t>
      </w:r>
      <w:r w:rsidRPr="00FC5C72">
        <w:rPr>
          <w:sz w:val="24"/>
          <w:szCs w:val="24"/>
        </w:rPr>
        <w:t>ს</w:t>
      </w:r>
      <w:r w:rsidR="008A7C9D" w:rsidRPr="00FC5C72">
        <w:rPr>
          <w:sz w:val="24"/>
          <w:szCs w:val="24"/>
        </w:rPr>
        <w:t xml:space="preserve"> </w:t>
      </w:r>
      <w:r w:rsidRPr="00FC5C72">
        <w:rPr>
          <w:sz w:val="24"/>
          <w:szCs w:val="24"/>
        </w:rPr>
        <w:t>პროფილაქტიკის</w:t>
      </w:r>
      <w:r w:rsidR="008A7C9D" w:rsidRPr="00FC5C72">
        <w:rPr>
          <w:sz w:val="24"/>
          <w:szCs w:val="24"/>
        </w:rPr>
        <w:t>თვის.</w:t>
      </w:r>
    </w:p>
    <w:p w14:paraId="16E1E38C" w14:textId="77777777" w:rsidR="00426643" w:rsidRPr="00FC5C72" w:rsidRDefault="00586CA2" w:rsidP="00785B18">
      <w:pPr>
        <w:spacing w:after="0" w:line="240" w:lineRule="auto"/>
        <w:jc w:val="both"/>
        <w:rPr>
          <w:sz w:val="24"/>
          <w:szCs w:val="24"/>
        </w:rPr>
      </w:pPr>
      <w:r w:rsidRPr="00FC5C72">
        <w:rPr>
          <w:sz w:val="24"/>
          <w:szCs w:val="24"/>
        </w:rPr>
        <w:t>აპიქსაბანის გამოყენება არ არის რეკომენდებული ღვთ-</w:t>
      </w:r>
      <w:r w:rsidR="004F21D4" w:rsidRPr="00FC5C72">
        <w:rPr>
          <w:sz w:val="24"/>
          <w:szCs w:val="24"/>
        </w:rPr>
        <w:t>ი</w:t>
      </w:r>
      <w:r w:rsidRPr="00FC5C72">
        <w:rPr>
          <w:sz w:val="24"/>
          <w:szCs w:val="24"/>
        </w:rPr>
        <w:t>სა და ფათე-</w:t>
      </w:r>
      <w:r w:rsidR="004F21D4" w:rsidRPr="00FC5C72">
        <w:rPr>
          <w:sz w:val="24"/>
          <w:szCs w:val="24"/>
        </w:rPr>
        <w:t>ი</w:t>
      </w:r>
      <w:r w:rsidRPr="00FC5C72">
        <w:rPr>
          <w:sz w:val="24"/>
          <w:szCs w:val="24"/>
        </w:rPr>
        <w:t>ს მკურნალობისათვის</w:t>
      </w:r>
      <w:r w:rsidR="004F21D4" w:rsidRPr="00FC5C72">
        <w:rPr>
          <w:sz w:val="24"/>
          <w:szCs w:val="24"/>
        </w:rPr>
        <w:t xml:space="preserve"> </w:t>
      </w:r>
      <w:r w:rsidRPr="00FC5C72">
        <w:rPr>
          <w:sz w:val="24"/>
          <w:szCs w:val="24"/>
        </w:rPr>
        <w:t>პაციენტებში, რომლებიც იღებენ თანმხლებ სისტემურ მკურნალობას CYP3A4</w:t>
      </w:r>
      <w:r w:rsidR="004F21D4" w:rsidRPr="00FC5C72">
        <w:rPr>
          <w:sz w:val="24"/>
          <w:szCs w:val="24"/>
        </w:rPr>
        <w:t>-ის</w:t>
      </w:r>
      <w:r w:rsidRPr="00FC5C72">
        <w:rPr>
          <w:sz w:val="24"/>
          <w:szCs w:val="24"/>
        </w:rPr>
        <w:t xml:space="preserve"> და P- gp</w:t>
      </w:r>
      <w:r w:rsidR="004F21D4" w:rsidRPr="00FC5C72">
        <w:rPr>
          <w:sz w:val="24"/>
          <w:szCs w:val="24"/>
        </w:rPr>
        <w:t xml:space="preserve">-ის </w:t>
      </w:r>
      <w:r w:rsidR="00BC4A5B" w:rsidRPr="00FC5C72">
        <w:rPr>
          <w:sz w:val="24"/>
          <w:szCs w:val="24"/>
        </w:rPr>
        <w:t xml:space="preserve">ძლიერი </w:t>
      </w:r>
      <w:r w:rsidRPr="00FC5C72">
        <w:rPr>
          <w:sz w:val="24"/>
          <w:szCs w:val="24"/>
        </w:rPr>
        <w:t xml:space="preserve">ინდუქტორებით, რადგან </w:t>
      </w:r>
      <w:r w:rsidR="00BC4A5B" w:rsidRPr="00FC5C72">
        <w:rPr>
          <w:sz w:val="24"/>
          <w:szCs w:val="24"/>
        </w:rPr>
        <w:t xml:space="preserve">მისი </w:t>
      </w:r>
      <w:r w:rsidRPr="00FC5C72">
        <w:rPr>
          <w:sz w:val="24"/>
          <w:szCs w:val="24"/>
        </w:rPr>
        <w:t>ეფექტ</w:t>
      </w:r>
      <w:r w:rsidR="00BC4A5B" w:rsidRPr="00FC5C72">
        <w:rPr>
          <w:sz w:val="24"/>
          <w:szCs w:val="24"/>
        </w:rPr>
        <w:t>იან</w:t>
      </w:r>
      <w:r w:rsidRPr="00FC5C72">
        <w:rPr>
          <w:sz w:val="24"/>
          <w:szCs w:val="24"/>
        </w:rPr>
        <w:t xml:space="preserve">ობა შეიძლება </w:t>
      </w:r>
      <w:r w:rsidR="003E264F" w:rsidRPr="00FC5C72">
        <w:rPr>
          <w:sz w:val="24"/>
          <w:szCs w:val="24"/>
        </w:rPr>
        <w:t>შემცირებული იყოს</w:t>
      </w:r>
      <w:r w:rsidR="00426643" w:rsidRPr="00FC5C72">
        <w:rPr>
          <w:sz w:val="24"/>
          <w:szCs w:val="24"/>
        </w:rPr>
        <w:t xml:space="preserve"> (იხ. პარაგრაფი „განსაკუთრებული მითითებები“)</w:t>
      </w:r>
      <w:r w:rsidR="003E264F" w:rsidRPr="00FC5C72">
        <w:rPr>
          <w:sz w:val="24"/>
          <w:szCs w:val="24"/>
        </w:rPr>
        <w:t>.</w:t>
      </w:r>
    </w:p>
    <w:p w14:paraId="039F9E35" w14:textId="1F764280" w:rsidR="00F043E8" w:rsidRPr="00FC5C72" w:rsidRDefault="003E264F" w:rsidP="00785B18">
      <w:pPr>
        <w:spacing w:after="0" w:line="240" w:lineRule="auto"/>
        <w:jc w:val="both"/>
        <w:rPr>
          <w:sz w:val="24"/>
          <w:szCs w:val="24"/>
        </w:rPr>
      </w:pPr>
      <w:r w:rsidRPr="00FC5C72">
        <w:rPr>
          <w:sz w:val="24"/>
          <w:szCs w:val="24"/>
        </w:rPr>
        <w:t xml:space="preserve"> </w:t>
      </w:r>
    </w:p>
    <w:p w14:paraId="0362E1AA" w14:textId="627B7EC4" w:rsidR="003E264F" w:rsidRPr="00FC5C72" w:rsidRDefault="003E264F" w:rsidP="00785B18">
      <w:pPr>
        <w:spacing w:after="0" w:line="240" w:lineRule="auto"/>
        <w:jc w:val="both"/>
        <w:rPr>
          <w:i/>
          <w:iCs/>
          <w:sz w:val="24"/>
          <w:szCs w:val="24"/>
        </w:rPr>
      </w:pPr>
      <w:r w:rsidRPr="00FC5C72">
        <w:rPr>
          <w:i/>
          <w:iCs/>
          <w:sz w:val="24"/>
          <w:szCs w:val="24"/>
        </w:rPr>
        <w:t>ანტიკოაგულანტები, თრომბოციტების აგრეგაციის ინჰიბიტორები, სუსი/სნუსი და აასს</w:t>
      </w:r>
    </w:p>
    <w:p w14:paraId="26D8FFD7" w14:textId="1226A806" w:rsidR="00C304A3" w:rsidRPr="00FC5C72" w:rsidRDefault="00C304A3" w:rsidP="00785B18">
      <w:pPr>
        <w:spacing w:after="0" w:line="240" w:lineRule="auto"/>
        <w:jc w:val="both"/>
        <w:rPr>
          <w:sz w:val="24"/>
          <w:szCs w:val="24"/>
        </w:rPr>
      </w:pPr>
      <w:r w:rsidRPr="00FC5C72">
        <w:rPr>
          <w:sz w:val="24"/>
          <w:szCs w:val="24"/>
        </w:rPr>
        <w:t xml:space="preserve">სისხლდენის </w:t>
      </w:r>
      <w:r w:rsidR="00426643" w:rsidRPr="00FC5C72">
        <w:rPr>
          <w:sz w:val="24"/>
          <w:szCs w:val="24"/>
        </w:rPr>
        <w:t xml:space="preserve">განვითარების </w:t>
      </w:r>
      <w:r w:rsidRPr="00FC5C72">
        <w:rPr>
          <w:sz w:val="24"/>
          <w:szCs w:val="24"/>
        </w:rPr>
        <w:t xml:space="preserve">მაღალი რისკის გამო, ნებისმიერ სხვა ანტიკოაგულანტთან ერთდროულად მიღება უკუნაჩვენებია, გარდა ანტიკოაგულანტით მკურნალობის შეცვლის, განსაკუთრებული შემთხვევებისა, როდესაც აფჰ გამოიყენება ცენტრალური ვენური ან არტერიული კათეტერის გამტარიანობის </w:t>
      </w:r>
      <w:r w:rsidR="00F21A71" w:rsidRPr="00FC5C72">
        <w:rPr>
          <w:sz w:val="24"/>
          <w:szCs w:val="24"/>
        </w:rPr>
        <w:t>უზრუნველმყოფელი დოზით,</w:t>
      </w:r>
      <w:r w:rsidRPr="00FC5C72">
        <w:rPr>
          <w:sz w:val="24"/>
          <w:szCs w:val="24"/>
        </w:rPr>
        <w:t xml:space="preserve"> ან როდესაც აფჰ გამოიყენება კათეტერული აბლაციის დროს წინაგულების ფიბრილაციის სამკურნალოდ (იხ. პარაგრაფი </w:t>
      </w:r>
      <w:r w:rsidR="00426643" w:rsidRPr="00FC5C72">
        <w:rPr>
          <w:sz w:val="24"/>
          <w:szCs w:val="24"/>
        </w:rPr>
        <w:t>„</w:t>
      </w:r>
      <w:r w:rsidRPr="00FC5C72">
        <w:rPr>
          <w:sz w:val="24"/>
          <w:szCs w:val="24"/>
        </w:rPr>
        <w:t xml:space="preserve">უკუჩვენება“). </w:t>
      </w:r>
    </w:p>
    <w:p w14:paraId="5F6D0524" w14:textId="25B0E306" w:rsidR="00C304A3" w:rsidRPr="00FC5C72" w:rsidRDefault="00C304A3" w:rsidP="00785B18">
      <w:pPr>
        <w:spacing w:after="0" w:line="240" w:lineRule="auto"/>
        <w:jc w:val="both"/>
        <w:rPr>
          <w:sz w:val="24"/>
          <w:szCs w:val="24"/>
        </w:rPr>
      </w:pPr>
      <w:r w:rsidRPr="00FC5C72">
        <w:rPr>
          <w:sz w:val="24"/>
          <w:szCs w:val="24"/>
        </w:rPr>
        <w:t>ენოქსაპარინის (40 მგ ერთჯერადად) და აპიქსაბანის (5 მგ ერთჯერადად) ერთდროულად გამოყენების შემდეგ დაფიქსირდა ადიტიური</w:t>
      </w:r>
      <w:r w:rsidR="00426643" w:rsidRPr="00FC5C72">
        <w:rPr>
          <w:sz w:val="24"/>
          <w:szCs w:val="24"/>
        </w:rPr>
        <w:t xml:space="preserve"> ეფექტი</w:t>
      </w:r>
      <w:r w:rsidRPr="00FC5C72">
        <w:rPr>
          <w:sz w:val="24"/>
          <w:szCs w:val="24"/>
        </w:rPr>
        <w:t xml:space="preserve"> ანტი</w:t>
      </w:r>
      <w:r w:rsidR="00426643" w:rsidRPr="00FC5C72">
        <w:rPr>
          <w:sz w:val="24"/>
          <w:szCs w:val="24"/>
        </w:rPr>
        <w:t xml:space="preserve">ფაქტორი </w:t>
      </w:r>
      <w:r w:rsidRPr="00FC5C72">
        <w:rPr>
          <w:sz w:val="24"/>
          <w:szCs w:val="24"/>
        </w:rPr>
        <w:t>Xa-</w:t>
      </w:r>
      <w:r w:rsidR="00426643" w:rsidRPr="00FC5C72">
        <w:rPr>
          <w:sz w:val="24"/>
          <w:szCs w:val="24"/>
        </w:rPr>
        <w:t>ს</w:t>
      </w:r>
      <w:r w:rsidRPr="00FC5C72">
        <w:rPr>
          <w:sz w:val="24"/>
          <w:szCs w:val="24"/>
        </w:rPr>
        <w:t xml:space="preserve"> </w:t>
      </w:r>
      <w:r w:rsidR="00426643" w:rsidRPr="00FC5C72">
        <w:rPr>
          <w:sz w:val="24"/>
          <w:szCs w:val="24"/>
        </w:rPr>
        <w:t>აქტივობის მიმართ</w:t>
      </w:r>
      <w:r w:rsidRPr="00FC5C72">
        <w:rPr>
          <w:sz w:val="24"/>
          <w:szCs w:val="24"/>
        </w:rPr>
        <w:t xml:space="preserve">. </w:t>
      </w:r>
    </w:p>
    <w:p w14:paraId="00964B16" w14:textId="77777777" w:rsidR="00426643" w:rsidRPr="00FC5C72" w:rsidRDefault="00C304A3" w:rsidP="00785B18">
      <w:pPr>
        <w:spacing w:after="0" w:line="240" w:lineRule="auto"/>
        <w:jc w:val="both"/>
        <w:rPr>
          <w:sz w:val="24"/>
          <w:szCs w:val="24"/>
        </w:rPr>
      </w:pPr>
      <w:r w:rsidRPr="00FC5C72">
        <w:rPr>
          <w:sz w:val="24"/>
          <w:szCs w:val="24"/>
        </w:rPr>
        <w:t xml:space="preserve">აპიქსაბანის მიღებისას ასმ-სთან დოზით 325 მგ ერთხელ დღე-ღამეში ფარმაკოკინეტიკური ან ფარმაკოდინამიკური ურთიერთქმედების ნიშნები არ გამოვლენილა. </w:t>
      </w:r>
    </w:p>
    <w:p w14:paraId="08B7EFE2" w14:textId="397DF146" w:rsidR="00974E05" w:rsidRPr="00FC5C72" w:rsidRDefault="00C304A3" w:rsidP="00785B18">
      <w:pPr>
        <w:spacing w:after="0" w:line="240" w:lineRule="auto"/>
        <w:jc w:val="both"/>
        <w:rPr>
          <w:sz w:val="24"/>
          <w:szCs w:val="24"/>
        </w:rPr>
      </w:pPr>
      <w:r w:rsidRPr="00FC5C72">
        <w:rPr>
          <w:sz w:val="24"/>
          <w:szCs w:val="24"/>
        </w:rPr>
        <w:t>აპიქსაბანის ერთდროულ</w:t>
      </w:r>
      <w:r w:rsidR="00FD71A1" w:rsidRPr="00FC5C72">
        <w:rPr>
          <w:sz w:val="24"/>
          <w:szCs w:val="24"/>
        </w:rPr>
        <w:t>ად</w:t>
      </w:r>
      <w:r w:rsidRPr="00FC5C72">
        <w:rPr>
          <w:sz w:val="24"/>
          <w:szCs w:val="24"/>
        </w:rPr>
        <w:t xml:space="preserve"> გამოყენებ</w:t>
      </w:r>
      <w:r w:rsidR="00FD71A1" w:rsidRPr="00FC5C72">
        <w:rPr>
          <w:sz w:val="24"/>
          <w:szCs w:val="24"/>
        </w:rPr>
        <w:t>ისას</w:t>
      </w:r>
      <w:r w:rsidRPr="00FC5C72">
        <w:rPr>
          <w:sz w:val="24"/>
          <w:szCs w:val="24"/>
        </w:rPr>
        <w:t xml:space="preserve"> კლოპიდოგრელთან (75 მგ ერთხელ დღე-ღამეში)</w:t>
      </w:r>
      <w:r w:rsidR="00FD71A1" w:rsidRPr="00FC5C72">
        <w:rPr>
          <w:sz w:val="24"/>
          <w:szCs w:val="24"/>
        </w:rPr>
        <w:t xml:space="preserve">, 75 მგ დოზით </w:t>
      </w:r>
      <w:r w:rsidRPr="00FC5C72">
        <w:rPr>
          <w:sz w:val="24"/>
          <w:szCs w:val="24"/>
        </w:rPr>
        <w:t xml:space="preserve">კლოპიდოგრელის და </w:t>
      </w:r>
      <w:r w:rsidR="00426643" w:rsidRPr="00FC5C72">
        <w:rPr>
          <w:sz w:val="24"/>
          <w:szCs w:val="24"/>
        </w:rPr>
        <w:t xml:space="preserve">ერთხელ დღე-ღამეში </w:t>
      </w:r>
      <w:r w:rsidRPr="00FC5C72">
        <w:rPr>
          <w:sz w:val="24"/>
          <w:szCs w:val="24"/>
        </w:rPr>
        <w:t xml:space="preserve">162 მგ </w:t>
      </w:r>
      <w:r w:rsidR="00FD71A1" w:rsidRPr="00FC5C72">
        <w:rPr>
          <w:sz w:val="24"/>
          <w:szCs w:val="24"/>
        </w:rPr>
        <w:t xml:space="preserve">დოზით </w:t>
      </w:r>
      <w:r w:rsidRPr="00FC5C72">
        <w:rPr>
          <w:sz w:val="24"/>
          <w:szCs w:val="24"/>
        </w:rPr>
        <w:t>ასმ-ს კომბინაციასთან, ან პრასუგრელთან</w:t>
      </w:r>
      <w:r w:rsidR="00FD71A1" w:rsidRPr="00FC5C72">
        <w:rPr>
          <w:sz w:val="24"/>
          <w:szCs w:val="24"/>
        </w:rPr>
        <w:t xml:space="preserve"> </w:t>
      </w:r>
      <w:r w:rsidRPr="00FC5C72">
        <w:rPr>
          <w:sz w:val="24"/>
          <w:szCs w:val="24"/>
        </w:rPr>
        <w:t>(60 მგ, ხოლო შემდეგ 10 მგ ერთხელ დღე</w:t>
      </w:r>
      <w:r w:rsidR="00FD71A1" w:rsidRPr="00FC5C72">
        <w:rPr>
          <w:sz w:val="24"/>
          <w:szCs w:val="24"/>
        </w:rPr>
        <w:t>-</w:t>
      </w:r>
      <w:r w:rsidRPr="00FC5C72">
        <w:rPr>
          <w:sz w:val="24"/>
          <w:szCs w:val="24"/>
        </w:rPr>
        <w:t xml:space="preserve">ღამეში) </w:t>
      </w:r>
      <w:r w:rsidR="00FD71A1" w:rsidRPr="00FC5C72">
        <w:rPr>
          <w:sz w:val="24"/>
          <w:szCs w:val="24"/>
        </w:rPr>
        <w:t xml:space="preserve">ერთად </w:t>
      </w:r>
      <w:r w:rsidRPr="00FC5C72">
        <w:rPr>
          <w:sz w:val="24"/>
          <w:szCs w:val="24"/>
        </w:rPr>
        <w:t xml:space="preserve">I ფაზის კვლევებში არ </w:t>
      </w:r>
      <w:r w:rsidR="00FD71A1" w:rsidRPr="00FC5C72">
        <w:rPr>
          <w:sz w:val="24"/>
          <w:szCs w:val="24"/>
        </w:rPr>
        <w:t>დაფიქსირებულა</w:t>
      </w:r>
      <w:r w:rsidRPr="00FC5C72">
        <w:rPr>
          <w:sz w:val="24"/>
          <w:szCs w:val="24"/>
        </w:rPr>
        <w:t xml:space="preserve"> სისხლდენის </w:t>
      </w:r>
      <w:r w:rsidR="00FD71A1" w:rsidRPr="00FC5C72">
        <w:rPr>
          <w:sz w:val="24"/>
          <w:szCs w:val="24"/>
        </w:rPr>
        <w:t>ხანგრძლივობის</w:t>
      </w:r>
      <w:r w:rsidRPr="00FC5C72">
        <w:rPr>
          <w:sz w:val="24"/>
          <w:szCs w:val="24"/>
        </w:rPr>
        <w:t xml:space="preserve"> მნიშვნელოვანი ზრდა ან თრომბოციტების აგრეგაციის შემდგომი</w:t>
      </w:r>
      <w:r w:rsidR="00FD71A1" w:rsidRPr="00FC5C72">
        <w:rPr>
          <w:sz w:val="24"/>
          <w:szCs w:val="24"/>
        </w:rPr>
        <w:t xml:space="preserve"> </w:t>
      </w:r>
      <w:r w:rsidRPr="00FC5C72">
        <w:rPr>
          <w:sz w:val="24"/>
          <w:szCs w:val="24"/>
        </w:rPr>
        <w:t xml:space="preserve">დათრგუნვა აპიქსაბანის გარეშე </w:t>
      </w:r>
      <w:r w:rsidR="00FD71A1" w:rsidRPr="00FC5C72">
        <w:rPr>
          <w:sz w:val="24"/>
          <w:szCs w:val="24"/>
        </w:rPr>
        <w:t>ანტითრომბოციტული საშუალებების</w:t>
      </w:r>
      <w:r w:rsidRPr="00FC5C72">
        <w:rPr>
          <w:sz w:val="24"/>
          <w:szCs w:val="24"/>
        </w:rPr>
        <w:t xml:space="preserve"> გამოყენებასთან შედარებით. სისხლის</w:t>
      </w:r>
      <w:r w:rsidR="00FD71A1" w:rsidRPr="00FC5C72">
        <w:rPr>
          <w:sz w:val="24"/>
          <w:szCs w:val="24"/>
        </w:rPr>
        <w:t xml:space="preserve"> </w:t>
      </w:r>
      <w:r w:rsidRPr="00FC5C72">
        <w:rPr>
          <w:sz w:val="24"/>
          <w:szCs w:val="24"/>
        </w:rPr>
        <w:t>შედედების მაჩვენებლების (</w:t>
      </w:r>
      <w:r w:rsidR="00974E05" w:rsidRPr="00FC5C72">
        <w:rPr>
          <w:sz w:val="24"/>
          <w:szCs w:val="24"/>
        </w:rPr>
        <w:t>პდ</w:t>
      </w:r>
      <w:r w:rsidRPr="00FC5C72">
        <w:rPr>
          <w:sz w:val="24"/>
          <w:szCs w:val="24"/>
        </w:rPr>
        <w:t xml:space="preserve">, </w:t>
      </w:r>
      <w:r w:rsidR="00974E05" w:rsidRPr="00FC5C72">
        <w:rPr>
          <w:sz w:val="24"/>
          <w:szCs w:val="24"/>
        </w:rPr>
        <w:t>სნთ</w:t>
      </w:r>
      <w:r w:rsidRPr="00FC5C72">
        <w:rPr>
          <w:sz w:val="24"/>
          <w:szCs w:val="24"/>
        </w:rPr>
        <w:t xml:space="preserve"> და </w:t>
      </w:r>
      <w:r w:rsidR="00974E05" w:rsidRPr="00FC5C72">
        <w:rPr>
          <w:sz w:val="24"/>
          <w:szCs w:val="24"/>
        </w:rPr>
        <w:t>ანთდ</w:t>
      </w:r>
      <w:r w:rsidRPr="00FC5C72">
        <w:rPr>
          <w:sz w:val="24"/>
          <w:szCs w:val="24"/>
        </w:rPr>
        <w:t>) ზრდა შეესაბამებოდა მ</w:t>
      </w:r>
      <w:r w:rsidR="00974E05" w:rsidRPr="00FC5C72">
        <w:rPr>
          <w:sz w:val="24"/>
          <w:szCs w:val="24"/>
        </w:rPr>
        <w:t>ხოლოდ</w:t>
      </w:r>
      <w:r w:rsidRPr="00FC5C72">
        <w:rPr>
          <w:sz w:val="24"/>
          <w:szCs w:val="24"/>
        </w:rPr>
        <w:t xml:space="preserve"> აპიქსაბანის გამოყენების</w:t>
      </w:r>
      <w:r w:rsidR="00426643" w:rsidRPr="00FC5C72">
        <w:rPr>
          <w:sz w:val="24"/>
          <w:szCs w:val="24"/>
        </w:rPr>
        <w:t>ას მიღებულ შედეგებს.</w:t>
      </w:r>
      <w:r w:rsidRPr="00FC5C72">
        <w:rPr>
          <w:sz w:val="24"/>
          <w:szCs w:val="24"/>
        </w:rPr>
        <w:t xml:space="preserve"> </w:t>
      </w:r>
    </w:p>
    <w:p w14:paraId="49DBB6C3" w14:textId="0900BE84" w:rsidR="005A40EA" w:rsidRPr="00FC5C72" w:rsidRDefault="00974E05" w:rsidP="00785B18">
      <w:pPr>
        <w:spacing w:after="0" w:line="240" w:lineRule="auto"/>
        <w:jc w:val="both"/>
        <w:rPr>
          <w:sz w:val="24"/>
          <w:szCs w:val="24"/>
        </w:rPr>
      </w:pPr>
      <w:r w:rsidRPr="00FC5C72">
        <w:rPr>
          <w:sz w:val="24"/>
          <w:szCs w:val="24"/>
        </w:rPr>
        <w:t xml:space="preserve">P-gp ინჰიბიტორის </w:t>
      </w:r>
      <w:r w:rsidR="00C304A3" w:rsidRPr="00FC5C72">
        <w:rPr>
          <w:sz w:val="24"/>
          <w:szCs w:val="24"/>
        </w:rPr>
        <w:t>ნაპროქსენი</w:t>
      </w:r>
      <w:r w:rsidRPr="00FC5C72">
        <w:rPr>
          <w:sz w:val="24"/>
          <w:szCs w:val="24"/>
        </w:rPr>
        <w:t>ს</w:t>
      </w:r>
      <w:r w:rsidR="00C304A3" w:rsidRPr="00FC5C72">
        <w:rPr>
          <w:sz w:val="24"/>
          <w:szCs w:val="24"/>
        </w:rPr>
        <w:t xml:space="preserve"> (500 მგ) </w:t>
      </w:r>
      <w:r w:rsidRPr="00FC5C72">
        <w:rPr>
          <w:sz w:val="24"/>
          <w:szCs w:val="24"/>
        </w:rPr>
        <w:t>გამოყენება</w:t>
      </w:r>
      <w:r w:rsidR="00426643" w:rsidRPr="00FC5C72">
        <w:rPr>
          <w:sz w:val="24"/>
          <w:szCs w:val="24"/>
        </w:rPr>
        <w:t>მ გამოიწვია</w:t>
      </w:r>
      <w:r w:rsidR="00C304A3" w:rsidRPr="00FC5C72">
        <w:rPr>
          <w:sz w:val="24"/>
          <w:szCs w:val="24"/>
        </w:rPr>
        <w:t xml:space="preserve"> აპიქსაბანის AUC და Cmax</w:t>
      </w:r>
      <w:r w:rsidRPr="00FC5C72">
        <w:rPr>
          <w:sz w:val="24"/>
          <w:szCs w:val="24"/>
        </w:rPr>
        <w:t xml:space="preserve"> </w:t>
      </w:r>
      <w:r w:rsidR="00C304A3" w:rsidRPr="00FC5C72">
        <w:rPr>
          <w:sz w:val="24"/>
          <w:szCs w:val="24"/>
        </w:rPr>
        <w:t>საშუალო მნიშვნელობებ</w:t>
      </w:r>
      <w:r w:rsidR="00426643" w:rsidRPr="00FC5C72">
        <w:rPr>
          <w:sz w:val="24"/>
          <w:szCs w:val="24"/>
        </w:rPr>
        <w:t>ის გაზრდა</w:t>
      </w:r>
      <w:r w:rsidR="00C304A3" w:rsidRPr="00FC5C72">
        <w:rPr>
          <w:sz w:val="24"/>
          <w:szCs w:val="24"/>
        </w:rPr>
        <w:t xml:space="preserve"> </w:t>
      </w:r>
      <w:r w:rsidRPr="00FC5C72">
        <w:rPr>
          <w:sz w:val="24"/>
          <w:szCs w:val="24"/>
        </w:rPr>
        <w:t xml:space="preserve">შესაბამისად, </w:t>
      </w:r>
      <w:r w:rsidR="00C304A3" w:rsidRPr="00FC5C72">
        <w:rPr>
          <w:sz w:val="24"/>
          <w:szCs w:val="24"/>
        </w:rPr>
        <w:t>1</w:t>
      </w:r>
      <w:r w:rsidRPr="00FC5C72">
        <w:rPr>
          <w:sz w:val="24"/>
          <w:szCs w:val="24"/>
        </w:rPr>
        <w:t>.</w:t>
      </w:r>
      <w:r w:rsidR="00C304A3" w:rsidRPr="00FC5C72">
        <w:rPr>
          <w:sz w:val="24"/>
          <w:szCs w:val="24"/>
        </w:rPr>
        <w:t>5 და 1</w:t>
      </w:r>
      <w:r w:rsidRPr="00FC5C72">
        <w:rPr>
          <w:sz w:val="24"/>
          <w:szCs w:val="24"/>
        </w:rPr>
        <w:t>.</w:t>
      </w:r>
      <w:r w:rsidR="00C304A3" w:rsidRPr="00FC5C72">
        <w:rPr>
          <w:sz w:val="24"/>
          <w:szCs w:val="24"/>
        </w:rPr>
        <w:t>6-ჯერ. აღინიშნებოდა სისხლის შედედების</w:t>
      </w:r>
      <w:r w:rsidRPr="00FC5C72">
        <w:rPr>
          <w:sz w:val="24"/>
          <w:szCs w:val="24"/>
        </w:rPr>
        <w:t xml:space="preserve"> </w:t>
      </w:r>
      <w:r w:rsidR="00C304A3" w:rsidRPr="00FC5C72">
        <w:rPr>
          <w:sz w:val="24"/>
          <w:szCs w:val="24"/>
        </w:rPr>
        <w:t>ანალიზების შედეგების შესაბამისი ზრდა აპიქსაბანის</w:t>
      </w:r>
      <w:r w:rsidRPr="00FC5C72">
        <w:rPr>
          <w:sz w:val="24"/>
          <w:szCs w:val="24"/>
        </w:rPr>
        <w:t xml:space="preserve"> მიღებისას</w:t>
      </w:r>
      <w:r w:rsidR="00C304A3" w:rsidRPr="00FC5C72">
        <w:rPr>
          <w:sz w:val="24"/>
          <w:szCs w:val="24"/>
        </w:rPr>
        <w:t>. არ ყოფილა დაფიქსირებული</w:t>
      </w:r>
      <w:r w:rsidR="005A40EA" w:rsidRPr="00FC5C72">
        <w:rPr>
          <w:sz w:val="24"/>
          <w:szCs w:val="24"/>
        </w:rPr>
        <w:t xml:space="preserve"> </w:t>
      </w:r>
      <w:r w:rsidR="00C304A3" w:rsidRPr="00FC5C72">
        <w:rPr>
          <w:sz w:val="24"/>
          <w:szCs w:val="24"/>
        </w:rPr>
        <w:t xml:space="preserve">ნაპროქსენის </w:t>
      </w:r>
      <w:r w:rsidR="00426643" w:rsidRPr="00FC5C72">
        <w:rPr>
          <w:sz w:val="24"/>
          <w:szCs w:val="24"/>
        </w:rPr>
        <w:t>გავლენის რაიმე</w:t>
      </w:r>
      <w:r w:rsidR="00C304A3" w:rsidRPr="00FC5C72">
        <w:rPr>
          <w:sz w:val="24"/>
          <w:szCs w:val="24"/>
        </w:rPr>
        <w:t xml:space="preserve"> ცვლილებ</w:t>
      </w:r>
      <w:r w:rsidR="00426643" w:rsidRPr="00FC5C72">
        <w:rPr>
          <w:sz w:val="24"/>
          <w:szCs w:val="24"/>
        </w:rPr>
        <w:t>ა</w:t>
      </w:r>
      <w:r w:rsidR="00C304A3" w:rsidRPr="00FC5C72">
        <w:rPr>
          <w:sz w:val="24"/>
          <w:szCs w:val="24"/>
        </w:rPr>
        <w:t xml:space="preserve"> თრომბოციტების აგრეგაცია</w:t>
      </w:r>
      <w:r w:rsidR="005A40EA" w:rsidRPr="00FC5C72">
        <w:rPr>
          <w:sz w:val="24"/>
          <w:szCs w:val="24"/>
        </w:rPr>
        <w:t>ზე</w:t>
      </w:r>
      <w:r w:rsidR="00C304A3" w:rsidRPr="00FC5C72">
        <w:rPr>
          <w:sz w:val="24"/>
          <w:szCs w:val="24"/>
        </w:rPr>
        <w:t>, რომელიც გამოწვეული იყო არაქიდონის მჟავ</w:t>
      </w:r>
      <w:r w:rsidR="005A40EA" w:rsidRPr="00FC5C72">
        <w:rPr>
          <w:sz w:val="24"/>
          <w:szCs w:val="24"/>
        </w:rPr>
        <w:t>ათი</w:t>
      </w:r>
      <w:r w:rsidR="00C304A3" w:rsidRPr="00FC5C72">
        <w:rPr>
          <w:sz w:val="24"/>
          <w:szCs w:val="24"/>
        </w:rPr>
        <w:t>, და არ დაფიქსირებულა სისხლდენის</w:t>
      </w:r>
      <w:r w:rsidR="005A40EA" w:rsidRPr="00FC5C72">
        <w:rPr>
          <w:sz w:val="24"/>
          <w:szCs w:val="24"/>
        </w:rPr>
        <w:t xml:space="preserve"> </w:t>
      </w:r>
      <w:r w:rsidR="00C304A3" w:rsidRPr="00FC5C72">
        <w:rPr>
          <w:sz w:val="24"/>
          <w:szCs w:val="24"/>
        </w:rPr>
        <w:t>დროის კლინიკურად მნიშვნელოვანი ზრდა აპიქსაბანისა და ნაპროქსენის ერთდროულ</w:t>
      </w:r>
      <w:r w:rsidR="005A40EA" w:rsidRPr="00FC5C72">
        <w:rPr>
          <w:sz w:val="24"/>
          <w:szCs w:val="24"/>
        </w:rPr>
        <w:t xml:space="preserve">ად </w:t>
      </w:r>
      <w:r w:rsidR="00C304A3" w:rsidRPr="00FC5C72">
        <w:rPr>
          <w:sz w:val="24"/>
          <w:szCs w:val="24"/>
        </w:rPr>
        <w:t xml:space="preserve">გამოყენების შემდეგ. </w:t>
      </w:r>
    </w:p>
    <w:p w14:paraId="2EE12134" w14:textId="7008A3AD" w:rsidR="000879D2" w:rsidRPr="00FC5C72" w:rsidRDefault="00C304A3" w:rsidP="00785B18">
      <w:pPr>
        <w:spacing w:after="0" w:line="240" w:lineRule="auto"/>
        <w:jc w:val="both"/>
        <w:rPr>
          <w:sz w:val="24"/>
          <w:szCs w:val="24"/>
        </w:rPr>
      </w:pPr>
      <w:r w:rsidRPr="00FC5C72">
        <w:rPr>
          <w:sz w:val="24"/>
          <w:szCs w:val="24"/>
        </w:rPr>
        <w:t xml:space="preserve">მიუხედავად ამ </w:t>
      </w:r>
      <w:r w:rsidR="00913FE9" w:rsidRPr="00FC5C72">
        <w:rPr>
          <w:sz w:val="24"/>
          <w:szCs w:val="24"/>
        </w:rPr>
        <w:t>მონაცემებისა</w:t>
      </w:r>
      <w:r w:rsidRPr="00FC5C72">
        <w:rPr>
          <w:sz w:val="24"/>
          <w:szCs w:val="24"/>
        </w:rPr>
        <w:t xml:space="preserve">, ზოგიერთ </w:t>
      </w:r>
      <w:r w:rsidR="005A40EA" w:rsidRPr="00FC5C72">
        <w:rPr>
          <w:sz w:val="24"/>
          <w:szCs w:val="24"/>
        </w:rPr>
        <w:t>პაციენტს</w:t>
      </w:r>
      <w:r w:rsidRPr="00FC5C72">
        <w:rPr>
          <w:sz w:val="24"/>
          <w:szCs w:val="24"/>
        </w:rPr>
        <w:t xml:space="preserve"> შეიძლება ჰქონდეს უფრო გამოხატილი</w:t>
      </w:r>
      <w:r w:rsidR="005A40EA" w:rsidRPr="00FC5C72">
        <w:rPr>
          <w:sz w:val="24"/>
          <w:szCs w:val="24"/>
        </w:rPr>
        <w:t xml:space="preserve"> </w:t>
      </w:r>
      <w:r w:rsidRPr="00FC5C72">
        <w:rPr>
          <w:sz w:val="24"/>
          <w:szCs w:val="24"/>
        </w:rPr>
        <w:t>ფარმაკოდინამიკური რეაქცია აპიქსაბან</w:t>
      </w:r>
      <w:r w:rsidR="000879D2" w:rsidRPr="00FC5C72">
        <w:rPr>
          <w:sz w:val="24"/>
          <w:szCs w:val="24"/>
        </w:rPr>
        <w:t>ის სხვა ანტითრომბოციტულ პრეპარატებთან</w:t>
      </w:r>
      <w:r w:rsidRPr="00FC5C72">
        <w:rPr>
          <w:sz w:val="24"/>
          <w:szCs w:val="24"/>
        </w:rPr>
        <w:t xml:space="preserve"> ერთდროულ</w:t>
      </w:r>
      <w:r w:rsidR="000879D2" w:rsidRPr="00FC5C72">
        <w:rPr>
          <w:sz w:val="24"/>
          <w:szCs w:val="24"/>
        </w:rPr>
        <w:t>ად</w:t>
      </w:r>
      <w:r w:rsidRPr="00FC5C72">
        <w:rPr>
          <w:sz w:val="24"/>
          <w:szCs w:val="24"/>
        </w:rPr>
        <w:t xml:space="preserve"> მიღების</w:t>
      </w:r>
      <w:r w:rsidR="000879D2" w:rsidRPr="00FC5C72">
        <w:rPr>
          <w:sz w:val="24"/>
          <w:szCs w:val="24"/>
        </w:rPr>
        <w:t xml:space="preserve"> </w:t>
      </w:r>
      <w:r w:rsidRPr="00FC5C72">
        <w:rPr>
          <w:sz w:val="24"/>
          <w:szCs w:val="24"/>
        </w:rPr>
        <w:t xml:space="preserve">შემთხვევაში. აპიქსაბანი სიფრთხილით უნდა იქნას გამოყენებული სუსი/სნუსი, </w:t>
      </w:r>
      <w:r w:rsidR="000879D2" w:rsidRPr="00FC5C72">
        <w:rPr>
          <w:sz w:val="24"/>
          <w:szCs w:val="24"/>
        </w:rPr>
        <w:t>არასტეროიდულ ანთების საწინააღმდეგო საშუალებებთან (აასს)</w:t>
      </w:r>
      <w:r w:rsidRPr="00FC5C72">
        <w:rPr>
          <w:sz w:val="24"/>
          <w:szCs w:val="24"/>
        </w:rPr>
        <w:t>, ასმ</w:t>
      </w:r>
      <w:r w:rsidR="000879D2" w:rsidRPr="00FC5C72">
        <w:rPr>
          <w:sz w:val="24"/>
          <w:szCs w:val="24"/>
        </w:rPr>
        <w:t xml:space="preserve"> </w:t>
      </w:r>
      <w:r w:rsidRPr="00FC5C72">
        <w:rPr>
          <w:sz w:val="24"/>
          <w:szCs w:val="24"/>
        </w:rPr>
        <w:t xml:space="preserve">და/ან P2Y12-ის ინჰიბიტორებთან კომბინაციაში, რადგან ეს სამკურნალო </w:t>
      </w:r>
      <w:r w:rsidR="000879D2" w:rsidRPr="00FC5C72">
        <w:rPr>
          <w:sz w:val="24"/>
          <w:szCs w:val="24"/>
        </w:rPr>
        <w:t xml:space="preserve">საშუალებები </w:t>
      </w:r>
      <w:r w:rsidRPr="00FC5C72">
        <w:rPr>
          <w:sz w:val="24"/>
          <w:szCs w:val="24"/>
        </w:rPr>
        <w:t>ჩვეულებრივ ზრდი</w:t>
      </w:r>
      <w:r w:rsidR="000879D2" w:rsidRPr="00FC5C72">
        <w:rPr>
          <w:sz w:val="24"/>
          <w:szCs w:val="24"/>
        </w:rPr>
        <w:t>ს</w:t>
      </w:r>
      <w:r w:rsidRPr="00FC5C72">
        <w:rPr>
          <w:sz w:val="24"/>
          <w:szCs w:val="24"/>
        </w:rPr>
        <w:t xml:space="preserve"> სისხლდენის რისკს</w:t>
      </w:r>
      <w:r w:rsidR="000879D2" w:rsidRPr="00FC5C72">
        <w:rPr>
          <w:sz w:val="24"/>
          <w:szCs w:val="24"/>
        </w:rPr>
        <w:t xml:space="preserve"> (იხ. პარაგრაფი “განსაკუთრებული მითითება“)</w:t>
      </w:r>
      <w:r w:rsidRPr="00FC5C72">
        <w:rPr>
          <w:sz w:val="24"/>
          <w:szCs w:val="24"/>
        </w:rPr>
        <w:t xml:space="preserve">. </w:t>
      </w:r>
    </w:p>
    <w:p w14:paraId="4C8D590C" w14:textId="25E8FB0B" w:rsidR="000879D2" w:rsidRPr="00FC5C72" w:rsidRDefault="000879D2" w:rsidP="00785B18">
      <w:pPr>
        <w:spacing w:after="0" w:line="240" w:lineRule="auto"/>
        <w:jc w:val="both"/>
        <w:rPr>
          <w:sz w:val="24"/>
          <w:szCs w:val="24"/>
        </w:rPr>
      </w:pPr>
      <w:r w:rsidRPr="00FC5C72">
        <w:rPr>
          <w:sz w:val="24"/>
          <w:szCs w:val="24"/>
        </w:rPr>
        <w:t>პრეპარატის</w:t>
      </w:r>
      <w:r w:rsidR="00C304A3" w:rsidRPr="00FC5C72">
        <w:rPr>
          <w:sz w:val="24"/>
          <w:szCs w:val="24"/>
        </w:rPr>
        <w:t xml:space="preserve"> თრომბოციტების აგრეგაციის სხვა ინჰიბიტორებთან (როგორიცაა</w:t>
      </w:r>
      <w:r w:rsidRPr="00FC5C72">
        <w:rPr>
          <w:sz w:val="24"/>
          <w:szCs w:val="24"/>
        </w:rPr>
        <w:t xml:space="preserve"> </w:t>
      </w:r>
      <w:r w:rsidR="00C304A3" w:rsidRPr="00FC5C72">
        <w:rPr>
          <w:sz w:val="24"/>
          <w:szCs w:val="24"/>
        </w:rPr>
        <w:t>GPIIb/IIIa რეცეპტორის ანტაგონისტები, დიპირიდამოლი, დექსტრანი ან</w:t>
      </w:r>
      <w:r w:rsidRPr="00FC5C72">
        <w:rPr>
          <w:sz w:val="24"/>
          <w:szCs w:val="24"/>
        </w:rPr>
        <w:t xml:space="preserve"> </w:t>
      </w:r>
      <w:r w:rsidR="00C304A3" w:rsidRPr="00FC5C72">
        <w:rPr>
          <w:sz w:val="24"/>
          <w:szCs w:val="24"/>
        </w:rPr>
        <w:t>სულფინპირაზონი) ან თრომბოლიზურებთან ერთდროული გამოყენების გამოცდილება</w:t>
      </w:r>
      <w:r w:rsidR="009D1876" w:rsidRPr="00FC5C72">
        <w:rPr>
          <w:sz w:val="24"/>
          <w:szCs w:val="24"/>
        </w:rPr>
        <w:t xml:space="preserve"> შეზღუდულია</w:t>
      </w:r>
      <w:r w:rsidR="00C304A3" w:rsidRPr="00FC5C72">
        <w:rPr>
          <w:sz w:val="24"/>
          <w:szCs w:val="24"/>
        </w:rPr>
        <w:t>. ვინაიდან მსგავსი პრეპარატები ზრდი</w:t>
      </w:r>
      <w:r w:rsidRPr="00FC5C72">
        <w:rPr>
          <w:sz w:val="24"/>
          <w:szCs w:val="24"/>
        </w:rPr>
        <w:t>ს</w:t>
      </w:r>
      <w:r w:rsidR="00C304A3" w:rsidRPr="00FC5C72">
        <w:rPr>
          <w:sz w:val="24"/>
          <w:szCs w:val="24"/>
        </w:rPr>
        <w:t xml:space="preserve"> სისხლდენის რისკს, მათი</w:t>
      </w:r>
      <w:r w:rsidRPr="00FC5C72">
        <w:rPr>
          <w:sz w:val="24"/>
          <w:szCs w:val="24"/>
        </w:rPr>
        <w:t xml:space="preserve"> </w:t>
      </w:r>
      <w:r w:rsidR="00C304A3" w:rsidRPr="00FC5C72">
        <w:rPr>
          <w:sz w:val="24"/>
          <w:szCs w:val="24"/>
        </w:rPr>
        <w:t>ერთდროულ</w:t>
      </w:r>
      <w:r w:rsidRPr="00FC5C72">
        <w:rPr>
          <w:sz w:val="24"/>
          <w:szCs w:val="24"/>
        </w:rPr>
        <w:t>ად</w:t>
      </w:r>
      <w:r w:rsidR="00C304A3" w:rsidRPr="00FC5C72">
        <w:rPr>
          <w:sz w:val="24"/>
          <w:szCs w:val="24"/>
        </w:rPr>
        <w:t xml:space="preserve"> გამოყენება აპიქსაბანთან არ არის რეკომენდებული</w:t>
      </w:r>
      <w:r w:rsidRPr="00FC5C72">
        <w:rPr>
          <w:sz w:val="24"/>
          <w:szCs w:val="24"/>
        </w:rPr>
        <w:t xml:space="preserve"> (იხ. პარაგრაფი “განსაკუთრებული მითითება“). </w:t>
      </w:r>
    </w:p>
    <w:p w14:paraId="75F3A2B2" w14:textId="42E25316" w:rsidR="009D1876" w:rsidRPr="00FC5C72" w:rsidRDefault="00BF7570" w:rsidP="00785B18">
      <w:pPr>
        <w:spacing w:after="0" w:line="240" w:lineRule="auto"/>
        <w:jc w:val="both"/>
        <w:rPr>
          <w:bCs/>
          <w:noProof/>
          <w:sz w:val="24"/>
          <w:szCs w:val="24"/>
        </w:rPr>
      </w:pPr>
      <w:r w:rsidRPr="00FC5C72">
        <w:rPr>
          <w:sz w:val="24"/>
          <w:szCs w:val="24"/>
        </w:rPr>
        <w:t xml:space="preserve"> </w:t>
      </w:r>
    </w:p>
    <w:p w14:paraId="305AC94A" w14:textId="77777777" w:rsidR="009D1876" w:rsidRPr="00FC5C72" w:rsidRDefault="009D1876" w:rsidP="00785B18">
      <w:pPr>
        <w:spacing w:after="0" w:line="240" w:lineRule="auto"/>
        <w:jc w:val="both"/>
        <w:rPr>
          <w:sz w:val="24"/>
          <w:szCs w:val="24"/>
        </w:rPr>
      </w:pPr>
    </w:p>
    <w:p w14:paraId="319281AB" w14:textId="44213579" w:rsidR="003E264F" w:rsidRPr="00FC5C72" w:rsidRDefault="000879D2" w:rsidP="00785B18">
      <w:pPr>
        <w:spacing w:after="0" w:line="240" w:lineRule="auto"/>
        <w:jc w:val="both"/>
        <w:rPr>
          <w:i/>
          <w:iCs/>
          <w:sz w:val="24"/>
          <w:szCs w:val="24"/>
        </w:rPr>
      </w:pPr>
      <w:r w:rsidRPr="00FC5C72">
        <w:rPr>
          <w:i/>
          <w:iCs/>
          <w:sz w:val="24"/>
          <w:szCs w:val="24"/>
        </w:rPr>
        <w:t>სხვა თანმხლები თერაპია</w:t>
      </w:r>
    </w:p>
    <w:p w14:paraId="25AE58F2" w14:textId="77777777" w:rsidR="009D1876" w:rsidRPr="00FC5C72" w:rsidRDefault="008A5CA4" w:rsidP="00785B18">
      <w:pPr>
        <w:spacing w:after="0" w:line="240" w:lineRule="auto"/>
        <w:jc w:val="both"/>
        <w:rPr>
          <w:sz w:val="24"/>
          <w:szCs w:val="24"/>
        </w:rPr>
      </w:pPr>
      <w:r w:rsidRPr="00FC5C72">
        <w:rPr>
          <w:sz w:val="24"/>
          <w:szCs w:val="24"/>
        </w:rPr>
        <w:t xml:space="preserve">აპიქსაბანის ატენოლოლთან ან ფამოტიდინთან ერთდროულად მიღებისას </w:t>
      </w:r>
      <w:r w:rsidR="008840AD" w:rsidRPr="00FC5C72">
        <w:rPr>
          <w:sz w:val="24"/>
          <w:szCs w:val="24"/>
        </w:rPr>
        <w:t xml:space="preserve">არ </w:t>
      </w:r>
      <w:r w:rsidRPr="00FC5C72">
        <w:rPr>
          <w:sz w:val="24"/>
          <w:szCs w:val="24"/>
        </w:rPr>
        <w:t>აღინიშნა</w:t>
      </w:r>
      <w:r w:rsidR="008840AD" w:rsidRPr="00FC5C72">
        <w:rPr>
          <w:sz w:val="24"/>
          <w:szCs w:val="24"/>
        </w:rPr>
        <w:t xml:space="preserve"> </w:t>
      </w:r>
      <w:r w:rsidRPr="00FC5C72">
        <w:rPr>
          <w:sz w:val="24"/>
          <w:szCs w:val="24"/>
        </w:rPr>
        <w:t xml:space="preserve"> </w:t>
      </w:r>
      <w:r w:rsidR="008840AD" w:rsidRPr="00FC5C72">
        <w:rPr>
          <w:sz w:val="24"/>
          <w:szCs w:val="24"/>
        </w:rPr>
        <w:t xml:space="preserve"> </w:t>
      </w:r>
      <w:r w:rsidRPr="00FC5C72">
        <w:rPr>
          <w:sz w:val="24"/>
          <w:szCs w:val="24"/>
        </w:rPr>
        <w:t xml:space="preserve">რაიმე </w:t>
      </w:r>
      <w:r w:rsidR="008840AD" w:rsidRPr="00FC5C72">
        <w:rPr>
          <w:sz w:val="24"/>
          <w:szCs w:val="24"/>
        </w:rPr>
        <w:t>კლინიკურად მნიშვნელოვანი ფარმაკოკინეტიკური ან</w:t>
      </w:r>
      <w:r w:rsidRPr="00FC5C72">
        <w:rPr>
          <w:sz w:val="24"/>
          <w:szCs w:val="24"/>
        </w:rPr>
        <w:t xml:space="preserve"> </w:t>
      </w:r>
      <w:r w:rsidR="008840AD" w:rsidRPr="00FC5C72">
        <w:rPr>
          <w:sz w:val="24"/>
          <w:szCs w:val="24"/>
        </w:rPr>
        <w:t>ფარმაკოდინამიკური ურთიერთქმედება.</w:t>
      </w:r>
      <w:r w:rsidR="00F405AE" w:rsidRPr="00FC5C72">
        <w:rPr>
          <w:sz w:val="24"/>
          <w:szCs w:val="24"/>
        </w:rPr>
        <w:t xml:space="preserve"> </w:t>
      </w:r>
      <w:r w:rsidR="008840AD" w:rsidRPr="00FC5C72">
        <w:rPr>
          <w:sz w:val="24"/>
          <w:szCs w:val="24"/>
        </w:rPr>
        <w:t>10</w:t>
      </w:r>
      <w:r w:rsidR="00913FE9" w:rsidRPr="00FC5C72">
        <w:rPr>
          <w:sz w:val="24"/>
          <w:szCs w:val="24"/>
        </w:rPr>
        <w:t xml:space="preserve"> </w:t>
      </w:r>
      <w:r w:rsidR="008840AD" w:rsidRPr="00FC5C72">
        <w:rPr>
          <w:sz w:val="24"/>
          <w:szCs w:val="24"/>
        </w:rPr>
        <w:t>მგ</w:t>
      </w:r>
      <w:r w:rsidRPr="00FC5C72">
        <w:rPr>
          <w:sz w:val="24"/>
          <w:szCs w:val="24"/>
        </w:rPr>
        <w:t xml:space="preserve"> დოზით</w:t>
      </w:r>
      <w:r w:rsidR="008840AD" w:rsidRPr="00FC5C72">
        <w:rPr>
          <w:sz w:val="24"/>
          <w:szCs w:val="24"/>
        </w:rPr>
        <w:t xml:space="preserve"> </w:t>
      </w:r>
      <w:r w:rsidRPr="00FC5C72">
        <w:rPr>
          <w:sz w:val="24"/>
          <w:szCs w:val="24"/>
        </w:rPr>
        <w:t xml:space="preserve">აპიქსაბანის </w:t>
      </w:r>
      <w:r w:rsidR="008840AD" w:rsidRPr="00FC5C72">
        <w:rPr>
          <w:sz w:val="24"/>
          <w:szCs w:val="24"/>
        </w:rPr>
        <w:t xml:space="preserve">და </w:t>
      </w:r>
      <w:r w:rsidRPr="00FC5C72">
        <w:rPr>
          <w:sz w:val="24"/>
          <w:szCs w:val="24"/>
        </w:rPr>
        <w:t xml:space="preserve">100 მგ დოზით </w:t>
      </w:r>
      <w:r w:rsidR="008840AD" w:rsidRPr="00FC5C72">
        <w:rPr>
          <w:sz w:val="24"/>
          <w:szCs w:val="24"/>
        </w:rPr>
        <w:t>ატენოლოლის ერთდროულ</w:t>
      </w:r>
      <w:r w:rsidRPr="00FC5C72">
        <w:rPr>
          <w:sz w:val="24"/>
          <w:szCs w:val="24"/>
        </w:rPr>
        <w:t>ად</w:t>
      </w:r>
      <w:r w:rsidR="008840AD" w:rsidRPr="00FC5C72">
        <w:rPr>
          <w:sz w:val="24"/>
          <w:szCs w:val="24"/>
        </w:rPr>
        <w:t xml:space="preserve"> გამოყენება არ </w:t>
      </w:r>
      <w:r w:rsidR="00EA05AF" w:rsidRPr="00FC5C72">
        <w:rPr>
          <w:sz w:val="24"/>
          <w:szCs w:val="24"/>
        </w:rPr>
        <w:t>ახდენდა</w:t>
      </w:r>
      <w:r w:rsidR="002004DA" w:rsidRPr="00FC5C72">
        <w:rPr>
          <w:sz w:val="24"/>
          <w:szCs w:val="24"/>
        </w:rPr>
        <w:t xml:space="preserve"> კლინიკურად მნიშვნელოვან </w:t>
      </w:r>
      <w:r w:rsidR="00EA05AF" w:rsidRPr="00FC5C72">
        <w:rPr>
          <w:sz w:val="24"/>
          <w:szCs w:val="24"/>
        </w:rPr>
        <w:t xml:space="preserve">მოქმედებას </w:t>
      </w:r>
      <w:r w:rsidR="00F405AE" w:rsidRPr="00FC5C72">
        <w:rPr>
          <w:sz w:val="24"/>
          <w:szCs w:val="24"/>
        </w:rPr>
        <w:t xml:space="preserve">აპიქსაბანის ფარმაკოკინეტიკაზე. </w:t>
      </w:r>
      <w:r w:rsidR="008840AD" w:rsidRPr="00FC5C72">
        <w:rPr>
          <w:sz w:val="24"/>
          <w:szCs w:val="24"/>
        </w:rPr>
        <w:t>ორი პრეპარატის ერთ</w:t>
      </w:r>
      <w:r w:rsidR="00F405AE" w:rsidRPr="00FC5C72">
        <w:rPr>
          <w:sz w:val="24"/>
          <w:szCs w:val="24"/>
        </w:rPr>
        <w:t>ად</w:t>
      </w:r>
      <w:r w:rsidR="008840AD" w:rsidRPr="00FC5C72">
        <w:rPr>
          <w:sz w:val="24"/>
          <w:szCs w:val="24"/>
        </w:rPr>
        <w:t xml:space="preserve"> მიღების შემდეგ, აპიქსაბანი</w:t>
      </w:r>
      <w:r w:rsidR="00F405AE" w:rsidRPr="00FC5C72">
        <w:rPr>
          <w:sz w:val="24"/>
          <w:szCs w:val="24"/>
        </w:rPr>
        <w:t>ს</w:t>
      </w:r>
      <w:r w:rsidR="008840AD" w:rsidRPr="00FC5C72">
        <w:rPr>
          <w:sz w:val="24"/>
          <w:szCs w:val="24"/>
        </w:rPr>
        <w:t xml:space="preserve"> AUC და Cmax საშუალო მნიშვნელობები იყო 15%-ით და 18%-ით უფრო დაბალი, ვიდრე მხოლოდ</w:t>
      </w:r>
      <w:r w:rsidR="00F405AE" w:rsidRPr="00FC5C72">
        <w:rPr>
          <w:sz w:val="24"/>
          <w:szCs w:val="24"/>
        </w:rPr>
        <w:t xml:space="preserve"> </w:t>
      </w:r>
      <w:r w:rsidR="008840AD" w:rsidRPr="00FC5C72">
        <w:rPr>
          <w:sz w:val="24"/>
          <w:szCs w:val="24"/>
        </w:rPr>
        <w:t xml:space="preserve">აპიქსაბანის </w:t>
      </w:r>
      <w:r w:rsidR="00F405AE" w:rsidRPr="00FC5C72">
        <w:rPr>
          <w:sz w:val="24"/>
          <w:szCs w:val="24"/>
        </w:rPr>
        <w:t>მიღ</w:t>
      </w:r>
      <w:r w:rsidR="008840AD" w:rsidRPr="00FC5C72">
        <w:rPr>
          <w:sz w:val="24"/>
          <w:szCs w:val="24"/>
        </w:rPr>
        <w:t xml:space="preserve">ებისას. </w:t>
      </w:r>
      <w:r w:rsidR="00F405AE" w:rsidRPr="00FC5C72">
        <w:rPr>
          <w:sz w:val="24"/>
          <w:szCs w:val="24"/>
        </w:rPr>
        <w:t xml:space="preserve">10 მგ დოზით </w:t>
      </w:r>
      <w:r w:rsidR="008840AD" w:rsidRPr="00FC5C72">
        <w:rPr>
          <w:sz w:val="24"/>
          <w:szCs w:val="24"/>
        </w:rPr>
        <w:t xml:space="preserve">აპიქსაბანის </w:t>
      </w:r>
      <w:r w:rsidR="00F405AE" w:rsidRPr="00FC5C72">
        <w:rPr>
          <w:sz w:val="24"/>
          <w:szCs w:val="24"/>
        </w:rPr>
        <w:t>და</w:t>
      </w:r>
      <w:r w:rsidR="008840AD" w:rsidRPr="00FC5C72">
        <w:rPr>
          <w:sz w:val="24"/>
          <w:szCs w:val="24"/>
        </w:rPr>
        <w:t xml:space="preserve"> 40 მგ </w:t>
      </w:r>
      <w:r w:rsidR="00F405AE" w:rsidRPr="00FC5C72">
        <w:rPr>
          <w:sz w:val="24"/>
          <w:szCs w:val="24"/>
        </w:rPr>
        <w:t xml:space="preserve">დოზით </w:t>
      </w:r>
      <w:r w:rsidR="008840AD" w:rsidRPr="00FC5C72">
        <w:rPr>
          <w:sz w:val="24"/>
          <w:szCs w:val="24"/>
        </w:rPr>
        <w:t>ფამოტიდინ</w:t>
      </w:r>
      <w:r w:rsidR="00F405AE" w:rsidRPr="00FC5C72">
        <w:rPr>
          <w:sz w:val="24"/>
          <w:szCs w:val="24"/>
        </w:rPr>
        <w:t>ის</w:t>
      </w:r>
      <w:r w:rsidR="008840AD" w:rsidRPr="00FC5C72">
        <w:rPr>
          <w:sz w:val="24"/>
          <w:szCs w:val="24"/>
        </w:rPr>
        <w:t xml:space="preserve"> ერთ</w:t>
      </w:r>
      <w:r w:rsidR="00F405AE" w:rsidRPr="00FC5C72">
        <w:rPr>
          <w:sz w:val="24"/>
          <w:szCs w:val="24"/>
        </w:rPr>
        <w:t>დროულად მიღება</w:t>
      </w:r>
      <w:r w:rsidR="008840AD" w:rsidRPr="00FC5C72">
        <w:rPr>
          <w:sz w:val="24"/>
          <w:szCs w:val="24"/>
        </w:rPr>
        <w:t xml:space="preserve"> არ</w:t>
      </w:r>
      <w:r w:rsidR="00F405AE" w:rsidRPr="00FC5C72">
        <w:rPr>
          <w:sz w:val="24"/>
          <w:szCs w:val="24"/>
        </w:rPr>
        <w:t xml:space="preserve"> </w:t>
      </w:r>
      <w:r w:rsidR="008840AD" w:rsidRPr="00FC5C72">
        <w:rPr>
          <w:sz w:val="24"/>
          <w:szCs w:val="24"/>
        </w:rPr>
        <w:t>ახდენ</w:t>
      </w:r>
      <w:r w:rsidR="00F405AE" w:rsidRPr="00FC5C72">
        <w:rPr>
          <w:sz w:val="24"/>
          <w:szCs w:val="24"/>
        </w:rPr>
        <w:t>და</w:t>
      </w:r>
      <w:r w:rsidR="008840AD" w:rsidRPr="00FC5C72">
        <w:rPr>
          <w:sz w:val="24"/>
          <w:szCs w:val="24"/>
        </w:rPr>
        <w:t xml:space="preserve"> გავლენას აპიქსაბანის AUC ან Cmax</w:t>
      </w:r>
      <w:r w:rsidR="00F405AE" w:rsidRPr="00FC5C72">
        <w:rPr>
          <w:sz w:val="24"/>
          <w:szCs w:val="24"/>
        </w:rPr>
        <w:t xml:space="preserve"> მნიშვნელობებ</w:t>
      </w:r>
      <w:r w:rsidR="008840AD" w:rsidRPr="00FC5C72">
        <w:rPr>
          <w:sz w:val="24"/>
          <w:szCs w:val="24"/>
        </w:rPr>
        <w:t xml:space="preserve">ზე. </w:t>
      </w:r>
    </w:p>
    <w:p w14:paraId="36C0B19C" w14:textId="77777777" w:rsidR="009D1876" w:rsidRPr="00FC5C72" w:rsidRDefault="009D1876" w:rsidP="00785B18">
      <w:pPr>
        <w:spacing w:after="0" w:line="240" w:lineRule="auto"/>
        <w:jc w:val="both"/>
        <w:rPr>
          <w:sz w:val="24"/>
          <w:szCs w:val="24"/>
        </w:rPr>
      </w:pPr>
    </w:p>
    <w:p w14:paraId="15B0682D" w14:textId="2C96F84F" w:rsidR="00F405AE" w:rsidRPr="00FC5C72" w:rsidRDefault="008840AD" w:rsidP="00785B18">
      <w:pPr>
        <w:spacing w:after="0" w:line="240" w:lineRule="auto"/>
        <w:jc w:val="both"/>
        <w:rPr>
          <w:sz w:val="24"/>
          <w:szCs w:val="24"/>
        </w:rPr>
      </w:pPr>
      <w:r w:rsidRPr="00FC5C72">
        <w:rPr>
          <w:i/>
          <w:iCs/>
          <w:sz w:val="24"/>
          <w:szCs w:val="24"/>
        </w:rPr>
        <w:t xml:space="preserve">აპიქსაბანის </w:t>
      </w:r>
      <w:r w:rsidR="00900E78" w:rsidRPr="00FC5C72">
        <w:rPr>
          <w:i/>
          <w:iCs/>
          <w:sz w:val="24"/>
          <w:szCs w:val="24"/>
        </w:rPr>
        <w:t>გავლენა</w:t>
      </w:r>
      <w:r w:rsidRPr="00FC5C72">
        <w:rPr>
          <w:i/>
          <w:iCs/>
          <w:sz w:val="24"/>
          <w:szCs w:val="24"/>
        </w:rPr>
        <w:t xml:space="preserve"> სხვა სამკურნალო საშუალებებზე</w:t>
      </w:r>
    </w:p>
    <w:p w14:paraId="365A7A92" w14:textId="32A51898" w:rsidR="00627179" w:rsidRPr="00FC5C72" w:rsidRDefault="009D1876" w:rsidP="00785B18">
      <w:pPr>
        <w:spacing w:after="0" w:line="240" w:lineRule="auto"/>
        <w:jc w:val="both"/>
        <w:rPr>
          <w:sz w:val="24"/>
          <w:szCs w:val="24"/>
        </w:rPr>
      </w:pPr>
      <w:r w:rsidRPr="00FC5C72">
        <w:rPr>
          <w:sz w:val="24"/>
          <w:szCs w:val="24"/>
        </w:rPr>
        <w:t xml:space="preserve">აპიქსაბანის </w:t>
      </w:r>
      <w:r w:rsidR="008840AD" w:rsidRPr="00FC5C72">
        <w:rPr>
          <w:sz w:val="24"/>
          <w:szCs w:val="24"/>
        </w:rPr>
        <w:t xml:space="preserve"> </w:t>
      </w:r>
      <w:r w:rsidRPr="00FC5C72">
        <w:rPr>
          <w:i/>
          <w:iCs/>
          <w:sz w:val="24"/>
          <w:szCs w:val="24"/>
        </w:rPr>
        <w:t>i</w:t>
      </w:r>
      <w:r w:rsidR="008840AD" w:rsidRPr="00FC5C72">
        <w:rPr>
          <w:i/>
          <w:iCs/>
          <w:sz w:val="24"/>
          <w:szCs w:val="24"/>
        </w:rPr>
        <w:t>n vitro</w:t>
      </w:r>
      <w:r w:rsidR="008840AD" w:rsidRPr="00FC5C72">
        <w:rPr>
          <w:sz w:val="24"/>
          <w:szCs w:val="24"/>
        </w:rPr>
        <w:t xml:space="preserve"> კვლევებში </w:t>
      </w:r>
      <w:r w:rsidRPr="00FC5C72">
        <w:rPr>
          <w:sz w:val="24"/>
          <w:szCs w:val="24"/>
        </w:rPr>
        <w:t xml:space="preserve">არ იყო გამოვლენილი მაინჰიბირებელი მოქმედება </w:t>
      </w:r>
      <w:r w:rsidR="008840AD" w:rsidRPr="00FC5C72">
        <w:rPr>
          <w:sz w:val="24"/>
          <w:szCs w:val="24"/>
        </w:rPr>
        <w:t xml:space="preserve"> CYP1A2, CYP2A6, CYP2B6, CYP2C8, CYP2C9, CYP2D6 ან CYP3A4 იზოფერმენტების აქტივობა</w:t>
      </w:r>
      <w:r w:rsidRPr="00FC5C72">
        <w:rPr>
          <w:sz w:val="24"/>
          <w:szCs w:val="24"/>
        </w:rPr>
        <w:t>ზე</w:t>
      </w:r>
      <w:r w:rsidR="008840AD" w:rsidRPr="00FC5C72">
        <w:rPr>
          <w:sz w:val="24"/>
          <w:szCs w:val="24"/>
        </w:rPr>
        <w:t xml:space="preserve"> (IC50</w:t>
      </w:r>
      <w:r w:rsidR="00F405AE" w:rsidRPr="00FC5C72">
        <w:rPr>
          <w:sz w:val="24"/>
          <w:szCs w:val="24"/>
        </w:rPr>
        <w:t xml:space="preserve"> (ინჰიბირების 50%-იანი კოეფიციენტი)</w:t>
      </w:r>
      <w:r w:rsidR="008840AD" w:rsidRPr="00FC5C72">
        <w:rPr>
          <w:sz w:val="24"/>
          <w:szCs w:val="24"/>
        </w:rPr>
        <w:t xml:space="preserve"> &gt;45 მკმ) და </w:t>
      </w:r>
      <w:r w:rsidRPr="00FC5C72">
        <w:rPr>
          <w:sz w:val="24"/>
          <w:szCs w:val="24"/>
        </w:rPr>
        <w:t>გამოვლენილი იყო</w:t>
      </w:r>
      <w:r w:rsidR="008840AD" w:rsidRPr="00FC5C72">
        <w:rPr>
          <w:sz w:val="24"/>
          <w:szCs w:val="24"/>
        </w:rPr>
        <w:t xml:space="preserve"> სუსტ</w:t>
      </w:r>
      <w:r w:rsidRPr="00FC5C72">
        <w:rPr>
          <w:sz w:val="24"/>
          <w:szCs w:val="24"/>
        </w:rPr>
        <w:t>ი</w:t>
      </w:r>
      <w:r w:rsidR="00F405AE" w:rsidRPr="00FC5C72">
        <w:rPr>
          <w:sz w:val="24"/>
          <w:szCs w:val="24"/>
        </w:rPr>
        <w:t xml:space="preserve"> </w:t>
      </w:r>
      <w:r w:rsidR="008840AD" w:rsidRPr="00FC5C72">
        <w:rPr>
          <w:sz w:val="24"/>
          <w:szCs w:val="24"/>
        </w:rPr>
        <w:t>მაინჰიბირებელ</w:t>
      </w:r>
      <w:r w:rsidRPr="00FC5C72">
        <w:rPr>
          <w:sz w:val="24"/>
          <w:szCs w:val="24"/>
        </w:rPr>
        <w:t>ი</w:t>
      </w:r>
      <w:r w:rsidR="008840AD" w:rsidRPr="00FC5C72">
        <w:rPr>
          <w:sz w:val="24"/>
          <w:szCs w:val="24"/>
        </w:rPr>
        <w:t xml:space="preserve"> ეფექტ</w:t>
      </w:r>
      <w:r w:rsidRPr="00FC5C72">
        <w:rPr>
          <w:sz w:val="24"/>
          <w:szCs w:val="24"/>
        </w:rPr>
        <w:t>ი</w:t>
      </w:r>
      <w:r w:rsidR="008840AD" w:rsidRPr="00FC5C72">
        <w:rPr>
          <w:sz w:val="24"/>
          <w:szCs w:val="24"/>
        </w:rPr>
        <w:t xml:space="preserve"> CYP2C19-ის აქტივობაზე (IC50 &gt;20 მკმ)</w:t>
      </w:r>
      <w:r w:rsidR="00F405AE" w:rsidRPr="00FC5C72">
        <w:rPr>
          <w:sz w:val="24"/>
          <w:szCs w:val="24"/>
        </w:rPr>
        <w:t xml:space="preserve"> </w:t>
      </w:r>
      <w:r w:rsidR="008840AD" w:rsidRPr="00FC5C72">
        <w:rPr>
          <w:sz w:val="24"/>
          <w:szCs w:val="24"/>
        </w:rPr>
        <w:t>ისეთი კონცენტრაციების</w:t>
      </w:r>
      <w:r w:rsidR="00F405AE" w:rsidRPr="00FC5C72">
        <w:rPr>
          <w:sz w:val="24"/>
          <w:szCs w:val="24"/>
        </w:rPr>
        <w:t xml:space="preserve"> </w:t>
      </w:r>
      <w:r w:rsidR="008840AD" w:rsidRPr="00FC5C72">
        <w:rPr>
          <w:sz w:val="24"/>
          <w:szCs w:val="24"/>
        </w:rPr>
        <w:t>დროს, რომლებიც მნიშვნელოვნად აღემატებოდნენ პაციენტებში დაფიქსირებულ</w:t>
      </w:r>
      <w:r w:rsidR="00F405AE" w:rsidRPr="00FC5C72">
        <w:rPr>
          <w:sz w:val="24"/>
          <w:szCs w:val="24"/>
        </w:rPr>
        <w:t xml:space="preserve"> </w:t>
      </w:r>
      <w:r w:rsidR="008840AD" w:rsidRPr="00FC5C72">
        <w:rPr>
          <w:sz w:val="24"/>
          <w:szCs w:val="24"/>
        </w:rPr>
        <w:t xml:space="preserve">მაქსიმალურ კონცენტრაციას პლაზმაში. აპიქსაბანი არ </w:t>
      </w:r>
      <w:r w:rsidRPr="00FC5C72">
        <w:rPr>
          <w:sz w:val="24"/>
          <w:szCs w:val="24"/>
        </w:rPr>
        <w:t>წარმოადგენდა</w:t>
      </w:r>
      <w:r w:rsidR="008840AD" w:rsidRPr="00FC5C72">
        <w:rPr>
          <w:sz w:val="24"/>
          <w:szCs w:val="24"/>
        </w:rPr>
        <w:t xml:space="preserve"> CYP1A2-ს, CYP2B6-ს</w:t>
      </w:r>
      <w:r w:rsidR="00F405AE" w:rsidRPr="00FC5C72">
        <w:rPr>
          <w:sz w:val="24"/>
          <w:szCs w:val="24"/>
        </w:rPr>
        <w:t xml:space="preserve"> და</w:t>
      </w:r>
      <w:r w:rsidR="008840AD" w:rsidRPr="00FC5C72">
        <w:rPr>
          <w:sz w:val="24"/>
          <w:szCs w:val="24"/>
        </w:rPr>
        <w:t xml:space="preserve"> CYP3A4/5-</w:t>
      </w:r>
      <w:r w:rsidRPr="00FC5C72">
        <w:rPr>
          <w:sz w:val="24"/>
          <w:szCs w:val="24"/>
        </w:rPr>
        <w:t>ი</w:t>
      </w:r>
      <w:r w:rsidR="008840AD" w:rsidRPr="00FC5C72">
        <w:rPr>
          <w:sz w:val="24"/>
          <w:szCs w:val="24"/>
        </w:rPr>
        <w:t>ს</w:t>
      </w:r>
      <w:r w:rsidRPr="00FC5C72">
        <w:rPr>
          <w:sz w:val="24"/>
          <w:szCs w:val="24"/>
        </w:rPr>
        <w:t xml:space="preserve"> ინდუქტორს</w:t>
      </w:r>
      <w:r w:rsidR="008840AD" w:rsidRPr="00FC5C72">
        <w:rPr>
          <w:sz w:val="24"/>
          <w:szCs w:val="24"/>
        </w:rPr>
        <w:t xml:space="preserve"> 20 მკმ-მდე კონცენტრაციებში. ამასთან დაკავშირებით მოსალოდნელია, რომ</w:t>
      </w:r>
      <w:r w:rsidR="00F405AE" w:rsidRPr="00FC5C72">
        <w:rPr>
          <w:sz w:val="24"/>
          <w:szCs w:val="24"/>
        </w:rPr>
        <w:t xml:space="preserve"> </w:t>
      </w:r>
      <w:r w:rsidR="008840AD" w:rsidRPr="00FC5C72">
        <w:rPr>
          <w:sz w:val="24"/>
          <w:szCs w:val="24"/>
        </w:rPr>
        <w:t>ერთდროულ</w:t>
      </w:r>
      <w:r w:rsidR="00900E78" w:rsidRPr="00FC5C72">
        <w:rPr>
          <w:sz w:val="24"/>
          <w:szCs w:val="24"/>
        </w:rPr>
        <w:t>ად</w:t>
      </w:r>
      <w:r w:rsidR="008840AD" w:rsidRPr="00FC5C72">
        <w:rPr>
          <w:sz w:val="24"/>
          <w:szCs w:val="24"/>
        </w:rPr>
        <w:t xml:space="preserve"> გამოყენებისას აპიქსაბანი არ </w:t>
      </w:r>
      <w:r w:rsidR="009B20B3" w:rsidRPr="00FC5C72">
        <w:rPr>
          <w:sz w:val="24"/>
          <w:szCs w:val="24"/>
        </w:rPr>
        <w:t>შეცვლის</w:t>
      </w:r>
      <w:r w:rsidR="008840AD" w:rsidRPr="00FC5C72">
        <w:rPr>
          <w:sz w:val="24"/>
          <w:szCs w:val="24"/>
        </w:rPr>
        <w:t xml:space="preserve"> იმ სამკურნალო</w:t>
      </w:r>
      <w:r w:rsidR="00F405AE" w:rsidRPr="00FC5C72">
        <w:rPr>
          <w:sz w:val="24"/>
          <w:szCs w:val="24"/>
        </w:rPr>
        <w:t xml:space="preserve"> </w:t>
      </w:r>
      <w:r w:rsidR="008840AD" w:rsidRPr="00FC5C72">
        <w:rPr>
          <w:sz w:val="24"/>
          <w:szCs w:val="24"/>
        </w:rPr>
        <w:t>საშუალებების მეტაბოლურ კლირენს</w:t>
      </w:r>
      <w:r w:rsidR="009B20B3" w:rsidRPr="00FC5C72">
        <w:rPr>
          <w:sz w:val="24"/>
          <w:szCs w:val="24"/>
        </w:rPr>
        <w:t>ს</w:t>
      </w:r>
      <w:r w:rsidR="008840AD" w:rsidRPr="00FC5C72">
        <w:rPr>
          <w:sz w:val="24"/>
          <w:szCs w:val="24"/>
        </w:rPr>
        <w:t>, რომ</w:t>
      </w:r>
      <w:r w:rsidR="00F405AE" w:rsidRPr="00FC5C72">
        <w:rPr>
          <w:sz w:val="24"/>
          <w:szCs w:val="24"/>
        </w:rPr>
        <w:t>ელთა</w:t>
      </w:r>
      <w:r w:rsidR="008840AD" w:rsidRPr="00FC5C72">
        <w:rPr>
          <w:sz w:val="24"/>
          <w:szCs w:val="24"/>
        </w:rPr>
        <w:t xml:space="preserve"> მეტაბოლიზმშიც მონაწილეობენ ეს</w:t>
      </w:r>
      <w:r w:rsidR="00F405AE" w:rsidRPr="00FC5C72">
        <w:rPr>
          <w:sz w:val="24"/>
          <w:szCs w:val="24"/>
        </w:rPr>
        <w:t xml:space="preserve"> </w:t>
      </w:r>
      <w:r w:rsidR="008840AD" w:rsidRPr="00FC5C72">
        <w:rPr>
          <w:sz w:val="24"/>
          <w:szCs w:val="24"/>
        </w:rPr>
        <w:t xml:space="preserve">ფერმენტები. აპიქსაბანი </w:t>
      </w:r>
      <w:r w:rsidR="00627179" w:rsidRPr="00FC5C72">
        <w:rPr>
          <w:sz w:val="24"/>
          <w:szCs w:val="24"/>
        </w:rPr>
        <w:t xml:space="preserve">მნიშვნელოვანი ხარისხით არ აინჰიბირებს </w:t>
      </w:r>
      <w:r w:rsidR="008840AD" w:rsidRPr="00FC5C72">
        <w:rPr>
          <w:sz w:val="24"/>
          <w:szCs w:val="24"/>
        </w:rPr>
        <w:t xml:space="preserve">P-gp-ს. </w:t>
      </w:r>
    </w:p>
    <w:p w14:paraId="58EE2953" w14:textId="06C79781" w:rsidR="00504A4E" w:rsidRPr="00FC5C72" w:rsidRDefault="008840AD" w:rsidP="00785B18">
      <w:pPr>
        <w:spacing w:after="0" w:line="240" w:lineRule="auto"/>
        <w:jc w:val="both"/>
        <w:rPr>
          <w:sz w:val="24"/>
          <w:szCs w:val="24"/>
        </w:rPr>
      </w:pPr>
      <w:r w:rsidRPr="00FC5C72">
        <w:rPr>
          <w:sz w:val="24"/>
          <w:szCs w:val="24"/>
        </w:rPr>
        <w:t>ჯანმრთელ</w:t>
      </w:r>
      <w:r w:rsidR="00F405AE" w:rsidRPr="00FC5C72">
        <w:rPr>
          <w:sz w:val="24"/>
          <w:szCs w:val="24"/>
        </w:rPr>
        <w:t>ი</w:t>
      </w:r>
      <w:r w:rsidRPr="00FC5C72">
        <w:rPr>
          <w:sz w:val="24"/>
          <w:szCs w:val="24"/>
        </w:rPr>
        <w:t xml:space="preserve"> მოხალისეების მონაწილეობით ჩატარებულ კვლევებში, როგორც აღწერილია</w:t>
      </w:r>
      <w:r w:rsidR="00F405AE" w:rsidRPr="00FC5C72">
        <w:rPr>
          <w:sz w:val="24"/>
          <w:szCs w:val="24"/>
        </w:rPr>
        <w:t xml:space="preserve"> </w:t>
      </w:r>
      <w:r w:rsidRPr="00FC5C72">
        <w:rPr>
          <w:sz w:val="24"/>
          <w:szCs w:val="24"/>
        </w:rPr>
        <w:t>ქვემოთ, აპიქსაბან</w:t>
      </w:r>
      <w:r w:rsidR="00F405AE" w:rsidRPr="00FC5C72">
        <w:rPr>
          <w:sz w:val="24"/>
          <w:szCs w:val="24"/>
        </w:rPr>
        <w:t>ი</w:t>
      </w:r>
      <w:r w:rsidRPr="00FC5C72">
        <w:rPr>
          <w:sz w:val="24"/>
          <w:szCs w:val="24"/>
        </w:rPr>
        <w:t xml:space="preserve"> </w:t>
      </w:r>
      <w:r w:rsidR="00F405AE" w:rsidRPr="00FC5C72">
        <w:rPr>
          <w:sz w:val="24"/>
          <w:szCs w:val="24"/>
        </w:rPr>
        <w:t>მნიშვნელოვ</w:t>
      </w:r>
      <w:r w:rsidR="00627179" w:rsidRPr="00FC5C72">
        <w:rPr>
          <w:sz w:val="24"/>
          <w:szCs w:val="24"/>
        </w:rPr>
        <w:t>ანი ხარისხით</w:t>
      </w:r>
      <w:r w:rsidR="00F405AE" w:rsidRPr="00FC5C72">
        <w:rPr>
          <w:sz w:val="24"/>
          <w:szCs w:val="24"/>
        </w:rPr>
        <w:t xml:space="preserve"> არ ცვლიდა</w:t>
      </w:r>
      <w:r w:rsidRPr="00FC5C72">
        <w:rPr>
          <w:sz w:val="24"/>
          <w:szCs w:val="24"/>
        </w:rPr>
        <w:t xml:space="preserve"> დიგოქსინის, ნაპროქსენისა </w:t>
      </w:r>
      <w:r w:rsidR="00504A4E" w:rsidRPr="00FC5C72">
        <w:rPr>
          <w:sz w:val="24"/>
          <w:szCs w:val="24"/>
        </w:rPr>
        <w:t xml:space="preserve">და </w:t>
      </w:r>
      <w:r w:rsidRPr="00FC5C72">
        <w:rPr>
          <w:sz w:val="24"/>
          <w:szCs w:val="24"/>
        </w:rPr>
        <w:t>ატენოლოლის ფარმაკოკინეტიკა</w:t>
      </w:r>
      <w:r w:rsidR="00504A4E" w:rsidRPr="00FC5C72">
        <w:rPr>
          <w:sz w:val="24"/>
          <w:szCs w:val="24"/>
        </w:rPr>
        <w:t>ს</w:t>
      </w:r>
      <w:r w:rsidRPr="00FC5C72">
        <w:rPr>
          <w:sz w:val="24"/>
          <w:szCs w:val="24"/>
        </w:rPr>
        <w:t xml:space="preserve">. </w:t>
      </w:r>
    </w:p>
    <w:p w14:paraId="73253050" w14:textId="77777777" w:rsidR="00504A4E" w:rsidRPr="00FC5C72" w:rsidRDefault="00504A4E" w:rsidP="00785B18">
      <w:pPr>
        <w:spacing w:after="0" w:line="240" w:lineRule="auto"/>
        <w:jc w:val="both"/>
        <w:rPr>
          <w:sz w:val="24"/>
          <w:szCs w:val="24"/>
        </w:rPr>
      </w:pPr>
    </w:p>
    <w:p w14:paraId="53591286" w14:textId="77777777" w:rsidR="00504A4E" w:rsidRPr="00FC5C72" w:rsidRDefault="008840AD" w:rsidP="00785B18">
      <w:pPr>
        <w:spacing w:after="0" w:line="240" w:lineRule="auto"/>
        <w:jc w:val="both"/>
        <w:rPr>
          <w:i/>
          <w:iCs/>
          <w:sz w:val="24"/>
          <w:szCs w:val="24"/>
        </w:rPr>
      </w:pPr>
      <w:r w:rsidRPr="00FC5C72">
        <w:rPr>
          <w:i/>
          <w:iCs/>
          <w:sz w:val="24"/>
          <w:szCs w:val="24"/>
        </w:rPr>
        <w:t xml:space="preserve">დიგოქსინი </w:t>
      </w:r>
    </w:p>
    <w:p w14:paraId="36A9CD12" w14:textId="4FB581F6" w:rsidR="00504A4E" w:rsidRPr="00FC5C72" w:rsidRDefault="008840AD" w:rsidP="00785B18">
      <w:pPr>
        <w:spacing w:after="0" w:line="240" w:lineRule="auto"/>
        <w:jc w:val="both"/>
        <w:rPr>
          <w:sz w:val="24"/>
          <w:szCs w:val="24"/>
        </w:rPr>
      </w:pPr>
      <w:r w:rsidRPr="00FC5C72">
        <w:rPr>
          <w:sz w:val="24"/>
          <w:szCs w:val="24"/>
        </w:rPr>
        <w:t>აპიქსაბანის (</w:t>
      </w:r>
      <w:r w:rsidR="00627179" w:rsidRPr="00FC5C72">
        <w:rPr>
          <w:sz w:val="24"/>
          <w:szCs w:val="24"/>
        </w:rPr>
        <w:t xml:space="preserve">დოზით </w:t>
      </w:r>
      <w:r w:rsidRPr="00FC5C72">
        <w:rPr>
          <w:sz w:val="24"/>
          <w:szCs w:val="24"/>
        </w:rPr>
        <w:t xml:space="preserve">20 მგ </w:t>
      </w:r>
      <w:r w:rsidR="00504A4E" w:rsidRPr="00FC5C72">
        <w:rPr>
          <w:sz w:val="24"/>
          <w:szCs w:val="24"/>
        </w:rPr>
        <w:t xml:space="preserve">ერთხელ </w:t>
      </w:r>
      <w:r w:rsidRPr="00FC5C72">
        <w:rPr>
          <w:sz w:val="24"/>
          <w:szCs w:val="24"/>
        </w:rPr>
        <w:t xml:space="preserve">დღე-ღამეში) და </w:t>
      </w:r>
      <w:r w:rsidR="00504A4E" w:rsidRPr="00FC5C72">
        <w:rPr>
          <w:sz w:val="24"/>
          <w:szCs w:val="24"/>
        </w:rPr>
        <w:t xml:space="preserve">P-gp სუბსტრატის - </w:t>
      </w:r>
      <w:r w:rsidRPr="00FC5C72">
        <w:rPr>
          <w:sz w:val="24"/>
          <w:szCs w:val="24"/>
        </w:rPr>
        <w:t>დიგოქსინის (</w:t>
      </w:r>
      <w:r w:rsidR="00627179" w:rsidRPr="00FC5C72">
        <w:rPr>
          <w:sz w:val="24"/>
          <w:szCs w:val="24"/>
        </w:rPr>
        <w:t xml:space="preserve">დოზით </w:t>
      </w:r>
      <w:r w:rsidRPr="00FC5C72">
        <w:rPr>
          <w:sz w:val="24"/>
          <w:szCs w:val="24"/>
        </w:rPr>
        <w:t>0.25 მგ ერთხელ დღე-ღამეში) ერთდროულ</w:t>
      </w:r>
      <w:r w:rsidR="00900E78" w:rsidRPr="00FC5C72">
        <w:rPr>
          <w:sz w:val="24"/>
          <w:szCs w:val="24"/>
        </w:rPr>
        <w:t>ად</w:t>
      </w:r>
      <w:r w:rsidRPr="00FC5C72">
        <w:rPr>
          <w:sz w:val="24"/>
          <w:szCs w:val="24"/>
        </w:rPr>
        <w:t xml:space="preserve"> გამოყენებ</w:t>
      </w:r>
      <w:r w:rsidR="00504A4E" w:rsidRPr="00FC5C72">
        <w:rPr>
          <w:sz w:val="24"/>
          <w:szCs w:val="24"/>
        </w:rPr>
        <w:t>ისას</w:t>
      </w:r>
      <w:r w:rsidRPr="00FC5C72">
        <w:rPr>
          <w:sz w:val="24"/>
          <w:szCs w:val="24"/>
        </w:rPr>
        <w:t xml:space="preserve"> დიგოქსინის AUC ან Cmax</w:t>
      </w:r>
      <w:r w:rsidR="00504A4E" w:rsidRPr="00FC5C72">
        <w:rPr>
          <w:sz w:val="24"/>
          <w:szCs w:val="24"/>
        </w:rPr>
        <w:t xml:space="preserve"> </w:t>
      </w:r>
      <w:r w:rsidRPr="00FC5C72">
        <w:rPr>
          <w:sz w:val="24"/>
          <w:szCs w:val="24"/>
        </w:rPr>
        <w:t>მნიშვნელობებ</w:t>
      </w:r>
      <w:r w:rsidR="00504A4E" w:rsidRPr="00FC5C72">
        <w:rPr>
          <w:sz w:val="24"/>
          <w:szCs w:val="24"/>
        </w:rPr>
        <w:t>ი არ იცვლებოდა</w:t>
      </w:r>
      <w:r w:rsidRPr="00FC5C72">
        <w:rPr>
          <w:sz w:val="24"/>
          <w:szCs w:val="24"/>
        </w:rPr>
        <w:t xml:space="preserve">. </w:t>
      </w:r>
      <w:r w:rsidR="00504A4E" w:rsidRPr="00FC5C72">
        <w:rPr>
          <w:sz w:val="24"/>
          <w:szCs w:val="24"/>
        </w:rPr>
        <w:t>აქედან გამომდინარე</w:t>
      </w:r>
      <w:r w:rsidRPr="00FC5C72">
        <w:rPr>
          <w:sz w:val="24"/>
          <w:szCs w:val="24"/>
        </w:rPr>
        <w:t>, აპიქსაბანი არ აინჰიბირებს შუამავლურ P-gp სუბსტრატ</w:t>
      </w:r>
      <w:r w:rsidR="00504A4E" w:rsidRPr="00FC5C72">
        <w:rPr>
          <w:sz w:val="24"/>
          <w:szCs w:val="24"/>
        </w:rPr>
        <w:t xml:space="preserve">ების </w:t>
      </w:r>
      <w:r w:rsidRPr="00FC5C72">
        <w:rPr>
          <w:sz w:val="24"/>
          <w:szCs w:val="24"/>
        </w:rPr>
        <w:t xml:space="preserve">ტრანსპორტს. </w:t>
      </w:r>
    </w:p>
    <w:p w14:paraId="769949E9" w14:textId="77777777" w:rsidR="00504A4E" w:rsidRPr="00FC5C72" w:rsidRDefault="008840AD" w:rsidP="00785B18">
      <w:pPr>
        <w:spacing w:after="0" w:line="240" w:lineRule="auto"/>
        <w:jc w:val="both"/>
        <w:rPr>
          <w:sz w:val="24"/>
          <w:szCs w:val="24"/>
        </w:rPr>
      </w:pPr>
      <w:r w:rsidRPr="00FC5C72">
        <w:rPr>
          <w:i/>
          <w:iCs/>
          <w:sz w:val="24"/>
          <w:szCs w:val="24"/>
        </w:rPr>
        <w:t>ნაპროქსენი</w:t>
      </w:r>
      <w:r w:rsidRPr="00FC5C72">
        <w:rPr>
          <w:sz w:val="24"/>
          <w:szCs w:val="24"/>
        </w:rPr>
        <w:t xml:space="preserve"> </w:t>
      </w:r>
    </w:p>
    <w:p w14:paraId="1D3AD295" w14:textId="17CBE2B7" w:rsidR="008775C0" w:rsidRPr="00FC5C72" w:rsidRDefault="008840AD" w:rsidP="00785B18">
      <w:pPr>
        <w:spacing w:after="0" w:line="240" w:lineRule="auto"/>
        <w:jc w:val="both"/>
        <w:rPr>
          <w:sz w:val="24"/>
          <w:szCs w:val="24"/>
        </w:rPr>
      </w:pPr>
      <w:r w:rsidRPr="00FC5C72">
        <w:rPr>
          <w:sz w:val="24"/>
          <w:szCs w:val="24"/>
        </w:rPr>
        <w:t xml:space="preserve">აპიქსაბანის (10 მგ) და </w:t>
      </w:r>
      <w:r w:rsidR="00627179" w:rsidRPr="00FC5C72">
        <w:rPr>
          <w:sz w:val="24"/>
          <w:szCs w:val="24"/>
        </w:rPr>
        <w:t xml:space="preserve">ხშირად გამოყენებადი აასს-ის - </w:t>
      </w:r>
      <w:r w:rsidRPr="00FC5C72">
        <w:rPr>
          <w:sz w:val="24"/>
          <w:szCs w:val="24"/>
        </w:rPr>
        <w:t>ნაპროქსენის (500 მგ</w:t>
      </w:r>
      <w:r w:rsidR="008775C0" w:rsidRPr="00FC5C72">
        <w:rPr>
          <w:sz w:val="24"/>
          <w:szCs w:val="24"/>
        </w:rPr>
        <w:t xml:space="preserve"> დოზით</w:t>
      </w:r>
      <w:r w:rsidRPr="00FC5C72">
        <w:rPr>
          <w:sz w:val="24"/>
          <w:szCs w:val="24"/>
        </w:rPr>
        <w:t>) ერთჯერადი</w:t>
      </w:r>
      <w:r w:rsidR="008775C0" w:rsidRPr="00FC5C72">
        <w:rPr>
          <w:sz w:val="24"/>
          <w:szCs w:val="24"/>
        </w:rPr>
        <w:t xml:space="preserve"> </w:t>
      </w:r>
      <w:r w:rsidRPr="00FC5C72">
        <w:rPr>
          <w:sz w:val="24"/>
          <w:szCs w:val="24"/>
        </w:rPr>
        <w:t>დოზების ერთდროულ</w:t>
      </w:r>
      <w:r w:rsidR="008775C0" w:rsidRPr="00FC5C72">
        <w:rPr>
          <w:sz w:val="24"/>
          <w:szCs w:val="24"/>
        </w:rPr>
        <w:t>ად</w:t>
      </w:r>
      <w:r w:rsidRPr="00FC5C72">
        <w:rPr>
          <w:sz w:val="24"/>
          <w:szCs w:val="24"/>
        </w:rPr>
        <w:t xml:space="preserve"> გამოყენება არ ახდენდა </w:t>
      </w:r>
      <w:r w:rsidR="008775C0" w:rsidRPr="00FC5C72">
        <w:rPr>
          <w:sz w:val="24"/>
          <w:szCs w:val="24"/>
        </w:rPr>
        <w:t xml:space="preserve">რაიმე </w:t>
      </w:r>
      <w:r w:rsidRPr="00FC5C72">
        <w:rPr>
          <w:sz w:val="24"/>
          <w:szCs w:val="24"/>
        </w:rPr>
        <w:t>გავლენას ნაპროქსენის AUC-ის ან Cmax-ის</w:t>
      </w:r>
      <w:r w:rsidR="008775C0" w:rsidRPr="00FC5C72">
        <w:rPr>
          <w:sz w:val="24"/>
          <w:szCs w:val="24"/>
        </w:rPr>
        <w:t xml:space="preserve"> </w:t>
      </w:r>
      <w:r w:rsidRPr="00FC5C72">
        <w:rPr>
          <w:sz w:val="24"/>
          <w:szCs w:val="24"/>
        </w:rPr>
        <w:t xml:space="preserve">მნიშვნელობებზე. </w:t>
      </w:r>
    </w:p>
    <w:p w14:paraId="385CD644" w14:textId="77777777" w:rsidR="008775C0" w:rsidRPr="00FC5C72" w:rsidRDefault="008840AD" w:rsidP="00785B18">
      <w:pPr>
        <w:spacing w:after="0" w:line="240" w:lineRule="auto"/>
        <w:jc w:val="both"/>
        <w:rPr>
          <w:i/>
          <w:iCs/>
          <w:sz w:val="24"/>
          <w:szCs w:val="24"/>
        </w:rPr>
      </w:pPr>
      <w:r w:rsidRPr="00FC5C72">
        <w:rPr>
          <w:i/>
          <w:iCs/>
          <w:sz w:val="24"/>
          <w:szCs w:val="24"/>
        </w:rPr>
        <w:t xml:space="preserve">ატენოლოლი </w:t>
      </w:r>
    </w:p>
    <w:p w14:paraId="3DD95AF4" w14:textId="7032CA21" w:rsidR="008775C0" w:rsidRPr="00FC5C72" w:rsidRDefault="008840AD" w:rsidP="00785B18">
      <w:pPr>
        <w:spacing w:after="0" w:line="240" w:lineRule="auto"/>
        <w:jc w:val="both"/>
        <w:rPr>
          <w:sz w:val="24"/>
          <w:szCs w:val="24"/>
        </w:rPr>
      </w:pPr>
      <w:r w:rsidRPr="00FC5C72">
        <w:rPr>
          <w:sz w:val="24"/>
          <w:szCs w:val="24"/>
        </w:rPr>
        <w:t xml:space="preserve">აპიქსაბანის (10 მგ) და </w:t>
      </w:r>
      <w:r w:rsidR="00627179" w:rsidRPr="00FC5C72">
        <w:rPr>
          <w:sz w:val="24"/>
          <w:szCs w:val="24"/>
        </w:rPr>
        <w:t xml:space="preserve">ხშირად გამოყენებადი ბეტა- ბლოკერის - </w:t>
      </w:r>
      <w:r w:rsidRPr="00FC5C72">
        <w:rPr>
          <w:sz w:val="24"/>
          <w:szCs w:val="24"/>
        </w:rPr>
        <w:t>ატენოლოლის (100 მგ</w:t>
      </w:r>
      <w:r w:rsidR="008775C0" w:rsidRPr="00FC5C72">
        <w:rPr>
          <w:sz w:val="24"/>
          <w:szCs w:val="24"/>
        </w:rPr>
        <w:t xml:space="preserve"> დოზით</w:t>
      </w:r>
      <w:r w:rsidRPr="00FC5C72">
        <w:rPr>
          <w:sz w:val="24"/>
          <w:szCs w:val="24"/>
        </w:rPr>
        <w:t>)</w:t>
      </w:r>
      <w:r w:rsidR="00627179" w:rsidRPr="00FC5C72">
        <w:rPr>
          <w:sz w:val="24"/>
          <w:szCs w:val="24"/>
        </w:rPr>
        <w:t xml:space="preserve"> </w:t>
      </w:r>
      <w:r w:rsidRPr="00FC5C72">
        <w:rPr>
          <w:sz w:val="24"/>
          <w:szCs w:val="24"/>
        </w:rPr>
        <w:t>ერთჯერადი დოზების ერთდროულ</w:t>
      </w:r>
      <w:r w:rsidR="008775C0" w:rsidRPr="00FC5C72">
        <w:rPr>
          <w:sz w:val="24"/>
          <w:szCs w:val="24"/>
        </w:rPr>
        <w:t>ად</w:t>
      </w:r>
      <w:r w:rsidRPr="00FC5C72">
        <w:rPr>
          <w:sz w:val="24"/>
          <w:szCs w:val="24"/>
        </w:rPr>
        <w:t xml:space="preserve"> გამოყენება არ </w:t>
      </w:r>
      <w:r w:rsidR="00627179" w:rsidRPr="00FC5C72">
        <w:rPr>
          <w:sz w:val="24"/>
          <w:szCs w:val="24"/>
        </w:rPr>
        <w:t>ცვლიდა</w:t>
      </w:r>
      <w:r w:rsidRPr="00FC5C72">
        <w:rPr>
          <w:sz w:val="24"/>
          <w:szCs w:val="24"/>
        </w:rPr>
        <w:t xml:space="preserve"> ატენოლოლის</w:t>
      </w:r>
      <w:r w:rsidR="008775C0" w:rsidRPr="00FC5C72">
        <w:rPr>
          <w:sz w:val="24"/>
          <w:szCs w:val="24"/>
        </w:rPr>
        <w:t xml:space="preserve"> </w:t>
      </w:r>
      <w:r w:rsidRPr="00FC5C72">
        <w:rPr>
          <w:sz w:val="24"/>
          <w:szCs w:val="24"/>
        </w:rPr>
        <w:t>ფარმაკოკინეტიკა</w:t>
      </w:r>
      <w:r w:rsidR="00627179" w:rsidRPr="00FC5C72">
        <w:rPr>
          <w:sz w:val="24"/>
          <w:szCs w:val="24"/>
        </w:rPr>
        <w:t>ს</w:t>
      </w:r>
      <w:r w:rsidRPr="00FC5C72">
        <w:rPr>
          <w:sz w:val="24"/>
          <w:szCs w:val="24"/>
        </w:rPr>
        <w:t xml:space="preserve">. </w:t>
      </w:r>
    </w:p>
    <w:p w14:paraId="03BC8013" w14:textId="77777777" w:rsidR="008775C0" w:rsidRPr="00FC5C72" w:rsidRDefault="008840AD" w:rsidP="00785B18">
      <w:pPr>
        <w:spacing w:after="0" w:line="240" w:lineRule="auto"/>
        <w:jc w:val="both"/>
        <w:rPr>
          <w:sz w:val="24"/>
          <w:szCs w:val="24"/>
        </w:rPr>
      </w:pPr>
      <w:r w:rsidRPr="00FC5C72">
        <w:rPr>
          <w:i/>
          <w:iCs/>
          <w:sz w:val="24"/>
          <w:szCs w:val="24"/>
        </w:rPr>
        <w:t>აქტივირებული ნახშირი</w:t>
      </w:r>
      <w:r w:rsidRPr="00FC5C72">
        <w:rPr>
          <w:sz w:val="24"/>
          <w:szCs w:val="24"/>
        </w:rPr>
        <w:t xml:space="preserve"> </w:t>
      </w:r>
    </w:p>
    <w:p w14:paraId="490D318E" w14:textId="0DBCC9EF" w:rsidR="006F54AB" w:rsidRPr="00FC5C72" w:rsidRDefault="008840AD" w:rsidP="00785B18">
      <w:pPr>
        <w:spacing w:after="0" w:line="240" w:lineRule="auto"/>
        <w:jc w:val="both"/>
        <w:rPr>
          <w:sz w:val="24"/>
          <w:szCs w:val="24"/>
        </w:rPr>
      </w:pPr>
      <w:r w:rsidRPr="00FC5C72">
        <w:rPr>
          <w:sz w:val="24"/>
          <w:szCs w:val="24"/>
        </w:rPr>
        <w:t xml:space="preserve">აქტივირებული ნახშირის </w:t>
      </w:r>
      <w:r w:rsidR="008775C0" w:rsidRPr="00FC5C72">
        <w:rPr>
          <w:sz w:val="24"/>
          <w:szCs w:val="24"/>
        </w:rPr>
        <w:t>მიღება</w:t>
      </w:r>
      <w:r w:rsidRPr="00FC5C72">
        <w:rPr>
          <w:sz w:val="24"/>
          <w:szCs w:val="24"/>
        </w:rPr>
        <w:t xml:space="preserve"> ამცირებს აპიქსაბანის ექსპოზიციას</w:t>
      </w:r>
      <w:r w:rsidR="00627179" w:rsidRPr="00FC5C72">
        <w:rPr>
          <w:sz w:val="24"/>
          <w:szCs w:val="24"/>
        </w:rPr>
        <w:t xml:space="preserve"> (იხ. პარაგრაფი „უკუჩვენება“)</w:t>
      </w:r>
      <w:r w:rsidRPr="00FC5C72">
        <w:rPr>
          <w:sz w:val="24"/>
          <w:szCs w:val="24"/>
        </w:rPr>
        <w:t>.</w:t>
      </w:r>
    </w:p>
    <w:p w14:paraId="1E9BA0E8" w14:textId="537897E8" w:rsidR="00627179" w:rsidRPr="00FC5C72" w:rsidRDefault="00627179" w:rsidP="00785B18">
      <w:pPr>
        <w:spacing w:after="0" w:line="240" w:lineRule="auto"/>
        <w:jc w:val="both"/>
        <w:rPr>
          <w:sz w:val="24"/>
          <w:szCs w:val="24"/>
        </w:rPr>
      </w:pPr>
    </w:p>
    <w:p w14:paraId="54687EE4" w14:textId="03C54739" w:rsidR="00627179" w:rsidRPr="00FC5C72" w:rsidRDefault="00627179" w:rsidP="00785B18">
      <w:pPr>
        <w:spacing w:after="0" w:line="240" w:lineRule="auto"/>
        <w:jc w:val="both"/>
        <w:rPr>
          <w:sz w:val="24"/>
          <w:szCs w:val="24"/>
        </w:rPr>
      </w:pPr>
      <w:r w:rsidRPr="00FC5C72">
        <w:rPr>
          <w:sz w:val="24"/>
          <w:szCs w:val="24"/>
          <w:u w:val="single"/>
        </w:rPr>
        <w:t>ბავშვები</w:t>
      </w:r>
    </w:p>
    <w:p w14:paraId="424A06C9" w14:textId="14980DC6" w:rsidR="00627179" w:rsidRPr="00FC5C72" w:rsidRDefault="00627179" w:rsidP="00785B18">
      <w:pPr>
        <w:spacing w:after="0" w:line="240" w:lineRule="auto"/>
        <w:jc w:val="both"/>
        <w:rPr>
          <w:sz w:val="24"/>
          <w:szCs w:val="24"/>
        </w:rPr>
      </w:pPr>
      <w:r w:rsidRPr="00FC5C72">
        <w:rPr>
          <w:sz w:val="24"/>
          <w:szCs w:val="24"/>
        </w:rPr>
        <w:t>ბავშვთა ასაკის პაციენტებში სამკურნაწლამლო ურთიერთქმედების კვლევები არ ჩატარებულა.</w:t>
      </w:r>
    </w:p>
    <w:p w14:paraId="28552A64" w14:textId="6648006A" w:rsidR="00627179" w:rsidRPr="00FC5C72" w:rsidRDefault="00627179" w:rsidP="00785B18">
      <w:pPr>
        <w:spacing w:after="0" w:line="240" w:lineRule="auto"/>
        <w:jc w:val="both"/>
        <w:rPr>
          <w:sz w:val="24"/>
          <w:szCs w:val="24"/>
        </w:rPr>
      </w:pPr>
    </w:p>
    <w:p w14:paraId="536552B8" w14:textId="77777777" w:rsidR="00F105DF" w:rsidRPr="00FC5C72" w:rsidRDefault="00627179" w:rsidP="00785B18">
      <w:pPr>
        <w:spacing w:after="0" w:line="240" w:lineRule="auto"/>
        <w:jc w:val="both"/>
        <w:rPr>
          <w:sz w:val="24"/>
          <w:szCs w:val="24"/>
        </w:rPr>
      </w:pPr>
      <w:r w:rsidRPr="00FC5C72">
        <w:rPr>
          <w:sz w:val="24"/>
          <w:szCs w:val="24"/>
        </w:rPr>
        <w:t>ზემოთ მითითებული მონაცემები მიღებულია მოზრდილ პაციენტებში ურთიერთქმედების შესწავლისას, და ბავშვთა ასაკის პაციენტების შემთხვევაში გასათვალისწინებელია ინ</w:t>
      </w:r>
      <w:r w:rsidR="00F105DF" w:rsidRPr="00FC5C72">
        <w:rPr>
          <w:sz w:val="24"/>
          <w:szCs w:val="24"/>
        </w:rPr>
        <w:t>ფორ</w:t>
      </w:r>
      <w:r w:rsidRPr="00FC5C72">
        <w:rPr>
          <w:sz w:val="24"/>
          <w:szCs w:val="24"/>
        </w:rPr>
        <w:t>მაცია</w:t>
      </w:r>
      <w:r w:rsidR="00F105DF" w:rsidRPr="00FC5C72">
        <w:rPr>
          <w:sz w:val="24"/>
          <w:szCs w:val="24"/>
        </w:rPr>
        <w:t xml:space="preserve"> პარაგრაფში „განსაკუთრებული მითითება“). </w:t>
      </w:r>
    </w:p>
    <w:p w14:paraId="1576CFA5" w14:textId="26E8A528" w:rsidR="00BC4A5B" w:rsidRPr="00FC5C72" w:rsidRDefault="00BC4A5B" w:rsidP="00785B18">
      <w:pPr>
        <w:spacing w:after="0" w:line="240" w:lineRule="auto"/>
        <w:jc w:val="both"/>
        <w:rPr>
          <w:rFonts w:eastAsia="Times New Roman"/>
          <w:i/>
          <w:sz w:val="24"/>
          <w:szCs w:val="24"/>
          <w:lang w:eastAsia="ru-RU"/>
        </w:rPr>
      </w:pPr>
    </w:p>
    <w:p w14:paraId="4614C207" w14:textId="0F1CB895" w:rsidR="008775C0" w:rsidRPr="00FC5C72" w:rsidRDefault="008775C0" w:rsidP="00785B18">
      <w:pPr>
        <w:spacing w:after="0" w:line="240" w:lineRule="auto"/>
        <w:jc w:val="both"/>
        <w:rPr>
          <w:rFonts w:eastAsia="Times New Roman"/>
          <w:b/>
          <w:bCs/>
          <w:iCs/>
          <w:sz w:val="24"/>
          <w:szCs w:val="24"/>
          <w:lang w:eastAsia="ru-RU"/>
        </w:rPr>
      </w:pPr>
      <w:r w:rsidRPr="00FC5C72">
        <w:rPr>
          <w:rFonts w:eastAsia="Times New Roman"/>
          <w:b/>
          <w:bCs/>
          <w:iCs/>
          <w:sz w:val="24"/>
          <w:szCs w:val="24"/>
          <w:lang w:eastAsia="ru-RU"/>
        </w:rPr>
        <w:t>განსაკუთრებული მითითება</w:t>
      </w:r>
    </w:p>
    <w:p w14:paraId="3685249C" w14:textId="5F495F29" w:rsidR="00FE7C45" w:rsidRPr="00FC5C72" w:rsidRDefault="008775C0" w:rsidP="00785B18">
      <w:pPr>
        <w:spacing w:after="0" w:line="240" w:lineRule="auto"/>
        <w:jc w:val="both"/>
        <w:rPr>
          <w:rFonts w:eastAsia="Times New Roman"/>
          <w:i/>
          <w:iCs/>
          <w:sz w:val="24"/>
          <w:szCs w:val="24"/>
          <w:lang w:eastAsia="ru-RU"/>
        </w:rPr>
      </w:pPr>
      <w:r w:rsidRPr="00FC5C72">
        <w:rPr>
          <w:rFonts w:eastAsia="Times New Roman"/>
          <w:i/>
          <w:iCs/>
          <w:sz w:val="24"/>
          <w:szCs w:val="24"/>
          <w:lang w:eastAsia="ru-RU"/>
        </w:rPr>
        <w:t>სისხლდენის რისკი</w:t>
      </w:r>
    </w:p>
    <w:p w14:paraId="6C7B0164" w14:textId="568B2EC6" w:rsidR="00D2553A" w:rsidRPr="00FC5C72" w:rsidRDefault="008775C0"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როგორც სხვა ანტიკოაგულანტების შემთხვევაში, პაციენტებში, რომლებიც იღებენ აპიქსაბანს, საჭიროა გულდასმით დაკვირვება სისხლდენის ნიშნების გამოვლენის თვალსაზრისით. სისხლდენის მაღალ რისკთან დაკავშირებული მდგომარეობებისას პრეპარატის გამოყენება რეკომენდებულია სიფრთხილის ზომების დაცვით. </w:t>
      </w:r>
      <w:r w:rsidR="00F105DF" w:rsidRPr="00FC5C72">
        <w:rPr>
          <w:rFonts w:eastAsia="Times New Roman"/>
          <w:sz w:val="24"/>
          <w:szCs w:val="24"/>
          <w:lang w:eastAsia="ru-RU"/>
        </w:rPr>
        <w:t>მნიშვნელოვანი</w:t>
      </w:r>
      <w:r w:rsidRPr="00FC5C72">
        <w:rPr>
          <w:rFonts w:eastAsia="Times New Roman"/>
          <w:sz w:val="24"/>
          <w:szCs w:val="24"/>
          <w:lang w:eastAsia="ru-RU"/>
        </w:rPr>
        <w:t xml:space="preserve"> სისხლდენის შემთხვევაში აპიქსაბანი უნდა მოიხსნას (იხ. პარაგრაფები </w:t>
      </w:r>
      <w:r w:rsidR="00F105DF" w:rsidRPr="00FC5C72">
        <w:rPr>
          <w:rFonts w:eastAsia="Times New Roman"/>
          <w:sz w:val="24"/>
          <w:szCs w:val="24"/>
          <w:lang w:eastAsia="ru-RU"/>
        </w:rPr>
        <w:t>„</w:t>
      </w:r>
      <w:r w:rsidRPr="00FC5C72">
        <w:rPr>
          <w:rFonts w:eastAsia="Times New Roman"/>
          <w:sz w:val="24"/>
          <w:szCs w:val="24"/>
          <w:lang w:eastAsia="ru-RU"/>
        </w:rPr>
        <w:t>გვერდითი მოვლენები“ და “დოზის გადაჭარბება“).</w:t>
      </w:r>
    </w:p>
    <w:p w14:paraId="27FD3B70" w14:textId="77777777" w:rsidR="00F105DF" w:rsidRPr="00FC5C72" w:rsidRDefault="00F105DF" w:rsidP="00785B18">
      <w:pPr>
        <w:spacing w:after="0" w:line="240" w:lineRule="auto"/>
        <w:jc w:val="both"/>
        <w:rPr>
          <w:rFonts w:eastAsia="Times New Roman"/>
          <w:sz w:val="24"/>
          <w:szCs w:val="24"/>
          <w:lang w:eastAsia="ru-RU"/>
        </w:rPr>
      </w:pPr>
    </w:p>
    <w:p w14:paraId="0D0E18E6" w14:textId="0163E713" w:rsidR="00AA78B6" w:rsidRPr="00FC5C72" w:rsidRDefault="008775C0"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მიუხედავად იმისა, რომ აპიქსაბანით თერაპია არ საჭიროებს სისხლში მისი კონცენტრაციის მუდმივ მონიტორინგს, ზოგჯერ შეიძლება მიზანშეწონილი იყოს ანტი-Xa-ფაქტორული აქტივობის ანალიზის ჩატარება დაკალიბრების რაოდენობრივი ანალიზის </w:t>
      </w:r>
      <w:r w:rsidR="00094901" w:rsidRPr="00FC5C72">
        <w:rPr>
          <w:rFonts w:eastAsia="Times New Roman"/>
          <w:sz w:val="24"/>
          <w:szCs w:val="24"/>
          <w:lang w:eastAsia="ru-RU"/>
        </w:rPr>
        <w:t>მეთოდით იმ იშვიათ შემთხვევებში, როდესაც აპიქსაბანის ზემოქმედების მონაცემები შეიძლება ხელს უწყობდეს კლინიკური გადაწყვეტილებებ</w:t>
      </w:r>
      <w:r w:rsidR="00AA78B6" w:rsidRPr="00FC5C72">
        <w:rPr>
          <w:rFonts w:eastAsia="Times New Roman"/>
          <w:sz w:val="24"/>
          <w:szCs w:val="24"/>
          <w:lang w:eastAsia="ru-RU"/>
        </w:rPr>
        <w:t>ის მიღებას, მაგალითად, დოზის გადაჭარბების და გადაუდებელი ოპერაციის დროს</w:t>
      </w:r>
      <w:r w:rsidR="00F105DF" w:rsidRPr="00FC5C72">
        <w:rPr>
          <w:rFonts w:eastAsia="Times New Roman"/>
          <w:sz w:val="24"/>
          <w:szCs w:val="24"/>
          <w:lang w:eastAsia="ru-RU"/>
        </w:rPr>
        <w:t xml:space="preserve"> (იხ. პარაგრაფი „ფარმაკოდინამიკა“)</w:t>
      </w:r>
      <w:r w:rsidR="00AA78B6" w:rsidRPr="00FC5C72">
        <w:rPr>
          <w:rFonts w:eastAsia="Times New Roman"/>
          <w:sz w:val="24"/>
          <w:szCs w:val="24"/>
          <w:lang w:eastAsia="ru-RU"/>
        </w:rPr>
        <w:t>.</w:t>
      </w:r>
    </w:p>
    <w:p w14:paraId="4061A7C7" w14:textId="4C5307BF" w:rsidR="008775C0" w:rsidRPr="00FC5C72" w:rsidRDefault="00DE51A3" w:rsidP="00785B18">
      <w:pPr>
        <w:spacing w:after="0" w:line="240" w:lineRule="auto"/>
        <w:jc w:val="both"/>
        <w:rPr>
          <w:rFonts w:eastAsia="Times New Roman"/>
          <w:sz w:val="24"/>
          <w:szCs w:val="24"/>
          <w:lang w:eastAsia="ru-RU"/>
        </w:rPr>
      </w:pPr>
      <w:r w:rsidRPr="00FC5C72">
        <w:rPr>
          <w:rFonts w:eastAsia="Times New Roman"/>
          <w:sz w:val="24"/>
          <w:szCs w:val="24"/>
          <w:lang w:eastAsia="ru-RU"/>
        </w:rPr>
        <w:t>მოზრდილი პაციენტებისთვის არსებობს ანტიკოაგულანტების სპეციფიკური ბლოკერი (ანდექსანეტი ალფა), რომელიც თრგუნავს აპიქსაბანის ფარმაკოდინამიკურ ეფექტს. თუმცა, ბავშვთა ასაკის პაციენტებში მისი გამოყენების უსაფრთხოება და ეფექტიანობა დადგენილი არ არის (იხ. პრეპარატ ადექსანეტი ალფას ზოგადი დახასიათება). შეიძლება განხილული იქნას ახლადგაყინული პლაზმის გადასხმის, პროთრომბინული კომპლექსის კონცენტრატების (პკკ) ან რეკომბინანტული ფაქტორი VIIa შეყვანის  შესაძლებლობა. თუმცა 4 ფაქტორის შემცველი პროთრომბინული კომპლექსის კონცენტრატების გამოყენების კლინიკური გამოცდილება სისხლდენის შესაჩერებლად ბავშ</w:t>
      </w:r>
      <w:r w:rsidR="009B20B3" w:rsidRPr="00FC5C72">
        <w:rPr>
          <w:rFonts w:eastAsia="Times New Roman"/>
          <w:sz w:val="24"/>
          <w:szCs w:val="24"/>
          <w:lang w:eastAsia="ru-RU"/>
        </w:rPr>
        <w:t>ვ</w:t>
      </w:r>
      <w:r w:rsidRPr="00FC5C72">
        <w:rPr>
          <w:rFonts w:eastAsia="Times New Roman"/>
          <w:sz w:val="24"/>
          <w:szCs w:val="24"/>
          <w:lang w:eastAsia="ru-RU"/>
        </w:rPr>
        <w:t xml:space="preserve">ებსა და მოზარდებში და მოზრდილ პაციენტებში, რომლებიც იღებენ აპიქსაბანს, არ არსებობს. </w:t>
      </w:r>
    </w:p>
    <w:p w14:paraId="5310DCB9" w14:textId="48F08797" w:rsidR="00DE51A3" w:rsidRPr="00FC5C72" w:rsidRDefault="00DE51A3" w:rsidP="00785B18">
      <w:pPr>
        <w:spacing w:after="0" w:line="240" w:lineRule="auto"/>
        <w:jc w:val="both"/>
        <w:rPr>
          <w:rFonts w:eastAsia="Times New Roman"/>
          <w:sz w:val="24"/>
          <w:szCs w:val="24"/>
          <w:lang w:eastAsia="ru-RU"/>
        </w:rPr>
      </w:pPr>
    </w:p>
    <w:p w14:paraId="1237EFDC" w14:textId="55FC1550" w:rsidR="00AA78B6" w:rsidRPr="00FC5C72" w:rsidRDefault="00AA78B6" w:rsidP="00785B18">
      <w:pPr>
        <w:spacing w:after="0" w:line="240" w:lineRule="auto"/>
        <w:jc w:val="both"/>
        <w:rPr>
          <w:rFonts w:eastAsia="Times New Roman"/>
          <w:i/>
          <w:iCs/>
          <w:sz w:val="24"/>
          <w:szCs w:val="24"/>
          <w:lang w:eastAsia="ru-RU"/>
        </w:rPr>
      </w:pPr>
      <w:r w:rsidRPr="00FC5C72">
        <w:rPr>
          <w:rFonts w:eastAsia="Times New Roman"/>
          <w:i/>
          <w:iCs/>
          <w:sz w:val="24"/>
          <w:szCs w:val="24"/>
          <w:lang w:eastAsia="ru-RU"/>
        </w:rPr>
        <w:t>ურთიერთქმედება ჰემოსტაზზე გავლენის მქონე სხვა სამკურნალო საშუალებებთან</w:t>
      </w:r>
    </w:p>
    <w:p w14:paraId="2CAE2879" w14:textId="77777777" w:rsidR="00DE51A3" w:rsidRPr="00FC5C72" w:rsidRDefault="00AA78B6" w:rsidP="00785B18">
      <w:pPr>
        <w:spacing w:after="0" w:line="240" w:lineRule="auto"/>
        <w:jc w:val="both"/>
        <w:rPr>
          <w:rFonts w:eastAsia="Times New Roman"/>
          <w:sz w:val="24"/>
          <w:szCs w:val="24"/>
          <w:lang w:eastAsia="ru-RU"/>
        </w:rPr>
      </w:pPr>
      <w:r w:rsidRPr="00FC5C72">
        <w:rPr>
          <w:rFonts w:eastAsia="Times New Roman"/>
          <w:sz w:val="24"/>
          <w:szCs w:val="24"/>
          <w:lang w:eastAsia="ru-RU"/>
        </w:rPr>
        <w:t>სისხლდენის მაღალი რისკის გამო ნებისმიერ სხვა ანტიკოაგულანტთან კომბინირებული გამოყენება უკუნაჩვენებია</w:t>
      </w:r>
      <w:r w:rsidR="00DE51A3" w:rsidRPr="00FC5C72">
        <w:rPr>
          <w:rFonts w:eastAsia="Times New Roman"/>
          <w:sz w:val="24"/>
          <w:szCs w:val="24"/>
          <w:lang w:eastAsia="ru-RU"/>
        </w:rPr>
        <w:t xml:space="preserve"> (იხ. პარაგრაფი „უკუჩვენება“)</w:t>
      </w:r>
      <w:r w:rsidRPr="00FC5C72">
        <w:rPr>
          <w:rFonts w:eastAsia="Times New Roman"/>
          <w:sz w:val="24"/>
          <w:szCs w:val="24"/>
          <w:lang w:eastAsia="ru-RU"/>
        </w:rPr>
        <w:t>.</w:t>
      </w:r>
    </w:p>
    <w:p w14:paraId="42CA75CE" w14:textId="2C3948E4" w:rsidR="00AA78B6" w:rsidRPr="00FC5C72" w:rsidRDefault="00AA78B6"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 </w:t>
      </w:r>
    </w:p>
    <w:p w14:paraId="6844ED39" w14:textId="6E0DDEC0" w:rsidR="00AA78B6" w:rsidRPr="00FC5C72" w:rsidRDefault="00AA78B6" w:rsidP="00785B18">
      <w:pPr>
        <w:spacing w:after="0" w:line="240" w:lineRule="auto"/>
        <w:jc w:val="both"/>
        <w:rPr>
          <w:rFonts w:eastAsia="Times New Roman"/>
          <w:sz w:val="24"/>
          <w:szCs w:val="24"/>
          <w:lang w:eastAsia="ru-RU"/>
        </w:rPr>
      </w:pPr>
      <w:r w:rsidRPr="00FC5C72">
        <w:rPr>
          <w:rFonts w:eastAsia="Times New Roman"/>
          <w:sz w:val="24"/>
          <w:szCs w:val="24"/>
          <w:lang w:eastAsia="ru-RU"/>
        </w:rPr>
        <w:t>აპიქსაბანის ანტითრომბოციტულ პრეპარატებთან ერთდროულად გამოყენება ზრდის სისხლდენის რისკს (იხ. პარაგრაფი “სამკურნალწამლო ურთიერთქმედება“).</w:t>
      </w:r>
    </w:p>
    <w:p w14:paraId="252752B4" w14:textId="709C8D0B" w:rsidR="00AA78B6" w:rsidRPr="00FC5C72" w:rsidRDefault="00AA78B6" w:rsidP="00785B18">
      <w:pPr>
        <w:spacing w:after="0" w:line="240" w:lineRule="auto"/>
        <w:jc w:val="both"/>
        <w:rPr>
          <w:rFonts w:eastAsia="Times New Roman"/>
          <w:sz w:val="24"/>
          <w:szCs w:val="24"/>
          <w:lang w:eastAsia="ru-RU"/>
        </w:rPr>
      </w:pPr>
    </w:p>
    <w:p w14:paraId="40DBCE0A" w14:textId="1033F18D" w:rsidR="00AA78B6" w:rsidRPr="00FC5C72" w:rsidRDefault="003A5247"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სეროტონინის უკუმიტაცების სელექციური ინჰიბიტორების (სუსი), სეროტონინი-ნორეპინეფრინის უკუმიტაცების ინჰიბიტორების (სნუსი) ან არასტეროიდული ანთების საწინააღმდეგო საშუალებების, მათ შორის აცეტილსალიცილის მჟავას, ერთდროულად მიღებისას თერაპიის დაწყება საჭიროა სიფრთხილის ზომების დაცვით. </w:t>
      </w:r>
    </w:p>
    <w:p w14:paraId="33C675A1" w14:textId="77777777" w:rsidR="00146565" w:rsidRPr="00FC5C72" w:rsidRDefault="00146565" w:rsidP="00785B18">
      <w:pPr>
        <w:spacing w:after="0" w:line="240" w:lineRule="auto"/>
        <w:jc w:val="both"/>
        <w:rPr>
          <w:rFonts w:eastAsia="Times New Roman"/>
          <w:sz w:val="24"/>
          <w:szCs w:val="24"/>
          <w:lang w:eastAsia="ru-RU"/>
        </w:rPr>
      </w:pPr>
    </w:p>
    <w:p w14:paraId="5284E936" w14:textId="5F9B7F4C" w:rsidR="003A5247" w:rsidRPr="00FC5C72" w:rsidRDefault="003A5247"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ქირურგიული ჩარევის შემდეგ არ არის რეკომენდებული თრომბოციტების აგრეგაციის სხვა ინჰიბიტორების მიღება აპიქსაბანთან ერთად (იხ. პარაგრაფი “სამკურნალწამლო ურთიერთქმედება“). </w:t>
      </w:r>
    </w:p>
    <w:p w14:paraId="6B6F7055" w14:textId="77777777" w:rsidR="00146565" w:rsidRPr="00FC5C72" w:rsidRDefault="00146565" w:rsidP="00785B18">
      <w:pPr>
        <w:spacing w:after="0" w:line="240" w:lineRule="auto"/>
        <w:jc w:val="both"/>
        <w:rPr>
          <w:rFonts w:eastAsia="Times New Roman"/>
          <w:sz w:val="24"/>
          <w:szCs w:val="24"/>
          <w:lang w:eastAsia="ru-RU"/>
        </w:rPr>
      </w:pPr>
    </w:p>
    <w:p w14:paraId="58F6DF19" w14:textId="10B52094" w:rsidR="003A5247" w:rsidRPr="00FC5C72" w:rsidRDefault="003A5247" w:rsidP="00785B18">
      <w:pPr>
        <w:spacing w:after="0" w:line="240" w:lineRule="auto"/>
        <w:jc w:val="both"/>
        <w:rPr>
          <w:rFonts w:eastAsia="Times New Roman"/>
          <w:sz w:val="24"/>
          <w:szCs w:val="24"/>
          <w:lang w:eastAsia="ru-RU"/>
        </w:rPr>
      </w:pPr>
      <w:r w:rsidRPr="00FC5C72">
        <w:rPr>
          <w:rFonts w:eastAsia="Times New Roman"/>
          <w:sz w:val="24"/>
          <w:szCs w:val="24"/>
          <w:lang w:eastAsia="ru-RU"/>
        </w:rPr>
        <w:t>წინაგულების ფიბრილაციის და ისეთი მდგომარეობების დროს, რომლებიც ცალსახად მოითხოვს ერთი ან ორი ანტითრომბოციტული საშუალებით მკურნალობას, ასეთი თერაპიის აპიქსაბანთან კომბინირებ</w:t>
      </w:r>
      <w:r w:rsidR="002254EE" w:rsidRPr="00FC5C72">
        <w:rPr>
          <w:rFonts w:eastAsia="Times New Roman"/>
          <w:sz w:val="24"/>
          <w:szCs w:val="24"/>
          <w:lang w:eastAsia="ru-RU"/>
        </w:rPr>
        <w:t>ამდე</w:t>
      </w:r>
      <w:r w:rsidRPr="00FC5C72">
        <w:rPr>
          <w:rFonts w:eastAsia="Times New Roman"/>
          <w:sz w:val="24"/>
          <w:szCs w:val="24"/>
          <w:lang w:eastAsia="ru-RU"/>
        </w:rPr>
        <w:t xml:space="preserve"> საჭიროა</w:t>
      </w:r>
      <w:r w:rsidR="002254EE" w:rsidRPr="00FC5C72">
        <w:rPr>
          <w:rFonts w:eastAsia="Times New Roman"/>
          <w:sz w:val="24"/>
          <w:szCs w:val="24"/>
          <w:lang w:eastAsia="ru-RU"/>
        </w:rPr>
        <w:t xml:space="preserve"> პოტენციური სარგებელისა და რისკის თანაფარდობის გულდასმით შეფასება. </w:t>
      </w:r>
    </w:p>
    <w:p w14:paraId="1D4080FE" w14:textId="4EA1622B" w:rsidR="00146565" w:rsidRPr="00FC5C72" w:rsidRDefault="00146565" w:rsidP="00785B18">
      <w:pPr>
        <w:spacing w:after="0" w:line="240" w:lineRule="auto"/>
        <w:jc w:val="both"/>
        <w:rPr>
          <w:bCs/>
          <w:noProof/>
          <w:sz w:val="24"/>
          <w:szCs w:val="24"/>
        </w:rPr>
      </w:pPr>
      <w:r w:rsidRPr="00FC5C72">
        <w:rPr>
          <w:sz w:val="24"/>
          <w:szCs w:val="24"/>
        </w:rPr>
        <w:t xml:space="preserve">კვლევაში </w:t>
      </w:r>
      <w:r w:rsidRPr="00FC5C72">
        <w:rPr>
          <w:rFonts w:ascii="Times New Roman" w:hAnsi="Times New Roman"/>
          <w:bCs/>
          <w:noProof/>
          <w:sz w:val="24"/>
          <w:szCs w:val="24"/>
          <w:lang w:val="uz-Cyrl-UZ"/>
        </w:rPr>
        <w:t>CV185325</w:t>
      </w:r>
      <w:r w:rsidRPr="00FC5C72">
        <w:rPr>
          <w:bCs/>
          <w:noProof/>
          <w:sz w:val="24"/>
          <w:szCs w:val="24"/>
        </w:rPr>
        <w:t xml:space="preserve"> ბავშვთა ასაკის 12 პაციენტი, რომელიც იღებდა აპიქსაბანს დღე-ღამეში </w:t>
      </w:r>
      <w:r w:rsidRPr="00FC5C72">
        <w:rPr>
          <w:bCs/>
          <w:noProof/>
          <w:sz w:val="24"/>
          <w:szCs w:val="24"/>
          <w:u w:val="single"/>
        </w:rPr>
        <w:t>&lt;</w:t>
      </w:r>
      <w:r w:rsidRPr="00FC5C72">
        <w:rPr>
          <w:bCs/>
          <w:noProof/>
          <w:sz w:val="24"/>
          <w:szCs w:val="24"/>
        </w:rPr>
        <w:t xml:space="preserve">165 მგ ასმ-სთან ერთად, არ იყო რეგისტრირებული სისხლდენების კლინიკურად მნიშვნელოვანი შემთხვევები. </w:t>
      </w:r>
    </w:p>
    <w:p w14:paraId="104B8830" w14:textId="2A35A4D4" w:rsidR="00C326A0" w:rsidRPr="00FC5C72" w:rsidRDefault="00870F54" w:rsidP="00785B18">
      <w:pPr>
        <w:spacing w:after="0" w:line="240" w:lineRule="auto"/>
        <w:jc w:val="both"/>
        <w:rPr>
          <w:sz w:val="24"/>
          <w:szCs w:val="24"/>
        </w:rPr>
      </w:pPr>
      <w:r w:rsidRPr="00FC5C72">
        <w:rPr>
          <w:rFonts w:eastAsia="Times New Roman"/>
          <w:sz w:val="24"/>
          <w:szCs w:val="24"/>
          <w:lang w:eastAsia="ru-RU"/>
        </w:rPr>
        <w:t xml:space="preserve"> </w:t>
      </w:r>
    </w:p>
    <w:p w14:paraId="3B382D13" w14:textId="77777777" w:rsidR="00C326A0" w:rsidRPr="00FC5C72" w:rsidRDefault="002254EE" w:rsidP="00785B18">
      <w:pPr>
        <w:spacing w:after="0" w:line="240" w:lineRule="auto"/>
        <w:jc w:val="both"/>
        <w:rPr>
          <w:i/>
          <w:iCs/>
          <w:sz w:val="24"/>
          <w:szCs w:val="24"/>
        </w:rPr>
      </w:pPr>
      <w:r w:rsidRPr="00FC5C72">
        <w:rPr>
          <w:i/>
          <w:iCs/>
          <w:sz w:val="24"/>
          <w:szCs w:val="24"/>
        </w:rPr>
        <w:t xml:space="preserve">პაციენტები გულის </w:t>
      </w:r>
      <w:r w:rsidR="00C326A0" w:rsidRPr="00FC5C72">
        <w:rPr>
          <w:i/>
          <w:iCs/>
          <w:sz w:val="24"/>
          <w:szCs w:val="24"/>
        </w:rPr>
        <w:t xml:space="preserve">ხელოვნური  </w:t>
      </w:r>
      <w:r w:rsidRPr="00FC5C72">
        <w:rPr>
          <w:i/>
          <w:iCs/>
          <w:sz w:val="24"/>
          <w:szCs w:val="24"/>
        </w:rPr>
        <w:t>სარქველები</w:t>
      </w:r>
      <w:r w:rsidR="00C326A0" w:rsidRPr="00FC5C72">
        <w:rPr>
          <w:i/>
          <w:iCs/>
          <w:sz w:val="24"/>
          <w:szCs w:val="24"/>
        </w:rPr>
        <w:t>თ</w:t>
      </w:r>
    </w:p>
    <w:p w14:paraId="0C8A09D6" w14:textId="06E0B388" w:rsidR="005544DF" w:rsidRPr="00FC5C72" w:rsidRDefault="00870F54" w:rsidP="00785B18">
      <w:pPr>
        <w:spacing w:after="0" w:line="240" w:lineRule="auto"/>
        <w:jc w:val="both"/>
        <w:rPr>
          <w:sz w:val="24"/>
          <w:szCs w:val="24"/>
        </w:rPr>
      </w:pPr>
      <w:r w:rsidRPr="00FC5C72">
        <w:rPr>
          <w:sz w:val="24"/>
          <w:szCs w:val="24"/>
        </w:rPr>
        <w:t>ბავშვთა ასაკის</w:t>
      </w:r>
      <w:r w:rsidR="002254EE" w:rsidRPr="00FC5C72">
        <w:rPr>
          <w:sz w:val="24"/>
          <w:szCs w:val="24"/>
        </w:rPr>
        <w:t xml:space="preserve"> პაციენტებ</w:t>
      </w:r>
      <w:r w:rsidRPr="00FC5C72">
        <w:rPr>
          <w:sz w:val="24"/>
          <w:szCs w:val="24"/>
        </w:rPr>
        <w:t>ის პოპულაციაში</w:t>
      </w:r>
      <w:r w:rsidR="009E569E" w:rsidRPr="00FC5C72">
        <w:rPr>
          <w:sz w:val="24"/>
          <w:szCs w:val="24"/>
        </w:rPr>
        <w:t xml:space="preserve"> </w:t>
      </w:r>
      <w:r w:rsidR="002254EE" w:rsidRPr="00FC5C72">
        <w:rPr>
          <w:sz w:val="24"/>
          <w:szCs w:val="24"/>
        </w:rPr>
        <w:t>გულის</w:t>
      </w:r>
      <w:r w:rsidR="0004580B" w:rsidRPr="00FC5C72">
        <w:rPr>
          <w:sz w:val="24"/>
          <w:szCs w:val="24"/>
        </w:rPr>
        <w:t xml:space="preserve"> ხელოვნური</w:t>
      </w:r>
      <w:r w:rsidR="002254EE" w:rsidRPr="00FC5C72">
        <w:rPr>
          <w:sz w:val="24"/>
          <w:szCs w:val="24"/>
        </w:rPr>
        <w:t xml:space="preserve"> სარქველებით </w:t>
      </w:r>
      <w:r w:rsidRPr="00FC5C72">
        <w:rPr>
          <w:sz w:val="24"/>
          <w:szCs w:val="24"/>
        </w:rPr>
        <w:t>აპიქსაბანის გამოყენება შესწავლილი არ არის,</w:t>
      </w:r>
      <w:r w:rsidR="002254EE" w:rsidRPr="00FC5C72">
        <w:rPr>
          <w:sz w:val="24"/>
          <w:szCs w:val="24"/>
        </w:rPr>
        <w:t xml:space="preserve"> ა</w:t>
      </w:r>
      <w:r w:rsidR="0004580B" w:rsidRPr="00FC5C72">
        <w:rPr>
          <w:sz w:val="24"/>
          <w:szCs w:val="24"/>
        </w:rPr>
        <w:t>მიტომ</w:t>
      </w:r>
      <w:r w:rsidRPr="00FC5C72">
        <w:rPr>
          <w:sz w:val="24"/>
          <w:szCs w:val="24"/>
        </w:rPr>
        <w:t xml:space="preserve"> ის</w:t>
      </w:r>
      <w:r w:rsidR="002254EE" w:rsidRPr="00FC5C72">
        <w:rPr>
          <w:sz w:val="24"/>
          <w:szCs w:val="24"/>
        </w:rPr>
        <w:t xml:space="preserve"> არ არის რეკომენდებული.</w:t>
      </w:r>
    </w:p>
    <w:p w14:paraId="75541D9A" w14:textId="77777777" w:rsidR="00870F54" w:rsidRPr="00FC5C72" w:rsidRDefault="00870F54" w:rsidP="00785B18">
      <w:pPr>
        <w:spacing w:after="0" w:line="240" w:lineRule="auto"/>
        <w:jc w:val="both"/>
        <w:rPr>
          <w:sz w:val="24"/>
          <w:szCs w:val="24"/>
        </w:rPr>
      </w:pPr>
    </w:p>
    <w:p w14:paraId="167F14B9" w14:textId="0D8EAFDE" w:rsidR="005544DF" w:rsidRPr="00FC5C72" w:rsidRDefault="002254EE" w:rsidP="00785B18">
      <w:pPr>
        <w:spacing w:after="0" w:line="240" w:lineRule="auto"/>
        <w:jc w:val="both"/>
        <w:rPr>
          <w:i/>
          <w:iCs/>
          <w:sz w:val="24"/>
          <w:szCs w:val="24"/>
        </w:rPr>
      </w:pPr>
      <w:r w:rsidRPr="00FC5C72">
        <w:rPr>
          <w:i/>
          <w:iCs/>
          <w:sz w:val="24"/>
          <w:szCs w:val="24"/>
        </w:rPr>
        <w:t xml:space="preserve">ანტიფოსფოლიპიდური სინდრომის მქონე პაციენტები </w:t>
      </w:r>
      <w:r w:rsidR="00870F54" w:rsidRPr="00FC5C72">
        <w:rPr>
          <w:i/>
          <w:iCs/>
          <w:sz w:val="24"/>
          <w:szCs w:val="24"/>
        </w:rPr>
        <w:t xml:space="preserve"> </w:t>
      </w:r>
    </w:p>
    <w:p w14:paraId="3712B280" w14:textId="69561D6D" w:rsidR="002A604D" w:rsidRPr="00FC5C72" w:rsidRDefault="002254EE" w:rsidP="00785B18">
      <w:pPr>
        <w:spacing w:after="0" w:line="240" w:lineRule="auto"/>
        <w:jc w:val="both"/>
        <w:rPr>
          <w:sz w:val="24"/>
          <w:szCs w:val="24"/>
        </w:rPr>
      </w:pPr>
      <w:r w:rsidRPr="00FC5C72">
        <w:rPr>
          <w:sz w:val="24"/>
          <w:szCs w:val="24"/>
        </w:rPr>
        <w:t xml:space="preserve">პირდაპირი მოქმედების პერორალური ანტიკოაგულანტები (პმპაკ), </w:t>
      </w:r>
      <w:r w:rsidR="005B3BD7" w:rsidRPr="00FC5C72">
        <w:rPr>
          <w:sz w:val="24"/>
          <w:szCs w:val="24"/>
        </w:rPr>
        <w:t xml:space="preserve">მათ შორის </w:t>
      </w:r>
      <w:r w:rsidRPr="00FC5C72">
        <w:rPr>
          <w:sz w:val="24"/>
          <w:szCs w:val="24"/>
        </w:rPr>
        <w:t>აპიქსაბანი, არ</w:t>
      </w:r>
      <w:r w:rsidR="002A604D" w:rsidRPr="00FC5C72">
        <w:rPr>
          <w:sz w:val="24"/>
          <w:szCs w:val="24"/>
        </w:rPr>
        <w:t xml:space="preserve"> </w:t>
      </w:r>
      <w:r w:rsidRPr="00FC5C72">
        <w:rPr>
          <w:sz w:val="24"/>
          <w:szCs w:val="24"/>
        </w:rPr>
        <w:t>არის რეკომენდებული პაციენტებში თრომბოზით ანამნეზში, რომლებსაც დადგენილი აქვთ</w:t>
      </w:r>
      <w:r w:rsidR="002A604D" w:rsidRPr="00FC5C72">
        <w:rPr>
          <w:sz w:val="24"/>
          <w:szCs w:val="24"/>
        </w:rPr>
        <w:t xml:space="preserve"> </w:t>
      </w:r>
      <w:r w:rsidRPr="00FC5C72">
        <w:rPr>
          <w:sz w:val="24"/>
          <w:szCs w:val="24"/>
        </w:rPr>
        <w:t xml:space="preserve">ანტიფოსფოლიპიდური სინდრომის დიაგნოზი. კერძოდ, პაციენტებში </w:t>
      </w:r>
      <w:r w:rsidR="00870F54" w:rsidRPr="00FC5C72">
        <w:rPr>
          <w:sz w:val="24"/>
          <w:szCs w:val="24"/>
        </w:rPr>
        <w:t xml:space="preserve">ანტიფოსფოლიპიდურ სინდრომზე </w:t>
      </w:r>
      <w:r w:rsidRPr="00FC5C72">
        <w:rPr>
          <w:sz w:val="24"/>
          <w:szCs w:val="24"/>
        </w:rPr>
        <w:t>სამ</w:t>
      </w:r>
      <w:r w:rsidR="002A604D" w:rsidRPr="00FC5C72">
        <w:rPr>
          <w:sz w:val="24"/>
          <w:szCs w:val="24"/>
        </w:rPr>
        <w:t xml:space="preserve">ი ანალიზის </w:t>
      </w:r>
      <w:r w:rsidRPr="00FC5C72">
        <w:rPr>
          <w:sz w:val="24"/>
          <w:szCs w:val="24"/>
        </w:rPr>
        <w:t xml:space="preserve"> დადებითი</w:t>
      </w:r>
      <w:r w:rsidR="002A604D" w:rsidRPr="00FC5C72">
        <w:rPr>
          <w:sz w:val="24"/>
          <w:szCs w:val="24"/>
        </w:rPr>
        <w:t xml:space="preserve"> </w:t>
      </w:r>
      <w:r w:rsidRPr="00FC5C72">
        <w:rPr>
          <w:sz w:val="24"/>
          <w:szCs w:val="24"/>
        </w:rPr>
        <w:t>შედეგით</w:t>
      </w:r>
      <w:r w:rsidR="002A604D" w:rsidRPr="00FC5C72">
        <w:rPr>
          <w:sz w:val="24"/>
          <w:szCs w:val="24"/>
        </w:rPr>
        <w:t xml:space="preserve"> </w:t>
      </w:r>
      <w:r w:rsidRPr="00FC5C72">
        <w:rPr>
          <w:sz w:val="24"/>
          <w:szCs w:val="24"/>
        </w:rPr>
        <w:t>(</w:t>
      </w:r>
      <w:r w:rsidR="002A604D" w:rsidRPr="00FC5C72">
        <w:rPr>
          <w:sz w:val="24"/>
          <w:szCs w:val="24"/>
        </w:rPr>
        <w:t xml:space="preserve">ანალიზები </w:t>
      </w:r>
      <w:r w:rsidRPr="00FC5C72">
        <w:rPr>
          <w:sz w:val="24"/>
          <w:szCs w:val="24"/>
        </w:rPr>
        <w:t>მგლურას ანტიკოაგულანტზე, კარდიოლიპინის მიმართ ანტისხეულებზე და β2- გლიკოპროტეინ I-ის მიმართ ანტისხეულებზე) პმპაკ-ის გამოყენებით მკურნალობა</w:t>
      </w:r>
      <w:r w:rsidR="00870F54" w:rsidRPr="00FC5C72">
        <w:rPr>
          <w:sz w:val="24"/>
          <w:szCs w:val="24"/>
        </w:rPr>
        <w:t xml:space="preserve"> </w:t>
      </w:r>
      <w:r w:rsidR="002A604D" w:rsidRPr="00FC5C72">
        <w:rPr>
          <w:sz w:val="24"/>
          <w:szCs w:val="24"/>
        </w:rPr>
        <w:t xml:space="preserve"> </w:t>
      </w:r>
      <w:r w:rsidRPr="00FC5C72">
        <w:rPr>
          <w:sz w:val="24"/>
          <w:szCs w:val="24"/>
        </w:rPr>
        <w:t xml:space="preserve">შეიძლება </w:t>
      </w:r>
      <w:r w:rsidR="00870F54" w:rsidRPr="00FC5C72">
        <w:rPr>
          <w:sz w:val="24"/>
          <w:szCs w:val="24"/>
        </w:rPr>
        <w:t>იწვევდეს</w:t>
      </w:r>
      <w:r w:rsidRPr="00FC5C72">
        <w:rPr>
          <w:sz w:val="24"/>
          <w:szCs w:val="24"/>
        </w:rPr>
        <w:t xml:space="preserve"> მორეციდივე თრომბოზული მოვლენების </w:t>
      </w:r>
      <w:r w:rsidR="002A604D" w:rsidRPr="00FC5C72">
        <w:rPr>
          <w:sz w:val="24"/>
          <w:szCs w:val="24"/>
        </w:rPr>
        <w:t>განვითარების</w:t>
      </w:r>
      <w:r w:rsidRPr="00FC5C72">
        <w:rPr>
          <w:sz w:val="24"/>
          <w:szCs w:val="24"/>
        </w:rPr>
        <w:t xml:space="preserve"> სიხშირის</w:t>
      </w:r>
      <w:r w:rsidR="002A604D" w:rsidRPr="00FC5C72">
        <w:rPr>
          <w:sz w:val="24"/>
          <w:szCs w:val="24"/>
        </w:rPr>
        <w:t xml:space="preserve"> </w:t>
      </w:r>
      <w:r w:rsidRPr="00FC5C72">
        <w:rPr>
          <w:sz w:val="24"/>
          <w:szCs w:val="24"/>
        </w:rPr>
        <w:t>მატება</w:t>
      </w:r>
      <w:r w:rsidR="00870F54" w:rsidRPr="00FC5C72">
        <w:rPr>
          <w:sz w:val="24"/>
          <w:szCs w:val="24"/>
        </w:rPr>
        <w:t>ს</w:t>
      </w:r>
      <w:r w:rsidRPr="00FC5C72">
        <w:rPr>
          <w:sz w:val="24"/>
          <w:szCs w:val="24"/>
        </w:rPr>
        <w:t xml:space="preserve"> K ვიტამინის ანტაგონისტებით თერაპიასთან შედარებით. </w:t>
      </w:r>
    </w:p>
    <w:p w14:paraId="27B3CC72" w14:textId="77777777" w:rsidR="00870F54" w:rsidRPr="00FC5C72" w:rsidRDefault="00870F54" w:rsidP="00785B18">
      <w:pPr>
        <w:spacing w:after="0" w:line="240" w:lineRule="auto"/>
        <w:jc w:val="both"/>
        <w:rPr>
          <w:sz w:val="24"/>
          <w:szCs w:val="24"/>
        </w:rPr>
      </w:pPr>
    </w:p>
    <w:p w14:paraId="5DC708ED" w14:textId="77777777" w:rsidR="00B40BB2" w:rsidRPr="00FC5C72" w:rsidRDefault="002254EE" w:rsidP="00785B18">
      <w:pPr>
        <w:spacing w:after="0" w:line="240" w:lineRule="auto"/>
        <w:jc w:val="both"/>
        <w:rPr>
          <w:i/>
          <w:iCs/>
          <w:sz w:val="24"/>
          <w:szCs w:val="24"/>
        </w:rPr>
      </w:pPr>
      <w:r w:rsidRPr="00FC5C72">
        <w:rPr>
          <w:i/>
          <w:iCs/>
          <w:sz w:val="24"/>
          <w:szCs w:val="24"/>
        </w:rPr>
        <w:t xml:space="preserve">ქირურგიული ჩარევები და ინვაზიური პროცედურები </w:t>
      </w:r>
    </w:p>
    <w:p w14:paraId="357082DC" w14:textId="602478E7" w:rsidR="002A7C72" w:rsidRPr="00FC5C72" w:rsidRDefault="002254EE" w:rsidP="00785B18">
      <w:pPr>
        <w:spacing w:after="0" w:line="240" w:lineRule="auto"/>
        <w:jc w:val="both"/>
        <w:rPr>
          <w:sz w:val="24"/>
          <w:szCs w:val="24"/>
        </w:rPr>
      </w:pPr>
      <w:r w:rsidRPr="00FC5C72">
        <w:rPr>
          <w:sz w:val="24"/>
          <w:szCs w:val="24"/>
        </w:rPr>
        <w:t xml:space="preserve">აპიქსაბანის </w:t>
      </w:r>
      <w:r w:rsidR="002A7C72" w:rsidRPr="00FC5C72">
        <w:rPr>
          <w:sz w:val="24"/>
          <w:szCs w:val="24"/>
        </w:rPr>
        <w:t>მიღება</w:t>
      </w:r>
      <w:r w:rsidRPr="00FC5C72">
        <w:rPr>
          <w:sz w:val="24"/>
          <w:szCs w:val="24"/>
        </w:rPr>
        <w:t xml:space="preserve"> უნდა შეწყდეს მინიმუმ 48 საათით ადრე გეგმიურ ოპერაციამდე ან</w:t>
      </w:r>
      <w:r w:rsidR="002A7C72" w:rsidRPr="00FC5C72">
        <w:rPr>
          <w:sz w:val="24"/>
          <w:szCs w:val="24"/>
        </w:rPr>
        <w:t xml:space="preserve"> </w:t>
      </w:r>
      <w:r w:rsidRPr="00FC5C72">
        <w:rPr>
          <w:sz w:val="24"/>
          <w:szCs w:val="24"/>
        </w:rPr>
        <w:t>ინვაზიურ პროცედურამდე სისხლდენის ზომიერი ან მაღალი რისკით. ეს ეხება</w:t>
      </w:r>
      <w:r w:rsidR="002A7C72" w:rsidRPr="00FC5C72">
        <w:rPr>
          <w:sz w:val="24"/>
          <w:szCs w:val="24"/>
        </w:rPr>
        <w:t xml:space="preserve"> </w:t>
      </w:r>
      <w:r w:rsidRPr="00FC5C72">
        <w:rPr>
          <w:sz w:val="24"/>
          <w:szCs w:val="24"/>
        </w:rPr>
        <w:t>ჩარევებს, რომლებშიც კლინიკურად მნიშვნელოვანი სისხლდენის შესაძლებლობა არ არის</w:t>
      </w:r>
      <w:r w:rsidR="002A7C72" w:rsidRPr="00FC5C72">
        <w:rPr>
          <w:sz w:val="24"/>
          <w:szCs w:val="24"/>
        </w:rPr>
        <w:t xml:space="preserve"> </w:t>
      </w:r>
      <w:r w:rsidRPr="00FC5C72">
        <w:rPr>
          <w:sz w:val="24"/>
          <w:szCs w:val="24"/>
        </w:rPr>
        <w:t>გამორიცხული ან რომლებშიც სისხლდენის რისკი მიუღებელი</w:t>
      </w:r>
      <w:r w:rsidR="00870F54" w:rsidRPr="00FC5C72">
        <w:rPr>
          <w:sz w:val="24"/>
          <w:szCs w:val="24"/>
        </w:rPr>
        <w:t>ა</w:t>
      </w:r>
      <w:r w:rsidRPr="00FC5C72">
        <w:rPr>
          <w:sz w:val="24"/>
          <w:szCs w:val="24"/>
        </w:rPr>
        <w:t xml:space="preserve">. </w:t>
      </w:r>
    </w:p>
    <w:p w14:paraId="001B7D9F" w14:textId="77777777" w:rsidR="00870F54" w:rsidRPr="00FC5C72" w:rsidRDefault="00870F54" w:rsidP="00785B18">
      <w:pPr>
        <w:spacing w:after="0" w:line="240" w:lineRule="auto"/>
        <w:jc w:val="both"/>
        <w:rPr>
          <w:sz w:val="24"/>
          <w:szCs w:val="24"/>
        </w:rPr>
      </w:pPr>
    </w:p>
    <w:p w14:paraId="43B47BF8" w14:textId="3BB447C6" w:rsidR="002A7C72" w:rsidRPr="00FC5C72" w:rsidRDefault="002254EE" w:rsidP="00785B18">
      <w:pPr>
        <w:spacing w:after="0" w:line="240" w:lineRule="auto"/>
        <w:jc w:val="both"/>
        <w:rPr>
          <w:sz w:val="24"/>
          <w:szCs w:val="24"/>
        </w:rPr>
      </w:pPr>
      <w:r w:rsidRPr="00FC5C72">
        <w:rPr>
          <w:sz w:val="24"/>
          <w:szCs w:val="24"/>
        </w:rPr>
        <w:t xml:space="preserve">აპიქსაბანის </w:t>
      </w:r>
      <w:r w:rsidR="002A7C72" w:rsidRPr="00FC5C72">
        <w:rPr>
          <w:sz w:val="24"/>
          <w:szCs w:val="24"/>
        </w:rPr>
        <w:t>მიღება</w:t>
      </w:r>
      <w:r w:rsidRPr="00FC5C72">
        <w:rPr>
          <w:sz w:val="24"/>
          <w:szCs w:val="24"/>
        </w:rPr>
        <w:t xml:space="preserve"> უნდა შეწყდეს მინიმუმ 24 საათით ადრე გეგმიურ ოპერაციამდე ან</w:t>
      </w:r>
      <w:r w:rsidR="002A7C72" w:rsidRPr="00FC5C72">
        <w:rPr>
          <w:sz w:val="24"/>
          <w:szCs w:val="24"/>
        </w:rPr>
        <w:t xml:space="preserve"> </w:t>
      </w:r>
      <w:r w:rsidRPr="00FC5C72">
        <w:rPr>
          <w:sz w:val="24"/>
          <w:szCs w:val="24"/>
        </w:rPr>
        <w:t>ინვაზიურ პროცედურ</w:t>
      </w:r>
      <w:r w:rsidR="00253305" w:rsidRPr="00FC5C72">
        <w:rPr>
          <w:sz w:val="24"/>
          <w:szCs w:val="24"/>
        </w:rPr>
        <w:t>ებ</w:t>
      </w:r>
      <w:r w:rsidRPr="00FC5C72">
        <w:rPr>
          <w:sz w:val="24"/>
          <w:szCs w:val="24"/>
        </w:rPr>
        <w:t>ამდე სისხლდენის დაბალი რისკით. ეს ეხება ჩარევებს, რომლებშიც მოსალოდნელია, რომ ნებისმიერი სისხლდენა იქნება მინიმალური, მისი</w:t>
      </w:r>
      <w:r w:rsidR="002A7C72" w:rsidRPr="00FC5C72">
        <w:rPr>
          <w:sz w:val="24"/>
          <w:szCs w:val="24"/>
        </w:rPr>
        <w:t xml:space="preserve"> </w:t>
      </w:r>
      <w:r w:rsidRPr="00FC5C72">
        <w:rPr>
          <w:sz w:val="24"/>
          <w:szCs w:val="24"/>
        </w:rPr>
        <w:t xml:space="preserve">ლოკალიზაციიდან გამომდინარე არაკრიტიკული ან ადვილად კონტროლირებადი. </w:t>
      </w:r>
    </w:p>
    <w:p w14:paraId="7B9F30DD" w14:textId="77777777" w:rsidR="00117F2B" w:rsidRPr="00FC5C72" w:rsidRDefault="00117F2B" w:rsidP="00785B18">
      <w:pPr>
        <w:spacing w:after="0" w:line="240" w:lineRule="auto"/>
        <w:jc w:val="both"/>
        <w:rPr>
          <w:sz w:val="24"/>
          <w:szCs w:val="24"/>
        </w:rPr>
      </w:pPr>
    </w:p>
    <w:p w14:paraId="70613EC1" w14:textId="252295FB" w:rsidR="002A7C72" w:rsidRPr="00FC5C72" w:rsidRDefault="002254EE" w:rsidP="00785B18">
      <w:pPr>
        <w:spacing w:after="0" w:line="240" w:lineRule="auto"/>
        <w:jc w:val="both"/>
        <w:rPr>
          <w:sz w:val="24"/>
          <w:szCs w:val="24"/>
        </w:rPr>
      </w:pPr>
      <w:r w:rsidRPr="00FC5C72">
        <w:rPr>
          <w:sz w:val="24"/>
          <w:szCs w:val="24"/>
        </w:rPr>
        <w:t>თუ ოპერაციის ან ინვაზიური პროცედურის გადადება არ არის შესაძლებელი, უნდა იქნას</w:t>
      </w:r>
      <w:r w:rsidR="002A7C72" w:rsidRPr="00FC5C72">
        <w:rPr>
          <w:sz w:val="24"/>
          <w:szCs w:val="24"/>
        </w:rPr>
        <w:t xml:space="preserve"> </w:t>
      </w:r>
      <w:r w:rsidRPr="00FC5C72">
        <w:rPr>
          <w:sz w:val="24"/>
          <w:szCs w:val="24"/>
        </w:rPr>
        <w:t xml:space="preserve">დაცული </w:t>
      </w:r>
      <w:r w:rsidR="00584E51" w:rsidRPr="00FC5C72">
        <w:rPr>
          <w:sz w:val="24"/>
          <w:szCs w:val="24"/>
        </w:rPr>
        <w:t xml:space="preserve">სათანადო </w:t>
      </w:r>
      <w:r w:rsidRPr="00FC5C72">
        <w:rPr>
          <w:sz w:val="24"/>
          <w:szCs w:val="24"/>
        </w:rPr>
        <w:t>სიფრთხილე, სისხლდენის გაზრდილი რისკი</w:t>
      </w:r>
      <w:r w:rsidR="002A7C72" w:rsidRPr="00FC5C72">
        <w:rPr>
          <w:sz w:val="24"/>
          <w:szCs w:val="24"/>
        </w:rPr>
        <w:t>ს გათვალისწინებით</w:t>
      </w:r>
      <w:r w:rsidRPr="00FC5C72">
        <w:rPr>
          <w:sz w:val="24"/>
          <w:szCs w:val="24"/>
        </w:rPr>
        <w:t xml:space="preserve">. სისხლდენის ეს რისკი უნდა შეფასდეს ჩარევის გადაუდებლობიდან გამომდინარე. </w:t>
      </w:r>
    </w:p>
    <w:p w14:paraId="3AE0963A" w14:textId="77777777" w:rsidR="00117F2B" w:rsidRPr="00FC5C72" w:rsidRDefault="00117F2B" w:rsidP="00785B18">
      <w:pPr>
        <w:spacing w:after="0" w:line="240" w:lineRule="auto"/>
        <w:jc w:val="both"/>
        <w:rPr>
          <w:sz w:val="24"/>
          <w:szCs w:val="24"/>
        </w:rPr>
      </w:pPr>
    </w:p>
    <w:p w14:paraId="78B28E5F" w14:textId="77777777" w:rsidR="00117F2B" w:rsidRPr="00FC5C72" w:rsidRDefault="002254EE" w:rsidP="00785B18">
      <w:pPr>
        <w:spacing w:after="0" w:line="240" w:lineRule="auto"/>
        <w:jc w:val="both"/>
        <w:rPr>
          <w:sz w:val="24"/>
          <w:szCs w:val="24"/>
        </w:rPr>
      </w:pPr>
      <w:r w:rsidRPr="00FC5C72">
        <w:rPr>
          <w:sz w:val="24"/>
          <w:szCs w:val="24"/>
        </w:rPr>
        <w:t xml:space="preserve">აპიქსაბანის მიღება უნდა განახლდეს </w:t>
      </w:r>
      <w:r w:rsidR="00117F2B" w:rsidRPr="00FC5C72">
        <w:rPr>
          <w:sz w:val="24"/>
          <w:szCs w:val="24"/>
        </w:rPr>
        <w:t xml:space="preserve">ქირურგიული ჩარევის ან </w:t>
      </w:r>
      <w:r w:rsidRPr="00FC5C72">
        <w:rPr>
          <w:sz w:val="24"/>
          <w:szCs w:val="24"/>
        </w:rPr>
        <w:t xml:space="preserve">ინვაზიური პროცედურის შემდეგ რაც შეიძლება მალე, თუ კლინიკური მდგომარეობა იძლევა ამის საშუალებას და თუ მიღწეულია </w:t>
      </w:r>
      <w:r w:rsidR="00117F2B" w:rsidRPr="00FC5C72">
        <w:rPr>
          <w:sz w:val="24"/>
          <w:szCs w:val="24"/>
        </w:rPr>
        <w:t>შესაბამისი</w:t>
      </w:r>
      <w:r w:rsidRPr="00FC5C72">
        <w:rPr>
          <w:sz w:val="24"/>
          <w:szCs w:val="24"/>
        </w:rPr>
        <w:t xml:space="preserve"> ჰემოსტაზი (იხილეთ </w:t>
      </w:r>
      <w:r w:rsidR="003B1F30" w:rsidRPr="00FC5C72">
        <w:rPr>
          <w:sz w:val="24"/>
          <w:szCs w:val="24"/>
        </w:rPr>
        <w:t>პარაგრაფი</w:t>
      </w:r>
      <w:r w:rsidRPr="00FC5C72">
        <w:rPr>
          <w:sz w:val="24"/>
          <w:szCs w:val="24"/>
        </w:rPr>
        <w:t xml:space="preserve"> </w:t>
      </w:r>
      <w:r w:rsidR="003B1F30" w:rsidRPr="00FC5C72">
        <w:rPr>
          <w:sz w:val="24"/>
          <w:szCs w:val="24"/>
        </w:rPr>
        <w:t>“</w:t>
      </w:r>
      <w:r w:rsidRPr="00FC5C72">
        <w:rPr>
          <w:sz w:val="24"/>
          <w:szCs w:val="24"/>
        </w:rPr>
        <w:t xml:space="preserve">გამოყენების წესი და დოზები“). </w:t>
      </w:r>
    </w:p>
    <w:p w14:paraId="45AAB1D0" w14:textId="5BCD93F9" w:rsidR="003B1F30" w:rsidRPr="00FC5C72" w:rsidRDefault="00117F2B" w:rsidP="00785B18">
      <w:pPr>
        <w:spacing w:after="0" w:line="240" w:lineRule="auto"/>
        <w:jc w:val="both"/>
        <w:rPr>
          <w:sz w:val="24"/>
          <w:szCs w:val="24"/>
        </w:rPr>
      </w:pPr>
      <w:r w:rsidRPr="00FC5C72">
        <w:rPr>
          <w:sz w:val="24"/>
          <w:szCs w:val="24"/>
        </w:rPr>
        <w:t xml:space="preserve"> </w:t>
      </w:r>
    </w:p>
    <w:p w14:paraId="17F6954D" w14:textId="2DF8CD23" w:rsidR="00355CCD" w:rsidRPr="00FC5C72" w:rsidRDefault="002254EE" w:rsidP="00785B18">
      <w:pPr>
        <w:spacing w:after="0" w:line="240" w:lineRule="auto"/>
        <w:jc w:val="both"/>
        <w:rPr>
          <w:sz w:val="24"/>
          <w:szCs w:val="24"/>
        </w:rPr>
      </w:pPr>
      <w:r w:rsidRPr="00FC5C72">
        <w:rPr>
          <w:sz w:val="24"/>
          <w:szCs w:val="24"/>
        </w:rPr>
        <w:t>პაციენტებში, რომლებ</w:t>
      </w:r>
      <w:r w:rsidR="003B1F30" w:rsidRPr="00FC5C72">
        <w:rPr>
          <w:sz w:val="24"/>
          <w:szCs w:val="24"/>
        </w:rPr>
        <w:t>ს</w:t>
      </w:r>
      <w:r w:rsidRPr="00FC5C72">
        <w:rPr>
          <w:sz w:val="24"/>
          <w:szCs w:val="24"/>
        </w:rPr>
        <w:t xml:space="preserve">აც </w:t>
      </w:r>
      <w:r w:rsidR="003B1F30" w:rsidRPr="00FC5C72">
        <w:rPr>
          <w:sz w:val="24"/>
          <w:szCs w:val="24"/>
        </w:rPr>
        <w:t>უტარდებ</w:t>
      </w:r>
      <w:r w:rsidRPr="00FC5C72">
        <w:rPr>
          <w:sz w:val="24"/>
          <w:szCs w:val="24"/>
        </w:rPr>
        <w:t>ათ კათეტერული აბლაცია წინაგულების</w:t>
      </w:r>
      <w:r w:rsidR="00355CCD" w:rsidRPr="00FC5C72">
        <w:rPr>
          <w:sz w:val="24"/>
          <w:szCs w:val="24"/>
        </w:rPr>
        <w:t xml:space="preserve"> </w:t>
      </w:r>
      <w:r w:rsidRPr="00FC5C72">
        <w:rPr>
          <w:sz w:val="24"/>
          <w:szCs w:val="24"/>
        </w:rPr>
        <w:t>ფიბრილაციის სამკურნალოდ, აპიქსაბანით მკურნალობის შეწყვეტა საჭირო არ არის</w:t>
      </w:r>
      <w:r w:rsidR="00355CCD" w:rsidRPr="00FC5C72">
        <w:rPr>
          <w:sz w:val="24"/>
          <w:szCs w:val="24"/>
        </w:rPr>
        <w:t xml:space="preserve"> (იხ. პარაგრაფები “გამოყენების წესი და დოზები“, “უკუჩვენება“, “სამკურნალწამლო ურთიერ</w:t>
      </w:r>
      <w:r w:rsidR="00584E51" w:rsidRPr="00FC5C72">
        <w:rPr>
          <w:sz w:val="24"/>
          <w:szCs w:val="24"/>
        </w:rPr>
        <w:t>თ</w:t>
      </w:r>
      <w:r w:rsidR="00355CCD" w:rsidRPr="00FC5C72">
        <w:rPr>
          <w:sz w:val="24"/>
          <w:szCs w:val="24"/>
        </w:rPr>
        <w:t>ქმედება“)</w:t>
      </w:r>
      <w:r w:rsidRPr="00FC5C72">
        <w:rPr>
          <w:sz w:val="24"/>
          <w:szCs w:val="24"/>
        </w:rPr>
        <w:t>.</w:t>
      </w:r>
    </w:p>
    <w:p w14:paraId="06479BE3" w14:textId="77777777" w:rsidR="00117F2B" w:rsidRPr="00FC5C72" w:rsidRDefault="00117F2B" w:rsidP="00785B18">
      <w:pPr>
        <w:spacing w:after="0" w:line="240" w:lineRule="auto"/>
        <w:jc w:val="both"/>
        <w:rPr>
          <w:i/>
          <w:iCs/>
          <w:sz w:val="24"/>
          <w:szCs w:val="24"/>
        </w:rPr>
      </w:pPr>
    </w:p>
    <w:p w14:paraId="4B26F49B" w14:textId="750CC752" w:rsidR="00355CCD" w:rsidRPr="00FC5C72" w:rsidRDefault="002254EE" w:rsidP="00785B18">
      <w:pPr>
        <w:spacing w:after="0" w:line="240" w:lineRule="auto"/>
        <w:jc w:val="both"/>
        <w:rPr>
          <w:i/>
          <w:iCs/>
          <w:sz w:val="24"/>
          <w:szCs w:val="24"/>
        </w:rPr>
      </w:pPr>
      <w:r w:rsidRPr="00FC5C72">
        <w:rPr>
          <w:i/>
          <w:iCs/>
          <w:sz w:val="24"/>
          <w:szCs w:val="24"/>
        </w:rPr>
        <w:t xml:space="preserve">მკურნალობის დროებით შეწყვეტა </w:t>
      </w:r>
    </w:p>
    <w:p w14:paraId="04C8ACDB" w14:textId="55CFF324" w:rsidR="00BF72EF" w:rsidRPr="00FC5C72" w:rsidRDefault="002254EE" w:rsidP="00785B18">
      <w:pPr>
        <w:spacing w:after="0" w:line="240" w:lineRule="auto"/>
        <w:jc w:val="both"/>
        <w:rPr>
          <w:sz w:val="24"/>
          <w:szCs w:val="24"/>
        </w:rPr>
      </w:pPr>
      <w:r w:rsidRPr="00FC5C72">
        <w:rPr>
          <w:sz w:val="24"/>
          <w:szCs w:val="24"/>
        </w:rPr>
        <w:t>ანტიკოაგულანტების, მათ შორის აპიქსაბანის, მიღების შეწყვეტა აქტიური სისხლდენის, გეგმიური ოპერაციის ან ინვაზიური პროცედურების გამო, აყენებს პაციენტებს თრომბოზის გაზრდილი რისკის ქვეშ. თავიდან უნდა იქნას აცილებული თერაპიის წყვეტა და, თუ რაიმე მიზეზით აუცილებელია აპიქსაბანით ანტიკოაგულანტუ</w:t>
      </w:r>
      <w:r w:rsidR="00117F2B" w:rsidRPr="00FC5C72">
        <w:rPr>
          <w:sz w:val="24"/>
          <w:szCs w:val="24"/>
        </w:rPr>
        <w:t>რ</w:t>
      </w:r>
      <w:r w:rsidRPr="00FC5C72">
        <w:rPr>
          <w:sz w:val="24"/>
          <w:szCs w:val="24"/>
        </w:rPr>
        <w:t>ი თერაპიის დროებით შეწყვეტა, ის უნდა განახლდეს</w:t>
      </w:r>
      <w:r w:rsidR="00117F2B" w:rsidRPr="00FC5C72">
        <w:rPr>
          <w:sz w:val="24"/>
          <w:szCs w:val="24"/>
        </w:rPr>
        <w:t>,</w:t>
      </w:r>
      <w:r w:rsidRPr="00FC5C72">
        <w:rPr>
          <w:sz w:val="24"/>
          <w:szCs w:val="24"/>
        </w:rPr>
        <w:t xml:space="preserve"> </w:t>
      </w:r>
      <w:r w:rsidR="00117F2B" w:rsidRPr="00FC5C72">
        <w:rPr>
          <w:sz w:val="24"/>
          <w:szCs w:val="24"/>
        </w:rPr>
        <w:t>როგორც კი შესაძლებელი იქნება.</w:t>
      </w:r>
      <w:r w:rsidRPr="00FC5C72">
        <w:rPr>
          <w:sz w:val="24"/>
          <w:szCs w:val="24"/>
        </w:rPr>
        <w:t xml:space="preserve"> </w:t>
      </w:r>
    </w:p>
    <w:p w14:paraId="5DDAFC1D" w14:textId="77777777" w:rsidR="00117F2B" w:rsidRPr="00FC5C72" w:rsidRDefault="00117F2B" w:rsidP="00785B18">
      <w:pPr>
        <w:spacing w:after="0" w:line="240" w:lineRule="auto"/>
        <w:jc w:val="both"/>
        <w:rPr>
          <w:i/>
          <w:iCs/>
          <w:sz w:val="24"/>
          <w:szCs w:val="24"/>
        </w:rPr>
      </w:pPr>
    </w:p>
    <w:p w14:paraId="6EB0B77F" w14:textId="06ED4634" w:rsidR="00BF72EF" w:rsidRPr="00FC5C72" w:rsidRDefault="002254EE" w:rsidP="00785B18">
      <w:pPr>
        <w:spacing w:after="0" w:line="240" w:lineRule="auto"/>
        <w:jc w:val="both"/>
        <w:rPr>
          <w:i/>
          <w:iCs/>
          <w:sz w:val="24"/>
          <w:szCs w:val="24"/>
        </w:rPr>
      </w:pPr>
      <w:r w:rsidRPr="00FC5C72">
        <w:rPr>
          <w:i/>
          <w:iCs/>
          <w:sz w:val="24"/>
          <w:szCs w:val="24"/>
        </w:rPr>
        <w:t>სპინალური</w:t>
      </w:r>
      <w:r w:rsidR="00253305" w:rsidRPr="00FC5C72">
        <w:rPr>
          <w:i/>
          <w:iCs/>
          <w:sz w:val="24"/>
          <w:szCs w:val="24"/>
        </w:rPr>
        <w:t xml:space="preserve"> და </w:t>
      </w:r>
      <w:r w:rsidRPr="00FC5C72">
        <w:rPr>
          <w:i/>
          <w:iCs/>
          <w:sz w:val="24"/>
          <w:szCs w:val="24"/>
        </w:rPr>
        <w:t xml:space="preserve">ეპიდურული ანესთეზია ან პუნქცია </w:t>
      </w:r>
    </w:p>
    <w:p w14:paraId="04AAC917" w14:textId="49176F6A" w:rsidR="00A5094E" w:rsidRPr="00FC5C72" w:rsidRDefault="00A5094E" w:rsidP="00785B18">
      <w:pPr>
        <w:spacing w:after="0" w:line="240" w:lineRule="auto"/>
        <w:jc w:val="both"/>
        <w:rPr>
          <w:sz w:val="24"/>
          <w:szCs w:val="24"/>
        </w:rPr>
      </w:pPr>
      <w:r w:rsidRPr="00FC5C72">
        <w:rPr>
          <w:sz w:val="24"/>
          <w:szCs w:val="24"/>
        </w:rPr>
        <w:t xml:space="preserve">ბავშვებსა და მოზარდებში, რომლებიც იღებენ აპიქსაბანს, ნეიროაქსიალური კათეტერის შეყვანის და მოხსნის დროის შესახებ მონაცემები არ არის. ასეთ შემთხვევაში აპიქსაბანის მიღება უნდა შეწყდეს და განიხილოს ხანმოკლე მოქმედების პარენტერალური ანტიკოაგულანტის გამოყენების შესაძლებლობა. </w:t>
      </w:r>
    </w:p>
    <w:p w14:paraId="4A85DA1C" w14:textId="4A9A637B" w:rsidR="0015355B" w:rsidRPr="00FC5C72" w:rsidRDefault="002254EE" w:rsidP="00785B18">
      <w:pPr>
        <w:spacing w:after="0" w:line="240" w:lineRule="auto"/>
        <w:jc w:val="both"/>
        <w:rPr>
          <w:sz w:val="24"/>
          <w:szCs w:val="24"/>
        </w:rPr>
      </w:pPr>
      <w:r w:rsidRPr="00FC5C72">
        <w:rPr>
          <w:sz w:val="24"/>
          <w:szCs w:val="24"/>
        </w:rPr>
        <w:t>ნეირ</w:t>
      </w:r>
      <w:r w:rsidR="001863E2" w:rsidRPr="00FC5C72">
        <w:rPr>
          <w:sz w:val="24"/>
          <w:szCs w:val="24"/>
        </w:rPr>
        <w:t>ო</w:t>
      </w:r>
      <w:r w:rsidRPr="00FC5C72">
        <w:rPr>
          <w:sz w:val="24"/>
          <w:szCs w:val="24"/>
        </w:rPr>
        <w:t>აქსიალური ანესთეზიის (სპინალური</w:t>
      </w:r>
      <w:r w:rsidR="001863E2" w:rsidRPr="00FC5C72">
        <w:rPr>
          <w:sz w:val="24"/>
          <w:szCs w:val="24"/>
        </w:rPr>
        <w:t xml:space="preserve"> ან </w:t>
      </w:r>
      <w:r w:rsidRPr="00FC5C72">
        <w:rPr>
          <w:sz w:val="24"/>
          <w:szCs w:val="24"/>
        </w:rPr>
        <w:t>ეპიდურული ანესთეზიის) ან სპინალური</w:t>
      </w:r>
      <w:r w:rsidR="00A5094E" w:rsidRPr="00FC5C72">
        <w:rPr>
          <w:sz w:val="24"/>
          <w:szCs w:val="24"/>
        </w:rPr>
        <w:t xml:space="preserve"> ან</w:t>
      </w:r>
      <w:r w:rsidRPr="00FC5C72">
        <w:rPr>
          <w:sz w:val="24"/>
          <w:szCs w:val="24"/>
        </w:rPr>
        <w:t xml:space="preserve"> ეპიდურული პუნქციის ჩატარების დროს პაციენტებ</w:t>
      </w:r>
      <w:r w:rsidR="0015355B" w:rsidRPr="00FC5C72">
        <w:rPr>
          <w:sz w:val="24"/>
          <w:szCs w:val="24"/>
        </w:rPr>
        <w:t>ი</w:t>
      </w:r>
      <w:r w:rsidRPr="00FC5C72">
        <w:rPr>
          <w:sz w:val="24"/>
          <w:szCs w:val="24"/>
        </w:rPr>
        <w:t xml:space="preserve">, რომლებიც </w:t>
      </w:r>
      <w:r w:rsidR="00AC11C2" w:rsidRPr="00FC5C72">
        <w:rPr>
          <w:sz w:val="24"/>
          <w:szCs w:val="24"/>
        </w:rPr>
        <w:t xml:space="preserve">იღებენ </w:t>
      </w:r>
      <w:r w:rsidRPr="00FC5C72">
        <w:rPr>
          <w:sz w:val="24"/>
          <w:szCs w:val="24"/>
        </w:rPr>
        <w:t>ანტითრომბოციტულ საშუალებებს თრომბოემბოლური გართულებების</w:t>
      </w:r>
      <w:r w:rsidR="0015355B" w:rsidRPr="00FC5C72">
        <w:rPr>
          <w:sz w:val="24"/>
          <w:szCs w:val="24"/>
        </w:rPr>
        <w:t xml:space="preserve"> </w:t>
      </w:r>
      <w:r w:rsidRPr="00FC5C72">
        <w:rPr>
          <w:sz w:val="24"/>
          <w:szCs w:val="24"/>
        </w:rPr>
        <w:t xml:space="preserve">პროფილაქტიკისათვის, </w:t>
      </w:r>
      <w:r w:rsidR="0015355B" w:rsidRPr="00FC5C72">
        <w:rPr>
          <w:sz w:val="24"/>
          <w:szCs w:val="24"/>
        </w:rPr>
        <w:t>იმყოფებიან</w:t>
      </w:r>
      <w:r w:rsidRPr="00FC5C72">
        <w:rPr>
          <w:sz w:val="24"/>
          <w:szCs w:val="24"/>
        </w:rPr>
        <w:t xml:space="preserve"> ეპიდურული ან ზურგის ჰემატომის წარმოქმნის რისკი</w:t>
      </w:r>
      <w:r w:rsidR="0015355B" w:rsidRPr="00FC5C72">
        <w:rPr>
          <w:sz w:val="24"/>
          <w:szCs w:val="24"/>
        </w:rPr>
        <w:t>ს ჯგუფში</w:t>
      </w:r>
      <w:r w:rsidRPr="00FC5C72">
        <w:rPr>
          <w:sz w:val="24"/>
          <w:szCs w:val="24"/>
        </w:rPr>
        <w:t>, რამაც შეიძლება გამოიწვიოს ხანგრძლივი ან შეუქცევადი დამბლა. ასეთი მოვლენების</w:t>
      </w:r>
      <w:r w:rsidR="0015355B" w:rsidRPr="00FC5C72">
        <w:rPr>
          <w:sz w:val="24"/>
          <w:szCs w:val="24"/>
        </w:rPr>
        <w:t xml:space="preserve"> </w:t>
      </w:r>
      <w:r w:rsidRPr="00FC5C72">
        <w:rPr>
          <w:sz w:val="24"/>
          <w:szCs w:val="24"/>
        </w:rPr>
        <w:t>წარმოქმნის რისკი შეიძლება გაიზარდოს მუდმივი ეპიდურული კათეტერების</w:t>
      </w:r>
      <w:r w:rsidR="0015355B" w:rsidRPr="00FC5C72">
        <w:rPr>
          <w:sz w:val="24"/>
          <w:szCs w:val="24"/>
        </w:rPr>
        <w:t xml:space="preserve"> </w:t>
      </w:r>
      <w:r w:rsidRPr="00FC5C72">
        <w:rPr>
          <w:sz w:val="24"/>
          <w:szCs w:val="24"/>
        </w:rPr>
        <w:t>პოსტოპერაციული გამოყენების დროს ან ჰემოსტაზზე მოქმედი სამკურნალო საშუალებების</w:t>
      </w:r>
      <w:r w:rsidR="0015355B" w:rsidRPr="00FC5C72">
        <w:rPr>
          <w:sz w:val="24"/>
          <w:szCs w:val="24"/>
        </w:rPr>
        <w:t xml:space="preserve"> </w:t>
      </w:r>
      <w:r w:rsidRPr="00FC5C72">
        <w:rPr>
          <w:sz w:val="24"/>
          <w:szCs w:val="24"/>
        </w:rPr>
        <w:t>ერთდროული გამოყენებისას. აუცილებელია აპიქსაბანის პირველი დოზის მიღებამდე</w:t>
      </w:r>
      <w:r w:rsidR="0015355B" w:rsidRPr="00FC5C72">
        <w:rPr>
          <w:sz w:val="24"/>
          <w:szCs w:val="24"/>
        </w:rPr>
        <w:t xml:space="preserve"> </w:t>
      </w:r>
      <w:r w:rsidRPr="00FC5C72">
        <w:rPr>
          <w:sz w:val="24"/>
          <w:szCs w:val="24"/>
        </w:rPr>
        <w:t xml:space="preserve">მინიმუმ 5 საათით ადრე მუდმივი ეპიდურული ან ინტრათეკალური კათეტერების მოხსნა. </w:t>
      </w:r>
      <w:r w:rsidR="0015355B" w:rsidRPr="00FC5C72">
        <w:rPr>
          <w:sz w:val="24"/>
          <w:szCs w:val="24"/>
        </w:rPr>
        <w:t xml:space="preserve">სისხლდენის </w:t>
      </w:r>
      <w:r w:rsidRPr="00FC5C72">
        <w:rPr>
          <w:sz w:val="24"/>
          <w:szCs w:val="24"/>
        </w:rPr>
        <w:t xml:space="preserve">რისკი ასევე </w:t>
      </w:r>
      <w:r w:rsidR="00A5094E" w:rsidRPr="00FC5C72">
        <w:rPr>
          <w:sz w:val="24"/>
          <w:szCs w:val="24"/>
        </w:rPr>
        <w:t>იზრდება</w:t>
      </w:r>
      <w:r w:rsidRPr="00FC5C72">
        <w:rPr>
          <w:sz w:val="24"/>
          <w:szCs w:val="24"/>
        </w:rPr>
        <w:t xml:space="preserve"> ტრავმული ან განმეორებითი ეპიდურული ან სპინალური</w:t>
      </w:r>
      <w:r w:rsidR="0015355B" w:rsidRPr="00FC5C72">
        <w:rPr>
          <w:sz w:val="24"/>
          <w:szCs w:val="24"/>
        </w:rPr>
        <w:t xml:space="preserve"> </w:t>
      </w:r>
      <w:r w:rsidRPr="00FC5C72">
        <w:rPr>
          <w:sz w:val="24"/>
          <w:szCs w:val="24"/>
        </w:rPr>
        <w:t>პუნქციის დროს. პაციენტები ხშირად უნდა გააკონტროლონ ნევროლოგიური დარღვევების</w:t>
      </w:r>
      <w:r w:rsidR="0015355B" w:rsidRPr="00FC5C72">
        <w:rPr>
          <w:sz w:val="24"/>
          <w:szCs w:val="24"/>
        </w:rPr>
        <w:t xml:space="preserve"> </w:t>
      </w:r>
      <w:r w:rsidRPr="00FC5C72">
        <w:rPr>
          <w:sz w:val="24"/>
          <w:szCs w:val="24"/>
        </w:rPr>
        <w:t>ნიშნების და სიმპტომების გამოვლენის მიზნით (მაგალითად, ფეხების დაბუჟება ან სისუსტე, ნაწლავის ან შარდის ბუშტის დისფუნქცია). ნევროლოგიური აშლილობის გამოვლენის</w:t>
      </w:r>
      <w:r w:rsidR="0015355B" w:rsidRPr="00FC5C72">
        <w:rPr>
          <w:sz w:val="24"/>
          <w:szCs w:val="24"/>
        </w:rPr>
        <w:t xml:space="preserve"> </w:t>
      </w:r>
      <w:r w:rsidRPr="00FC5C72">
        <w:rPr>
          <w:sz w:val="24"/>
          <w:szCs w:val="24"/>
        </w:rPr>
        <w:t>შემთხვევაში საჭიროა დიაგნოზის სწრაფად დადგენა და მკურნალობა. ნეირ</w:t>
      </w:r>
      <w:r w:rsidR="0015355B" w:rsidRPr="00FC5C72">
        <w:rPr>
          <w:sz w:val="24"/>
          <w:szCs w:val="24"/>
        </w:rPr>
        <w:t>ო</w:t>
      </w:r>
      <w:r w:rsidRPr="00FC5C72">
        <w:rPr>
          <w:sz w:val="24"/>
          <w:szCs w:val="24"/>
        </w:rPr>
        <w:t>აქსიალურ</w:t>
      </w:r>
      <w:r w:rsidR="0015355B" w:rsidRPr="00FC5C72">
        <w:rPr>
          <w:sz w:val="24"/>
          <w:szCs w:val="24"/>
        </w:rPr>
        <w:t xml:space="preserve"> </w:t>
      </w:r>
      <w:r w:rsidRPr="00FC5C72">
        <w:rPr>
          <w:sz w:val="24"/>
          <w:szCs w:val="24"/>
        </w:rPr>
        <w:t xml:space="preserve">ჩარევამდე ექიმმა უნდა შეაფასოს პოტენციური სარგებელი და რისკი პაციენტებისათვის, რომლებიც იღებენ ანტიკოაგულანტულ </w:t>
      </w:r>
      <w:r w:rsidR="00A5094E" w:rsidRPr="00FC5C72">
        <w:rPr>
          <w:sz w:val="24"/>
          <w:szCs w:val="24"/>
        </w:rPr>
        <w:t>თერაპიას</w:t>
      </w:r>
      <w:r w:rsidRPr="00FC5C72">
        <w:rPr>
          <w:sz w:val="24"/>
          <w:szCs w:val="24"/>
        </w:rPr>
        <w:t xml:space="preserve"> ან </w:t>
      </w:r>
      <w:r w:rsidR="0015355B" w:rsidRPr="00FC5C72">
        <w:rPr>
          <w:sz w:val="24"/>
          <w:szCs w:val="24"/>
        </w:rPr>
        <w:t>მიიღებენ მას</w:t>
      </w:r>
      <w:r w:rsidRPr="00FC5C72">
        <w:rPr>
          <w:sz w:val="24"/>
          <w:szCs w:val="24"/>
        </w:rPr>
        <w:t xml:space="preserve"> თრომბოზის პროფილაქტიკისთვის. </w:t>
      </w:r>
    </w:p>
    <w:p w14:paraId="0569C666" w14:textId="33F6D3A7" w:rsidR="00113737" w:rsidRPr="00FC5C72" w:rsidRDefault="002254EE" w:rsidP="00785B18">
      <w:pPr>
        <w:spacing w:after="0" w:line="240" w:lineRule="auto"/>
        <w:jc w:val="both"/>
        <w:rPr>
          <w:sz w:val="24"/>
          <w:szCs w:val="24"/>
        </w:rPr>
      </w:pPr>
      <w:r w:rsidRPr="00FC5C72">
        <w:rPr>
          <w:sz w:val="24"/>
          <w:szCs w:val="24"/>
        </w:rPr>
        <w:t>აპიქსაბანის გამოყენების კლინიკური გამოცდილება მუდმივი ინტრათეკალური ან</w:t>
      </w:r>
      <w:r w:rsidR="00DB4920" w:rsidRPr="00FC5C72">
        <w:rPr>
          <w:sz w:val="24"/>
          <w:szCs w:val="24"/>
        </w:rPr>
        <w:t xml:space="preserve"> </w:t>
      </w:r>
      <w:r w:rsidRPr="00FC5C72">
        <w:rPr>
          <w:sz w:val="24"/>
          <w:szCs w:val="24"/>
        </w:rPr>
        <w:t>ეპიდურული კათეტერების გამოყენებისას არ არსებობს. ასეთი აუცილებლობის შემთხვევაში</w:t>
      </w:r>
      <w:r w:rsidR="00DB4920" w:rsidRPr="00FC5C72">
        <w:rPr>
          <w:sz w:val="24"/>
          <w:szCs w:val="24"/>
        </w:rPr>
        <w:t xml:space="preserve"> </w:t>
      </w:r>
      <w:r w:rsidRPr="00FC5C72">
        <w:rPr>
          <w:sz w:val="24"/>
          <w:szCs w:val="24"/>
        </w:rPr>
        <w:t>და აპიქსაბანის ზოგადი ფარმაკოკინეტიკური მახასიათებლებიდან გამომდინარე, უნდა იქნას</w:t>
      </w:r>
      <w:r w:rsidR="00113737" w:rsidRPr="00FC5C72">
        <w:rPr>
          <w:sz w:val="24"/>
          <w:szCs w:val="24"/>
        </w:rPr>
        <w:t xml:space="preserve"> </w:t>
      </w:r>
      <w:r w:rsidRPr="00FC5C72">
        <w:rPr>
          <w:sz w:val="24"/>
          <w:szCs w:val="24"/>
        </w:rPr>
        <w:t>დაცული 20-30 საათიანი ინტერვალი (</w:t>
      </w:r>
      <w:r w:rsidR="00113737" w:rsidRPr="00FC5C72">
        <w:rPr>
          <w:sz w:val="24"/>
          <w:szCs w:val="24"/>
        </w:rPr>
        <w:t xml:space="preserve">ანუ, </w:t>
      </w:r>
      <w:r w:rsidRPr="00FC5C72">
        <w:rPr>
          <w:sz w:val="24"/>
          <w:szCs w:val="24"/>
        </w:rPr>
        <w:t xml:space="preserve"> ნახევარგამოყოფის</w:t>
      </w:r>
      <w:r w:rsidR="00113737" w:rsidRPr="00FC5C72">
        <w:rPr>
          <w:sz w:val="24"/>
          <w:szCs w:val="24"/>
        </w:rPr>
        <w:t xml:space="preserve"> 2-ჯერადი</w:t>
      </w:r>
      <w:r w:rsidRPr="00FC5C72">
        <w:rPr>
          <w:sz w:val="24"/>
          <w:szCs w:val="24"/>
        </w:rPr>
        <w:t xml:space="preserve"> პერიოდი) აპიქსაბანის</w:t>
      </w:r>
      <w:r w:rsidR="00113737" w:rsidRPr="00FC5C72">
        <w:rPr>
          <w:sz w:val="24"/>
          <w:szCs w:val="24"/>
        </w:rPr>
        <w:t xml:space="preserve"> </w:t>
      </w:r>
      <w:r w:rsidRPr="00FC5C72">
        <w:rPr>
          <w:sz w:val="24"/>
          <w:szCs w:val="24"/>
        </w:rPr>
        <w:t xml:space="preserve">ბოლო დოზასა და კათეტერის </w:t>
      </w:r>
      <w:r w:rsidR="00113737" w:rsidRPr="00FC5C72">
        <w:rPr>
          <w:sz w:val="24"/>
          <w:szCs w:val="24"/>
        </w:rPr>
        <w:t>მოხსნის</w:t>
      </w:r>
      <w:r w:rsidRPr="00FC5C72">
        <w:rPr>
          <w:sz w:val="24"/>
          <w:szCs w:val="24"/>
        </w:rPr>
        <w:t xml:space="preserve"> შორის, და ასევე კათეტერის მოცილების წინ უნდა</w:t>
      </w:r>
      <w:r w:rsidR="00113737" w:rsidRPr="00FC5C72">
        <w:rPr>
          <w:sz w:val="24"/>
          <w:szCs w:val="24"/>
        </w:rPr>
        <w:t xml:space="preserve"> </w:t>
      </w:r>
      <w:r w:rsidRPr="00FC5C72">
        <w:rPr>
          <w:sz w:val="24"/>
          <w:szCs w:val="24"/>
        </w:rPr>
        <w:t xml:space="preserve">იქნას გამოტოვებული არანაკლებ ერთი დოზისა. აპიქსაბანის შემდეგი დოზა შეიძლება გამოყენებული </w:t>
      </w:r>
      <w:r w:rsidR="00A5094E" w:rsidRPr="00FC5C72">
        <w:rPr>
          <w:sz w:val="24"/>
          <w:szCs w:val="24"/>
        </w:rPr>
        <w:t xml:space="preserve">იქნას </w:t>
      </w:r>
      <w:r w:rsidRPr="00FC5C72">
        <w:rPr>
          <w:sz w:val="24"/>
          <w:szCs w:val="24"/>
        </w:rPr>
        <w:t>კათეტერის მოხსნიდან არანაკლებ 5 საათის შემდეგ. ისევე, როგორც ყველა</w:t>
      </w:r>
      <w:r w:rsidR="00113737" w:rsidRPr="00FC5C72">
        <w:rPr>
          <w:sz w:val="24"/>
          <w:szCs w:val="24"/>
        </w:rPr>
        <w:t xml:space="preserve"> </w:t>
      </w:r>
      <w:r w:rsidRPr="00FC5C72">
        <w:rPr>
          <w:sz w:val="24"/>
          <w:szCs w:val="24"/>
        </w:rPr>
        <w:t>ახალი ანტიკოაგულანტის გამოყენების შემთხვევაში, ნეირ</w:t>
      </w:r>
      <w:r w:rsidR="00113737" w:rsidRPr="00FC5C72">
        <w:rPr>
          <w:sz w:val="24"/>
          <w:szCs w:val="24"/>
        </w:rPr>
        <w:t>ო</w:t>
      </w:r>
      <w:r w:rsidRPr="00FC5C72">
        <w:rPr>
          <w:sz w:val="24"/>
          <w:szCs w:val="24"/>
        </w:rPr>
        <w:t>აქსიალური ბლოკადის დროს</w:t>
      </w:r>
      <w:r w:rsidR="00113737" w:rsidRPr="00FC5C72">
        <w:rPr>
          <w:sz w:val="24"/>
          <w:szCs w:val="24"/>
        </w:rPr>
        <w:t xml:space="preserve"> აპიქსაბანის გამოყენების </w:t>
      </w:r>
      <w:r w:rsidRPr="00FC5C72">
        <w:rPr>
          <w:sz w:val="24"/>
          <w:szCs w:val="24"/>
        </w:rPr>
        <w:t xml:space="preserve">გამოცდილება შეზღუდულია, ამიტომ </w:t>
      </w:r>
      <w:r w:rsidR="00113737" w:rsidRPr="00FC5C72">
        <w:rPr>
          <w:sz w:val="24"/>
          <w:szCs w:val="24"/>
        </w:rPr>
        <w:t xml:space="preserve">ამ შემთხვევაში </w:t>
      </w:r>
      <w:r w:rsidRPr="00FC5C72">
        <w:rPr>
          <w:sz w:val="24"/>
          <w:szCs w:val="24"/>
        </w:rPr>
        <w:t>რეკომენდებულია უკიდურესი სიფრთხილის დაცვა</w:t>
      </w:r>
      <w:r w:rsidR="00113737" w:rsidRPr="00FC5C72">
        <w:rPr>
          <w:sz w:val="24"/>
          <w:szCs w:val="24"/>
        </w:rPr>
        <w:t>.</w:t>
      </w:r>
      <w:r w:rsidR="00A5094E" w:rsidRPr="00FC5C72">
        <w:rPr>
          <w:sz w:val="24"/>
          <w:szCs w:val="24"/>
        </w:rPr>
        <w:t xml:space="preserve"> </w:t>
      </w:r>
    </w:p>
    <w:p w14:paraId="089EC546" w14:textId="77777777" w:rsidR="00A5094E" w:rsidRPr="00FC5C72" w:rsidRDefault="00A5094E" w:rsidP="00785B18">
      <w:pPr>
        <w:spacing w:after="0" w:line="240" w:lineRule="auto"/>
        <w:jc w:val="both"/>
        <w:rPr>
          <w:sz w:val="24"/>
          <w:szCs w:val="24"/>
        </w:rPr>
      </w:pPr>
    </w:p>
    <w:p w14:paraId="3AB8696A" w14:textId="06323603" w:rsidR="00113737" w:rsidRPr="00FC5C72" w:rsidRDefault="002254EE" w:rsidP="00785B18">
      <w:pPr>
        <w:spacing w:after="0" w:line="240" w:lineRule="auto"/>
        <w:jc w:val="both"/>
        <w:rPr>
          <w:sz w:val="24"/>
          <w:szCs w:val="24"/>
          <w:u w:val="single"/>
        </w:rPr>
      </w:pPr>
      <w:r w:rsidRPr="00FC5C72">
        <w:rPr>
          <w:i/>
          <w:iCs/>
          <w:sz w:val="24"/>
          <w:szCs w:val="24"/>
          <w:u w:val="single"/>
        </w:rPr>
        <w:t>ჰემოდინამიურად არასტაბილური პაციენტები ფათე-ით ან პაციენტები, რომლებსაც ესაჭიროებათ თრომბოლიზი</w:t>
      </w:r>
      <w:r w:rsidR="00113737" w:rsidRPr="00FC5C72">
        <w:rPr>
          <w:i/>
          <w:iCs/>
          <w:sz w:val="24"/>
          <w:szCs w:val="24"/>
          <w:u w:val="single"/>
        </w:rPr>
        <w:t>სი</w:t>
      </w:r>
      <w:r w:rsidRPr="00FC5C72">
        <w:rPr>
          <w:i/>
          <w:iCs/>
          <w:sz w:val="24"/>
          <w:szCs w:val="24"/>
          <w:u w:val="single"/>
        </w:rPr>
        <w:t xml:space="preserve"> ან ფილტვის </w:t>
      </w:r>
      <w:r w:rsidR="00113737" w:rsidRPr="00FC5C72">
        <w:rPr>
          <w:i/>
          <w:iCs/>
          <w:sz w:val="24"/>
          <w:szCs w:val="24"/>
          <w:u w:val="single"/>
        </w:rPr>
        <w:t>ემბოლექტომია</w:t>
      </w:r>
      <w:r w:rsidRPr="00FC5C72">
        <w:rPr>
          <w:sz w:val="24"/>
          <w:szCs w:val="24"/>
          <w:u w:val="single"/>
        </w:rPr>
        <w:t xml:space="preserve"> </w:t>
      </w:r>
    </w:p>
    <w:p w14:paraId="7C398874" w14:textId="1F2283FD" w:rsidR="00607E59" w:rsidRPr="00FC5C72" w:rsidRDefault="00607E59" w:rsidP="00785B18">
      <w:pPr>
        <w:spacing w:after="0" w:line="240" w:lineRule="auto"/>
        <w:jc w:val="both"/>
        <w:rPr>
          <w:sz w:val="24"/>
          <w:szCs w:val="24"/>
        </w:rPr>
      </w:pPr>
      <w:r w:rsidRPr="00FC5C72">
        <w:rPr>
          <w:sz w:val="24"/>
          <w:szCs w:val="24"/>
        </w:rPr>
        <w:t xml:space="preserve">იმის გამო, რომ აპიქსაბანის უსაფრთხოება და ეფექტიანობა არ არის დადგენილი პაციენტებში ჰემოდინამიურად არასტაბილური ფილტვის არტერიის თრომბოემბოლიით ან პაციენტებში, რომლებსაც შეიძლება ჩაუტარდეთ თრომბოლიზისი ან ფილტვის ემბოლექტომია, აპიქსაბანის გამოყენება არაფრაქციული ჰეპარინის ნაცვლად ამ კლინიკურ სიტუაციებში რეკომენდებული არ არის. </w:t>
      </w:r>
    </w:p>
    <w:p w14:paraId="0A2E3DFB" w14:textId="77777777" w:rsidR="00A5094E" w:rsidRPr="00FC5C72" w:rsidRDefault="00A5094E" w:rsidP="00785B18">
      <w:pPr>
        <w:spacing w:after="0" w:line="240" w:lineRule="auto"/>
        <w:jc w:val="both"/>
        <w:rPr>
          <w:sz w:val="24"/>
          <w:szCs w:val="24"/>
        </w:rPr>
      </w:pPr>
    </w:p>
    <w:p w14:paraId="5EF7F6E8" w14:textId="2EF48B7F" w:rsidR="00607E59" w:rsidRPr="00FC5C72" w:rsidRDefault="00607E59" w:rsidP="00785B18">
      <w:pPr>
        <w:spacing w:after="0" w:line="240" w:lineRule="auto"/>
        <w:jc w:val="both"/>
        <w:rPr>
          <w:i/>
          <w:iCs/>
          <w:sz w:val="24"/>
          <w:szCs w:val="24"/>
          <w:u w:val="single"/>
        </w:rPr>
      </w:pPr>
      <w:r w:rsidRPr="00FC5C72">
        <w:rPr>
          <w:i/>
          <w:iCs/>
          <w:sz w:val="24"/>
          <w:szCs w:val="24"/>
          <w:u w:val="single"/>
        </w:rPr>
        <w:t>აქტიურად პროგრესირებადი ავთვისებიანი ახალწარმონაქმნების მქონე პაციენტები</w:t>
      </w:r>
    </w:p>
    <w:p w14:paraId="5A70C909" w14:textId="18197A84" w:rsidR="00256AA0" w:rsidRPr="00FC5C72" w:rsidRDefault="00607E59" w:rsidP="00785B18">
      <w:pPr>
        <w:spacing w:after="0" w:line="240" w:lineRule="auto"/>
        <w:jc w:val="both"/>
        <w:rPr>
          <w:sz w:val="24"/>
          <w:szCs w:val="24"/>
        </w:rPr>
      </w:pPr>
      <w:r w:rsidRPr="00FC5C72">
        <w:rPr>
          <w:sz w:val="24"/>
          <w:szCs w:val="24"/>
        </w:rPr>
        <w:t>აქტიურად პროგრესირებადი ავთვისებიანი ახალწარმონაქმნების მქონე პაციენტები</w:t>
      </w:r>
      <w:r w:rsidR="002254EE" w:rsidRPr="00FC5C72">
        <w:rPr>
          <w:sz w:val="24"/>
          <w:szCs w:val="24"/>
        </w:rPr>
        <w:t xml:space="preserve"> შეიძლება ექვემდებარებოდნენ როგორც ვენური</w:t>
      </w:r>
      <w:r w:rsidR="007E5BE4" w:rsidRPr="00FC5C72">
        <w:rPr>
          <w:sz w:val="24"/>
          <w:szCs w:val="24"/>
        </w:rPr>
        <w:t xml:space="preserve"> </w:t>
      </w:r>
      <w:r w:rsidR="002254EE" w:rsidRPr="00FC5C72">
        <w:rPr>
          <w:sz w:val="24"/>
          <w:szCs w:val="24"/>
        </w:rPr>
        <w:t xml:space="preserve">თრომბოემბოლიის, ასევე სისხლდენის </w:t>
      </w:r>
      <w:r w:rsidR="00C25D6B" w:rsidRPr="00FC5C72">
        <w:rPr>
          <w:sz w:val="24"/>
          <w:szCs w:val="24"/>
        </w:rPr>
        <w:t>განვითარების</w:t>
      </w:r>
      <w:r w:rsidR="002254EE" w:rsidRPr="00FC5C72">
        <w:rPr>
          <w:sz w:val="24"/>
          <w:szCs w:val="24"/>
        </w:rPr>
        <w:t xml:space="preserve"> მაღალ რისკს. აპიქსაბანის გამოყენების</w:t>
      </w:r>
      <w:r w:rsidR="007E5BE4" w:rsidRPr="00FC5C72">
        <w:rPr>
          <w:sz w:val="24"/>
          <w:szCs w:val="24"/>
        </w:rPr>
        <w:t xml:space="preserve"> </w:t>
      </w:r>
      <w:r w:rsidR="002254EE" w:rsidRPr="00FC5C72">
        <w:rPr>
          <w:sz w:val="24"/>
          <w:szCs w:val="24"/>
        </w:rPr>
        <w:t xml:space="preserve">განხილვისას ღვთ-ს ან ფათე-ს სამკურნალოდ </w:t>
      </w:r>
      <w:r w:rsidR="007E5BE4" w:rsidRPr="00FC5C72">
        <w:rPr>
          <w:sz w:val="24"/>
          <w:szCs w:val="24"/>
        </w:rPr>
        <w:t>ავთვისებიანი ახალწარმონაქმნების მქონე</w:t>
      </w:r>
      <w:r w:rsidR="002254EE" w:rsidRPr="00FC5C72">
        <w:rPr>
          <w:sz w:val="24"/>
          <w:szCs w:val="24"/>
        </w:rPr>
        <w:t xml:space="preserve"> პაციენტებში, უნდა ჩატარდეს</w:t>
      </w:r>
      <w:r w:rsidR="007E5BE4" w:rsidRPr="00FC5C72">
        <w:rPr>
          <w:sz w:val="24"/>
          <w:szCs w:val="24"/>
        </w:rPr>
        <w:t xml:space="preserve"> </w:t>
      </w:r>
      <w:r w:rsidR="002254EE" w:rsidRPr="00FC5C72">
        <w:rPr>
          <w:sz w:val="24"/>
          <w:szCs w:val="24"/>
        </w:rPr>
        <w:t xml:space="preserve">სარგებელისა და რისკის </w:t>
      </w:r>
      <w:r w:rsidR="007E5BE4" w:rsidRPr="00FC5C72">
        <w:rPr>
          <w:sz w:val="24"/>
          <w:szCs w:val="24"/>
        </w:rPr>
        <w:t xml:space="preserve">თანაფარდობის </w:t>
      </w:r>
      <w:r w:rsidR="002254EE" w:rsidRPr="00FC5C72">
        <w:rPr>
          <w:sz w:val="24"/>
          <w:szCs w:val="24"/>
        </w:rPr>
        <w:t>გულდასმით შეფასება</w:t>
      </w:r>
      <w:r w:rsidR="007E5BE4" w:rsidRPr="00FC5C72">
        <w:rPr>
          <w:sz w:val="24"/>
          <w:szCs w:val="24"/>
        </w:rPr>
        <w:t xml:space="preserve"> (იხ. პარაგრაფი “უკუჩვენება“)</w:t>
      </w:r>
      <w:r w:rsidR="002254EE" w:rsidRPr="00FC5C72">
        <w:rPr>
          <w:sz w:val="24"/>
          <w:szCs w:val="24"/>
        </w:rPr>
        <w:t xml:space="preserve">. </w:t>
      </w:r>
    </w:p>
    <w:p w14:paraId="4BAF79F6" w14:textId="77777777" w:rsidR="00256AA0" w:rsidRPr="00FC5C72" w:rsidRDefault="00256AA0" w:rsidP="00785B18">
      <w:pPr>
        <w:spacing w:after="0" w:line="240" w:lineRule="auto"/>
        <w:jc w:val="both"/>
        <w:rPr>
          <w:sz w:val="24"/>
          <w:szCs w:val="24"/>
        </w:rPr>
      </w:pPr>
    </w:p>
    <w:p w14:paraId="48B30774" w14:textId="77777777" w:rsidR="00256AA0" w:rsidRPr="00FC5C72" w:rsidRDefault="002254EE" w:rsidP="00785B18">
      <w:pPr>
        <w:spacing w:after="0" w:line="240" w:lineRule="auto"/>
        <w:jc w:val="both"/>
        <w:rPr>
          <w:i/>
          <w:iCs/>
          <w:sz w:val="24"/>
          <w:szCs w:val="24"/>
          <w:u w:val="single"/>
        </w:rPr>
      </w:pPr>
      <w:r w:rsidRPr="00FC5C72">
        <w:rPr>
          <w:i/>
          <w:iCs/>
          <w:sz w:val="24"/>
          <w:szCs w:val="24"/>
          <w:u w:val="single"/>
        </w:rPr>
        <w:t>თირკმ</w:t>
      </w:r>
      <w:r w:rsidR="00256AA0" w:rsidRPr="00FC5C72">
        <w:rPr>
          <w:i/>
          <w:iCs/>
          <w:sz w:val="24"/>
          <w:szCs w:val="24"/>
          <w:u w:val="single"/>
        </w:rPr>
        <w:t xml:space="preserve">ელების ფუნქციის დარღვევის </w:t>
      </w:r>
      <w:r w:rsidRPr="00FC5C72">
        <w:rPr>
          <w:i/>
          <w:iCs/>
          <w:sz w:val="24"/>
          <w:szCs w:val="24"/>
          <w:u w:val="single"/>
        </w:rPr>
        <w:t xml:space="preserve">მქონე პაციენტები </w:t>
      </w:r>
    </w:p>
    <w:p w14:paraId="3F44C808" w14:textId="4F70348C" w:rsidR="00DB3024" w:rsidRPr="00FC5C72" w:rsidRDefault="00BD3FD2" w:rsidP="00785B18">
      <w:pPr>
        <w:spacing w:after="0" w:line="240" w:lineRule="auto"/>
        <w:jc w:val="both"/>
        <w:rPr>
          <w:sz w:val="24"/>
          <w:szCs w:val="24"/>
        </w:rPr>
      </w:pPr>
      <w:r w:rsidRPr="00FC5C72">
        <w:rPr>
          <w:i/>
          <w:iCs/>
          <w:sz w:val="24"/>
          <w:szCs w:val="24"/>
        </w:rPr>
        <w:t>ბავშვთა ასაკის პაციენტები</w:t>
      </w:r>
    </w:p>
    <w:p w14:paraId="1E9CACDD" w14:textId="0E875492" w:rsidR="00BD3FD2" w:rsidRPr="00FC5C72" w:rsidRDefault="00BD3FD2" w:rsidP="00785B18">
      <w:pPr>
        <w:spacing w:after="0" w:line="240" w:lineRule="auto"/>
        <w:jc w:val="both"/>
        <w:rPr>
          <w:sz w:val="24"/>
          <w:szCs w:val="24"/>
        </w:rPr>
      </w:pPr>
      <w:r w:rsidRPr="00FC5C72">
        <w:rPr>
          <w:sz w:val="24"/>
          <w:szCs w:val="24"/>
        </w:rPr>
        <w:t xml:space="preserve">ბავშვთა ასაკის პაციენტებში თირკმელების ფუნქციის მძიმე დარღვევით აპიქსაბანის გამოყენება შესწავლილი არ არის, შესაბამისად, ასეთ პაციენტებში აპიქსაბანის გამოყენება მიზანშეწონილი არ არის (იხ. პარაგრაფები „გამოყენების წესი და დოზები“ და „ფარმაკოკინეტიკა“) </w:t>
      </w:r>
    </w:p>
    <w:p w14:paraId="78C4107F" w14:textId="14B9BF77" w:rsidR="00BD3FD2" w:rsidRPr="00FC5C72" w:rsidRDefault="00BD3FD2" w:rsidP="00785B18">
      <w:pPr>
        <w:spacing w:after="0" w:line="240" w:lineRule="auto"/>
        <w:jc w:val="both"/>
        <w:rPr>
          <w:sz w:val="24"/>
          <w:szCs w:val="24"/>
        </w:rPr>
      </w:pPr>
    </w:p>
    <w:p w14:paraId="3078A349" w14:textId="187BC62A" w:rsidR="00DB3024" w:rsidRPr="00FC5C72" w:rsidRDefault="00BD3FD2" w:rsidP="00785B18">
      <w:pPr>
        <w:spacing w:after="0" w:line="240" w:lineRule="auto"/>
        <w:jc w:val="both"/>
        <w:rPr>
          <w:sz w:val="24"/>
          <w:szCs w:val="24"/>
        </w:rPr>
      </w:pPr>
      <w:r w:rsidRPr="00FC5C72">
        <w:rPr>
          <w:i/>
          <w:iCs/>
          <w:sz w:val="24"/>
          <w:szCs w:val="24"/>
        </w:rPr>
        <w:t>მოზრდილი პაციენტები</w:t>
      </w:r>
    </w:p>
    <w:p w14:paraId="20C0AE08" w14:textId="4CBAAC81" w:rsidR="00C768AF" w:rsidRPr="00FC5C72" w:rsidRDefault="002254EE" w:rsidP="00785B18">
      <w:pPr>
        <w:spacing w:after="0" w:line="240" w:lineRule="auto"/>
        <w:jc w:val="both"/>
        <w:rPr>
          <w:sz w:val="24"/>
          <w:szCs w:val="24"/>
        </w:rPr>
      </w:pPr>
      <w:r w:rsidRPr="00FC5C72">
        <w:rPr>
          <w:sz w:val="24"/>
          <w:szCs w:val="24"/>
        </w:rPr>
        <w:t>შეზღუდული კლინიკური მონაცემები მიუთითებ</w:t>
      </w:r>
      <w:r w:rsidR="0012213A" w:rsidRPr="00FC5C72">
        <w:rPr>
          <w:sz w:val="24"/>
          <w:szCs w:val="24"/>
        </w:rPr>
        <w:t>ს</w:t>
      </w:r>
      <w:r w:rsidRPr="00FC5C72">
        <w:rPr>
          <w:sz w:val="24"/>
          <w:szCs w:val="24"/>
        </w:rPr>
        <w:t xml:space="preserve"> იმაზე, რომ აპიქსაბანის კონცენტრაცია</w:t>
      </w:r>
      <w:r w:rsidR="004340FC" w:rsidRPr="00FC5C72">
        <w:rPr>
          <w:sz w:val="24"/>
          <w:szCs w:val="24"/>
        </w:rPr>
        <w:t xml:space="preserve"> სისხლის </w:t>
      </w:r>
      <w:r w:rsidRPr="00FC5C72">
        <w:rPr>
          <w:sz w:val="24"/>
          <w:szCs w:val="24"/>
        </w:rPr>
        <w:t>პლაზმაში იზრდება თირკმ</w:t>
      </w:r>
      <w:r w:rsidR="004340FC" w:rsidRPr="00FC5C72">
        <w:rPr>
          <w:sz w:val="24"/>
          <w:szCs w:val="24"/>
        </w:rPr>
        <w:t>ელების ფუნქციის</w:t>
      </w:r>
      <w:r w:rsidRPr="00FC5C72">
        <w:rPr>
          <w:sz w:val="24"/>
          <w:szCs w:val="24"/>
        </w:rPr>
        <w:t xml:space="preserve"> მძიმე </w:t>
      </w:r>
      <w:r w:rsidR="004340FC" w:rsidRPr="00FC5C72">
        <w:rPr>
          <w:sz w:val="24"/>
          <w:szCs w:val="24"/>
        </w:rPr>
        <w:t>დარღვევის</w:t>
      </w:r>
      <w:r w:rsidRPr="00FC5C72">
        <w:rPr>
          <w:sz w:val="24"/>
          <w:szCs w:val="24"/>
        </w:rPr>
        <w:t xml:space="preserve"> მქონე პაციენტებში (კრეატინინის</w:t>
      </w:r>
      <w:r w:rsidR="004340FC" w:rsidRPr="00FC5C72">
        <w:rPr>
          <w:sz w:val="24"/>
          <w:szCs w:val="24"/>
        </w:rPr>
        <w:t xml:space="preserve"> </w:t>
      </w:r>
      <w:r w:rsidRPr="00FC5C72">
        <w:rPr>
          <w:sz w:val="24"/>
          <w:szCs w:val="24"/>
        </w:rPr>
        <w:t xml:space="preserve">კლირენსი 15-29 მლ/წთ), რამაც შეიძლება გამოიწვიოს სისხლდენის რისკის გაზრდა. </w:t>
      </w:r>
      <w:r w:rsidR="004340FC" w:rsidRPr="00FC5C72">
        <w:rPr>
          <w:sz w:val="24"/>
          <w:szCs w:val="24"/>
        </w:rPr>
        <w:t xml:space="preserve">ვთგ-ის </w:t>
      </w:r>
      <w:r w:rsidRPr="00FC5C72">
        <w:rPr>
          <w:sz w:val="24"/>
          <w:szCs w:val="24"/>
        </w:rPr>
        <w:t>პროფილაქტიკისთვის მენჯ</w:t>
      </w:r>
      <w:r w:rsidR="0012213A" w:rsidRPr="00FC5C72">
        <w:rPr>
          <w:sz w:val="24"/>
          <w:szCs w:val="24"/>
        </w:rPr>
        <w:t>-</w:t>
      </w:r>
      <w:r w:rsidRPr="00FC5C72">
        <w:rPr>
          <w:sz w:val="24"/>
          <w:szCs w:val="24"/>
        </w:rPr>
        <w:t xml:space="preserve">ბარძაყის ან მუხლის სახსრის გეგმიური </w:t>
      </w:r>
      <w:r w:rsidR="0012213A" w:rsidRPr="00FC5C72">
        <w:rPr>
          <w:sz w:val="24"/>
          <w:szCs w:val="24"/>
        </w:rPr>
        <w:t>ენდოპროთეზირების</w:t>
      </w:r>
      <w:r w:rsidRPr="00FC5C72">
        <w:rPr>
          <w:sz w:val="24"/>
          <w:szCs w:val="24"/>
        </w:rPr>
        <w:t xml:space="preserve"> დროს</w:t>
      </w:r>
      <w:r w:rsidR="00C768AF" w:rsidRPr="00FC5C72">
        <w:rPr>
          <w:sz w:val="24"/>
          <w:szCs w:val="24"/>
        </w:rPr>
        <w:t xml:space="preserve"> (ვთგ-ის პროფილაქტიკა)</w:t>
      </w:r>
      <w:r w:rsidRPr="00FC5C72">
        <w:rPr>
          <w:sz w:val="24"/>
          <w:szCs w:val="24"/>
        </w:rPr>
        <w:t>, ღვთ-</w:t>
      </w:r>
      <w:r w:rsidR="00C768AF" w:rsidRPr="00FC5C72">
        <w:rPr>
          <w:sz w:val="24"/>
          <w:szCs w:val="24"/>
        </w:rPr>
        <w:t>ი</w:t>
      </w:r>
      <w:r w:rsidRPr="00FC5C72">
        <w:rPr>
          <w:sz w:val="24"/>
          <w:szCs w:val="24"/>
        </w:rPr>
        <w:t>ს-მკურნალობის, ფათე-</w:t>
      </w:r>
      <w:r w:rsidR="00C768AF" w:rsidRPr="00FC5C72">
        <w:rPr>
          <w:sz w:val="24"/>
          <w:szCs w:val="24"/>
        </w:rPr>
        <w:t>ი</w:t>
      </w:r>
      <w:r w:rsidRPr="00FC5C72">
        <w:rPr>
          <w:sz w:val="24"/>
          <w:szCs w:val="24"/>
        </w:rPr>
        <w:t xml:space="preserve">ს მკურნალობისა და </w:t>
      </w:r>
      <w:r w:rsidR="00C768AF" w:rsidRPr="00FC5C72">
        <w:rPr>
          <w:sz w:val="24"/>
          <w:szCs w:val="24"/>
        </w:rPr>
        <w:t xml:space="preserve">მორეციდივე </w:t>
      </w:r>
      <w:r w:rsidRPr="00FC5C72">
        <w:rPr>
          <w:sz w:val="24"/>
          <w:szCs w:val="24"/>
        </w:rPr>
        <w:t>ღვთ-სა და ფათე-</w:t>
      </w:r>
      <w:r w:rsidR="00C768AF" w:rsidRPr="00FC5C72">
        <w:rPr>
          <w:sz w:val="24"/>
          <w:szCs w:val="24"/>
        </w:rPr>
        <w:t>ი</w:t>
      </w:r>
      <w:r w:rsidRPr="00FC5C72">
        <w:rPr>
          <w:sz w:val="24"/>
          <w:szCs w:val="24"/>
        </w:rPr>
        <w:t xml:space="preserve">ს </w:t>
      </w:r>
      <w:r w:rsidR="00C768AF" w:rsidRPr="00FC5C72">
        <w:rPr>
          <w:sz w:val="24"/>
          <w:szCs w:val="24"/>
        </w:rPr>
        <w:t xml:space="preserve"> </w:t>
      </w:r>
      <w:r w:rsidRPr="00FC5C72">
        <w:rPr>
          <w:sz w:val="24"/>
          <w:szCs w:val="24"/>
        </w:rPr>
        <w:t>პროფილაქტიკისთვის</w:t>
      </w:r>
      <w:r w:rsidR="00C768AF" w:rsidRPr="00FC5C72">
        <w:rPr>
          <w:sz w:val="24"/>
          <w:szCs w:val="24"/>
        </w:rPr>
        <w:t xml:space="preserve"> (ვთგ მკურნალობა)</w:t>
      </w:r>
      <w:r w:rsidRPr="00FC5C72">
        <w:rPr>
          <w:sz w:val="24"/>
          <w:szCs w:val="24"/>
        </w:rPr>
        <w:t xml:space="preserve"> აპიქსაბანი სიფრთხილით უნდა იქნას გამოყენებული პაციენტებში</w:t>
      </w:r>
      <w:r w:rsidR="00C768AF" w:rsidRPr="00FC5C72">
        <w:rPr>
          <w:sz w:val="24"/>
          <w:szCs w:val="24"/>
        </w:rPr>
        <w:t xml:space="preserve"> </w:t>
      </w:r>
      <w:r w:rsidRPr="00FC5C72">
        <w:rPr>
          <w:sz w:val="24"/>
          <w:szCs w:val="24"/>
        </w:rPr>
        <w:t>თირკმ</w:t>
      </w:r>
      <w:r w:rsidR="00C768AF" w:rsidRPr="00FC5C72">
        <w:rPr>
          <w:sz w:val="24"/>
          <w:szCs w:val="24"/>
        </w:rPr>
        <w:t xml:space="preserve">ელების ფუნქციის მძიმე დარღვევით </w:t>
      </w:r>
      <w:r w:rsidRPr="00FC5C72">
        <w:rPr>
          <w:sz w:val="24"/>
          <w:szCs w:val="24"/>
        </w:rPr>
        <w:t>(კრეატინინის კლირენსი 15-29 მლ/წთ).</w:t>
      </w:r>
    </w:p>
    <w:p w14:paraId="21205E9D" w14:textId="43492226" w:rsidR="00C768AF" w:rsidRPr="00FC5C72" w:rsidRDefault="002254EE" w:rsidP="00785B18">
      <w:pPr>
        <w:spacing w:after="0" w:line="240" w:lineRule="auto"/>
        <w:jc w:val="both"/>
        <w:rPr>
          <w:sz w:val="24"/>
          <w:szCs w:val="24"/>
        </w:rPr>
      </w:pPr>
      <w:r w:rsidRPr="00FC5C72">
        <w:rPr>
          <w:sz w:val="24"/>
          <w:szCs w:val="24"/>
        </w:rPr>
        <w:t>ინსულტისა და სისტემური ემბოლიის პროფილაქტიკისთვის წასფ-ი</w:t>
      </w:r>
      <w:r w:rsidR="00C768AF" w:rsidRPr="00FC5C72">
        <w:rPr>
          <w:sz w:val="24"/>
          <w:szCs w:val="24"/>
        </w:rPr>
        <w:t xml:space="preserve">ს მქონე პაციენტებმა </w:t>
      </w:r>
      <w:r w:rsidRPr="00FC5C72">
        <w:rPr>
          <w:sz w:val="24"/>
          <w:szCs w:val="24"/>
        </w:rPr>
        <w:t xml:space="preserve">თირკმელების </w:t>
      </w:r>
      <w:r w:rsidR="00C768AF" w:rsidRPr="00FC5C72">
        <w:rPr>
          <w:sz w:val="24"/>
          <w:szCs w:val="24"/>
        </w:rPr>
        <w:t>ფუნქციის მძიმე დარღვევით</w:t>
      </w:r>
      <w:r w:rsidRPr="00FC5C72">
        <w:rPr>
          <w:sz w:val="24"/>
          <w:szCs w:val="24"/>
        </w:rPr>
        <w:t xml:space="preserve"> (კრეატინინის კლირენსი 15-29 მლ/წთ) და</w:t>
      </w:r>
      <w:r w:rsidR="00C768AF" w:rsidRPr="00FC5C72">
        <w:rPr>
          <w:sz w:val="24"/>
          <w:szCs w:val="24"/>
        </w:rPr>
        <w:t xml:space="preserve"> </w:t>
      </w:r>
      <w:r w:rsidRPr="00FC5C72">
        <w:rPr>
          <w:sz w:val="24"/>
          <w:szCs w:val="24"/>
        </w:rPr>
        <w:t>პაციენტებმა სისხლის შრატში კრეატინინის დონით ≥1.5 მგ/ დლ (133 მ</w:t>
      </w:r>
      <w:r w:rsidR="00C768AF" w:rsidRPr="00FC5C72">
        <w:rPr>
          <w:sz w:val="24"/>
          <w:szCs w:val="24"/>
        </w:rPr>
        <w:t>კ</w:t>
      </w:r>
      <w:r w:rsidRPr="00FC5C72">
        <w:rPr>
          <w:sz w:val="24"/>
          <w:szCs w:val="24"/>
        </w:rPr>
        <w:t>მოლი/ლ) ასაკით</w:t>
      </w:r>
      <w:r w:rsidR="00C768AF" w:rsidRPr="00FC5C72">
        <w:rPr>
          <w:sz w:val="24"/>
          <w:szCs w:val="24"/>
        </w:rPr>
        <w:t xml:space="preserve"> </w:t>
      </w:r>
      <w:r w:rsidRPr="00FC5C72">
        <w:rPr>
          <w:sz w:val="24"/>
          <w:szCs w:val="24"/>
        </w:rPr>
        <w:t>≥80 წელზე ან სხეულის მასით ≤60 კგ უნდა მიიღონ აპიქსაბანის უფრო დაბალი დოზა - 2.5მგ ორჯერ დღე-ღამეში</w:t>
      </w:r>
      <w:r w:rsidR="0073097B" w:rsidRPr="00FC5C72">
        <w:rPr>
          <w:sz w:val="24"/>
          <w:szCs w:val="24"/>
        </w:rPr>
        <w:t xml:space="preserve"> (იხ. პარაგრაფი „გამოყენების წესი და დოზები“)</w:t>
      </w:r>
      <w:r w:rsidRPr="00FC5C72">
        <w:rPr>
          <w:sz w:val="24"/>
          <w:szCs w:val="24"/>
        </w:rPr>
        <w:t xml:space="preserve">. </w:t>
      </w:r>
    </w:p>
    <w:p w14:paraId="4928C5EC" w14:textId="060EF7F8" w:rsidR="00C768AF" w:rsidRPr="00FC5C72" w:rsidRDefault="002254EE" w:rsidP="00785B18">
      <w:pPr>
        <w:spacing w:after="0" w:line="240" w:lineRule="auto"/>
        <w:jc w:val="both"/>
        <w:rPr>
          <w:sz w:val="24"/>
          <w:szCs w:val="24"/>
        </w:rPr>
      </w:pPr>
      <w:r w:rsidRPr="00FC5C72">
        <w:rPr>
          <w:sz w:val="24"/>
          <w:szCs w:val="24"/>
        </w:rPr>
        <w:t xml:space="preserve">პაციენტებში კრეატინინის კლირენსით </w:t>
      </w:r>
      <w:r w:rsidR="00C768AF" w:rsidRPr="00FC5C72">
        <w:rPr>
          <w:sz w:val="24"/>
          <w:szCs w:val="24"/>
        </w:rPr>
        <w:t>&lt;15 მლ/წთ ან დიალიზზე მყოფ პაციენტებში</w:t>
      </w:r>
      <w:r w:rsidR="006362E4" w:rsidRPr="00FC5C72">
        <w:rPr>
          <w:sz w:val="24"/>
          <w:szCs w:val="24"/>
        </w:rPr>
        <w:t xml:space="preserve"> აპიქსაბანის კლინიკური გამოყენების</w:t>
      </w:r>
      <w:r w:rsidR="00396104" w:rsidRPr="00FC5C72">
        <w:rPr>
          <w:sz w:val="24"/>
          <w:szCs w:val="24"/>
        </w:rPr>
        <w:t xml:space="preserve"> გამოცდილების</w:t>
      </w:r>
      <w:r w:rsidR="006362E4" w:rsidRPr="00FC5C72">
        <w:rPr>
          <w:sz w:val="24"/>
          <w:szCs w:val="24"/>
        </w:rPr>
        <w:t xml:space="preserve"> არარსებობის გამო, ამ ჯგუფში პრეპარატის გამოყენება რეკომენდებული არ არის</w:t>
      </w:r>
      <w:r w:rsidR="0073097B" w:rsidRPr="00FC5C72">
        <w:rPr>
          <w:sz w:val="24"/>
          <w:szCs w:val="24"/>
        </w:rPr>
        <w:t xml:space="preserve"> (იხ. პარაგრაფები „გამოყენების წესი და დოზები“ და „ფარმაკოკინეტიკა“)</w:t>
      </w:r>
      <w:r w:rsidR="006362E4" w:rsidRPr="00FC5C72">
        <w:rPr>
          <w:sz w:val="24"/>
          <w:szCs w:val="24"/>
        </w:rPr>
        <w:t>.</w:t>
      </w:r>
    </w:p>
    <w:p w14:paraId="789A0C3C" w14:textId="5FA413A2" w:rsidR="006362E4" w:rsidRPr="00FC5C72" w:rsidRDefault="006362E4" w:rsidP="00785B18">
      <w:pPr>
        <w:spacing w:after="0" w:line="240" w:lineRule="auto"/>
        <w:jc w:val="both"/>
        <w:rPr>
          <w:i/>
          <w:iCs/>
          <w:sz w:val="24"/>
          <w:szCs w:val="24"/>
        </w:rPr>
      </w:pPr>
      <w:r w:rsidRPr="00FC5C72">
        <w:rPr>
          <w:i/>
          <w:iCs/>
          <w:sz w:val="24"/>
          <w:szCs w:val="24"/>
        </w:rPr>
        <w:t>სხეულის მასა</w:t>
      </w:r>
    </w:p>
    <w:p w14:paraId="34920D03" w14:textId="19681966" w:rsidR="006362E4" w:rsidRPr="00FC5C72" w:rsidRDefault="0073097B" w:rsidP="00785B18">
      <w:pPr>
        <w:spacing w:after="0" w:line="240" w:lineRule="auto"/>
        <w:jc w:val="both"/>
        <w:rPr>
          <w:sz w:val="24"/>
          <w:szCs w:val="24"/>
        </w:rPr>
      </w:pPr>
      <w:r w:rsidRPr="00FC5C72">
        <w:rPr>
          <w:sz w:val="24"/>
          <w:szCs w:val="24"/>
        </w:rPr>
        <w:t xml:space="preserve">მოზრდილებში </w:t>
      </w:r>
      <w:r w:rsidR="006362E4" w:rsidRPr="00FC5C72">
        <w:rPr>
          <w:sz w:val="24"/>
          <w:szCs w:val="24"/>
        </w:rPr>
        <w:t>სხეულის დაბალი მასის შემთხვევაში (&lt;60 კგ) სისხლდენის რისკი შეიძლება გაიზარდოს</w:t>
      </w:r>
      <w:r w:rsidRPr="00FC5C72">
        <w:rPr>
          <w:sz w:val="24"/>
          <w:szCs w:val="24"/>
        </w:rPr>
        <w:t xml:space="preserve"> (იხ. პარაგრაფი „ფარმაკოკინეტიკა“)</w:t>
      </w:r>
      <w:r w:rsidR="006362E4" w:rsidRPr="00FC5C72">
        <w:rPr>
          <w:sz w:val="24"/>
          <w:szCs w:val="24"/>
        </w:rPr>
        <w:t xml:space="preserve">. </w:t>
      </w:r>
    </w:p>
    <w:p w14:paraId="0D5F5A24" w14:textId="77777777" w:rsidR="0073097B" w:rsidRPr="00FC5C72" w:rsidRDefault="0073097B" w:rsidP="00785B18">
      <w:pPr>
        <w:spacing w:after="0" w:line="240" w:lineRule="auto"/>
        <w:jc w:val="both"/>
        <w:rPr>
          <w:sz w:val="24"/>
          <w:szCs w:val="24"/>
        </w:rPr>
      </w:pPr>
    </w:p>
    <w:p w14:paraId="6F046C02" w14:textId="6970A5B1" w:rsidR="006362E4" w:rsidRPr="00FC5C72" w:rsidRDefault="009F1A36" w:rsidP="00785B18">
      <w:pPr>
        <w:spacing w:after="0" w:line="240" w:lineRule="auto"/>
        <w:jc w:val="both"/>
        <w:rPr>
          <w:i/>
          <w:iCs/>
          <w:sz w:val="24"/>
          <w:szCs w:val="24"/>
          <w:u w:val="single"/>
        </w:rPr>
      </w:pPr>
      <w:r w:rsidRPr="00FC5C72">
        <w:rPr>
          <w:i/>
          <w:iCs/>
          <w:sz w:val="24"/>
          <w:szCs w:val="24"/>
          <w:u w:val="single"/>
        </w:rPr>
        <w:t>ღვიძლის ფუნქციის დარღვევის მქონე პაციენტები</w:t>
      </w:r>
    </w:p>
    <w:p w14:paraId="4FDDA84E" w14:textId="77777777" w:rsidR="0073097B" w:rsidRPr="00FC5C72" w:rsidRDefault="0073097B" w:rsidP="00785B18">
      <w:pPr>
        <w:spacing w:after="0" w:line="240" w:lineRule="auto"/>
        <w:jc w:val="both"/>
        <w:rPr>
          <w:sz w:val="24"/>
          <w:szCs w:val="24"/>
        </w:rPr>
      </w:pPr>
      <w:r w:rsidRPr="00FC5C72">
        <w:rPr>
          <w:sz w:val="24"/>
          <w:szCs w:val="24"/>
        </w:rPr>
        <w:t>ღვიძლის ფუნქციის დარღვევის მქონე ბავშვთა ასაკის პაციენტების პოპულაციაში აპიქსაბანის გამოყენება შესწავლილი არ არის.</w:t>
      </w:r>
    </w:p>
    <w:p w14:paraId="2FA0BC23" w14:textId="49A32B15" w:rsidR="009F1A36" w:rsidRPr="00FC5C72" w:rsidRDefault="009F1A36" w:rsidP="00785B18">
      <w:pPr>
        <w:spacing w:after="0" w:line="240" w:lineRule="auto"/>
        <w:jc w:val="both"/>
        <w:rPr>
          <w:sz w:val="24"/>
          <w:szCs w:val="24"/>
        </w:rPr>
      </w:pPr>
      <w:r w:rsidRPr="00FC5C72">
        <w:rPr>
          <w:sz w:val="24"/>
          <w:szCs w:val="24"/>
        </w:rPr>
        <w:t>აპიქსაბანი უკუნაჩვენებია პაციენტებისთვის ღვიძლის დაავადებით კოაგულოპათიის და სისხლდენის განვითარების კლინიკურად მნიშვნელოვანი რისკის თანხლებით (იხ. პარაგრაფი “უკუჩვენება“).</w:t>
      </w:r>
    </w:p>
    <w:p w14:paraId="24864E30" w14:textId="4DC43D65" w:rsidR="0073097B" w:rsidRPr="00FC5C72" w:rsidRDefault="009F1A36" w:rsidP="00785B18">
      <w:pPr>
        <w:spacing w:after="0" w:line="240" w:lineRule="auto"/>
        <w:jc w:val="both"/>
        <w:rPr>
          <w:sz w:val="24"/>
          <w:szCs w:val="24"/>
        </w:rPr>
      </w:pPr>
      <w:r w:rsidRPr="00FC5C72">
        <w:rPr>
          <w:sz w:val="24"/>
          <w:szCs w:val="24"/>
        </w:rPr>
        <w:t>პრეპარატის მიღება არ არის რეკომენდებული ღვიძლის ფუნქციის მძიმე დარღვევის მქონე პაციენტებისთვის (იხ. პ</w:t>
      </w:r>
      <w:r w:rsidR="002760F2" w:rsidRPr="00FC5C72">
        <w:rPr>
          <w:sz w:val="24"/>
          <w:szCs w:val="24"/>
        </w:rPr>
        <w:t>არაგრაფი “ფარმაკოკინეტიკა“</w:t>
      </w:r>
      <w:r w:rsidRPr="00FC5C72">
        <w:rPr>
          <w:sz w:val="24"/>
          <w:szCs w:val="24"/>
        </w:rPr>
        <w:t>)</w:t>
      </w:r>
      <w:r w:rsidR="002760F2" w:rsidRPr="00FC5C72">
        <w:rPr>
          <w:sz w:val="24"/>
          <w:szCs w:val="24"/>
        </w:rPr>
        <w:t>. პრეპარატი სიფრთხილის ზომების დაცვით გამოიყენება პაციენტებში ღვიძლის ფუნქციის მსუბუქი ან ზომიერი დარღვევით (A ან B კლასი ჩაილდ-პიუს კლასიფიკაციით)</w:t>
      </w:r>
      <w:r w:rsidR="003A5FB9" w:rsidRPr="00FC5C72">
        <w:rPr>
          <w:sz w:val="24"/>
          <w:szCs w:val="24"/>
        </w:rPr>
        <w:t>,</w:t>
      </w:r>
      <w:r w:rsidR="0073097B" w:rsidRPr="00FC5C72">
        <w:rPr>
          <w:sz w:val="24"/>
          <w:szCs w:val="24"/>
        </w:rPr>
        <w:t xml:space="preserve"> იხ. პარაგრაფები „გამოყენების წესი და დოზები“ და „ფარმაკოკინეტიკა“.</w:t>
      </w:r>
    </w:p>
    <w:p w14:paraId="56FD2DB5" w14:textId="2F7971CE" w:rsidR="002760F2" w:rsidRPr="00FC5C72" w:rsidRDefault="002760F2" w:rsidP="00785B18">
      <w:pPr>
        <w:spacing w:after="0" w:line="240" w:lineRule="auto"/>
        <w:jc w:val="both"/>
        <w:rPr>
          <w:sz w:val="24"/>
          <w:szCs w:val="24"/>
        </w:rPr>
      </w:pPr>
      <w:r w:rsidRPr="00FC5C72">
        <w:rPr>
          <w:sz w:val="24"/>
          <w:szCs w:val="24"/>
        </w:rPr>
        <w:t xml:space="preserve"> </w:t>
      </w:r>
    </w:p>
    <w:p w14:paraId="5CB377AF" w14:textId="069EFBD4" w:rsidR="00AB5F81" w:rsidRPr="00FC5C72" w:rsidRDefault="002760F2" w:rsidP="00785B18">
      <w:pPr>
        <w:spacing w:after="0" w:line="240" w:lineRule="auto"/>
        <w:jc w:val="both"/>
        <w:rPr>
          <w:sz w:val="24"/>
          <w:szCs w:val="24"/>
        </w:rPr>
      </w:pPr>
      <w:r w:rsidRPr="00FC5C72">
        <w:rPr>
          <w:sz w:val="24"/>
          <w:szCs w:val="24"/>
        </w:rPr>
        <w:t>პაციენტები ღვიძლის ფერმენტების მომატებული აქტივობით</w:t>
      </w:r>
      <w:r w:rsidR="009F1A36" w:rsidRPr="00FC5C72">
        <w:rPr>
          <w:sz w:val="24"/>
          <w:szCs w:val="24"/>
        </w:rPr>
        <w:t xml:space="preserve"> </w:t>
      </w:r>
      <w:r w:rsidRPr="00FC5C72">
        <w:rPr>
          <w:sz w:val="24"/>
          <w:szCs w:val="24"/>
        </w:rPr>
        <w:t xml:space="preserve">(ალტ/ასტ დონე ნორმის ზედა ზღვარზე 2-ჯერ მაღალი) ან საერთო ბილირუბინით ნორმის ზედა ზღვარზე ≥1.5-ჯერ მაღალი გაირიცხნენ კლინიკური კვლევებიდან. ამასთან დაკავშირებით, </w:t>
      </w:r>
      <w:r w:rsidR="00AB5F81" w:rsidRPr="00FC5C72">
        <w:rPr>
          <w:sz w:val="24"/>
          <w:szCs w:val="24"/>
        </w:rPr>
        <w:t xml:space="preserve">პაციენტების ამ ჯგუფში აპიქსაბანი სიფრთხილით უნდა იქნას გამოყენებული (იხ. პარაგრაფი “ფარმაკოკინეტიკა“). აპიქსაბანის მიღების დაწყებამდე უნდა </w:t>
      </w:r>
      <w:r w:rsidR="0073097B" w:rsidRPr="00FC5C72">
        <w:rPr>
          <w:sz w:val="24"/>
          <w:szCs w:val="24"/>
        </w:rPr>
        <w:t>ჩატარდეს</w:t>
      </w:r>
      <w:r w:rsidR="00AB5F81" w:rsidRPr="00FC5C72">
        <w:rPr>
          <w:sz w:val="24"/>
          <w:szCs w:val="24"/>
        </w:rPr>
        <w:t xml:space="preserve"> ღვიძლის ფუნქცი</w:t>
      </w:r>
      <w:r w:rsidR="0073097B" w:rsidRPr="00FC5C72">
        <w:rPr>
          <w:sz w:val="24"/>
          <w:szCs w:val="24"/>
        </w:rPr>
        <w:t xml:space="preserve">ის </w:t>
      </w:r>
      <w:r w:rsidR="00862639" w:rsidRPr="00FC5C72">
        <w:rPr>
          <w:sz w:val="24"/>
          <w:szCs w:val="24"/>
        </w:rPr>
        <w:t>გამო</w:t>
      </w:r>
      <w:r w:rsidR="0073097B" w:rsidRPr="00FC5C72">
        <w:rPr>
          <w:sz w:val="24"/>
          <w:szCs w:val="24"/>
        </w:rPr>
        <w:t>კვლევა</w:t>
      </w:r>
      <w:r w:rsidR="00AB5F81" w:rsidRPr="00FC5C72">
        <w:rPr>
          <w:sz w:val="24"/>
          <w:szCs w:val="24"/>
        </w:rPr>
        <w:t>.</w:t>
      </w:r>
    </w:p>
    <w:p w14:paraId="3B83EB36" w14:textId="77777777" w:rsidR="0073097B" w:rsidRPr="00FC5C72" w:rsidRDefault="0073097B" w:rsidP="00785B18">
      <w:pPr>
        <w:spacing w:after="0" w:line="240" w:lineRule="auto"/>
        <w:jc w:val="both"/>
        <w:rPr>
          <w:sz w:val="24"/>
          <w:szCs w:val="24"/>
        </w:rPr>
      </w:pPr>
    </w:p>
    <w:p w14:paraId="0F3635D9" w14:textId="0EE6180E" w:rsidR="00AB5F81" w:rsidRPr="00FC5C72" w:rsidRDefault="002254EE" w:rsidP="00785B18">
      <w:pPr>
        <w:spacing w:after="0" w:line="240" w:lineRule="auto"/>
        <w:jc w:val="both"/>
        <w:rPr>
          <w:i/>
          <w:iCs/>
          <w:sz w:val="24"/>
          <w:szCs w:val="24"/>
          <w:u w:val="single"/>
        </w:rPr>
      </w:pPr>
      <w:r w:rsidRPr="00FC5C72">
        <w:rPr>
          <w:i/>
          <w:iCs/>
          <w:sz w:val="24"/>
          <w:szCs w:val="24"/>
          <w:u w:val="single"/>
        </w:rPr>
        <w:t>ურთიერთქმედება ციტოქრომ P 450 3A4 (CYP3A4) და P-გლიკოპროტეინ</w:t>
      </w:r>
      <w:r w:rsidR="00AB5F81" w:rsidRPr="00FC5C72">
        <w:rPr>
          <w:i/>
          <w:iCs/>
          <w:sz w:val="24"/>
          <w:szCs w:val="24"/>
          <w:u w:val="single"/>
        </w:rPr>
        <w:t>ის</w:t>
      </w:r>
      <w:r w:rsidRPr="00FC5C72">
        <w:rPr>
          <w:i/>
          <w:iCs/>
          <w:sz w:val="24"/>
          <w:szCs w:val="24"/>
          <w:u w:val="single"/>
        </w:rPr>
        <w:t xml:space="preserve"> (P-gp)</w:t>
      </w:r>
      <w:r w:rsidR="00AB5F81" w:rsidRPr="00FC5C72">
        <w:rPr>
          <w:i/>
          <w:iCs/>
          <w:sz w:val="24"/>
          <w:szCs w:val="24"/>
          <w:u w:val="single"/>
        </w:rPr>
        <w:t xml:space="preserve"> </w:t>
      </w:r>
      <w:r w:rsidRPr="00FC5C72">
        <w:rPr>
          <w:i/>
          <w:iCs/>
          <w:sz w:val="24"/>
          <w:szCs w:val="24"/>
          <w:u w:val="single"/>
        </w:rPr>
        <w:t xml:space="preserve"> ინჰიბიტორებთან </w:t>
      </w:r>
      <w:r w:rsidR="00A33ACE" w:rsidRPr="00FC5C72">
        <w:rPr>
          <w:i/>
          <w:iCs/>
          <w:sz w:val="24"/>
          <w:szCs w:val="24"/>
          <w:u w:val="single"/>
        </w:rPr>
        <w:t xml:space="preserve"> </w:t>
      </w:r>
    </w:p>
    <w:p w14:paraId="69AF9029" w14:textId="24146A10" w:rsidR="00862639" w:rsidRPr="00FC5C72" w:rsidRDefault="0080185D" w:rsidP="00785B18">
      <w:pPr>
        <w:spacing w:after="0" w:line="240" w:lineRule="auto"/>
        <w:jc w:val="both"/>
        <w:rPr>
          <w:rFonts w:eastAsia="Times New Roman"/>
          <w:iCs/>
          <w:sz w:val="24"/>
          <w:szCs w:val="24"/>
          <w:lang w:eastAsia="ru-RU"/>
        </w:rPr>
      </w:pPr>
      <w:r w:rsidRPr="00FC5C72">
        <w:rPr>
          <w:sz w:val="24"/>
          <w:szCs w:val="24"/>
        </w:rPr>
        <w:t xml:space="preserve">ბავშვთა ასაკის პაციენტებში, რომლებიც ერთდროულად იღებენ სისტემურ მკურნალობას </w:t>
      </w:r>
      <w:r w:rsidRPr="00FC5C72">
        <w:rPr>
          <w:rFonts w:ascii="Times New Roman" w:eastAsia="Times New Roman" w:hAnsi="Times New Roman"/>
          <w:iCs/>
          <w:sz w:val="24"/>
          <w:szCs w:val="24"/>
          <w:lang w:val="uz-Cyrl-UZ" w:eastAsia="ru-RU"/>
        </w:rPr>
        <w:t xml:space="preserve">CYP3A4 </w:t>
      </w:r>
      <w:r w:rsidRPr="00FC5C72">
        <w:rPr>
          <w:rFonts w:ascii="Sylfaen" w:eastAsia="Times New Roman" w:hAnsi="Sylfaen"/>
          <w:iCs/>
          <w:sz w:val="24"/>
          <w:szCs w:val="24"/>
          <w:lang w:eastAsia="ru-RU"/>
        </w:rPr>
        <w:t>და</w:t>
      </w:r>
      <w:r w:rsidRPr="00FC5C72">
        <w:rPr>
          <w:rFonts w:ascii="Times New Roman" w:eastAsia="Times New Roman" w:hAnsi="Times New Roman"/>
          <w:iCs/>
          <w:sz w:val="24"/>
          <w:szCs w:val="24"/>
          <w:lang w:val="uz-Cyrl-UZ" w:eastAsia="ru-RU"/>
        </w:rPr>
        <w:t xml:space="preserve"> P-gp</w:t>
      </w:r>
      <w:r w:rsidRPr="00FC5C72">
        <w:rPr>
          <w:rFonts w:eastAsia="Times New Roman"/>
          <w:iCs/>
          <w:sz w:val="24"/>
          <w:szCs w:val="24"/>
          <w:lang w:eastAsia="ru-RU"/>
        </w:rPr>
        <w:t>-ის მძლავრ</w:t>
      </w:r>
      <w:r w:rsidR="002C69EC" w:rsidRPr="00FC5C72">
        <w:rPr>
          <w:rFonts w:eastAsia="Times New Roman"/>
          <w:iCs/>
          <w:sz w:val="24"/>
          <w:szCs w:val="24"/>
          <w:lang w:eastAsia="ru-RU"/>
        </w:rPr>
        <w:t>ი</w:t>
      </w:r>
      <w:r w:rsidRPr="00FC5C72">
        <w:rPr>
          <w:rFonts w:eastAsia="Times New Roman"/>
          <w:iCs/>
          <w:sz w:val="24"/>
          <w:szCs w:val="24"/>
          <w:lang w:eastAsia="ru-RU"/>
        </w:rPr>
        <w:t xml:space="preserve"> ინჰიბიტორებ</w:t>
      </w:r>
      <w:r w:rsidR="002C69EC" w:rsidRPr="00FC5C72">
        <w:rPr>
          <w:rFonts w:eastAsia="Times New Roman"/>
          <w:iCs/>
          <w:sz w:val="24"/>
          <w:szCs w:val="24"/>
          <w:lang w:eastAsia="ru-RU"/>
        </w:rPr>
        <w:t>ით</w:t>
      </w:r>
      <w:r w:rsidRPr="00FC5C72">
        <w:rPr>
          <w:rFonts w:eastAsia="Times New Roman"/>
          <w:iCs/>
          <w:sz w:val="24"/>
          <w:szCs w:val="24"/>
          <w:lang w:eastAsia="ru-RU"/>
        </w:rPr>
        <w:t xml:space="preserve">, კლინიკური მონაცემები არ არსებობს (იხ. პარაგრაფი „სამკურნალწამლო ურთიერთქმედება“). </w:t>
      </w:r>
    </w:p>
    <w:p w14:paraId="4EF90548" w14:textId="77777777" w:rsidR="00862639" w:rsidRPr="00FC5C72" w:rsidRDefault="00862639" w:rsidP="00785B18">
      <w:pPr>
        <w:spacing w:after="0" w:line="240" w:lineRule="auto"/>
        <w:jc w:val="both"/>
        <w:rPr>
          <w:sz w:val="24"/>
          <w:szCs w:val="24"/>
        </w:rPr>
      </w:pPr>
    </w:p>
    <w:p w14:paraId="739D16FA" w14:textId="49284177" w:rsidR="00474BC9" w:rsidRPr="00FC5C72" w:rsidRDefault="002254EE" w:rsidP="00785B18">
      <w:pPr>
        <w:spacing w:after="0" w:line="240" w:lineRule="auto"/>
        <w:jc w:val="both"/>
        <w:rPr>
          <w:sz w:val="24"/>
          <w:szCs w:val="24"/>
        </w:rPr>
      </w:pPr>
      <w:r w:rsidRPr="00FC5C72">
        <w:rPr>
          <w:sz w:val="24"/>
          <w:szCs w:val="24"/>
        </w:rPr>
        <w:t xml:space="preserve">აპიქსაბანის გამოყენება არ არის რეკომენდებული პაციენტებში, რომლებიც </w:t>
      </w:r>
      <w:r w:rsidR="00A33ACE" w:rsidRPr="00FC5C72">
        <w:rPr>
          <w:sz w:val="24"/>
          <w:szCs w:val="24"/>
        </w:rPr>
        <w:t xml:space="preserve">ერთდროულად </w:t>
      </w:r>
      <w:r w:rsidRPr="00FC5C72">
        <w:rPr>
          <w:sz w:val="24"/>
          <w:szCs w:val="24"/>
        </w:rPr>
        <w:t>იღებენ</w:t>
      </w:r>
      <w:r w:rsidR="00A33ACE" w:rsidRPr="00FC5C72">
        <w:rPr>
          <w:sz w:val="24"/>
          <w:szCs w:val="24"/>
        </w:rPr>
        <w:t xml:space="preserve"> </w:t>
      </w:r>
      <w:r w:rsidRPr="00FC5C72">
        <w:rPr>
          <w:sz w:val="24"/>
          <w:szCs w:val="24"/>
        </w:rPr>
        <w:t>სისტემურ თერაპიას CYP3A4-</w:t>
      </w:r>
      <w:r w:rsidR="00A33ACE" w:rsidRPr="00FC5C72">
        <w:rPr>
          <w:sz w:val="24"/>
          <w:szCs w:val="24"/>
        </w:rPr>
        <w:t>ი</w:t>
      </w:r>
      <w:r w:rsidRPr="00FC5C72">
        <w:rPr>
          <w:sz w:val="24"/>
          <w:szCs w:val="24"/>
        </w:rPr>
        <w:t>ს და P-gp-</w:t>
      </w:r>
      <w:r w:rsidR="00A33ACE" w:rsidRPr="00FC5C72">
        <w:rPr>
          <w:sz w:val="24"/>
          <w:szCs w:val="24"/>
        </w:rPr>
        <w:t>ი</w:t>
      </w:r>
      <w:r w:rsidRPr="00FC5C72">
        <w:rPr>
          <w:sz w:val="24"/>
          <w:szCs w:val="24"/>
        </w:rPr>
        <w:t xml:space="preserve">ს </w:t>
      </w:r>
      <w:r w:rsidR="00A33ACE" w:rsidRPr="00FC5C72">
        <w:rPr>
          <w:sz w:val="24"/>
          <w:szCs w:val="24"/>
        </w:rPr>
        <w:t xml:space="preserve">ისეთი </w:t>
      </w:r>
      <w:r w:rsidRPr="00FC5C72">
        <w:rPr>
          <w:sz w:val="24"/>
          <w:szCs w:val="24"/>
        </w:rPr>
        <w:t>ძლიერ</w:t>
      </w:r>
      <w:r w:rsidR="00A33ACE" w:rsidRPr="00FC5C72">
        <w:rPr>
          <w:sz w:val="24"/>
          <w:szCs w:val="24"/>
        </w:rPr>
        <w:t>ი</w:t>
      </w:r>
      <w:r w:rsidRPr="00FC5C72">
        <w:rPr>
          <w:sz w:val="24"/>
          <w:szCs w:val="24"/>
        </w:rPr>
        <w:t xml:space="preserve"> ინჰიბიტორებით, როგორიცაა აზოლური სოკოს საწინააღმდეგო საშუალებები</w:t>
      </w:r>
      <w:r w:rsidR="00A33ACE" w:rsidRPr="00FC5C72">
        <w:rPr>
          <w:sz w:val="24"/>
          <w:szCs w:val="24"/>
        </w:rPr>
        <w:t xml:space="preserve"> </w:t>
      </w:r>
      <w:r w:rsidRPr="00FC5C72">
        <w:rPr>
          <w:sz w:val="24"/>
          <w:szCs w:val="24"/>
        </w:rPr>
        <w:t>(მაგალითად, კეტოკონაზოლი, იტრაკონაზოლი, ვორიკონაზოლი და პოზაკონაზოლი) და</w:t>
      </w:r>
      <w:r w:rsidR="00A33ACE" w:rsidRPr="00FC5C72">
        <w:rPr>
          <w:sz w:val="24"/>
          <w:szCs w:val="24"/>
        </w:rPr>
        <w:t xml:space="preserve"> </w:t>
      </w:r>
      <w:r w:rsidRPr="00FC5C72">
        <w:rPr>
          <w:sz w:val="24"/>
          <w:szCs w:val="24"/>
        </w:rPr>
        <w:t>აივ პროტეაზას ინჰიბიტორები (მაგალითად, რი</w:t>
      </w:r>
      <w:r w:rsidR="003A5FB9" w:rsidRPr="00FC5C72">
        <w:rPr>
          <w:sz w:val="24"/>
          <w:szCs w:val="24"/>
        </w:rPr>
        <w:t>ტონ</w:t>
      </w:r>
      <w:r w:rsidRPr="00FC5C72">
        <w:rPr>
          <w:sz w:val="24"/>
          <w:szCs w:val="24"/>
        </w:rPr>
        <w:t xml:space="preserve">ავირი). ამ სამკურნალო საშუალებებმა შეიძლება </w:t>
      </w:r>
      <w:r w:rsidR="00B21F98" w:rsidRPr="00FC5C72">
        <w:rPr>
          <w:sz w:val="24"/>
          <w:szCs w:val="24"/>
        </w:rPr>
        <w:t xml:space="preserve">2-ჯერ ან მეტით </w:t>
      </w:r>
      <w:r w:rsidRPr="00FC5C72">
        <w:rPr>
          <w:sz w:val="24"/>
          <w:szCs w:val="24"/>
        </w:rPr>
        <w:t>გააძლიერო</w:t>
      </w:r>
      <w:r w:rsidR="00B21F98" w:rsidRPr="00FC5C72">
        <w:rPr>
          <w:sz w:val="24"/>
          <w:szCs w:val="24"/>
        </w:rPr>
        <w:t>ს</w:t>
      </w:r>
      <w:r w:rsidRPr="00FC5C72">
        <w:rPr>
          <w:sz w:val="24"/>
          <w:szCs w:val="24"/>
        </w:rPr>
        <w:t xml:space="preserve"> აპიქსაბანის </w:t>
      </w:r>
      <w:r w:rsidR="002C69EC" w:rsidRPr="00FC5C72">
        <w:rPr>
          <w:sz w:val="24"/>
          <w:szCs w:val="24"/>
        </w:rPr>
        <w:t>ზემოქმედება (იხ. პარაგრაფი „სამკურნალწამლო ურთიერთქმედება“)</w:t>
      </w:r>
      <w:r w:rsidR="00B21F98" w:rsidRPr="00FC5C72">
        <w:rPr>
          <w:sz w:val="24"/>
          <w:szCs w:val="24"/>
        </w:rPr>
        <w:t xml:space="preserve"> </w:t>
      </w:r>
      <w:r w:rsidRPr="00FC5C72">
        <w:rPr>
          <w:sz w:val="24"/>
          <w:szCs w:val="24"/>
        </w:rPr>
        <w:t xml:space="preserve">დამატებითი ფაქტორების არსებობისას, რომლებიც </w:t>
      </w:r>
      <w:r w:rsidR="00B21F98" w:rsidRPr="00FC5C72">
        <w:rPr>
          <w:sz w:val="24"/>
          <w:szCs w:val="24"/>
        </w:rPr>
        <w:t xml:space="preserve">ასევე </w:t>
      </w:r>
      <w:r w:rsidRPr="00FC5C72">
        <w:rPr>
          <w:sz w:val="24"/>
          <w:szCs w:val="24"/>
        </w:rPr>
        <w:t>ზრდიან აპიქსაბანის</w:t>
      </w:r>
      <w:r w:rsidR="006913DE" w:rsidRPr="00FC5C72">
        <w:rPr>
          <w:sz w:val="24"/>
          <w:szCs w:val="24"/>
        </w:rPr>
        <w:t xml:space="preserve"> </w:t>
      </w:r>
      <w:r w:rsidR="003A5FB9" w:rsidRPr="00FC5C72">
        <w:rPr>
          <w:sz w:val="24"/>
          <w:szCs w:val="24"/>
        </w:rPr>
        <w:t>ზემოქმედებას</w:t>
      </w:r>
      <w:r w:rsidRPr="00FC5C72">
        <w:rPr>
          <w:sz w:val="24"/>
          <w:szCs w:val="24"/>
        </w:rPr>
        <w:t xml:space="preserve"> (მაგალითად, თირკმ</w:t>
      </w:r>
      <w:r w:rsidR="006913DE" w:rsidRPr="00FC5C72">
        <w:rPr>
          <w:sz w:val="24"/>
          <w:szCs w:val="24"/>
        </w:rPr>
        <w:t>ელების</w:t>
      </w:r>
      <w:r w:rsidRPr="00FC5C72">
        <w:rPr>
          <w:sz w:val="24"/>
          <w:szCs w:val="24"/>
        </w:rPr>
        <w:t xml:space="preserve"> </w:t>
      </w:r>
      <w:r w:rsidR="003A5FB9" w:rsidRPr="00FC5C72">
        <w:rPr>
          <w:sz w:val="24"/>
          <w:szCs w:val="24"/>
        </w:rPr>
        <w:t xml:space="preserve">ფუნქციის </w:t>
      </w:r>
      <w:r w:rsidRPr="00FC5C72">
        <w:rPr>
          <w:sz w:val="24"/>
          <w:szCs w:val="24"/>
        </w:rPr>
        <w:t xml:space="preserve">მძიმე </w:t>
      </w:r>
      <w:r w:rsidR="005A67CD" w:rsidRPr="00FC5C72">
        <w:rPr>
          <w:sz w:val="24"/>
          <w:szCs w:val="24"/>
        </w:rPr>
        <w:t>დარღვევა</w:t>
      </w:r>
      <w:r w:rsidRPr="00FC5C72">
        <w:rPr>
          <w:sz w:val="24"/>
          <w:szCs w:val="24"/>
        </w:rPr>
        <w:t>).</w:t>
      </w:r>
    </w:p>
    <w:p w14:paraId="6577A7B6" w14:textId="77777777" w:rsidR="002C69EC" w:rsidRPr="00FC5C72" w:rsidRDefault="002C69EC" w:rsidP="00785B18">
      <w:pPr>
        <w:spacing w:after="0" w:line="240" w:lineRule="auto"/>
        <w:jc w:val="both"/>
        <w:rPr>
          <w:sz w:val="24"/>
          <w:szCs w:val="24"/>
        </w:rPr>
      </w:pPr>
    </w:p>
    <w:p w14:paraId="18275D6B" w14:textId="77777777" w:rsidR="00474BC9" w:rsidRPr="00FC5C72" w:rsidRDefault="002254EE" w:rsidP="00785B18">
      <w:pPr>
        <w:spacing w:after="0" w:line="240" w:lineRule="auto"/>
        <w:jc w:val="both"/>
        <w:rPr>
          <w:i/>
          <w:iCs/>
          <w:sz w:val="24"/>
          <w:szCs w:val="24"/>
          <w:u w:val="single"/>
        </w:rPr>
      </w:pPr>
      <w:r w:rsidRPr="00FC5C72">
        <w:rPr>
          <w:i/>
          <w:iCs/>
          <w:sz w:val="24"/>
          <w:szCs w:val="24"/>
          <w:u w:val="single"/>
        </w:rPr>
        <w:t xml:space="preserve">ურთიერთქმედება CYP3A4-სა და P-gp ინდუქტორებთან </w:t>
      </w:r>
    </w:p>
    <w:p w14:paraId="3C106C6F" w14:textId="33FBF765" w:rsidR="00474BC9" w:rsidRPr="00FC5C72" w:rsidRDefault="002254EE" w:rsidP="00785B18">
      <w:pPr>
        <w:spacing w:after="0" w:line="240" w:lineRule="auto"/>
        <w:jc w:val="both"/>
        <w:rPr>
          <w:sz w:val="24"/>
          <w:szCs w:val="24"/>
        </w:rPr>
      </w:pPr>
      <w:r w:rsidRPr="00FC5C72">
        <w:rPr>
          <w:sz w:val="24"/>
          <w:szCs w:val="24"/>
        </w:rPr>
        <w:t>აპიქსაბანის ერთდროულ</w:t>
      </w:r>
      <w:r w:rsidR="00474BC9" w:rsidRPr="00FC5C72">
        <w:rPr>
          <w:sz w:val="24"/>
          <w:szCs w:val="24"/>
        </w:rPr>
        <w:t>ად</w:t>
      </w:r>
      <w:r w:rsidRPr="00FC5C72">
        <w:rPr>
          <w:sz w:val="24"/>
          <w:szCs w:val="24"/>
        </w:rPr>
        <w:t xml:space="preserve"> გამოყენებამ CYP3A4 და P-gp ძლიერ ინდუქტორებთან</w:t>
      </w:r>
      <w:r w:rsidR="00474BC9" w:rsidRPr="00FC5C72">
        <w:rPr>
          <w:sz w:val="24"/>
          <w:szCs w:val="24"/>
        </w:rPr>
        <w:t xml:space="preserve"> </w:t>
      </w:r>
      <w:r w:rsidRPr="00FC5C72">
        <w:rPr>
          <w:sz w:val="24"/>
          <w:szCs w:val="24"/>
        </w:rPr>
        <w:t>(მაგალითად, რიფამპიცინთან, ფენიტოინთან, კარბამაზეპინთან, ფენობარბიტალთან ან</w:t>
      </w:r>
      <w:r w:rsidR="00474BC9" w:rsidRPr="00FC5C72">
        <w:rPr>
          <w:sz w:val="24"/>
          <w:szCs w:val="24"/>
        </w:rPr>
        <w:t xml:space="preserve"> </w:t>
      </w:r>
      <w:r w:rsidRPr="00FC5C72">
        <w:rPr>
          <w:sz w:val="24"/>
          <w:szCs w:val="24"/>
        </w:rPr>
        <w:t xml:space="preserve">კრაზანასთან) შეიძლება გამოიწვიოს აპიქსაბანის </w:t>
      </w:r>
      <w:r w:rsidR="002C69EC" w:rsidRPr="00FC5C72">
        <w:rPr>
          <w:sz w:val="24"/>
          <w:szCs w:val="24"/>
        </w:rPr>
        <w:t>ზემოქმედების</w:t>
      </w:r>
      <w:r w:rsidRPr="00FC5C72">
        <w:rPr>
          <w:sz w:val="24"/>
          <w:szCs w:val="24"/>
        </w:rPr>
        <w:t xml:space="preserve"> დაქვეითება დაახლოებით 50%-ით. კლინიკურ კვლევაში წინაგულების ფიბრილაციის მქონე პაციენტებში </w:t>
      </w:r>
      <w:r w:rsidR="002C69EC" w:rsidRPr="00FC5C72">
        <w:rPr>
          <w:sz w:val="24"/>
          <w:szCs w:val="24"/>
        </w:rPr>
        <w:t xml:space="preserve">პრეპარატის </w:t>
      </w:r>
      <w:r w:rsidRPr="00FC5C72">
        <w:rPr>
          <w:sz w:val="24"/>
          <w:szCs w:val="24"/>
        </w:rPr>
        <w:t>ეფექტ</w:t>
      </w:r>
      <w:r w:rsidR="005A67CD" w:rsidRPr="00FC5C72">
        <w:rPr>
          <w:sz w:val="24"/>
          <w:szCs w:val="24"/>
        </w:rPr>
        <w:t>იან</w:t>
      </w:r>
      <w:r w:rsidRPr="00FC5C72">
        <w:rPr>
          <w:sz w:val="24"/>
          <w:szCs w:val="24"/>
        </w:rPr>
        <w:t>ობის</w:t>
      </w:r>
      <w:r w:rsidR="00474BC9" w:rsidRPr="00FC5C72">
        <w:rPr>
          <w:sz w:val="24"/>
          <w:szCs w:val="24"/>
        </w:rPr>
        <w:t xml:space="preserve"> </w:t>
      </w:r>
      <w:r w:rsidRPr="00FC5C72">
        <w:rPr>
          <w:sz w:val="24"/>
          <w:szCs w:val="24"/>
        </w:rPr>
        <w:t xml:space="preserve">დაქვეითება და სისხლდენის მაღალი რისკი </w:t>
      </w:r>
      <w:r w:rsidR="00474BC9" w:rsidRPr="00FC5C72">
        <w:rPr>
          <w:sz w:val="24"/>
          <w:szCs w:val="24"/>
        </w:rPr>
        <w:t>აღინიშნებოდა</w:t>
      </w:r>
      <w:r w:rsidRPr="00FC5C72">
        <w:rPr>
          <w:sz w:val="24"/>
          <w:szCs w:val="24"/>
        </w:rPr>
        <w:t xml:space="preserve"> აპიქსაბანისა და CYP3A4 და P- gp</w:t>
      </w:r>
      <w:r w:rsidR="00474BC9" w:rsidRPr="00FC5C72">
        <w:rPr>
          <w:sz w:val="24"/>
          <w:szCs w:val="24"/>
        </w:rPr>
        <w:t xml:space="preserve">-ის </w:t>
      </w:r>
      <w:r w:rsidRPr="00FC5C72">
        <w:rPr>
          <w:sz w:val="24"/>
          <w:szCs w:val="24"/>
        </w:rPr>
        <w:t>ძლიერ ინდუქტორებთან ერთად</w:t>
      </w:r>
      <w:r w:rsidR="00474BC9" w:rsidRPr="00FC5C72">
        <w:rPr>
          <w:sz w:val="24"/>
          <w:szCs w:val="24"/>
        </w:rPr>
        <w:t xml:space="preserve"> </w:t>
      </w:r>
      <w:r w:rsidRPr="00FC5C72">
        <w:rPr>
          <w:sz w:val="24"/>
          <w:szCs w:val="24"/>
        </w:rPr>
        <w:t>დანიშვნის დროს, აპიქსაბანის</w:t>
      </w:r>
      <w:r w:rsidR="00474BC9" w:rsidRPr="00FC5C72">
        <w:rPr>
          <w:sz w:val="24"/>
          <w:szCs w:val="24"/>
        </w:rPr>
        <w:t xml:space="preserve"> მონოთერაპიასთან</w:t>
      </w:r>
      <w:r w:rsidRPr="00FC5C72">
        <w:rPr>
          <w:sz w:val="24"/>
          <w:szCs w:val="24"/>
        </w:rPr>
        <w:t xml:space="preserve"> შედარებით. </w:t>
      </w:r>
    </w:p>
    <w:p w14:paraId="6F20C8EC" w14:textId="7ACE200F" w:rsidR="00474BC9" w:rsidRPr="00FC5C72" w:rsidRDefault="002254EE" w:rsidP="00785B18">
      <w:pPr>
        <w:spacing w:after="0" w:line="240" w:lineRule="auto"/>
        <w:jc w:val="both"/>
        <w:rPr>
          <w:sz w:val="24"/>
          <w:szCs w:val="24"/>
        </w:rPr>
      </w:pPr>
      <w:r w:rsidRPr="00FC5C72">
        <w:rPr>
          <w:sz w:val="24"/>
          <w:szCs w:val="24"/>
        </w:rPr>
        <w:t>პაციენტებისთვის, რომლებიც იღებენ თანმხლებ სისტემურ თერაპიას CYP3A4-სა და P</w:t>
      </w:r>
      <w:r w:rsidR="00474BC9" w:rsidRPr="00FC5C72">
        <w:rPr>
          <w:sz w:val="24"/>
          <w:szCs w:val="24"/>
        </w:rPr>
        <w:t>-</w:t>
      </w:r>
      <w:r w:rsidRPr="00FC5C72">
        <w:rPr>
          <w:sz w:val="24"/>
          <w:szCs w:val="24"/>
        </w:rPr>
        <w:t>gp-</w:t>
      </w:r>
      <w:r w:rsidR="00474BC9" w:rsidRPr="00FC5C72">
        <w:rPr>
          <w:sz w:val="24"/>
          <w:szCs w:val="24"/>
        </w:rPr>
        <w:t>ი</w:t>
      </w:r>
      <w:r w:rsidRPr="00FC5C72">
        <w:rPr>
          <w:sz w:val="24"/>
          <w:szCs w:val="24"/>
        </w:rPr>
        <w:t>ს</w:t>
      </w:r>
      <w:r w:rsidR="00474BC9" w:rsidRPr="00FC5C72">
        <w:rPr>
          <w:sz w:val="24"/>
          <w:szCs w:val="24"/>
        </w:rPr>
        <w:t xml:space="preserve"> </w:t>
      </w:r>
      <w:r w:rsidRPr="00FC5C72">
        <w:rPr>
          <w:sz w:val="24"/>
          <w:szCs w:val="24"/>
        </w:rPr>
        <w:t>ძლიერი ინდუქტორებით, გამოიყენება შემდეგი რეკომენდაციები</w:t>
      </w:r>
      <w:r w:rsidR="002C69EC" w:rsidRPr="00FC5C72">
        <w:rPr>
          <w:sz w:val="24"/>
          <w:szCs w:val="24"/>
        </w:rPr>
        <w:t xml:space="preserve"> (იხ. პარაგრაფი „სამკურნალწამლო ურთიერთქმედება“)</w:t>
      </w:r>
      <w:r w:rsidRPr="00FC5C72">
        <w:rPr>
          <w:sz w:val="24"/>
          <w:szCs w:val="24"/>
        </w:rPr>
        <w:t xml:space="preserve">: </w:t>
      </w:r>
      <w:r w:rsidR="00474BC9" w:rsidRPr="00FC5C72">
        <w:rPr>
          <w:sz w:val="24"/>
          <w:szCs w:val="24"/>
        </w:rPr>
        <w:t xml:space="preserve"> </w:t>
      </w:r>
    </w:p>
    <w:p w14:paraId="3AC77CA0" w14:textId="2DE5B499" w:rsidR="002C69EC" w:rsidRPr="00FC5C72" w:rsidRDefault="00474BC9" w:rsidP="00785B18">
      <w:pPr>
        <w:pStyle w:val="ListParagraph"/>
        <w:numPr>
          <w:ilvl w:val="0"/>
          <w:numId w:val="10"/>
        </w:numPr>
        <w:spacing w:after="0" w:line="240" w:lineRule="auto"/>
        <w:ind w:left="450" w:hanging="450"/>
        <w:jc w:val="both"/>
        <w:rPr>
          <w:sz w:val="24"/>
          <w:szCs w:val="24"/>
        </w:rPr>
      </w:pPr>
      <w:r w:rsidRPr="00FC5C72">
        <w:rPr>
          <w:sz w:val="24"/>
          <w:szCs w:val="24"/>
        </w:rPr>
        <w:t xml:space="preserve">ვთგ-ის </w:t>
      </w:r>
      <w:r w:rsidR="002C69EC" w:rsidRPr="00FC5C72">
        <w:rPr>
          <w:sz w:val="24"/>
          <w:szCs w:val="24"/>
        </w:rPr>
        <w:t xml:space="preserve">თერაპიისთვის აპიქსაბანის გამოყენება მიზანშეწონილი არ არის, </w:t>
      </w:r>
      <w:r w:rsidR="002254EE" w:rsidRPr="00FC5C72">
        <w:rPr>
          <w:sz w:val="24"/>
          <w:szCs w:val="24"/>
        </w:rPr>
        <w:t xml:space="preserve">რადგან </w:t>
      </w:r>
      <w:r w:rsidR="0083590C" w:rsidRPr="00FC5C72">
        <w:rPr>
          <w:sz w:val="24"/>
          <w:szCs w:val="24"/>
        </w:rPr>
        <w:t>მისი ეფექტიანობა შეიძლება შემცირებული</w:t>
      </w:r>
      <w:r w:rsidR="002C69EC" w:rsidRPr="00FC5C72">
        <w:rPr>
          <w:sz w:val="24"/>
          <w:szCs w:val="24"/>
        </w:rPr>
        <w:t xml:space="preserve"> იყოს</w:t>
      </w:r>
      <w:r w:rsidR="002254EE" w:rsidRPr="00FC5C72">
        <w:rPr>
          <w:sz w:val="24"/>
          <w:szCs w:val="24"/>
        </w:rPr>
        <w:t xml:space="preserve">. </w:t>
      </w:r>
    </w:p>
    <w:p w14:paraId="6DFC999B" w14:textId="44255C15" w:rsidR="002C69EC" w:rsidRPr="00FC5C72" w:rsidRDefault="002C69EC" w:rsidP="00785B18">
      <w:pPr>
        <w:pStyle w:val="ListParagraph"/>
        <w:spacing w:after="0" w:line="240" w:lineRule="auto"/>
        <w:ind w:left="0"/>
        <w:jc w:val="both"/>
        <w:rPr>
          <w:sz w:val="24"/>
          <w:szCs w:val="24"/>
        </w:rPr>
      </w:pPr>
      <w:r w:rsidRPr="00FC5C72">
        <w:rPr>
          <w:sz w:val="24"/>
          <w:szCs w:val="24"/>
        </w:rPr>
        <w:t xml:space="preserve">ბავშვთა ასაკის პაციენტებში, რომლებიც ერთდროულად იღებენ სისტემურ მკურნალობას </w:t>
      </w:r>
      <w:r w:rsidRPr="00FC5C72">
        <w:rPr>
          <w:rFonts w:ascii="Times New Roman" w:eastAsia="Times New Roman" w:hAnsi="Times New Roman"/>
          <w:iCs/>
          <w:sz w:val="24"/>
          <w:szCs w:val="24"/>
          <w:lang w:val="uz-Cyrl-UZ" w:eastAsia="ru-RU"/>
        </w:rPr>
        <w:t xml:space="preserve">CYP3A4 </w:t>
      </w:r>
      <w:r w:rsidRPr="00FC5C72">
        <w:rPr>
          <w:rFonts w:ascii="Sylfaen" w:eastAsia="Times New Roman" w:hAnsi="Sylfaen"/>
          <w:iCs/>
          <w:sz w:val="24"/>
          <w:szCs w:val="24"/>
          <w:lang w:eastAsia="ru-RU"/>
        </w:rPr>
        <w:t>და</w:t>
      </w:r>
      <w:r w:rsidRPr="00FC5C72">
        <w:rPr>
          <w:rFonts w:ascii="Times New Roman" w:eastAsia="Times New Roman" w:hAnsi="Times New Roman"/>
          <w:iCs/>
          <w:sz w:val="24"/>
          <w:szCs w:val="24"/>
          <w:lang w:val="uz-Cyrl-UZ" w:eastAsia="ru-RU"/>
        </w:rPr>
        <w:t xml:space="preserve"> P-gp</w:t>
      </w:r>
      <w:r w:rsidRPr="00FC5C72">
        <w:rPr>
          <w:rFonts w:eastAsia="Times New Roman"/>
          <w:iCs/>
          <w:sz w:val="24"/>
          <w:szCs w:val="24"/>
          <w:lang w:eastAsia="ru-RU"/>
        </w:rPr>
        <w:t xml:space="preserve">-ის მძლავრი ინდუქტორებით, კლინიკური მონაცემები არ არსებობს (იხ. პარაგრაფი „სამკურნალწამლო ურთიერთქმედება“). </w:t>
      </w:r>
    </w:p>
    <w:p w14:paraId="1C1BF3D9" w14:textId="77777777" w:rsidR="002C69EC" w:rsidRPr="00FC5C72" w:rsidRDefault="002C69EC" w:rsidP="00785B18">
      <w:pPr>
        <w:pStyle w:val="ListParagraph"/>
        <w:spacing w:after="0" w:line="240" w:lineRule="auto"/>
        <w:ind w:left="0"/>
        <w:jc w:val="both"/>
        <w:rPr>
          <w:i/>
          <w:iCs/>
          <w:sz w:val="24"/>
          <w:szCs w:val="24"/>
        </w:rPr>
      </w:pPr>
    </w:p>
    <w:p w14:paraId="642CC97C" w14:textId="0C0AF9C0" w:rsidR="0083590C" w:rsidRPr="00FC5C72" w:rsidRDefault="002254EE" w:rsidP="00785B18">
      <w:pPr>
        <w:pStyle w:val="ListParagraph"/>
        <w:spacing w:after="0" w:line="240" w:lineRule="auto"/>
        <w:ind w:left="0"/>
        <w:jc w:val="both"/>
        <w:rPr>
          <w:i/>
          <w:iCs/>
          <w:sz w:val="24"/>
          <w:szCs w:val="24"/>
          <w:u w:val="single"/>
        </w:rPr>
      </w:pPr>
      <w:r w:rsidRPr="00FC5C72">
        <w:rPr>
          <w:i/>
          <w:iCs/>
          <w:sz w:val="24"/>
          <w:szCs w:val="24"/>
          <w:u w:val="single"/>
        </w:rPr>
        <w:t xml:space="preserve">მენჯ-ბარძაყის </w:t>
      </w:r>
      <w:r w:rsidR="0083590C" w:rsidRPr="00FC5C72">
        <w:rPr>
          <w:i/>
          <w:iCs/>
          <w:sz w:val="24"/>
          <w:szCs w:val="24"/>
          <w:u w:val="single"/>
        </w:rPr>
        <w:t xml:space="preserve">სახსრის </w:t>
      </w:r>
      <w:r w:rsidRPr="00FC5C72">
        <w:rPr>
          <w:i/>
          <w:iCs/>
          <w:sz w:val="24"/>
          <w:szCs w:val="24"/>
          <w:u w:val="single"/>
        </w:rPr>
        <w:t>მოტეხილობის ქირურგიული მკურნალობა</w:t>
      </w:r>
    </w:p>
    <w:p w14:paraId="62B56649" w14:textId="4DD8A5E3" w:rsidR="007B72BB" w:rsidRPr="00FC5C72" w:rsidRDefault="002254EE" w:rsidP="00785B18">
      <w:pPr>
        <w:pStyle w:val="ListParagraph"/>
        <w:spacing w:after="0" w:line="240" w:lineRule="auto"/>
        <w:ind w:left="0"/>
        <w:jc w:val="both"/>
        <w:rPr>
          <w:sz w:val="24"/>
          <w:szCs w:val="24"/>
        </w:rPr>
      </w:pPr>
      <w:r w:rsidRPr="00FC5C72">
        <w:rPr>
          <w:sz w:val="24"/>
          <w:szCs w:val="24"/>
        </w:rPr>
        <w:t>აპიქსაბანის გამოყენების ეფექტ</w:t>
      </w:r>
      <w:r w:rsidR="007B72BB" w:rsidRPr="00FC5C72">
        <w:rPr>
          <w:sz w:val="24"/>
          <w:szCs w:val="24"/>
        </w:rPr>
        <w:t>იან</w:t>
      </w:r>
      <w:r w:rsidRPr="00FC5C72">
        <w:rPr>
          <w:sz w:val="24"/>
          <w:szCs w:val="24"/>
        </w:rPr>
        <w:t>ობა და უსაფრთხოება კლინიკურ კვლევებში პაციენტებში, რომლებ</w:t>
      </w:r>
      <w:r w:rsidR="007B72BB" w:rsidRPr="00FC5C72">
        <w:rPr>
          <w:sz w:val="24"/>
          <w:szCs w:val="24"/>
        </w:rPr>
        <w:t>მა</w:t>
      </w:r>
      <w:r w:rsidRPr="00FC5C72">
        <w:rPr>
          <w:sz w:val="24"/>
          <w:szCs w:val="24"/>
        </w:rPr>
        <w:t>ც გადაიტანეს მენჯ</w:t>
      </w:r>
      <w:r w:rsidR="007B72BB" w:rsidRPr="00FC5C72">
        <w:rPr>
          <w:sz w:val="24"/>
          <w:szCs w:val="24"/>
        </w:rPr>
        <w:t>-</w:t>
      </w:r>
      <w:r w:rsidRPr="00FC5C72">
        <w:rPr>
          <w:sz w:val="24"/>
          <w:szCs w:val="24"/>
        </w:rPr>
        <w:t xml:space="preserve">ბარძაყის </w:t>
      </w:r>
      <w:r w:rsidR="007B72BB" w:rsidRPr="00FC5C72">
        <w:rPr>
          <w:sz w:val="24"/>
          <w:szCs w:val="24"/>
        </w:rPr>
        <w:t xml:space="preserve">სახსრის </w:t>
      </w:r>
      <w:r w:rsidRPr="00FC5C72">
        <w:rPr>
          <w:sz w:val="24"/>
          <w:szCs w:val="24"/>
        </w:rPr>
        <w:t>მოტეხილობის ქირურგიულ</w:t>
      </w:r>
      <w:r w:rsidR="002C69EC" w:rsidRPr="00FC5C72">
        <w:rPr>
          <w:sz w:val="24"/>
          <w:szCs w:val="24"/>
        </w:rPr>
        <w:t>ი</w:t>
      </w:r>
      <w:r w:rsidRPr="00FC5C72">
        <w:rPr>
          <w:sz w:val="24"/>
          <w:szCs w:val="24"/>
        </w:rPr>
        <w:t xml:space="preserve"> </w:t>
      </w:r>
      <w:r w:rsidR="00E77401" w:rsidRPr="00FC5C72">
        <w:rPr>
          <w:sz w:val="24"/>
          <w:szCs w:val="24"/>
        </w:rPr>
        <w:t>ოპერაცია</w:t>
      </w:r>
      <w:r w:rsidRPr="00FC5C72">
        <w:rPr>
          <w:sz w:val="24"/>
          <w:szCs w:val="24"/>
        </w:rPr>
        <w:t>, არ არის</w:t>
      </w:r>
      <w:r w:rsidR="007B72BB" w:rsidRPr="00FC5C72">
        <w:rPr>
          <w:sz w:val="24"/>
          <w:szCs w:val="24"/>
        </w:rPr>
        <w:t xml:space="preserve"> </w:t>
      </w:r>
      <w:r w:rsidRPr="00FC5C72">
        <w:rPr>
          <w:sz w:val="24"/>
          <w:szCs w:val="24"/>
        </w:rPr>
        <w:t>შესწავლილი. ამ მიზეზით, პრეპარატის გამოყენება არ არის რეკომენდებული ასეთ</w:t>
      </w:r>
      <w:r w:rsidR="007B72BB" w:rsidRPr="00FC5C72">
        <w:rPr>
          <w:sz w:val="24"/>
          <w:szCs w:val="24"/>
        </w:rPr>
        <w:t xml:space="preserve"> </w:t>
      </w:r>
      <w:r w:rsidRPr="00FC5C72">
        <w:rPr>
          <w:sz w:val="24"/>
          <w:szCs w:val="24"/>
        </w:rPr>
        <w:t xml:space="preserve">პაციენტებში. </w:t>
      </w:r>
    </w:p>
    <w:p w14:paraId="07A287F2" w14:textId="77777777" w:rsidR="002C69EC" w:rsidRPr="00FC5C72" w:rsidRDefault="002C69EC" w:rsidP="00785B18">
      <w:pPr>
        <w:pStyle w:val="ListParagraph"/>
        <w:spacing w:after="0" w:line="240" w:lineRule="auto"/>
        <w:ind w:left="0"/>
        <w:jc w:val="both"/>
        <w:rPr>
          <w:i/>
          <w:iCs/>
          <w:sz w:val="24"/>
          <w:szCs w:val="24"/>
        </w:rPr>
      </w:pPr>
    </w:p>
    <w:p w14:paraId="06CB75AB" w14:textId="011F2B9E" w:rsidR="007B72BB" w:rsidRPr="00FC5C72" w:rsidRDefault="002254EE" w:rsidP="00785B18">
      <w:pPr>
        <w:pStyle w:val="ListParagraph"/>
        <w:spacing w:after="0" w:line="240" w:lineRule="auto"/>
        <w:ind w:left="0"/>
        <w:jc w:val="both"/>
        <w:rPr>
          <w:i/>
          <w:iCs/>
          <w:sz w:val="24"/>
          <w:szCs w:val="24"/>
          <w:u w:val="single"/>
        </w:rPr>
      </w:pPr>
      <w:r w:rsidRPr="00FC5C72">
        <w:rPr>
          <w:i/>
          <w:iCs/>
          <w:sz w:val="24"/>
          <w:szCs w:val="24"/>
          <w:u w:val="single"/>
        </w:rPr>
        <w:t xml:space="preserve">ლაბორატორიული </w:t>
      </w:r>
      <w:r w:rsidR="002C69EC" w:rsidRPr="00FC5C72">
        <w:rPr>
          <w:i/>
          <w:iCs/>
          <w:sz w:val="24"/>
          <w:szCs w:val="24"/>
          <w:u w:val="single"/>
        </w:rPr>
        <w:t>ანალიზების პარამეტრები</w:t>
      </w:r>
      <w:r w:rsidRPr="00FC5C72">
        <w:rPr>
          <w:i/>
          <w:iCs/>
          <w:sz w:val="24"/>
          <w:szCs w:val="24"/>
          <w:u w:val="single"/>
        </w:rPr>
        <w:t xml:space="preserve"> </w:t>
      </w:r>
    </w:p>
    <w:p w14:paraId="155A6A54" w14:textId="6DB304F4" w:rsidR="00DA0A3E" w:rsidRPr="00FC5C72" w:rsidRDefault="00BC32C7" w:rsidP="00785B18">
      <w:pPr>
        <w:pStyle w:val="ListParagraph"/>
        <w:spacing w:after="0" w:line="240" w:lineRule="auto"/>
        <w:ind w:left="0"/>
        <w:jc w:val="both"/>
        <w:rPr>
          <w:sz w:val="24"/>
          <w:szCs w:val="24"/>
        </w:rPr>
      </w:pPr>
      <w:r w:rsidRPr="00FC5C72">
        <w:rPr>
          <w:sz w:val="24"/>
          <w:szCs w:val="24"/>
        </w:rPr>
        <w:t xml:space="preserve">როგორც მოსალოდნელია, </w:t>
      </w:r>
      <w:r w:rsidR="002254EE" w:rsidRPr="00FC5C72">
        <w:rPr>
          <w:sz w:val="24"/>
          <w:szCs w:val="24"/>
        </w:rPr>
        <w:t>აპიქსაბანის მოქმედების მექანიზმი</w:t>
      </w:r>
      <w:r w:rsidRPr="00FC5C72">
        <w:rPr>
          <w:sz w:val="24"/>
          <w:szCs w:val="24"/>
        </w:rPr>
        <w:t xml:space="preserve"> </w:t>
      </w:r>
      <w:r w:rsidR="002254EE" w:rsidRPr="00FC5C72">
        <w:rPr>
          <w:sz w:val="24"/>
          <w:szCs w:val="24"/>
        </w:rPr>
        <w:t xml:space="preserve"> </w:t>
      </w:r>
      <w:r w:rsidRPr="00FC5C72">
        <w:rPr>
          <w:sz w:val="24"/>
          <w:szCs w:val="24"/>
        </w:rPr>
        <w:t>გავლენას ახდენს</w:t>
      </w:r>
      <w:r w:rsidR="002254EE" w:rsidRPr="00FC5C72">
        <w:rPr>
          <w:sz w:val="24"/>
          <w:szCs w:val="24"/>
        </w:rPr>
        <w:t xml:space="preserve"> სისხლის</w:t>
      </w:r>
      <w:r w:rsidR="00DA0A3E" w:rsidRPr="00FC5C72">
        <w:rPr>
          <w:sz w:val="24"/>
          <w:szCs w:val="24"/>
        </w:rPr>
        <w:t xml:space="preserve"> </w:t>
      </w:r>
      <w:r w:rsidR="002254EE" w:rsidRPr="00FC5C72">
        <w:rPr>
          <w:sz w:val="24"/>
          <w:szCs w:val="24"/>
        </w:rPr>
        <w:t xml:space="preserve">შედედების </w:t>
      </w:r>
      <w:r w:rsidRPr="00FC5C72">
        <w:rPr>
          <w:sz w:val="24"/>
          <w:szCs w:val="24"/>
        </w:rPr>
        <w:t>ანალიზების შედეგებზე</w:t>
      </w:r>
      <w:r w:rsidR="002254EE" w:rsidRPr="00FC5C72">
        <w:rPr>
          <w:sz w:val="24"/>
          <w:szCs w:val="24"/>
        </w:rPr>
        <w:t xml:space="preserve"> (მაგ. პროთრომბინის დრო, სნთ და აქტივირებული ნაწილობრივი</w:t>
      </w:r>
      <w:r w:rsidR="00DA0A3E" w:rsidRPr="00FC5C72">
        <w:rPr>
          <w:sz w:val="24"/>
          <w:szCs w:val="24"/>
        </w:rPr>
        <w:t xml:space="preserve"> </w:t>
      </w:r>
      <w:r w:rsidR="002254EE" w:rsidRPr="00FC5C72">
        <w:rPr>
          <w:sz w:val="24"/>
          <w:szCs w:val="24"/>
        </w:rPr>
        <w:t xml:space="preserve">თრომბოპლასტინის დრო (ანთდ)). ცვლილებები, რომლებიც შეინიშნება </w:t>
      </w:r>
      <w:r w:rsidR="00DA0A3E" w:rsidRPr="00FC5C72">
        <w:rPr>
          <w:sz w:val="24"/>
          <w:szCs w:val="24"/>
        </w:rPr>
        <w:t xml:space="preserve">სისხლის შედედების ამ </w:t>
      </w:r>
      <w:r w:rsidR="00646D95" w:rsidRPr="00FC5C72">
        <w:rPr>
          <w:sz w:val="24"/>
          <w:szCs w:val="24"/>
        </w:rPr>
        <w:t>ანალიზებში</w:t>
      </w:r>
      <w:r w:rsidR="00DA0A3E" w:rsidRPr="00FC5C72">
        <w:rPr>
          <w:sz w:val="24"/>
          <w:szCs w:val="24"/>
        </w:rPr>
        <w:t xml:space="preserve"> აპიქსაბანის </w:t>
      </w:r>
      <w:r w:rsidR="002254EE" w:rsidRPr="00FC5C72">
        <w:rPr>
          <w:sz w:val="24"/>
          <w:szCs w:val="24"/>
        </w:rPr>
        <w:t>მოსალოდნელი თერაპიული დოზისას</w:t>
      </w:r>
      <w:r w:rsidR="00DA0A3E" w:rsidRPr="00FC5C72">
        <w:rPr>
          <w:sz w:val="24"/>
          <w:szCs w:val="24"/>
        </w:rPr>
        <w:t>,</w:t>
      </w:r>
      <w:r w:rsidR="002254EE" w:rsidRPr="00FC5C72">
        <w:rPr>
          <w:sz w:val="24"/>
          <w:szCs w:val="24"/>
        </w:rPr>
        <w:t xml:space="preserve"> არის უმნიშვნელო და გააჩნიათ ვარიაბელობის</w:t>
      </w:r>
      <w:r w:rsidR="00DA0A3E" w:rsidRPr="00FC5C72">
        <w:rPr>
          <w:sz w:val="24"/>
          <w:szCs w:val="24"/>
        </w:rPr>
        <w:t xml:space="preserve"> </w:t>
      </w:r>
      <w:r w:rsidR="002254EE" w:rsidRPr="00FC5C72">
        <w:rPr>
          <w:sz w:val="24"/>
          <w:szCs w:val="24"/>
        </w:rPr>
        <w:t xml:space="preserve">მაღალი ხარისხი. </w:t>
      </w:r>
    </w:p>
    <w:p w14:paraId="07D1F915" w14:textId="77777777" w:rsidR="00646D95" w:rsidRPr="00FC5C72" w:rsidRDefault="00646D95" w:rsidP="00785B18">
      <w:pPr>
        <w:pStyle w:val="ListParagraph"/>
        <w:spacing w:after="0" w:line="240" w:lineRule="auto"/>
        <w:ind w:left="0"/>
        <w:jc w:val="both"/>
        <w:rPr>
          <w:sz w:val="24"/>
          <w:szCs w:val="24"/>
        </w:rPr>
      </w:pPr>
    </w:p>
    <w:p w14:paraId="4F61CBA9" w14:textId="77777777" w:rsidR="00DA0A3E" w:rsidRPr="00FC5C72" w:rsidRDefault="00DA0A3E" w:rsidP="00785B18">
      <w:pPr>
        <w:pStyle w:val="ListParagraph"/>
        <w:spacing w:after="0" w:line="240" w:lineRule="auto"/>
        <w:ind w:left="0"/>
        <w:jc w:val="both"/>
        <w:rPr>
          <w:i/>
          <w:iCs/>
          <w:sz w:val="24"/>
          <w:szCs w:val="24"/>
          <w:u w:val="single"/>
        </w:rPr>
      </w:pPr>
      <w:r w:rsidRPr="00FC5C72">
        <w:rPr>
          <w:i/>
          <w:iCs/>
          <w:sz w:val="24"/>
          <w:szCs w:val="24"/>
          <w:u w:val="single"/>
        </w:rPr>
        <w:t xml:space="preserve">მონაცემები </w:t>
      </w:r>
      <w:r w:rsidR="002254EE" w:rsidRPr="00FC5C72">
        <w:rPr>
          <w:i/>
          <w:iCs/>
          <w:sz w:val="24"/>
          <w:szCs w:val="24"/>
          <w:u w:val="single"/>
        </w:rPr>
        <w:t>დამხმარე ნივთიერებები</w:t>
      </w:r>
      <w:r w:rsidRPr="00FC5C72">
        <w:rPr>
          <w:i/>
          <w:iCs/>
          <w:sz w:val="24"/>
          <w:szCs w:val="24"/>
          <w:u w:val="single"/>
        </w:rPr>
        <w:t>ს შესახებ</w:t>
      </w:r>
    </w:p>
    <w:p w14:paraId="60FD4165" w14:textId="2685E166" w:rsidR="00FF37C9" w:rsidRPr="00FC5C72" w:rsidRDefault="00DA0A3E" w:rsidP="00785B18">
      <w:pPr>
        <w:pStyle w:val="ListParagraph"/>
        <w:spacing w:after="0" w:line="240" w:lineRule="auto"/>
        <w:ind w:left="0"/>
        <w:jc w:val="both"/>
        <w:rPr>
          <w:sz w:val="24"/>
          <w:szCs w:val="24"/>
        </w:rPr>
      </w:pPr>
      <w:r w:rsidRPr="00FC5C72">
        <w:rPr>
          <w:sz w:val="24"/>
          <w:szCs w:val="24"/>
        </w:rPr>
        <w:t>ელიქვისი</w:t>
      </w:r>
      <w:r w:rsidR="002254EE" w:rsidRPr="00FC5C72">
        <w:rPr>
          <w:sz w:val="24"/>
          <w:szCs w:val="24"/>
        </w:rPr>
        <w:t xml:space="preserve"> შეიცავს ლაქტოზას</w:t>
      </w:r>
      <w:r w:rsidR="004373FA" w:rsidRPr="00FC5C72">
        <w:rPr>
          <w:sz w:val="24"/>
          <w:szCs w:val="24"/>
        </w:rPr>
        <w:t xml:space="preserve">. </w:t>
      </w:r>
      <w:r w:rsidR="002254EE" w:rsidRPr="00FC5C72">
        <w:rPr>
          <w:sz w:val="24"/>
          <w:szCs w:val="24"/>
        </w:rPr>
        <w:t>პაციენტებ</w:t>
      </w:r>
      <w:r w:rsidR="004373FA" w:rsidRPr="00FC5C72">
        <w:rPr>
          <w:sz w:val="24"/>
          <w:szCs w:val="24"/>
        </w:rPr>
        <w:t>მა</w:t>
      </w:r>
      <w:r w:rsidR="00FF37C9" w:rsidRPr="00FC5C72">
        <w:rPr>
          <w:sz w:val="24"/>
          <w:szCs w:val="24"/>
        </w:rPr>
        <w:t xml:space="preserve"> გალაქტოზის</w:t>
      </w:r>
      <w:r w:rsidR="002254EE" w:rsidRPr="00FC5C72">
        <w:rPr>
          <w:sz w:val="24"/>
          <w:szCs w:val="24"/>
        </w:rPr>
        <w:t xml:space="preserve"> იშვიათი მემკვიდრეობითი</w:t>
      </w:r>
      <w:r w:rsidR="004373FA" w:rsidRPr="00FC5C72">
        <w:rPr>
          <w:sz w:val="24"/>
          <w:szCs w:val="24"/>
        </w:rPr>
        <w:t xml:space="preserve"> </w:t>
      </w:r>
      <w:r w:rsidR="00FF37C9" w:rsidRPr="00FC5C72">
        <w:rPr>
          <w:sz w:val="24"/>
          <w:szCs w:val="24"/>
        </w:rPr>
        <w:t>აუტანლობით, ლაქტაზას საერთო დეფიციტით ან გლუკოზა-გალაქტოზის მალაბსო</w:t>
      </w:r>
      <w:r w:rsidR="00B35547" w:rsidRPr="00FC5C72">
        <w:rPr>
          <w:sz w:val="24"/>
          <w:szCs w:val="24"/>
        </w:rPr>
        <w:t>რ</w:t>
      </w:r>
      <w:r w:rsidR="00FF37C9" w:rsidRPr="00FC5C72">
        <w:rPr>
          <w:sz w:val="24"/>
          <w:szCs w:val="24"/>
        </w:rPr>
        <w:t xml:space="preserve">ბციის სინდრომით, </w:t>
      </w:r>
      <w:r w:rsidR="002254EE" w:rsidRPr="00FC5C72">
        <w:rPr>
          <w:sz w:val="24"/>
          <w:szCs w:val="24"/>
        </w:rPr>
        <w:t xml:space="preserve">არ უნდა მიიღონ მოცემული პრეპარატი. </w:t>
      </w:r>
    </w:p>
    <w:p w14:paraId="74968C56" w14:textId="4281381F" w:rsidR="00C44907" w:rsidRPr="00FC5C72" w:rsidRDefault="00FF37C9" w:rsidP="00785B18">
      <w:pPr>
        <w:pStyle w:val="ListParagraph"/>
        <w:spacing w:after="0" w:line="240" w:lineRule="auto"/>
        <w:ind w:left="0"/>
        <w:jc w:val="both"/>
        <w:rPr>
          <w:sz w:val="24"/>
          <w:szCs w:val="24"/>
        </w:rPr>
      </w:pPr>
      <w:r w:rsidRPr="00FC5C72">
        <w:rPr>
          <w:sz w:val="24"/>
          <w:szCs w:val="24"/>
        </w:rPr>
        <w:t>მოცემული პრეპარატის ერთი ტაბლეტი</w:t>
      </w:r>
      <w:r w:rsidR="002254EE" w:rsidRPr="00FC5C72">
        <w:rPr>
          <w:sz w:val="24"/>
          <w:szCs w:val="24"/>
        </w:rPr>
        <w:t xml:space="preserve"> შეიცავს 1 მმოლზე (23 მგ)</w:t>
      </w:r>
      <w:r w:rsidR="00646D95" w:rsidRPr="00FC5C72">
        <w:rPr>
          <w:sz w:val="24"/>
          <w:szCs w:val="24"/>
        </w:rPr>
        <w:t xml:space="preserve"> ნაკლებ </w:t>
      </w:r>
      <w:r w:rsidRPr="00FC5C72">
        <w:rPr>
          <w:sz w:val="24"/>
          <w:szCs w:val="24"/>
        </w:rPr>
        <w:t xml:space="preserve"> ნატრიუმს</w:t>
      </w:r>
      <w:r w:rsidR="002254EE" w:rsidRPr="00FC5C72">
        <w:rPr>
          <w:sz w:val="24"/>
          <w:szCs w:val="24"/>
        </w:rPr>
        <w:t xml:space="preserve">, ე.ი. პრაქტიკულად </w:t>
      </w:r>
      <w:r w:rsidR="00646D95" w:rsidRPr="00FC5C72">
        <w:rPr>
          <w:sz w:val="24"/>
          <w:szCs w:val="24"/>
        </w:rPr>
        <w:t>„</w:t>
      </w:r>
      <w:r w:rsidR="002254EE" w:rsidRPr="00FC5C72">
        <w:rPr>
          <w:sz w:val="24"/>
          <w:szCs w:val="24"/>
        </w:rPr>
        <w:t>არ შეიცავს ნატრიუმს</w:t>
      </w:r>
      <w:r w:rsidR="00646D95" w:rsidRPr="00FC5C72">
        <w:rPr>
          <w:sz w:val="24"/>
          <w:szCs w:val="24"/>
        </w:rPr>
        <w:t>“</w:t>
      </w:r>
      <w:r w:rsidR="002254EE" w:rsidRPr="00FC5C72">
        <w:rPr>
          <w:sz w:val="24"/>
          <w:szCs w:val="24"/>
        </w:rPr>
        <w:t xml:space="preserve">. </w:t>
      </w:r>
      <w:r w:rsidRPr="00FC5C72">
        <w:rPr>
          <w:sz w:val="24"/>
          <w:szCs w:val="24"/>
        </w:rPr>
        <w:t xml:space="preserve"> </w:t>
      </w:r>
    </w:p>
    <w:p w14:paraId="07C309F6" w14:textId="6061CBA7" w:rsidR="00FF37C9" w:rsidRPr="00FC5C72" w:rsidRDefault="00FF37C9" w:rsidP="00785B18">
      <w:pPr>
        <w:pStyle w:val="ListParagraph"/>
        <w:spacing w:after="0" w:line="240" w:lineRule="auto"/>
        <w:ind w:left="0"/>
        <w:jc w:val="both"/>
        <w:rPr>
          <w:sz w:val="24"/>
          <w:szCs w:val="24"/>
        </w:rPr>
      </w:pPr>
    </w:p>
    <w:p w14:paraId="22CEA2BB" w14:textId="05E90FC2" w:rsidR="00FF37C9" w:rsidRPr="00FC5C72" w:rsidRDefault="00FF37C9" w:rsidP="00785B18">
      <w:pPr>
        <w:pStyle w:val="ListParagraph"/>
        <w:spacing w:after="0" w:line="240" w:lineRule="auto"/>
        <w:ind w:left="0"/>
        <w:jc w:val="both"/>
        <w:rPr>
          <w:b/>
          <w:bCs/>
          <w:sz w:val="24"/>
          <w:szCs w:val="24"/>
        </w:rPr>
      </w:pPr>
      <w:r w:rsidRPr="00FC5C72">
        <w:rPr>
          <w:b/>
          <w:bCs/>
          <w:sz w:val="24"/>
          <w:szCs w:val="24"/>
        </w:rPr>
        <w:t>ფერტილობა, ორსულობა და ლაქტაცია</w:t>
      </w:r>
    </w:p>
    <w:p w14:paraId="590E319C" w14:textId="5F38BD3A" w:rsidR="00FF37C9" w:rsidRPr="00FC5C72" w:rsidRDefault="00FF37C9" w:rsidP="00785B18">
      <w:pPr>
        <w:pStyle w:val="ListParagraph"/>
        <w:spacing w:after="0" w:line="240" w:lineRule="auto"/>
        <w:ind w:left="0"/>
        <w:jc w:val="both"/>
        <w:rPr>
          <w:i/>
          <w:iCs/>
          <w:sz w:val="24"/>
          <w:szCs w:val="24"/>
        </w:rPr>
      </w:pPr>
      <w:r w:rsidRPr="00FC5C72">
        <w:rPr>
          <w:i/>
          <w:iCs/>
          <w:sz w:val="24"/>
          <w:szCs w:val="24"/>
        </w:rPr>
        <w:t>ორსულობა</w:t>
      </w:r>
    </w:p>
    <w:p w14:paraId="39DF2C5F" w14:textId="1542821B" w:rsidR="004A1299" w:rsidRPr="00FC5C72" w:rsidRDefault="00FF37C9" w:rsidP="00785B18">
      <w:pPr>
        <w:pStyle w:val="ListParagraph"/>
        <w:spacing w:after="0" w:line="240" w:lineRule="auto"/>
        <w:ind w:left="0"/>
        <w:jc w:val="both"/>
        <w:rPr>
          <w:sz w:val="24"/>
          <w:szCs w:val="24"/>
        </w:rPr>
      </w:pPr>
      <w:r w:rsidRPr="00FC5C72">
        <w:rPr>
          <w:sz w:val="24"/>
          <w:szCs w:val="24"/>
        </w:rPr>
        <w:t xml:space="preserve">მონაცემები ორსულებში აპიქსაბანის გამოყენების შესახებ არ </w:t>
      </w:r>
      <w:r w:rsidR="004A1299" w:rsidRPr="00FC5C72">
        <w:rPr>
          <w:sz w:val="24"/>
          <w:szCs w:val="24"/>
        </w:rPr>
        <w:t>არის</w:t>
      </w:r>
      <w:r w:rsidRPr="00FC5C72">
        <w:rPr>
          <w:sz w:val="24"/>
          <w:szCs w:val="24"/>
        </w:rPr>
        <w:t>. ცხოველებზე</w:t>
      </w:r>
      <w:r w:rsidR="004A1299" w:rsidRPr="00FC5C72">
        <w:rPr>
          <w:sz w:val="24"/>
          <w:szCs w:val="24"/>
        </w:rPr>
        <w:t xml:space="preserve"> </w:t>
      </w:r>
      <w:r w:rsidRPr="00FC5C72">
        <w:rPr>
          <w:sz w:val="24"/>
          <w:szCs w:val="24"/>
        </w:rPr>
        <w:t>ჩატარებულ</w:t>
      </w:r>
      <w:r w:rsidR="004A1299" w:rsidRPr="00FC5C72">
        <w:rPr>
          <w:sz w:val="24"/>
          <w:szCs w:val="24"/>
        </w:rPr>
        <w:t>ი</w:t>
      </w:r>
      <w:r w:rsidRPr="00FC5C72">
        <w:rPr>
          <w:sz w:val="24"/>
          <w:szCs w:val="24"/>
        </w:rPr>
        <w:t xml:space="preserve"> კვლევებ</w:t>
      </w:r>
      <w:r w:rsidR="004A1299" w:rsidRPr="00FC5C72">
        <w:rPr>
          <w:sz w:val="24"/>
          <w:szCs w:val="24"/>
        </w:rPr>
        <w:t>ი</w:t>
      </w:r>
      <w:r w:rsidRPr="00FC5C72">
        <w:rPr>
          <w:sz w:val="24"/>
          <w:szCs w:val="24"/>
        </w:rPr>
        <w:t xml:space="preserve"> არ </w:t>
      </w:r>
      <w:r w:rsidR="004A1299" w:rsidRPr="00FC5C72">
        <w:rPr>
          <w:sz w:val="24"/>
          <w:szCs w:val="24"/>
        </w:rPr>
        <w:t>მიუთითებს</w:t>
      </w:r>
      <w:r w:rsidRPr="00FC5C72">
        <w:rPr>
          <w:sz w:val="24"/>
          <w:szCs w:val="24"/>
        </w:rPr>
        <w:t xml:space="preserve"> პირდაპირ </w:t>
      </w:r>
      <w:r w:rsidR="00646D95" w:rsidRPr="00FC5C72">
        <w:rPr>
          <w:sz w:val="24"/>
          <w:szCs w:val="24"/>
        </w:rPr>
        <w:t>თუ</w:t>
      </w:r>
      <w:r w:rsidRPr="00FC5C72">
        <w:rPr>
          <w:sz w:val="24"/>
          <w:szCs w:val="24"/>
        </w:rPr>
        <w:t xml:space="preserve"> არაპირდაპირ უარყოფით</w:t>
      </w:r>
      <w:r w:rsidR="004A1299" w:rsidRPr="00FC5C72">
        <w:rPr>
          <w:sz w:val="24"/>
          <w:szCs w:val="24"/>
        </w:rPr>
        <w:t xml:space="preserve"> </w:t>
      </w:r>
      <w:r w:rsidRPr="00FC5C72">
        <w:rPr>
          <w:sz w:val="24"/>
          <w:szCs w:val="24"/>
        </w:rPr>
        <w:t>გავლენა</w:t>
      </w:r>
      <w:r w:rsidR="004A1299" w:rsidRPr="00FC5C72">
        <w:rPr>
          <w:sz w:val="24"/>
          <w:szCs w:val="24"/>
        </w:rPr>
        <w:t>ზე</w:t>
      </w:r>
      <w:r w:rsidRPr="00FC5C72">
        <w:rPr>
          <w:sz w:val="24"/>
          <w:szCs w:val="24"/>
        </w:rPr>
        <w:t xml:space="preserve"> რეპროდუქციულ</w:t>
      </w:r>
      <w:r w:rsidR="004A1299" w:rsidRPr="00FC5C72">
        <w:rPr>
          <w:sz w:val="24"/>
          <w:szCs w:val="24"/>
        </w:rPr>
        <w:t xml:space="preserve">ი ტოქსიკურობის სახით. </w:t>
      </w:r>
      <w:r w:rsidRPr="00FC5C72">
        <w:rPr>
          <w:sz w:val="24"/>
          <w:szCs w:val="24"/>
        </w:rPr>
        <w:t xml:space="preserve">სიფრთხილის მიზნით </w:t>
      </w:r>
      <w:r w:rsidR="004A1299" w:rsidRPr="00FC5C72">
        <w:rPr>
          <w:sz w:val="24"/>
          <w:szCs w:val="24"/>
        </w:rPr>
        <w:t xml:space="preserve">ორსულობის დროს </w:t>
      </w:r>
      <w:r w:rsidRPr="00FC5C72">
        <w:rPr>
          <w:sz w:val="24"/>
          <w:szCs w:val="24"/>
        </w:rPr>
        <w:t>აპიქსაბანის გამოყენება</w:t>
      </w:r>
      <w:r w:rsidR="004A1299" w:rsidRPr="00FC5C72">
        <w:rPr>
          <w:sz w:val="24"/>
          <w:szCs w:val="24"/>
        </w:rPr>
        <w:t xml:space="preserve"> </w:t>
      </w:r>
      <w:r w:rsidRPr="00FC5C72">
        <w:rPr>
          <w:sz w:val="24"/>
          <w:szCs w:val="24"/>
        </w:rPr>
        <w:t>თავიდან უნდა იქნას აცილებული.</w:t>
      </w:r>
    </w:p>
    <w:p w14:paraId="5D34C8B8" w14:textId="77777777" w:rsidR="004A1299" w:rsidRPr="00FC5C72" w:rsidRDefault="004A1299" w:rsidP="00785B18">
      <w:pPr>
        <w:pStyle w:val="ListParagraph"/>
        <w:spacing w:after="0" w:line="240" w:lineRule="auto"/>
        <w:ind w:left="0"/>
        <w:jc w:val="both"/>
        <w:rPr>
          <w:i/>
          <w:iCs/>
          <w:sz w:val="24"/>
          <w:szCs w:val="24"/>
        </w:rPr>
      </w:pPr>
      <w:r w:rsidRPr="00FC5C72">
        <w:rPr>
          <w:i/>
          <w:iCs/>
          <w:sz w:val="24"/>
          <w:szCs w:val="24"/>
        </w:rPr>
        <w:t>ძუძუთი კვება</w:t>
      </w:r>
    </w:p>
    <w:p w14:paraId="62533F1E" w14:textId="77777777" w:rsidR="004A1299" w:rsidRPr="00FC5C72" w:rsidRDefault="00FF37C9" w:rsidP="00785B18">
      <w:pPr>
        <w:pStyle w:val="ListParagraph"/>
        <w:spacing w:after="0" w:line="240" w:lineRule="auto"/>
        <w:ind w:left="0"/>
        <w:jc w:val="both"/>
        <w:rPr>
          <w:sz w:val="24"/>
          <w:szCs w:val="24"/>
        </w:rPr>
      </w:pPr>
      <w:r w:rsidRPr="00FC5C72">
        <w:rPr>
          <w:sz w:val="24"/>
          <w:szCs w:val="24"/>
        </w:rPr>
        <w:t>უცნობია</w:t>
      </w:r>
      <w:r w:rsidR="004A1299" w:rsidRPr="00FC5C72">
        <w:rPr>
          <w:sz w:val="24"/>
          <w:szCs w:val="24"/>
        </w:rPr>
        <w:t>,</w:t>
      </w:r>
      <w:r w:rsidRPr="00FC5C72">
        <w:rPr>
          <w:sz w:val="24"/>
          <w:szCs w:val="24"/>
        </w:rPr>
        <w:t xml:space="preserve"> გამოიყოფა თუ არა აპიქსაბანი ან მისი მეტაბოლიტები დედის რძეში. ცხოველებზე</w:t>
      </w:r>
      <w:r w:rsidR="004A1299" w:rsidRPr="00FC5C72">
        <w:rPr>
          <w:sz w:val="24"/>
          <w:szCs w:val="24"/>
        </w:rPr>
        <w:t xml:space="preserve"> </w:t>
      </w:r>
      <w:r w:rsidRPr="00FC5C72">
        <w:rPr>
          <w:sz w:val="24"/>
          <w:szCs w:val="24"/>
        </w:rPr>
        <w:t>ჩატარებული კვლევების ხელმისაწვდომი მონაცემები მიუთითებენ აპიქსაბანის ექსკრეციაზე</w:t>
      </w:r>
      <w:r w:rsidR="004A1299" w:rsidRPr="00FC5C72">
        <w:rPr>
          <w:sz w:val="24"/>
          <w:szCs w:val="24"/>
        </w:rPr>
        <w:t xml:space="preserve"> </w:t>
      </w:r>
      <w:r w:rsidRPr="00FC5C72">
        <w:rPr>
          <w:sz w:val="24"/>
          <w:szCs w:val="24"/>
        </w:rPr>
        <w:t xml:space="preserve">დედის რძეში. ძუძუზე მყოფი ბავშვისთვის რისკი არ შეიძლება იყოს გამორიცხული. </w:t>
      </w:r>
    </w:p>
    <w:p w14:paraId="347D056B" w14:textId="6155C737" w:rsidR="00646D95" w:rsidRPr="00FC5C72" w:rsidRDefault="00FF37C9" w:rsidP="00785B18">
      <w:pPr>
        <w:pStyle w:val="ListParagraph"/>
        <w:spacing w:after="0" w:line="240" w:lineRule="auto"/>
        <w:ind w:left="0"/>
        <w:jc w:val="both"/>
        <w:rPr>
          <w:sz w:val="24"/>
          <w:szCs w:val="24"/>
        </w:rPr>
      </w:pPr>
      <w:r w:rsidRPr="00FC5C72">
        <w:rPr>
          <w:sz w:val="24"/>
          <w:szCs w:val="24"/>
        </w:rPr>
        <w:t>აუცილებელია მიღებულ</w:t>
      </w:r>
      <w:r w:rsidR="004004AE" w:rsidRPr="00FC5C72">
        <w:rPr>
          <w:sz w:val="24"/>
          <w:szCs w:val="24"/>
        </w:rPr>
        <w:t>ი</w:t>
      </w:r>
      <w:r w:rsidRPr="00FC5C72">
        <w:rPr>
          <w:sz w:val="24"/>
          <w:szCs w:val="24"/>
        </w:rPr>
        <w:t xml:space="preserve"> იქნას გადაწყვეტილება ძუძუთი კვების შეწყვეტის ან აპიქსაბანით</w:t>
      </w:r>
      <w:r w:rsidR="004004AE" w:rsidRPr="00FC5C72">
        <w:rPr>
          <w:sz w:val="24"/>
          <w:szCs w:val="24"/>
        </w:rPr>
        <w:t xml:space="preserve"> </w:t>
      </w:r>
      <w:r w:rsidRPr="00FC5C72">
        <w:rPr>
          <w:sz w:val="24"/>
          <w:szCs w:val="24"/>
        </w:rPr>
        <w:t>თერაპიის შეწყვეტის</w:t>
      </w:r>
      <w:r w:rsidR="004004AE" w:rsidRPr="00FC5C72">
        <w:rPr>
          <w:sz w:val="24"/>
          <w:szCs w:val="24"/>
        </w:rPr>
        <w:t xml:space="preserve"> ან შეჩერების</w:t>
      </w:r>
      <w:r w:rsidRPr="00FC5C72">
        <w:rPr>
          <w:sz w:val="24"/>
          <w:szCs w:val="24"/>
        </w:rPr>
        <w:t xml:space="preserve"> შესახებ, ბავშვისთვის ძუძუთი კვების სარგებელისა და</w:t>
      </w:r>
      <w:r w:rsidR="004004AE" w:rsidRPr="00FC5C72">
        <w:rPr>
          <w:sz w:val="24"/>
          <w:szCs w:val="24"/>
        </w:rPr>
        <w:t xml:space="preserve"> </w:t>
      </w:r>
      <w:r w:rsidRPr="00FC5C72">
        <w:rPr>
          <w:sz w:val="24"/>
          <w:szCs w:val="24"/>
        </w:rPr>
        <w:t xml:space="preserve">ქალისთვის მკურნალობის სარგებელის გათვალისწინებით. </w:t>
      </w:r>
    </w:p>
    <w:p w14:paraId="4B59377F" w14:textId="77777777" w:rsidR="004004AE" w:rsidRPr="00FC5C72" w:rsidRDefault="00FF37C9" w:rsidP="00785B18">
      <w:pPr>
        <w:pStyle w:val="ListParagraph"/>
        <w:spacing w:after="0" w:line="240" w:lineRule="auto"/>
        <w:ind w:left="0"/>
        <w:jc w:val="both"/>
        <w:rPr>
          <w:i/>
          <w:iCs/>
          <w:sz w:val="24"/>
          <w:szCs w:val="24"/>
        </w:rPr>
      </w:pPr>
      <w:r w:rsidRPr="00FC5C72">
        <w:rPr>
          <w:i/>
          <w:iCs/>
          <w:sz w:val="24"/>
          <w:szCs w:val="24"/>
        </w:rPr>
        <w:t xml:space="preserve">ფერტილობა </w:t>
      </w:r>
    </w:p>
    <w:p w14:paraId="19DC054C" w14:textId="3B45AC38" w:rsidR="004004AE" w:rsidRPr="00FC5C72" w:rsidRDefault="00FF37C9" w:rsidP="00785B18">
      <w:pPr>
        <w:pStyle w:val="ListParagraph"/>
        <w:spacing w:after="0" w:line="240" w:lineRule="auto"/>
        <w:ind w:left="0"/>
        <w:jc w:val="both"/>
        <w:rPr>
          <w:sz w:val="24"/>
          <w:szCs w:val="24"/>
        </w:rPr>
      </w:pPr>
      <w:r w:rsidRPr="00FC5C72">
        <w:rPr>
          <w:sz w:val="24"/>
          <w:szCs w:val="24"/>
        </w:rPr>
        <w:t xml:space="preserve">ცხოველებზე ჩატარებულმა კვლევებმა არ გამოავლინა აპიქსაბანის გავლენა </w:t>
      </w:r>
      <w:r w:rsidR="004004AE" w:rsidRPr="00FC5C72">
        <w:rPr>
          <w:sz w:val="24"/>
          <w:szCs w:val="24"/>
        </w:rPr>
        <w:t>ფერტილობაზე</w:t>
      </w:r>
      <w:r w:rsidR="00646D95" w:rsidRPr="00FC5C72">
        <w:rPr>
          <w:sz w:val="24"/>
          <w:szCs w:val="24"/>
        </w:rPr>
        <w:t>.</w:t>
      </w:r>
      <w:r w:rsidR="004004AE" w:rsidRPr="00FC5C72">
        <w:rPr>
          <w:sz w:val="24"/>
          <w:szCs w:val="24"/>
        </w:rPr>
        <w:t xml:space="preserve"> </w:t>
      </w:r>
    </w:p>
    <w:p w14:paraId="0317F2B7" w14:textId="77777777" w:rsidR="004004AE" w:rsidRPr="00FC5C72" w:rsidRDefault="004004AE" w:rsidP="00785B18">
      <w:pPr>
        <w:pStyle w:val="ListParagraph"/>
        <w:spacing w:after="0" w:line="240" w:lineRule="auto"/>
        <w:ind w:left="0"/>
        <w:jc w:val="both"/>
        <w:rPr>
          <w:sz w:val="24"/>
          <w:szCs w:val="24"/>
        </w:rPr>
      </w:pPr>
    </w:p>
    <w:p w14:paraId="63A5AE40" w14:textId="77777777" w:rsidR="004004AE" w:rsidRPr="00FC5C72" w:rsidRDefault="00FF37C9" w:rsidP="00785B18">
      <w:pPr>
        <w:pStyle w:val="ListParagraph"/>
        <w:spacing w:after="0" w:line="240" w:lineRule="auto"/>
        <w:ind w:left="0"/>
        <w:jc w:val="both"/>
        <w:rPr>
          <w:sz w:val="24"/>
          <w:szCs w:val="24"/>
        </w:rPr>
      </w:pPr>
      <w:r w:rsidRPr="00FC5C72">
        <w:rPr>
          <w:b/>
          <w:bCs/>
          <w:sz w:val="24"/>
          <w:szCs w:val="24"/>
        </w:rPr>
        <w:t xml:space="preserve">გავლენა </w:t>
      </w:r>
      <w:r w:rsidR="004004AE" w:rsidRPr="00FC5C72">
        <w:rPr>
          <w:b/>
          <w:bCs/>
          <w:sz w:val="24"/>
          <w:szCs w:val="24"/>
        </w:rPr>
        <w:t>სატრანსპორტო საშუალებების მართვისა</w:t>
      </w:r>
      <w:r w:rsidRPr="00FC5C72">
        <w:rPr>
          <w:b/>
          <w:bCs/>
          <w:sz w:val="24"/>
          <w:szCs w:val="24"/>
        </w:rPr>
        <w:t xml:space="preserve"> და მექანიზმებ</w:t>
      </w:r>
      <w:r w:rsidR="004004AE" w:rsidRPr="00FC5C72">
        <w:rPr>
          <w:b/>
          <w:bCs/>
          <w:sz w:val="24"/>
          <w:szCs w:val="24"/>
        </w:rPr>
        <w:t xml:space="preserve">თან მუშაობის </w:t>
      </w:r>
      <w:r w:rsidRPr="00FC5C72">
        <w:rPr>
          <w:b/>
          <w:bCs/>
          <w:sz w:val="24"/>
          <w:szCs w:val="24"/>
        </w:rPr>
        <w:t>უნარზე</w:t>
      </w:r>
      <w:r w:rsidRPr="00FC5C72">
        <w:rPr>
          <w:sz w:val="24"/>
          <w:szCs w:val="24"/>
        </w:rPr>
        <w:t xml:space="preserve"> </w:t>
      </w:r>
    </w:p>
    <w:p w14:paraId="1EC03051" w14:textId="7525EF5F" w:rsidR="00FF37C9" w:rsidRPr="00FC5C72" w:rsidRDefault="004004AE" w:rsidP="00785B18">
      <w:pPr>
        <w:pStyle w:val="ListParagraph"/>
        <w:spacing w:after="0" w:line="240" w:lineRule="auto"/>
        <w:ind w:left="0"/>
        <w:jc w:val="both"/>
        <w:rPr>
          <w:sz w:val="24"/>
          <w:szCs w:val="24"/>
        </w:rPr>
      </w:pPr>
      <w:r w:rsidRPr="00FC5C72">
        <w:rPr>
          <w:sz w:val="24"/>
          <w:szCs w:val="24"/>
        </w:rPr>
        <w:t>ელიქვისი</w:t>
      </w:r>
      <w:r w:rsidR="00FF37C9" w:rsidRPr="00FC5C72">
        <w:rPr>
          <w:sz w:val="24"/>
          <w:szCs w:val="24"/>
        </w:rPr>
        <w:t xml:space="preserve"> არ ახდენს გავლენას ან აქვს უმნიშვნელო გავლენა ავტოტრანსპორტის </w:t>
      </w:r>
      <w:r w:rsidRPr="00FC5C72">
        <w:rPr>
          <w:sz w:val="24"/>
          <w:szCs w:val="24"/>
        </w:rPr>
        <w:t xml:space="preserve">მართვისა </w:t>
      </w:r>
      <w:r w:rsidR="00FF37C9" w:rsidRPr="00FC5C72">
        <w:rPr>
          <w:sz w:val="24"/>
          <w:szCs w:val="24"/>
        </w:rPr>
        <w:t>და მექანიზმებ</w:t>
      </w:r>
      <w:r w:rsidRPr="00FC5C72">
        <w:rPr>
          <w:sz w:val="24"/>
          <w:szCs w:val="24"/>
        </w:rPr>
        <w:t>თან მუშაობის</w:t>
      </w:r>
      <w:r w:rsidR="00FF37C9" w:rsidRPr="00FC5C72">
        <w:rPr>
          <w:sz w:val="24"/>
          <w:szCs w:val="24"/>
        </w:rPr>
        <w:t xml:space="preserve"> უნარზე.</w:t>
      </w:r>
    </w:p>
    <w:p w14:paraId="2874813A" w14:textId="4B5CF94F" w:rsidR="00C44907" w:rsidRPr="00FC5C72" w:rsidRDefault="00C44907" w:rsidP="00785B18">
      <w:pPr>
        <w:spacing w:after="0" w:line="240" w:lineRule="auto"/>
        <w:jc w:val="both"/>
        <w:rPr>
          <w:rFonts w:eastAsia="HelveticaCyr-Upright"/>
          <w:i/>
          <w:iCs/>
          <w:sz w:val="24"/>
          <w:szCs w:val="24"/>
        </w:rPr>
      </w:pPr>
    </w:p>
    <w:p w14:paraId="48D537D2" w14:textId="47E29170" w:rsidR="004004AE" w:rsidRPr="00FC5C72" w:rsidRDefault="004004AE" w:rsidP="00785B18">
      <w:pPr>
        <w:spacing w:after="0" w:line="240" w:lineRule="auto"/>
        <w:jc w:val="both"/>
        <w:rPr>
          <w:rFonts w:eastAsia="HelveticaCyr-Upright"/>
          <w:b/>
          <w:bCs/>
          <w:sz w:val="24"/>
          <w:szCs w:val="24"/>
        </w:rPr>
      </w:pPr>
      <w:r w:rsidRPr="00FC5C72">
        <w:rPr>
          <w:rFonts w:eastAsia="HelveticaCyr-Upright"/>
          <w:b/>
          <w:bCs/>
          <w:sz w:val="24"/>
          <w:szCs w:val="24"/>
        </w:rPr>
        <w:t>დოზის გადაჭარბება</w:t>
      </w:r>
    </w:p>
    <w:p w14:paraId="59F25B11" w14:textId="43A95A61" w:rsidR="004004AE" w:rsidRPr="00FC5C72" w:rsidRDefault="004004AE" w:rsidP="00785B18">
      <w:pPr>
        <w:spacing w:after="0" w:line="240" w:lineRule="auto"/>
        <w:jc w:val="both"/>
        <w:rPr>
          <w:rFonts w:eastAsia="HelveticaCyr-Upright"/>
          <w:sz w:val="24"/>
          <w:szCs w:val="24"/>
        </w:rPr>
      </w:pPr>
      <w:r w:rsidRPr="00FC5C72">
        <w:rPr>
          <w:rFonts w:eastAsia="HelveticaCyr-Upright"/>
          <w:sz w:val="24"/>
          <w:szCs w:val="24"/>
        </w:rPr>
        <w:t xml:space="preserve">აპიქსაბანით დოზის გადაჭარბება შეიძლება იწვევდეს სისხლდენის რისკის გაზრდას. </w:t>
      </w:r>
      <w:r w:rsidR="0098580D" w:rsidRPr="00FC5C72">
        <w:rPr>
          <w:rFonts w:eastAsia="HelveticaCyr-Upright"/>
          <w:sz w:val="24"/>
          <w:szCs w:val="24"/>
        </w:rPr>
        <w:t>ჰემორაგიული გართულებების შემთხვევაში მკურნალობა უნდა შეწყდეს და ჩატარდეს სისხლდენის მიზეზის გამოკვლევა. შეიძლება მიზანშეწონილი იყოს შესაბამისი მკურნალობის დაწყება, მაგალითად ქირურგიული ჰემოსტაზი, ახლად</w:t>
      </w:r>
      <w:r w:rsidR="00684517" w:rsidRPr="00FC5C72">
        <w:rPr>
          <w:rFonts w:eastAsia="HelveticaCyr-Upright"/>
          <w:sz w:val="24"/>
          <w:szCs w:val="24"/>
        </w:rPr>
        <w:t xml:space="preserve"> </w:t>
      </w:r>
      <w:r w:rsidR="0098580D" w:rsidRPr="00FC5C72">
        <w:rPr>
          <w:rFonts w:eastAsia="HelveticaCyr-Upright"/>
          <w:sz w:val="24"/>
          <w:szCs w:val="24"/>
        </w:rPr>
        <w:t xml:space="preserve">გაყინული პლაზმის ტრანსფუზია ან </w:t>
      </w:r>
      <w:proofErr w:type="spellStart"/>
      <w:r w:rsidR="0098580D" w:rsidRPr="00FC5C72">
        <w:rPr>
          <w:rFonts w:eastAsia="HelveticaCyr-Upright"/>
          <w:sz w:val="24"/>
          <w:szCs w:val="24"/>
        </w:rPr>
        <w:t>Xa</w:t>
      </w:r>
      <w:proofErr w:type="spellEnd"/>
      <w:r w:rsidR="0098580D" w:rsidRPr="00FC5C72">
        <w:rPr>
          <w:rFonts w:eastAsia="HelveticaCyr-Upright"/>
          <w:sz w:val="24"/>
          <w:szCs w:val="24"/>
        </w:rPr>
        <w:t>-ფაქტორის ინჰიბიტორების მოქმედების გამანეიტრალებელი პრეპარატის მიღებ</w:t>
      </w:r>
      <w:r w:rsidR="00646D95" w:rsidRPr="00FC5C72">
        <w:rPr>
          <w:rFonts w:eastAsia="HelveticaCyr-Upright"/>
          <w:sz w:val="24"/>
          <w:szCs w:val="24"/>
        </w:rPr>
        <w:t>ა (იხ. პარაგრაფი „განსაკუთრებული მითითება“)</w:t>
      </w:r>
      <w:r w:rsidR="0098580D" w:rsidRPr="00FC5C72">
        <w:rPr>
          <w:rFonts w:eastAsia="HelveticaCyr-Upright"/>
          <w:sz w:val="24"/>
          <w:szCs w:val="24"/>
        </w:rPr>
        <w:t xml:space="preserve">. </w:t>
      </w:r>
    </w:p>
    <w:p w14:paraId="3AAFB366" w14:textId="017D4715" w:rsidR="00007E34" w:rsidRPr="00FC5C72" w:rsidRDefault="00646D95" w:rsidP="00785B18">
      <w:pPr>
        <w:spacing w:after="0" w:line="240" w:lineRule="auto"/>
        <w:jc w:val="both"/>
        <w:rPr>
          <w:rFonts w:eastAsia="HelveticaCyr-Upright"/>
          <w:sz w:val="24"/>
          <w:szCs w:val="24"/>
        </w:rPr>
      </w:pPr>
      <w:r w:rsidRPr="00FC5C72">
        <w:rPr>
          <w:rFonts w:eastAsia="HelveticaCyr-Upright"/>
          <w:sz w:val="24"/>
          <w:szCs w:val="24"/>
        </w:rPr>
        <w:t xml:space="preserve">მოზრდილებში </w:t>
      </w:r>
      <w:r w:rsidR="0098580D" w:rsidRPr="00FC5C72">
        <w:rPr>
          <w:rFonts w:eastAsia="HelveticaCyr-Upright"/>
          <w:sz w:val="24"/>
          <w:szCs w:val="24"/>
        </w:rPr>
        <w:t xml:space="preserve">კონტროლირებული კლინიკური კვლევების დროს დღე-ღამეში 50 მგ-მდე პერორალური დოზების 3-7 დღის განმავლობაში მიღებისას (25 მგ ორჯერ დღე-ღამეში 7 დღის განმავლობაში ან 50 მგ ერთხელ დღე-ღამეში 3 დღის განმავლობაში), არ იყო რეგისტრირებული კლინიკურად მნიშვნელოვანი არასასურველი რეაქციები. </w:t>
      </w:r>
    </w:p>
    <w:p w14:paraId="754C085C" w14:textId="1FF9DCC1" w:rsidR="00646D95" w:rsidRPr="00FC5C72" w:rsidRDefault="00007E34" w:rsidP="00785B18">
      <w:pPr>
        <w:spacing w:after="0" w:line="240" w:lineRule="auto"/>
        <w:jc w:val="both"/>
        <w:rPr>
          <w:rFonts w:eastAsia="HelveticaCyr-Upright"/>
          <w:sz w:val="24"/>
          <w:szCs w:val="24"/>
        </w:rPr>
      </w:pPr>
      <w:r w:rsidRPr="00FC5C72">
        <w:rPr>
          <w:rFonts w:eastAsia="HelveticaCyr-Upright"/>
          <w:sz w:val="24"/>
          <w:szCs w:val="24"/>
        </w:rPr>
        <w:t xml:space="preserve">ჯანმრთელ </w:t>
      </w:r>
      <w:r w:rsidR="00646D95" w:rsidRPr="00FC5C72">
        <w:rPr>
          <w:rFonts w:eastAsia="HelveticaCyr-Upright"/>
          <w:sz w:val="24"/>
          <w:szCs w:val="24"/>
        </w:rPr>
        <w:t xml:space="preserve">მოზრდილ </w:t>
      </w:r>
      <w:r w:rsidRPr="00FC5C72">
        <w:rPr>
          <w:rFonts w:eastAsia="HelveticaCyr-Upright"/>
          <w:sz w:val="24"/>
          <w:szCs w:val="24"/>
        </w:rPr>
        <w:t xml:space="preserve">მოხალისეებში აქტივირებული ნახშირის მიღება 20 </w:t>
      </w:r>
      <w:proofErr w:type="spellStart"/>
      <w:r w:rsidRPr="00FC5C72">
        <w:rPr>
          <w:rFonts w:eastAsia="HelveticaCyr-Upright"/>
          <w:sz w:val="24"/>
          <w:szCs w:val="24"/>
        </w:rPr>
        <w:t>მგ</w:t>
      </w:r>
      <w:proofErr w:type="spellEnd"/>
      <w:r w:rsidRPr="00FC5C72">
        <w:rPr>
          <w:rFonts w:eastAsia="HelveticaCyr-Upright"/>
          <w:sz w:val="24"/>
          <w:szCs w:val="24"/>
        </w:rPr>
        <w:t xml:space="preserve"> დოზით </w:t>
      </w:r>
      <w:proofErr w:type="spellStart"/>
      <w:r w:rsidRPr="00FC5C72">
        <w:rPr>
          <w:rFonts w:eastAsia="HelveticaCyr-Upright"/>
          <w:sz w:val="24"/>
          <w:szCs w:val="24"/>
        </w:rPr>
        <w:t>აპიქსაბანის</w:t>
      </w:r>
      <w:proofErr w:type="spellEnd"/>
      <w:r w:rsidRPr="00FC5C72">
        <w:rPr>
          <w:rFonts w:eastAsia="HelveticaCyr-Upright"/>
          <w:sz w:val="24"/>
          <w:szCs w:val="24"/>
        </w:rPr>
        <w:t xml:space="preserve"> მიღებიდან 2 და 6 საათის შემდეგ შესაბამისად 50%-ით და 27%-ით ამცირებდა </w:t>
      </w:r>
      <w:proofErr w:type="spellStart"/>
      <w:r w:rsidRPr="00FC5C72">
        <w:rPr>
          <w:rFonts w:eastAsia="HelveticaCyr-Upright"/>
          <w:sz w:val="24"/>
          <w:szCs w:val="24"/>
        </w:rPr>
        <w:t>აპიქსაბანის</w:t>
      </w:r>
      <w:proofErr w:type="spellEnd"/>
      <w:r w:rsidRPr="00FC5C72">
        <w:rPr>
          <w:rFonts w:eastAsia="HelveticaCyr-Upright"/>
          <w:sz w:val="24"/>
          <w:szCs w:val="24"/>
        </w:rPr>
        <w:t xml:space="preserve"> AUC საშუალო მნიშვნელობას, და არ შეცვალა </w:t>
      </w:r>
      <w:proofErr w:type="spellStart"/>
      <w:r w:rsidRPr="00FC5C72">
        <w:rPr>
          <w:rFonts w:eastAsia="HelveticaCyr-Upright"/>
          <w:sz w:val="24"/>
          <w:szCs w:val="24"/>
        </w:rPr>
        <w:t>C</w:t>
      </w:r>
      <w:r w:rsidRPr="00FC5C72">
        <w:rPr>
          <w:rFonts w:eastAsia="HelveticaCyr-Upright"/>
          <w:sz w:val="24"/>
          <w:szCs w:val="24"/>
          <w:vertAlign w:val="subscript"/>
        </w:rPr>
        <w:t>max</w:t>
      </w:r>
      <w:proofErr w:type="spellEnd"/>
      <w:r w:rsidRPr="00FC5C72">
        <w:rPr>
          <w:rFonts w:eastAsia="HelveticaCyr-Upright"/>
          <w:sz w:val="24"/>
          <w:szCs w:val="24"/>
        </w:rPr>
        <w:t xml:space="preserve"> მნიშვნელობა. აპიქსაბანის ნახევარგამოყოფის საშუალო პერიოდი შემცირდა 13.4 საათიდან მხოლოდ აპიქსაბანის მიღებისას, შესაბამისად 5.3 საათამდე და 4.9 საათამდე აქტივირებული ნახშირის მიღებისას აპიქსაბანის მიღებიდან 2 და 6 საათში. შესაბამისად, აქტივირებული ნახშირის მიღება შეიძლება სასარგებლო იყოს აპიქსაბანის</w:t>
      </w:r>
      <w:r w:rsidR="00B34FDC" w:rsidRPr="00FC5C72">
        <w:rPr>
          <w:rFonts w:eastAsia="HelveticaCyr-Upright"/>
          <w:sz w:val="24"/>
          <w:szCs w:val="24"/>
        </w:rPr>
        <w:t xml:space="preserve"> დოზის</w:t>
      </w:r>
      <w:r w:rsidRPr="00FC5C72">
        <w:rPr>
          <w:rFonts w:eastAsia="HelveticaCyr-Upright"/>
          <w:sz w:val="24"/>
          <w:szCs w:val="24"/>
        </w:rPr>
        <w:t xml:space="preserve"> შემთხვევით ან განზრახ გადაჭარბებისას</w:t>
      </w:r>
      <w:r w:rsidR="00B34FDC" w:rsidRPr="00FC5C72">
        <w:rPr>
          <w:rFonts w:eastAsia="HelveticaCyr-Upright"/>
          <w:sz w:val="24"/>
          <w:szCs w:val="24"/>
        </w:rPr>
        <w:t xml:space="preserve">. </w:t>
      </w:r>
    </w:p>
    <w:p w14:paraId="4E5550F4" w14:textId="13EB43B9" w:rsidR="004F725F" w:rsidRPr="00FC5C72" w:rsidRDefault="004F725F" w:rsidP="00785B18">
      <w:pPr>
        <w:spacing w:after="0" w:line="240" w:lineRule="auto"/>
        <w:jc w:val="both"/>
        <w:rPr>
          <w:sz w:val="24"/>
          <w:szCs w:val="24"/>
        </w:rPr>
      </w:pPr>
      <w:r w:rsidRPr="00FC5C72">
        <w:rPr>
          <w:sz w:val="24"/>
          <w:szCs w:val="24"/>
        </w:rPr>
        <w:t xml:space="preserve">თირკმელების უკმარისობის ტერმინალური სტადიის მქონე პაციენტებში ჰემოდიალიზი 14%-ით ამცირებდა </w:t>
      </w:r>
      <w:proofErr w:type="spellStart"/>
      <w:r w:rsidRPr="00FC5C72">
        <w:rPr>
          <w:sz w:val="24"/>
          <w:szCs w:val="24"/>
        </w:rPr>
        <w:t>აპიქსაბანის</w:t>
      </w:r>
      <w:proofErr w:type="spellEnd"/>
      <w:r w:rsidRPr="00FC5C72">
        <w:rPr>
          <w:sz w:val="24"/>
          <w:szCs w:val="24"/>
        </w:rPr>
        <w:t xml:space="preserve"> AUC მნიშვნელობას 5 </w:t>
      </w:r>
      <w:proofErr w:type="spellStart"/>
      <w:r w:rsidRPr="00FC5C72">
        <w:rPr>
          <w:sz w:val="24"/>
          <w:szCs w:val="24"/>
        </w:rPr>
        <w:t>მგ</w:t>
      </w:r>
      <w:proofErr w:type="spellEnd"/>
      <w:r w:rsidRPr="00FC5C72">
        <w:rPr>
          <w:sz w:val="24"/>
          <w:szCs w:val="24"/>
        </w:rPr>
        <w:t xml:space="preserve"> ერთჯერადი დოზით </w:t>
      </w:r>
      <w:proofErr w:type="spellStart"/>
      <w:r w:rsidRPr="00FC5C72">
        <w:rPr>
          <w:sz w:val="24"/>
          <w:szCs w:val="24"/>
        </w:rPr>
        <w:t>აპიქსაბანის</w:t>
      </w:r>
      <w:proofErr w:type="spellEnd"/>
      <w:r w:rsidRPr="00FC5C72">
        <w:rPr>
          <w:sz w:val="24"/>
          <w:szCs w:val="24"/>
        </w:rPr>
        <w:t xml:space="preserve"> პერორალურად მიღების შემდეგ. აქედან გამომდინარე, ნაკლებად სავარაუდოა, რომ ჰემოდიალიზი იყოს აპიქსაბანით დოზის გადაჭარბების</w:t>
      </w:r>
      <w:r w:rsidRPr="00FC5C72">
        <w:rPr>
          <w:rFonts w:eastAsia="HelveticaCyr-Upright"/>
          <w:i/>
          <w:iCs/>
          <w:sz w:val="24"/>
          <w:szCs w:val="24"/>
        </w:rPr>
        <w:t xml:space="preserve"> </w:t>
      </w:r>
      <w:r w:rsidRPr="00FC5C72">
        <w:rPr>
          <w:sz w:val="24"/>
          <w:szCs w:val="24"/>
        </w:rPr>
        <w:t>მკურნალობის ეფექტიანი მეთოდი.</w:t>
      </w:r>
    </w:p>
    <w:p w14:paraId="6DE3860D" w14:textId="7CBFD1AB" w:rsidR="00D30D9C" w:rsidRPr="00FC5C72" w:rsidRDefault="00B34FDC" w:rsidP="00785B18">
      <w:pPr>
        <w:spacing w:after="0" w:line="240" w:lineRule="auto"/>
        <w:jc w:val="both"/>
        <w:rPr>
          <w:rFonts w:eastAsia="HelveticaCyr-Upright"/>
          <w:sz w:val="24"/>
          <w:szCs w:val="24"/>
        </w:rPr>
      </w:pPr>
      <w:r w:rsidRPr="00FC5C72">
        <w:rPr>
          <w:rFonts w:eastAsia="HelveticaCyr-Upright"/>
          <w:sz w:val="24"/>
          <w:szCs w:val="24"/>
        </w:rPr>
        <w:t xml:space="preserve">სიცოცხლისთვის საშიში ან უკონტროლო სისხლდენის გამო </w:t>
      </w:r>
      <w:proofErr w:type="spellStart"/>
      <w:r w:rsidRPr="00FC5C72">
        <w:rPr>
          <w:rFonts w:eastAsia="HelveticaCyr-Upright"/>
          <w:sz w:val="24"/>
          <w:szCs w:val="24"/>
        </w:rPr>
        <w:t>ანტიკოაგულაციური</w:t>
      </w:r>
      <w:proofErr w:type="spellEnd"/>
      <w:r w:rsidRPr="00FC5C72">
        <w:rPr>
          <w:rFonts w:eastAsia="HelveticaCyr-Upright"/>
          <w:sz w:val="24"/>
          <w:szCs w:val="24"/>
        </w:rPr>
        <w:t xml:space="preserve"> აქტივობის განეიტრალების აუცილებლობის შემთხვევისთვის ხელმისაწვდომია პრეპარატი, რომელსაც შეუძლია გაანეიტრალოს </w:t>
      </w:r>
      <w:proofErr w:type="spellStart"/>
      <w:r w:rsidRPr="00FC5C72">
        <w:rPr>
          <w:rFonts w:eastAsia="HelveticaCyr-Upright"/>
          <w:sz w:val="24"/>
          <w:szCs w:val="24"/>
        </w:rPr>
        <w:t>Xa</w:t>
      </w:r>
      <w:proofErr w:type="spellEnd"/>
      <w:r w:rsidRPr="00FC5C72">
        <w:rPr>
          <w:rFonts w:eastAsia="HelveticaCyr-Upright"/>
          <w:sz w:val="24"/>
          <w:szCs w:val="24"/>
        </w:rPr>
        <w:t>-ფაქტორის ინჰიბიტორების</w:t>
      </w:r>
      <w:r w:rsidR="004F725F" w:rsidRPr="00FC5C72">
        <w:rPr>
          <w:rFonts w:eastAsia="HelveticaCyr-Upright"/>
          <w:sz w:val="24"/>
          <w:szCs w:val="24"/>
        </w:rPr>
        <w:t xml:space="preserve"> (</w:t>
      </w:r>
      <w:proofErr w:type="spellStart"/>
      <w:r w:rsidR="004F725F" w:rsidRPr="00FC5C72">
        <w:rPr>
          <w:rFonts w:eastAsia="HelveticaCyr-Upright"/>
          <w:sz w:val="24"/>
          <w:szCs w:val="24"/>
        </w:rPr>
        <w:t>ანდექსანეტი</w:t>
      </w:r>
      <w:proofErr w:type="spellEnd"/>
      <w:r w:rsidR="004F725F" w:rsidRPr="00FC5C72">
        <w:rPr>
          <w:rFonts w:eastAsia="HelveticaCyr-Upright"/>
          <w:sz w:val="24"/>
          <w:szCs w:val="24"/>
        </w:rPr>
        <w:t xml:space="preserve"> ალფა)</w:t>
      </w:r>
      <w:r w:rsidRPr="00FC5C72">
        <w:rPr>
          <w:rFonts w:eastAsia="HelveticaCyr-Upright"/>
          <w:sz w:val="24"/>
          <w:szCs w:val="24"/>
        </w:rPr>
        <w:t xml:space="preserve"> მოქმედება (იხ. პარაგრაფი </w:t>
      </w:r>
      <w:r w:rsidR="00B11529" w:rsidRPr="00FC5C72">
        <w:rPr>
          <w:rFonts w:eastAsia="HelveticaCyr-Upright"/>
          <w:sz w:val="24"/>
          <w:szCs w:val="24"/>
        </w:rPr>
        <w:t>„</w:t>
      </w:r>
      <w:r w:rsidRPr="00FC5C72">
        <w:rPr>
          <w:rFonts w:eastAsia="HelveticaCyr-Upright"/>
          <w:sz w:val="24"/>
          <w:szCs w:val="24"/>
        </w:rPr>
        <w:t xml:space="preserve">განსაკუთრებული მითითება“). ასევე, შეიძლება განხილული იქნას </w:t>
      </w:r>
      <w:proofErr w:type="spellStart"/>
      <w:r w:rsidRPr="00FC5C72">
        <w:rPr>
          <w:rFonts w:eastAsia="HelveticaCyr-Upright"/>
          <w:sz w:val="24"/>
          <w:szCs w:val="24"/>
        </w:rPr>
        <w:t>პროთრომბინული</w:t>
      </w:r>
      <w:proofErr w:type="spellEnd"/>
      <w:r w:rsidRPr="00FC5C72">
        <w:rPr>
          <w:rFonts w:eastAsia="HelveticaCyr-Upright"/>
          <w:sz w:val="24"/>
          <w:szCs w:val="24"/>
        </w:rPr>
        <w:t xml:space="preserve"> კომპლექსის კონცენტრატის (</w:t>
      </w:r>
      <w:proofErr w:type="spellStart"/>
      <w:r w:rsidRPr="00FC5C72">
        <w:rPr>
          <w:rFonts w:eastAsia="HelveticaCyr-Upright"/>
          <w:sz w:val="24"/>
          <w:szCs w:val="24"/>
        </w:rPr>
        <w:t>პკკ</w:t>
      </w:r>
      <w:proofErr w:type="spellEnd"/>
      <w:r w:rsidRPr="00FC5C72">
        <w:rPr>
          <w:rFonts w:eastAsia="HelveticaCyr-Upright"/>
          <w:sz w:val="24"/>
          <w:szCs w:val="24"/>
        </w:rPr>
        <w:t xml:space="preserve">) ან </w:t>
      </w:r>
      <w:proofErr w:type="spellStart"/>
      <w:r w:rsidRPr="00FC5C72">
        <w:rPr>
          <w:rFonts w:eastAsia="HelveticaCyr-Upright"/>
          <w:sz w:val="24"/>
          <w:szCs w:val="24"/>
        </w:rPr>
        <w:t>VIIa</w:t>
      </w:r>
      <w:proofErr w:type="spellEnd"/>
      <w:r w:rsidRPr="00FC5C72">
        <w:rPr>
          <w:rFonts w:eastAsia="HelveticaCyr-Upright"/>
          <w:sz w:val="24"/>
          <w:szCs w:val="24"/>
        </w:rPr>
        <w:t xml:space="preserve"> </w:t>
      </w:r>
      <w:proofErr w:type="spellStart"/>
      <w:r w:rsidRPr="00FC5C72">
        <w:rPr>
          <w:rFonts w:eastAsia="HelveticaCyr-Upright"/>
          <w:sz w:val="24"/>
          <w:szCs w:val="24"/>
        </w:rPr>
        <w:t>რეკომბინანტული</w:t>
      </w:r>
      <w:proofErr w:type="spellEnd"/>
      <w:r w:rsidRPr="00FC5C72">
        <w:rPr>
          <w:rFonts w:eastAsia="HelveticaCyr-Upright"/>
          <w:sz w:val="24"/>
          <w:szCs w:val="24"/>
        </w:rPr>
        <w:t xml:space="preserve"> ფაქტორის შეყვანა. აპიქსაბანის ფარმაკოდინამიკური ეფექტების შექცევადობა თ</w:t>
      </w:r>
      <w:r w:rsidR="001F5C15" w:rsidRPr="00FC5C72">
        <w:rPr>
          <w:rFonts w:eastAsia="HelveticaCyr-Upright"/>
          <w:sz w:val="24"/>
          <w:szCs w:val="24"/>
        </w:rPr>
        <w:t>რ</w:t>
      </w:r>
      <w:r w:rsidRPr="00FC5C72">
        <w:rPr>
          <w:rFonts w:eastAsia="HelveticaCyr-Upright"/>
          <w:sz w:val="24"/>
          <w:szCs w:val="24"/>
        </w:rPr>
        <w:t xml:space="preserve">ომბინის გენერაციის </w:t>
      </w:r>
      <w:r w:rsidR="004F725F" w:rsidRPr="00FC5C72">
        <w:rPr>
          <w:rFonts w:eastAsia="HelveticaCyr-Upright"/>
          <w:sz w:val="24"/>
          <w:szCs w:val="24"/>
        </w:rPr>
        <w:t>ტესტის</w:t>
      </w:r>
      <w:r w:rsidRPr="00FC5C72">
        <w:rPr>
          <w:rFonts w:eastAsia="HelveticaCyr-Upright"/>
          <w:sz w:val="24"/>
          <w:szCs w:val="24"/>
        </w:rPr>
        <w:t xml:space="preserve"> შედეგებით აღინიშნა ინფუზიის დასრულებისას, და საწყისი მნიშვნელობები მიღწეული იქნა სისხლის შედედების 4 ფაქტორის შემცველი პკკ-ის 30 წუთიანი ინფუზიის დაწყებიდან 4 საათის განმავლობაში</w:t>
      </w:r>
      <w:r w:rsidR="00D30D9C" w:rsidRPr="00FC5C72">
        <w:rPr>
          <w:rFonts w:eastAsia="HelveticaCyr-Upright"/>
          <w:sz w:val="24"/>
          <w:szCs w:val="24"/>
        </w:rPr>
        <w:t xml:space="preserve">. თუმცა, </w:t>
      </w:r>
      <w:r w:rsidRPr="00FC5C72">
        <w:rPr>
          <w:rFonts w:eastAsia="HelveticaCyr-Upright"/>
          <w:sz w:val="24"/>
          <w:szCs w:val="24"/>
        </w:rPr>
        <w:t xml:space="preserve"> </w:t>
      </w:r>
      <w:r w:rsidR="00D30D9C" w:rsidRPr="00FC5C72">
        <w:rPr>
          <w:rFonts w:eastAsia="HelveticaCyr-Upright"/>
          <w:sz w:val="24"/>
          <w:szCs w:val="24"/>
        </w:rPr>
        <w:t>აპიქსაბანით მკურნალობის პერიოდში სისხლის შედედების 4 ფაქტორის შემცველი პკკ-ის  კლინიკური გამოყენების გამოცდილება</w:t>
      </w:r>
      <w:r w:rsidRPr="00FC5C72">
        <w:rPr>
          <w:rFonts w:eastAsia="HelveticaCyr-Upright"/>
          <w:sz w:val="24"/>
          <w:szCs w:val="24"/>
        </w:rPr>
        <w:t xml:space="preserve"> </w:t>
      </w:r>
      <w:r w:rsidR="00D30D9C" w:rsidRPr="00FC5C72">
        <w:rPr>
          <w:rFonts w:eastAsia="HelveticaCyr-Upright"/>
          <w:sz w:val="24"/>
          <w:szCs w:val="24"/>
        </w:rPr>
        <w:t xml:space="preserve">არ არის. </w:t>
      </w:r>
      <w:proofErr w:type="spellStart"/>
      <w:r w:rsidR="00D30D9C" w:rsidRPr="00FC5C72">
        <w:rPr>
          <w:rFonts w:eastAsia="HelveticaCyr-Upright"/>
          <w:sz w:val="24"/>
          <w:szCs w:val="24"/>
        </w:rPr>
        <w:t>აპიქსაბანის</w:t>
      </w:r>
      <w:proofErr w:type="spellEnd"/>
      <w:r w:rsidR="00D30D9C" w:rsidRPr="00FC5C72">
        <w:rPr>
          <w:rFonts w:eastAsia="HelveticaCyr-Upright"/>
          <w:sz w:val="24"/>
          <w:szCs w:val="24"/>
        </w:rPr>
        <w:t xml:space="preserve"> მიღებისას </w:t>
      </w:r>
      <w:proofErr w:type="spellStart"/>
      <w:r w:rsidR="00D30D9C" w:rsidRPr="00FC5C72">
        <w:rPr>
          <w:rFonts w:eastAsia="HelveticaCyr-Upright"/>
          <w:sz w:val="24"/>
          <w:szCs w:val="24"/>
        </w:rPr>
        <w:t>VIIa</w:t>
      </w:r>
      <w:proofErr w:type="spellEnd"/>
      <w:r w:rsidR="00D30D9C" w:rsidRPr="00FC5C72">
        <w:rPr>
          <w:rFonts w:eastAsia="HelveticaCyr-Upright"/>
          <w:sz w:val="24"/>
          <w:szCs w:val="24"/>
        </w:rPr>
        <w:t xml:space="preserve"> </w:t>
      </w:r>
      <w:proofErr w:type="spellStart"/>
      <w:r w:rsidR="00D30D9C" w:rsidRPr="00FC5C72">
        <w:rPr>
          <w:rFonts w:eastAsia="HelveticaCyr-Upright"/>
          <w:sz w:val="24"/>
          <w:szCs w:val="24"/>
        </w:rPr>
        <w:t>რეკომბინანტული</w:t>
      </w:r>
      <w:proofErr w:type="spellEnd"/>
      <w:r w:rsidR="00D30D9C" w:rsidRPr="00FC5C72">
        <w:rPr>
          <w:rFonts w:eastAsia="HelveticaCyr-Upright"/>
          <w:sz w:val="24"/>
          <w:szCs w:val="24"/>
        </w:rPr>
        <w:t xml:space="preserve"> ფაქტორის გამოყენების გამოცდილება დღეისათვის არ არის.</w:t>
      </w:r>
      <w:r w:rsidR="004F725F" w:rsidRPr="00FC5C72">
        <w:rPr>
          <w:rFonts w:eastAsia="HelveticaCyr-Upright"/>
          <w:sz w:val="24"/>
          <w:szCs w:val="24"/>
        </w:rPr>
        <w:t xml:space="preserve"> სისხლდენის შესუსტებისას </w:t>
      </w:r>
      <w:proofErr w:type="spellStart"/>
      <w:r w:rsidR="004F725F" w:rsidRPr="00FC5C72">
        <w:rPr>
          <w:rFonts w:eastAsia="HelveticaCyr-Upright"/>
          <w:sz w:val="24"/>
          <w:szCs w:val="24"/>
        </w:rPr>
        <w:t>შესალებელია</w:t>
      </w:r>
      <w:proofErr w:type="spellEnd"/>
      <w:r w:rsidR="004F725F" w:rsidRPr="00FC5C72">
        <w:rPr>
          <w:rFonts w:eastAsia="HelveticaCyr-Upright"/>
          <w:sz w:val="24"/>
          <w:szCs w:val="24"/>
        </w:rPr>
        <w:t xml:space="preserve"> </w:t>
      </w:r>
      <w:r w:rsidR="00D30D9C" w:rsidRPr="00FC5C72">
        <w:rPr>
          <w:rFonts w:eastAsia="HelveticaCyr-Upright"/>
          <w:sz w:val="24"/>
          <w:szCs w:val="24"/>
        </w:rPr>
        <w:t xml:space="preserve"> </w:t>
      </w:r>
      <w:proofErr w:type="spellStart"/>
      <w:r w:rsidR="004F725F" w:rsidRPr="00FC5C72">
        <w:rPr>
          <w:rFonts w:eastAsia="HelveticaCyr-Upright"/>
          <w:sz w:val="24"/>
          <w:szCs w:val="24"/>
        </w:rPr>
        <w:t>VIIa</w:t>
      </w:r>
      <w:proofErr w:type="spellEnd"/>
      <w:r w:rsidR="004F725F" w:rsidRPr="00FC5C72">
        <w:rPr>
          <w:rFonts w:eastAsia="HelveticaCyr-Upright"/>
          <w:sz w:val="24"/>
          <w:szCs w:val="24"/>
        </w:rPr>
        <w:t xml:space="preserve"> </w:t>
      </w:r>
      <w:proofErr w:type="spellStart"/>
      <w:r w:rsidR="004F725F" w:rsidRPr="00FC5C72">
        <w:rPr>
          <w:rFonts w:eastAsia="HelveticaCyr-Upright"/>
          <w:sz w:val="24"/>
          <w:szCs w:val="24"/>
        </w:rPr>
        <w:t>რეკომბინანტული</w:t>
      </w:r>
      <w:proofErr w:type="spellEnd"/>
      <w:r w:rsidR="004F725F" w:rsidRPr="00FC5C72">
        <w:rPr>
          <w:rFonts w:eastAsia="HelveticaCyr-Upright"/>
          <w:sz w:val="24"/>
          <w:szCs w:val="24"/>
        </w:rPr>
        <w:t xml:space="preserve"> ფაქტორის </w:t>
      </w:r>
      <w:r w:rsidR="00321098" w:rsidRPr="00FC5C72">
        <w:rPr>
          <w:rFonts w:eastAsia="HelveticaCyr-Upright"/>
          <w:sz w:val="24"/>
          <w:szCs w:val="24"/>
        </w:rPr>
        <w:t>განმეორებით შეყვანა დოზის შეცვლით.</w:t>
      </w:r>
    </w:p>
    <w:p w14:paraId="77244211" w14:textId="4507731F" w:rsidR="00321098" w:rsidRPr="00FC5C72" w:rsidRDefault="00321098" w:rsidP="00785B18">
      <w:pPr>
        <w:spacing w:after="0" w:line="240" w:lineRule="auto"/>
        <w:jc w:val="both"/>
        <w:rPr>
          <w:rFonts w:eastAsia="HelveticaCyr-Upright"/>
          <w:sz w:val="24"/>
          <w:szCs w:val="24"/>
        </w:rPr>
      </w:pPr>
    </w:p>
    <w:p w14:paraId="0B82C658" w14:textId="27BC9784" w:rsidR="00321098" w:rsidRPr="00FC5C72" w:rsidRDefault="00321098" w:rsidP="00785B18">
      <w:pPr>
        <w:spacing w:after="0" w:line="240" w:lineRule="auto"/>
        <w:jc w:val="both"/>
        <w:rPr>
          <w:rFonts w:eastAsia="HelveticaCyr-Upright"/>
          <w:sz w:val="24"/>
          <w:szCs w:val="24"/>
        </w:rPr>
      </w:pPr>
      <w:r w:rsidRPr="00FC5C72">
        <w:rPr>
          <w:rFonts w:eastAsia="HelveticaCyr-Upright"/>
          <w:sz w:val="24"/>
          <w:szCs w:val="24"/>
        </w:rPr>
        <w:t>ბავშვთა ასაკის პაციენტებში აპიქსაბანის ფარმაკოდინამიკური ეფექტის დამთ</w:t>
      </w:r>
      <w:r w:rsidR="00B11529" w:rsidRPr="00FC5C72">
        <w:rPr>
          <w:rFonts w:eastAsia="HelveticaCyr-Upright"/>
          <w:sz w:val="24"/>
          <w:szCs w:val="24"/>
        </w:rPr>
        <w:t>რ</w:t>
      </w:r>
      <w:r w:rsidRPr="00FC5C72">
        <w:rPr>
          <w:rFonts w:eastAsia="HelveticaCyr-Upright"/>
          <w:sz w:val="24"/>
          <w:szCs w:val="24"/>
        </w:rPr>
        <w:t xml:space="preserve">გუნველი ანტიკოაგულანტების სპეციფიკური ბლოკერის (ანდექსანეტი ალფას) მოქმედების შესახებ უცნობია (იხ. </w:t>
      </w:r>
      <w:r w:rsidR="00B11529" w:rsidRPr="00FC5C72">
        <w:rPr>
          <w:rFonts w:eastAsia="HelveticaCyr-Upright"/>
          <w:sz w:val="24"/>
          <w:szCs w:val="24"/>
        </w:rPr>
        <w:t xml:space="preserve">პრეპარატ </w:t>
      </w:r>
      <w:r w:rsidRPr="00FC5C72">
        <w:rPr>
          <w:rFonts w:eastAsia="HelveticaCyr-Upright"/>
          <w:sz w:val="24"/>
          <w:szCs w:val="24"/>
        </w:rPr>
        <w:t xml:space="preserve">ანდექსანეტი ალფას მოკლე დახასიათება). ასევე, შეიძლება განხილული იქნას </w:t>
      </w:r>
      <w:proofErr w:type="spellStart"/>
      <w:r w:rsidRPr="00FC5C72">
        <w:rPr>
          <w:rFonts w:eastAsia="HelveticaCyr-Upright"/>
          <w:sz w:val="24"/>
          <w:szCs w:val="24"/>
        </w:rPr>
        <w:t>ახლადგაყინული</w:t>
      </w:r>
      <w:proofErr w:type="spellEnd"/>
      <w:r w:rsidRPr="00FC5C72">
        <w:rPr>
          <w:rFonts w:eastAsia="HelveticaCyr-Upright"/>
          <w:sz w:val="24"/>
          <w:szCs w:val="24"/>
        </w:rPr>
        <w:t xml:space="preserve"> </w:t>
      </w:r>
      <w:proofErr w:type="spellStart"/>
      <w:r w:rsidRPr="00FC5C72">
        <w:rPr>
          <w:rFonts w:eastAsia="HelveticaCyr-Upright"/>
          <w:sz w:val="24"/>
          <w:szCs w:val="24"/>
        </w:rPr>
        <w:t>პლასზმის</w:t>
      </w:r>
      <w:proofErr w:type="spellEnd"/>
      <w:r w:rsidRPr="00FC5C72">
        <w:rPr>
          <w:rFonts w:eastAsia="HelveticaCyr-Upright"/>
          <w:sz w:val="24"/>
          <w:szCs w:val="24"/>
        </w:rPr>
        <w:t xml:space="preserve"> გადასხმის, </w:t>
      </w:r>
      <w:proofErr w:type="spellStart"/>
      <w:r w:rsidRPr="00FC5C72">
        <w:rPr>
          <w:rFonts w:eastAsia="HelveticaCyr-Upright"/>
          <w:sz w:val="24"/>
          <w:szCs w:val="24"/>
        </w:rPr>
        <w:t>პკკ</w:t>
      </w:r>
      <w:proofErr w:type="spellEnd"/>
      <w:r w:rsidRPr="00FC5C72">
        <w:rPr>
          <w:rFonts w:eastAsia="HelveticaCyr-Upright"/>
          <w:sz w:val="24"/>
          <w:szCs w:val="24"/>
        </w:rPr>
        <w:t xml:space="preserve">-ის ან </w:t>
      </w:r>
      <w:proofErr w:type="spellStart"/>
      <w:r w:rsidRPr="00FC5C72">
        <w:rPr>
          <w:rFonts w:eastAsia="HelveticaCyr-Upright"/>
          <w:sz w:val="24"/>
          <w:szCs w:val="24"/>
        </w:rPr>
        <w:t>VIIa</w:t>
      </w:r>
      <w:proofErr w:type="spellEnd"/>
      <w:r w:rsidRPr="00FC5C72">
        <w:rPr>
          <w:rFonts w:eastAsia="HelveticaCyr-Upright"/>
          <w:sz w:val="24"/>
          <w:szCs w:val="24"/>
        </w:rPr>
        <w:t xml:space="preserve"> </w:t>
      </w:r>
      <w:proofErr w:type="spellStart"/>
      <w:r w:rsidRPr="00FC5C72">
        <w:rPr>
          <w:rFonts w:eastAsia="HelveticaCyr-Upright"/>
          <w:sz w:val="24"/>
          <w:szCs w:val="24"/>
        </w:rPr>
        <w:t>რეკომბინანტული</w:t>
      </w:r>
      <w:proofErr w:type="spellEnd"/>
      <w:r w:rsidRPr="00FC5C72">
        <w:rPr>
          <w:rFonts w:eastAsia="HelveticaCyr-Upright"/>
          <w:sz w:val="24"/>
          <w:szCs w:val="24"/>
        </w:rPr>
        <w:t xml:space="preserve"> ფაქტორის შეყვანის შესაძლებლობა. </w:t>
      </w:r>
    </w:p>
    <w:p w14:paraId="054B82FE" w14:textId="35CB87A6" w:rsidR="00321098" w:rsidRPr="00FC5C72" w:rsidRDefault="00321098" w:rsidP="00785B18">
      <w:pPr>
        <w:spacing w:after="0" w:line="240" w:lineRule="auto"/>
        <w:jc w:val="both"/>
        <w:rPr>
          <w:rFonts w:eastAsia="HelveticaCyr-Upright"/>
          <w:sz w:val="24"/>
          <w:szCs w:val="24"/>
        </w:rPr>
      </w:pPr>
      <w:r w:rsidRPr="00FC5C72">
        <w:rPr>
          <w:rFonts w:eastAsia="HelveticaCyr-Upright"/>
          <w:sz w:val="24"/>
          <w:szCs w:val="24"/>
        </w:rPr>
        <w:t xml:space="preserve">მნიშვნელოვანი სისხლდენის შემთხვევაში, თუ ადგილობრივად ხელმისაწვდომია, შეიძლება საჭირო გახდეს ჰემოსტაზის სპეციალისტთან კონსულტაციის გავლა. </w:t>
      </w:r>
    </w:p>
    <w:p w14:paraId="2052A199" w14:textId="7E746A05" w:rsidR="00D30D9C" w:rsidRPr="00FC5C72" w:rsidRDefault="004F725F" w:rsidP="00785B18">
      <w:pPr>
        <w:spacing w:after="0" w:line="240" w:lineRule="auto"/>
        <w:jc w:val="both"/>
        <w:rPr>
          <w:sz w:val="24"/>
          <w:szCs w:val="24"/>
        </w:rPr>
      </w:pPr>
      <w:r w:rsidRPr="00FC5C72">
        <w:rPr>
          <w:sz w:val="24"/>
          <w:szCs w:val="24"/>
        </w:rPr>
        <w:t xml:space="preserve"> </w:t>
      </w:r>
    </w:p>
    <w:p w14:paraId="45588C72" w14:textId="642EBB4A" w:rsidR="00D30D9C" w:rsidRPr="00FC5C72" w:rsidRDefault="00D30D9C" w:rsidP="00785B18">
      <w:pPr>
        <w:spacing w:after="0" w:line="240" w:lineRule="auto"/>
        <w:jc w:val="both"/>
        <w:rPr>
          <w:b/>
          <w:bCs/>
          <w:sz w:val="24"/>
          <w:szCs w:val="24"/>
        </w:rPr>
      </w:pPr>
      <w:r w:rsidRPr="00FC5C72">
        <w:rPr>
          <w:b/>
          <w:bCs/>
          <w:sz w:val="24"/>
          <w:szCs w:val="24"/>
        </w:rPr>
        <w:t>გამოშვების ფორმა</w:t>
      </w:r>
    </w:p>
    <w:p w14:paraId="6FD3FA3E" w14:textId="511F94B5" w:rsidR="00D30D9C" w:rsidRPr="00FC5C72" w:rsidRDefault="00D30D9C" w:rsidP="00785B18">
      <w:pPr>
        <w:spacing w:after="0" w:line="240" w:lineRule="auto"/>
        <w:jc w:val="both"/>
        <w:rPr>
          <w:rFonts w:eastAsia="HelveticaCyr-Upright"/>
          <w:sz w:val="24"/>
          <w:szCs w:val="24"/>
        </w:rPr>
      </w:pPr>
      <w:r w:rsidRPr="00FC5C72">
        <w:rPr>
          <w:rFonts w:eastAsia="HelveticaCyr-Upright"/>
          <w:sz w:val="24"/>
          <w:szCs w:val="24"/>
        </w:rPr>
        <w:t>10 ტაბლეტს ათავსებენ პოლივინილქლორიდის/პოლივინილიდენდიქლორიდის (პვქ/პვდქ) და ალუმინის ფოლგის კონტურულ უჯრედიან შეფუთვაში.</w:t>
      </w:r>
    </w:p>
    <w:p w14:paraId="4398B580" w14:textId="0B1784C6" w:rsidR="00D30D9C" w:rsidRPr="00FC5C72" w:rsidRDefault="00D30D9C" w:rsidP="00785B18">
      <w:pPr>
        <w:spacing w:after="0" w:line="240" w:lineRule="auto"/>
        <w:jc w:val="both"/>
        <w:rPr>
          <w:rFonts w:eastAsia="HelveticaCyr-Upright"/>
          <w:sz w:val="24"/>
          <w:szCs w:val="24"/>
        </w:rPr>
      </w:pPr>
      <w:r w:rsidRPr="00FC5C72">
        <w:rPr>
          <w:rFonts w:eastAsia="HelveticaCyr-Upright"/>
          <w:sz w:val="24"/>
          <w:szCs w:val="24"/>
        </w:rPr>
        <w:t xml:space="preserve">2 ან 6 ბლისტერი გამოყენების ინსტრუქციასთან ერთად მუყაოს კოლოფში. </w:t>
      </w:r>
    </w:p>
    <w:p w14:paraId="204D5415" w14:textId="519F6D4A" w:rsidR="00D30D9C" w:rsidRPr="00FC5C72" w:rsidRDefault="00D30D9C" w:rsidP="00785B18">
      <w:pPr>
        <w:spacing w:after="0" w:line="240" w:lineRule="auto"/>
        <w:jc w:val="both"/>
        <w:rPr>
          <w:rFonts w:eastAsia="HelveticaCyr-Upright"/>
          <w:sz w:val="24"/>
          <w:szCs w:val="24"/>
        </w:rPr>
      </w:pPr>
    </w:p>
    <w:p w14:paraId="6C308A8B" w14:textId="67CF0EF9" w:rsidR="00D30D9C" w:rsidRPr="00FC5C72" w:rsidRDefault="00D30D9C" w:rsidP="00785B18">
      <w:pPr>
        <w:spacing w:after="0" w:line="240" w:lineRule="auto"/>
        <w:jc w:val="both"/>
        <w:rPr>
          <w:rFonts w:eastAsia="HelveticaCyr-Upright"/>
          <w:b/>
          <w:bCs/>
          <w:sz w:val="24"/>
          <w:szCs w:val="24"/>
        </w:rPr>
      </w:pPr>
      <w:r w:rsidRPr="00FC5C72">
        <w:rPr>
          <w:rFonts w:eastAsia="HelveticaCyr-Upright"/>
          <w:b/>
          <w:bCs/>
          <w:sz w:val="24"/>
          <w:szCs w:val="24"/>
        </w:rPr>
        <w:t>შენახვის პირობები</w:t>
      </w:r>
    </w:p>
    <w:p w14:paraId="0D7E628B" w14:textId="25DF8F25" w:rsidR="00D30D9C" w:rsidRPr="00FC5C72" w:rsidRDefault="00D30D9C" w:rsidP="00785B18">
      <w:pPr>
        <w:spacing w:after="0" w:line="240" w:lineRule="auto"/>
        <w:jc w:val="both"/>
        <w:rPr>
          <w:rFonts w:eastAsia="Times New Roman"/>
          <w:sz w:val="24"/>
          <w:szCs w:val="24"/>
          <w:lang w:eastAsia="ru-RU"/>
        </w:rPr>
      </w:pPr>
      <w:r w:rsidRPr="00FC5C72">
        <w:rPr>
          <w:rFonts w:eastAsia="HelveticaCyr-Upright"/>
          <w:sz w:val="24"/>
          <w:szCs w:val="24"/>
        </w:rPr>
        <w:t>შეინახეთ არაუმეტეს 30</w:t>
      </w:r>
      <w:r w:rsidRPr="00FC5C72">
        <w:rPr>
          <w:rFonts w:ascii="Times New Roman" w:eastAsia="Times New Roman" w:hAnsi="Times New Roman"/>
          <w:sz w:val="24"/>
          <w:szCs w:val="24"/>
          <w:lang w:eastAsia="ru-RU"/>
        </w:rPr>
        <w:t>°C</w:t>
      </w:r>
      <w:r w:rsidRPr="00FC5C72">
        <w:rPr>
          <w:rFonts w:eastAsia="Times New Roman"/>
          <w:sz w:val="24"/>
          <w:szCs w:val="24"/>
          <w:lang w:eastAsia="ru-RU"/>
        </w:rPr>
        <w:t xml:space="preserve"> ტემპერატურაზე. </w:t>
      </w:r>
    </w:p>
    <w:p w14:paraId="0C834819" w14:textId="24584087" w:rsidR="00D30D9C" w:rsidRPr="00FC5C72" w:rsidRDefault="00D30D9C" w:rsidP="00785B18">
      <w:pPr>
        <w:spacing w:after="0" w:line="240" w:lineRule="auto"/>
        <w:jc w:val="both"/>
        <w:rPr>
          <w:rFonts w:eastAsia="Times New Roman"/>
          <w:sz w:val="24"/>
          <w:szCs w:val="24"/>
          <w:lang w:eastAsia="ru-RU"/>
        </w:rPr>
      </w:pPr>
      <w:r w:rsidRPr="00FC5C72">
        <w:rPr>
          <w:rFonts w:eastAsia="Times New Roman"/>
          <w:sz w:val="24"/>
          <w:szCs w:val="24"/>
          <w:lang w:eastAsia="ru-RU"/>
        </w:rPr>
        <w:t>შეინახეთ ბავშვებისათვის მიუწვდომელ ადგილზე!</w:t>
      </w:r>
    </w:p>
    <w:p w14:paraId="68B037BC" w14:textId="4B570615" w:rsidR="00D30D9C" w:rsidRPr="00FC5C72" w:rsidRDefault="00D30D9C" w:rsidP="00785B18">
      <w:pPr>
        <w:spacing w:after="0" w:line="240" w:lineRule="auto"/>
        <w:jc w:val="both"/>
        <w:rPr>
          <w:rFonts w:eastAsia="Times New Roman"/>
          <w:sz w:val="24"/>
          <w:szCs w:val="24"/>
          <w:lang w:eastAsia="ru-RU"/>
        </w:rPr>
      </w:pPr>
    </w:p>
    <w:p w14:paraId="649124D9" w14:textId="200DB2E5" w:rsidR="00D30D9C" w:rsidRPr="00FC5C72" w:rsidRDefault="00D30D9C" w:rsidP="00785B18">
      <w:pPr>
        <w:spacing w:after="0" w:line="240" w:lineRule="auto"/>
        <w:jc w:val="both"/>
        <w:rPr>
          <w:rFonts w:eastAsia="Times New Roman"/>
          <w:b/>
          <w:bCs/>
          <w:sz w:val="24"/>
          <w:szCs w:val="24"/>
          <w:lang w:eastAsia="ru-RU"/>
        </w:rPr>
      </w:pPr>
      <w:r w:rsidRPr="00FC5C72">
        <w:rPr>
          <w:rFonts w:eastAsia="Times New Roman"/>
          <w:b/>
          <w:bCs/>
          <w:sz w:val="24"/>
          <w:szCs w:val="24"/>
          <w:lang w:eastAsia="ru-RU"/>
        </w:rPr>
        <w:t>შენახვის ვადა</w:t>
      </w:r>
    </w:p>
    <w:p w14:paraId="4894B58F" w14:textId="5E03A1E8" w:rsidR="00D30D9C" w:rsidRPr="00FC5C72" w:rsidRDefault="00D30D9C"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3 წელი. </w:t>
      </w:r>
    </w:p>
    <w:p w14:paraId="4C673C8A" w14:textId="022B58CA" w:rsidR="00D30D9C" w:rsidRPr="00FC5C72" w:rsidRDefault="00D30D9C" w:rsidP="00785B18">
      <w:pPr>
        <w:spacing w:after="0" w:line="240" w:lineRule="auto"/>
        <w:jc w:val="both"/>
        <w:rPr>
          <w:rFonts w:eastAsia="Times New Roman"/>
          <w:sz w:val="24"/>
          <w:szCs w:val="24"/>
          <w:lang w:eastAsia="ru-RU"/>
        </w:rPr>
      </w:pPr>
      <w:r w:rsidRPr="00FC5C72">
        <w:rPr>
          <w:rFonts w:eastAsia="Times New Roman"/>
          <w:sz w:val="24"/>
          <w:szCs w:val="24"/>
          <w:lang w:eastAsia="ru-RU"/>
        </w:rPr>
        <w:t xml:space="preserve">არ გამოიყენოთ ვარგისობის ვადის გასვლის შემდეგ. </w:t>
      </w:r>
    </w:p>
    <w:p w14:paraId="53F9EE29" w14:textId="36327E41" w:rsidR="00D30D9C" w:rsidRPr="00FC5C72" w:rsidRDefault="00D30D9C" w:rsidP="00785B18">
      <w:pPr>
        <w:spacing w:after="0" w:line="240" w:lineRule="auto"/>
        <w:jc w:val="both"/>
        <w:rPr>
          <w:rFonts w:eastAsia="Times New Roman"/>
          <w:sz w:val="24"/>
          <w:szCs w:val="24"/>
          <w:lang w:eastAsia="ru-RU"/>
        </w:rPr>
      </w:pPr>
    </w:p>
    <w:p w14:paraId="47B68BAD" w14:textId="77777777" w:rsidR="00694F48" w:rsidRPr="00FC5C72" w:rsidRDefault="00D30D9C" w:rsidP="00694F48">
      <w:pPr>
        <w:spacing w:after="0" w:line="240" w:lineRule="auto"/>
        <w:jc w:val="both"/>
        <w:rPr>
          <w:rFonts w:eastAsia="Times New Roman"/>
          <w:b/>
          <w:bCs/>
          <w:sz w:val="24"/>
          <w:szCs w:val="24"/>
          <w:lang w:eastAsia="ru-RU"/>
        </w:rPr>
      </w:pPr>
      <w:r w:rsidRPr="00FC5C72">
        <w:rPr>
          <w:rFonts w:eastAsia="Times New Roman"/>
          <w:b/>
          <w:bCs/>
          <w:sz w:val="24"/>
          <w:szCs w:val="24"/>
          <w:lang w:eastAsia="ru-RU"/>
        </w:rPr>
        <w:t>ა</w:t>
      </w:r>
      <w:r w:rsidR="001F5C15" w:rsidRPr="00FC5C72">
        <w:rPr>
          <w:rFonts w:eastAsia="Times New Roman"/>
          <w:b/>
          <w:bCs/>
          <w:sz w:val="24"/>
          <w:szCs w:val="24"/>
          <w:lang w:eastAsia="ru-RU"/>
        </w:rPr>
        <w:t>ფ</w:t>
      </w:r>
      <w:r w:rsidRPr="00FC5C72">
        <w:rPr>
          <w:rFonts w:eastAsia="Times New Roman"/>
          <w:b/>
          <w:bCs/>
          <w:sz w:val="24"/>
          <w:szCs w:val="24"/>
          <w:lang w:eastAsia="ru-RU"/>
        </w:rPr>
        <w:t>თიაქიდან გაცემის პირობები</w:t>
      </w:r>
    </w:p>
    <w:p w14:paraId="3A5CCEE4" w14:textId="14B03A3A" w:rsidR="00077C9D" w:rsidRPr="00FC5C72" w:rsidRDefault="00077C9D" w:rsidP="00694F48">
      <w:pPr>
        <w:spacing w:after="0" w:line="240" w:lineRule="auto"/>
        <w:jc w:val="both"/>
        <w:rPr>
          <w:rFonts w:eastAsia="Times New Roman"/>
          <w:b/>
          <w:bCs/>
          <w:sz w:val="24"/>
          <w:szCs w:val="24"/>
          <w:lang w:eastAsia="ru-RU"/>
        </w:rPr>
      </w:pPr>
      <w:r w:rsidRPr="00FC5C72">
        <w:rPr>
          <w:rFonts w:ascii="Sylfaen" w:eastAsia="SimSun" w:hAnsi="Sylfaen"/>
          <w:bCs/>
          <w:sz w:val="24"/>
          <w:szCs w:val="24"/>
        </w:rPr>
        <w:t xml:space="preserve">ფარმაცევტული პროდუქტის ჯგუფი II, გაიცემა ფორმა №3 რეცეპტით. </w:t>
      </w:r>
    </w:p>
    <w:p w14:paraId="022CE5CD" w14:textId="0F78881F" w:rsidR="00D30D9C" w:rsidRPr="00FC5C72" w:rsidRDefault="00D30D9C" w:rsidP="00785B18">
      <w:pPr>
        <w:spacing w:after="0" w:line="240" w:lineRule="auto"/>
        <w:jc w:val="both"/>
        <w:rPr>
          <w:rFonts w:eastAsia="Times New Roman"/>
          <w:sz w:val="24"/>
          <w:szCs w:val="24"/>
          <w:lang w:eastAsia="ru-RU"/>
        </w:rPr>
      </w:pPr>
    </w:p>
    <w:p w14:paraId="12CE70F0" w14:textId="77777777" w:rsidR="00694F48" w:rsidRPr="00FC5C72" w:rsidRDefault="00694F48" w:rsidP="00694F48">
      <w:pPr>
        <w:spacing w:after="0" w:line="240" w:lineRule="auto"/>
        <w:jc w:val="both"/>
        <w:rPr>
          <w:rFonts w:eastAsia="Times New Roman"/>
          <w:b/>
          <w:bCs/>
          <w:sz w:val="24"/>
          <w:szCs w:val="24"/>
          <w:lang w:eastAsia="ru-RU"/>
        </w:rPr>
      </w:pPr>
      <w:r w:rsidRPr="00FC5C72">
        <w:rPr>
          <w:rFonts w:eastAsia="Times New Roman"/>
          <w:b/>
          <w:bCs/>
          <w:sz w:val="24"/>
          <w:szCs w:val="24"/>
          <w:lang w:eastAsia="ru-RU"/>
        </w:rPr>
        <w:t>მწარმოებელი</w:t>
      </w:r>
    </w:p>
    <w:p w14:paraId="14CF6C46" w14:textId="77777777" w:rsidR="00694F48" w:rsidRPr="00FC5C72" w:rsidRDefault="00694F48" w:rsidP="00694F48">
      <w:pPr>
        <w:spacing w:after="0" w:line="240" w:lineRule="auto"/>
        <w:jc w:val="both"/>
        <w:rPr>
          <w:rFonts w:eastAsia="Times New Roman"/>
          <w:sz w:val="24"/>
          <w:szCs w:val="24"/>
          <w:lang w:eastAsia="ru-RU"/>
        </w:rPr>
      </w:pPr>
      <w:proofErr w:type="spellStart"/>
      <w:r w:rsidRPr="00FC5C72">
        <w:rPr>
          <w:rFonts w:eastAsia="Times New Roman"/>
          <w:sz w:val="24"/>
          <w:szCs w:val="24"/>
          <w:lang w:eastAsia="ru-RU"/>
        </w:rPr>
        <w:t>ფაიზერ</w:t>
      </w:r>
      <w:proofErr w:type="spellEnd"/>
      <w:r w:rsidRPr="00FC5C72">
        <w:rPr>
          <w:rFonts w:eastAsia="Times New Roman"/>
          <w:sz w:val="24"/>
          <w:szCs w:val="24"/>
          <w:lang w:eastAsia="ru-RU"/>
        </w:rPr>
        <w:t xml:space="preserve"> აირლენდ </w:t>
      </w:r>
      <w:proofErr w:type="spellStart"/>
      <w:r w:rsidRPr="00FC5C72">
        <w:rPr>
          <w:rFonts w:eastAsia="Times New Roman"/>
          <w:sz w:val="24"/>
          <w:szCs w:val="24"/>
          <w:lang w:eastAsia="ru-RU"/>
        </w:rPr>
        <w:t>ფარმასიუტიკალს</w:t>
      </w:r>
      <w:proofErr w:type="spellEnd"/>
    </w:p>
    <w:p w14:paraId="74797F09" w14:textId="77777777" w:rsidR="00694F48" w:rsidRPr="00FC5C72" w:rsidRDefault="00694F48" w:rsidP="00694F48">
      <w:pPr>
        <w:spacing w:after="0" w:line="240" w:lineRule="auto"/>
        <w:jc w:val="both"/>
        <w:rPr>
          <w:rFonts w:eastAsia="Times New Roman"/>
          <w:sz w:val="24"/>
          <w:szCs w:val="24"/>
          <w:lang w:eastAsia="ru-RU"/>
        </w:rPr>
      </w:pPr>
      <w:r w:rsidRPr="00FC5C72">
        <w:rPr>
          <w:rFonts w:eastAsia="Times New Roman"/>
          <w:sz w:val="24"/>
          <w:szCs w:val="24"/>
          <w:lang w:eastAsia="ru-RU"/>
        </w:rPr>
        <w:t xml:space="preserve">ლითლ </w:t>
      </w:r>
      <w:proofErr w:type="spellStart"/>
      <w:r w:rsidRPr="00FC5C72">
        <w:rPr>
          <w:rFonts w:eastAsia="Times New Roman"/>
          <w:sz w:val="24"/>
          <w:szCs w:val="24"/>
          <w:lang w:eastAsia="ru-RU"/>
        </w:rPr>
        <w:t>კონელი</w:t>
      </w:r>
      <w:proofErr w:type="spellEnd"/>
      <w:r w:rsidRPr="00FC5C72">
        <w:rPr>
          <w:rFonts w:eastAsia="Times New Roman"/>
          <w:sz w:val="24"/>
          <w:szCs w:val="24"/>
          <w:lang w:eastAsia="ru-RU"/>
        </w:rPr>
        <w:t xml:space="preserve">, </w:t>
      </w:r>
      <w:proofErr w:type="spellStart"/>
      <w:r w:rsidRPr="00FC5C72">
        <w:rPr>
          <w:rFonts w:eastAsia="Times New Roman"/>
          <w:sz w:val="24"/>
          <w:szCs w:val="24"/>
          <w:lang w:eastAsia="ru-RU"/>
        </w:rPr>
        <w:t>ნიუბრიჯი</w:t>
      </w:r>
      <w:proofErr w:type="spellEnd"/>
      <w:r w:rsidRPr="00FC5C72">
        <w:rPr>
          <w:rFonts w:eastAsia="Times New Roman"/>
          <w:sz w:val="24"/>
          <w:szCs w:val="24"/>
          <w:lang w:eastAsia="ru-RU"/>
        </w:rPr>
        <w:t xml:space="preserve">, </w:t>
      </w:r>
      <w:proofErr w:type="spellStart"/>
      <w:r w:rsidRPr="00FC5C72">
        <w:rPr>
          <w:rFonts w:eastAsia="Times New Roman"/>
          <w:sz w:val="24"/>
          <w:szCs w:val="24"/>
          <w:lang w:eastAsia="ru-RU"/>
        </w:rPr>
        <w:t>კილდერის</w:t>
      </w:r>
      <w:proofErr w:type="spellEnd"/>
      <w:r w:rsidRPr="00FC5C72">
        <w:rPr>
          <w:rFonts w:eastAsia="Times New Roman"/>
          <w:sz w:val="24"/>
          <w:szCs w:val="24"/>
          <w:lang w:eastAsia="ru-RU"/>
        </w:rPr>
        <w:t xml:space="preserve"> საგრაფო, ირლანდია</w:t>
      </w:r>
    </w:p>
    <w:p w14:paraId="740B72A7" w14:textId="77777777" w:rsidR="00694F48" w:rsidRPr="00FC5C72" w:rsidRDefault="00694F48" w:rsidP="00694F48">
      <w:pPr>
        <w:spacing w:after="0" w:line="240" w:lineRule="auto"/>
        <w:jc w:val="both"/>
        <w:rPr>
          <w:rFonts w:eastAsia="Times New Roman"/>
          <w:sz w:val="24"/>
          <w:szCs w:val="24"/>
          <w:lang w:eastAsia="ru-RU"/>
        </w:rPr>
      </w:pPr>
    </w:p>
    <w:p w14:paraId="763A7091" w14:textId="6F7E64E5" w:rsidR="00694F48" w:rsidRPr="00FC5C72" w:rsidRDefault="00694F48" w:rsidP="00694F48">
      <w:pPr>
        <w:spacing w:after="0" w:line="240" w:lineRule="auto"/>
        <w:jc w:val="both"/>
        <w:rPr>
          <w:rFonts w:eastAsia="Times New Roman"/>
          <w:b/>
          <w:bCs/>
          <w:sz w:val="24"/>
          <w:szCs w:val="24"/>
          <w:lang w:eastAsia="ru-RU"/>
        </w:rPr>
      </w:pPr>
      <w:r w:rsidRPr="00FC5C72">
        <w:rPr>
          <w:rFonts w:eastAsia="Times New Roman"/>
          <w:b/>
          <w:bCs/>
          <w:sz w:val="24"/>
          <w:szCs w:val="24"/>
          <w:lang w:eastAsia="ru-RU"/>
        </w:rPr>
        <w:t>შემფუთავი/ხარისხის კონტროლის გამშვები</w:t>
      </w:r>
    </w:p>
    <w:p w14:paraId="3AFD6D47" w14:textId="77777777" w:rsidR="00694F48" w:rsidRPr="00FC5C72" w:rsidRDefault="00694F48" w:rsidP="00694F48">
      <w:pPr>
        <w:pStyle w:val="a"/>
        <w:jc w:val="both"/>
        <w:rPr>
          <w:rFonts w:ascii="Sylfaen" w:hAnsi="Sylfaen"/>
          <w:bCs/>
          <w:sz w:val="24"/>
          <w:szCs w:val="24"/>
          <w:lang w:val="ka-GE"/>
        </w:rPr>
      </w:pPr>
      <w:proofErr w:type="spellStart"/>
      <w:r w:rsidRPr="00FC5C72">
        <w:rPr>
          <w:rFonts w:ascii="Sylfaen" w:hAnsi="Sylfaen"/>
          <w:bCs/>
          <w:sz w:val="24"/>
          <w:szCs w:val="24"/>
          <w:lang w:val="ka-GE"/>
        </w:rPr>
        <w:t>Pfizer</w:t>
      </w:r>
      <w:proofErr w:type="spellEnd"/>
      <w:r w:rsidRPr="00FC5C72">
        <w:rPr>
          <w:rFonts w:ascii="Sylfaen" w:hAnsi="Sylfaen"/>
          <w:bCs/>
          <w:sz w:val="24"/>
          <w:szCs w:val="24"/>
          <w:lang w:val="ka-GE"/>
        </w:rPr>
        <w:t xml:space="preserve"> </w:t>
      </w:r>
      <w:proofErr w:type="spellStart"/>
      <w:r w:rsidRPr="00FC5C72">
        <w:rPr>
          <w:rFonts w:ascii="Sylfaen" w:hAnsi="Sylfaen"/>
          <w:bCs/>
          <w:sz w:val="24"/>
          <w:szCs w:val="24"/>
          <w:lang w:val="ka-GE"/>
        </w:rPr>
        <w:t>Manufacturing</w:t>
      </w:r>
      <w:proofErr w:type="spellEnd"/>
      <w:r w:rsidRPr="00FC5C72">
        <w:rPr>
          <w:rFonts w:ascii="Sylfaen" w:hAnsi="Sylfaen"/>
          <w:bCs/>
          <w:sz w:val="24"/>
          <w:szCs w:val="24"/>
          <w:lang w:val="ka-GE"/>
        </w:rPr>
        <w:t xml:space="preserve"> </w:t>
      </w:r>
      <w:proofErr w:type="spellStart"/>
      <w:r w:rsidRPr="00FC5C72">
        <w:rPr>
          <w:rFonts w:ascii="Sylfaen" w:hAnsi="Sylfaen"/>
          <w:bCs/>
          <w:sz w:val="24"/>
          <w:szCs w:val="24"/>
          <w:lang w:val="ka-GE"/>
        </w:rPr>
        <w:t>Deutschland</w:t>
      </w:r>
      <w:proofErr w:type="spellEnd"/>
      <w:r w:rsidRPr="00FC5C72">
        <w:rPr>
          <w:rFonts w:ascii="Sylfaen" w:hAnsi="Sylfaen"/>
          <w:bCs/>
          <w:sz w:val="24"/>
          <w:szCs w:val="24"/>
          <w:lang w:val="ka-GE"/>
        </w:rPr>
        <w:t xml:space="preserve"> </w:t>
      </w:r>
      <w:proofErr w:type="spellStart"/>
      <w:r w:rsidRPr="00FC5C72">
        <w:rPr>
          <w:rFonts w:ascii="Sylfaen" w:hAnsi="Sylfaen"/>
          <w:bCs/>
          <w:sz w:val="24"/>
          <w:szCs w:val="24"/>
          <w:lang w:val="ka-GE"/>
        </w:rPr>
        <w:t>GmbH</w:t>
      </w:r>
      <w:proofErr w:type="spellEnd"/>
      <w:r w:rsidRPr="00FC5C72">
        <w:rPr>
          <w:rFonts w:ascii="Sylfaen" w:hAnsi="Sylfaen"/>
          <w:bCs/>
          <w:sz w:val="24"/>
          <w:szCs w:val="24"/>
          <w:lang w:val="ka-GE"/>
        </w:rPr>
        <w:t xml:space="preserve"> (შპს </w:t>
      </w:r>
      <w:proofErr w:type="spellStart"/>
      <w:r w:rsidRPr="00FC5C72">
        <w:rPr>
          <w:rFonts w:ascii="Sylfaen" w:hAnsi="Sylfaen"/>
          <w:bCs/>
          <w:sz w:val="24"/>
          <w:szCs w:val="24"/>
          <w:lang w:val="ka-GE"/>
        </w:rPr>
        <w:t>ფაიზერ</w:t>
      </w:r>
      <w:proofErr w:type="spellEnd"/>
      <w:r w:rsidRPr="00FC5C72">
        <w:rPr>
          <w:rFonts w:ascii="Sylfaen" w:hAnsi="Sylfaen"/>
          <w:bCs/>
          <w:sz w:val="24"/>
          <w:szCs w:val="24"/>
          <w:lang w:val="ka-GE"/>
        </w:rPr>
        <w:t xml:space="preserve"> </w:t>
      </w:r>
      <w:proofErr w:type="spellStart"/>
      <w:r w:rsidRPr="00FC5C72">
        <w:rPr>
          <w:rFonts w:ascii="Sylfaen" w:hAnsi="Sylfaen"/>
          <w:bCs/>
          <w:sz w:val="24"/>
          <w:szCs w:val="24"/>
          <w:lang w:val="ka-GE"/>
        </w:rPr>
        <w:t>მანუფაქჩერინგ</w:t>
      </w:r>
      <w:proofErr w:type="spellEnd"/>
      <w:r w:rsidRPr="00FC5C72">
        <w:rPr>
          <w:rFonts w:ascii="Sylfaen" w:hAnsi="Sylfaen"/>
          <w:bCs/>
          <w:sz w:val="24"/>
          <w:szCs w:val="24"/>
          <w:lang w:val="ka-GE"/>
        </w:rPr>
        <w:t xml:space="preserve"> </w:t>
      </w:r>
      <w:proofErr w:type="spellStart"/>
      <w:r w:rsidRPr="00FC5C72">
        <w:rPr>
          <w:rFonts w:ascii="Sylfaen" w:hAnsi="Sylfaen"/>
          <w:bCs/>
          <w:sz w:val="24"/>
          <w:szCs w:val="24"/>
          <w:lang w:val="ka-GE"/>
        </w:rPr>
        <w:t>დოიჩლანდ</w:t>
      </w:r>
      <w:proofErr w:type="spellEnd"/>
      <w:r w:rsidRPr="00FC5C72">
        <w:rPr>
          <w:rFonts w:ascii="Sylfaen" w:hAnsi="Sylfaen"/>
          <w:bCs/>
          <w:sz w:val="24"/>
          <w:szCs w:val="24"/>
          <w:lang w:val="ka-GE"/>
        </w:rPr>
        <w:t>)</w:t>
      </w:r>
    </w:p>
    <w:p w14:paraId="27560759" w14:textId="77777777" w:rsidR="00694F48" w:rsidRPr="00FC5C72" w:rsidRDefault="00694F48" w:rsidP="00694F48">
      <w:pPr>
        <w:pStyle w:val="a"/>
        <w:jc w:val="both"/>
        <w:rPr>
          <w:rFonts w:ascii="Sylfaen" w:hAnsi="Sylfaen"/>
          <w:bCs/>
          <w:sz w:val="24"/>
          <w:szCs w:val="24"/>
          <w:lang w:val="ka-GE"/>
        </w:rPr>
      </w:pPr>
      <w:proofErr w:type="spellStart"/>
      <w:r w:rsidRPr="00FC5C72">
        <w:rPr>
          <w:rFonts w:ascii="Sylfaen" w:hAnsi="Sylfaen"/>
          <w:bCs/>
          <w:sz w:val="24"/>
          <w:szCs w:val="24"/>
          <w:lang w:val="ka-GE"/>
        </w:rPr>
        <w:t>მოოსვალდალეე</w:t>
      </w:r>
      <w:proofErr w:type="spellEnd"/>
      <w:r w:rsidRPr="00FC5C72">
        <w:rPr>
          <w:rFonts w:ascii="Sylfaen" w:hAnsi="Sylfaen"/>
          <w:bCs/>
          <w:sz w:val="24"/>
          <w:szCs w:val="24"/>
          <w:lang w:val="ka-GE"/>
        </w:rPr>
        <w:t xml:space="preserve"> 1, </w:t>
      </w:r>
    </w:p>
    <w:p w14:paraId="2A64B0E8" w14:textId="77777777" w:rsidR="00694F48" w:rsidRPr="00FC5C72" w:rsidRDefault="00694F48" w:rsidP="00694F48">
      <w:pPr>
        <w:pStyle w:val="a"/>
        <w:jc w:val="both"/>
        <w:rPr>
          <w:rFonts w:ascii="Sylfaen" w:hAnsi="Sylfaen"/>
          <w:bCs/>
          <w:sz w:val="24"/>
          <w:szCs w:val="24"/>
          <w:lang w:val="ka-GE"/>
        </w:rPr>
      </w:pPr>
      <w:r w:rsidRPr="00FC5C72">
        <w:rPr>
          <w:rFonts w:ascii="Sylfaen" w:hAnsi="Sylfaen"/>
          <w:bCs/>
          <w:sz w:val="24"/>
          <w:szCs w:val="24"/>
          <w:lang w:val="ka-GE"/>
        </w:rPr>
        <w:t>79</w:t>
      </w:r>
      <w:r w:rsidRPr="00FC5C72">
        <w:rPr>
          <w:rFonts w:ascii="Sylfaen" w:hAnsi="Sylfaen"/>
          <w:bCs/>
          <w:sz w:val="24"/>
          <w:szCs w:val="24"/>
          <w:lang w:val="en-US"/>
        </w:rPr>
        <w:t>108</w:t>
      </w:r>
      <w:r w:rsidRPr="00FC5C72">
        <w:rPr>
          <w:rFonts w:ascii="Sylfaen" w:hAnsi="Sylfaen"/>
          <w:bCs/>
          <w:sz w:val="24"/>
          <w:szCs w:val="24"/>
          <w:lang w:val="ka-GE"/>
        </w:rPr>
        <w:t xml:space="preserve"> ფრაიბურგი</w:t>
      </w:r>
      <w:r w:rsidRPr="00FC5C72">
        <w:rPr>
          <w:rFonts w:ascii="Sylfaen" w:hAnsi="Sylfaen"/>
          <w:bCs/>
          <w:sz w:val="24"/>
          <w:szCs w:val="24"/>
        </w:rPr>
        <w:t xml:space="preserve"> </w:t>
      </w:r>
      <w:proofErr w:type="spellStart"/>
      <w:r w:rsidRPr="00FC5C72">
        <w:rPr>
          <w:rFonts w:ascii="Sylfaen" w:hAnsi="Sylfaen"/>
          <w:bCs/>
          <w:sz w:val="24"/>
          <w:szCs w:val="24"/>
          <w:lang w:val="ka-GE"/>
        </w:rPr>
        <w:t>ბრაისგაუში</w:t>
      </w:r>
      <w:proofErr w:type="spellEnd"/>
      <w:r w:rsidRPr="00FC5C72">
        <w:rPr>
          <w:rFonts w:ascii="Sylfaen" w:hAnsi="Sylfaen"/>
          <w:bCs/>
          <w:sz w:val="24"/>
          <w:szCs w:val="24"/>
          <w:lang w:val="ka-GE"/>
        </w:rPr>
        <w:t>, გერმანია</w:t>
      </w:r>
    </w:p>
    <w:p w14:paraId="73E38A5F" w14:textId="77777777" w:rsidR="00694F48" w:rsidRPr="00FC5C72" w:rsidRDefault="00694F48" w:rsidP="00694F48">
      <w:pPr>
        <w:pStyle w:val="a"/>
        <w:jc w:val="both"/>
        <w:rPr>
          <w:rFonts w:ascii="Sylfaen" w:hAnsi="Sylfaen"/>
          <w:bCs/>
          <w:sz w:val="24"/>
          <w:szCs w:val="24"/>
          <w:lang w:val="ka-GE"/>
        </w:rPr>
      </w:pPr>
    </w:p>
    <w:p w14:paraId="7B405366" w14:textId="77777777" w:rsidR="00694F48" w:rsidRPr="00FC5C72" w:rsidRDefault="00694F48" w:rsidP="00694F48">
      <w:pPr>
        <w:pStyle w:val="a"/>
        <w:jc w:val="both"/>
        <w:rPr>
          <w:rFonts w:ascii="Sylfaen" w:hAnsi="Sylfaen"/>
          <w:b/>
          <w:sz w:val="24"/>
          <w:szCs w:val="24"/>
          <w:lang w:val="ka-GE"/>
        </w:rPr>
      </w:pPr>
      <w:r w:rsidRPr="00FC5C72">
        <w:rPr>
          <w:rFonts w:ascii="Sylfaen" w:hAnsi="Sylfaen"/>
          <w:b/>
          <w:sz w:val="24"/>
          <w:szCs w:val="24"/>
          <w:lang w:val="ka-GE"/>
        </w:rPr>
        <w:t>სარეგისტრაციო მოწმობის მფლობელი</w:t>
      </w:r>
    </w:p>
    <w:p w14:paraId="6DCC57AE" w14:textId="77777777" w:rsidR="00694F48" w:rsidRPr="00FC5C72" w:rsidRDefault="00694F48" w:rsidP="00694F48">
      <w:pPr>
        <w:spacing w:after="0" w:line="240" w:lineRule="auto"/>
        <w:jc w:val="both"/>
        <w:rPr>
          <w:rFonts w:ascii="Sylfaen" w:hAnsi="Sylfaen"/>
          <w:sz w:val="24"/>
          <w:szCs w:val="24"/>
        </w:rPr>
      </w:pPr>
      <w:proofErr w:type="spellStart"/>
      <w:r w:rsidRPr="00FC5C72">
        <w:rPr>
          <w:rFonts w:ascii="Sylfaen" w:hAnsi="Sylfaen"/>
          <w:sz w:val="24"/>
          <w:szCs w:val="24"/>
        </w:rPr>
        <w:t>ფაიზერ</w:t>
      </w:r>
      <w:proofErr w:type="spellEnd"/>
      <w:r w:rsidRPr="00FC5C72">
        <w:rPr>
          <w:rFonts w:ascii="Sylfaen" w:hAnsi="Sylfaen"/>
          <w:sz w:val="24"/>
          <w:szCs w:val="24"/>
        </w:rPr>
        <w:t xml:space="preserve"> </w:t>
      </w:r>
      <w:proofErr w:type="spellStart"/>
      <w:r w:rsidRPr="00FC5C72">
        <w:rPr>
          <w:rFonts w:ascii="Sylfaen" w:hAnsi="Sylfaen"/>
          <w:sz w:val="24"/>
          <w:szCs w:val="24"/>
        </w:rPr>
        <w:t>ეიჩ</w:t>
      </w:r>
      <w:proofErr w:type="spellEnd"/>
      <w:r w:rsidRPr="00FC5C72">
        <w:rPr>
          <w:rFonts w:ascii="Sylfaen" w:hAnsi="Sylfaen"/>
          <w:sz w:val="24"/>
          <w:szCs w:val="24"/>
        </w:rPr>
        <w:t xml:space="preserve"> სი პი </w:t>
      </w:r>
      <w:proofErr w:type="spellStart"/>
      <w:r w:rsidRPr="00FC5C72">
        <w:rPr>
          <w:rFonts w:ascii="Sylfaen" w:hAnsi="Sylfaen"/>
          <w:sz w:val="24"/>
          <w:szCs w:val="24"/>
        </w:rPr>
        <w:t>კორპორეიშნ</w:t>
      </w:r>
      <w:proofErr w:type="spellEnd"/>
      <w:r w:rsidRPr="00FC5C72">
        <w:rPr>
          <w:rFonts w:ascii="Sylfaen" w:hAnsi="Sylfaen"/>
          <w:sz w:val="24"/>
          <w:szCs w:val="24"/>
        </w:rPr>
        <w:t>, აშშ</w:t>
      </w:r>
    </w:p>
    <w:p w14:paraId="534C9024" w14:textId="77777777" w:rsidR="00694F48" w:rsidRPr="00FC5C72" w:rsidRDefault="00694F48" w:rsidP="00694F48">
      <w:pPr>
        <w:spacing w:after="0" w:line="240" w:lineRule="auto"/>
        <w:jc w:val="both"/>
        <w:rPr>
          <w:rFonts w:ascii="Sylfaen" w:hAnsi="Sylfaen"/>
          <w:sz w:val="24"/>
          <w:szCs w:val="24"/>
        </w:rPr>
      </w:pPr>
      <w:r w:rsidRPr="00FC5C72">
        <w:rPr>
          <w:rFonts w:ascii="Sylfaen" w:hAnsi="Sylfaen"/>
          <w:sz w:val="24"/>
          <w:szCs w:val="24"/>
        </w:rPr>
        <w:t xml:space="preserve">66 </w:t>
      </w:r>
      <w:proofErr w:type="spellStart"/>
      <w:r w:rsidRPr="00FC5C72">
        <w:rPr>
          <w:rFonts w:ascii="Sylfaen" w:hAnsi="Sylfaen"/>
          <w:sz w:val="24"/>
          <w:szCs w:val="24"/>
        </w:rPr>
        <w:t>ჰადსონ</w:t>
      </w:r>
      <w:proofErr w:type="spellEnd"/>
      <w:r w:rsidRPr="00FC5C72">
        <w:rPr>
          <w:rFonts w:ascii="Sylfaen" w:hAnsi="Sylfaen"/>
          <w:sz w:val="24"/>
          <w:szCs w:val="24"/>
        </w:rPr>
        <w:t xml:space="preserve"> ბულვარი </w:t>
      </w:r>
      <w:proofErr w:type="spellStart"/>
      <w:r w:rsidRPr="00FC5C72">
        <w:rPr>
          <w:rFonts w:ascii="Sylfaen" w:hAnsi="Sylfaen"/>
          <w:sz w:val="24"/>
          <w:szCs w:val="24"/>
        </w:rPr>
        <w:t>ისთ</w:t>
      </w:r>
      <w:proofErr w:type="spellEnd"/>
    </w:p>
    <w:p w14:paraId="3B429E81" w14:textId="77777777" w:rsidR="00694F48" w:rsidRPr="00FC5C72" w:rsidRDefault="00694F48" w:rsidP="00694F48">
      <w:pPr>
        <w:spacing w:after="0" w:line="240" w:lineRule="auto"/>
        <w:jc w:val="both"/>
        <w:rPr>
          <w:rFonts w:ascii="Sylfaen" w:hAnsi="Sylfaen"/>
          <w:sz w:val="24"/>
          <w:szCs w:val="24"/>
        </w:rPr>
      </w:pPr>
      <w:r w:rsidRPr="00FC5C72">
        <w:rPr>
          <w:rFonts w:ascii="Sylfaen" w:hAnsi="Sylfaen"/>
          <w:sz w:val="24"/>
          <w:szCs w:val="24"/>
        </w:rPr>
        <w:t>ნიუ-იორკი, ნიუ-იორკის შტატი 10001-2192</w:t>
      </w:r>
    </w:p>
    <w:p w14:paraId="05C78426" w14:textId="77777777" w:rsidR="00694F48" w:rsidRPr="00FC5C72" w:rsidRDefault="00694F48" w:rsidP="00694F48">
      <w:pPr>
        <w:spacing w:after="0" w:line="240" w:lineRule="auto"/>
        <w:jc w:val="both"/>
        <w:rPr>
          <w:rFonts w:ascii="Sylfaen" w:hAnsi="Sylfaen"/>
          <w:sz w:val="24"/>
          <w:szCs w:val="24"/>
        </w:rPr>
      </w:pPr>
      <w:r w:rsidRPr="00FC5C72">
        <w:rPr>
          <w:rFonts w:ascii="Sylfaen" w:hAnsi="Sylfaen"/>
          <w:sz w:val="24"/>
          <w:szCs w:val="24"/>
        </w:rPr>
        <w:t>ამერიკის შეერთებული შტატები</w:t>
      </w:r>
    </w:p>
    <w:p w14:paraId="52254BA5" w14:textId="77777777" w:rsidR="00694F48" w:rsidRPr="00FC5C72" w:rsidRDefault="00694F48" w:rsidP="00694F48">
      <w:pPr>
        <w:spacing w:after="0" w:line="240" w:lineRule="auto"/>
        <w:jc w:val="both"/>
        <w:rPr>
          <w:rFonts w:ascii="Sylfaen" w:hAnsi="Sylfaen"/>
          <w:sz w:val="24"/>
          <w:szCs w:val="24"/>
        </w:rPr>
      </w:pPr>
      <w:r w:rsidRPr="00FC5C72">
        <w:rPr>
          <w:rFonts w:ascii="Sylfaen" w:hAnsi="Sylfaen"/>
          <w:sz w:val="24"/>
          <w:szCs w:val="24"/>
        </w:rPr>
        <w:t>ტელეფონი: 212-573-2323</w:t>
      </w:r>
    </w:p>
    <w:p w14:paraId="7BD3C85D" w14:textId="77777777" w:rsidR="00694F48" w:rsidRPr="00FC5C72" w:rsidRDefault="00694F48" w:rsidP="00694F48">
      <w:pPr>
        <w:spacing w:after="0" w:line="240" w:lineRule="auto"/>
        <w:jc w:val="both"/>
        <w:rPr>
          <w:rFonts w:eastAsia="Times New Roman"/>
          <w:sz w:val="24"/>
          <w:szCs w:val="24"/>
          <w:lang w:eastAsia="ru-RU"/>
        </w:rPr>
      </w:pPr>
      <w:r w:rsidRPr="00FC5C72">
        <w:rPr>
          <w:rFonts w:ascii="Sylfaen" w:hAnsi="Sylfaen"/>
          <w:sz w:val="24"/>
          <w:szCs w:val="24"/>
        </w:rPr>
        <w:t xml:space="preserve">ფაქსი: </w:t>
      </w:r>
      <w:r w:rsidRPr="00FC5C72">
        <w:rPr>
          <w:rFonts w:ascii="Times New Roman" w:eastAsia="Times New Roman" w:hAnsi="Times New Roman"/>
          <w:sz w:val="24"/>
          <w:szCs w:val="24"/>
          <w:lang w:eastAsia="ru-RU"/>
        </w:rPr>
        <w:t>212-573-1895</w:t>
      </w:r>
    </w:p>
    <w:p w14:paraId="06BA864F" w14:textId="77777777" w:rsidR="00694F48" w:rsidRPr="00FC5C72" w:rsidRDefault="00694F48" w:rsidP="00694F48">
      <w:pPr>
        <w:spacing w:after="0" w:line="240" w:lineRule="auto"/>
        <w:jc w:val="both"/>
        <w:rPr>
          <w:rFonts w:eastAsia="Times New Roman"/>
          <w:sz w:val="24"/>
          <w:szCs w:val="24"/>
          <w:lang w:eastAsia="ru-RU"/>
        </w:rPr>
      </w:pPr>
    </w:p>
    <w:p w14:paraId="3CBF352E" w14:textId="77777777" w:rsidR="00694F48" w:rsidRPr="00FC5C72" w:rsidRDefault="00694F48" w:rsidP="00694F48">
      <w:pPr>
        <w:spacing w:after="0" w:line="240" w:lineRule="auto"/>
        <w:jc w:val="both"/>
        <w:rPr>
          <w:rFonts w:eastAsia="Times New Roman"/>
          <w:b/>
          <w:bCs/>
          <w:sz w:val="24"/>
          <w:szCs w:val="24"/>
          <w:lang w:eastAsia="ru-RU"/>
        </w:rPr>
      </w:pPr>
      <w:r w:rsidRPr="00FC5C72">
        <w:rPr>
          <w:rFonts w:eastAsia="Times New Roman"/>
          <w:b/>
          <w:bCs/>
          <w:sz w:val="24"/>
          <w:szCs w:val="24"/>
          <w:lang w:eastAsia="ru-RU"/>
        </w:rPr>
        <w:t>ორგანიზაციის დასახელება და მისამართი, რომელიც უზბეკეთის რესპუბლიკაში იღებს პრეტენზიებს (წინადადებებს) სამკურნალო საშუალებების ხარისხთან დაკავშირებით</w:t>
      </w:r>
    </w:p>
    <w:p w14:paraId="0E67ED32" w14:textId="77777777" w:rsidR="00694F48" w:rsidRPr="00FC5C72" w:rsidRDefault="00694F48" w:rsidP="00694F48">
      <w:pPr>
        <w:spacing w:after="0" w:line="240" w:lineRule="auto"/>
        <w:jc w:val="both"/>
        <w:rPr>
          <w:rFonts w:eastAsia="Times New Roman"/>
          <w:sz w:val="24"/>
          <w:szCs w:val="24"/>
          <w:lang w:eastAsia="ru-RU"/>
        </w:rPr>
      </w:pPr>
      <w:r w:rsidRPr="00FC5C72">
        <w:rPr>
          <w:rFonts w:eastAsia="Times New Roman"/>
          <w:sz w:val="24"/>
          <w:szCs w:val="24"/>
          <w:lang w:eastAsia="ru-RU"/>
        </w:rPr>
        <w:t>შპს “დარო ექსკლუზივი“</w:t>
      </w:r>
    </w:p>
    <w:p w14:paraId="44035594" w14:textId="77777777" w:rsidR="00694F48" w:rsidRPr="00FC5C72" w:rsidRDefault="00694F48" w:rsidP="00694F48">
      <w:pPr>
        <w:spacing w:after="0" w:line="240" w:lineRule="auto"/>
        <w:jc w:val="both"/>
        <w:rPr>
          <w:sz w:val="24"/>
          <w:szCs w:val="24"/>
        </w:rPr>
      </w:pPr>
      <w:r w:rsidRPr="00FC5C72">
        <w:rPr>
          <w:rFonts w:eastAsia="Times New Roman"/>
          <w:sz w:val="24"/>
          <w:szCs w:val="24"/>
          <w:lang w:eastAsia="ru-RU"/>
        </w:rPr>
        <w:t xml:space="preserve">უზბეკეთი, </w:t>
      </w:r>
      <w:r w:rsidRPr="00FC5C72">
        <w:rPr>
          <w:rFonts w:ascii="Times New Roman" w:hAnsi="Times New Roman"/>
          <w:sz w:val="24"/>
          <w:szCs w:val="24"/>
          <w:lang w:val="kk-KZ"/>
        </w:rPr>
        <w:t>100000,</w:t>
      </w:r>
      <w:r w:rsidRPr="00FC5C72">
        <w:rPr>
          <w:sz w:val="24"/>
          <w:szCs w:val="24"/>
        </w:rPr>
        <w:t xml:space="preserve"> ქ. ტაშკენტი, </w:t>
      </w:r>
      <w:proofErr w:type="spellStart"/>
      <w:r w:rsidRPr="00FC5C72">
        <w:rPr>
          <w:sz w:val="24"/>
          <w:szCs w:val="24"/>
        </w:rPr>
        <w:t>იაშნაბადის</w:t>
      </w:r>
      <w:proofErr w:type="spellEnd"/>
      <w:r w:rsidRPr="00FC5C72">
        <w:rPr>
          <w:sz w:val="24"/>
          <w:szCs w:val="24"/>
        </w:rPr>
        <w:t xml:space="preserve"> რაიონი, </w:t>
      </w:r>
      <w:proofErr w:type="spellStart"/>
      <w:r w:rsidRPr="00FC5C72">
        <w:rPr>
          <w:sz w:val="24"/>
          <w:szCs w:val="24"/>
        </w:rPr>
        <w:t>სულტანალი</w:t>
      </w:r>
      <w:proofErr w:type="spellEnd"/>
      <w:r w:rsidRPr="00FC5C72">
        <w:rPr>
          <w:sz w:val="24"/>
          <w:szCs w:val="24"/>
        </w:rPr>
        <w:t xml:space="preserve"> </w:t>
      </w:r>
      <w:proofErr w:type="spellStart"/>
      <w:r w:rsidRPr="00FC5C72">
        <w:rPr>
          <w:sz w:val="24"/>
          <w:szCs w:val="24"/>
        </w:rPr>
        <w:t>მაშხადიის</w:t>
      </w:r>
      <w:proofErr w:type="spellEnd"/>
      <w:r w:rsidRPr="00FC5C72">
        <w:rPr>
          <w:sz w:val="24"/>
          <w:szCs w:val="24"/>
        </w:rPr>
        <w:t xml:space="preserve"> ქუჩა, 95-97</w:t>
      </w:r>
    </w:p>
    <w:p w14:paraId="4EF6F45E" w14:textId="77777777" w:rsidR="00694F48" w:rsidRPr="00FC5C72" w:rsidRDefault="00694F48" w:rsidP="00694F48">
      <w:pPr>
        <w:spacing w:after="0" w:line="240" w:lineRule="auto"/>
        <w:jc w:val="both"/>
        <w:rPr>
          <w:rFonts w:ascii="Times New Roman" w:hAnsi="Times New Roman"/>
          <w:sz w:val="24"/>
          <w:szCs w:val="24"/>
          <w:lang w:val="kk-KZ"/>
        </w:rPr>
      </w:pPr>
      <w:r w:rsidRPr="00FC5C72">
        <w:rPr>
          <w:sz w:val="24"/>
          <w:szCs w:val="24"/>
        </w:rPr>
        <w:t xml:space="preserve">ტელეფონი: </w:t>
      </w:r>
      <w:r w:rsidRPr="00FC5C72">
        <w:rPr>
          <w:rFonts w:ascii="Times New Roman" w:hAnsi="Times New Roman"/>
          <w:sz w:val="24"/>
          <w:szCs w:val="24"/>
          <w:lang w:val="kk-KZ"/>
        </w:rPr>
        <w:t xml:space="preserve"> (998) 95-198-48-88 </w:t>
      </w:r>
    </w:p>
    <w:p w14:paraId="585B37C0" w14:textId="32B58D87" w:rsidR="00963AEB" w:rsidRPr="00FC5C72" w:rsidRDefault="00872C89" w:rsidP="00694F48">
      <w:pPr>
        <w:spacing w:after="0" w:line="240" w:lineRule="auto"/>
        <w:jc w:val="both"/>
        <w:rPr>
          <w:sz w:val="20"/>
          <w:szCs w:val="20"/>
        </w:rPr>
      </w:pPr>
      <w:r w:rsidRPr="00FC5C72">
        <w:t xml:space="preserve"> </w:t>
      </w:r>
    </w:p>
    <w:sectPr w:rsidR="00963AEB" w:rsidRPr="00FC5C72" w:rsidSect="007E59B7">
      <w:footerReference w:type="default" r:id="rId8"/>
      <w:pgSz w:w="12240" w:h="15840"/>
      <w:pgMar w:top="1134" w:right="1134" w:bottom="1134" w:left="1134" w:header="709" w:footer="709"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37948" w14:textId="77777777" w:rsidR="00702706" w:rsidRDefault="00702706" w:rsidP="00645AA4">
      <w:pPr>
        <w:spacing w:after="0" w:line="240" w:lineRule="auto"/>
      </w:pPr>
      <w:r>
        <w:separator/>
      </w:r>
    </w:p>
  </w:endnote>
  <w:endnote w:type="continuationSeparator" w:id="0">
    <w:p w14:paraId="6FDAF2AC" w14:textId="77777777" w:rsidR="00702706" w:rsidRDefault="00702706" w:rsidP="00645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TimesNewRoman">
    <w:altName w:val="MS Mincho"/>
    <w:panose1 w:val="00000000000000000000"/>
    <w:charset w:val="BA"/>
    <w:family w:val="auto"/>
    <w:notTrueType/>
    <w:pitch w:val="default"/>
    <w:sig w:usb0="00000005" w:usb1="00000000" w:usb2="00000000" w:usb3="00000000" w:csb0="00000080" w:csb1="00000000"/>
  </w:font>
  <w:font w:name="DengXian">
    <w:altName w:val="等线"/>
    <w:panose1 w:val="02010600030101010101"/>
    <w:charset w:val="86"/>
    <w:family w:val="auto"/>
    <w:pitch w:val="variable"/>
    <w:sig w:usb0="A00002BF" w:usb1="38CF7CFA" w:usb2="00000016" w:usb3="00000000" w:csb0="0004000F" w:csb1="00000000"/>
  </w:font>
  <w:font w:name="HelveticaCyr-Upright">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232959"/>
      <w:docPartObj>
        <w:docPartGallery w:val="Page Numbers (Bottom of Page)"/>
        <w:docPartUnique/>
      </w:docPartObj>
    </w:sdtPr>
    <w:sdtEndPr>
      <w:rPr>
        <w:noProof/>
      </w:rPr>
    </w:sdtEndPr>
    <w:sdtContent>
      <w:p w14:paraId="756C62D5" w14:textId="27A165E6" w:rsidR="00645AA4" w:rsidRDefault="00645A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49C87C" w14:textId="77777777" w:rsidR="00645AA4" w:rsidRDefault="00645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2AE2A" w14:textId="77777777" w:rsidR="00702706" w:rsidRDefault="00702706" w:rsidP="00645AA4">
      <w:pPr>
        <w:spacing w:after="0" w:line="240" w:lineRule="auto"/>
      </w:pPr>
      <w:r>
        <w:separator/>
      </w:r>
    </w:p>
  </w:footnote>
  <w:footnote w:type="continuationSeparator" w:id="0">
    <w:p w14:paraId="17CCD6B4" w14:textId="77777777" w:rsidR="00702706" w:rsidRDefault="00702706" w:rsidP="00645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7D50"/>
    <w:multiLevelType w:val="hybridMultilevel"/>
    <w:tmpl w:val="84E85B9A"/>
    <w:lvl w:ilvl="0" w:tplc="2C4829BA">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09C568F4"/>
    <w:multiLevelType w:val="hybridMultilevel"/>
    <w:tmpl w:val="580050F6"/>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 w15:restartNumberingAfterBreak="0">
    <w:nsid w:val="144C59B4"/>
    <w:multiLevelType w:val="hybridMultilevel"/>
    <w:tmpl w:val="29027D3C"/>
    <w:lvl w:ilvl="0" w:tplc="CB0C3B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633961"/>
    <w:multiLevelType w:val="hybridMultilevel"/>
    <w:tmpl w:val="C2C20D10"/>
    <w:lvl w:ilvl="0" w:tplc="CE0E99E0">
      <w:numFmt w:val="bullet"/>
      <w:lvlText w:val="-"/>
      <w:lvlJc w:val="left"/>
      <w:pPr>
        <w:ind w:left="720" w:hanging="360"/>
      </w:pPr>
      <w:rPr>
        <w:rFonts w:ascii="Sylfaen" w:eastAsiaTheme="minorHAnsi" w:hAnsi="Sylfaen" w:cstheme="minorBidi"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4" w15:restartNumberingAfterBreak="0">
    <w:nsid w:val="16F74871"/>
    <w:multiLevelType w:val="hybridMultilevel"/>
    <w:tmpl w:val="9F505C76"/>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5" w15:restartNumberingAfterBreak="0">
    <w:nsid w:val="411C7E56"/>
    <w:multiLevelType w:val="hybridMultilevel"/>
    <w:tmpl w:val="EAD6A9F2"/>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6" w15:restartNumberingAfterBreak="0">
    <w:nsid w:val="43B667D5"/>
    <w:multiLevelType w:val="hybridMultilevel"/>
    <w:tmpl w:val="32C0585C"/>
    <w:lvl w:ilvl="0" w:tplc="CB0C3B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A2E7B7A"/>
    <w:multiLevelType w:val="hybridMultilevel"/>
    <w:tmpl w:val="A420D0CC"/>
    <w:lvl w:ilvl="0" w:tplc="2C4829BA">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8" w15:restartNumberingAfterBreak="0">
    <w:nsid w:val="62006EAB"/>
    <w:multiLevelType w:val="hybridMultilevel"/>
    <w:tmpl w:val="D2629BFC"/>
    <w:lvl w:ilvl="0" w:tplc="04370001">
      <w:start w:val="1"/>
      <w:numFmt w:val="bullet"/>
      <w:lvlText w:val=""/>
      <w:lvlJc w:val="left"/>
      <w:pPr>
        <w:ind w:left="780" w:hanging="360"/>
      </w:pPr>
      <w:rPr>
        <w:rFonts w:ascii="Symbol" w:hAnsi="Symbol" w:hint="default"/>
      </w:rPr>
    </w:lvl>
    <w:lvl w:ilvl="1" w:tplc="04370003" w:tentative="1">
      <w:start w:val="1"/>
      <w:numFmt w:val="bullet"/>
      <w:lvlText w:val="o"/>
      <w:lvlJc w:val="left"/>
      <w:pPr>
        <w:ind w:left="1500" w:hanging="360"/>
      </w:pPr>
      <w:rPr>
        <w:rFonts w:ascii="Courier New" w:hAnsi="Courier New" w:cs="Courier New" w:hint="default"/>
      </w:rPr>
    </w:lvl>
    <w:lvl w:ilvl="2" w:tplc="04370005" w:tentative="1">
      <w:start w:val="1"/>
      <w:numFmt w:val="bullet"/>
      <w:lvlText w:val=""/>
      <w:lvlJc w:val="left"/>
      <w:pPr>
        <w:ind w:left="2220" w:hanging="360"/>
      </w:pPr>
      <w:rPr>
        <w:rFonts w:ascii="Wingdings" w:hAnsi="Wingdings" w:hint="default"/>
      </w:rPr>
    </w:lvl>
    <w:lvl w:ilvl="3" w:tplc="04370001" w:tentative="1">
      <w:start w:val="1"/>
      <w:numFmt w:val="bullet"/>
      <w:lvlText w:val=""/>
      <w:lvlJc w:val="left"/>
      <w:pPr>
        <w:ind w:left="2940" w:hanging="360"/>
      </w:pPr>
      <w:rPr>
        <w:rFonts w:ascii="Symbol" w:hAnsi="Symbol" w:hint="default"/>
      </w:rPr>
    </w:lvl>
    <w:lvl w:ilvl="4" w:tplc="04370003" w:tentative="1">
      <w:start w:val="1"/>
      <w:numFmt w:val="bullet"/>
      <w:lvlText w:val="o"/>
      <w:lvlJc w:val="left"/>
      <w:pPr>
        <w:ind w:left="3660" w:hanging="360"/>
      </w:pPr>
      <w:rPr>
        <w:rFonts w:ascii="Courier New" w:hAnsi="Courier New" w:cs="Courier New" w:hint="default"/>
      </w:rPr>
    </w:lvl>
    <w:lvl w:ilvl="5" w:tplc="04370005" w:tentative="1">
      <w:start w:val="1"/>
      <w:numFmt w:val="bullet"/>
      <w:lvlText w:val=""/>
      <w:lvlJc w:val="left"/>
      <w:pPr>
        <w:ind w:left="4380" w:hanging="360"/>
      </w:pPr>
      <w:rPr>
        <w:rFonts w:ascii="Wingdings" w:hAnsi="Wingdings" w:hint="default"/>
      </w:rPr>
    </w:lvl>
    <w:lvl w:ilvl="6" w:tplc="04370001" w:tentative="1">
      <w:start w:val="1"/>
      <w:numFmt w:val="bullet"/>
      <w:lvlText w:val=""/>
      <w:lvlJc w:val="left"/>
      <w:pPr>
        <w:ind w:left="5100" w:hanging="360"/>
      </w:pPr>
      <w:rPr>
        <w:rFonts w:ascii="Symbol" w:hAnsi="Symbol" w:hint="default"/>
      </w:rPr>
    </w:lvl>
    <w:lvl w:ilvl="7" w:tplc="04370003" w:tentative="1">
      <w:start w:val="1"/>
      <w:numFmt w:val="bullet"/>
      <w:lvlText w:val="o"/>
      <w:lvlJc w:val="left"/>
      <w:pPr>
        <w:ind w:left="5820" w:hanging="360"/>
      </w:pPr>
      <w:rPr>
        <w:rFonts w:ascii="Courier New" w:hAnsi="Courier New" w:cs="Courier New" w:hint="default"/>
      </w:rPr>
    </w:lvl>
    <w:lvl w:ilvl="8" w:tplc="04370005" w:tentative="1">
      <w:start w:val="1"/>
      <w:numFmt w:val="bullet"/>
      <w:lvlText w:val=""/>
      <w:lvlJc w:val="left"/>
      <w:pPr>
        <w:ind w:left="6540" w:hanging="360"/>
      </w:pPr>
      <w:rPr>
        <w:rFonts w:ascii="Wingdings" w:hAnsi="Wingdings" w:hint="default"/>
      </w:rPr>
    </w:lvl>
  </w:abstractNum>
  <w:abstractNum w:abstractNumId="9" w15:restartNumberingAfterBreak="0">
    <w:nsid w:val="62924B98"/>
    <w:multiLevelType w:val="hybridMultilevel"/>
    <w:tmpl w:val="71EE138E"/>
    <w:lvl w:ilvl="0" w:tplc="0437000F">
      <w:start w:val="1"/>
      <w:numFmt w:val="decimal"/>
      <w:lvlText w:val="%1."/>
      <w:lvlJc w:val="left"/>
      <w:pPr>
        <w:ind w:left="720" w:hanging="360"/>
      </w:p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10" w15:restartNumberingAfterBreak="0">
    <w:nsid w:val="73F0030F"/>
    <w:multiLevelType w:val="hybridMultilevel"/>
    <w:tmpl w:val="2BCE07EC"/>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1" w15:restartNumberingAfterBreak="0">
    <w:nsid w:val="76562476"/>
    <w:multiLevelType w:val="hybridMultilevel"/>
    <w:tmpl w:val="FAE4971C"/>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2" w15:restartNumberingAfterBreak="0">
    <w:nsid w:val="7FC218EF"/>
    <w:multiLevelType w:val="hybridMultilevel"/>
    <w:tmpl w:val="2F0089B0"/>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217204541">
    <w:abstractNumId w:val="8"/>
  </w:num>
  <w:num w:numId="2" w16cid:durableId="1223447429">
    <w:abstractNumId w:val="12"/>
  </w:num>
  <w:num w:numId="3" w16cid:durableId="1460689412">
    <w:abstractNumId w:val="2"/>
  </w:num>
  <w:num w:numId="4" w16cid:durableId="17435492">
    <w:abstractNumId w:val="6"/>
  </w:num>
  <w:num w:numId="5" w16cid:durableId="134225876">
    <w:abstractNumId w:val="4"/>
  </w:num>
  <w:num w:numId="6" w16cid:durableId="432627228">
    <w:abstractNumId w:val="9"/>
  </w:num>
  <w:num w:numId="7" w16cid:durableId="373698434">
    <w:abstractNumId w:val="11"/>
  </w:num>
  <w:num w:numId="8" w16cid:durableId="1848396965">
    <w:abstractNumId w:val="10"/>
  </w:num>
  <w:num w:numId="9" w16cid:durableId="1438871148">
    <w:abstractNumId w:val="5"/>
  </w:num>
  <w:num w:numId="10" w16cid:durableId="1854805274">
    <w:abstractNumId w:val="1"/>
  </w:num>
  <w:num w:numId="11" w16cid:durableId="2117754259">
    <w:abstractNumId w:val="0"/>
  </w:num>
  <w:num w:numId="12" w16cid:durableId="1500072327">
    <w:abstractNumId w:val="7"/>
  </w:num>
  <w:num w:numId="13" w16cid:durableId="13270517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defaultTabStop w:val="708"/>
  <w:hyphenationZone w:val="141"/>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6E"/>
    <w:rsid w:val="000031BA"/>
    <w:rsid w:val="00007E34"/>
    <w:rsid w:val="00011ED6"/>
    <w:rsid w:val="00014AE3"/>
    <w:rsid w:val="0003247D"/>
    <w:rsid w:val="00035FD4"/>
    <w:rsid w:val="00042D85"/>
    <w:rsid w:val="0004580B"/>
    <w:rsid w:val="000462C6"/>
    <w:rsid w:val="00055C05"/>
    <w:rsid w:val="00057305"/>
    <w:rsid w:val="00057A0D"/>
    <w:rsid w:val="00061E49"/>
    <w:rsid w:val="00065345"/>
    <w:rsid w:val="00073835"/>
    <w:rsid w:val="00074831"/>
    <w:rsid w:val="00077C9D"/>
    <w:rsid w:val="00077EE3"/>
    <w:rsid w:val="000879D2"/>
    <w:rsid w:val="00093929"/>
    <w:rsid w:val="00094901"/>
    <w:rsid w:val="00097415"/>
    <w:rsid w:val="000A08B8"/>
    <w:rsid w:val="000A3ADE"/>
    <w:rsid w:val="000B7203"/>
    <w:rsid w:val="000C1E24"/>
    <w:rsid w:val="000C2BF5"/>
    <w:rsid w:val="000D1344"/>
    <w:rsid w:val="000D3E46"/>
    <w:rsid w:val="000E04C7"/>
    <w:rsid w:val="000E5F19"/>
    <w:rsid w:val="000F2678"/>
    <w:rsid w:val="00113737"/>
    <w:rsid w:val="00114678"/>
    <w:rsid w:val="00117F2B"/>
    <w:rsid w:val="00121E06"/>
    <w:rsid w:val="0012213A"/>
    <w:rsid w:val="0012472F"/>
    <w:rsid w:val="001352C7"/>
    <w:rsid w:val="0013715F"/>
    <w:rsid w:val="00146565"/>
    <w:rsid w:val="0015295F"/>
    <w:rsid w:val="0015355B"/>
    <w:rsid w:val="00163EF7"/>
    <w:rsid w:val="00177032"/>
    <w:rsid w:val="001813EE"/>
    <w:rsid w:val="00183167"/>
    <w:rsid w:val="001863E2"/>
    <w:rsid w:val="00194E9A"/>
    <w:rsid w:val="001A779F"/>
    <w:rsid w:val="001B12C7"/>
    <w:rsid w:val="001E2F9D"/>
    <w:rsid w:val="001F32B8"/>
    <w:rsid w:val="001F56D6"/>
    <w:rsid w:val="001F5C15"/>
    <w:rsid w:val="001F75A3"/>
    <w:rsid w:val="002004DA"/>
    <w:rsid w:val="00205D31"/>
    <w:rsid w:val="002254EE"/>
    <w:rsid w:val="002255DD"/>
    <w:rsid w:val="00226829"/>
    <w:rsid w:val="00226DB9"/>
    <w:rsid w:val="00231F52"/>
    <w:rsid w:val="00247ED7"/>
    <w:rsid w:val="00253305"/>
    <w:rsid w:val="00256AA0"/>
    <w:rsid w:val="002736DD"/>
    <w:rsid w:val="002760F2"/>
    <w:rsid w:val="00280E53"/>
    <w:rsid w:val="002A364C"/>
    <w:rsid w:val="002A604D"/>
    <w:rsid w:val="002A7C72"/>
    <w:rsid w:val="002B0096"/>
    <w:rsid w:val="002B1865"/>
    <w:rsid w:val="002B6F15"/>
    <w:rsid w:val="002C3F8D"/>
    <w:rsid w:val="002C69EC"/>
    <w:rsid w:val="002D4F91"/>
    <w:rsid w:val="002E09D3"/>
    <w:rsid w:val="002E40F4"/>
    <w:rsid w:val="002E47CD"/>
    <w:rsid w:val="002E6A3A"/>
    <w:rsid w:val="002F38DA"/>
    <w:rsid w:val="002F6C4F"/>
    <w:rsid w:val="00301990"/>
    <w:rsid w:val="00301A3A"/>
    <w:rsid w:val="00301BB8"/>
    <w:rsid w:val="00303F95"/>
    <w:rsid w:val="00304DEC"/>
    <w:rsid w:val="003177E4"/>
    <w:rsid w:val="00321098"/>
    <w:rsid w:val="00332895"/>
    <w:rsid w:val="00332CB8"/>
    <w:rsid w:val="00340000"/>
    <w:rsid w:val="00343494"/>
    <w:rsid w:val="00350E8D"/>
    <w:rsid w:val="00352C69"/>
    <w:rsid w:val="003531A0"/>
    <w:rsid w:val="00355CCD"/>
    <w:rsid w:val="00364120"/>
    <w:rsid w:val="00374AF1"/>
    <w:rsid w:val="003769B1"/>
    <w:rsid w:val="0038743E"/>
    <w:rsid w:val="00390220"/>
    <w:rsid w:val="00391DD8"/>
    <w:rsid w:val="00395774"/>
    <w:rsid w:val="00396104"/>
    <w:rsid w:val="003A07CC"/>
    <w:rsid w:val="003A3451"/>
    <w:rsid w:val="003A37E3"/>
    <w:rsid w:val="003A5247"/>
    <w:rsid w:val="003A5FB9"/>
    <w:rsid w:val="003B1F30"/>
    <w:rsid w:val="003B2943"/>
    <w:rsid w:val="003B7029"/>
    <w:rsid w:val="003C6E67"/>
    <w:rsid w:val="003C7CD8"/>
    <w:rsid w:val="003D5594"/>
    <w:rsid w:val="003D61A2"/>
    <w:rsid w:val="003D7539"/>
    <w:rsid w:val="003D7594"/>
    <w:rsid w:val="003E264F"/>
    <w:rsid w:val="003F0EAA"/>
    <w:rsid w:val="003F6423"/>
    <w:rsid w:val="004004AE"/>
    <w:rsid w:val="00403D33"/>
    <w:rsid w:val="00407A01"/>
    <w:rsid w:val="00407C20"/>
    <w:rsid w:val="00413375"/>
    <w:rsid w:val="00415EC1"/>
    <w:rsid w:val="0041679A"/>
    <w:rsid w:val="0041684A"/>
    <w:rsid w:val="00422BD0"/>
    <w:rsid w:val="0042316D"/>
    <w:rsid w:val="00423F37"/>
    <w:rsid w:val="004256FA"/>
    <w:rsid w:val="00425C83"/>
    <w:rsid w:val="00426643"/>
    <w:rsid w:val="00431222"/>
    <w:rsid w:val="004340FC"/>
    <w:rsid w:val="00434A5C"/>
    <w:rsid w:val="004373FA"/>
    <w:rsid w:val="00442C95"/>
    <w:rsid w:val="00446F97"/>
    <w:rsid w:val="004578C4"/>
    <w:rsid w:val="00457BA5"/>
    <w:rsid w:val="0046114E"/>
    <w:rsid w:val="00467BC9"/>
    <w:rsid w:val="00470736"/>
    <w:rsid w:val="00474BC9"/>
    <w:rsid w:val="004870F5"/>
    <w:rsid w:val="0048765C"/>
    <w:rsid w:val="00490555"/>
    <w:rsid w:val="004909AD"/>
    <w:rsid w:val="00492B20"/>
    <w:rsid w:val="00495FAC"/>
    <w:rsid w:val="00497DCB"/>
    <w:rsid w:val="004A0390"/>
    <w:rsid w:val="004A1299"/>
    <w:rsid w:val="004A1D5F"/>
    <w:rsid w:val="004A2736"/>
    <w:rsid w:val="004A5381"/>
    <w:rsid w:val="004A6BBB"/>
    <w:rsid w:val="004B133A"/>
    <w:rsid w:val="004D044F"/>
    <w:rsid w:val="004D60CA"/>
    <w:rsid w:val="004D7A28"/>
    <w:rsid w:val="004F21D4"/>
    <w:rsid w:val="004F3898"/>
    <w:rsid w:val="004F725F"/>
    <w:rsid w:val="00500B23"/>
    <w:rsid w:val="00504A4E"/>
    <w:rsid w:val="005078A3"/>
    <w:rsid w:val="005156F7"/>
    <w:rsid w:val="00521C7A"/>
    <w:rsid w:val="005241A8"/>
    <w:rsid w:val="00527A04"/>
    <w:rsid w:val="00536D56"/>
    <w:rsid w:val="005415AD"/>
    <w:rsid w:val="00543E41"/>
    <w:rsid w:val="00553C62"/>
    <w:rsid w:val="005544DF"/>
    <w:rsid w:val="00561797"/>
    <w:rsid w:val="00566C4D"/>
    <w:rsid w:val="0056775E"/>
    <w:rsid w:val="00580D54"/>
    <w:rsid w:val="00584E51"/>
    <w:rsid w:val="00585A6D"/>
    <w:rsid w:val="00586CA2"/>
    <w:rsid w:val="00590AC2"/>
    <w:rsid w:val="00591CFA"/>
    <w:rsid w:val="0059368E"/>
    <w:rsid w:val="005A14DC"/>
    <w:rsid w:val="005A40EA"/>
    <w:rsid w:val="005A67CD"/>
    <w:rsid w:val="005A6D8A"/>
    <w:rsid w:val="005B3BD7"/>
    <w:rsid w:val="005B7672"/>
    <w:rsid w:val="005C4100"/>
    <w:rsid w:val="005C4668"/>
    <w:rsid w:val="005D6E08"/>
    <w:rsid w:val="005F32E2"/>
    <w:rsid w:val="005F5F6F"/>
    <w:rsid w:val="005F6D32"/>
    <w:rsid w:val="00607DCC"/>
    <w:rsid w:val="00607E59"/>
    <w:rsid w:val="0061005F"/>
    <w:rsid w:val="00623469"/>
    <w:rsid w:val="00624336"/>
    <w:rsid w:val="00627179"/>
    <w:rsid w:val="006362E4"/>
    <w:rsid w:val="00641A74"/>
    <w:rsid w:val="00645AA4"/>
    <w:rsid w:val="00646D95"/>
    <w:rsid w:val="006514BB"/>
    <w:rsid w:val="00652BC1"/>
    <w:rsid w:val="00662ED3"/>
    <w:rsid w:val="00676EAE"/>
    <w:rsid w:val="006817C7"/>
    <w:rsid w:val="00684517"/>
    <w:rsid w:val="00690E96"/>
    <w:rsid w:val="006913DE"/>
    <w:rsid w:val="00694F48"/>
    <w:rsid w:val="00695E19"/>
    <w:rsid w:val="006A6413"/>
    <w:rsid w:val="006A6ACB"/>
    <w:rsid w:val="006D76C3"/>
    <w:rsid w:val="006E3239"/>
    <w:rsid w:val="006F54AB"/>
    <w:rsid w:val="006F54AF"/>
    <w:rsid w:val="006F6485"/>
    <w:rsid w:val="00700431"/>
    <w:rsid w:val="00701862"/>
    <w:rsid w:val="00702706"/>
    <w:rsid w:val="007274DC"/>
    <w:rsid w:val="00730560"/>
    <w:rsid w:val="0073097B"/>
    <w:rsid w:val="007428F2"/>
    <w:rsid w:val="00752263"/>
    <w:rsid w:val="00755CF5"/>
    <w:rsid w:val="00756090"/>
    <w:rsid w:val="00762CFF"/>
    <w:rsid w:val="00773650"/>
    <w:rsid w:val="007837B3"/>
    <w:rsid w:val="00783E6E"/>
    <w:rsid w:val="00784651"/>
    <w:rsid w:val="00785B18"/>
    <w:rsid w:val="007A0277"/>
    <w:rsid w:val="007A1CFF"/>
    <w:rsid w:val="007A5A11"/>
    <w:rsid w:val="007B1442"/>
    <w:rsid w:val="007B2EBB"/>
    <w:rsid w:val="007B3F54"/>
    <w:rsid w:val="007B72BB"/>
    <w:rsid w:val="007D3181"/>
    <w:rsid w:val="007D5BB8"/>
    <w:rsid w:val="007D678D"/>
    <w:rsid w:val="007E59B7"/>
    <w:rsid w:val="007E5BE4"/>
    <w:rsid w:val="007F3755"/>
    <w:rsid w:val="0080185D"/>
    <w:rsid w:val="00804D5F"/>
    <w:rsid w:val="008330B8"/>
    <w:rsid w:val="0083590C"/>
    <w:rsid w:val="00841822"/>
    <w:rsid w:val="00844DAD"/>
    <w:rsid w:val="00845EEE"/>
    <w:rsid w:val="00850741"/>
    <w:rsid w:val="0085342D"/>
    <w:rsid w:val="00861A25"/>
    <w:rsid w:val="00862639"/>
    <w:rsid w:val="0087066D"/>
    <w:rsid w:val="008709B9"/>
    <w:rsid w:val="00870F54"/>
    <w:rsid w:val="00872C89"/>
    <w:rsid w:val="008757D6"/>
    <w:rsid w:val="00875841"/>
    <w:rsid w:val="008760D2"/>
    <w:rsid w:val="008775C0"/>
    <w:rsid w:val="00877EDE"/>
    <w:rsid w:val="00881E08"/>
    <w:rsid w:val="008823CE"/>
    <w:rsid w:val="008840AD"/>
    <w:rsid w:val="00885038"/>
    <w:rsid w:val="00890F12"/>
    <w:rsid w:val="008A185D"/>
    <w:rsid w:val="008A5CA4"/>
    <w:rsid w:val="008A7C9D"/>
    <w:rsid w:val="008D543E"/>
    <w:rsid w:val="008D6682"/>
    <w:rsid w:val="008E2769"/>
    <w:rsid w:val="008E279E"/>
    <w:rsid w:val="008E663B"/>
    <w:rsid w:val="008F6508"/>
    <w:rsid w:val="008F7083"/>
    <w:rsid w:val="00900E78"/>
    <w:rsid w:val="009040D7"/>
    <w:rsid w:val="00905DC5"/>
    <w:rsid w:val="0091129F"/>
    <w:rsid w:val="00913FE9"/>
    <w:rsid w:val="00913FF7"/>
    <w:rsid w:val="009179AC"/>
    <w:rsid w:val="00925A4B"/>
    <w:rsid w:val="00961804"/>
    <w:rsid w:val="00963AEB"/>
    <w:rsid w:val="00963BC6"/>
    <w:rsid w:val="00973B4E"/>
    <w:rsid w:val="00974E05"/>
    <w:rsid w:val="00982D45"/>
    <w:rsid w:val="0098580D"/>
    <w:rsid w:val="009864C0"/>
    <w:rsid w:val="009A195C"/>
    <w:rsid w:val="009A44A4"/>
    <w:rsid w:val="009B1A21"/>
    <w:rsid w:val="009B20B3"/>
    <w:rsid w:val="009B76BB"/>
    <w:rsid w:val="009D1876"/>
    <w:rsid w:val="009D5D04"/>
    <w:rsid w:val="009D62E2"/>
    <w:rsid w:val="009D68E4"/>
    <w:rsid w:val="009D7274"/>
    <w:rsid w:val="009E569E"/>
    <w:rsid w:val="009F0C09"/>
    <w:rsid w:val="009F1A36"/>
    <w:rsid w:val="009F39AE"/>
    <w:rsid w:val="00A00CD0"/>
    <w:rsid w:val="00A10233"/>
    <w:rsid w:val="00A10A8A"/>
    <w:rsid w:val="00A179E1"/>
    <w:rsid w:val="00A24093"/>
    <w:rsid w:val="00A33ACE"/>
    <w:rsid w:val="00A344AE"/>
    <w:rsid w:val="00A5094E"/>
    <w:rsid w:val="00A659B5"/>
    <w:rsid w:val="00A66B04"/>
    <w:rsid w:val="00A81AE6"/>
    <w:rsid w:val="00A91B3A"/>
    <w:rsid w:val="00AA78B6"/>
    <w:rsid w:val="00AA7AAA"/>
    <w:rsid w:val="00AB5F81"/>
    <w:rsid w:val="00AC11C2"/>
    <w:rsid w:val="00AC27FD"/>
    <w:rsid w:val="00AD2C74"/>
    <w:rsid w:val="00AE354B"/>
    <w:rsid w:val="00AF0132"/>
    <w:rsid w:val="00B0079B"/>
    <w:rsid w:val="00B0672E"/>
    <w:rsid w:val="00B0745D"/>
    <w:rsid w:val="00B11529"/>
    <w:rsid w:val="00B2032F"/>
    <w:rsid w:val="00B21F98"/>
    <w:rsid w:val="00B22AFE"/>
    <w:rsid w:val="00B2329B"/>
    <w:rsid w:val="00B34FDC"/>
    <w:rsid w:val="00B35547"/>
    <w:rsid w:val="00B40BB2"/>
    <w:rsid w:val="00B41F74"/>
    <w:rsid w:val="00B82E30"/>
    <w:rsid w:val="00B85B01"/>
    <w:rsid w:val="00B86432"/>
    <w:rsid w:val="00B91400"/>
    <w:rsid w:val="00B918FF"/>
    <w:rsid w:val="00B96152"/>
    <w:rsid w:val="00BA3910"/>
    <w:rsid w:val="00BA6D74"/>
    <w:rsid w:val="00BB26D7"/>
    <w:rsid w:val="00BB7A12"/>
    <w:rsid w:val="00BC2827"/>
    <w:rsid w:val="00BC32C7"/>
    <w:rsid w:val="00BC4A5B"/>
    <w:rsid w:val="00BC6150"/>
    <w:rsid w:val="00BD3FD2"/>
    <w:rsid w:val="00BE28B4"/>
    <w:rsid w:val="00BE4783"/>
    <w:rsid w:val="00BF72EF"/>
    <w:rsid w:val="00BF7570"/>
    <w:rsid w:val="00BF79CF"/>
    <w:rsid w:val="00C21607"/>
    <w:rsid w:val="00C25D6B"/>
    <w:rsid w:val="00C304A3"/>
    <w:rsid w:val="00C326A0"/>
    <w:rsid w:val="00C34DE1"/>
    <w:rsid w:val="00C418F4"/>
    <w:rsid w:val="00C42B9A"/>
    <w:rsid w:val="00C44907"/>
    <w:rsid w:val="00C47CBB"/>
    <w:rsid w:val="00C515FF"/>
    <w:rsid w:val="00C55981"/>
    <w:rsid w:val="00C666C7"/>
    <w:rsid w:val="00C768AF"/>
    <w:rsid w:val="00C80F1D"/>
    <w:rsid w:val="00C82B6E"/>
    <w:rsid w:val="00C84D2C"/>
    <w:rsid w:val="00CA2826"/>
    <w:rsid w:val="00CC7A32"/>
    <w:rsid w:val="00CC7D5C"/>
    <w:rsid w:val="00CE01EB"/>
    <w:rsid w:val="00CF44DC"/>
    <w:rsid w:val="00D005FE"/>
    <w:rsid w:val="00D23018"/>
    <w:rsid w:val="00D2553A"/>
    <w:rsid w:val="00D26D6D"/>
    <w:rsid w:val="00D30D9C"/>
    <w:rsid w:val="00D34B92"/>
    <w:rsid w:val="00D3737A"/>
    <w:rsid w:val="00D41E28"/>
    <w:rsid w:val="00D44243"/>
    <w:rsid w:val="00D460CB"/>
    <w:rsid w:val="00D467B4"/>
    <w:rsid w:val="00D65700"/>
    <w:rsid w:val="00D70853"/>
    <w:rsid w:val="00D95FE9"/>
    <w:rsid w:val="00D96AB9"/>
    <w:rsid w:val="00DA0A3E"/>
    <w:rsid w:val="00DA3C44"/>
    <w:rsid w:val="00DA6AA9"/>
    <w:rsid w:val="00DB3024"/>
    <w:rsid w:val="00DB4920"/>
    <w:rsid w:val="00DB579E"/>
    <w:rsid w:val="00DB5F10"/>
    <w:rsid w:val="00DB6FBB"/>
    <w:rsid w:val="00DD27FA"/>
    <w:rsid w:val="00DE51A3"/>
    <w:rsid w:val="00DE5D7A"/>
    <w:rsid w:val="00DF0194"/>
    <w:rsid w:val="00DF2F38"/>
    <w:rsid w:val="00DF4D8C"/>
    <w:rsid w:val="00DF5481"/>
    <w:rsid w:val="00DF637A"/>
    <w:rsid w:val="00DF6DC0"/>
    <w:rsid w:val="00E02EC5"/>
    <w:rsid w:val="00E071F2"/>
    <w:rsid w:val="00E16C96"/>
    <w:rsid w:val="00E17A61"/>
    <w:rsid w:val="00E2267A"/>
    <w:rsid w:val="00E33234"/>
    <w:rsid w:val="00E35392"/>
    <w:rsid w:val="00E3724D"/>
    <w:rsid w:val="00E4275D"/>
    <w:rsid w:val="00E42F36"/>
    <w:rsid w:val="00E579AC"/>
    <w:rsid w:val="00E66A28"/>
    <w:rsid w:val="00E751DC"/>
    <w:rsid w:val="00E75A03"/>
    <w:rsid w:val="00E75E5B"/>
    <w:rsid w:val="00E77401"/>
    <w:rsid w:val="00E95756"/>
    <w:rsid w:val="00EA02C1"/>
    <w:rsid w:val="00EA05AF"/>
    <w:rsid w:val="00EA6653"/>
    <w:rsid w:val="00ED425B"/>
    <w:rsid w:val="00EE0BF9"/>
    <w:rsid w:val="00EE194F"/>
    <w:rsid w:val="00EE7C71"/>
    <w:rsid w:val="00EF0804"/>
    <w:rsid w:val="00EF23C9"/>
    <w:rsid w:val="00EF3A8C"/>
    <w:rsid w:val="00F043E8"/>
    <w:rsid w:val="00F06BC2"/>
    <w:rsid w:val="00F103C7"/>
    <w:rsid w:val="00F105DF"/>
    <w:rsid w:val="00F14D75"/>
    <w:rsid w:val="00F14DB3"/>
    <w:rsid w:val="00F16F5F"/>
    <w:rsid w:val="00F21A71"/>
    <w:rsid w:val="00F22087"/>
    <w:rsid w:val="00F32DA6"/>
    <w:rsid w:val="00F405AE"/>
    <w:rsid w:val="00F413E7"/>
    <w:rsid w:val="00F508C7"/>
    <w:rsid w:val="00F52A47"/>
    <w:rsid w:val="00F62935"/>
    <w:rsid w:val="00F63CE0"/>
    <w:rsid w:val="00F835A6"/>
    <w:rsid w:val="00F85D7F"/>
    <w:rsid w:val="00F9641D"/>
    <w:rsid w:val="00FA13BC"/>
    <w:rsid w:val="00FA4FE2"/>
    <w:rsid w:val="00FA52C9"/>
    <w:rsid w:val="00FB28C6"/>
    <w:rsid w:val="00FC087A"/>
    <w:rsid w:val="00FC5C72"/>
    <w:rsid w:val="00FD3941"/>
    <w:rsid w:val="00FD5BBC"/>
    <w:rsid w:val="00FD68E7"/>
    <w:rsid w:val="00FD71A1"/>
    <w:rsid w:val="00FE5F13"/>
    <w:rsid w:val="00FE7C45"/>
    <w:rsid w:val="00FF37C9"/>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6D709"/>
  <w15:chartTrackingRefBased/>
  <w15:docId w15:val="{82E1C4CB-5C38-4C77-9FD4-B7594BB8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BC1"/>
    <w:pPr>
      <w:ind w:left="720"/>
      <w:contextualSpacing/>
    </w:pPr>
  </w:style>
  <w:style w:type="paragraph" w:customStyle="1" w:styleId="BMSTableText">
    <w:name w:val="BMS Table Text"/>
    <w:link w:val="BMSTableTextChar"/>
    <w:uiPriority w:val="99"/>
    <w:rsid w:val="00B22AFE"/>
    <w:pPr>
      <w:tabs>
        <w:tab w:val="left" w:pos="360"/>
      </w:tabs>
      <w:spacing w:before="60" w:after="60" w:line="240" w:lineRule="auto"/>
      <w:jc w:val="center"/>
    </w:pPr>
    <w:rPr>
      <w:rFonts w:ascii="Times New Roman" w:eastAsia="Times New Roman" w:hAnsi="Times New Roman" w:cs="Times New Roman"/>
      <w:sz w:val="20"/>
      <w:szCs w:val="20"/>
      <w:lang w:val="it-IT"/>
    </w:rPr>
  </w:style>
  <w:style w:type="character" w:customStyle="1" w:styleId="BMSTableTextChar">
    <w:name w:val="BMS Table Text Char"/>
    <w:link w:val="BMSTableText"/>
    <w:uiPriority w:val="99"/>
    <w:locked/>
    <w:rsid w:val="00B22AFE"/>
    <w:rPr>
      <w:rFonts w:ascii="Times New Roman" w:eastAsia="Times New Roman" w:hAnsi="Times New Roman" w:cs="Times New Roman"/>
      <w:sz w:val="20"/>
      <w:szCs w:val="20"/>
      <w:lang w:val="it-IT"/>
    </w:rPr>
  </w:style>
  <w:style w:type="paragraph" w:customStyle="1" w:styleId="BMSTableHeader">
    <w:name w:val="BMS Table Header"/>
    <w:basedOn w:val="BMSTableText"/>
    <w:link w:val="BMSTableHeaderChar"/>
    <w:uiPriority w:val="99"/>
    <w:rsid w:val="00B22AFE"/>
    <w:rPr>
      <w:b/>
    </w:rPr>
  </w:style>
  <w:style w:type="character" w:customStyle="1" w:styleId="BMSTableHeaderChar">
    <w:name w:val="BMS Table Header Char"/>
    <w:link w:val="BMSTableHeader"/>
    <w:uiPriority w:val="99"/>
    <w:locked/>
    <w:rsid w:val="00B22AFE"/>
    <w:rPr>
      <w:rFonts w:ascii="Times New Roman" w:eastAsia="Times New Roman" w:hAnsi="Times New Roman" w:cs="Times New Roman"/>
      <w:b/>
      <w:sz w:val="20"/>
      <w:szCs w:val="20"/>
      <w:lang w:val="it-IT"/>
    </w:rPr>
  </w:style>
  <w:style w:type="character" w:customStyle="1" w:styleId="BMSSuperscript">
    <w:name w:val="BMS Superscript"/>
    <w:rsid w:val="00A91B3A"/>
    <w:rPr>
      <w:sz w:val="28"/>
      <w:vertAlign w:val="superscript"/>
    </w:rPr>
  </w:style>
  <w:style w:type="paragraph" w:customStyle="1" w:styleId="EMEABodyText">
    <w:name w:val="EMEA Body Text"/>
    <w:basedOn w:val="Normal"/>
    <w:link w:val="EMEABodyTextChar"/>
    <w:uiPriority w:val="99"/>
    <w:rsid w:val="003C6E67"/>
    <w:pPr>
      <w:spacing w:after="0" w:line="240" w:lineRule="auto"/>
    </w:pPr>
    <w:rPr>
      <w:rFonts w:ascii="Times New Roman" w:eastAsia="Times New Roman" w:hAnsi="Times New Roman" w:cs="Times New Roman"/>
      <w:szCs w:val="20"/>
      <w:lang w:val="ru-RU" w:eastAsia="ru-RU"/>
    </w:rPr>
  </w:style>
  <w:style w:type="character" w:customStyle="1" w:styleId="EMEABodyTextChar">
    <w:name w:val="EMEA Body Text Char"/>
    <w:link w:val="EMEABodyText"/>
    <w:uiPriority w:val="99"/>
    <w:locked/>
    <w:rsid w:val="003C6E67"/>
    <w:rPr>
      <w:rFonts w:ascii="Times New Roman" w:eastAsia="Times New Roman" w:hAnsi="Times New Roman" w:cs="Times New Roman"/>
      <w:szCs w:val="20"/>
      <w:lang w:val="ru-RU" w:eastAsia="ru-RU"/>
    </w:rPr>
  </w:style>
  <w:style w:type="paragraph" w:customStyle="1" w:styleId="BMSBodyText">
    <w:name w:val="BMS Body Text"/>
    <w:link w:val="BMSBodyTextChar"/>
    <w:uiPriority w:val="99"/>
    <w:rsid w:val="001F32B8"/>
    <w:pPr>
      <w:spacing w:before="120" w:after="120" w:line="300" w:lineRule="auto"/>
      <w:jc w:val="both"/>
    </w:pPr>
    <w:rPr>
      <w:rFonts w:ascii="Times New Roman" w:eastAsia="Times New Roman" w:hAnsi="Times New Roman" w:cs="Times New Roman"/>
      <w:color w:val="000000"/>
      <w:sz w:val="24"/>
      <w:szCs w:val="20"/>
      <w:lang w:val="it-IT"/>
    </w:rPr>
  </w:style>
  <w:style w:type="character" w:customStyle="1" w:styleId="BMSBodyTextChar">
    <w:name w:val="BMS Body Text Char"/>
    <w:link w:val="BMSBodyText"/>
    <w:uiPriority w:val="99"/>
    <w:locked/>
    <w:rsid w:val="001F32B8"/>
    <w:rPr>
      <w:rFonts w:ascii="Times New Roman" w:eastAsia="Times New Roman" w:hAnsi="Times New Roman" w:cs="Times New Roman"/>
      <w:color w:val="000000"/>
      <w:sz w:val="24"/>
      <w:szCs w:val="20"/>
      <w:lang w:val="it-IT"/>
    </w:rPr>
  </w:style>
  <w:style w:type="character" w:customStyle="1" w:styleId="BMSTableNote">
    <w:name w:val="BMS Table Note"/>
    <w:rsid w:val="001352C7"/>
    <w:rPr>
      <w:rFonts w:ascii="Times New Roman" w:hAnsi="Times New Roman" w:cs="Times New Roman"/>
      <w:color w:val="auto"/>
      <w:sz w:val="28"/>
      <w:vertAlign w:val="superscript"/>
    </w:rPr>
  </w:style>
  <w:style w:type="character" w:customStyle="1" w:styleId="FontStyle20">
    <w:name w:val="Font Style20"/>
    <w:uiPriority w:val="99"/>
    <w:rsid w:val="00DF2F38"/>
    <w:rPr>
      <w:rFonts w:ascii="Times New Roman" w:hAnsi="Times New Roman" w:cs="Times New Roman"/>
      <w:sz w:val="22"/>
      <w:szCs w:val="22"/>
    </w:rPr>
  </w:style>
  <w:style w:type="paragraph" w:styleId="BodyText2">
    <w:name w:val="Body Text 2"/>
    <w:basedOn w:val="Normal"/>
    <w:link w:val="BodyText2Char"/>
    <w:rsid w:val="00D30D9C"/>
    <w:pPr>
      <w:overflowPunct w:val="0"/>
      <w:autoSpaceDE w:val="0"/>
      <w:autoSpaceDN w:val="0"/>
      <w:adjustRightInd w:val="0"/>
      <w:spacing w:after="0" w:line="240" w:lineRule="auto"/>
      <w:ind w:right="-142"/>
      <w:textAlignment w:val="baseline"/>
    </w:pPr>
    <w:rPr>
      <w:rFonts w:ascii="Arial" w:eastAsia="Times New Roman" w:hAnsi="Arial" w:cs="Times New Roman"/>
      <w:bCs/>
      <w:sz w:val="24"/>
      <w:szCs w:val="20"/>
      <w:lang w:val="ru-RU" w:eastAsia="ru-RU"/>
    </w:rPr>
  </w:style>
  <w:style w:type="character" w:customStyle="1" w:styleId="BodyText2Char">
    <w:name w:val="Body Text 2 Char"/>
    <w:basedOn w:val="DefaultParagraphFont"/>
    <w:link w:val="BodyText2"/>
    <w:rsid w:val="00D30D9C"/>
    <w:rPr>
      <w:rFonts w:ascii="Arial" w:eastAsia="Times New Roman" w:hAnsi="Arial" w:cs="Times New Roman"/>
      <w:bCs/>
      <w:sz w:val="24"/>
      <w:szCs w:val="20"/>
      <w:lang w:val="ru-RU" w:eastAsia="ru-RU"/>
    </w:rPr>
  </w:style>
  <w:style w:type="paragraph" w:customStyle="1" w:styleId="a">
    <w:name w:val="???????"/>
    <w:rsid w:val="00A344AE"/>
    <w:pPr>
      <w:spacing w:after="0" w:line="240" w:lineRule="auto"/>
    </w:pPr>
    <w:rPr>
      <w:rFonts w:ascii="Times New Roman" w:eastAsia="Times New Roman" w:hAnsi="Times New Roman" w:cs="Times New Roman"/>
      <w:sz w:val="20"/>
      <w:szCs w:val="20"/>
      <w:lang w:val="ru-RU" w:eastAsia="ru-RU"/>
    </w:rPr>
  </w:style>
  <w:style w:type="paragraph" w:styleId="BalloonText">
    <w:name w:val="Balloon Text"/>
    <w:basedOn w:val="Normal"/>
    <w:link w:val="BalloonTextChar"/>
    <w:uiPriority w:val="99"/>
    <w:semiHidden/>
    <w:unhideWhenUsed/>
    <w:rsid w:val="00900E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E78"/>
    <w:rPr>
      <w:rFonts w:ascii="Segoe UI" w:hAnsi="Segoe UI" w:cs="Segoe UI"/>
      <w:sz w:val="18"/>
      <w:szCs w:val="18"/>
    </w:rPr>
  </w:style>
  <w:style w:type="table" w:styleId="TableGrid">
    <w:name w:val="Table Grid"/>
    <w:basedOn w:val="TableNormal"/>
    <w:uiPriority w:val="39"/>
    <w:rsid w:val="00AA7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5A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AA4"/>
  </w:style>
  <w:style w:type="paragraph" w:styleId="Footer">
    <w:name w:val="footer"/>
    <w:basedOn w:val="Normal"/>
    <w:link w:val="FooterChar"/>
    <w:uiPriority w:val="99"/>
    <w:unhideWhenUsed/>
    <w:rsid w:val="00645A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71FB7-C505-4EDB-A56D-BEACA90DE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3886</TotalTime>
  <Pages>55</Pages>
  <Words>17090</Words>
  <Characters>97419</Characters>
  <Application>Microsoft Office Word</Application>
  <DocSecurity>0</DocSecurity>
  <Lines>811</Lines>
  <Paragraphs>228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Trokashvili</cp:lastModifiedBy>
  <cp:revision>220</cp:revision>
  <cp:lastPrinted>2025-02-17T12:58:00Z</cp:lastPrinted>
  <dcterms:created xsi:type="dcterms:W3CDTF">2025-02-10T11:17:00Z</dcterms:created>
  <dcterms:modified xsi:type="dcterms:W3CDTF">2026-07-01T07:42:00Z</dcterms:modified>
</cp:coreProperties>
</file>