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A53AC" w14:textId="77777777" w:rsidR="00BB0197" w:rsidRPr="00E9721C" w:rsidRDefault="00BB0197" w:rsidP="00B061A9">
      <w:pPr>
        <w:spacing w:after="0" w:line="240" w:lineRule="auto"/>
        <w:jc w:val="center"/>
        <w:rPr>
          <w:rFonts w:ascii="Sylfaen" w:hAnsi="Sylfaen"/>
          <w:b/>
          <w:noProof/>
          <w:sz w:val="24"/>
          <w:szCs w:val="24"/>
          <w:lang w:val="en-GB"/>
        </w:rPr>
      </w:pPr>
      <w:r w:rsidRPr="00E9721C">
        <w:rPr>
          <w:rFonts w:ascii="Sylfaen" w:hAnsi="Sylfaen"/>
          <w:b/>
          <w:noProof/>
          <w:sz w:val="24"/>
          <w:szCs w:val="24"/>
          <w:lang w:val="en-GB"/>
        </w:rPr>
        <w:t>პროდუქციის ზოგადი დახასიათება</w:t>
      </w:r>
    </w:p>
    <w:p w14:paraId="1328EA18" w14:textId="77777777" w:rsidR="00BB0197" w:rsidRPr="00E9721C" w:rsidRDefault="00BB0197" w:rsidP="00B061A9">
      <w:pPr>
        <w:spacing w:after="0" w:line="240" w:lineRule="auto"/>
        <w:jc w:val="both"/>
        <w:rPr>
          <w:rFonts w:ascii="Sylfaen" w:hAnsi="Sylfaen"/>
          <w:b/>
          <w:noProof/>
          <w:sz w:val="24"/>
          <w:szCs w:val="24"/>
          <w:lang w:val="en-GB"/>
        </w:rPr>
      </w:pPr>
      <w:r w:rsidRPr="00E9721C">
        <w:rPr>
          <w:rFonts w:ascii="Sylfaen" w:hAnsi="Sylfaen"/>
          <w:b/>
          <w:noProof/>
          <w:sz w:val="24"/>
          <w:szCs w:val="24"/>
          <w:lang w:val="en-GB"/>
        </w:rPr>
        <w:t>1. სამკურნალო საშუალების დასახელება</w:t>
      </w:r>
    </w:p>
    <w:p w14:paraId="23A950E5" w14:textId="77777777" w:rsidR="00BB0197" w:rsidRPr="00E9721C" w:rsidRDefault="00BB0197" w:rsidP="00B061A9">
      <w:pPr>
        <w:spacing w:after="0" w:line="240" w:lineRule="auto"/>
        <w:jc w:val="both"/>
        <w:rPr>
          <w:rFonts w:ascii="Sylfaen" w:hAnsi="Sylfaen"/>
          <w:noProof/>
          <w:sz w:val="24"/>
          <w:szCs w:val="24"/>
          <w:lang w:val="en-GB"/>
        </w:rPr>
      </w:pPr>
      <w:r w:rsidRPr="00E9721C">
        <w:rPr>
          <w:rFonts w:ascii="Sylfaen" w:hAnsi="Sylfaen"/>
          <w:noProof/>
          <w:sz w:val="24"/>
          <w:szCs w:val="24"/>
          <w:lang w:val="en-GB"/>
        </w:rPr>
        <w:t xml:space="preserve">დიანილი PD4 გლუკოზა </w:t>
      </w:r>
      <w:r w:rsidR="00E54940" w:rsidRPr="00E9721C">
        <w:rPr>
          <w:rFonts w:ascii="Sylfaen" w:hAnsi="Sylfaen"/>
          <w:noProof/>
          <w:sz w:val="24"/>
          <w:szCs w:val="24"/>
          <w:lang w:val="en-GB"/>
        </w:rPr>
        <w:t>3.86</w:t>
      </w:r>
      <w:r w:rsidRPr="00E9721C">
        <w:rPr>
          <w:rFonts w:ascii="Sylfaen" w:hAnsi="Sylfaen"/>
          <w:noProof/>
          <w:sz w:val="24"/>
          <w:szCs w:val="24"/>
          <w:lang w:val="en-GB"/>
        </w:rPr>
        <w:t>% w/v / (</w:t>
      </w:r>
      <w:r w:rsidR="00E54940" w:rsidRPr="00E9721C">
        <w:rPr>
          <w:rFonts w:ascii="Sylfaen" w:hAnsi="Sylfaen"/>
          <w:noProof/>
          <w:sz w:val="24"/>
          <w:szCs w:val="24"/>
          <w:lang w:val="en-GB"/>
        </w:rPr>
        <w:t>38.6</w:t>
      </w:r>
      <w:r w:rsidRPr="00E9721C">
        <w:rPr>
          <w:rFonts w:ascii="Sylfaen" w:hAnsi="Sylfaen"/>
          <w:noProof/>
          <w:sz w:val="24"/>
          <w:szCs w:val="24"/>
          <w:lang w:val="en-GB"/>
        </w:rPr>
        <w:t xml:space="preserve"> მგ/მლ), პერიტონეალური სადიალიზო ხსნარი.</w:t>
      </w:r>
    </w:p>
    <w:p w14:paraId="3191212E"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2. თვისობრივი და რაოდენობრივი შემადგენლობა</w:t>
      </w:r>
    </w:p>
    <w:tbl>
      <w:tblPr>
        <w:tblW w:w="9668" w:type="dxa"/>
        <w:tblInd w:w="-5" w:type="dxa"/>
        <w:tblLook w:val="0000" w:firstRow="0" w:lastRow="0" w:firstColumn="0" w:lastColumn="0" w:noHBand="0" w:noVBand="0"/>
      </w:tblPr>
      <w:tblGrid>
        <w:gridCol w:w="4500"/>
        <w:gridCol w:w="2573"/>
        <w:gridCol w:w="2595"/>
      </w:tblGrid>
      <w:tr w:rsidR="00BB0197" w:rsidRPr="00E9721C" w14:paraId="3CE379ED" w14:textId="77777777" w:rsidTr="00F37CB3">
        <w:trPr>
          <w:trHeight w:val="275"/>
        </w:trPr>
        <w:tc>
          <w:tcPr>
            <w:tcW w:w="4500" w:type="dxa"/>
          </w:tcPr>
          <w:p w14:paraId="27B2C033"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sz w:val="24"/>
                <w:szCs w:val="24"/>
                <w:lang w:val="ka-GE"/>
              </w:rPr>
              <w:t>უწყლო გლუკოზა</w:t>
            </w:r>
          </w:p>
        </w:tc>
        <w:tc>
          <w:tcPr>
            <w:tcW w:w="2573" w:type="dxa"/>
          </w:tcPr>
          <w:p w14:paraId="0F8419E1" w14:textId="77777777" w:rsidR="00BB0197" w:rsidRPr="00E9721C" w:rsidRDefault="00E54940"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3.86</w:t>
            </w:r>
            <w:r w:rsidR="00BB0197" w:rsidRPr="00E9721C">
              <w:rPr>
                <w:rFonts w:ascii="Sylfaen" w:hAnsi="Sylfaen"/>
                <w:noProof/>
                <w:sz w:val="24"/>
                <w:szCs w:val="24"/>
                <w:lang w:val="ka-GE"/>
              </w:rPr>
              <w:t xml:space="preserve">% </w:t>
            </w:r>
            <w:r w:rsidR="00BB0197" w:rsidRPr="00E9721C">
              <w:rPr>
                <w:rFonts w:ascii="Sylfaen" w:hAnsi="Sylfaen"/>
                <w:noProof/>
                <w:sz w:val="24"/>
                <w:szCs w:val="24"/>
                <w:lang w:val="en-GB"/>
              </w:rPr>
              <w:t>w/v</w:t>
            </w:r>
          </w:p>
        </w:tc>
        <w:tc>
          <w:tcPr>
            <w:tcW w:w="2595" w:type="dxa"/>
          </w:tcPr>
          <w:p w14:paraId="59E18CCD" w14:textId="77777777" w:rsidR="00BB0197" w:rsidRPr="00E9721C" w:rsidRDefault="00E54940"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rPr>
              <w:t>38.60</w:t>
            </w:r>
            <w:r w:rsidR="00BB0197" w:rsidRPr="00E9721C">
              <w:rPr>
                <w:rFonts w:ascii="Sylfaen" w:hAnsi="Sylfaen"/>
                <w:noProof/>
                <w:sz w:val="24"/>
                <w:szCs w:val="24"/>
              </w:rPr>
              <w:t xml:space="preserve"> </w:t>
            </w:r>
            <w:r w:rsidR="00BB0197" w:rsidRPr="00E9721C">
              <w:rPr>
                <w:rFonts w:ascii="Sylfaen" w:hAnsi="Sylfaen"/>
                <w:noProof/>
                <w:sz w:val="24"/>
                <w:szCs w:val="24"/>
                <w:lang w:val="ka-GE"/>
              </w:rPr>
              <w:t>გ/ლ</w:t>
            </w:r>
          </w:p>
        </w:tc>
      </w:tr>
      <w:tr w:rsidR="00BB0197" w:rsidRPr="00E9721C" w14:paraId="4CC5F434" w14:textId="77777777" w:rsidTr="00F37CB3">
        <w:trPr>
          <w:trHeight w:val="120"/>
        </w:trPr>
        <w:tc>
          <w:tcPr>
            <w:tcW w:w="4500" w:type="dxa"/>
          </w:tcPr>
          <w:p w14:paraId="7DC950AF" w14:textId="77777777" w:rsidR="00BB0197" w:rsidRPr="00E9721C" w:rsidRDefault="00BB0197" w:rsidP="00B061A9">
            <w:pPr>
              <w:spacing w:after="0" w:line="240" w:lineRule="auto"/>
              <w:ind w:left="45"/>
              <w:jc w:val="both"/>
              <w:rPr>
                <w:rFonts w:ascii="Sylfaen" w:hAnsi="Sylfaen"/>
                <w:noProof/>
                <w:sz w:val="24"/>
                <w:szCs w:val="24"/>
                <w:u w:val="single"/>
                <w:lang w:val="ka-GE"/>
              </w:rPr>
            </w:pPr>
            <w:r w:rsidRPr="00E9721C">
              <w:rPr>
                <w:rFonts w:ascii="Sylfaen" w:hAnsi="Sylfaen"/>
                <w:noProof/>
                <w:sz w:val="24"/>
                <w:szCs w:val="24"/>
                <w:u w:val="single"/>
                <w:lang w:val="ka-GE"/>
              </w:rPr>
              <w:t>ან</w:t>
            </w:r>
          </w:p>
        </w:tc>
        <w:tc>
          <w:tcPr>
            <w:tcW w:w="2573" w:type="dxa"/>
          </w:tcPr>
          <w:p w14:paraId="2F2956BE" w14:textId="77777777" w:rsidR="00BB0197" w:rsidRPr="00E9721C" w:rsidRDefault="00BB0197" w:rsidP="00B061A9">
            <w:pPr>
              <w:spacing w:after="0" w:line="240" w:lineRule="auto"/>
              <w:ind w:left="45"/>
              <w:jc w:val="both"/>
              <w:rPr>
                <w:rFonts w:ascii="Sylfaen" w:hAnsi="Sylfaen"/>
                <w:noProof/>
                <w:sz w:val="24"/>
                <w:szCs w:val="24"/>
                <w:lang w:val="ka-GE"/>
              </w:rPr>
            </w:pPr>
          </w:p>
        </w:tc>
        <w:tc>
          <w:tcPr>
            <w:tcW w:w="2595" w:type="dxa"/>
          </w:tcPr>
          <w:p w14:paraId="5FF17297" w14:textId="77777777" w:rsidR="00BB0197" w:rsidRPr="00E9721C" w:rsidRDefault="00BB0197" w:rsidP="00B061A9">
            <w:pPr>
              <w:spacing w:after="0" w:line="240" w:lineRule="auto"/>
              <w:ind w:left="45"/>
              <w:jc w:val="both"/>
              <w:rPr>
                <w:rFonts w:ascii="Sylfaen" w:hAnsi="Sylfaen"/>
                <w:noProof/>
                <w:sz w:val="24"/>
                <w:szCs w:val="24"/>
                <w:lang w:val="ka-GE"/>
              </w:rPr>
            </w:pPr>
          </w:p>
        </w:tc>
      </w:tr>
      <w:tr w:rsidR="00BB0197" w:rsidRPr="00E9721C" w14:paraId="6835C779" w14:textId="77777777" w:rsidTr="00F37CB3">
        <w:trPr>
          <w:trHeight w:val="285"/>
        </w:trPr>
        <w:tc>
          <w:tcPr>
            <w:tcW w:w="4500" w:type="dxa"/>
          </w:tcPr>
          <w:p w14:paraId="61365790"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sz w:val="24"/>
                <w:szCs w:val="24"/>
                <w:lang w:val="ka-GE"/>
              </w:rPr>
              <w:t>გლუკოზის მონოჰიდრატი</w:t>
            </w:r>
          </w:p>
        </w:tc>
        <w:tc>
          <w:tcPr>
            <w:tcW w:w="2573" w:type="dxa"/>
          </w:tcPr>
          <w:p w14:paraId="7CCA25FF" w14:textId="77777777" w:rsidR="00BB0197" w:rsidRPr="00E9721C" w:rsidRDefault="00E54940"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rPr>
              <w:t>4.25</w:t>
            </w:r>
            <w:r w:rsidR="00BB0197" w:rsidRPr="00E9721C">
              <w:rPr>
                <w:rFonts w:ascii="Sylfaen" w:hAnsi="Sylfaen"/>
                <w:noProof/>
                <w:sz w:val="24"/>
                <w:szCs w:val="24"/>
                <w:lang w:val="ka-GE"/>
              </w:rPr>
              <w:t xml:space="preserve">% </w:t>
            </w:r>
            <w:r w:rsidR="00BB0197" w:rsidRPr="00E9721C">
              <w:rPr>
                <w:rFonts w:ascii="Sylfaen" w:hAnsi="Sylfaen"/>
                <w:noProof/>
                <w:sz w:val="24"/>
                <w:szCs w:val="24"/>
                <w:lang w:val="en-GB"/>
              </w:rPr>
              <w:t>w/v</w:t>
            </w:r>
          </w:p>
        </w:tc>
        <w:tc>
          <w:tcPr>
            <w:tcW w:w="2595" w:type="dxa"/>
          </w:tcPr>
          <w:p w14:paraId="72209D0C" w14:textId="77777777" w:rsidR="00BB0197" w:rsidRPr="00E9721C" w:rsidRDefault="00E54940"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rPr>
              <w:t>42.50</w:t>
            </w:r>
            <w:r w:rsidR="00BB0197" w:rsidRPr="00E9721C">
              <w:rPr>
                <w:rFonts w:ascii="Sylfaen" w:hAnsi="Sylfaen"/>
                <w:noProof/>
                <w:sz w:val="24"/>
                <w:szCs w:val="24"/>
                <w:lang w:val="ka-GE"/>
              </w:rPr>
              <w:t xml:space="preserve"> გ/ლ</w:t>
            </w:r>
          </w:p>
        </w:tc>
      </w:tr>
      <w:tr w:rsidR="00BB0197" w:rsidRPr="00E9721C" w14:paraId="7C687FD4" w14:textId="77777777" w:rsidTr="00F37CB3">
        <w:trPr>
          <w:trHeight w:val="285"/>
        </w:trPr>
        <w:tc>
          <w:tcPr>
            <w:tcW w:w="4500" w:type="dxa"/>
          </w:tcPr>
          <w:p w14:paraId="72325F5F"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sz w:val="24"/>
                <w:szCs w:val="24"/>
                <w:lang w:val="ka-GE"/>
              </w:rPr>
              <w:t>ნატრიუმის  ქლორიდი</w:t>
            </w:r>
          </w:p>
        </w:tc>
        <w:tc>
          <w:tcPr>
            <w:tcW w:w="2573" w:type="dxa"/>
          </w:tcPr>
          <w:p w14:paraId="1181A75E"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 xml:space="preserve">0.538% </w:t>
            </w:r>
            <w:r w:rsidRPr="00E9721C">
              <w:rPr>
                <w:rFonts w:ascii="Sylfaen" w:hAnsi="Sylfaen"/>
                <w:noProof/>
                <w:sz w:val="24"/>
                <w:szCs w:val="24"/>
                <w:lang w:val="en-GB"/>
              </w:rPr>
              <w:t>w/v</w:t>
            </w:r>
          </w:p>
        </w:tc>
        <w:tc>
          <w:tcPr>
            <w:tcW w:w="2595" w:type="dxa"/>
          </w:tcPr>
          <w:p w14:paraId="35FE6B56"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5.38 გ/ლ</w:t>
            </w:r>
          </w:p>
        </w:tc>
      </w:tr>
      <w:tr w:rsidR="00BB0197" w:rsidRPr="00E9721C" w14:paraId="79116E9E" w14:textId="77777777" w:rsidTr="00F37CB3">
        <w:trPr>
          <w:trHeight w:val="285"/>
        </w:trPr>
        <w:tc>
          <w:tcPr>
            <w:tcW w:w="4500" w:type="dxa"/>
          </w:tcPr>
          <w:p w14:paraId="4FFCF40E" w14:textId="77777777" w:rsidR="00BB0197" w:rsidRPr="00E9721C" w:rsidRDefault="00BB0197" w:rsidP="00B061A9">
            <w:pPr>
              <w:spacing w:after="0" w:line="240" w:lineRule="auto"/>
              <w:ind w:left="45"/>
              <w:jc w:val="both"/>
              <w:rPr>
                <w:rFonts w:ascii="Sylfaen" w:hAnsi="Sylfaen"/>
                <w:sz w:val="24"/>
                <w:szCs w:val="24"/>
                <w:lang w:val="ka-GE"/>
              </w:rPr>
            </w:pPr>
            <w:r w:rsidRPr="00E9721C">
              <w:rPr>
                <w:rFonts w:ascii="Sylfaen" w:hAnsi="Sylfaen"/>
                <w:sz w:val="24"/>
                <w:szCs w:val="24"/>
                <w:lang w:val="ka-GE"/>
              </w:rPr>
              <w:t>ნატრიუმის ლაქტატი</w:t>
            </w:r>
            <w:r w:rsidRPr="00E9721C">
              <w:rPr>
                <w:rFonts w:ascii="Sylfaen" w:hAnsi="Sylfaen"/>
                <w:sz w:val="24"/>
                <w:szCs w:val="24"/>
                <w:lang w:val="ka-GE"/>
              </w:rPr>
              <w:tab/>
            </w:r>
          </w:p>
        </w:tc>
        <w:tc>
          <w:tcPr>
            <w:tcW w:w="2573" w:type="dxa"/>
          </w:tcPr>
          <w:p w14:paraId="362BA9A8"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 xml:space="preserve">0.448% </w:t>
            </w:r>
            <w:r w:rsidRPr="00E9721C">
              <w:rPr>
                <w:rFonts w:ascii="Sylfaen" w:hAnsi="Sylfaen"/>
                <w:noProof/>
                <w:sz w:val="24"/>
                <w:szCs w:val="24"/>
                <w:lang w:val="en-GB"/>
              </w:rPr>
              <w:t>w/v</w:t>
            </w:r>
          </w:p>
        </w:tc>
        <w:tc>
          <w:tcPr>
            <w:tcW w:w="2595" w:type="dxa"/>
          </w:tcPr>
          <w:p w14:paraId="44187370"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4.48 გ/ლ</w:t>
            </w:r>
          </w:p>
        </w:tc>
      </w:tr>
      <w:tr w:rsidR="00BB0197" w:rsidRPr="00E9721C" w14:paraId="34A6CFC9" w14:textId="77777777" w:rsidTr="00F37CB3">
        <w:trPr>
          <w:trHeight w:val="285"/>
        </w:trPr>
        <w:tc>
          <w:tcPr>
            <w:tcW w:w="4500" w:type="dxa"/>
          </w:tcPr>
          <w:p w14:paraId="2CCDA8EC" w14:textId="77777777" w:rsidR="00BB0197" w:rsidRPr="00E9721C" w:rsidRDefault="00BB0197" w:rsidP="00B061A9">
            <w:pPr>
              <w:spacing w:after="0" w:line="240" w:lineRule="auto"/>
              <w:ind w:left="45"/>
              <w:jc w:val="both"/>
              <w:rPr>
                <w:rFonts w:ascii="Sylfaen" w:hAnsi="Sylfaen"/>
                <w:sz w:val="24"/>
                <w:szCs w:val="24"/>
                <w:lang w:val="ka-GE"/>
              </w:rPr>
            </w:pPr>
            <w:r w:rsidRPr="00E9721C">
              <w:rPr>
                <w:rFonts w:ascii="Sylfaen" w:hAnsi="Sylfaen"/>
                <w:sz w:val="24"/>
                <w:szCs w:val="24"/>
                <w:lang w:val="ka-GE"/>
              </w:rPr>
              <w:t>კალციუმის ქლორიდის დიჰიდრატი</w:t>
            </w:r>
          </w:p>
        </w:tc>
        <w:tc>
          <w:tcPr>
            <w:tcW w:w="2573" w:type="dxa"/>
          </w:tcPr>
          <w:p w14:paraId="68D63395"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 xml:space="preserve">0.0184% </w:t>
            </w:r>
            <w:r w:rsidRPr="00E9721C">
              <w:rPr>
                <w:rFonts w:ascii="Sylfaen" w:hAnsi="Sylfaen"/>
                <w:noProof/>
                <w:sz w:val="24"/>
                <w:szCs w:val="24"/>
                <w:lang w:val="en-GB"/>
              </w:rPr>
              <w:t>w/v</w:t>
            </w:r>
          </w:p>
        </w:tc>
        <w:tc>
          <w:tcPr>
            <w:tcW w:w="2595" w:type="dxa"/>
          </w:tcPr>
          <w:p w14:paraId="7C85D0C3"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184.00 მგ/ლ</w:t>
            </w:r>
          </w:p>
        </w:tc>
      </w:tr>
      <w:tr w:rsidR="00BB0197" w:rsidRPr="00E9721C" w14:paraId="3E19E517" w14:textId="77777777" w:rsidTr="00F37CB3">
        <w:trPr>
          <w:trHeight w:val="285"/>
        </w:trPr>
        <w:tc>
          <w:tcPr>
            <w:tcW w:w="4500" w:type="dxa"/>
          </w:tcPr>
          <w:p w14:paraId="7E7E311A" w14:textId="77777777" w:rsidR="00BB0197" w:rsidRPr="00E9721C" w:rsidRDefault="00BB0197" w:rsidP="00B061A9">
            <w:pPr>
              <w:spacing w:after="0" w:line="240" w:lineRule="auto"/>
              <w:ind w:left="45"/>
              <w:jc w:val="both"/>
              <w:rPr>
                <w:rFonts w:ascii="Sylfaen" w:hAnsi="Sylfaen"/>
                <w:sz w:val="24"/>
                <w:szCs w:val="24"/>
                <w:lang w:val="ka-GE"/>
              </w:rPr>
            </w:pPr>
            <w:r w:rsidRPr="00E9721C">
              <w:rPr>
                <w:rFonts w:ascii="Sylfaen" w:hAnsi="Sylfaen"/>
                <w:sz w:val="24"/>
                <w:szCs w:val="24"/>
                <w:lang w:val="ka-GE"/>
              </w:rPr>
              <w:t>მაგნიუმის ქლორიდის ჰექსაჰიდრატი</w:t>
            </w:r>
          </w:p>
        </w:tc>
        <w:tc>
          <w:tcPr>
            <w:tcW w:w="2573" w:type="dxa"/>
          </w:tcPr>
          <w:p w14:paraId="4A2E9F8A"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 xml:space="preserve">0.0051% </w:t>
            </w:r>
            <w:r w:rsidRPr="00E9721C">
              <w:rPr>
                <w:rFonts w:ascii="Sylfaen" w:hAnsi="Sylfaen"/>
                <w:noProof/>
                <w:sz w:val="24"/>
                <w:szCs w:val="24"/>
                <w:lang w:val="en-GB"/>
              </w:rPr>
              <w:t>w/v</w:t>
            </w:r>
          </w:p>
        </w:tc>
        <w:tc>
          <w:tcPr>
            <w:tcW w:w="2595" w:type="dxa"/>
          </w:tcPr>
          <w:p w14:paraId="79AB5CF4" w14:textId="77777777" w:rsidR="00BB0197" w:rsidRPr="00E9721C" w:rsidRDefault="00BB0197" w:rsidP="00B061A9">
            <w:pPr>
              <w:spacing w:after="0" w:line="240" w:lineRule="auto"/>
              <w:ind w:left="45"/>
              <w:jc w:val="both"/>
              <w:rPr>
                <w:rFonts w:ascii="Sylfaen" w:hAnsi="Sylfaen"/>
                <w:noProof/>
                <w:sz w:val="24"/>
                <w:szCs w:val="24"/>
                <w:lang w:val="ka-GE"/>
              </w:rPr>
            </w:pPr>
            <w:r w:rsidRPr="00E9721C">
              <w:rPr>
                <w:rFonts w:ascii="Sylfaen" w:hAnsi="Sylfaen"/>
                <w:noProof/>
                <w:sz w:val="24"/>
                <w:szCs w:val="24"/>
                <w:lang w:val="ka-GE"/>
              </w:rPr>
              <w:t>51.00 მგ/ლ</w:t>
            </w:r>
          </w:p>
        </w:tc>
      </w:tr>
    </w:tbl>
    <w:p w14:paraId="0276854A" w14:textId="77777777" w:rsidR="00BB0197" w:rsidRPr="00E9721C" w:rsidRDefault="00BB0197" w:rsidP="00B061A9">
      <w:pPr>
        <w:spacing w:after="0" w:line="240" w:lineRule="auto"/>
        <w:rPr>
          <w:rFonts w:ascii="Sylfaen" w:hAnsi="Sylfaen"/>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890"/>
      </w:tblGrid>
      <w:tr w:rsidR="00BB0197" w:rsidRPr="00E9721C" w14:paraId="60B4AA7A" w14:textId="77777777" w:rsidTr="00F37CB3">
        <w:tc>
          <w:tcPr>
            <w:tcW w:w="1975" w:type="dxa"/>
          </w:tcPr>
          <w:p w14:paraId="17E42ADF" w14:textId="77777777" w:rsidR="00BB0197" w:rsidRPr="00E9721C" w:rsidRDefault="00BB0197" w:rsidP="00B061A9">
            <w:pPr>
              <w:rPr>
                <w:rFonts w:ascii="Sylfaen" w:hAnsi="Sylfaen"/>
                <w:b/>
                <w:sz w:val="24"/>
                <w:szCs w:val="24"/>
                <w:lang w:val="ka-GE"/>
              </w:rPr>
            </w:pPr>
            <w:r w:rsidRPr="00E9721C">
              <w:rPr>
                <w:rFonts w:ascii="Sylfaen" w:hAnsi="Sylfaen"/>
                <w:b/>
                <w:sz w:val="24"/>
                <w:szCs w:val="24"/>
                <w:lang w:val="ka-GE"/>
              </w:rPr>
              <w:t>მმოლი/ლ</w:t>
            </w:r>
          </w:p>
        </w:tc>
        <w:tc>
          <w:tcPr>
            <w:tcW w:w="1890" w:type="dxa"/>
          </w:tcPr>
          <w:p w14:paraId="274D6F54" w14:textId="77777777" w:rsidR="00BB0197" w:rsidRPr="00E9721C" w:rsidRDefault="00BB0197" w:rsidP="00B061A9">
            <w:pPr>
              <w:rPr>
                <w:rFonts w:ascii="Sylfaen" w:hAnsi="Sylfaen"/>
                <w:b/>
                <w:sz w:val="24"/>
                <w:szCs w:val="24"/>
                <w:lang w:val="ka-GE"/>
              </w:rPr>
            </w:pPr>
          </w:p>
        </w:tc>
      </w:tr>
      <w:tr w:rsidR="00BB0197" w:rsidRPr="00E9721C" w14:paraId="735D210E" w14:textId="77777777" w:rsidTr="00F37CB3">
        <w:tc>
          <w:tcPr>
            <w:tcW w:w="1975" w:type="dxa"/>
          </w:tcPr>
          <w:p w14:paraId="0DFCF6A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Na</w:t>
            </w:r>
            <w:r w:rsidRPr="00E9721C">
              <w:rPr>
                <w:rFonts w:ascii="Sylfaen" w:hAnsi="Sylfaen"/>
                <w:sz w:val="24"/>
                <w:szCs w:val="24"/>
                <w:vertAlign w:val="superscript"/>
                <w:lang w:val="ka-GE"/>
              </w:rPr>
              <w:t>+</w:t>
            </w:r>
          </w:p>
        </w:tc>
        <w:tc>
          <w:tcPr>
            <w:tcW w:w="1890" w:type="dxa"/>
          </w:tcPr>
          <w:p w14:paraId="3C8FCAA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132.00</w:t>
            </w:r>
          </w:p>
        </w:tc>
      </w:tr>
      <w:tr w:rsidR="00BB0197" w:rsidRPr="00E9721C" w14:paraId="5F94B8B9" w14:textId="77777777" w:rsidTr="00F37CB3">
        <w:tc>
          <w:tcPr>
            <w:tcW w:w="1975" w:type="dxa"/>
          </w:tcPr>
          <w:p w14:paraId="56CA1A7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Ca</w:t>
            </w:r>
            <w:r w:rsidRPr="00E9721C">
              <w:rPr>
                <w:rFonts w:ascii="Sylfaen" w:hAnsi="Sylfaen"/>
                <w:sz w:val="24"/>
                <w:szCs w:val="24"/>
                <w:vertAlign w:val="superscript"/>
                <w:lang w:val="ka-GE"/>
              </w:rPr>
              <w:t>2+</w:t>
            </w:r>
          </w:p>
        </w:tc>
        <w:tc>
          <w:tcPr>
            <w:tcW w:w="1890" w:type="dxa"/>
          </w:tcPr>
          <w:p w14:paraId="2266DF64"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1.25</w:t>
            </w:r>
          </w:p>
        </w:tc>
      </w:tr>
      <w:tr w:rsidR="00BB0197" w:rsidRPr="00E9721C" w14:paraId="6C1C69A4" w14:textId="77777777" w:rsidTr="00F37CB3">
        <w:tc>
          <w:tcPr>
            <w:tcW w:w="1975" w:type="dxa"/>
          </w:tcPr>
          <w:p w14:paraId="677F704A"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Mg</w:t>
            </w:r>
            <w:r w:rsidRPr="00E9721C">
              <w:rPr>
                <w:rFonts w:ascii="Sylfaen" w:hAnsi="Sylfaen"/>
                <w:sz w:val="24"/>
                <w:szCs w:val="24"/>
                <w:vertAlign w:val="superscript"/>
                <w:lang w:val="ka-GE"/>
              </w:rPr>
              <w:t>2+</w:t>
            </w:r>
          </w:p>
        </w:tc>
        <w:tc>
          <w:tcPr>
            <w:tcW w:w="1890" w:type="dxa"/>
          </w:tcPr>
          <w:p w14:paraId="1F03B3FB"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0.25</w:t>
            </w:r>
          </w:p>
        </w:tc>
      </w:tr>
      <w:tr w:rsidR="00BB0197" w:rsidRPr="00E9721C" w14:paraId="5B12EA4E" w14:textId="77777777" w:rsidTr="00F37CB3">
        <w:tc>
          <w:tcPr>
            <w:tcW w:w="1975" w:type="dxa"/>
          </w:tcPr>
          <w:p w14:paraId="190DA108" w14:textId="77777777" w:rsidR="00BB0197" w:rsidRPr="00E9721C" w:rsidRDefault="00BB0197" w:rsidP="00B061A9">
            <w:pPr>
              <w:rPr>
                <w:rFonts w:ascii="Sylfaen" w:hAnsi="Sylfaen"/>
                <w:b/>
                <w:sz w:val="24"/>
                <w:szCs w:val="24"/>
                <w:lang w:val="ka-GE"/>
              </w:rPr>
            </w:pPr>
            <w:r w:rsidRPr="00E9721C">
              <w:rPr>
                <w:rFonts w:ascii="Sylfaen" w:hAnsi="Sylfaen"/>
                <w:sz w:val="24"/>
                <w:szCs w:val="24"/>
                <w:lang w:val="ka-GE"/>
              </w:rPr>
              <w:t>Cl</w:t>
            </w:r>
            <w:r w:rsidRPr="00E9721C">
              <w:rPr>
                <w:rFonts w:ascii="Sylfaen" w:hAnsi="Sylfaen"/>
                <w:sz w:val="24"/>
                <w:szCs w:val="24"/>
                <w:vertAlign w:val="superscript"/>
                <w:lang w:val="ka-GE"/>
              </w:rPr>
              <w:t>-</w:t>
            </w:r>
          </w:p>
        </w:tc>
        <w:tc>
          <w:tcPr>
            <w:tcW w:w="1890" w:type="dxa"/>
          </w:tcPr>
          <w:p w14:paraId="3AE76B7A"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95.00</w:t>
            </w:r>
          </w:p>
        </w:tc>
      </w:tr>
      <w:tr w:rsidR="00BB0197" w:rsidRPr="00E9721C" w14:paraId="6953BB8E" w14:textId="77777777" w:rsidTr="00F37CB3">
        <w:tc>
          <w:tcPr>
            <w:tcW w:w="1975" w:type="dxa"/>
          </w:tcPr>
          <w:p w14:paraId="7FB39B02"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C</w:t>
            </w:r>
            <w:r w:rsidRPr="00E9721C">
              <w:rPr>
                <w:rFonts w:ascii="Sylfaen" w:hAnsi="Sylfaen"/>
                <w:sz w:val="24"/>
                <w:szCs w:val="24"/>
                <w:vertAlign w:val="subscript"/>
                <w:lang w:val="ka-GE"/>
              </w:rPr>
              <w:t>3</w:t>
            </w:r>
            <w:r w:rsidRPr="00E9721C">
              <w:rPr>
                <w:rFonts w:ascii="Sylfaen" w:hAnsi="Sylfaen"/>
                <w:sz w:val="24"/>
                <w:szCs w:val="24"/>
                <w:lang w:val="ka-GE"/>
              </w:rPr>
              <w:t>H</w:t>
            </w:r>
            <w:r w:rsidRPr="00E9721C">
              <w:rPr>
                <w:rFonts w:ascii="Sylfaen" w:hAnsi="Sylfaen"/>
                <w:sz w:val="24"/>
                <w:szCs w:val="24"/>
                <w:vertAlign w:val="subscript"/>
                <w:lang w:val="ka-GE"/>
              </w:rPr>
              <w:t>5</w:t>
            </w:r>
            <w:r w:rsidRPr="00E9721C">
              <w:rPr>
                <w:rFonts w:ascii="Sylfaen" w:hAnsi="Sylfaen"/>
                <w:sz w:val="24"/>
                <w:szCs w:val="24"/>
                <w:lang w:val="ka-GE"/>
              </w:rPr>
              <w:t>O</w:t>
            </w:r>
            <w:r w:rsidRPr="00E9721C">
              <w:rPr>
                <w:rFonts w:ascii="Sylfaen" w:hAnsi="Sylfaen"/>
                <w:sz w:val="24"/>
                <w:szCs w:val="24"/>
                <w:vertAlign w:val="subscript"/>
                <w:lang w:val="ka-GE"/>
              </w:rPr>
              <w:t>3</w:t>
            </w:r>
            <w:r w:rsidRPr="00E9721C">
              <w:rPr>
                <w:rFonts w:ascii="Sylfaen" w:hAnsi="Sylfaen"/>
                <w:sz w:val="24"/>
                <w:szCs w:val="24"/>
                <w:vertAlign w:val="superscript"/>
                <w:lang w:val="ka-GE"/>
              </w:rPr>
              <w:t>-</w:t>
            </w:r>
          </w:p>
        </w:tc>
        <w:tc>
          <w:tcPr>
            <w:tcW w:w="1890" w:type="dxa"/>
          </w:tcPr>
          <w:p w14:paraId="284E926A"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40.00</w:t>
            </w:r>
          </w:p>
        </w:tc>
      </w:tr>
    </w:tbl>
    <w:p w14:paraId="4C4F28A0" w14:textId="77777777" w:rsidR="00BB0197" w:rsidRPr="00E9721C" w:rsidRDefault="00BB0197" w:rsidP="00B061A9">
      <w:pPr>
        <w:spacing w:after="0" w:line="240" w:lineRule="auto"/>
        <w:rPr>
          <w:rFonts w:ascii="Sylfaen" w:hAnsi="Sylfaen"/>
          <w:b/>
          <w:sz w:val="24"/>
          <w:szCs w:val="24"/>
          <w:lang w:val="ka-GE"/>
        </w:rPr>
      </w:pPr>
    </w:p>
    <w:p w14:paraId="13D66D80" w14:textId="77777777" w:rsidR="00BB0197" w:rsidRPr="00E9721C" w:rsidRDefault="00BB0197" w:rsidP="00B061A9">
      <w:pPr>
        <w:spacing w:after="0" w:line="240" w:lineRule="auto"/>
        <w:rPr>
          <w:rFonts w:ascii="Sylfaen" w:hAnsi="Sylfaen"/>
          <w:sz w:val="24"/>
          <w:szCs w:val="24"/>
          <w:lang w:val="ka-GE"/>
        </w:rPr>
      </w:pPr>
      <w:r w:rsidRPr="00E9721C">
        <w:rPr>
          <w:rFonts w:ascii="Sylfaen" w:hAnsi="Sylfaen"/>
          <w:sz w:val="24"/>
          <w:szCs w:val="24"/>
          <w:lang w:val="ka-GE"/>
        </w:rPr>
        <w:t>დამხმარე ნივთიერებების სრული ჩამონათვალი იხილეთ ნაწილში 6.1.</w:t>
      </w:r>
    </w:p>
    <w:p w14:paraId="24338624" w14:textId="77777777" w:rsidR="00BB0197" w:rsidRPr="00E9721C" w:rsidRDefault="00BB0197" w:rsidP="00B061A9">
      <w:pPr>
        <w:spacing w:after="0" w:line="240" w:lineRule="auto"/>
        <w:rPr>
          <w:rFonts w:ascii="Sylfaen" w:hAnsi="Sylfaen"/>
          <w:b/>
          <w:sz w:val="24"/>
          <w:szCs w:val="24"/>
          <w:lang w:val="ka-GE"/>
        </w:rPr>
      </w:pPr>
      <w:r w:rsidRPr="00E9721C">
        <w:rPr>
          <w:rFonts w:ascii="Sylfaen" w:hAnsi="Sylfaen"/>
          <w:b/>
          <w:sz w:val="24"/>
          <w:szCs w:val="24"/>
          <w:lang w:val="ka-GE"/>
        </w:rPr>
        <w:t xml:space="preserve">3. წამლის ფორმა </w:t>
      </w:r>
    </w:p>
    <w:p w14:paraId="67ADE738" w14:textId="77777777" w:rsidR="00BB0197" w:rsidRPr="00E9721C" w:rsidRDefault="00BB0197" w:rsidP="00B061A9">
      <w:pPr>
        <w:spacing w:after="0" w:line="240" w:lineRule="auto"/>
        <w:rPr>
          <w:rFonts w:ascii="Sylfaen" w:hAnsi="Sylfaen"/>
          <w:sz w:val="24"/>
          <w:szCs w:val="24"/>
          <w:lang w:val="ka-GE"/>
        </w:rPr>
      </w:pPr>
      <w:r w:rsidRPr="00E9721C">
        <w:rPr>
          <w:rFonts w:ascii="Sylfaen" w:hAnsi="Sylfaen"/>
          <w:sz w:val="24"/>
          <w:szCs w:val="24"/>
          <w:lang w:val="ka-GE"/>
        </w:rPr>
        <w:t>პერიტონეალური სადიალიზო ხსნარი.</w:t>
      </w:r>
    </w:p>
    <w:p w14:paraId="158C4EE0" w14:textId="77777777" w:rsidR="00BB0197" w:rsidRPr="00E9721C" w:rsidRDefault="00BB0197" w:rsidP="00B061A9">
      <w:pPr>
        <w:spacing w:after="0" w:line="240" w:lineRule="auto"/>
        <w:jc w:val="both"/>
        <w:rPr>
          <w:rFonts w:ascii="Sylfaen" w:hAnsi="Sylfaen"/>
          <w:sz w:val="24"/>
          <w:szCs w:val="24"/>
          <w:lang w:val="ka-GE"/>
        </w:rPr>
      </w:pPr>
      <w:r w:rsidRPr="00E9721C">
        <w:rPr>
          <w:rFonts w:ascii="Sylfaen" w:hAnsi="Sylfaen"/>
          <w:sz w:val="24"/>
          <w:szCs w:val="24"/>
          <w:lang w:val="ka-GE"/>
        </w:rPr>
        <w:t>გამჭვირვალე, უფეროდან ღია ყვითელ ფერამდე შეფერილობის ხსნარი PVC კონტეინერებში, რომელსაც შეიძლება ჰქონდეს ინტეგრირებული სისტემა და სადრენაჟო კონტეინერი.</w:t>
      </w:r>
    </w:p>
    <w:p w14:paraId="42BAA0B2"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 კლინიკური მახასიათებლები</w:t>
      </w:r>
    </w:p>
    <w:p w14:paraId="0CB3A4C8"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b/>
          <w:noProof/>
          <w:sz w:val="24"/>
          <w:szCs w:val="24"/>
          <w:lang w:val="ka-GE"/>
        </w:rPr>
        <w:t>4.1. თერაპიული ჩვენებები</w:t>
      </w:r>
    </w:p>
    <w:p w14:paraId="62C55782" w14:textId="77777777" w:rsidR="00BB0197" w:rsidRPr="00E9721C" w:rsidRDefault="00BB0197" w:rsidP="00B061A9">
      <w:pPr>
        <w:spacing w:after="0" w:line="240" w:lineRule="auto"/>
        <w:jc w:val="both"/>
        <w:rPr>
          <w:rFonts w:ascii="Sylfaen" w:hAnsi="Sylfaen"/>
          <w:sz w:val="24"/>
          <w:szCs w:val="24"/>
          <w:lang w:val="ka-GE"/>
        </w:rPr>
      </w:pPr>
      <w:r w:rsidRPr="00E9721C">
        <w:rPr>
          <w:rFonts w:ascii="Sylfaen" w:hAnsi="Sylfaen"/>
          <w:sz w:val="24"/>
          <w:szCs w:val="24"/>
          <w:lang w:val="ka-GE"/>
        </w:rPr>
        <w:t>დიანილი PD4 ნაჩვენებია ისეთი მდგომარეობების დროს, როდესაც გამოიყენება პერიტონეალური დიალიზი, მათ შორის:</w:t>
      </w:r>
    </w:p>
    <w:p w14:paraId="47BB01AC" w14:textId="77777777" w:rsidR="00BB0197" w:rsidRPr="00E9721C" w:rsidRDefault="00BB0197" w:rsidP="00B061A9">
      <w:pPr>
        <w:pStyle w:val="ListParagraph"/>
        <w:numPr>
          <w:ilvl w:val="0"/>
          <w:numId w:val="1"/>
        </w:numPr>
        <w:spacing w:after="0" w:line="240" w:lineRule="auto"/>
        <w:rPr>
          <w:rFonts w:ascii="Sylfaen" w:hAnsi="Sylfaen"/>
          <w:sz w:val="24"/>
          <w:szCs w:val="24"/>
          <w:lang w:val="ka-GE"/>
        </w:rPr>
      </w:pPr>
      <w:r w:rsidRPr="00E9721C">
        <w:rPr>
          <w:rFonts w:ascii="Sylfaen" w:hAnsi="Sylfaen"/>
          <w:sz w:val="24"/>
          <w:szCs w:val="24"/>
          <w:lang w:val="ka-GE"/>
        </w:rPr>
        <w:t xml:space="preserve">თირკმლის </w:t>
      </w:r>
      <w:r w:rsidRPr="00E9721C">
        <w:rPr>
          <w:rFonts w:ascii="Sylfaen" w:hAnsi="Sylfaen" w:cs="Sylfaen"/>
          <w:sz w:val="24"/>
          <w:szCs w:val="24"/>
          <w:lang w:val="ka-GE"/>
        </w:rPr>
        <w:t>მწვავე</w:t>
      </w:r>
      <w:r w:rsidRPr="00E9721C">
        <w:rPr>
          <w:rFonts w:ascii="Sylfaen" w:hAnsi="Sylfaen"/>
          <w:sz w:val="24"/>
          <w:szCs w:val="24"/>
          <w:lang w:val="ka-GE"/>
        </w:rPr>
        <w:t xml:space="preserve"> და ქრონიკული უკმარისობა.</w:t>
      </w:r>
    </w:p>
    <w:p w14:paraId="6C3C0F74" w14:textId="77777777" w:rsidR="00BB0197" w:rsidRPr="00E9721C" w:rsidRDefault="00BB0197" w:rsidP="00B061A9">
      <w:pPr>
        <w:pStyle w:val="ListParagraph"/>
        <w:numPr>
          <w:ilvl w:val="0"/>
          <w:numId w:val="1"/>
        </w:numPr>
        <w:spacing w:after="0" w:line="240" w:lineRule="auto"/>
        <w:jc w:val="both"/>
        <w:rPr>
          <w:rFonts w:ascii="Sylfaen" w:hAnsi="Sylfaen"/>
          <w:sz w:val="24"/>
          <w:szCs w:val="24"/>
          <w:lang w:val="ka-GE"/>
        </w:rPr>
      </w:pPr>
      <w:r w:rsidRPr="00E9721C">
        <w:rPr>
          <w:rFonts w:ascii="Sylfaen" w:hAnsi="Sylfaen"/>
          <w:noProof/>
          <w:sz w:val="24"/>
          <w:szCs w:val="24"/>
          <w:lang w:val="ka-GE"/>
        </w:rPr>
        <w:t>წყლის ძლიერი შეკავება.</w:t>
      </w:r>
    </w:p>
    <w:p w14:paraId="5729CB87" w14:textId="77777777" w:rsidR="00BB0197" w:rsidRPr="00E9721C" w:rsidRDefault="00BB0197" w:rsidP="00B061A9">
      <w:pPr>
        <w:pStyle w:val="ListParagraph"/>
        <w:numPr>
          <w:ilvl w:val="0"/>
          <w:numId w:val="1"/>
        </w:numPr>
        <w:spacing w:after="0" w:line="240" w:lineRule="auto"/>
        <w:jc w:val="both"/>
        <w:rPr>
          <w:rFonts w:ascii="Sylfaen" w:hAnsi="Sylfaen"/>
          <w:sz w:val="24"/>
          <w:szCs w:val="24"/>
          <w:lang w:val="ka-GE"/>
        </w:rPr>
      </w:pPr>
      <w:r w:rsidRPr="00E9721C">
        <w:rPr>
          <w:rFonts w:ascii="Sylfaen" w:hAnsi="Sylfaen"/>
          <w:sz w:val="24"/>
          <w:szCs w:val="24"/>
          <w:lang w:val="ka-GE"/>
        </w:rPr>
        <w:t>ელექტროლიტური ბალანსის დარღვევები.</w:t>
      </w:r>
    </w:p>
    <w:p w14:paraId="7971D394" w14:textId="77777777" w:rsidR="00BB0197" w:rsidRPr="00E9721C" w:rsidRDefault="00BB0197" w:rsidP="00B061A9">
      <w:pPr>
        <w:pStyle w:val="ListParagraph"/>
        <w:numPr>
          <w:ilvl w:val="0"/>
          <w:numId w:val="1"/>
        </w:numPr>
        <w:spacing w:after="0" w:line="240" w:lineRule="auto"/>
        <w:jc w:val="both"/>
        <w:rPr>
          <w:rFonts w:ascii="Sylfaen" w:hAnsi="Sylfaen"/>
          <w:sz w:val="24"/>
          <w:szCs w:val="24"/>
          <w:lang w:val="ka-GE"/>
        </w:rPr>
      </w:pPr>
      <w:r w:rsidRPr="00E9721C">
        <w:rPr>
          <w:rFonts w:ascii="Sylfaen" w:hAnsi="Sylfaen" w:cs="Sylfaen"/>
          <w:noProof/>
          <w:sz w:val="24"/>
          <w:szCs w:val="24"/>
          <w:lang w:val="ka-GE"/>
        </w:rPr>
        <w:t>წამლისმიერი</w:t>
      </w:r>
      <w:r w:rsidRPr="00E9721C">
        <w:rPr>
          <w:rFonts w:ascii="Sylfaen" w:hAnsi="Sylfaen"/>
          <w:noProof/>
          <w:sz w:val="24"/>
          <w:szCs w:val="24"/>
          <w:lang w:val="ka-GE"/>
        </w:rPr>
        <w:t xml:space="preserve"> ინტოქსიკაცია, როდესაც მკურნალობის სხვა უფრო მისაღები ალტერნატივა არ არსებობს.</w:t>
      </w:r>
    </w:p>
    <w:p w14:paraId="1ECED74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 PD4 განსაკუთრებით ეფექტურია შრატში კალციუმის და ფოსფატის დონეების გასაკონტროლებლად თირკმლის უკმარისობის მქონე პაციენტებში, რომლებიც იღებენ კალციუმის ან მაგნიუმის შემცველ ფოსფატის შემამაკავშირებელ პრეპარატებს.</w:t>
      </w:r>
    </w:p>
    <w:p w14:paraId="00261BE9"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4.2. დოზირება და გამოყენების მეთოდი</w:t>
      </w:r>
    </w:p>
    <w:p w14:paraId="51096DF2" w14:textId="77777777" w:rsidR="00BB0197" w:rsidRPr="00E9721C" w:rsidRDefault="00BB0197" w:rsidP="00B061A9">
      <w:pPr>
        <w:spacing w:after="0" w:line="240" w:lineRule="auto"/>
        <w:jc w:val="both"/>
        <w:rPr>
          <w:rFonts w:ascii="Sylfaen" w:hAnsi="Sylfaen"/>
          <w:noProof/>
          <w:sz w:val="24"/>
          <w:szCs w:val="24"/>
          <w:u w:val="single"/>
          <w:lang w:val="ka-GE"/>
        </w:rPr>
      </w:pPr>
      <w:r w:rsidRPr="00E9721C">
        <w:rPr>
          <w:rFonts w:ascii="Sylfaen" w:hAnsi="Sylfaen"/>
          <w:i/>
          <w:noProof/>
          <w:sz w:val="24"/>
          <w:szCs w:val="24"/>
          <w:u w:val="single"/>
          <w:lang w:val="ka-GE"/>
        </w:rPr>
        <w:t>დოზირება:</w:t>
      </w:r>
    </w:p>
    <w:p w14:paraId="71CBAE8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თერაპიის</w:t>
      </w:r>
      <w:r w:rsidRPr="00E9721C">
        <w:rPr>
          <w:rFonts w:ascii="Sylfaen" w:hAnsi="Sylfaen"/>
          <w:noProof/>
          <w:sz w:val="24"/>
          <w:szCs w:val="24"/>
          <w:lang w:val="ka-GE"/>
        </w:rPr>
        <w:t xml:space="preserve"> ტიპს, მკურნალობის სიხშირეს, გაცვლის ერთი სეანსისთვის გამოყენებული სითხის მოცულობას, ხსნარის დაყოვნების პერიოდს და დიალიზის ხანგრძლივობას განსაზღვრავს მკურნალი ექიმი.</w:t>
      </w:r>
    </w:p>
    <w:p w14:paraId="2DF2B866" w14:textId="77777777" w:rsidR="00BB0197" w:rsidRPr="00E9721C" w:rsidRDefault="00BB0197" w:rsidP="00B061A9">
      <w:pPr>
        <w:spacing w:after="0" w:line="240" w:lineRule="auto"/>
        <w:jc w:val="both"/>
        <w:rPr>
          <w:rFonts w:ascii="Sylfaen" w:hAnsi="Sylfaen"/>
          <w:noProof/>
          <w:sz w:val="24"/>
          <w:szCs w:val="24"/>
          <w:u w:val="single"/>
          <w:lang w:val="ka-GE"/>
        </w:rPr>
      </w:pPr>
      <w:r w:rsidRPr="00E9721C">
        <w:rPr>
          <w:rFonts w:ascii="Sylfaen" w:hAnsi="Sylfaen"/>
          <w:noProof/>
          <w:sz w:val="24"/>
          <w:szCs w:val="24"/>
          <w:u w:val="single"/>
          <w:lang w:val="ka-GE"/>
        </w:rPr>
        <w:t>ზრდასრულები</w:t>
      </w:r>
    </w:p>
    <w:p w14:paraId="5398EE9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en-GB"/>
        </w:rPr>
        <w:t xml:space="preserve">უწყვეტ </w:t>
      </w:r>
      <w:r w:rsidRPr="00E9721C">
        <w:rPr>
          <w:rFonts w:ascii="Sylfaen" w:hAnsi="Sylfaen"/>
          <w:noProof/>
          <w:sz w:val="24"/>
          <w:szCs w:val="24"/>
          <w:lang w:val="ka-GE"/>
        </w:rPr>
        <w:t xml:space="preserve">ამბულატორიულ პერიტონეალურ დიალიზზე (CAPD) მყოფ პაციენტებს ჩვეულებრივ უტარდებათ დღეში (24 საათში) 4 სეანსი. ავტომატურ პერიტონეალურ დიალიზზე (APD) მყოფ პაციენტებს ჩვეულებრივ უტარდებათ 4-5 სეანსი ღამით და 2 </w:t>
      </w:r>
      <w:r w:rsidRPr="00E9721C">
        <w:rPr>
          <w:rFonts w:ascii="Sylfaen" w:hAnsi="Sylfaen"/>
          <w:noProof/>
          <w:sz w:val="24"/>
          <w:szCs w:val="24"/>
          <w:lang w:val="ka-GE"/>
        </w:rPr>
        <w:lastRenderedPageBreak/>
        <w:t>სეანსამდე დღისით. შევსების მოცულობა დამოკიდებულია სხეულის ზომაზე და ჩვეულებრივ 2.0-2.5 ლიტრს შეადგენს.</w:t>
      </w:r>
    </w:p>
    <w:p w14:paraId="2D068A13" w14:textId="77777777" w:rsidR="00BB0197" w:rsidRPr="00E9721C" w:rsidRDefault="00BB0197" w:rsidP="00B061A9">
      <w:pPr>
        <w:spacing w:after="0" w:line="240" w:lineRule="auto"/>
        <w:jc w:val="both"/>
        <w:rPr>
          <w:rFonts w:ascii="Sylfaen" w:hAnsi="Sylfaen"/>
          <w:noProof/>
          <w:sz w:val="24"/>
          <w:szCs w:val="24"/>
          <w:u w:val="single"/>
          <w:lang w:val="ka-GE"/>
        </w:rPr>
      </w:pPr>
      <w:r w:rsidRPr="00E9721C">
        <w:rPr>
          <w:rFonts w:ascii="Sylfaen" w:hAnsi="Sylfaen"/>
          <w:noProof/>
          <w:sz w:val="24"/>
          <w:szCs w:val="24"/>
          <w:u w:val="single"/>
          <w:lang w:val="ka-GE"/>
        </w:rPr>
        <w:t>ბავშვებში (ანუ დაბადებიდან 18 წლამდე)</w:t>
      </w:r>
    </w:p>
    <w:p w14:paraId="6EEBC59A"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რეკომენდებულია 800-1400 მლ/მ2</w:t>
      </w:r>
      <w:r w:rsidRPr="00E9721C">
        <w:rPr>
          <w:rFonts w:ascii="Sylfaen" w:hAnsi="Sylfaen"/>
          <w:noProof/>
          <w:sz w:val="24"/>
          <w:szCs w:val="24"/>
          <w:vertAlign w:val="superscript"/>
        </w:rPr>
        <w:t xml:space="preserve"> </w:t>
      </w:r>
      <w:r w:rsidRPr="00E9721C">
        <w:rPr>
          <w:rFonts w:ascii="Sylfaen" w:hAnsi="Sylfaen"/>
          <w:noProof/>
          <w:sz w:val="24"/>
          <w:szCs w:val="24"/>
          <w:lang w:val="ka-GE"/>
        </w:rPr>
        <w:t>ერთ სეანსზე, მაქსიმუმ 2000 მლ</w:t>
      </w:r>
      <w:r w:rsidRPr="00E9721C">
        <w:rPr>
          <w:rFonts w:ascii="Sylfaen" w:hAnsi="Sylfaen"/>
          <w:noProof/>
          <w:sz w:val="24"/>
          <w:szCs w:val="24"/>
        </w:rPr>
        <w:t>-</w:t>
      </w:r>
      <w:r w:rsidRPr="00E9721C">
        <w:rPr>
          <w:rFonts w:ascii="Sylfaen" w:hAnsi="Sylfaen"/>
          <w:noProof/>
          <w:sz w:val="24"/>
          <w:szCs w:val="24"/>
          <w:lang w:val="ka-GE"/>
        </w:rPr>
        <w:t>მდე, ამტანობის მიხედვით. 2 წლამდე ასაკის ბავშვებში რეკომენდებულია შევსების მოცულობა 500-დან 1000 მლ/მ2-მდე.</w:t>
      </w:r>
    </w:p>
    <w:p w14:paraId="6608A8D1"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როდესაც პაციენტის წონა მიუახლოვდება იდეალურ მშრალ წონას, რეკომენდებულია დიანილის გლუკოზის კონცენტრაციის შემცირება.</w:t>
      </w:r>
    </w:p>
    <w:p w14:paraId="75414E23" w14:textId="77777777" w:rsidR="00ED644E" w:rsidRPr="00E9721C" w:rsidRDefault="00E54940"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დიანილი 3.86% გლუკოზის შემცველი ხსნარი მაღალი ოსმოსური წნევის სითხეა და ყველა </w:t>
      </w:r>
      <w:r w:rsidR="00ED644E" w:rsidRPr="00E9721C">
        <w:rPr>
          <w:rFonts w:ascii="Sylfaen" w:hAnsi="Sylfaen"/>
          <w:noProof/>
          <w:sz w:val="24"/>
          <w:szCs w:val="24"/>
          <w:lang w:val="ka-GE"/>
        </w:rPr>
        <w:t>ტიპის ჩანაცვლებისთვის</w:t>
      </w:r>
      <w:r w:rsidRPr="00E9721C">
        <w:rPr>
          <w:rFonts w:ascii="Sylfaen" w:hAnsi="Sylfaen"/>
          <w:noProof/>
          <w:sz w:val="24"/>
          <w:szCs w:val="24"/>
          <w:lang w:val="ka-GE"/>
        </w:rPr>
        <w:t xml:space="preserve"> გამოყენებამ შეიძლება გამოიწვიოს დეჰიდრატაცია. (იხ</w:t>
      </w:r>
      <w:r w:rsidR="00ED644E" w:rsidRPr="00E9721C">
        <w:rPr>
          <w:rFonts w:ascii="Sylfaen" w:hAnsi="Sylfaen"/>
          <w:noProof/>
          <w:sz w:val="24"/>
          <w:szCs w:val="24"/>
          <w:lang w:val="ka-GE"/>
        </w:rPr>
        <w:t>.</w:t>
      </w:r>
      <w:r w:rsidRPr="00E9721C">
        <w:rPr>
          <w:rFonts w:ascii="Sylfaen" w:hAnsi="Sylfaen"/>
          <w:noProof/>
          <w:sz w:val="24"/>
          <w:szCs w:val="24"/>
          <w:lang w:val="ka-GE"/>
        </w:rPr>
        <w:t>ნაწილი 4.4).</w:t>
      </w:r>
    </w:p>
    <w:p w14:paraId="655F8A5A"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მწვავე დეჰიდრატაციის, ჰიპოვოლემიის განვითარების რისკის თავიდან ასაცილებლად და პროტეინების დაკარგვის შესამცირებლად რეკომენდებულია ყველაზე დაბალი ოსმოლარობის მქონე პერიტონეალური სადიალიზო ხსნარის შერჩევა, რომელიც შეესაბამება ყოველ  ჩანაცვლებაზე სითხის გამოდევნის მოთხოვნებს.</w:t>
      </w:r>
    </w:p>
    <w:p w14:paraId="1D4B7F6E" w14:textId="77777777" w:rsidR="00BB0197" w:rsidRPr="00E9721C" w:rsidRDefault="00BB0197" w:rsidP="00B061A9">
      <w:pPr>
        <w:spacing w:after="0" w:line="240" w:lineRule="auto"/>
        <w:jc w:val="both"/>
        <w:rPr>
          <w:rFonts w:ascii="Sylfaen" w:hAnsi="Sylfaen"/>
          <w:i/>
          <w:noProof/>
          <w:sz w:val="24"/>
          <w:szCs w:val="24"/>
          <w:u w:val="single"/>
          <w:lang w:val="ka-GE"/>
        </w:rPr>
      </w:pPr>
      <w:r w:rsidRPr="00E9721C">
        <w:rPr>
          <w:rFonts w:ascii="Sylfaen" w:hAnsi="Sylfaen"/>
          <w:i/>
          <w:noProof/>
          <w:sz w:val="24"/>
          <w:szCs w:val="24"/>
          <w:u w:val="single"/>
          <w:lang w:val="ka-GE"/>
        </w:rPr>
        <w:t>გამოყენების მეთოდი</w:t>
      </w:r>
    </w:p>
    <w:p w14:paraId="7464658A" w14:textId="77777777" w:rsidR="00BB0197" w:rsidRPr="00E9721C" w:rsidRDefault="00BB0197" w:rsidP="00B061A9">
      <w:pPr>
        <w:spacing w:after="0" w:line="240" w:lineRule="auto"/>
        <w:jc w:val="both"/>
        <w:rPr>
          <w:rFonts w:ascii="Sylfaen" w:hAnsi="Sylfaen"/>
          <w:i/>
          <w:noProof/>
          <w:sz w:val="24"/>
          <w:szCs w:val="24"/>
          <w:lang w:val="ka-GE"/>
        </w:rPr>
      </w:pPr>
      <w:r w:rsidRPr="00E9721C">
        <w:rPr>
          <w:rFonts w:ascii="Sylfaen" w:hAnsi="Sylfaen"/>
          <w:i/>
          <w:noProof/>
          <w:sz w:val="24"/>
          <w:szCs w:val="24"/>
          <w:lang w:val="ka-GE"/>
        </w:rPr>
        <w:t>სიფრთხილის ზომები პრეპარატის გამოყენებამდე ან გამოყენებისას</w:t>
      </w:r>
    </w:p>
    <w:p w14:paraId="4A98636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 PD4 გამოიყენება მხოლოდ ინტრაპერიტონეალურად. არ არის განკუთვნილი ინტრავენური გამოყენებისთვის.</w:t>
      </w:r>
    </w:p>
    <w:p w14:paraId="53297101"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პაციენტის</w:t>
      </w:r>
      <w:r w:rsidRPr="00E9721C">
        <w:rPr>
          <w:rFonts w:ascii="Sylfaen" w:hAnsi="Sylfaen"/>
          <w:noProof/>
          <w:sz w:val="24"/>
          <w:szCs w:val="24"/>
          <w:lang w:val="ka-GE"/>
        </w:rPr>
        <w:t xml:space="preserve"> კომფორტისთვის </w:t>
      </w:r>
      <w:r w:rsidRPr="00E9721C">
        <w:rPr>
          <w:rFonts w:ascii="Sylfaen" w:hAnsi="Sylfaen"/>
          <w:noProof/>
          <w:sz w:val="24"/>
          <w:szCs w:val="24"/>
          <w:lang w:val="en-GB"/>
        </w:rPr>
        <w:t>პერიტონეალური სადიალიზო ხსნარი</w:t>
      </w:r>
      <w:r w:rsidRPr="00E9721C">
        <w:rPr>
          <w:rFonts w:ascii="Sylfaen" w:hAnsi="Sylfaen"/>
          <w:noProof/>
          <w:sz w:val="24"/>
          <w:szCs w:val="24"/>
          <w:lang w:val="ka-GE"/>
        </w:rPr>
        <w:t xml:space="preserve"> </w:t>
      </w:r>
      <w:r w:rsidRPr="00E9721C">
        <w:rPr>
          <w:rFonts w:ascii="Sylfaen" w:hAnsi="Sylfaen" w:cs="Sylfaen"/>
          <w:noProof/>
          <w:sz w:val="24"/>
          <w:szCs w:val="24"/>
          <w:lang w:val="ka-GE"/>
        </w:rPr>
        <w:t>შეიძლება</w:t>
      </w:r>
      <w:r w:rsidRPr="00E9721C">
        <w:rPr>
          <w:rFonts w:ascii="Sylfaen" w:hAnsi="Sylfaen"/>
          <w:noProof/>
          <w:sz w:val="24"/>
          <w:szCs w:val="24"/>
          <w:lang w:val="ka-GE"/>
        </w:rPr>
        <w:t xml:space="preserve"> შეთბეს 37</w:t>
      </w:r>
      <w:r w:rsidRPr="00E9721C">
        <w:rPr>
          <w:rFonts w:ascii="Sylfaen" w:hAnsi="Sylfaen"/>
          <w:noProof/>
          <w:sz w:val="24"/>
          <w:szCs w:val="24"/>
          <w:vertAlign w:val="superscript"/>
          <w:lang w:val="ka-GE"/>
        </w:rPr>
        <w:t>0</w:t>
      </w:r>
      <w:r w:rsidRPr="00E9721C">
        <w:rPr>
          <w:rFonts w:ascii="Sylfaen" w:hAnsi="Sylfaen"/>
          <w:noProof/>
          <w:sz w:val="24"/>
          <w:szCs w:val="24"/>
          <w:lang w:val="ka-GE"/>
        </w:rPr>
        <w:t>C-მდე. თუმცა, დასაშვებია მხოლოდ მშრალად შეთბობა (მაგ.: გამათბობელი ბალიში, გამათბობელი ფირფიტა). დაუშვებელია ხსნარის შეთბობა წყალში, რადგან იზრდება დაბინძურების რისკი. დაუშვებელია ხსნარის შეთბობა მიკროტალღურ ღუმელში, რადგან შეიძლება დაზიანდეს კონტეინერი და ავნოს პაციენტს ან გამოიწვიოს დისკომფორტი.</w:t>
      </w:r>
    </w:p>
    <w:p w14:paraId="77E11B5C"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en-GB"/>
        </w:rPr>
        <w:t>პერიტონეალური</w:t>
      </w:r>
      <w:r w:rsidRPr="00E9721C">
        <w:rPr>
          <w:rFonts w:ascii="Sylfaen" w:hAnsi="Sylfaen"/>
          <w:noProof/>
          <w:sz w:val="24"/>
          <w:szCs w:val="24"/>
          <w:lang w:val="en-GB"/>
        </w:rPr>
        <w:t xml:space="preserve"> </w:t>
      </w:r>
      <w:r w:rsidRPr="00E9721C">
        <w:rPr>
          <w:rFonts w:ascii="Sylfaen" w:hAnsi="Sylfaen"/>
          <w:noProof/>
          <w:sz w:val="24"/>
          <w:szCs w:val="24"/>
          <w:lang w:val="ka-GE"/>
        </w:rPr>
        <w:t xml:space="preserve">დიალიზის მთელი პროცედურის დროს დაცული უნდა იყოს ასეპტიკის წესები. </w:t>
      </w:r>
    </w:p>
    <w:p w14:paraId="11E39D1F"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არ</w:t>
      </w:r>
      <w:r w:rsidRPr="00E9721C">
        <w:rPr>
          <w:rFonts w:ascii="Sylfaen" w:hAnsi="Sylfaen"/>
          <w:noProof/>
          <w:sz w:val="24"/>
          <w:szCs w:val="24"/>
          <w:lang w:val="ka-GE"/>
        </w:rPr>
        <w:t xml:space="preserve"> გამოიყენოთ ხსნარი თუ შეცვლილი აქვს ფერი, შემღვრეულია, შეიცავს ნაწილაკებს ან ჟონავს ან შეფუთვის მთლიანობა დარღვეულია.</w:t>
      </w:r>
    </w:p>
    <w:p w14:paraId="640F7C1C"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დრენირებული</w:t>
      </w:r>
      <w:r w:rsidRPr="00E9721C">
        <w:rPr>
          <w:rFonts w:ascii="Sylfaen" w:hAnsi="Sylfaen"/>
          <w:noProof/>
          <w:sz w:val="24"/>
          <w:szCs w:val="24"/>
          <w:lang w:val="ka-GE"/>
        </w:rPr>
        <w:t xml:space="preserve"> სითხე უნდა შემოწმდეს ფიბრინზე ან შემღვრევაზე, რაც შეიძლება მიუთითებდეს პერიტონიტის არსებობაზე.</w:t>
      </w:r>
    </w:p>
    <w:p w14:paraId="411933CF"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განკუთვნილია</w:t>
      </w:r>
      <w:r w:rsidRPr="00E9721C">
        <w:rPr>
          <w:rFonts w:ascii="Sylfaen" w:hAnsi="Sylfaen"/>
          <w:noProof/>
          <w:sz w:val="24"/>
          <w:szCs w:val="24"/>
          <w:lang w:val="ka-GE"/>
        </w:rPr>
        <w:t xml:space="preserve"> მხოლოდ ერთჯერადი გამოყენებისთვის.</w:t>
      </w:r>
    </w:p>
    <w:p w14:paraId="7EE56CC7" w14:textId="77777777" w:rsidR="00BB0197" w:rsidRPr="00E9721C" w:rsidRDefault="00BB0197" w:rsidP="00B061A9">
      <w:pPr>
        <w:spacing w:after="0" w:line="240" w:lineRule="auto"/>
        <w:jc w:val="both"/>
        <w:rPr>
          <w:rFonts w:ascii="Sylfaen" w:hAnsi="Sylfaen"/>
          <w:noProof/>
          <w:sz w:val="24"/>
          <w:szCs w:val="24"/>
          <w:u w:val="single"/>
          <w:lang w:val="ka-GE"/>
        </w:rPr>
      </w:pPr>
      <w:r w:rsidRPr="00E9721C">
        <w:rPr>
          <w:rFonts w:ascii="Sylfaen" w:hAnsi="Sylfaen"/>
          <w:noProof/>
          <w:sz w:val="24"/>
          <w:szCs w:val="24"/>
          <w:u w:val="single"/>
          <w:lang w:val="ka-GE"/>
        </w:rPr>
        <w:t>კალიუმის დამატება</w:t>
      </w:r>
    </w:p>
    <w:p w14:paraId="428B13AA"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დიანილის PD4 ხსნარების შემადგენლობაში არ შედის კალიუმი, რადგან დიალიზი შეიძლება ჩატარდეს ჰიპერკალიემიის კორექციისთვის. იმ შემთხვევებში, როდესაც შრატში კალიუმის დონე ნორმალურია ან აღინიშნება ჰიპოკალიემია, მწვავე ჰიპოკალიემიის თავიდან ასაცილებლად შეიძლება ნაჩვენები იყოს კალიუმის ქლორიდის დამატება (კონცენტრაციით 4 მეკვ/ლ-მდე). კალიუმის ქლორიდის დამატების შესახებ გადაწყვეტილება უნდა მიიღოს ექიმმა შრატში კალიუმის დონის ყურადღებით შეფასების შემდეგ.</w:t>
      </w:r>
    </w:p>
    <w:p w14:paraId="6C7E46E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b/>
          <w:noProof/>
          <w:sz w:val="24"/>
          <w:szCs w:val="24"/>
          <w:lang w:val="ka-GE"/>
        </w:rPr>
        <w:t>4.3. უკუჩვენებები</w:t>
      </w:r>
    </w:p>
    <w:p w14:paraId="43723C0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 უკუნაჩვენებია პაციენტებში, რომლებსაც აქვთ:</w:t>
      </w:r>
    </w:p>
    <w:p w14:paraId="10765A39"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ჰიპერმგრძნობელობა</w:t>
      </w:r>
      <w:r w:rsidRPr="00E9721C">
        <w:rPr>
          <w:rFonts w:ascii="Sylfaen" w:hAnsi="Sylfaen"/>
          <w:noProof/>
          <w:sz w:val="24"/>
          <w:szCs w:val="24"/>
          <w:lang w:val="ka-GE"/>
        </w:rPr>
        <w:t xml:space="preserve"> აქტიური ნივთიერებების ან ნაწილში 6.1 ჩამოთვლილი რომელიმე დამხმარე ნივთიერების მიმართ,</w:t>
      </w:r>
    </w:p>
    <w:p w14:paraId="27700996"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მანამდე არსებული მწვავე ლაქტოაციდოზი,</w:t>
      </w:r>
    </w:p>
    <w:p w14:paraId="102C80E8"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არაკორექტირებადი მექანიკური დეფექტები, რომლებიც ხელს უშლიან პერიტონეალური დიალიზის ეფექტურად ჩატარებას ან ზრდიან ინფექციის რისკს,</w:t>
      </w:r>
    </w:p>
    <w:p w14:paraId="165A0DB7"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lastRenderedPageBreak/>
        <w:t>პერიტონეალური ფუნქციის დოკუმენტურად დადასტურებული მოშლა ან ფართო ადჰეზიები, რომლებიც არღვევენ პერიტონეალურ ფუნქციას.</w:t>
      </w:r>
      <w:r w:rsidRPr="00E9721C">
        <w:rPr>
          <w:rFonts w:ascii="Sylfaen" w:hAnsi="Sylfaen"/>
          <w:noProof/>
          <w:sz w:val="24"/>
          <w:szCs w:val="24"/>
        </w:rPr>
        <w:t xml:space="preserve"> </w:t>
      </w:r>
    </w:p>
    <w:p w14:paraId="17CCD94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b/>
          <w:noProof/>
          <w:sz w:val="24"/>
          <w:szCs w:val="24"/>
          <w:lang w:val="ka-GE"/>
        </w:rPr>
        <w:t xml:space="preserve">4.4. განსაკუთრებული გაფრთხილებები და სიფრთხილის ზომები გამოყენებისას  </w:t>
      </w:r>
    </w:p>
    <w:p w14:paraId="28B78029"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პერიტონეალური</w:t>
      </w:r>
      <w:r w:rsidRPr="00E9721C">
        <w:rPr>
          <w:rFonts w:ascii="Sylfaen" w:hAnsi="Sylfaen"/>
          <w:noProof/>
          <w:sz w:val="24"/>
          <w:szCs w:val="24"/>
          <w:lang w:val="ka-GE"/>
        </w:rPr>
        <w:t xml:space="preserve"> დიალიზი სიფრთხილით უნდა ჩატარდეს პაციენტებში, რომლებსაც აღენიშნებათ:</w:t>
      </w:r>
    </w:p>
    <w:p w14:paraId="22BC6DCD" w14:textId="77777777" w:rsidR="00BB0197" w:rsidRPr="00E9721C" w:rsidRDefault="00BB0197" w:rsidP="00B061A9">
      <w:pPr>
        <w:pStyle w:val="ListParagraph"/>
        <w:spacing w:after="0" w:line="240" w:lineRule="auto"/>
        <w:ind w:left="450"/>
        <w:jc w:val="both"/>
        <w:rPr>
          <w:rFonts w:ascii="Sylfaen" w:hAnsi="Sylfaen"/>
          <w:noProof/>
          <w:sz w:val="24"/>
          <w:szCs w:val="24"/>
        </w:rPr>
      </w:pPr>
      <w:r w:rsidRPr="00E9721C">
        <w:rPr>
          <w:rFonts w:ascii="Sylfaen" w:hAnsi="Sylfaen"/>
          <w:noProof/>
          <w:sz w:val="24"/>
          <w:szCs w:val="24"/>
          <w:lang w:val="ka-GE"/>
        </w:rPr>
        <w:t xml:space="preserve">1) მუცლის ღრუს მდგომარეობები, მათ შორის თუ ქირურგიული ოპერაციის, თანდაყოლილი ანომალიების ან ტრავმის შედეგად დარღვეულია </w:t>
      </w:r>
      <w:r w:rsidRPr="00E9721C">
        <w:rPr>
          <w:rFonts w:ascii="Sylfaen" w:hAnsi="Sylfaen" w:cs="Sylfaen"/>
          <w:noProof/>
          <w:sz w:val="24"/>
          <w:szCs w:val="24"/>
          <w:lang w:val="ka-GE"/>
        </w:rPr>
        <w:t>პერიტონეალური</w:t>
      </w:r>
      <w:r w:rsidRPr="00E9721C">
        <w:rPr>
          <w:rFonts w:ascii="Sylfaen" w:hAnsi="Sylfaen"/>
          <w:noProof/>
          <w:sz w:val="24"/>
          <w:szCs w:val="24"/>
          <w:lang w:val="ka-GE"/>
        </w:rPr>
        <w:t xml:space="preserve"> გარსის და დიაფრაგმის მთლიანობა, სანამ სრულად არ შეხორცდება, მუცლის ღრუს ორგანოების სიმსივნეები, მუცლის ღრუს კედლის ინფექცია, თიაქარი, ფეკალური ფისტულა, კოლოსტომა ან ილეოსტომა, დივერტიკულიტის ხშირი ეპიზოდები, ნაწლავის ანთებითი ან იშემიური დაავადება, გადიდებული პოლიკისტოზური თირკმელი</w:t>
      </w:r>
      <w:r w:rsidRPr="00E9721C">
        <w:rPr>
          <w:rFonts w:ascii="Sylfaen" w:hAnsi="Sylfaen" w:cs="Sylfaen"/>
          <w:sz w:val="24"/>
          <w:szCs w:val="24"/>
          <w:lang w:val="ka-GE"/>
        </w:rPr>
        <w:t xml:space="preserve"> </w:t>
      </w:r>
      <w:r w:rsidRPr="00E9721C">
        <w:rPr>
          <w:rFonts w:ascii="Sylfaen" w:hAnsi="Sylfaen"/>
          <w:noProof/>
          <w:sz w:val="24"/>
          <w:szCs w:val="24"/>
          <w:lang w:val="ka-GE"/>
        </w:rPr>
        <w:t xml:space="preserve">ან სხვა დაავადებები, რომლებიც არღვევენ მუცლის ღრუს კედლის, მუცლის ღრუს ზედაპირის ან </w:t>
      </w:r>
      <w:r w:rsidRPr="00E9721C">
        <w:rPr>
          <w:rFonts w:ascii="Sylfaen" w:hAnsi="Sylfaen" w:cs="Sylfaen"/>
          <w:noProof/>
          <w:sz w:val="24"/>
          <w:szCs w:val="24"/>
        </w:rPr>
        <w:t>ინტრააბდომინალურ</w:t>
      </w:r>
      <w:r w:rsidRPr="00E9721C">
        <w:rPr>
          <w:noProof/>
          <w:sz w:val="24"/>
          <w:szCs w:val="24"/>
        </w:rPr>
        <w:t xml:space="preserve"> </w:t>
      </w:r>
      <w:r w:rsidRPr="00E9721C">
        <w:rPr>
          <w:rFonts w:ascii="Sylfaen" w:hAnsi="Sylfaen"/>
          <w:noProof/>
          <w:sz w:val="24"/>
          <w:szCs w:val="24"/>
          <w:lang w:val="ka-GE"/>
        </w:rPr>
        <w:t xml:space="preserve">მთლიანობას; </w:t>
      </w:r>
    </w:p>
    <w:p w14:paraId="31CD2133" w14:textId="77777777" w:rsidR="00BB0197" w:rsidRPr="00E9721C" w:rsidRDefault="00BB0197" w:rsidP="00B061A9">
      <w:pPr>
        <w:pStyle w:val="ListParagraph"/>
        <w:spacing w:after="0" w:line="240" w:lineRule="auto"/>
        <w:ind w:left="450"/>
        <w:jc w:val="both"/>
        <w:rPr>
          <w:rFonts w:ascii="Sylfaen" w:hAnsi="Sylfaen"/>
          <w:noProof/>
          <w:sz w:val="24"/>
          <w:szCs w:val="24"/>
          <w:lang w:val="ka-GE"/>
        </w:rPr>
      </w:pPr>
      <w:r w:rsidRPr="00E9721C">
        <w:rPr>
          <w:rFonts w:ascii="Sylfaen" w:hAnsi="Sylfaen"/>
          <w:noProof/>
          <w:sz w:val="24"/>
          <w:szCs w:val="24"/>
          <w:lang w:val="ka-GE"/>
        </w:rPr>
        <w:t>2) სხვა მდგომარეობები, მათ შორის ბოლო პერიოდში აორტის ტრანსპლანტატის ჩანაცვლება და ფილტვის სერიოზული დაავადება.</w:t>
      </w:r>
    </w:p>
    <w:p w14:paraId="257F5F32"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ინკაფსულირებული პერიტონეალური სკლეროზი (EPS) ითვლება პერიტონეალური დიალიზის დადგენილ იშვიათ გართულებად. EPS-ის შემთხვევები დაფიქსირდა პაციენტებში, რომელთაც უტარდებოდათ პერიტონეალური დიალიზი, მათ შორის იმ პაციენტებშიც, რომლებიც პერიტონეალური დიალიზის ფარგლებში იღებდნენ დიანილ </w:t>
      </w:r>
      <w:r w:rsidRPr="00E9721C">
        <w:rPr>
          <w:rFonts w:ascii="Sylfaen" w:hAnsi="Sylfaen"/>
          <w:noProof/>
          <w:sz w:val="24"/>
          <w:szCs w:val="24"/>
        </w:rPr>
        <w:t>PD4-</w:t>
      </w:r>
      <w:r w:rsidRPr="00E9721C">
        <w:rPr>
          <w:rFonts w:ascii="Sylfaen" w:hAnsi="Sylfaen"/>
          <w:noProof/>
          <w:sz w:val="24"/>
          <w:szCs w:val="24"/>
          <w:lang w:val="ka-GE"/>
        </w:rPr>
        <w:t xml:space="preserve">ს. დიანილი </w:t>
      </w:r>
      <w:r w:rsidRPr="00E9721C">
        <w:rPr>
          <w:rFonts w:ascii="Sylfaen" w:hAnsi="Sylfaen"/>
          <w:noProof/>
          <w:sz w:val="24"/>
          <w:szCs w:val="24"/>
        </w:rPr>
        <w:t>PD4-</w:t>
      </w:r>
      <w:r w:rsidRPr="00E9721C">
        <w:rPr>
          <w:rFonts w:ascii="Sylfaen" w:hAnsi="Sylfaen"/>
          <w:noProof/>
          <w:sz w:val="24"/>
          <w:szCs w:val="24"/>
          <w:lang w:val="ka-GE"/>
        </w:rPr>
        <w:t xml:space="preserve">ის გამოყენებისას ფატალური შემთხვევები ხშირი არ იყო. </w:t>
      </w:r>
    </w:p>
    <w:p w14:paraId="2273C773"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cs="Sylfaen"/>
          <w:noProof/>
          <w:sz w:val="24"/>
          <w:szCs w:val="24"/>
          <w:lang w:val="ka-GE"/>
        </w:rPr>
        <w:t>პერიტონიტის</w:t>
      </w:r>
      <w:r w:rsidRPr="00E9721C">
        <w:rPr>
          <w:rFonts w:ascii="Sylfaen" w:hAnsi="Sylfaen"/>
          <w:noProof/>
          <w:sz w:val="24"/>
          <w:szCs w:val="24"/>
          <w:lang w:val="ka-GE"/>
        </w:rPr>
        <w:t xml:space="preserve"> შემთხვევაში ანტიბიოტიკის ტიპი და დოზა შეძლებისდაგვარად უნდა ეფუძნებოდეს იზოლირებული</w:t>
      </w:r>
      <w:r w:rsidRPr="00E9721C">
        <w:rPr>
          <w:rFonts w:ascii="Sylfaen" w:hAnsi="Sylfaen"/>
          <w:noProof/>
          <w:sz w:val="24"/>
          <w:szCs w:val="24"/>
        </w:rPr>
        <w:t xml:space="preserve"> </w:t>
      </w:r>
      <w:r w:rsidRPr="00E9721C">
        <w:rPr>
          <w:rFonts w:ascii="Sylfaen" w:hAnsi="Sylfaen"/>
          <w:noProof/>
          <w:sz w:val="24"/>
          <w:szCs w:val="24"/>
          <w:lang w:val="ka-GE"/>
        </w:rPr>
        <w:t>ორგანიზმების იდენტიფიცირების და მგრძნობელობის კვლევების შედეგებს. ჩართული ორგანიზმების იდენტიფიცირებამდე შესაძლებელია ფართო სპექტრის ანტიბიოტიკების დანიშვნა.</w:t>
      </w:r>
    </w:p>
    <w:p w14:paraId="4EB748CA"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გლუკოზის შემცველი ხსნარები სიფრთხილით გამოიყენება იმ პაციენტებში, რომლებსაც აქვთ ალერგია სიმინდზე ან სიმინდის შემცველ პროდუქტებზე. სიმინდის სახამებელზე ალერგიის გამო შესაძლოა განვითარდეს ჰიპერმგრძნობელობითი რეაქციები, მათ შორის ანაფილაქსიური/ანაფილაქტოიდური რეაქციები. საეჭვო ჰიპერმგრძნობელობითი რეაქციის ნიშნების ან სიმპტომების გამოვლენისთანავე შეწყვიტეთ ინფუზია და გამოდევნეთ სითხე პერიტონეუმის ღრუდან. კლინიკური ჩვენების მიხედვით უნდა მოხდეს შესაბამისი თერაპიული კონტრ ზომების მიღება.</w:t>
      </w:r>
    </w:p>
    <w:p w14:paraId="68704832"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მწვავე ლაქტოაციდოზის მქონე პაციენტებში არ გამოიყენება ლაქტატის შემცველი პერიტონეალური სადიალიზო ხსნარები (იხ. ნაწილი 4.3). </w:t>
      </w:r>
      <w:r w:rsidRPr="00E9721C">
        <w:rPr>
          <w:rFonts w:ascii="Sylfaen" w:hAnsi="Sylfaen" w:cs="Sylfaen"/>
          <w:noProof/>
          <w:sz w:val="24"/>
          <w:szCs w:val="24"/>
          <w:lang w:val="ka-GE"/>
        </w:rPr>
        <w:t>ლაქტა</w:t>
      </w:r>
      <w:r w:rsidRPr="00E9721C">
        <w:rPr>
          <w:rFonts w:ascii="Sylfaen" w:hAnsi="Sylfaen"/>
          <w:noProof/>
          <w:sz w:val="24"/>
          <w:szCs w:val="24"/>
          <w:lang w:val="ka-GE"/>
        </w:rPr>
        <w:t xml:space="preserve">ტის შემცველი </w:t>
      </w:r>
      <w:r w:rsidRPr="00E9721C">
        <w:rPr>
          <w:rFonts w:ascii="Sylfaen" w:hAnsi="Sylfaen"/>
          <w:noProof/>
          <w:sz w:val="24"/>
          <w:szCs w:val="24"/>
          <w:lang w:val="en-GB"/>
        </w:rPr>
        <w:t>პერიტონეალური სადიალიზო ხსნარი</w:t>
      </w:r>
      <w:r w:rsidRPr="00E9721C">
        <w:rPr>
          <w:rFonts w:ascii="Sylfaen" w:hAnsi="Sylfaen"/>
          <w:noProof/>
          <w:sz w:val="24"/>
          <w:szCs w:val="24"/>
          <w:lang w:val="ka-GE"/>
        </w:rPr>
        <w:t>თ მკურნალობის დაწყებამდე და მკურნალობის პროცესში პაციენტები, რომელთა მდგომარეობა ზრდის ლაქტოაციდოზის განვითარების რისკს [მაგ.: მწვავე ჰიპოტენზია ან სეფსისი, რაც შეიძლება დაკავშირებული იყოს თირკმლის მწვავე უკმარისობასთან, მეტაბოლიზმის თანდაყოლილი დარღვევები, მკურნალობა ისეთი პრეპარატებით, როგორიც არის მეტფორმინი და უკუტრანსკრიპტაზას ნუკლეოზიდური/ნუკლეოტიდური ინჰიბიტორები (NRTI)], საჭიროებენ მეთვალყურეობას ლაქტოაციდოზის გამოვლენის თვალსაზრისით.</w:t>
      </w:r>
    </w:p>
    <w:p w14:paraId="368E85B3"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პაციენტისათვის ხსნარის ინდივიდუალურად დანიშვნისას უნდა მოხდეს დიალიზით მკურნალობის და სხვა არსებული დაავადებების მკურნალობის შესაძლო ურთიერთქმედების გათვალისწინება. პაციენტებში, რომლებიც იღებენ საგულე გლიკოზიდებს, ყურადღებით უნდა გაკონტროლდეს შრატში კალიუმის, კალციუმის და მაგნიუმის დონეები.</w:t>
      </w:r>
    </w:p>
    <w:p w14:paraId="14ABEE36"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lastRenderedPageBreak/>
        <w:t>საჭიროა სითხის ბალანსის საგულდაგულო კონტროლი და სხეულის წონის მონიტორინგი ჰიპერ ან დეჰიდრატაციის თავიდან ასაცილებლად, რომელსაც აქვს სერიოზული შედეგები, მათ შორის გულის შეგუბებითი უკმარისობა, ჰიპოვოლემია და შოკი.</w:t>
      </w:r>
    </w:p>
    <w:p w14:paraId="22DE3A5A"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პერიტონეალური დიალიზის დროს შეიძლება ადგილი ჰქონდეს ცილების, ამინომჟავების და წყალში ხსნადი ვიტამინების მნიშვნელოვან დაკარგვას. საჭიროების შესაბამისად გამოიყენება ჩანაცვლებითი თერაპია. </w:t>
      </w:r>
    </w:p>
    <w:p w14:paraId="42715308"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პაციენტები, რომლებიც იღებენ კალციუმის დაბალი შემცველობის ხსნარს, საჭიროებენ კალციუმის დონის გაკონტროლებას ჰიპოკალციემიის განვითარების ან ჰიპერკალციემიის გაუარესების თავიდან ასაცილებლად. ასეთ დროს ექიმმა უნდა განიხილოს ფოსფატის შემაკავშირებელი ნაერთების და/ან D ვიტამინის ანალოგების და/ან კალციუმის მიმეტიკების დოზების კორექტირების საკითხი.</w:t>
      </w:r>
    </w:p>
    <w:p w14:paraId="108B2690"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5 ან 6 ლიტრი ხსნარის გამოყენება CAPD-ის (უწყვეტი ამბულატორიული პერიტონეალური დიალიზი) ან APD-ის (ავტომატური პერიტონეალური დიალიზი) ერთჯერადი ცვლის დროს არ არის რეკომენდებული ზედმეტი ინფუზიის პოტენციური რისკის გამო.</w:t>
      </w:r>
    </w:p>
    <w:p w14:paraId="45530ED2"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პერიტონეალურ ღრუში დიანილი PD4-ის ჭარბი მოცულობის შეყვანამ შეიძლება გამოწვიოს მუცლის შებერილობა/მუცლის ტკივილი და/ან სუნთქვის უკმარისობა.</w:t>
      </w:r>
    </w:p>
    <w:p w14:paraId="1E6C6416" w14:textId="77777777" w:rsidR="00BB0197" w:rsidRPr="00E9721C" w:rsidRDefault="00BB0197" w:rsidP="00B061A9">
      <w:pPr>
        <w:pStyle w:val="ListParagraph"/>
        <w:numPr>
          <w:ilvl w:val="0"/>
          <w:numId w:val="2"/>
        </w:num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 PD4-ის ჭარბი ინფუზიის კორექტირება შესაძლებელია პერიტონეალური ღრუდან მისი დრენირების გზით.</w:t>
      </w:r>
    </w:p>
    <w:p w14:paraId="3F4852A5" w14:textId="77777777" w:rsidR="00BB0197" w:rsidRPr="00E9721C" w:rsidRDefault="00BB0197" w:rsidP="00B061A9">
      <w:pPr>
        <w:pStyle w:val="ListParagraph"/>
        <w:numPr>
          <w:ilvl w:val="0"/>
          <w:numId w:val="2"/>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მოჭერის ან მიწოდების არასწორმა თანმიმდევრობამ შეიძლება გამოიწვიოს პერიტონეალურ ღრუში ჰაერის შეღწევა, რამაც თავის მხრივ შეიძლება გამოიწვიოს მუცლის ტკივილი ან/და პერიტონიტი.</w:t>
      </w:r>
    </w:p>
    <w:p w14:paraId="549755B0" w14:textId="77777777" w:rsidR="00BB0197" w:rsidRPr="00E9721C" w:rsidRDefault="00BB0197" w:rsidP="00B061A9">
      <w:pPr>
        <w:pStyle w:val="ListParagraph"/>
        <w:numPr>
          <w:ilvl w:val="0"/>
          <w:numId w:val="2"/>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პერიტონეალური დიალიზის დროს გლუკოზის მაღალი შემცველობის დიანილი PD4-ის ხსნარის ჭარბი რაოდენობით გამოყენებამ შეიძლება გამოიწვიოს ორგანიზმიდან წყლის ჭარბი გამოყოფა.</w:t>
      </w:r>
    </w:p>
    <w:p w14:paraId="4CBF214B" w14:textId="77777777" w:rsidR="00BB0197" w:rsidRPr="00E9721C" w:rsidRDefault="00BB0197" w:rsidP="00B061A9">
      <w:pPr>
        <w:pStyle w:val="ListParagraph"/>
        <w:numPr>
          <w:ilvl w:val="0"/>
          <w:numId w:val="2"/>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ჰიპერკალიემიის რისკის გამო დიანილი PD4-ის ხსნარი არ შეიცავს კალიუმს.</w:t>
      </w:r>
    </w:p>
    <w:p w14:paraId="5B6D2AB6" w14:textId="77777777" w:rsidR="00BB0197" w:rsidRPr="00E9721C" w:rsidRDefault="00BB0197" w:rsidP="00B061A9">
      <w:pPr>
        <w:pStyle w:val="ListParagraph"/>
        <w:numPr>
          <w:ilvl w:val="0"/>
          <w:numId w:val="3"/>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თუ შრატში კალიუმის დონე ნორმალურია ან ადგილი აქვს ჰიპოკალიემიას, მწვავე ჰიპოკალიემიის თავიდან ასაცილებლად შეიძლება დაინიშნოს კალიუმის ქლორიდი (კონცენტრაციით 4 მექვ/ლ-მდე)  მხოლოდ ექიმის ზედამხედველობის ქვეშ, შრატში და მთლიანად ორგანიზმში კალიუმის დონის ყურადღებით შეფასების შემდეგ.</w:t>
      </w:r>
    </w:p>
    <w:p w14:paraId="060C7A9D" w14:textId="77777777" w:rsidR="00BB0197" w:rsidRPr="00E9721C" w:rsidRDefault="00BB0197" w:rsidP="00B061A9">
      <w:pPr>
        <w:pStyle w:val="ListParagraph"/>
        <w:numPr>
          <w:ilvl w:val="0"/>
          <w:numId w:val="2"/>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პერიოდულად საჭიროა შრატში ელექტროლიტების კონცენტრაციების (განსაკუთრებით ბიკარბონატის, კალიუმის, მაგნიუმის, კალციუმის და ფოსფატის), სისხლის ბიოქიმიური (მათ შორის პარათიროიდული ჰორმონის და ლიპიდების) და ჰემატოლოგიური მაჩვენებლების მონიტორინგი.</w:t>
      </w:r>
    </w:p>
    <w:p w14:paraId="27C87B21" w14:textId="77777777" w:rsidR="00BB0197" w:rsidRPr="00E9721C" w:rsidRDefault="00BB0197" w:rsidP="00B061A9">
      <w:pPr>
        <w:pStyle w:val="ListParagraph"/>
        <w:numPr>
          <w:ilvl w:val="0"/>
          <w:numId w:val="2"/>
        </w:numPr>
        <w:spacing w:after="0" w:line="240" w:lineRule="auto"/>
        <w:jc w:val="both"/>
        <w:rPr>
          <w:rFonts w:ascii="Sylfaen" w:hAnsi="Sylfaen" w:cs="Sylfaen"/>
          <w:noProof/>
          <w:sz w:val="24"/>
          <w:szCs w:val="24"/>
          <w:lang w:val="ka-GE"/>
        </w:rPr>
      </w:pPr>
      <w:r w:rsidRPr="00E9721C">
        <w:rPr>
          <w:rFonts w:ascii="Sylfaen" w:hAnsi="Sylfaen" w:cs="Sylfaen"/>
          <w:noProof/>
          <w:sz w:val="24"/>
          <w:szCs w:val="24"/>
          <w:lang w:val="ka-GE"/>
        </w:rPr>
        <w:t>დიაბეტის მქონე პაციენტებში გლუკოზის შემცველი ხსნარებით დიალიზის ჩატარების დროს და დიალიზის შემდეგ საჭიროა სისხლში  გლუკოზის დონის ყურადღებით გაკონტროლება. ინსულინის ან ჰიპერგლიკემიის სამკურნალო სხვა პრეპარატების დოზა უნდა დაკორექტირდეს.</w:t>
      </w:r>
    </w:p>
    <w:p w14:paraId="51286D44"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4.5. სხვა სამკურნალო საშუალებებთან ურთიერთქმედება და ურთიერთქმედების სხვა ფორმები</w:t>
      </w:r>
    </w:p>
    <w:p w14:paraId="16F4A019"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დიანილი PD4-ის ურთიერთქმედების კვლევები არ ჩატარებულა. დიალიზს დაქვემდებარებული პრეპარატების კონცენტრაცია სისხლში შეიძლება შემცირდეს პერიტონეალური დიალიზის გამო. </w:t>
      </w:r>
    </w:p>
    <w:p w14:paraId="41AEA31E"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lastRenderedPageBreak/>
        <w:t>პაციენტებში, რომლებიც იღებენ საგულე გლიკოზიდებს, ყურადღებით უნდა გაკონტროლდეს კალიუმის, კალციუმის და მაგნიუმის პლაზმური დონეები, რადგან არსებობს დიგიტალისით ინტოქსიკაციის რისკი. შეიძლება საჭირო გახდეს კალიუმის დანამატების მიღება.</w:t>
      </w:r>
    </w:p>
    <w:p w14:paraId="63B48D0A"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4.6. ნაყოფიერება, ორსულობა და ლაქტაცია</w:t>
      </w:r>
    </w:p>
    <w:p w14:paraId="20939BFD"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ორსულობა</w:t>
      </w:r>
    </w:p>
    <w:p w14:paraId="59D40D34"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ორსულ ქალებში დიანილი PD4-ის გამოყენების შესახებ მონაცემები არ არსებობს ან შეზღუდულია. </w:t>
      </w:r>
    </w:p>
    <w:p w14:paraId="370B6AFE"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ცხოველებში ჩატარებული კვლევები არასაკმარის ინფორმაციას იძლევა რეპროდუქციული ტოქსიურობის შესახებ. </w:t>
      </w:r>
    </w:p>
    <w:p w14:paraId="4C1469B7"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დიანილი PD4-ის გამოყენება არ არის რეკომენდებული ორსულობის პერიოდში ან შვილოსნობის უნარის მქონე ქალებში, რომლებიც არ იყენებენ კონტრაცეპტულ საშუალებებს.</w:t>
      </w:r>
    </w:p>
    <w:p w14:paraId="46286A58"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ძუძუთი კვება</w:t>
      </w:r>
    </w:p>
    <w:p w14:paraId="17849C25"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უცნობია, გამოიყოფა თუ არა დიანილი PD4-ის მეტაბოლიტები ადამიანის რძეში.</w:t>
      </w:r>
    </w:p>
    <w:p w14:paraId="5566F9AD"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ახალშობილებისთვის/ჩვილებისთვის რისკი არ არის გამორიცხული. </w:t>
      </w:r>
    </w:p>
    <w:p w14:paraId="6A855190"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ასეთ შემთხვევებში უნდა გადაწყდეს შეწყდეს ძუძუთი კვება თუ დიანილი PD4-ით მკურნალობა  ბავშვისთვის ძუძუთი კვების და დედისათვის მკურნალობის სარგებლის გათვალისწინებით. </w:t>
      </w:r>
    </w:p>
    <w:p w14:paraId="1796FAD9"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ნაყოფიერება</w:t>
      </w:r>
    </w:p>
    <w:p w14:paraId="1622222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ნაყოფიერების შესახებ კლინიკური მონაცემები არ არსებობს.</w:t>
      </w:r>
    </w:p>
    <w:p w14:paraId="3684613F"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4.7. ზეგავლენა ტრანსპორტის მართვის და მექანიზმების გამოყენების უნარზე</w:t>
      </w:r>
    </w:p>
    <w:p w14:paraId="0F93812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ბოლო სტადიის თირკმლის დაავადების (</w:t>
      </w:r>
      <w:r w:rsidRPr="00E9721C">
        <w:rPr>
          <w:rFonts w:ascii="Sylfaen" w:hAnsi="Sylfaen"/>
          <w:noProof/>
          <w:sz w:val="24"/>
          <w:szCs w:val="24"/>
        </w:rPr>
        <w:t>ESRD)</w:t>
      </w:r>
      <w:r w:rsidRPr="00E9721C">
        <w:rPr>
          <w:rFonts w:ascii="Sylfaen" w:hAnsi="Sylfaen"/>
          <w:noProof/>
          <w:sz w:val="24"/>
          <w:szCs w:val="24"/>
          <w:lang w:val="ka-GE"/>
        </w:rPr>
        <w:t xml:space="preserve"> მქონე პაციენტებს, რომელთაც უტარდებათ პერიტონეალური დიალიზი, შეიძლება აღენიშნოთ გვერდითი ეფექტები, რამაც შეიძლება ზეგავლენა მოახდინოს ტრანსპორტის მართვის ან მექანიზმების გამოყენების უნარზე. </w:t>
      </w:r>
    </w:p>
    <w:p w14:paraId="28CDC7A0"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(მაგ.:  შეუძლოდ ყოფნა, ჰიპოვოლემია).</w:t>
      </w:r>
    </w:p>
    <w:p w14:paraId="79700988"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4.8. გვერდითი ეფექტები</w:t>
      </w:r>
    </w:p>
    <w:p w14:paraId="5A2AA06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rPr>
        <w:t xml:space="preserve">ქვემოთ ჩამოთვლილია </w:t>
      </w:r>
      <w:r w:rsidRPr="00E9721C">
        <w:rPr>
          <w:rFonts w:ascii="Sylfaen" w:hAnsi="Sylfaen"/>
          <w:noProof/>
          <w:sz w:val="24"/>
          <w:szCs w:val="24"/>
          <w:lang w:val="ka-GE"/>
        </w:rPr>
        <w:t>პოსტმარკეტინგულ პერიოდში გამოვლენილი გვერდითი რეაქციები.</w:t>
      </w:r>
    </w:p>
    <w:p w14:paraId="3057EB14"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აღნიშნულ ნაწილში მოცემული პრეპარატის გვერდითი რეაქციები წარმოდგენილია სიხშირის შემდეგი რეკომენდებული პირობითობით: ძალიან ხშირი: ≥10%; ხშირი: ≥1% და &lt;10%; ნაკლებად ხშირი: ≥0.1% და &lt;1%; ძალიან იშვიათი: &lt;0.01%; უცნობი (არსებული მონაცემებით ვერ განისაზღვრება).</w:t>
      </w:r>
    </w:p>
    <w:tbl>
      <w:tblPr>
        <w:tblStyle w:val="TableGrid"/>
        <w:tblW w:w="0" w:type="auto"/>
        <w:tblLook w:val="04A0" w:firstRow="1" w:lastRow="0" w:firstColumn="1" w:lastColumn="0" w:noHBand="0" w:noVBand="1"/>
      </w:tblPr>
      <w:tblGrid>
        <w:gridCol w:w="3415"/>
        <w:gridCol w:w="4050"/>
        <w:gridCol w:w="2520"/>
      </w:tblGrid>
      <w:tr w:rsidR="00BB0197" w:rsidRPr="00E9721C" w14:paraId="0A131232"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2346F" w14:textId="77777777" w:rsidR="00BB0197" w:rsidRPr="00E9721C" w:rsidRDefault="00BB0197" w:rsidP="00B061A9">
            <w:pPr>
              <w:rPr>
                <w:rFonts w:ascii="Sylfaen" w:hAnsi="Sylfaen"/>
                <w:b/>
                <w:sz w:val="24"/>
                <w:szCs w:val="24"/>
              </w:rPr>
            </w:pPr>
            <w:r w:rsidRPr="00E9721C">
              <w:rPr>
                <w:rFonts w:ascii="Sylfaen" w:hAnsi="Sylfaen"/>
                <w:b/>
                <w:sz w:val="24"/>
                <w:szCs w:val="24"/>
                <w:lang w:val="ka-GE"/>
              </w:rPr>
              <w:t>სისტემურ ორგანული კლასი</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025BD0" w14:textId="77777777" w:rsidR="00BB0197" w:rsidRPr="00E9721C" w:rsidRDefault="00BB0197" w:rsidP="00B061A9">
            <w:pPr>
              <w:rPr>
                <w:rFonts w:ascii="Sylfaen" w:hAnsi="Sylfaen"/>
                <w:b/>
                <w:sz w:val="24"/>
                <w:szCs w:val="24"/>
                <w:lang w:val="ka-GE"/>
              </w:rPr>
            </w:pPr>
            <w:r w:rsidRPr="00E9721C">
              <w:rPr>
                <w:rFonts w:ascii="Sylfaen" w:hAnsi="Sylfaen"/>
                <w:b/>
                <w:sz w:val="24"/>
                <w:szCs w:val="24"/>
                <w:lang w:val="ka-GE"/>
              </w:rPr>
              <w:t>შერჩეული ტერმინი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9446F" w14:textId="77777777" w:rsidR="00BB0197" w:rsidRPr="00E9721C" w:rsidRDefault="00BB0197" w:rsidP="00B061A9">
            <w:pPr>
              <w:rPr>
                <w:rFonts w:ascii="Sylfaen" w:hAnsi="Sylfaen"/>
                <w:b/>
                <w:sz w:val="24"/>
                <w:szCs w:val="24"/>
                <w:lang w:val="ka-GE"/>
              </w:rPr>
            </w:pPr>
            <w:r w:rsidRPr="00E9721C">
              <w:rPr>
                <w:rFonts w:ascii="Sylfaen" w:hAnsi="Sylfaen"/>
                <w:b/>
                <w:sz w:val="24"/>
                <w:szCs w:val="24"/>
                <w:lang w:val="ka-GE"/>
              </w:rPr>
              <w:t>სიხშირე</w:t>
            </w:r>
          </w:p>
        </w:tc>
      </w:tr>
      <w:tr w:rsidR="00BB0197" w:rsidRPr="00E9721C" w14:paraId="7218417F"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DC0AA"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დარღვევები მეტაბოლიზმის და კვების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4F716"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ჰიპოკალიემია</w:t>
            </w:r>
          </w:p>
          <w:p w14:paraId="0B47E777"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სითხის შეკავება</w:t>
            </w:r>
          </w:p>
          <w:p w14:paraId="60878191"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ჰიპერვოლემია</w:t>
            </w:r>
          </w:p>
          <w:p w14:paraId="4982808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ჰიპოვოლემია</w:t>
            </w:r>
          </w:p>
          <w:p w14:paraId="2E888CC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ჰიპონატრიემია</w:t>
            </w:r>
          </w:p>
          <w:p w14:paraId="478CDBA6"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დეჰიდრატაცია</w:t>
            </w:r>
          </w:p>
          <w:p w14:paraId="01D33BB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ჰიპოქლორემია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75944"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2A43F590"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59408"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დარღვევები სისხლძარღვთა სისტემის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CCA27"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ჰიპერტენზია</w:t>
            </w:r>
          </w:p>
          <w:p w14:paraId="72C40C7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ჰიპოტენზია</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E0F75"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25B5A436"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306B09"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დარღვევები სასუნთქი სისტემის, გულმკერდის და შუასაყარის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6E3F4"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დისპნოე</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3DD8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58681443"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69793E"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lastRenderedPageBreak/>
              <w:t>დარღვევები კუჭ-ნაწლავის ტრაქტის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D2042"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სკლეროზული ინკაფსულირებული პერიტონიტი</w:t>
            </w:r>
          </w:p>
          <w:p w14:paraId="18AB4A9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პერიტონიტი</w:t>
            </w:r>
          </w:p>
          <w:p w14:paraId="7E582DD5"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პერიტონეუმის შემღვრეული გამონაჟონი</w:t>
            </w:r>
          </w:p>
          <w:p w14:paraId="17E3351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ღებინება</w:t>
            </w:r>
          </w:p>
          <w:p w14:paraId="0277D49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დიარეა</w:t>
            </w:r>
          </w:p>
          <w:p w14:paraId="4A22C77F"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გულისრევა</w:t>
            </w:r>
          </w:p>
          <w:p w14:paraId="334C208B"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ყაბზობა</w:t>
            </w:r>
          </w:p>
          <w:p w14:paraId="0A8930F8"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მუცლის ტკივილი</w:t>
            </w:r>
          </w:p>
          <w:p w14:paraId="4C283D9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მუცლის შებერილობა</w:t>
            </w:r>
          </w:p>
          <w:p w14:paraId="3ED06742"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დისკომფორტი მუცლის არეში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623CB"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29C3A36A"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E2F4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დარღვევები კანის და კანქვეშა ქსოვილის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C9521A"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სტივენს-ჯონსის სინდრომი</w:t>
            </w:r>
          </w:p>
          <w:p w14:paraId="175F5A9B"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ურტიკარია</w:t>
            </w:r>
          </w:p>
          <w:p w14:paraId="4023B7C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გამონაყარი (მათ შორის ქავილით, ერითემატოზური და გენერალიზებული)</w:t>
            </w:r>
          </w:p>
          <w:p w14:paraId="354D8A4F"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ქავილი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FC3B3"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6E8549F3"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0D6E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დარღვევები ძვალკუნთოვანი, შემაერთებელი ქსოვილის მხრივ</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02027"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მიალგია</w:t>
            </w:r>
          </w:p>
          <w:p w14:paraId="6A7E244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კუნთების სპაზმები</w:t>
            </w:r>
          </w:p>
          <w:p w14:paraId="0443774B"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ძვლების და კუნთების ტკივილი</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41924"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r w:rsidR="00BB0197" w:rsidRPr="00E9721C" w14:paraId="718CC08E" w14:textId="77777777" w:rsidTr="00F37CB3">
        <w:tc>
          <w:tcPr>
            <w:tcW w:w="3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2E13F"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ზოგადი დარღვევები და მდგომარეობა შეყვანის ადგილას</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37EC00"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გენერალიზებული შეშუპება</w:t>
            </w:r>
          </w:p>
          <w:p w14:paraId="2065AC18"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პირექსია</w:t>
            </w:r>
          </w:p>
          <w:p w14:paraId="7787E45D"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შეუძლოდ ყოფნა</w:t>
            </w:r>
          </w:p>
          <w:p w14:paraId="3350C736"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ტკივილი ინფუზიის ადგილას</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F72D2C" w14:textId="77777777" w:rsidR="00BB0197" w:rsidRPr="00E9721C" w:rsidRDefault="00BB0197" w:rsidP="00B061A9">
            <w:pPr>
              <w:rPr>
                <w:rFonts w:ascii="Sylfaen" w:hAnsi="Sylfaen"/>
                <w:sz w:val="24"/>
                <w:szCs w:val="24"/>
                <w:lang w:val="ka-GE"/>
              </w:rPr>
            </w:pPr>
            <w:r w:rsidRPr="00E9721C">
              <w:rPr>
                <w:rFonts w:ascii="Sylfaen" w:hAnsi="Sylfaen"/>
                <w:sz w:val="24"/>
                <w:szCs w:val="24"/>
                <w:lang w:val="ka-GE"/>
              </w:rPr>
              <w:t>უცნობი</w:t>
            </w:r>
          </w:p>
        </w:tc>
      </w:tr>
    </w:tbl>
    <w:p w14:paraId="3FC4040B" w14:textId="77777777" w:rsidR="00BB0197" w:rsidRPr="00E9721C" w:rsidRDefault="00BB0197" w:rsidP="00B061A9">
      <w:pPr>
        <w:spacing w:after="0" w:line="240" w:lineRule="auto"/>
        <w:rPr>
          <w:rFonts w:ascii="Sylfaen" w:hAnsi="Sylfaen"/>
          <w:sz w:val="24"/>
          <w:szCs w:val="24"/>
          <w:lang w:val="ka-GE"/>
        </w:rPr>
      </w:pPr>
    </w:p>
    <w:p w14:paraId="5DDBE898"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პერიტონეალური დიალიზის პროცედურასთან დაკავშირებული სხვა გვერდითი ეფექტები: სოკოვანი პერიტონიტი, ბაქტერიული პერიტონიტი, კათეტერიზაციასთან დაკავშირებული ინფექცია, კათეტერიზაციასთან დაკავშირებული გართულება.</w:t>
      </w:r>
    </w:p>
    <w:p w14:paraId="5876FDD0" w14:textId="77777777" w:rsidR="00BB0197" w:rsidRPr="00E9721C" w:rsidRDefault="00BB0197" w:rsidP="00B061A9">
      <w:pPr>
        <w:spacing w:after="0" w:line="240" w:lineRule="auto"/>
        <w:jc w:val="both"/>
        <w:rPr>
          <w:rFonts w:ascii="Sylfaen" w:hAnsi="Sylfaen"/>
          <w:noProof/>
          <w:sz w:val="24"/>
          <w:szCs w:val="24"/>
          <w:u w:val="single"/>
          <w:lang w:val="ka-GE"/>
        </w:rPr>
      </w:pPr>
      <w:r w:rsidRPr="00E9721C">
        <w:rPr>
          <w:rFonts w:ascii="Sylfaen" w:hAnsi="Sylfaen"/>
          <w:noProof/>
          <w:sz w:val="24"/>
          <w:szCs w:val="24"/>
          <w:u w:val="single"/>
          <w:lang w:val="ka-GE"/>
        </w:rPr>
        <w:t>საეჭვო გვერდითი რეაქციების შესახებ ინფორმაციის მიწოდება</w:t>
      </w:r>
    </w:p>
    <w:p w14:paraId="67F3F24C"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მნიშვნელოვანია სამკურნალო საშუალების რეგისტრაციის შემდეგ დაფიქსირებული საეჭვო გვერდითი რეაქციების შესახებ ინფორმაციის მიწოდება. ეს იძლევა პრეპარატის რისკი/სარგებელის თანაფარდობის მუდმივი მონიტორინგის საშუალებას. სამედიცინო პერსონალმა ნებისმიერი საეჭვო გვერდითი რეაქციის შესახებ ინფორმაცი უნდა აცნობოს ჯანმრთელობის პროდუქტების მარეგულირებელი ორგანოს (HPRA) ფარმაკოზედამხედველობის სამსახურს - ერლსფორტ ტერასა, IRL - დუბლინი 2; ტელ.: +353 1 6764971; ფაქსი: +353 1 6762517; ვებგვერდი: </w:t>
      </w:r>
      <w:hyperlink r:id="rId7" w:history="1">
        <w:r w:rsidRPr="00E9721C">
          <w:rPr>
            <w:rFonts w:ascii="Sylfaen" w:hAnsi="Sylfaen"/>
            <w:noProof/>
            <w:sz w:val="24"/>
            <w:szCs w:val="24"/>
            <w:lang w:val="ka-GE"/>
          </w:rPr>
          <w:t>www.hpra.ie</w:t>
        </w:r>
      </w:hyperlink>
      <w:r w:rsidRPr="00E9721C">
        <w:rPr>
          <w:rFonts w:ascii="Sylfaen" w:hAnsi="Sylfaen"/>
          <w:noProof/>
          <w:sz w:val="24"/>
          <w:szCs w:val="24"/>
          <w:lang w:val="ka-GE"/>
        </w:rPr>
        <w:t xml:space="preserve">; ელ-ფოსტა: </w:t>
      </w:r>
      <w:hyperlink r:id="rId8" w:history="1">
        <w:r w:rsidRPr="00E9721C">
          <w:rPr>
            <w:rFonts w:ascii="Sylfaen" w:hAnsi="Sylfaen"/>
            <w:noProof/>
            <w:sz w:val="24"/>
            <w:szCs w:val="24"/>
            <w:lang w:val="ka-GE"/>
          </w:rPr>
          <w:t>medsafety@hpra.ie</w:t>
        </w:r>
      </w:hyperlink>
      <w:r w:rsidRPr="00E9721C">
        <w:rPr>
          <w:rFonts w:ascii="Sylfaen" w:hAnsi="Sylfaen"/>
          <w:noProof/>
          <w:sz w:val="24"/>
          <w:szCs w:val="24"/>
          <w:lang w:val="ka-GE"/>
        </w:rPr>
        <w:t>.</w:t>
      </w:r>
    </w:p>
    <w:p w14:paraId="14A3305E"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4.9. დოზის გადაჭარბება</w:t>
      </w:r>
    </w:p>
    <w:p w14:paraId="5383490F"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არსებობს დოზის გადაჭარბების შესაძლებლობა, რამაც შეიძლება გამოიწვიოს ჰიპერვოლემია, ჰიპოვოლემია, ელექტროლიტური დისბალანსი ან (დიაბეტის მქონე პაციენტებში) ჰიპერგლიკემია.</w:t>
      </w:r>
    </w:p>
    <w:p w14:paraId="6E96A627" w14:textId="77777777" w:rsidR="00FB09D3" w:rsidRPr="00E9721C" w:rsidRDefault="00FB09D3"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პერიტონეალური დიალიზის დროს დიანილი PD4 3.86% გლუკოზით ჭარბმა გამოყენებამ შეიძლება გამოიწვიოს პაციენტის ორგანიზმიდან წყლის მნიშვნელოვანი გამოდევნა.</w:t>
      </w:r>
    </w:p>
    <w:p w14:paraId="247120FA" w14:textId="77777777" w:rsidR="00BB0197" w:rsidRPr="00E9721C" w:rsidRDefault="00BB0197" w:rsidP="00B061A9">
      <w:pPr>
        <w:spacing w:after="0" w:line="240" w:lineRule="auto"/>
        <w:jc w:val="both"/>
        <w:rPr>
          <w:rFonts w:ascii="Sylfaen" w:hAnsi="Sylfaen"/>
          <w:i/>
          <w:noProof/>
          <w:sz w:val="24"/>
          <w:szCs w:val="24"/>
          <w:lang w:val="ka-GE"/>
        </w:rPr>
      </w:pPr>
      <w:r w:rsidRPr="00E9721C">
        <w:rPr>
          <w:rFonts w:ascii="Sylfaen" w:hAnsi="Sylfaen"/>
          <w:i/>
          <w:noProof/>
          <w:sz w:val="24"/>
          <w:szCs w:val="24"/>
          <w:lang w:val="ka-GE"/>
        </w:rPr>
        <w:t>დოზის გადაჭარბების მართვა:</w:t>
      </w:r>
    </w:p>
    <w:p w14:paraId="230AE59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lastRenderedPageBreak/>
        <w:t>ჰიპერვოლემიის მართვა შესაძლებელია პერიტონეალური სადიალიზო ჰიპერტონული ხსნარების გამოყენებით და სითხეების შეზღუდვით.</w:t>
      </w:r>
    </w:p>
    <w:p w14:paraId="7415E834"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ჰიპოვოლემიის მართვა შესაძლებელია პერორალური ან ინტრავენური სითხეების ჩანაცვლებით, რაც დეჰიდრატაციის ხარისხზეა დამოკიდებული. </w:t>
      </w:r>
    </w:p>
    <w:p w14:paraId="077A0EC0"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ელექტროლიტური დისბალანსის მართვა დამოკიდებულია დისბალანსის ტიპზე, რომელიც სისხლის</w:t>
      </w:r>
      <w:r w:rsidR="003E2EDD" w:rsidRPr="00E9721C">
        <w:rPr>
          <w:rFonts w:ascii="Sylfaen" w:hAnsi="Sylfaen"/>
          <w:noProof/>
          <w:sz w:val="24"/>
          <w:szCs w:val="24"/>
          <w:lang w:val="ka-GE"/>
        </w:rPr>
        <w:t xml:space="preserve"> </w:t>
      </w:r>
      <w:r w:rsidRPr="00E9721C">
        <w:rPr>
          <w:rFonts w:ascii="Sylfaen" w:hAnsi="Sylfaen"/>
          <w:noProof/>
          <w:sz w:val="24"/>
          <w:szCs w:val="24"/>
          <w:lang w:val="ka-GE"/>
        </w:rPr>
        <w:t>ანალიზით დგინდება. ყველაზე ხშირი დარღვევა, ჰიპოკალიემია, იმართება პერორალური კალიუმის მიღებით ან მკურნალი ექიმის მიერ დანიშნულ პერიტონეალურ სადიალიზო ხსნარში კალიუმის ქლორიდის დამატებით.</w:t>
      </w:r>
    </w:p>
    <w:p w14:paraId="709498F7"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დიაბეტის მქონე პაციენტებში ჰიპერგლიკემია იმართება ინსულინის ან სხვა პერორალური პრეპარატების დოზის კორექტირებით, მკურნალი ექიმის მიერ დანიშნული მკურნალობის რეჟიმის შესაბამისად. </w:t>
      </w:r>
    </w:p>
    <w:p w14:paraId="0FBD24EF"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5. ფარმაკოლოგიური თვისებები</w:t>
      </w:r>
    </w:p>
    <w:p w14:paraId="663E9932"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5.1. ფარმაკოდინამიკური თვისებები</w:t>
      </w:r>
    </w:p>
    <w:p w14:paraId="0A881219"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თირკმლის უკმარისობის მქონე პაციენტებში პერიტონეალური დიალიზის პროცედურა უზრუნველყოფს აზოტის მეტაბოლიზმის შედეგად წარმოქმნილი ტოქსიური პროდუქტების გამოდევნას, რომლებიც ნორმალურ შემთხვევაში თირკმელებით გამოიყოფა, ასევე ხელს უწყობს სითხის და ელექტროლიტების და მჟავა-ტუტოვანი ბალანსის რეგულირებას.</w:t>
      </w:r>
    </w:p>
    <w:p w14:paraId="212AF105"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ეს პროცედურა სრულდება პერიტონეუმის ღრუში კათეტერით პერიტონეალური სადიალიზო სითხის შეყვანის გზით. დიალიზის სითხესა და პაციენტის პერიტონეუმის კაპილარებს შორის ნივთიერებების ტრანსპორტირება ხორციელდება პერიტონეალური მემბრანით, ოსმოსისა და დიფუზიის პრინციპების შესაბამისად. მუცლის ღრუში რამდენიმე საათის შემდეგ ხსნარი ტოქსიური ნივთიერებებით გაჯერდება და უნდა გამოიცვალოს. </w:t>
      </w:r>
    </w:p>
    <w:p w14:paraId="076D1F8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გარდა ლაქტატისა, რომელიც ბიკარბონატის წინამორბედის როლს ასრულებს, ხსნარში ელექტროლიტების კონცენტრაცია ისეა შედგენილი, რომ ელექტროლიტების პლაზმური კონცენტრაცია დაარეგულიროს. აზოტის ცვლის პროდუქტები, რომლებიც სისხლში მაღალი კონცენტრაციით გროვდება, პერიტონეალური მემბრანის გავლით გადადის სადიალიზო სითხეში. გლუკოზა წარმოქმნის ხსნარს, რომელიც პლაზმის მიმართ ჰიპეროსმოლარულია და ქმნის ოსმოსურ გრადიენტს, რომელიც ხელს უწყობს სითხის გადასვლას პლაზმიდან ხსნარში, რაც საჭიროა თირკმლის ქრონიკული უკმარისობის მქონე პაციენტებში ჭარბი სითხის კომპენსირებისთვის.</w:t>
      </w:r>
    </w:p>
    <w:p w14:paraId="005FB8FE"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5.2. ფარმაკოკინეტიკური თვისებები</w:t>
      </w:r>
    </w:p>
    <w:p w14:paraId="7348A32A"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ინტრაპერიტონეალურად შეყვანისას გლუკოზა შეიწოვება სისხლში და შემდეგ სტანდარტული გზით მეტაბოლიზდება.</w:t>
      </w:r>
    </w:p>
    <w:p w14:paraId="44A8799F"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5.3. უსაფრთხოების პრეკლინიკური მონაცემები</w:t>
      </w:r>
    </w:p>
    <w:p w14:paraId="0E4E9844"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არ ფიქსირდება.</w:t>
      </w:r>
    </w:p>
    <w:p w14:paraId="78341176"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 ფარმაცევტული მახასიათებლები</w:t>
      </w:r>
    </w:p>
    <w:p w14:paraId="008ED4E1"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6.1. დამხმარე ნივთიერებების ჩამონათვალი</w:t>
      </w:r>
    </w:p>
    <w:p w14:paraId="02897CB5"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საინექციო წყალი </w:t>
      </w:r>
    </w:p>
    <w:p w14:paraId="6F81CB5F"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6.2. შეუთავსებლობა</w:t>
      </w:r>
    </w:p>
    <w:p w14:paraId="6163F9E0"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პრეპარატის ურთიერთქმედების ოფიციალური კლინიკური კვლევები არ ჩატარებულა.</w:t>
      </w:r>
    </w:p>
    <w:p w14:paraId="5375E95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დანამატების გამოყენებისას საჭიროა თავსებადობის შემოწმება. შერეული ხსნარების გამოყენება უნდა მოხდეს მყისიერად.</w:t>
      </w:r>
    </w:p>
    <w:p w14:paraId="6D861FDF"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6.3. ვარგისიანობის ვადა</w:t>
      </w:r>
    </w:p>
    <w:p w14:paraId="4D81A9B8"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შეფუთული გასაყიდი პროდუქციის ვარგისიანობის ვადა არის 24 თვე.</w:t>
      </w:r>
    </w:p>
    <w:p w14:paraId="0258CD7E"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lastRenderedPageBreak/>
        <w:t>12 თვე (მხოლოდ ელისტონში, კანადასა და ნორს ქოუვში, აშშ-ში წარმოებული სამკურნალო საშუალებებისთვის).</w:t>
      </w:r>
    </w:p>
    <w:p w14:paraId="23CFFF7E"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გარე შეფუთვის მოხსნის შემთხვევაში პრეპარატი დაუყოვნებლივ გამოიყენება.</w:t>
      </w:r>
    </w:p>
    <w:p w14:paraId="7D893866"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6.4. სპეციალური სიფრთხილის ზომები შენახვისას</w:t>
      </w:r>
    </w:p>
    <w:p w14:paraId="144597AB"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არ შეინახოთ 25</w:t>
      </w:r>
      <w:r w:rsidRPr="00E9721C">
        <w:rPr>
          <w:rFonts w:ascii="Sylfaen" w:hAnsi="Sylfaen"/>
          <w:noProof/>
          <w:sz w:val="24"/>
          <w:szCs w:val="24"/>
          <w:vertAlign w:val="superscript"/>
          <w:lang w:val="ka-GE"/>
        </w:rPr>
        <w:t>0</w:t>
      </w:r>
      <w:r w:rsidRPr="00E9721C">
        <w:rPr>
          <w:rFonts w:ascii="Sylfaen" w:hAnsi="Sylfaen"/>
          <w:noProof/>
          <w:sz w:val="24"/>
          <w:szCs w:val="24"/>
          <w:lang w:val="ka-GE"/>
        </w:rPr>
        <w:t xml:space="preserve">C-ზე მაღალ ტემპერატურაზე. </w:t>
      </w:r>
    </w:p>
    <w:p w14:paraId="4CD84347"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არ შეინახოთ მაცივარში ან საყინულეში. </w:t>
      </w:r>
    </w:p>
    <w:p w14:paraId="1F99D190"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6.5. კონტეინერის ტიპი და შიგთავსი</w:t>
      </w:r>
    </w:p>
    <w:p w14:paraId="6B0941D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სითხე ჰერმეტულად არის დალუქული სამედიცინო პლასტიფიცირებული პოლივინილ ქლორიდისგან (PVC) (PL-146) დამზადებულ კონტეინერში, რომელიც აღჭურვილია პორტით შესაბამის საინფუზიო სისტემასთან დასაკავშირებლად ან ასევე შესაძლებელია კონტეინერის დაკავშირება ინტეგრალურ სისტემასთან და ცარიელ სადრენაჟო კონტეინერთან. კონტეინერს ასევე აქვს  დალუქვადი ლატექსის საინექციო პორტი, რომელიც საჭიროების შემთხვევაში გამოიყენება შეყვანამდე ხსნარში პრეპარატის დასამატებლად.</w:t>
      </w:r>
    </w:p>
    <w:p w14:paraId="5D2F248D"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შემდეგ კონტეინერი დალუქულია მაღალი სიმკვრივის პოლიეთილენისგან ან პოლიპროპილენისგან დამზადებული შეფუთვაში.</w:t>
      </w:r>
    </w:p>
    <w:p w14:paraId="749A1A7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კონტეინერის მოცულობა: 1500 მლ, 2000 მლ, 2500 მლ, 3000 მლ, 5000 მლ.</w:t>
      </w:r>
    </w:p>
    <w:p w14:paraId="56F596D3"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შეფუთვის ყველა ზომა შეიძლება არ იყოს გაყიდვაში.</w:t>
      </w:r>
    </w:p>
    <w:p w14:paraId="26A80FF8"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6.6. სპეციალური სიფრთხილის ზომები გამოყენებული სამკურნალო საშუალების ან ასეთი სამკურნალო საშუალების ნარჩენების განადგურებისას და პროდუქტის გამოყენებისას</w:t>
      </w:r>
    </w:p>
    <w:p w14:paraId="1879657A"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noProof/>
          <w:sz w:val="24"/>
          <w:szCs w:val="24"/>
          <w:lang w:val="ka-GE"/>
        </w:rPr>
        <w:t>გამოყენებასთან დაკავშირებული პირობები იხ. ნაწილში 4.2.</w:t>
      </w:r>
      <w:r w:rsidRPr="00E9721C">
        <w:rPr>
          <w:rFonts w:ascii="Sylfaen" w:hAnsi="Sylfaen"/>
          <w:b/>
          <w:noProof/>
          <w:sz w:val="24"/>
          <w:szCs w:val="24"/>
          <w:lang w:val="ka-GE"/>
        </w:rPr>
        <w:t xml:space="preserve"> </w:t>
      </w:r>
    </w:p>
    <w:p w14:paraId="0436BEA2" w14:textId="77777777" w:rsidR="00BB0197" w:rsidRPr="00E9721C"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 xml:space="preserve">CAPD-ის პროცედურის დეტალური ინსტრუქცია პაციენტებს მიეწოდება სპეციალური ტრენინგების და ფურცელი-ჩანართის საშუალებით. </w:t>
      </w:r>
    </w:p>
    <w:p w14:paraId="433C0100" w14:textId="77777777" w:rsidR="00BB0197" w:rsidRDefault="00BB0197"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გადააგდეთ გამოუყენებელი დარჩენილი ხსნარი.</w:t>
      </w:r>
    </w:p>
    <w:p w14:paraId="2A66AB59" w14:textId="77777777" w:rsidR="00E9721C" w:rsidRDefault="00E9721C" w:rsidP="00B061A9">
      <w:pPr>
        <w:spacing w:after="0" w:line="240" w:lineRule="auto"/>
        <w:jc w:val="both"/>
        <w:rPr>
          <w:rFonts w:ascii="Sylfaen" w:hAnsi="Sylfaen"/>
          <w:noProof/>
          <w:sz w:val="24"/>
          <w:szCs w:val="24"/>
          <w:lang w:val="ka-GE"/>
        </w:rPr>
      </w:pPr>
    </w:p>
    <w:p w14:paraId="3916DFE4" w14:textId="77777777" w:rsidR="00E9721C" w:rsidRDefault="00E9721C" w:rsidP="00E9721C">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D980E43" w14:textId="77777777" w:rsidR="00E9721C" w:rsidRPr="000F4D22" w:rsidRDefault="00E9721C" w:rsidP="00E9721C">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r w:rsidRPr="005F6B6E">
        <w:rPr>
          <w:rFonts w:ascii="Helvetica" w:hAnsi="Helvetica" w:cs="Helvetica"/>
          <w:color w:val="333333"/>
          <w:sz w:val="21"/>
          <w:szCs w:val="21"/>
          <w:shd w:val="clear" w:color="auto" w:fill="FAF2CC"/>
        </w:rPr>
        <w:t xml:space="preserve"> </w:t>
      </w:r>
      <w:r w:rsidRPr="005F6B6E">
        <w:rPr>
          <w:rFonts w:ascii="Sylfaen" w:hAnsi="Sylfaen" w:cs="Sylfaen"/>
          <w:noProof/>
          <w:lang w:val="ru-RU"/>
        </w:rPr>
        <w:t>, გამოიყენება სამედიცინო დაწესებულებებში  </w:t>
      </w:r>
    </w:p>
    <w:p w14:paraId="7E846B57" w14:textId="77777777" w:rsidR="00E9721C" w:rsidRPr="00E9721C" w:rsidRDefault="00E9721C" w:rsidP="00B061A9">
      <w:pPr>
        <w:spacing w:after="0" w:line="240" w:lineRule="auto"/>
        <w:jc w:val="both"/>
        <w:rPr>
          <w:rFonts w:ascii="Sylfaen" w:hAnsi="Sylfaen"/>
          <w:noProof/>
          <w:sz w:val="24"/>
          <w:szCs w:val="24"/>
          <w:lang w:val="ka-GE"/>
        </w:rPr>
      </w:pPr>
    </w:p>
    <w:p w14:paraId="6FFF4705"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7. სარეგისტრაციო მოწმობის მფლობელი</w:t>
      </w:r>
    </w:p>
    <w:p w14:paraId="2F548BD8" w14:textId="77777777" w:rsidR="00D933B5" w:rsidRPr="00E9721C" w:rsidRDefault="00D933B5" w:rsidP="00B061A9">
      <w:pPr>
        <w:spacing w:after="0" w:line="240" w:lineRule="auto"/>
        <w:jc w:val="both"/>
        <w:rPr>
          <w:rFonts w:ascii="Sylfaen" w:hAnsi="Sylfaen"/>
          <w:noProof/>
          <w:sz w:val="24"/>
          <w:szCs w:val="24"/>
          <w:lang w:val="ka-GE"/>
        </w:rPr>
      </w:pPr>
      <w:r w:rsidRPr="00E9721C">
        <w:rPr>
          <w:rFonts w:ascii="Sylfaen" w:hAnsi="Sylfaen"/>
          <w:sz w:val="24"/>
          <w:szCs w:val="24"/>
          <w:lang w:val="ka-GE"/>
        </w:rPr>
        <w:t>ვანტივ მანუფაქტურინგ ლიმიტიდ (</w:t>
      </w:r>
      <w:r w:rsidRPr="00E9721C">
        <w:rPr>
          <w:rFonts w:ascii="Sylfaen" w:hAnsi="Sylfaen"/>
          <w:noProof/>
          <w:sz w:val="24"/>
          <w:szCs w:val="24"/>
          <w:lang w:val="en-GB"/>
        </w:rPr>
        <w:t>Vantive Manufacturing Limited</w:t>
      </w:r>
      <w:r w:rsidRPr="00E9721C">
        <w:rPr>
          <w:rFonts w:ascii="Sylfaen" w:hAnsi="Sylfaen"/>
          <w:noProof/>
          <w:sz w:val="24"/>
          <w:szCs w:val="24"/>
          <w:lang w:val="ka-GE"/>
        </w:rPr>
        <w:t>)</w:t>
      </w:r>
    </w:p>
    <w:p w14:paraId="5985AF37" w14:textId="77777777" w:rsidR="00D933B5" w:rsidRPr="00E9721C" w:rsidRDefault="00D933B5"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მონინ როუდი, კასლბარი, მაიოს საგრაფო</w:t>
      </w:r>
    </w:p>
    <w:p w14:paraId="789FB156" w14:textId="77777777" w:rsidR="00D933B5" w:rsidRPr="00E9721C" w:rsidRDefault="00D933B5" w:rsidP="00B061A9">
      <w:pPr>
        <w:spacing w:after="0" w:line="240" w:lineRule="auto"/>
        <w:jc w:val="both"/>
        <w:rPr>
          <w:rFonts w:ascii="Sylfaen" w:hAnsi="Sylfaen"/>
          <w:noProof/>
          <w:sz w:val="24"/>
          <w:szCs w:val="24"/>
          <w:lang w:val="ka-GE"/>
        </w:rPr>
      </w:pPr>
      <w:r w:rsidRPr="00E9721C">
        <w:rPr>
          <w:rFonts w:ascii="Sylfaen" w:hAnsi="Sylfaen"/>
          <w:noProof/>
          <w:sz w:val="24"/>
          <w:szCs w:val="24"/>
          <w:lang w:val="ka-GE"/>
        </w:rPr>
        <w:t>ირლანდია</w:t>
      </w:r>
    </w:p>
    <w:p w14:paraId="216320B6" w14:textId="77777777" w:rsidR="00BB0197" w:rsidRPr="00E9721C" w:rsidRDefault="00BB0197" w:rsidP="00B061A9">
      <w:pPr>
        <w:spacing w:after="0" w:line="240" w:lineRule="auto"/>
        <w:jc w:val="both"/>
        <w:rPr>
          <w:rFonts w:ascii="Sylfaen" w:hAnsi="Sylfaen"/>
          <w:b/>
          <w:noProof/>
          <w:sz w:val="24"/>
          <w:szCs w:val="24"/>
          <w:lang w:val="ka-GE"/>
        </w:rPr>
      </w:pPr>
      <w:r w:rsidRPr="00E9721C">
        <w:rPr>
          <w:rFonts w:ascii="Sylfaen" w:hAnsi="Sylfaen"/>
          <w:b/>
          <w:noProof/>
          <w:sz w:val="24"/>
          <w:szCs w:val="24"/>
          <w:lang w:val="ka-GE"/>
        </w:rPr>
        <w:t>8. სარეგისტრაციო მოწმობის ნომერი</w:t>
      </w:r>
    </w:p>
    <w:p w14:paraId="30C7C337" w14:textId="77777777" w:rsidR="00BB0197" w:rsidRPr="00E9721C" w:rsidRDefault="00BB0197" w:rsidP="00B061A9">
      <w:pPr>
        <w:spacing w:after="0" w:line="240" w:lineRule="auto"/>
        <w:jc w:val="both"/>
        <w:rPr>
          <w:rFonts w:ascii="Sylfaen" w:hAnsi="Sylfaen"/>
          <w:b/>
          <w:sz w:val="24"/>
          <w:szCs w:val="24"/>
          <w:lang w:val="ka-GE"/>
        </w:rPr>
      </w:pPr>
      <w:r w:rsidRPr="00E9721C">
        <w:rPr>
          <w:rFonts w:ascii="Sylfaen" w:hAnsi="Sylfaen"/>
          <w:b/>
          <w:sz w:val="24"/>
          <w:szCs w:val="24"/>
        </w:rPr>
        <w:t xml:space="preserve">9. </w:t>
      </w:r>
      <w:r w:rsidRPr="00E9721C">
        <w:rPr>
          <w:rFonts w:ascii="Sylfaen" w:hAnsi="Sylfaen"/>
          <w:b/>
          <w:noProof/>
          <w:sz w:val="24"/>
          <w:szCs w:val="24"/>
          <w:lang w:val="en-GB"/>
        </w:rPr>
        <w:t>პირველი</w:t>
      </w:r>
      <w:r w:rsidRPr="00E9721C">
        <w:rPr>
          <w:rFonts w:ascii="Sylfaen" w:hAnsi="Sylfaen"/>
          <w:b/>
          <w:sz w:val="24"/>
          <w:szCs w:val="24"/>
          <w:lang w:val="ka-GE"/>
        </w:rPr>
        <w:t xml:space="preserve"> რეგისტრაციის/ხელახალი რეგისტრაციის თარიღი</w:t>
      </w:r>
    </w:p>
    <w:p w14:paraId="1FFD7BB6" w14:textId="77777777" w:rsidR="00BB0197" w:rsidRPr="00E9721C" w:rsidRDefault="00BB0197" w:rsidP="00B061A9">
      <w:pPr>
        <w:spacing w:after="0" w:line="240" w:lineRule="auto"/>
        <w:jc w:val="both"/>
        <w:rPr>
          <w:rFonts w:ascii="Sylfaen" w:hAnsi="Sylfaen"/>
          <w:b/>
          <w:sz w:val="24"/>
          <w:szCs w:val="24"/>
          <w:lang w:val="ka-GE"/>
        </w:rPr>
      </w:pPr>
      <w:r w:rsidRPr="00E9721C">
        <w:rPr>
          <w:rFonts w:ascii="Sylfaen" w:hAnsi="Sylfaen"/>
          <w:b/>
          <w:sz w:val="24"/>
          <w:szCs w:val="24"/>
          <w:lang w:val="ka-GE"/>
        </w:rPr>
        <w:t>10. ტექსტის განახლების თარიღი</w:t>
      </w:r>
    </w:p>
    <w:p w14:paraId="5A7FC597" w14:textId="77777777" w:rsidR="001A1C24" w:rsidRPr="00E9721C" w:rsidRDefault="00BB0197" w:rsidP="00B061A9">
      <w:pPr>
        <w:spacing w:after="0" w:line="240" w:lineRule="auto"/>
        <w:jc w:val="both"/>
        <w:rPr>
          <w:sz w:val="24"/>
          <w:szCs w:val="24"/>
        </w:rPr>
      </w:pPr>
      <w:r w:rsidRPr="00E9721C">
        <w:rPr>
          <w:rFonts w:ascii="Sylfaen" w:hAnsi="Sylfaen"/>
          <w:sz w:val="24"/>
          <w:szCs w:val="24"/>
          <w:lang w:val="ka-GE"/>
        </w:rPr>
        <w:t>ნოემბერი, 2024</w:t>
      </w:r>
    </w:p>
    <w:sectPr w:rsidR="001A1C24" w:rsidRPr="00E9721C" w:rsidSect="00B061A9">
      <w:footerReference w:type="default" r:id="rId9"/>
      <w:pgSz w:w="12240" w:h="15840"/>
      <w:pgMar w:top="567" w:right="1080" w:bottom="851" w:left="1080" w:header="720" w:footer="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2F139" w14:textId="77777777" w:rsidR="00DF09D8" w:rsidRDefault="00DF09D8" w:rsidP="00B061A9">
      <w:pPr>
        <w:spacing w:after="0" w:line="240" w:lineRule="auto"/>
      </w:pPr>
      <w:r>
        <w:separator/>
      </w:r>
    </w:p>
  </w:endnote>
  <w:endnote w:type="continuationSeparator" w:id="0">
    <w:p w14:paraId="37E38B7E" w14:textId="77777777" w:rsidR="00DF09D8" w:rsidRDefault="00DF09D8" w:rsidP="00B06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224564"/>
      <w:docPartObj>
        <w:docPartGallery w:val="Page Numbers (Bottom of Page)"/>
        <w:docPartUnique/>
      </w:docPartObj>
    </w:sdtPr>
    <w:sdtEndPr>
      <w:rPr>
        <w:noProof/>
        <w:sz w:val="16"/>
        <w:szCs w:val="16"/>
      </w:rPr>
    </w:sdtEndPr>
    <w:sdtContent>
      <w:p w14:paraId="3059BEDB" w14:textId="77777777" w:rsidR="00B061A9" w:rsidRPr="00B061A9" w:rsidRDefault="00B061A9">
        <w:pPr>
          <w:pStyle w:val="Footer"/>
          <w:jc w:val="right"/>
          <w:rPr>
            <w:sz w:val="16"/>
            <w:szCs w:val="16"/>
          </w:rPr>
        </w:pPr>
        <w:r w:rsidRPr="00B061A9">
          <w:rPr>
            <w:sz w:val="16"/>
            <w:szCs w:val="16"/>
          </w:rPr>
          <w:fldChar w:fldCharType="begin"/>
        </w:r>
        <w:r w:rsidRPr="00B061A9">
          <w:rPr>
            <w:sz w:val="16"/>
            <w:szCs w:val="16"/>
          </w:rPr>
          <w:instrText xml:space="preserve"> PAGE   \* MERGEFORMAT </w:instrText>
        </w:r>
        <w:r w:rsidRPr="00B061A9">
          <w:rPr>
            <w:sz w:val="16"/>
            <w:szCs w:val="16"/>
          </w:rPr>
          <w:fldChar w:fldCharType="separate"/>
        </w:r>
        <w:r>
          <w:rPr>
            <w:noProof/>
            <w:sz w:val="16"/>
            <w:szCs w:val="16"/>
          </w:rPr>
          <w:t>3</w:t>
        </w:r>
        <w:r w:rsidRPr="00B061A9">
          <w:rPr>
            <w:noProof/>
            <w:sz w:val="16"/>
            <w:szCs w:val="16"/>
          </w:rPr>
          <w:fldChar w:fldCharType="end"/>
        </w:r>
      </w:p>
    </w:sdtContent>
  </w:sdt>
  <w:p w14:paraId="7DFBA388" w14:textId="77777777" w:rsidR="00B061A9" w:rsidRDefault="00B06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B1E44" w14:textId="77777777" w:rsidR="00DF09D8" w:rsidRDefault="00DF09D8" w:rsidP="00B061A9">
      <w:pPr>
        <w:spacing w:after="0" w:line="240" w:lineRule="auto"/>
      </w:pPr>
      <w:r>
        <w:separator/>
      </w:r>
    </w:p>
  </w:footnote>
  <w:footnote w:type="continuationSeparator" w:id="0">
    <w:p w14:paraId="0EC1E39F" w14:textId="77777777" w:rsidR="00DF09D8" w:rsidRDefault="00DF09D8" w:rsidP="00B061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76F9A"/>
    <w:multiLevelType w:val="hybridMultilevel"/>
    <w:tmpl w:val="C55E1ED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3BA57AA3"/>
    <w:multiLevelType w:val="hybridMultilevel"/>
    <w:tmpl w:val="440E548E"/>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9791CF7"/>
    <w:multiLevelType w:val="hybridMultilevel"/>
    <w:tmpl w:val="B0B0D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457365">
    <w:abstractNumId w:val="2"/>
  </w:num>
  <w:num w:numId="2" w16cid:durableId="710614764">
    <w:abstractNumId w:val="0"/>
  </w:num>
  <w:num w:numId="3" w16cid:durableId="220678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97"/>
    <w:rsid w:val="001A1C24"/>
    <w:rsid w:val="00234550"/>
    <w:rsid w:val="003E2EDD"/>
    <w:rsid w:val="0086627E"/>
    <w:rsid w:val="00966E31"/>
    <w:rsid w:val="00B061A9"/>
    <w:rsid w:val="00BB0197"/>
    <w:rsid w:val="00C8518A"/>
    <w:rsid w:val="00D933B5"/>
    <w:rsid w:val="00DF09D8"/>
    <w:rsid w:val="00E54940"/>
    <w:rsid w:val="00E9721C"/>
    <w:rsid w:val="00ED644E"/>
    <w:rsid w:val="00FB0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AF399"/>
  <w15:chartTrackingRefBased/>
  <w15:docId w15:val="{EF53B828-9D62-4C1A-86A3-485844E6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1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0197"/>
    <w:pPr>
      <w:spacing w:after="200" w:line="276" w:lineRule="auto"/>
      <w:ind w:left="720"/>
      <w:contextualSpacing/>
    </w:pPr>
    <w:rPr>
      <w:rFonts w:eastAsiaTheme="minorEastAsia"/>
    </w:rPr>
  </w:style>
  <w:style w:type="table" w:styleId="TableGrid">
    <w:name w:val="Table Grid"/>
    <w:basedOn w:val="TableNormal"/>
    <w:uiPriority w:val="59"/>
    <w:rsid w:val="00BB01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6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1A9"/>
  </w:style>
  <w:style w:type="paragraph" w:styleId="Footer">
    <w:name w:val="footer"/>
    <w:basedOn w:val="Normal"/>
    <w:link w:val="FooterChar"/>
    <w:uiPriority w:val="99"/>
    <w:unhideWhenUsed/>
    <w:rsid w:val="00B06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1A9"/>
  </w:style>
  <w:style w:type="paragraph" w:styleId="BalloonText">
    <w:name w:val="Balloon Text"/>
    <w:basedOn w:val="Normal"/>
    <w:link w:val="BalloonTextChar"/>
    <w:uiPriority w:val="99"/>
    <w:semiHidden/>
    <w:unhideWhenUsed/>
    <w:rsid w:val="00B061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1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safety@hpra.ie" TargetMode="External"/><Relationship Id="rId3" Type="http://schemas.openxmlformats.org/officeDocument/2006/relationships/settings" Target="settings.xml"/><Relationship Id="rId7" Type="http://schemas.openxmlformats.org/officeDocument/2006/relationships/hyperlink" Target="http://www.hpra.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2691</Words>
  <Characters>15341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Zaza Chapichadze</cp:lastModifiedBy>
  <cp:revision>9</cp:revision>
  <cp:lastPrinted>2026-04-23T09:43:00Z</cp:lastPrinted>
  <dcterms:created xsi:type="dcterms:W3CDTF">2026-01-07T00:31:00Z</dcterms:created>
  <dcterms:modified xsi:type="dcterms:W3CDTF">2026-04-29T13:17:00Z</dcterms:modified>
</cp:coreProperties>
</file>