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6A46" w14:textId="77777777" w:rsidR="00B5770D" w:rsidRPr="0059528B" w:rsidRDefault="00B5770D" w:rsidP="00165EC8">
      <w:pPr>
        <w:pStyle w:val="ListParagraph"/>
        <w:tabs>
          <w:tab w:val="left" w:pos="0"/>
        </w:tabs>
        <w:spacing w:after="0"/>
        <w:ind w:left="-630" w:right="-720"/>
        <w:jc w:val="center"/>
        <w:rPr>
          <w:rFonts w:ascii="Sylfaen" w:hAnsi="Sylfaen" w:cs="Sylfaen"/>
          <w:b/>
          <w:bCs/>
          <w:sz w:val="24"/>
          <w:szCs w:val="24"/>
          <w:u w:val="single"/>
          <w:lang w:val="ka-GE"/>
        </w:rPr>
      </w:pPr>
      <w:r w:rsidRPr="0059528B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27780148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საშუალების დასახელება:                   </w:t>
      </w:r>
    </w:p>
    <w:p w14:paraId="41D5F8AE" w14:textId="77777777" w:rsidR="00B5770D" w:rsidRPr="0059528B" w:rsidRDefault="00EB1D1F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EB1D1F">
        <w:rPr>
          <w:rFonts w:ascii="Sylfaen" w:hAnsi="Sylfaen" w:cs="Sylfaen"/>
          <w:sz w:val="24"/>
          <w:szCs w:val="24"/>
          <w:lang w:val="ka-GE"/>
        </w:rPr>
        <w:t>ტენზიდინი/ TENZIDINE /</w:t>
      </w:r>
      <w:r w:rsidR="005A7547">
        <w:rPr>
          <w:rFonts w:ascii="Sylfaen" w:hAnsi="Sylfaen" w:cs="Sylfaen"/>
          <w:sz w:val="24"/>
          <w:szCs w:val="24"/>
        </w:rPr>
        <w:t xml:space="preserve"> </w:t>
      </w:r>
      <w:r w:rsidR="0059528B">
        <w:rPr>
          <w:rFonts w:ascii="Sylfaen" w:hAnsi="Sylfaen" w:cs="Sylfaen"/>
          <w:sz w:val="24"/>
          <w:szCs w:val="24"/>
          <w:lang w:val="ka-GE"/>
        </w:rPr>
        <w:t>0.</w:t>
      </w:r>
      <w:r w:rsidR="005812D6">
        <w:rPr>
          <w:rFonts w:ascii="Sylfaen" w:hAnsi="Sylfaen" w:cs="Sylfaen"/>
          <w:sz w:val="24"/>
          <w:szCs w:val="24"/>
          <w:lang w:val="ka-GE"/>
        </w:rPr>
        <w:t>4</w:t>
      </w:r>
      <w:r w:rsidR="00196076" w:rsidRPr="0059528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5770D" w:rsidRPr="0059528B">
        <w:rPr>
          <w:rFonts w:ascii="Sylfaen" w:hAnsi="Sylfaen" w:cs="Sylfaen"/>
          <w:sz w:val="24"/>
          <w:szCs w:val="24"/>
          <w:lang w:val="ka-GE"/>
        </w:rPr>
        <w:t>(</w:t>
      </w:r>
      <w:r w:rsidR="0059528B" w:rsidRPr="0059528B">
        <w:rPr>
          <w:rFonts w:ascii="Sylfaen" w:hAnsi="Sylfaen" w:cs="Sylfaen"/>
          <w:sz w:val="24"/>
          <w:szCs w:val="24"/>
          <w:lang w:val="ka-GE"/>
        </w:rPr>
        <w:t>მოქსონიდინი /</w:t>
      </w:r>
      <w:r w:rsidR="0059528B" w:rsidRPr="0059528B">
        <w:t xml:space="preserve"> </w:t>
      </w:r>
      <w:r w:rsidR="0059528B" w:rsidRPr="0059528B">
        <w:rPr>
          <w:rFonts w:ascii="Sylfaen" w:hAnsi="Sylfaen" w:cs="Sylfaen"/>
          <w:sz w:val="24"/>
          <w:szCs w:val="24"/>
          <w:lang w:val="ka-GE"/>
        </w:rPr>
        <w:t>MOXONIDINE / BP 0.</w:t>
      </w:r>
      <w:r w:rsidR="005812D6">
        <w:rPr>
          <w:rFonts w:ascii="Sylfaen" w:hAnsi="Sylfaen" w:cs="Sylfaen"/>
          <w:sz w:val="24"/>
          <w:szCs w:val="24"/>
          <w:lang w:val="ka-GE"/>
        </w:rPr>
        <w:t>4</w:t>
      </w:r>
      <w:r w:rsidR="0059528B" w:rsidRPr="0059528B">
        <w:rPr>
          <w:rFonts w:ascii="Sylfaen" w:hAnsi="Sylfaen" w:cs="Sylfaen"/>
          <w:sz w:val="24"/>
          <w:szCs w:val="24"/>
          <w:lang w:val="ka-GE"/>
        </w:rPr>
        <w:t xml:space="preserve"> მგ</w:t>
      </w:r>
      <w:r w:rsidR="0059528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9528B" w:rsidRPr="0059528B">
        <w:rPr>
          <w:rFonts w:ascii="Sylfaen" w:hAnsi="Sylfaen" w:cs="Sylfaen"/>
          <w:sz w:val="24"/>
          <w:szCs w:val="24"/>
          <w:lang w:val="ka-GE"/>
        </w:rPr>
        <w:t>ტაბლეტები</w:t>
      </w:r>
      <w:r w:rsidR="00B5770D" w:rsidRPr="0059528B">
        <w:rPr>
          <w:rFonts w:ascii="Sylfaen" w:hAnsi="Sylfaen" w:cs="Sylfaen"/>
          <w:sz w:val="24"/>
          <w:szCs w:val="24"/>
          <w:lang w:val="ka-GE"/>
        </w:rPr>
        <w:t>)</w:t>
      </w:r>
    </w:p>
    <w:p w14:paraId="48B1F6AA" w14:textId="77777777" w:rsidR="00B5770D" w:rsidRP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5770D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6E50AE39" w14:textId="77777777" w:rsidR="00C6341C" w:rsidRDefault="00B5770D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თითო შემოგარსული ტაბლეტის შემადგენლობაში შედის:</w:t>
      </w:r>
    </w:p>
    <w:p w14:paraId="2838B213" w14:textId="77777777" w:rsid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5020AC">
        <w:rPr>
          <w:rFonts w:ascii="Sylfaen" w:hAnsi="Sylfaen"/>
          <w:sz w:val="24"/>
          <w:szCs w:val="24"/>
          <w:lang w:val="ka-GE"/>
        </w:rPr>
        <w:t>მოქსონიდინი</w:t>
      </w:r>
      <w:r w:rsidRPr="005020AC">
        <w:rPr>
          <w:rFonts w:ascii="Sylfaen" w:hAnsi="Sylfaen"/>
          <w:sz w:val="24"/>
          <w:szCs w:val="24"/>
        </w:rPr>
        <w:t xml:space="preserve"> BP</w:t>
      </w:r>
      <w:r w:rsidRPr="005020AC"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…………………….…..</w:t>
      </w:r>
      <w:r>
        <w:rPr>
          <w:rFonts w:ascii="Sylfaen" w:hAnsi="Sylfaen"/>
          <w:sz w:val="24"/>
          <w:szCs w:val="24"/>
        </w:rPr>
        <w:t>0.</w:t>
      </w:r>
      <w:r w:rsidR="00244AB3">
        <w:rPr>
          <w:rFonts w:ascii="Sylfaen" w:hAnsi="Sylfaen"/>
          <w:sz w:val="24"/>
          <w:szCs w:val="24"/>
          <w:lang w:val="ka-GE"/>
        </w:rPr>
        <w:t>4</w:t>
      </w:r>
      <w:r w:rsidRPr="00CC4A3F">
        <w:rPr>
          <w:rFonts w:ascii="Sylfaen" w:hAnsi="Sylfaen"/>
          <w:sz w:val="24"/>
          <w:szCs w:val="24"/>
          <w:lang w:val="ka-GE"/>
        </w:rPr>
        <w:t xml:space="preserve"> მგ</w:t>
      </w:r>
    </w:p>
    <w:p w14:paraId="22145600" w14:textId="77777777" w:rsid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შემავსებლები……………………………. </w:t>
      </w:r>
      <w:r>
        <w:rPr>
          <w:rFonts w:ascii="Sylfaen" w:hAnsi="Sylfaen"/>
          <w:sz w:val="24"/>
          <w:szCs w:val="24"/>
        </w:rPr>
        <w:t>q</w:t>
      </w:r>
      <w:r w:rsidRPr="00CC4A3F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</w:rPr>
        <w:t>s</w:t>
      </w:r>
      <w:r w:rsidRPr="00CC4A3F">
        <w:rPr>
          <w:rFonts w:ascii="Sylfaen" w:hAnsi="Sylfaen"/>
          <w:sz w:val="24"/>
          <w:szCs w:val="24"/>
          <w:lang w:val="ka-GE"/>
        </w:rPr>
        <w:t>.</w:t>
      </w:r>
    </w:p>
    <w:p w14:paraId="01340257" w14:textId="77777777" w:rsidR="00C6341C" w:rsidRPr="00C6341C" w:rsidRDefault="00C6341C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 w:cs="Sylfaen"/>
          <w:sz w:val="24"/>
          <w:szCs w:val="24"/>
          <w:lang w:val="ka-GE"/>
        </w:rPr>
      </w:pPr>
      <w:r w:rsidRPr="00CC4A3F">
        <w:rPr>
          <w:rFonts w:ascii="Sylfaen" w:hAnsi="Sylfaen"/>
          <w:sz w:val="24"/>
          <w:szCs w:val="24"/>
          <w:lang w:val="ka-GE"/>
        </w:rPr>
        <w:t xml:space="preserve">ფერი: </w:t>
      </w:r>
      <w:r w:rsidR="00244AB3" w:rsidRPr="00CC4A3F">
        <w:rPr>
          <w:rFonts w:ascii="Sylfaen" w:hAnsi="Sylfaen"/>
          <w:sz w:val="24"/>
          <w:szCs w:val="24"/>
          <w:lang w:val="ka-GE"/>
        </w:rPr>
        <w:t>ტიტანის დიოქსიდი</w:t>
      </w:r>
      <w:r w:rsidR="00244AB3">
        <w:rPr>
          <w:rFonts w:ascii="Sylfaen" w:hAnsi="Sylfaen"/>
          <w:sz w:val="24"/>
          <w:szCs w:val="24"/>
        </w:rPr>
        <w:t xml:space="preserve">, </w:t>
      </w:r>
      <w:r w:rsidR="00244AB3"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</w:t>
      </w:r>
      <w:r w:rsidR="00244AB3">
        <w:rPr>
          <w:rFonts w:ascii="Sylfaen" w:hAnsi="Sylfaen"/>
          <w:sz w:val="24"/>
          <w:szCs w:val="24"/>
          <w:lang w:val="ka-GE"/>
        </w:rPr>
        <w:t xml:space="preserve">წითელი, </w:t>
      </w:r>
      <w:r w:rsidR="00244AB3" w:rsidRPr="00CC4A3F">
        <w:rPr>
          <w:rFonts w:ascii="Sylfaen" w:hAnsi="Sylfaen"/>
          <w:sz w:val="24"/>
          <w:szCs w:val="24"/>
          <w:lang w:val="ka-GE"/>
        </w:rPr>
        <w:t xml:space="preserve">რკინის ოქსიდი, </w:t>
      </w:r>
      <w:r w:rsidR="00244AB3">
        <w:rPr>
          <w:rFonts w:ascii="Sylfaen" w:hAnsi="Sylfaen"/>
          <w:sz w:val="24"/>
          <w:szCs w:val="24"/>
          <w:lang w:val="ka-GE"/>
        </w:rPr>
        <w:t xml:space="preserve">შავი </w:t>
      </w:r>
      <w:r w:rsidR="00244AB3" w:rsidRPr="00CC4A3F">
        <w:rPr>
          <w:rFonts w:ascii="Sylfaen" w:hAnsi="Sylfaen"/>
          <w:sz w:val="24"/>
          <w:szCs w:val="24"/>
          <w:lang w:val="ka-GE"/>
        </w:rPr>
        <w:t xml:space="preserve">  </w:t>
      </w:r>
      <w:r w:rsidR="00244AB3">
        <w:rPr>
          <w:rFonts w:ascii="Sylfaen" w:hAnsi="Sylfaen"/>
          <w:sz w:val="24"/>
          <w:szCs w:val="24"/>
          <w:lang w:val="ka-GE"/>
        </w:rPr>
        <w:t xml:space="preserve"> </w:t>
      </w:r>
      <w:r w:rsidR="00244AB3" w:rsidRPr="00CC4A3F">
        <w:rPr>
          <w:rFonts w:ascii="Sylfaen" w:hAnsi="Sylfaen"/>
          <w:sz w:val="24"/>
          <w:szCs w:val="24"/>
          <w:lang w:val="ka-GE"/>
        </w:rPr>
        <w:t xml:space="preserve">  </w:t>
      </w:r>
    </w:p>
    <w:p w14:paraId="434A69E5" w14:textId="77777777" w:rsidR="00B5770D" w:rsidRPr="004255AB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255AB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18CD4911" w14:textId="77777777" w:rsidR="00B5770D" w:rsidRDefault="00B5770D" w:rsidP="00165EC8">
      <w:pPr>
        <w:tabs>
          <w:tab w:val="left" w:pos="0"/>
        </w:tabs>
        <w:spacing w:after="0"/>
        <w:ind w:left="-990" w:right="-720" w:firstLine="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ტაბლეტი.</w:t>
      </w:r>
    </w:p>
    <w:p w14:paraId="1678CC13" w14:textId="77777777" w:rsidR="004255AB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აღწერა</w:t>
      </w:r>
    </w:p>
    <w:p w14:paraId="33399F8A" w14:textId="77777777" w:rsidR="00B5770D" w:rsidRPr="004255AB" w:rsidRDefault="00A31B8F" w:rsidP="00A31B8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03513">
        <w:rPr>
          <w:rFonts w:ascii="Sylfaen" w:hAnsi="Sylfaen"/>
          <w:sz w:val="24"/>
          <w:szCs w:val="24"/>
          <w:lang w:val="ka-GE"/>
        </w:rPr>
        <w:t>ყავისფერი,</w:t>
      </w:r>
      <w:r w:rsidRPr="004255AB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6341C">
        <w:rPr>
          <w:rFonts w:ascii="Sylfaen" w:hAnsi="Sylfaen" w:cs="Sylfaen"/>
          <w:sz w:val="24"/>
          <w:szCs w:val="24"/>
          <w:lang w:val="ka-GE"/>
        </w:rPr>
        <w:t>მრგვალი ფორმის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4255AB">
        <w:rPr>
          <w:rFonts w:ascii="Sylfaen" w:hAnsi="Sylfaen" w:cs="Sylfaen"/>
          <w:sz w:val="24"/>
          <w:szCs w:val="24"/>
          <w:lang w:val="ka-GE"/>
        </w:rPr>
        <w:t xml:space="preserve">ორმხრივამოზნექილი, </w:t>
      </w:r>
      <w:r>
        <w:rPr>
          <w:rFonts w:ascii="Sylfaen" w:hAnsi="Sylfaen" w:cs="Sylfaen"/>
          <w:sz w:val="24"/>
          <w:szCs w:val="24"/>
          <w:lang w:val="ka-GE"/>
        </w:rPr>
        <w:t>შემოგარსული</w:t>
      </w:r>
      <w:r w:rsidRPr="004255AB">
        <w:rPr>
          <w:rFonts w:ascii="Sylfaen" w:hAnsi="Sylfaen" w:cs="Sylfaen"/>
          <w:sz w:val="24"/>
          <w:szCs w:val="24"/>
          <w:lang w:val="ka-GE"/>
        </w:rPr>
        <w:t xml:space="preserve"> ტაბლეტ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4255AB">
        <w:rPr>
          <w:rFonts w:ascii="Sylfaen" w:hAnsi="Sylfaen" w:cs="Sylfaen"/>
          <w:sz w:val="24"/>
          <w:szCs w:val="24"/>
          <w:lang w:val="ka-GE"/>
        </w:rPr>
        <w:t>ი</w:t>
      </w:r>
      <w:r>
        <w:rPr>
          <w:rFonts w:ascii="Sylfaen" w:hAnsi="Sylfaen" w:cs="Sylfaen"/>
          <w:sz w:val="24"/>
          <w:szCs w:val="24"/>
        </w:rPr>
        <w:t>,</w:t>
      </w:r>
      <w:r w:rsidRPr="004255AB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ორივე </w:t>
      </w:r>
      <w:r w:rsidRPr="004255AB">
        <w:rPr>
          <w:rFonts w:ascii="Sylfaen" w:hAnsi="Sylfaen" w:cs="Sylfaen"/>
          <w:sz w:val="24"/>
          <w:szCs w:val="24"/>
          <w:lang w:val="ka-GE"/>
        </w:rPr>
        <w:t>მხარეს გლუვი ზედაპირით.</w:t>
      </w:r>
    </w:p>
    <w:p w14:paraId="44AA322C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კლინიკური მონაცემები</w:t>
      </w:r>
    </w:p>
    <w:p w14:paraId="50538EEF" w14:textId="77777777" w:rsidR="00B5770D" w:rsidRDefault="007B52BE" w:rsidP="00165EC8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4255AB">
        <w:rPr>
          <w:rFonts w:ascii="Sylfaen" w:hAnsi="Sylfaen" w:cs="Sylfaen"/>
          <w:b/>
          <w:bCs/>
          <w:sz w:val="24"/>
          <w:szCs w:val="24"/>
          <w:lang w:val="ka-GE"/>
        </w:rPr>
        <w:t xml:space="preserve">უსაფრთხოების </w:t>
      </w:r>
      <w:r w:rsidR="00B5770D" w:rsidRPr="004255AB">
        <w:rPr>
          <w:rFonts w:ascii="Sylfaen" w:hAnsi="Sylfaen" w:cs="Sylfaen"/>
          <w:b/>
          <w:bCs/>
          <w:sz w:val="24"/>
          <w:szCs w:val="24"/>
          <w:lang w:val="ka-GE"/>
        </w:rPr>
        <w:t>პრეკლინიკური მონაცემები</w:t>
      </w:r>
    </w:p>
    <w:p w14:paraId="309F5592" w14:textId="77777777" w:rsidR="00A04DCE" w:rsidRDefault="00C224FA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C224FA">
        <w:rPr>
          <w:rFonts w:ascii="Sylfaen" w:hAnsi="Sylfaen"/>
          <w:sz w:val="24"/>
          <w:szCs w:val="24"/>
          <w:lang w:val="ka-GE"/>
        </w:rPr>
        <w:t>უსაფრთხოების ფარმაკოლოგიის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032148" w:rsidRPr="00032148">
        <w:rPr>
          <w:rFonts w:ascii="Sylfaen" w:hAnsi="Sylfaen"/>
          <w:sz w:val="24"/>
          <w:szCs w:val="24"/>
          <w:lang w:val="ka-GE"/>
        </w:rPr>
        <w:t xml:space="preserve">განმეორებითი </w:t>
      </w:r>
      <w:r w:rsidR="00A04DCE">
        <w:rPr>
          <w:rFonts w:ascii="Sylfaen" w:hAnsi="Sylfaen"/>
          <w:sz w:val="24"/>
          <w:szCs w:val="24"/>
          <w:lang w:val="ka-GE"/>
        </w:rPr>
        <w:t>დოზის</w:t>
      </w:r>
      <w:r w:rsidR="00A04DCE">
        <w:rPr>
          <w:rFonts w:ascii="Sylfaen" w:hAnsi="Sylfaen"/>
          <w:sz w:val="24"/>
          <w:szCs w:val="24"/>
        </w:rPr>
        <w:t xml:space="preserve"> </w:t>
      </w:r>
      <w:r w:rsidR="00032148" w:rsidRPr="00032148">
        <w:rPr>
          <w:rFonts w:ascii="Sylfaen" w:hAnsi="Sylfaen"/>
          <w:sz w:val="24"/>
          <w:szCs w:val="24"/>
          <w:lang w:val="ka-GE"/>
        </w:rPr>
        <w:t>ტოქსიკურობის, გენოტოქსიკურობისა და კანცეროგენული პოტენციალის ტრადიციულ კვლევებზე დაფუძნებული პრეკლინიკური მონაცემები არ ავლენს რაიმე განსაკუთრებულ საფრთხეს ადამიანისთვის.</w:t>
      </w:r>
      <w:r w:rsidR="00032148">
        <w:rPr>
          <w:rFonts w:ascii="Sylfaen" w:hAnsi="Sylfaen"/>
          <w:sz w:val="24"/>
          <w:szCs w:val="24"/>
          <w:lang w:val="ka-GE"/>
        </w:rPr>
        <w:t xml:space="preserve"> </w:t>
      </w:r>
    </w:p>
    <w:p w14:paraId="6BA28758" w14:textId="77777777" w:rsidR="00F312F8" w:rsidRDefault="00032148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32148">
        <w:rPr>
          <w:rFonts w:ascii="Sylfaen" w:hAnsi="Sylfaen"/>
          <w:sz w:val="24"/>
          <w:szCs w:val="24"/>
          <w:lang w:val="ka-GE"/>
        </w:rPr>
        <w:t>მოქსონიდინის 52 კვირის განმავლობაში ხანგრძლივი პერორალური გამოყენებისას ვირთხებსა (0.12-4 მგ/კგ დოზით) და ძაღლებში (0.04-0.4 მგ/კგ დოზით), მნიშვნელოვანი ეფექტები მხოლოდ ყველაზე დიდი დოზების გამოყენებისას აღინიშნა.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32148">
        <w:rPr>
          <w:rFonts w:ascii="Sylfaen" w:hAnsi="Sylfaen"/>
          <w:sz w:val="24"/>
          <w:szCs w:val="24"/>
          <w:lang w:val="ka-GE"/>
        </w:rPr>
        <w:t>დიდი დოზის გამოყენებისას ვირთხებში დაფიქსირდა ელექტროლიტური ბალანსის უმნიშვნელო დარღვევები (სისხლში ნატრიუმის შემცირება და კალიუმის, შარდოვანას და კრეატინინის მომატება), ხოლო ღებინება და სალივაცია დაფიქსირდა მხოლოდ დიდი დოზის გამოყენებისას ძაღლებში.</w:t>
      </w:r>
      <w:r w:rsidR="00A04DCE">
        <w:rPr>
          <w:rFonts w:ascii="Sylfaen" w:hAnsi="Sylfaen"/>
          <w:sz w:val="24"/>
          <w:szCs w:val="24"/>
          <w:lang w:val="ka-GE"/>
        </w:rPr>
        <w:t xml:space="preserve"> </w:t>
      </w:r>
      <w:r w:rsidR="00352A23" w:rsidRPr="00352A23">
        <w:rPr>
          <w:rFonts w:ascii="Sylfaen" w:hAnsi="Sylfaen"/>
          <w:sz w:val="24"/>
          <w:szCs w:val="24"/>
          <w:lang w:val="ka-GE"/>
        </w:rPr>
        <w:t>გარდა ამისა, ორივე სახეობაში, დიდი დოზების გამოყენებისას, დაფიქსირდა ღვიძლის წონის უმნიშვნელო მატება.</w:t>
      </w:r>
    </w:p>
    <w:p w14:paraId="552F3BD8" w14:textId="77777777" w:rsidR="00CB5C14" w:rsidRDefault="00CB5C1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CB5C14">
        <w:rPr>
          <w:rFonts w:ascii="Sylfaen" w:hAnsi="Sylfaen"/>
          <w:sz w:val="24"/>
          <w:szCs w:val="24"/>
          <w:lang w:val="ka-GE"/>
        </w:rPr>
        <w:t>რეპროდუქციული ტოქსიკურობის კვლევებმა არ აჩვენა გავლენა ნაყოფიერებაზე და ტერატოგენული პოტენციალი.</w:t>
      </w:r>
      <w:r w:rsidR="00F26244">
        <w:rPr>
          <w:rFonts w:ascii="Sylfaen" w:hAnsi="Sylfaen"/>
          <w:sz w:val="24"/>
          <w:szCs w:val="24"/>
          <w:lang w:val="ka-GE"/>
        </w:rPr>
        <w:t xml:space="preserve"> </w:t>
      </w:r>
      <w:r w:rsidR="00F26244" w:rsidRPr="00F26244">
        <w:rPr>
          <w:rFonts w:ascii="Sylfaen" w:hAnsi="Sylfaen"/>
          <w:sz w:val="24"/>
          <w:szCs w:val="24"/>
          <w:lang w:val="ka-GE"/>
        </w:rPr>
        <w:t>ემბრიონის/ნაყოფის ტოქსიკურობა დაფიქსირდა დედის ორგანიზმისთვის ტოქსიკური დოზების გამოყენებისას.</w:t>
      </w:r>
    </w:p>
    <w:p w14:paraId="1017B77F" w14:textId="77777777" w:rsidR="00F26244" w:rsidRPr="00032148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F26244">
        <w:rPr>
          <w:rFonts w:ascii="Sylfaen" w:hAnsi="Sylfaen"/>
          <w:sz w:val="24"/>
          <w:szCs w:val="24"/>
          <w:lang w:val="ka-GE"/>
        </w:rPr>
        <w:t>ვირთხებში</w:t>
      </w:r>
      <w:r w:rsidR="00A04DCE">
        <w:rPr>
          <w:rFonts w:ascii="Sylfaen" w:hAnsi="Sylfaen"/>
          <w:sz w:val="24"/>
          <w:szCs w:val="24"/>
          <w:lang w:val="ka-GE"/>
        </w:rPr>
        <w:t xml:space="preserve"> </w:t>
      </w:r>
      <w:r w:rsidR="00A31B8F" w:rsidRPr="00F26244">
        <w:rPr>
          <w:rFonts w:ascii="Sylfaen" w:hAnsi="Sylfaen"/>
          <w:sz w:val="24"/>
          <w:szCs w:val="24"/>
          <w:lang w:val="ka-GE"/>
        </w:rPr>
        <w:t>დღეში</w:t>
      </w:r>
      <w:r w:rsidR="00A31B8F">
        <w:rPr>
          <w:rFonts w:ascii="Sylfaen" w:hAnsi="Sylfaen"/>
          <w:sz w:val="24"/>
          <w:szCs w:val="24"/>
          <w:lang w:val="ka-GE"/>
        </w:rPr>
        <w:t xml:space="preserve"> </w:t>
      </w:r>
      <w:r w:rsidR="00A04DCE">
        <w:rPr>
          <w:rFonts w:ascii="Sylfaen" w:hAnsi="Sylfaen"/>
          <w:sz w:val="24"/>
          <w:szCs w:val="24"/>
          <w:lang w:val="ka-GE"/>
        </w:rPr>
        <w:t>2</w:t>
      </w:r>
      <w:r w:rsidRPr="00F26244">
        <w:rPr>
          <w:rFonts w:ascii="Sylfaen" w:hAnsi="Sylfaen"/>
          <w:sz w:val="24"/>
          <w:szCs w:val="24"/>
          <w:lang w:val="ka-GE"/>
        </w:rPr>
        <w:t>მგ/კგ</w:t>
      </w:r>
      <w:r w:rsidR="00A31B8F">
        <w:rPr>
          <w:rFonts w:ascii="Sylfaen" w:hAnsi="Sylfaen"/>
          <w:sz w:val="24"/>
          <w:szCs w:val="24"/>
          <w:lang w:val="ka-GE"/>
        </w:rPr>
        <w:t>-ზე</w:t>
      </w:r>
      <w:r w:rsidRPr="00F26244">
        <w:rPr>
          <w:rFonts w:ascii="Sylfaen" w:hAnsi="Sylfaen"/>
          <w:sz w:val="24"/>
          <w:szCs w:val="24"/>
          <w:lang w:val="ka-GE"/>
        </w:rPr>
        <w:t xml:space="preserve"> </w:t>
      </w:r>
      <w:r w:rsidR="00963C88">
        <w:rPr>
          <w:rFonts w:ascii="Sylfaen" w:hAnsi="Sylfaen"/>
          <w:sz w:val="24"/>
          <w:szCs w:val="24"/>
          <w:lang w:val="ka-GE"/>
        </w:rPr>
        <w:t>დიდი</w:t>
      </w:r>
      <w:r w:rsidRPr="00F26244">
        <w:rPr>
          <w:rFonts w:ascii="Sylfaen" w:hAnsi="Sylfaen"/>
          <w:sz w:val="24"/>
          <w:szCs w:val="24"/>
          <w:lang w:val="ka-GE"/>
        </w:rPr>
        <w:t xml:space="preserve"> დოზ</w:t>
      </w:r>
      <w:r w:rsidR="00963C88">
        <w:rPr>
          <w:rFonts w:ascii="Sylfaen" w:hAnsi="Sylfaen"/>
          <w:sz w:val="24"/>
          <w:szCs w:val="24"/>
          <w:lang w:val="ka-GE"/>
        </w:rPr>
        <w:t>ებ</w:t>
      </w:r>
      <w:r w:rsidRPr="00F26244">
        <w:rPr>
          <w:rFonts w:ascii="Sylfaen" w:hAnsi="Sylfaen"/>
          <w:sz w:val="24"/>
          <w:szCs w:val="24"/>
          <w:lang w:val="ka-GE"/>
        </w:rPr>
        <w:t>ით და ბოცვრებში</w:t>
      </w:r>
      <w:r w:rsidR="00A04DCE">
        <w:rPr>
          <w:rFonts w:ascii="Sylfaen" w:hAnsi="Sylfaen"/>
          <w:sz w:val="24"/>
          <w:szCs w:val="24"/>
          <w:lang w:val="ka-GE"/>
        </w:rPr>
        <w:t xml:space="preserve"> </w:t>
      </w:r>
      <w:r w:rsidR="00A31B8F" w:rsidRPr="00F26244">
        <w:rPr>
          <w:rFonts w:ascii="Sylfaen" w:hAnsi="Sylfaen"/>
          <w:sz w:val="24"/>
          <w:szCs w:val="24"/>
          <w:lang w:val="ka-GE"/>
        </w:rPr>
        <w:t>დღეში</w:t>
      </w:r>
      <w:r w:rsidR="00A31B8F">
        <w:rPr>
          <w:rFonts w:ascii="Sylfaen" w:hAnsi="Sylfaen"/>
          <w:sz w:val="24"/>
          <w:szCs w:val="24"/>
          <w:lang w:val="ka-GE"/>
        </w:rPr>
        <w:t xml:space="preserve"> </w:t>
      </w:r>
      <w:r w:rsidR="00A04DCE">
        <w:rPr>
          <w:rFonts w:ascii="Sylfaen" w:hAnsi="Sylfaen"/>
          <w:sz w:val="24"/>
          <w:szCs w:val="24"/>
          <w:lang w:val="ka-GE"/>
        </w:rPr>
        <w:t>0.7</w:t>
      </w:r>
      <w:r w:rsidRPr="00F26244">
        <w:rPr>
          <w:rFonts w:ascii="Sylfaen" w:hAnsi="Sylfaen"/>
          <w:sz w:val="24"/>
          <w:szCs w:val="24"/>
          <w:lang w:val="ka-GE"/>
        </w:rPr>
        <w:t>მგ/კგ</w:t>
      </w:r>
      <w:r w:rsidR="00A31B8F">
        <w:rPr>
          <w:rFonts w:ascii="Sylfaen" w:hAnsi="Sylfaen"/>
          <w:sz w:val="24"/>
          <w:szCs w:val="24"/>
          <w:lang w:val="ka-GE"/>
        </w:rPr>
        <w:t>-ზე</w:t>
      </w:r>
      <w:r w:rsidRPr="00F26244">
        <w:rPr>
          <w:rFonts w:ascii="Sylfaen" w:hAnsi="Sylfaen"/>
          <w:sz w:val="24"/>
          <w:szCs w:val="24"/>
          <w:lang w:val="ka-GE"/>
        </w:rPr>
        <w:t xml:space="preserve"> </w:t>
      </w:r>
      <w:r w:rsidR="00963C88">
        <w:rPr>
          <w:rFonts w:ascii="Sylfaen" w:hAnsi="Sylfaen"/>
          <w:sz w:val="24"/>
          <w:szCs w:val="24"/>
          <w:lang w:val="ka-GE"/>
        </w:rPr>
        <w:t>დიდი</w:t>
      </w:r>
      <w:r w:rsidR="00963C88" w:rsidRPr="00F26244">
        <w:rPr>
          <w:rFonts w:ascii="Sylfaen" w:hAnsi="Sylfaen"/>
          <w:sz w:val="24"/>
          <w:szCs w:val="24"/>
          <w:lang w:val="ka-GE"/>
        </w:rPr>
        <w:t xml:space="preserve"> დოზ</w:t>
      </w:r>
      <w:r w:rsidR="00963C88">
        <w:rPr>
          <w:rFonts w:ascii="Sylfaen" w:hAnsi="Sylfaen"/>
          <w:sz w:val="24"/>
          <w:szCs w:val="24"/>
          <w:lang w:val="ka-GE"/>
        </w:rPr>
        <w:t>ებ</w:t>
      </w:r>
      <w:r w:rsidR="00963C88" w:rsidRPr="00F26244">
        <w:rPr>
          <w:rFonts w:ascii="Sylfaen" w:hAnsi="Sylfaen"/>
          <w:sz w:val="24"/>
          <w:szCs w:val="24"/>
          <w:lang w:val="ka-GE"/>
        </w:rPr>
        <w:t xml:space="preserve">ით </w:t>
      </w:r>
      <w:r w:rsidRPr="00F26244">
        <w:rPr>
          <w:rFonts w:ascii="Sylfaen" w:hAnsi="Sylfaen"/>
          <w:sz w:val="24"/>
          <w:szCs w:val="24"/>
          <w:lang w:val="ka-GE"/>
        </w:rPr>
        <w:t>გამოყენებისას აღინიშნა ემბრიონის/ნაყოფის დაკარგვის და საშვილოსნოსშიდა ზრდა-განვითარების შეფერხების ზრდა.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F26244">
        <w:rPr>
          <w:rFonts w:ascii="Sylfaen" w:hAnsi="Sylfaen"/>
          <w:sz w:val="24"/>
          <w:szCs w:val="24"/>
          <w:lang w:val="ka-GE"/>
        </w:rPr>
        <w:t xml:space="preserve">ვირთხებზე ჩატარებულ პერი- და პოსტნატალურ კვლევაში, </w:t>
      </w:r>
      <w:r w:rsidR="00A31B8F" w:rsidRPr="00F26244">
        <w:rPr>
          <w:rFonts w:ascii="Sylfaen" w:hAnsi="Sylfaen"/>
          <w:sz w:val="24"/>
          <w:szCs w:val="24"/>
          <w:lang w:val="ka-GE"/>
        </w:rPr>
        <w:t>დღეში</w:t>
      </w:r>
      <w:r w:rsidR="00A31B8F">
        <w:rPr>
          <w:rFonts w:ascii="Sylfaen" w:hAnsi="Sylfaen"/>
          <w:sz w:val="24"/>
          <w:szCs w:val="24"/>
          <w:lang w:val="ka-GE"/>
        </w:rPr>
        <w:t xml:space="preserve"> 1</w:t>
      </w:r>
      <w:r w:rsidRPr="00F26244">
        <w:rPr>
          <w:rFonts w:ascii="Sylfaen" w:hAnsi="Sylfaen"/>
          <w:sz w:val="24"/>
          <w:szCs w:val="24"/>
          <w:lang w:val="ka-GE"/>
        </w:rPr>
        <w:t>მგ/კგ</w:t>
      </w:r>
      <w:r w:rsidR="00A31B8F">
        <w:rPr>
          <w:rFonts w:ascii="Sylfaen" w:hAnsi="Sylfaen"/>
          <w:sz w:val="24"/>
          <w:szCs w:val="24"/>
          <w:lang w:val="ka-GE"/>
        </w:rPr>
        <w:t>-ზე</w:t>
      </w:r>
      <w:r w:rsidRPr="00F26244">
        <w:rPr>
          <w:rFonts w:ascii="Sylfaen" w:hAnsi="Sylfaen"/>
          <w:sz w:val="24"/>
          <w:szCs w:val="24"/>
          <w:lang w:val="ka-GE"/>
        </w:rPr>
        <w:t xml:space="preserve"> </w:t>
      </w:r>
      <w:r w:rsidR="00963C88">
        <w:rPr>
          <w:rFonts w:ascii="Sylfaen" w:hAnsi="Sylfaen"/>
          <w:sz w:val="24"/>
          <w:szCs w:val="24"/>
          <w:lang w:val="ka-GE"/>
        </w:rPr>
        <w:t>დიდი</w:t>
      </w:r>
      <w:r w:rsidRPr="00F26244">
        <w:rPr>
          <w:rFonts w:ascii="Sylfaen" w:hAnsi="Sylfaen"/>
          <w:sz w:val="24"/>
          <w:szCs w:val="24"/>
          <w:lang w:val="ka-GE"/>
        </w:rPr>
        <w:t xml:space="preserve"> დოზ</w:t>
      </w:r>
      <w:r w:rsidR="00963C88">
        <w:rPr>
          <w:rFonts w:ascii="Sylfaen" w:hAnsi="Sylfaen"/>
          <w:sz w:val="24"/>
          <w:szCs w:val="24"/>
          <w:lang w:val="ka-GE"/>
        </w:rPr>
        <w:t>ებ</w:t>
      </w:r>
      <w:r w:rsidRPr="00F26244">
        <w:rPr>
          <w:rFonts w:ascii="Sylfaen" w:hAnsi="Sylfaen"/>
          <w:sz w:val="24"/>
          <w:szCs w:val="24"/>
          <w:lang w:val="ka-GE"/>
        </w:rPr>
        <w:t>ი</w:t>
      </w:r>
      <w:r w:rsidR="00A04DCE">
        <w:rPr>
          <w:rFonts w:ascii="Sylfaen" w:hAnsi="Sylfaen"/>
          <w:sz w:val="24"/>
          <w:szCs w:val="24"/>
          <w:lang w:val="ka-GE"/>
        </w:rPr>
        <w:t>ს</w:t>
      </w:r>
      <w:r w:rsidRPr="00F26244">
        <w:rPr>
          <w:rFonts w:ascii="Sylfaen" w:hAnsi="Sylfaen"/>
          <w:sz w:val="24"/>
          <w:szCs w:val="24"/>
          <w:lang w:val="ka-GE"/>
        </w:rPr>
        <w:t xml:space="preserve"> </w:t>
      </w:r>
      <w:r w:rsidR="00A04DCE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F26244">
        <w:rPr>
          <w:rFonts w:ascii="Sylfaen" w:hAnsi="Sylfaen"/>
          <w:sz w:val="24"/>
          <w:szCs w:val="24"/>
          <w:lang w:val="ka-GE"/>
        </w:rPr>
        <w:t xml:space="preserve"> დაფიქსირდა სხეულის წონის, სიცოცხლისუნარიანობის შემცირება და განვითარების შეფერხება.</w:t>
      </w:r>
    </w:p>
    <w:p w14:paraId="78E7376F" w14:textId="77777777" w:rsidR="00F26244" w:rsidRDefault="00B5770D" w:rsidP="00165EC8">
      <w:pPr>
        <w:pStyle w:val="ListParagraph"/>
        <w:numPr>
          <w:ilvl w:val="1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E6474">
        <w:rPr>
          <w:rFonts w:ascii="Sylfaen" w:hAnsi="Sylfaen" w:cs="Sylfaen"/>
          <w:b/>
          <w:bCs/>
          <w:sz w:val="24"/>
          <w:szCs w:val="24"/>
          <w:lang w:val="ka-GE"/>
        </w:rPr>
        <w:t>თერაპიული ჩვენებები</w:t>
      </w:r>
    </w:p>
    <w:p w14:paraId="59469548" w14:textId="77777777" w:rsidR="00F26244" w:rsidRPr="00F26244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26244">
        <w:rPr>
          <w:rFonts w:ascii="Sylfaen" w:hAnsi="Sylfaen"/>
          <w:sz w:val="24"/>
          <w:szCs w:val="24"/>
          <w:lang w:val="ka-GE"/>
        </w:rPr>
        <w:t>მოქსონიდინი</w:t>
      </w:r>
      <w:r w:rsidRPr="00F26244">
        <w:rPr>
          <w:rFonts w:ascii="Sylfaen" w:hAnsi="Sylfaen"/>
          <w:sz w:val="24"/>
          <w:szCs w:val="24"/>
        </w:rPr>
        <w:t xml:space="preserve"> </w:t>
      </w:r>
      <w:r w:rsidRPr="00F26244">
        <w:rPr>
          <w:rFonts w:ascii="Sylfaen" w:hAnsi="Sylfaen"/>
          <w:sz w:val="24"/>
          <w:szCs w:val="24"/>
          <w:lang w:val="ka-GE"/>
        </w:rPr>
        <w:t xml:space="preserve">ინიშნება </w:t>
      </w:r>
      <w:r w:rsidRPr="00F26244">
        <w:rPr>
          <w:rFonts w:ascii="Sylfaen" w:hAnsi="Sylfaen" w:cs="Sylfaen"/>
          <w:sz w:val="24"/>
          <w:szCs w:val="24"/>
          <w:lang w:val="ka-GE"/>
        </w:rPr>
        <w:t>მსუბუქი და საშუალო სიმძიმის ესენციური ჰიპერტენზიის დროს.</w:t>
      </w:r>
    </w:p>
    <w:p w14:paraId="03D9E405" w14:textId="77777777" w:rsidR="00B5770D" w:rsidRPr="008B07E3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B07E3">
        <w:rPr>
          <w:rFonts w:ascii="Sylfaen" w:hAnsi="Sylfaen" w:cs="Sylfaen"/>
          <w:b/>
          <w:bCs/>
          <w:sz w:val="24"/>
          <w:szCs w:val="24"/>
          <w:lang w:val="ka-GE"/>
        </w:rPr>
        <w:t>ფარმაკოდინამიური თვისებები</w:t>
      </w:r>
    </w:p>
    <w:p w14:paraId="590D46C4" w14:textId="77777777" w:rsidR="00040917" w:rsidRDefault="00F26244" w:rsidP="00165EC8">
      <w:pPr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040917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 თვისებები</w:t>
      </w:r>
    </w:p>
    <w:p w14:paraId="6D60BAD2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/>
          <w:b/>
          <w:sz w:val="24"/>
          <w:szCs w:val="24"/>
          <w:lang w:val="ka-GE"/>
        </w:rPr>
        <w:t>ფარმაკოთერაპიული   ჯგუფი:</w:t>
      </w:r>
      <w:r w:rsidRPr="00040917">
        <w:rPr>
          <w:rFonts w:ascii="Sylfaen" w:hAnsi="Sylfaen"/>
          <w:sz w:val="24"/>
          <w:szCs w:val="24"/>
          <w:lang w:val="ka-GE"/>
        </w:rPr>
        <w:t xml:space="preserve">   ანტიჰიპერტენზიული საშუალებები, ცენტრალური მოქმედების ანტიადრენერგული საშუალებები.</w:t>
      </w:r>
    </w:p>
    <w:p w14:paraId="32EC0087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b/>
          <w:sz w:val="24"/>
          <w:szCs w:val="24"/>
          <w:lang w:val="ka-GE"/>
        </w:rPr>
        <w:lastRenderedPageBreak/>
        <w:t>ათქ კოდი:</w:t>
      </w:r>
      <w:r w:rsidRPr="0004091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40917">
        <w:rPr>
          <w:rFonts w:ascii="Sylfaen" w:hAnsi="Sylfaen" w:cs="Sylfaen"/>
          <w:sz w:val="24"/>
          <w:szCs w:val="24"/>
        </w:rPr>
        <w:t>C02AC05</w:t>
      </w:r>
    </w:p>
    <w:p w14:paraId="22DD06CC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/>
          <w:sz w:val="24"/>
          <w:szCs w:val="24"/>
          <w:lang w:val="ka-GE"/>
        </w:rPr>
        <w:t>მოქსონიდინი სხვადასხვა ცხოველურ მოდელებში ძლიერი ანტიჰიპერტენზიული საშუალება აღმოჩნდა. არსებული ექსპერიმენტული მონაცემები მიუთითებს, რომ მოქსონიდინის</w:t>
      </w:r>
      <w:r w:rsidR="00040917">
        <w:rPr>
          <w:rFonts w:ascii="Sylfaen" w:hAnsi="Sylfaen"/>
          <w:sz w:val="24"/>
          <w:szCs w:val="24"/>
          <w:lang w:val="ka-GE"/>
        </w:rPr>
        <w:t xml:space="preserve"> </w:t>
      </w:r>
      <w:r w:rsidRPr="00040917">
        <w:rPr>
          <w:rFonts w:ascii="Sylfaen" w:hAnsi="Sylfaen"/>
          <w:sz w:val="24"/>
          <w:szCs w:val="24"/>
          <w:lang w:val="ka-GE"/>
        </w:rPr>
        <w:t>ანტიჰიპერტენზიული მოქმედების ადგილი არის ცენტრალური ნერვული სისტემა (ცნს).</w:t>
      </w:r>
    </w:p>
    <w:p w14:paraId="145A8C17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sz w:val="24"/>
          <w:szCs w:val="24"/>
          <w:lang w:val="ka-GE"/>
        </w:rPr>
        <w:t>მოქსონიდინი შერჩევითად უკავშირდება I1-იმიდაზოლინურ რეცეპტორებს ტვინის ღეროში. აღნიშნული იმიდაზოლინის მიმართ მგრძნობიარე რეცეპტორები ძირითადად გვხვდება როსტრალურ ვენტროლატერალურ მედულაში, რომელიც მნიშვნელოვან როლს ასრულებს სიმპათიკური ნერვული სისტემის ცენტრალურ კონტროლში.</w:t>
      </w:r>
      <w:r w:rsidRPr="00040917">
        <w:rPr>
          <w:rFonts w:ascii="Sylfaen" w:hAnsi="Sylfaen" w:cs="Sylfaen"/>
          <w:sz w:val="24"/>
          <w:szCs w:val="24"/>
        </w:rPr>
        <w:t xml:space="preserve"> </w:t>
      </w:r>
      <w:r w:rsidRPr="00040917">
        <w:rPr>
          <w:rFonts w:ascii="Sylfaen" w:hAnsi="Sylfaen" w:cs="Sylfaen"/>
          <w:sz w:val="24"/>
          <w:szCs w:val="24"/>
          <w:lang w:val="ka-GE"/>
        </w:rPr>
        <w:t>I1-იმიდაზოლინის რეცეპტორებზე ამ ეფექტის შედეგად მცირდება სიმპათიკური აქტივობა (დაფიქსირდა გულის, სპლანქნიკური და თირკმლის სიმპათიკურ ნერვებში).</w:t>
      </w:r>
    </w:p>
    <w:p w14:paraId="70BD08DF" w14:textId="77777777" w:rsid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sz w:val="24"/>
          <w:szCs w:val="24"/>
          <w:lang w:val="ka-GE"/>
        </w:rPr>
        <w:t xml:space="preserve">მოქსონიდინი განსხვავდება სხვა ცენტრალური მოქმედების ანტიჰიპერტენზიული საშუალებებისგან იმით, რომ მას აქვს მხოლოდ სუსტი აფინურობა ცენტრალური </w:t>
      </w:r>
      <w:r w:rsidR="00A04DCE">
        <w:rPr>
          <w:rFonts w:ascii="Sylfaen" w:hAnsi="Sylfaen" w:cs="Sylfaen"/>
          <w:sz w:val="24"/>
          <w:szCs w:val="24"/>
          <w:lang w:val="ka-GE"/>
        </w:rPr>
        <w:t>&lt;</w:t>
      </w:r>
      <w:r w:rsidRPr="00040917">
        <w:rPr>
          <w:rFonts w:ascii="Sylfaen" w:hAnsi="Sylfaen" w:cs="Sylfaen"/>
          <w:sz w:val="24"/>
          <w:szCs w:val="24"/>
          <w:lang w:val="ka-GE"/>
        </w:rPr>
        <w:t>x2</w:t>
      </w:r>
      <w:r w:rsidRPr="00040917">
        <w:rPr>
          <w:rFonts w:ascii="Sylfaen" w:hAnsi="Sylfaen" w:cs="Sylfaen"/>
          <w:sz w:val="24"/>
          <w:szCs w:val="24"/>
        </w:rPr>
        <w:t>-</w:t>
      </w:r>
      <w:r w:rsidRPr="00040917">
        <w:rPr>
          <w:rFonts w:ascii="Sylfaen" w:hAnsi="Sylfaen" w:cs="Sylfaen"/>
          <w:sz w:val="24"/>
          <w:szCs w:val="24"/>
          <w:lang w:val="ka-GE"/>
        </w:rPr>
        <w:t>ადრენორეცეპტორების მიმართ, I1-იმიდაზოლინის რეცეპტორების მიმართ აფინურობასთან შედარებით. ალფა-2-ადრენორეცეპტორები ითვლება სედაციისა და პირის სიმშრალის გამომწვევ მედიატორებად, რომლებიც ცენტრალური მოქმედების ანტიჰიპერტენზიული საშუალებების ყველაზე ხშირად დაფიქსირებული გვერდითი მოვლენებია.</w:t>
      </w:r>
    </w:p>
    <w:p w14:paraId="1F0A4DE5" w14:textId="77777777" w:rsidR="00A24A46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sz w:val="24"/>
          <w:szCs w:val="24"/>
          <w:lang w:val="ka-GE"/>
        </w:rPr>
        <w:t>საშუალო სისტოლური და დიასტოლური არტერიული წნევა მცირდება როგორც მოსვენების მდგომარეობაში, ასევე ფიზიკური აქტივობის დროს. მოქსონიდინის გავლენა სიკვდილიანობასა და გულ-სისხლძარღვთა დაავადებებზე უცნობია</w:t>
      </w:r>
      <w:r w:rsidR="00E10B8A">
        <w:rPr>
          <w:rFonts w:ascii="Sylfaen" w:hAnsi="Sylfaen" w:cs="Sylfaen"/>
          <w:sz w:val="24"/>
          <w:szCs w:val="24"/>
          <w:lang w:val="ka-GE"/>
        </w:rPr>
        <w:t>.</w:t>
      </w:r>
      <w:r w:rsidR="00040917">
        <w:rPr>
          <w:rFonts w:ascii="Sylfaen" w:hAnsi="Sylfaen"/>
          <w:sz w:val="24"/>
          <w:szCs w:val="24"/>
          <w:lang w:val="ka-GE"/>
        </w:rPr>
        <w:t xml:space="preserve"> </w:t>
      </w:r>
    </w:p>
    <w:p w14:paraId="695B1FD5" w14:textId="77777777" w:rsidR="00F26244" w:rsidRPr="00040917" w:rsidRDefault="00F26244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040917">
        <w:rPr>
          <w:rFonts w:ascii="Sylfaen" w:hAnsi="Sylfaen" w:cs="Sylfaen"/>
          <w:sz w:val="24"/>
          <w:szCs w:val="24"/>
          <w:lang w:val="ka-GE"/>
        </w:rPr>
        <w:t>ადამიანებში მოქსონიდინი იწვევს სისხლძარღვთა საერთო პერიფერიული წინააღმდეგობის და შესაბამისად, არტერიული წნევის შემცირებას.</w:t>
      </w:r>
    </w:p>
    <w:p w14:paraId="67E11FD1" w14:textId="77777777" w:rsidR="00040917" w:rsidRPr="00040917" w:rsidRDefault="00040917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40917">
        <w:rPr>
          <w:rFonts w:ascii="Sylfaen" w:hAnsi="Sylfaen" w:cs="Sylfaen"/>
          <w:b/>
          <w:bCs/>
          <w:sz w:val="24"/>
          <w:szCs w:val="24"/>
          <w:lang w:val="ka-GE"/>
        </w:rPr>
        <w:t>ფარმაკოკინეტიკური თვისებები</w:t>
      </w:r>
    </w:p>
    <w:p w14:paraId="428E9547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 xml:space="preserve">აბსორბცია </w:t>
      </w:r>
    </w:p>
    <w:p w14:paraId="7301A466" w14:textId="77777777" w:rsidR="00040917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 სწრაფად შეიწოვება პერორალური მიღების შემდეგ.</w:t>
      </w:r>
      <w:r w:rsidRPr="00040917">
        <w:rPr>
          <w:rFonts w:ascii="Sylfaen" w:hAnsi="Sylfaen" w:cs="Sylfaen"/>
          <w:sz w:val="24"/>
          <w:szCs w:val="24"/>
          <w:lang w:val="ka-GE"/>
        </w:rPr>
        <w:t xml:space="preserve"> ადამიანებში, პერორალური დოზის დაახლოებით 90% შეიწოვება.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საკვების მიღება არ მოქმედებს მოქსონიდინის ფარმაკოკინეტიკაზე.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პირველადი მეტაბოლიზმი არ ხდება და ბიოშეღწევადობა 88%-ია.</w:t>
      </w:r>
    </w:p>
    <w:p w14:paraId="210CD491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>განაწილება</w:t>
      </w:r>
    </w:p>
    <w:p w14:paraId="04438DBB" w14:textId="77777777" w:rsidR="00040917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 მხოლოდ დაახლოებით 7% უკავშირდება ადამიანის პლაზმ</w:t>
      </w:r>
      <w:r>
        <w:rPr>
          <w:rFonts w:ascii="Sylfaen" w:hAnsi="Sylfaen" w:cs="Sylfaen"/>
          <w:sz w:val="24"/>
          <w:szCs w:val="24"/>
          <w:lang w:val="ka-GE"/>
        </w:rPr>
        <w:t>ურ</w:t>
      </w:r>
      <w:r w:rsidRPr="00A96844">
        <w:rPr>
          <w:rFonts w:ascii="Sylfaen" w:hAnsi="Sylfaen" w:cs="Sylfaen"/>
          <w:sz w:val="24"/>
          <w:szCs w:val="24"/>
          <w:lang w:val="ka-GE"/>
        </w:rPr>
        <w:t xml:space="preserve"> ცილებს (Vdss = 1.8 ± 0.4 ლ/კგ).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96844">
        <w:rPr>
          <w:rFonts w:ascii="Sylfaen" w:hAnsi="Sylfaen" w:cs="Sylfaen"/>
          <w:sz w:val="24"/>
          <w:szCs w:val="24"/>
          <w:lang w:val="ka-GE"/>
        </w:rPr>
        <w:t>მოქსონიდინის მაქსიმალური კონცენტრაცია სისხლის პლაზმაში მიიღწევა შემოგარსული ტაბლეტის მიღებიდან 30-180 წუთის განმავლობაში.</w:t>
      </w:r>
    </w:p>
    <w:p w14:paraId="2EA0E440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</w:p>
    <w:p w14:paraId="6D613042" w14:textId="77777777" w:rsidR="00040917" w:rsidRPr="00BA32C6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37C77">
        <w:rPr>
          <w:rFonts w:ascii="Sylfaen" w:hAnsi="Sylfaen" w:cs="Sylfaen"/>
          <w:sz w:val="24"/>
          <w:szCs w:val="24"/>
          <w:lang w:val="ka-GE"/>
        </w:rPr>
        <w:t>მოქსონიდინის 10-20% მეტაბოლიზდება ძირითადად 4,5-დეჰიდრომოქსონიდინად და გუანიდინის წარმოებულებად იმიდაზოლინის რგოლის გახსნის გამო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37C77">
        <w:rPr>
          <w:rFonts w:ascii="Sylfaen" w:hAnsi="Sylfaen" w:cs="Sylfaen"/>
          <w:sz w:val="24"/>
          <w:szCs w:val="24"/>
          <w:lang w:val="ka-GE"/>
        </w:rPr>
        <w:t>4,5-დეჰიდრომოქსონიდინის ჰიპ</w:t>
      </w:r>
      <w:r>
        <w:rPr>
          <w:rFonts w:ascii="Sylfaen" w:hAnsi="Sylfaen" w:cs="Sylfaen"/>
          <w:sz w:val="24"/>
          <w:szCs w:val="24"/>
          <w:lang w:val="ka-GE"/>
        </w:rPr>
        <w:t>ო</w:t>
      </w:r>
      <w:r w:rsidRPr="00E37C77">
        <w:rPr>
          <w:rFonts w:ascii="Sylfaen" w:hAnsi="Sylfaen" w:cs="Sylfaen"/>
          <w:sz w:val="24"/>
          <w:szCs w:val="24"/>
          <w:lang w:val="ka-GE"/>
        </w:rPr>
        <w:t>ტენზიული ეფექტი მოქსონიდინის ეფექტის მხოლოდ 1/10-</w:t>
      </w:r>
      <w:r>
        <w:rPr>
          <w:rFonts w:ascii="Sylfaen" w:hAnsi="Sylfaen" w:cs="Sylfaen"/>
          <w:sz w:val="24"/>
          <w:szCs w:val="24"/>
          <w:lang w:val="ka-GE"/>
        </w:rPr>
        <w:t>ია</w:t>
      </w:r>
      <w:r w:rsidRPr="00E37C77">
        <w:rPr>
          <w:rFonts w:ascii="Sylfaen" w:hAnsi="Sylfaen" w:cs="Sylfaen"/>
          <w:sz w:val="24"/>
          <w:szCs w:val="24"/>
          <w:lang w:val="ka-GE"/>
        </w:rPr>
        <w:t>, ხოლო გუანიდინის წარმოებულის - 1/100-ზე ნაკლებ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37C77">
        <w:rPr>
          <w:rFonts w:ascii="Sylfaen" w:hAnsi="Sylfaen" w:cs="Sylfaen"/>
          <w:sz w:val="24"/>
          <w:szCs w:val="24"/>
          <w:lang w:val="ka-GE"/>
        </w:rPr>
        <w:t>.</w:t>
      </w:r>
    </w:p>
    <w:p w14:paraId="448538FB" w14:textId="77777777" w:rsidR="00040917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65EC8">
        <w:rPr>
          <w:rFonts w:ascii="Sylfaen" w:hAnsi="Sylfaen" w:cs="Sylfaen"/>
          <w:b/>
          <w:sz w:val="24"/>
          <w:szCs w:val="24"/>
          <w:lang w:val="ka-GE"/>
        </w:rPr>
        <w:t>ელიმინაცია</w:t>
      </w:r>
    </w:p>
    <w:p w14:paraId="45E7C954" w14:textId="77777777" w:rsidR="00F26244" w:rsidRPr="00165EC8" w:rsidRDefault="00040917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7A7D88">
        <w:rPr>
          <w:rFonts w:ascii="Sylfaen" w:hAnsi="Sylfaen" w:cs="Sylfaen"/>
          <w:sz w:val="24"/>
          <w:szCs w:val="24"/>
          <w:lang w:val="ka-GE"/>
        </w:rPr>
        <w:t>მოქსონიდინი და მისი მეტაბოლიტები თითქმის მთლიანად გამოიყოფა თირკმელებით.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დოზის 90%-ზე მეტი გამოიყოფა თირკმელებით მიღებიდან პირველი 24 საათის განმავლობაში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A7D88">
        <w:rPr>
          <w:rFonts w:ascii="Sylfaen" w:hAnsi="Sylfaen" w:cs="Sylfaen"/>
          <w:sz w:val="24"/>
          <w:szCs w:val="24"/>
          <w:lang w:val="ka-GE"/>
        </w:rPr>
        <w:t>მხოლოდ დაახლოებით 1% გამოიყოფა განავლით.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23F61">
        <w:rPr>
          <w:rFonts w:ascii="Sylfaen" w:hAnsi="Sylfaen" w:cs="Sylfaen"/>
          <w:sz w:val="24"/>
          <w:szCs w:val="24"/>
          <w:lang w:val="ka-GE"/>
        </w:rPr>
        <w:t xml:space="preserve">თირკმელებით უცვლელი მოქსონიდინის </w:t>
      </w:r>
      <w:r w:rsidRPr="00923F61">
        <w:rPr>
          <w:rFonts w:ascii="Sylfaen" w:hAnsi="Sylfaen" w:cs="Sylfaen"/>
          <w:sz w:val="24"/>
          <w:szCs w:val="24"/>
          <w:lang w:val="ka-GE"/>
        </w:rPr>
        <w:lastRenderedPageBreak/>
        <w:t>გამოყოფილი წილი დაახლოებით 50-75%-ია. პლაზმური საშუალო ნახევარგამოყოფის პერიოდია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2 –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3 სთ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 xml:space="preserve">, ხოლო </w:t>
      </w:r>
      <w:r w:rsidRPr="00F533FC">
        <w:rPr>
          <w:rFonts w:ascii="Sylfaen" w:hAnsi="Sylfaen" w:cs="Sylfaen"/>
          <w:sz w:val="24"/>
          <w:szCs w:val="24"/>
          <w:lang w:val="ka-GE"/>
        </w:rPr>
        <w:t xml:space="preserve">თირკმლისმიერი </w:t>
      </w:r>
      <w:r w:rsidRPr="00923F61">
        <w:rPr>
          <w:rFonts w:ascii="Sylfaen" w:hAnsi="Sylfaen" w:cs="Sylfaen"/>
          <w:sz w:val="24"/>
          <w:szCs w:val="24"/>
          <w:lang w:val="ka-GE"/>
        </w:rPr>
        <w:t xml:space="preserve">ნახევარგამოყოფის პერიოდი </w:t>
      </w:r>
      <w:r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923F61">
        <w:rPr>
          <w:rFonts w:ascii="Sylfaen" w:hAnsi="Sylfaen" w:cs="Sylfaen"/>
          <w:sz w:val="24"/>
          <w:szCs w:val="24"/>
          <w:lang w:val="ka-GE"/>
        </w:rPr>
        <w:t>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6 – 2</w:t>
      </w:r>
      <w:r>
        <w:rPr>
          <w:rFonts w:ascii="Sylfaen" w:hAnsi="Sylfaen" w:cs="Sylfaen"/>
          <w:sz w:val="24"/>
          <w:szCs w:val="24"/>
          <w:lang w:val="ka-GE"/>
        </w:rPr>
        <w:t>.</w:t>
      </w:r>
      <w:r w:rsidRPr="00923F61">
        <w:rPr>
          <w:rFonts w:ascii="Sylfaen" w:hAnsi="Sylfaen" w:cs="Sylfaen"/>
          <w:sz w:val="24"/>
          <w:szCs w:val="24"/>
          <w:lang w:val="ka-GE"/>
        </w:rPr>
        <w:t>8 ს</w:t>
      </w:r>
      <w:r>
        <w:rPr>
          <w:rFonts w:ascii="Sylfaen" w:hAnsi="Sylfaen" w:cs="Sylfaen"/>
          <w:sz w:val="24"/>
          <w:szCs w:val="24"/>
          <w:lang w:val="ka-GE"/>
        </w:rPr>
        <w:t>აა</w:t>
      </w:r>
      <w:r w:rsidRPr="00923F61">
        <w:rPr>
          <w:rFonts w:ascii="Sylfaen" w:hAnsi="Sylfaen" w:cs="Sylfaen"/>
          <w:sz w:val="24"/>
          <w:szCs w:val="24"/>
          <w:lang w:val="ka-GE"/>
        </w:rPr>
        <w:t>თ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923F61">
        <w:rPr>
          <w:rFonts w:ascii="Sylfaen" w:hAnsi="Sylfaen" w:cs="Sylfaen"/>
          <w:sz w:val="24"/>
          <w:szCs w:val="24"/>
          <w:lang w:val="ka-GE"/>
        </w:rPr>
        <w:t>.</w:t>
      </w:r>
    </w:p>
    <w:p w14:paraId="682374AE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DE527F">
        <w:rPr>
          <w:rFonts w:ascii="Sylfaen" w:hAnsi="Sylfaen" w:cs="Sylfae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334016E5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C5705F">
        <w:rPr>
          <w:rFonts w:ascii="Sylfaen" w:hAnsi="Sylfaen"/>
          <w:sz w:val="24"/>
          <w:szCs w:val="24"/>
          <w:u w:val="single"/>
          <w:lang w:val="ka-GE"/>
        </w:rPr>
        <w:t xml:space="preserve">დოზირება  </w:t>
      </w:r>
    </w:p>
    <w:p w14:paraId="3CBB274F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9E159E">
        <w:rPr>
          <w:rFonts w:ascii="Sylfaen" w:hAnsi="Sylfaen" w:cs="Sylfaen"/>
          <w:sz w:val="24"/>
          <w:szCs w:val="24"/>
          <w:u w:val="single"/>
          <w:lang w:val="ka-GE"/>
        </w:rPr>
        <w:t>მოზრდილები</w:t>
      </w:r>
    </w:p>
    <w:p w14:paraId="72DFCC8D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6C0A33">
        <w:rPr>
          <w:rFonts w:ascii="Sylfaen" w:hAnsi="Sylfaen" w:cs="Sylfaen"/>
          <w:sz w:val="24"/>
          <w:szCs w:val="24"/>
          <w:lang w:val="ka-GE"/>
        </w:rPr>
        <w:t>მკურნალობა უნდა დაიწყოს მოქსონიდინის ყველაზე დაბალი დოზით.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ეს ნიშნავს, რომ მოქსონიდინის დღიური დოზაა 0.2 მგ დილით.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თუ თერაპიული ეფექტი არასაკმარისია, დოზა შეიძლება გაიზარდოს 0.4 მგ-მდე სამი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აღნიშნული დოზის მიღება შეიძლება ერთჯერადად (დილით) ან თანაბრად გაყოფილი დოზის (დილით და საღამოს) სახით.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AA1BA5">
        <w:rPr>
          <w:rFonts w:ascii="Sylfaen" w:hAnsi="Sylfaen" w:cs="Sylfaen"/>
          <w:sz w:val="24"/>
          <w:szCs w:val="24"/>
          <w:lang w:val="ka-GE"/>
        </w:rPr>
        <w:t>თუ შემდგომი სამკვირიანი მკურნალობის შემდეგაც თერაპიული ეფექტი ვერ მიიღწევა, დოზა შეიძლება გაიზარდოს მაქსიმუმ 0.6 მგ-მდე</w:t>
      </w:r>
      <w:r>
        <w:rPr>
          <w:rFonts w:ascii="Sylfaen" w:hAnsi="Sylfaen" w:cs="Sylfaen"/>
          <w:sz w:val="24"/>
          <w:szCs w:val="24"/>
          <w:lang w:val="ka-GE"/>
        </w:rPr>
        <w:t>, რომლის მიღებაც უნდა მოხდეს</w:t>
      </w:r>
      <w:r w:rsidRPr="00AA1BA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693B">
        <w:rPr>
          <w:rFonts w:ascii="Sylfaen" w:hAnsi="Sylfaen" w:cs="Sylfaen"/>
          <w:sz w:val="24"/>
          <w:szCs w:val="24"/>
          <w:lang w:val="ka-GE"/>
        </w:rPr>
        <w:t>გაყოფილი დოზის (დილით და საღამოს) სახით.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2784">
        <w:rPr>
          <w:rFonts w:ascii="Sylfaen" w:hAnsi="Sylfaen" w:cs="Sylfaen"/>
          <w:sz w:val="24"/>
          <w:szCs w:val="24"/>
          <w:lang w:val="ka-GE"/>
        </w:rPr>
        <w:t>დაუშვებელია მოქსონიდინის 0.4 მგ ერთჯერადი დოზის და მოქსონიდინის 0.6 მგ დღიური დოზის გადაჭარბება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EB728AC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7B2784">
        <w:rPr>
          <w:rFonts w:ascii="Sylfaen" w:hAnsi="Sylfaen" w:cs="Sylfaen"/>
          <w:sz w:val="24"/>
          <w:szCs w:val="24"/>
          <w:lang w:val="ka-GE"/>
        </w:rPr>
        <w:t>მკურნალობა არ უნდა შეწყდეს ერთბაშად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7B2784">
        <w:rPr>
          <w:rFonts w:ascii="Sylfaen" w:hAnsi="Sylfaen" w:cs="Sylfaen"/>
          <w:sz w:val="24"/>
          <w:szCs w:val="24"/>
          <w:lang w:val="ka-GE"/>
        </w:rPr>
        <w:t>არამედ უნდა შეწყდეს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2784">
        <w:rPr>
          <w:rFonts w:ascii="Sylfaen" w:hAnsi="Sylfaen" w:cs="Sylfaen"/>
          <w:sz w:val="24"/>
          <w:szCs w:val="24"/>
          <w:lang w:val="ka-GE"/>
        </w:rPr>
        <w:t>დოზის თანდათანობით შემცირებით, ორ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B2784">
        <w:rPr>
          <w:rFonts w:ascii="Sylfaen" w:hAnsi="Sylfaen" w:cs="Sylfaen"/>
          <w:sz w:val="24"/>
          <w:szCs w:val="24"/>
          <w:lang w:val="ka-GE"/>
        </w:rPr>
        <w:t xml:space="preserve"> კვირის განმავლობაში.</w:t>
      </w:r>
    </w:p>
    <w:p w14:paraId="23A0143F" w14:textId="77777777" w:rsidR="00165EC8" w:rsidRDefault="00165EC8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C5705F">
        <w:rPr>
          <w:rFonts w:ascii="Sylfaen" w:hAnsi="Sylfaen" w:cs="Sylfaen"/>
          <w:sz w:val="24"/>
          <w:szCs w:val="24"/>
          <w:u w:val="single"/>
          <w:lang w:val="ka-GE"/>
        </w:rPr>
        <w:t>პაციენტთა განსაკუთრებული ჯგუფები</w:t>
      </w:r>
    </w:p>
    <w:p w14:paraId="4F356C7C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>
        <w:rPr>
          <w:rFonts w:ascii="Sylfaen" w:hAnsi="Sylfaen" w:cs="Sylfaen"/>
          <w:sz w:val="24"/>
          <w:szCs w:val="24"/>
          <w:u w:val="single"/>
          <w:lang w:val="ka-GE"/>
        </w:rPr>
        <w:t>ხანდაზმულები</w:t>
      </w:r>
    </w:p>
    <w:p w14:paraId="4F8FA258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იმ შემთხვევაში, თუ თირკმლის ფუნქცია დარღვეული არ არის, დოზირების რეკომენდაცია იგივეა, რაც მოზრდილებში.</w:t>
      </w:r>
    </w:p>
    <w:p w14:paraId="5453E6E1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327F15">
        <w:rPr>
          <w:rFonts w:ascii="Sylfaen" w:hAnsi="Sylfaen" w:cs="Sylfaen"/>
          <w:sz w:val="24"/>
          <w:szCs w:val="24"/>
          <w:u w:val="single"/>
          <w:lang w:val="ka-GE"/>
        </w:rPr>
        <w:t>ბავშვები</w:t>
      </w:r>
    </w:p>
    <w:p w14:paraId="31CD2892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მოქსონიდინი არ ინიშნება 1</w:t>
      </w:r>
      <w:r>
        <w:rPr>
          <w:rFonts w:ascii="Sylfaen" w:hAnsi="Sylfaen" w:cs="Sylfaen"/>
          <w:sz w:val="24"/>
          <w:szCs w:val="24"/>
          <w:lang w:val="ka-GE"/>
        </w:rPr>
        <w:t>8</w:t>
      </w:r>
      <w:r w:rsidRPr="00327F15">
        <w:rPr>
          <w:rFonts w:ascii="Sylfaen" w:hAnsi="Sylfaen" w:cs="Sylfaen"/>
          <w:sz w:val="24"/>
          <w:szCs w:val="24"/>
          <w:lang w:val="ka-GE"/>
        </w:rPr>
        <w:t xml:space="preserve"> წლამდე ასაკის ბავშვებსა და მოზარდებში, რადგან აღნიშნულ ჯგუფში გამოყენების შესახებ თერაპიული მონაცემები არასაკმარისია.</w:t>
      </w:r>
    </w:p>
    <w:p w14:paraId="269A32EC" w14:textId="77777777" w:rsid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/>
          <w:b/>
          <w:bCs/>
          <w:sz w:val="24"/>
          <w:szCs w:val="24"/>
          <w:u w:val="single"/>
          <w:lang w:val="ka-GE"/>
        </w:rPr>
      </w:pPr>
      <w:r w:rsidRPr="0045534C">
        <w:rPr>
          <w:rFonts w:ascii="Sylfaen" w:hAnsi="Sylfaen"/>
          <w:b/>
          <w:bCs/>
          <w:sz w:val="24"/>
          <w:szCs w:val="24"/>
          <w:u w:val="single"/>
          <w:lang w:val="ka-GE"/>
        </w:rPr>
        <w:t>მიღების წესი</w:t>
      </w:r>
    </w:p>
    <w:p w14:paraId="04A03EF6" w14:textId="77777777" w:rsidR="00165EC8" w:rsidRPr="00272AE1" w:rsidRDefault="00165EC8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>მიიღება პერორალურად.</w:t>
      </w:r>
    </w:p>
    <w:p w14:paraId="129C11D3" w14:textId="77777777" w:rsidR="00B5770D" w:rsidRPr="00AF7EB3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F7EB3">
        <w:rPr>
          <w:rFonts w:ascii="Sylfaen" w:hAnsi="Sylfaen" w:cs="Sylfaen"/>
          <w:b/>
          <w:bCs/>
          <w:sz w:val="24"/>
          <w:szCs w:val="24"/>
          <w:lang w:val="ka-GE"/>
        </w:rPr>
        <w:t>მიღების წესი</w:t>
      </w:r>
    </w:p>
    <w:p w14:paraId="086496CF" w14:textId="77777777" w:rsidR="00B5770D" w:rsidRPr="00AF7EB3" w:rsidRDefault="00272AE1" w:rsidP="00165EC8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327F15">
        <w:rPr>
          <w:rFonts w:ascii="Sylfaen" w:hAnsi="Sylfaen" w:cs="Sylfaen"/>
          <w:sz w:val="24"/>
          <w:szCs w:val="24"/>
          <w:lang w:val="ka-GE"/>
        </w:rPr>
        <w:t>მოქსონიდინი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327F1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F7EB3" w:rsidRPr="00AF7EB3">
        <w:rPr>
          <w:rFonts w:ascii="Sylfaen" w:hAnsi="Sylfaen" w:cs="Sylfaen"/>
          <w:sz w:val="24"/>
          <w:szCs w:val="24"/>
          <w:lang w:val="ka-GE"/>
        </w:rPr>
        <w:t xml:space="preserve">ტაბლეტები </w:t>
      </w:r>
      <w:r w:rsidR="00B5770D" w:rsidRPr="00AF7EB3">
        <w:rPr>
          <w:rFonts w:ascii="Sylfaen" w:hAnsi="Sylfaen" w:cs="Sylfaen"/>
          <w:sz w:val="24"/>
          <w:szCs w:val="24"/>
          <w:lang w:val="ka-GE"/>
        </w:rPr>
        <w:t>მიიღება პერორალურად.</w:t>
      </w:r>
    </w:p>
    <w:p w14:paraId="15FA3DCC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F4A08">
        <w:rPr>
          <w:rFonts w:ascii="Sylfaen" w:hAnsi="Sylfaen" w:cs="Sylfaen"/>
          <w:b/>
          <w:bCs/>
          <w:sz w:val="24"/>
          <w:szCs w:val="24"/>
          <w:lang w:val="ka-GE"/>
        </w:rPr>
        <w:t>ფერტილობა, ორსულობა და ლაქტაცია</w:t>
      </w:r>
    </w:p>
    <w:p w14:paraId="3C21703C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b/>
          <w:sz w:val="24"/>
          <w:szCs w:val="24"/>
          <w:lang w:val="ka-GE"/>
        </w:rPr>
        <w:t>ორსულობა</w:t>
      </w:r>
    </w:p>
    <w:p w14:paraId="69DB7F51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 xml:space="preserve">ორსულ ქალებში მოქსონიდინის გამოყენების შესახებ მონაცემები არასაკმარისია. ცხოველებზე ჩატარებულმა კვლევებმა აჩვენა ემბრიოტოქსიკურობა დიდი დოზებით გამოყენებისას. </w:t>
      </w:r>
    </w:p>
    <w:p w14:paraId="24B0383E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>ადამიანებისთვის პოტენციური რისკი უცნობია.</w:t>
      </w:r>
    </w:p>
    <w:p w14:paraId="176A78FE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მოქსონიდინის გამოყენება არ არის რეკომენდებული ორსულობის დროს, თუ ამის აშკარა აუცილებლობა არ არსებობს.</w:t>
      </w:r>
    </w:p>
    <w:p w14:paraId="6AB07346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b/>
          <w:sz w:val="24"/>
          <w:szCs w:val="24"/>
          <w:lang w:val="ka-GE"/>
        </w:rPr>
        <w:t xml:space="preserve">ლაქტაცია </w:t>
      </w:r>
    </w:p>
    <w:p w14:paraId="0E433DD1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t>მოქსონიდინი გამოიყოფა დედის რძეში, ამიტომ მისი გამოყენება არ არის რეკომენდებული ძუძუთი კვების პერიოდში. თუ მკურნალობა მოქსონიდინით აბსოლუტურად აუცილებელია, ძუძუთი კვება უნდა შეწყდეს.</w:t>
      </w:r>
    </w:p>
    <w:p w14:paraId="44A7384B" w14:textId="77777777" w:rsid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b/>
          <w:sz w:val="24"/>
          <w:szCs w:val="24"/>
          <w:lang w:val="ka-GE"/>
        </w:rPr>
        <w:t xml:space="preserve">ფერტილობა </w:t>
      </w:r>
    </w:p>
    <w:p w14:paraId="5E276604" w14:textId="77777777" w:rsidR="00272AE1" w:rsidRPr="00272AE1" w:rsidRDefault="00272AE1" w:rsidP="00272AE1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72AE1">
        <w:rPr>
          <w:rFonts w:ascii="Sylfaen" w:hAnsi="Sylfaen" w:cs="Sylfaen"/>
          <w:sz w:val="24"/>
          <w:szCs w:val="24"/>
          <w:lang w:val="ka-GE"/>
        </w:rPr>
        <w:lastRenderedPageBreak/>
        <w:t>რეპროდუქციული პოტენციალის მქონე ქალებში მოქსონიდინის გამოყენების შესახებ მონაცემები არასაკმარისია.</w:t>
      </w:r>
    </w:p>
    <w:p w14:paraId="2881A050" w14:textId="77777777" w:rsidR="008212FB" w:rsidRPr="008212FB" w:rsidRDefault="008212FB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212FB">
        <w:rPr>
          <w:rFonts w:ascii="Sylfaen" w:hAnsi="Sylfaen" w:cs="Sylfaen"/>
          <w:b/>
          <w:bCs/>
          <w:sz w:val="24"/>
          <w:szCs w:val="24"/>
          <w:lang w:val="ka-GE"/>
        </w:rPr>
        <w:t>გვერდითი მოვლენები</w:t>
      </w:r>
    </w:p>
    <w:p w14:paraId="0FEFF661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 მიღებისას ყველაზე გავრცელებული გვერდითი მოვლენებია პირის სიმშრალე, თავბრუსხვევა, ასთენია და ძილიანობა.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87602">
        <w:rPr>
          <w:rFonts w:ascii="Sylfaen" w:hAnsi="Sylfaen" w:cs="Sylfaen"/>
          <w:sz w:val="24"/>
          <w:szCs w:val="24"/>
          <w:lang w:val="ka-GE"/>
        </w:rPr>
        <w:t>ამ სიმპტომების გამოვლინება ხშირად მცირდება თერაპიის პირველი რამდენიმე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3CBAE80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287602">
        <w:rPr>
          <w:rFonts w:ascii="Sylfaen" w:hAnsi="Sylfaen" w:cs="Sylfaen"/>
          <w:sz w:val="24"/>
          <w:szCs w:val="24"/>
          <w:lang w:val="ka-GE"/>
        </w:rPr>
        <w:t>გვერდითი რეაქციები ორგანოთა სისტემების მიხედვით: (პლაცებო-კონტროლირებად კლინიკურ კვლევებში</w:t>
      </w:r>
      <w:r>
        <w:rPr>
          <w:rFonts w:ascii="Sylfaen" w:hAnsi="Sylfaen" w:cs="Sylfaen"/>
          <w:sz w:val="24"/>
          <w:szCs w:val="24"/>
          <w:lang w:val="ka-GE"/>
        </w:rPr>
        <w:t>, რომლის ფარგლებშიც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886 პაციენტ</w:t>
      </w:r>
      <w:r>
        <w:rPr>
          <w:rFonts w:ascii="Sylfaen" w:hAnsi="Sylfaen" w:cs="Sylfaen"/>
          <w:sz w:val="24"/>
          <w:szCs w:val="24"/>
          <w:lang w:val="ka-GE"/>
        </w:rPr>
        <w:t xml:space="preserve">ი იღებდა </w:t>
      </w:r>
      <w:r w:rsidRPr="00287602">
        <w:rPr>
          <w:rFonts w:ascii="Sylfaen" w:hAnsi="Sylfaen" w:cs="Sylfaen"/>
          <w:sz w:val="24"/>
          <w:szCs w:val="24"/>
          <w:lang w:val="ka-GE"/>
        </w:rPr>
        <w:t>მოქსონიდინის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გამოვლენილი</w:t>
      </w:r>
      <w:r w:rsidRPr="0028760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რეაქციების სიხშირე მოცემულია ქვემოთ):</w:t>
      </w:r>
    </w:p>
    <w:p w14:paraId="37F20E03" w14:textId="77777777" w:rsidR="00C24AC2" w:rsidRDefault="00C24AC2" w:rsidP="00C24AC2">
      <w:pPr>
        <w:pStyle w:val="ListParagraph"/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*</w:t>
      </w:r>
      <w:r w:rsidRPr="00287602">
        <w:rPr>
          <w:rFonts w:ascii="Sylfaen" w:hAnsi="Sylfaen" w:cs="Sylfaen"/>
          <w:sz w:val="24"/>
          <w:szCs w:val="24"/>
          <w:lang w:val="ka-GE"/>
        </w:rPr>
        <w:t>პლაცებოსთან შედარებით სიხშირის ზრდა არ დაფიქსირებულა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330"/>
        <w:gridCol w:w="1710"/>
        <w:gridCol w:w="2520"/>
        <w:gridCol w:w="3060"/>
      </w:tblGrid>
      <w:tr w:rsidR="00C24AC2" w:rsidRPr="00FB7B4A" w14:paraId="5BCE3CE8" w14:textId="77777777" w:rsidTr="00C24AC2">
        <w:tc>
          <w:tcPr>
            <w:tcW w:w="3330" w:type="dxa"/>
          </w:tcPr>
          <w:p w14:paraId="5C1054B1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</w:rPr>
              <w:t xml:space="preserve">MeDRA </w:t>
            </w: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ორგანოთა სისტემა</w:t>
            </w:r>
          </w:p>
        </w:tc>
        <w:tc>
          <w:tcPr>
            <w:tcW w:w="1710" w:type="dxa"/>
          </w:tcPr>
          <w:p w14:paraId="798DEEB4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ძალიან ხშირი </w:t>
            </w:r>
          </w:p>
          <w:p w14:paraId="550B5884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(≥1/10)</w:t>
            </w:r>
          </w:p>
        </w:tc>
        <w:tc>
          <w:tcPr>
            <w:tcW w:w="2520" w:type="dxa"/>
          </w:tcPr>
          <w:p w14:paraId="2F4F93CD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ხშირი </w:t>
            </w:r>
          </w:p>
          <w:p w14:paraId="1AE5DCC4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(≥1/100, &lt;1/10)</w:t>
            </w:r>
          </w:p>
        </w:tc>
        <w:tc>
          <w:tcPr>
            <w:tcW w:w="3060" w:type="dxa"/>
          </w:tcPr>
          <w:p w14:paraId="7F531501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 xml:space="preserve">არხშირი </w:t>
            </w:r>
          </w:p>
          <w:p w14:paraId="3159C458" w14:textId="77777777" w:rsidR="00C24AC2" w:rsidRPr="00FB7B4A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b/>
                <w:sz w:val="24"/>
                <w:szCs w:val="24"/>
                <w:lang w:val="ka-GE"/>
              </w:rPr>
            </w:pPr>
            <w:r w:rsidRPr="00FB7B4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(≥1/1,000, &lt;1/100)</w:t>
            </w:r>
          </w:p>
        </w:tc>
      </w:tr>
      <w:tr w:rsidR="00C24AC2" w:rsidRPr="00C5705F" w14:paraId="7D960EC3" w14:textId="77777777" w:rsidTr="00C24AC2">
        <w:tc>
          <w:tcPr>
            <w:tcW w:w="3330" w:type="dxa"/>
          </w:tcPr>
          <w:p w14:paraId="1203816D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sz w:val="24"/>
                <w:szCs w:val="24"/>
                <w:lang w:val="ka-GE"/>
              </w:rPr>
              <w:t>დარღვევები გულის მხრივ</w:t>
            </w:r>
          </w:p>
        </w:tc>
        <w:tc>
          <w:tcPr>
            <w:tcW w:w="1710" w:type="dxa"/>
          </w:tcPr>
          <w:p w14:paraId="2B88F0B7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3F876636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4868F544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ბრადიკარდია</w:t>
            </w:r>
          </w:p>
        </w:tc>
      </w:tr>
      <w:tr w:rsidR="00C24AC2" w:rsidRPr="00C5705F" w14:paraId="236B8205" w14:textId="77777777" w:rsidTr="00C24AC2">
        <w:tc>
          <w:tcPr>
            <w:tcW w:w="3330" w:type="dxa"/>
          </w:tcPr>
          <w:p w14:paraId="00C13F9C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სმენის და ლაბირინთის დარღვევები</w:t>
            </w:r>
          </w:p>
        </w:tc>
        <w:tc>
          <w:tcPr>
            <w:tcW w:w="1710" w:type="dxa"/>
          </w:tcPr>
          <w:p w14:paraId="10B20563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188565E9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50A34A70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ტინიტუსი</w:t>
            </w:r>
          </w:p>
        </w:tc>
      </w:tr>
      <w:tr w:rsidR="00C24AC2" w:rsidRPr="00DB3304" w14:paraId="2F05B301" w14:textId="77777777" w:rsidTr="00C24AC2">
        <w:tc>
          <w:tcPr>
            <w:tcW w:w="3330" w:type="dxa"/>
          </w:tcPr>
          <w:p w14:paraId="6E67B502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DB3304">
              <w:rPr>
                <w:rFonts w:ascii="Sylfaen" w:hAnsi="Sylfaen" w:cs="Sylfaen"/>
                <w:sz w:val="24"/>
                <w:szCs w:val="24"/>
                <w:lang w:val="ka-GE"/>
              </w:rPr>
              <w:t>ნერვული სისტემის დარღვევები</w:t>
            </w:r>
          </w:p>
        </w:tc>
        <w:tc>
          <w:tcPr>
            <w:tcW w:w="1710" w:type="dxa"/>
          </w:tcPr>
          <w:p w14:paraId="1B97FA9A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30759693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თავის ტკივილი*,</w:t>
            </w:r>
          </w:p>
          <w:p w14:paraId="2A1E5AD2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თავბრუსხვევა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ძილიანობა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,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ვერტიგო</w:t>
            </w:r>
          </w:p>
        </w:tc>
        <w:tc>
          <w:tcPr>
            <w:tcW w:w="3060" w:type="dxa"/>
          </w:tcPr>
          <w:p w14:paraId="698F06D3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სინკოპე*</w:t>
            </w:r>
          </w:p>
        </w:tc>
      </w:tr>
      <w:tr w:rsidR="00C24AC2" w:rsidRPr="005F27CC" w14:paraId="6E35452D" w14:textId="77777777" w:rsidTr="00C24AC2">
        <w:tc>
          <w:tcPr>
            <w:tcW w:w="3330" w:type="dxa"/>
          </w:tcPr>
          <w:p w14:paraId="08B10BDA" w14:textId="77777777" w:rsidR="00C24AC2" w:rsidRPr="00DB3304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სისხლძარღვოვანი დარღვევები </w:t>
            </w:r>
          </w:p>
        </w:tc>
        <w:tc>
          <w:tcPr>
            <w:tcW w:w="1710" w:type="dxa"/>
          </w:tcPr>
          <w:p w14:paraId="0B205F8C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73FE3DEC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3060" w:type="dxa"/>
          </w:tcPr>
          <w:p w14:paraId="7B9A6C2F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ჰიპოტენზია (მათ შორის ორთოსტატული)</w:t>
            </w:r>
          </w:p>
        </w:tc>
      </w:tr>
      <w:tr w:rsidR="00C24AC2" w:rsidRPr="005F27CC" w14:paraId="1D06EBEE" w14:textId="77777777" w:rsidTr="00C24AC2">
        <w:tc>
          <w:tcPr>
            <w:tcW w:w="3330" w:type="dxa"/>
          </w:tcPr>
          <w:p w14:paraId="0CABC42A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კუჭ-ნაწლავის ტრაქტის დარღვევები </w:t>
            </w:r>
          </w:p>
        </w:tc>
        <w:tc>
          <w:tcPr>
            <w:tcW w:w="1710" w:type="dxa"/>
          </w:tcPr>
          <w:p w14:paraId="349139A1" w14:textId="77777777" w:rsidR="00C24AC2" w:rsidRPr="00C5705F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პირის სიმშრალე</w:t>
            </w:r>
          </w:p>
        </w:tc>
        <w:tc>
          <w:tcPr>
            <w:tcW w:w="2520" w:type="dxa"/>
          </w:tcPr>
          <w:p w14:paraId="425C9C12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დიარეა, გულისრევა, ღებინება, დისპეფსია</w:t>
            </w:r>
          </w:p>
        </w:tc>
        <w:tc>
          <w:tcPr>
            <w:tcW w:w="3060" w:type="dxa"/>
          </w:tcPr>
          <w:p w14:paraId="75DC3C6C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</w:tr>
      <w:tr w:rsidR="00C24AC2" w:rsidRPr="005F27CC" w14:paraId="28E8E210" w14:textId="77777777" w:rsidTr="00C24AC2">
        <w:tc>
          <w:tcPr>
            <w:tcW w:w="3330" w:type="dxa"/>
          </w:tcPr>
          <w:p w14:paraId="2D95C422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კანისა და კანქვეშა ქსოვილის დარღვევები </w:t>
            </w:r>
          </w:p>
        </w:tc>
        <w:tc>
          <w:tcPr>
            <w:tcW w:w="1710" w:type="dxa"/>
          </w:tcPr>
          <w:p w14:paraId="65920871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2E5ACAD1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 xml:space="preserve">გამონაყარი, ქავილი </w:t>
            </w:r>
          </w:p>
        </w:tc>
        <w:tc>
          <w:tcPr>
            <w:tcW w:w="3060" w:type="dxa"/>
          </w:tcPr>
          <w:p w14:paraId="6C237FC0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ანგიონევროზული შეშუპება</w:t>
            </w:r>
          </w:p>
        </w:tc>
      </w:tr>
      <w:tr w:rsidR="00C24AC2" w:rsidRPr="005F27CC" w14:paraId="13C79AE0" w14:textId="77777777" w:rsidTr="00C24AC2">
        <w:tc>
          <w:tcPr>
            <w:tcW w:w="3330" w:type="dxa"/>
          </w:tcPr>
          <w:p w14:paraId="0935364A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734A9E">
              <w:rPr>
                <w:rFonts w:ascii="Sylfaen" w:hAnsi="Sylfaen" w:cs="Sylfaen"/>
                <w:sz w:val="24"/>
                <w:szCs w:val="24"/>
                <w:lang w:val="ka-GE"/>
              </w:rPr>
              <w:t>ზოგადი დარღვევები და ადგილობრივი რეაქციები</w:t>
            </w:r>
          </w:p>
        </w:tc>
        <w:tc>
          <w:tcPr>
            <w:tcW w:w="1710" w:type="dxa"/>
          </w:tcPr>
          <w:p w14:paraId="59706A61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48ADFF9A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ასთენია</w:t>
            </w:r>
          </w:p>
        </w:tc>
        <w:tc>
          <w:tcPr>
            <w:tcW w:w="3060" w:type="dxa"/>
          </w:tcPr>
          <w:p w14:paraId="56339428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</w:p>
        </w:tc>
      </w:tr>
      <w:tr w:rsidR="00C24AC2" w:rsidRPr="005F27CC" w14:paraId="71D8ACB7" w14:textId="77777777" w:rsidTr="00C24AC2">
        <w:tc>
          <w:tcPr>
            <w:tcW w:w="3330" w:type="dxa"/>
          </w:tcPr>
          <w:p w14:paraId="6B8D3CC5" w14:textId="77777777" w:rsidR="00C24AC2" w:rsidRPr="00734A9E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A41FCC">
              <w:rPr>
                <w:rFonts w:ascii="Sylfaen" w:hAnsi="Sylfaen" w:cs="Sylfaen"/>
                <w:sz w:val="24"/>
                <w:szCs w:val="24"/>
                <w:lang w:val="ka-GE"/>
              </w:rPr>
              <w:t>საყრდენ-მამოძრავებელი</w:t>
            </w:r>
            <w:r>
              <w:rPr>
                <w:rFonts w:ascii="Sylfaen" w:hAnsi="Sylfaen" w:cs="Sylfaen"/>
                <w:sz w:val="24"/>
                <w:szCs w:val="24"/>
                <w:lang w:val="ka-GE"/>
              </w:rPr>
              <w:t xml:space="preserve"> </w:t>
            </w: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და შემაერთებელი ქსოვილის დარღვევები</w:t>
            </w:r>
          </w:p>
        </w:tc>
        <w:tc>
          <w:tcPr>
            <w:tcW w:w="1710" w:type="dxa"/>
          </w:tcPr>
          <w:p w14:paraId="246130A7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3F943D7A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ზურგის ტკივილი</w:t>
            </w:r>
          </w:p>
        </w:tc>
        <w:tc>
          <w:tcPr>
            <w:tcW w:w="3060" w:type="dxa"/>
          </w:tcPr>
          <w:p w14:paraId="35073DC0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კისრის ტკივილი</w:t>
            </w:r>
          </w:p>
        </w:tc>
      </w:tr>
      <w:tr w:rsidR="00C24AC2" w:rsidRPr="005F27CC" w14:paraId="75FDF401" w14:textId="77777777" w:rsidTr="00C24AC2">
        <w:tc>
          <w:tcPr>
            <w:tcW w:w="3330" w:type="dxa"/>
          </w:tcPr>
          <w:p w14:paraId="2066CAA4" w14:textId="77777777" w:rsidR="00C24AC2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ფსიქიკური დარღვევები</w:t>
            </w:r>
          </w:p>
        </w:tc>
        <w:tc>
          <w:tcPr>
            <w:tcW w:w="1710" w:type="dxa"/>
          </w:tcPr>
          <w:p w14:paraId="2278A742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</w:p>
        </w:tc>
        <w:tc>
          <w:tcPr>
            <w:tcW w:w="2520" w:type="dxa"/>
          </w:tcPr>
          <w:p w14:paraId="09B552DE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უძილობა</w:t>
            </w:r>
          </w:p>
        </w:tc>
        <w:tc>
          <w:tcPr>
            <w:tcW w:w="3060" w:type="dxa"/>
          </w:tcPr>
          <w:p w14:paraId="0C38B17E" w14:textId="77777777" w:rsidR="00C24AC2" w:rsidRPr="005F27CC" w:rsidRDefault="00C24AC2" w:rsidP="002F2441">
            <w:pPr>
              <w:spacing w:after="0" w:line="240" w:lineRule="auto"/>
              <w:ind w:right="-96"/>
              <w:jc w:val="both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5F27CC">
              <w:rPr>
                <w:rFonts w:ascii="Sylfaen" w:hAnsi="Sylfaen" w:cs="Sylfaen"/>
                <w:sz w:val="24"/>
                <w:szCs w:val="24"/>
                <w:lang w:val="ka-GE"/>
              </w:rPr>
              <w:t>ნერვოზულობა</w:t>
            </w:r>
          </w:p>
        </w:tc>
      </w:tr>
    </w:tbl>
    <w:p w14:paraId="2A86C446" w14:textId="77777777" w:rsidR="00C24AC2" w:rsidRPr="002252ED" w:rsidRDefault="00C24AC2" w:rsidP="002252ED">
      <w:pPr>
        <w:tabs>
          <w:tab w:val="left" w:pos="0"/>
        </w:tabs>
        <w:spacing w:after="0"/>
        <w:ind w:right="-72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F24794A" w14:textId="77777777" w:rsidR="00585C35" w:rsidRDefault="00C8369E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8369E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054DC6C8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070E03">
        <w:rPr>
          <w:rFonts w:ascii="Sylfaen" w:hAnsi="Sylfaen"/>
          <w:sz w:val="24"/>
          <w:szCs w:val="24"/>
          <w:lang w:val="ka-GE"/>
        </w:rPr>
        <w:t>პოსტმარკეტინგული გამოცდილების მიხედვით, პაციენტებში, რომლებიც ღებულობდნენ მოქსონიდინის,  აღინიშნა AV ბლოკადის სხვადასხვა ხარისხის შემთხვევები.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70E03">
        <w:rPr>
          <w:rFonts w:ascii="Sylfaen" w:hAnsi="Sylfaen"/>
          <w:sz w:val="24"/>
          <w:szCs w:val="24"/>
          <w:lang w:val="ka-GE"/>
        </w:rPr>
        <w:t>ამ შემთხვევების გათვალისწინებით, მოქსონიდინის როლი ატრიოვენტრიკულური გამტარობის შენელებაში სრულად არ შეიძლება გამოირიცხოს.</w:t>
      </w:r>
      <w:r>
        <w:rPr>
          <w:rFonts w:ascii="Sylfaen" w:hAnsi="Sylfaen"/>
          <w:sz w:val="24"/>
          <w:szCs w:val="24"/>
          <w:lang w:val="ka-GE"/>
        </w:rPr>
        <w:t xml:space="preserve"> შესაბამისად</w:t>
      </w:r>
      <w:r w:rsidRPr="00886AE2">
        <w:rPr>
          <w:rFonts w:ascii="Sylfaen" w:hAnsi="Sylfaen"/>
          <w:sz w:val="24"/>
          <w:szCs w:val="24"/>
          <w:lang w:val="ka-GE"/>
        </w:rPr>
        <w:t>, სიფრთხილეა რეკომენდებული ატრიოვენტრიკულური ბლოკადის განვითარების შესაძლო წინასწარგანწყობის მქონე პაციენტების მკურნალობისას.</w:t>
      </w:r>
    </w:p>
    <w:p w14:paraId="13CF914B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4B127E">
        <w:rPr>
          <w:rFonts w:ascii="Sylfaen" w:hAnsi="Sylfaen"/>
          <w:sz w:val="24"/>
          <w:szCs w:val="24"/>
          <w:lang w:val="ka-GE"/>
        </w:rPr>
        <w:t>პირველი ხარისხის ატრიოვენტრიკულური ბლოკადის მქონე პაციენტებში მოქსონიდინის გამოყენებისას განსაკუთრებული სიფრთხილეა საჭირო ბრადიკარდიის თავიდან ასაცილებლად.</w:t>
      </w:r>
      <w:r w:rsidR="00E2693F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lastRenderedPageBreak/>
        <w:t xml:space="preserve">დაუშვებელია </w:t>
      </w:r>
      <w:r w:rsidRPr="003D1B9C">
        <w:rPr>
          <w:rFonts w:ascii="Sylfaen" w:hAnsi="Sylfaen"/>
          <w:sz w:val="24"/>
          <w:szCs w:val="24"/>
          <w:lang w:val="ka-GE"/>
        </w:rPr>
        <w:t>მოქსონიდინი</w:t>
      </w:r>
      <w:r>
        <w:rPr>
          <w:rFonts w:ascii="Sylfaen" w:hAnsi="Sylfaen"/>
          <w:sz w:val="24"/>
          <w:szCs w:val="24"/>
          <w:lang w:val="ka-GE"/>
        </w:rPr>
        <w:t>ს</w:t>
      </w:r>
      <w:r w:rsidRPr="003D1B9C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გამოყენება</w:t>
      </w:r>
      <w:r w:rsidRPr="003D1B9C">
        <w:rPr>
          <w:rFonts w:ascii="Sylfaen" w:hAnsi="Sylfaen"/>
          <w:sz w:val="24"/>
          <w:szCs w:val="24"/>
          <w:lang w:val="ka-GE"/>
        </w:rPr>
        <w:t xml:space="preserve"> მაღალი ხარისხის ატრიოვენტრიკულური ბლოკადის დროს.</w:t>
      </w:r>
    </w:p>
    <w:p w14:paraId="1D05AB49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77B6E">
        <w:rPr>
          <w:rFonts w:ascii="Sylfaen" w:hAnsi="Sylfaen"/>
          <w:sz w:val="24"/>
          <w:szCs w:val="24"/>
          <w:lang w:val="ka-GE"/>
        </w:rPr>
        <w:t>მოქსონიდინის გამოყენებისას პაციენტებში, რომლებსაც ა</w:t>
      </w:r>
      <w:r>
        <w:rPr>
          <w:rFonts w:ascii="Sylfaen" w:hAnsi="Sylfaen"/>
          <w:sz w:val="24"/>
          <w:szCs w:val="24"/>
          <w:lang w:val="ka-GE"/>
        </w:rPr>
        <w:t>ღ</w:t>
      </w:r>
      <w:r w:rsidRPr="00977B6E">
        <w:rPr>
          <w:rFonts w:ascii="Sylfaen" w:hAnsi="Sylfaen"/>
          <w:sz w:val="24"/>
          <w:szCs w:val="24"/>
          <w:lang w:val="ka-GE"/>
        </w:rPr>
        <w:t>ენიშნებათ კორონარული არტერიების დაავადება ან არასტაბილური სტენოკარდია, განსაკუთრებული სიფრთხილეა საჭირო, რადგან ამ კატეგორიის პაციენტებში მოქსონიდინის გამოყენებასთან დაკავშირებით შეზღუდული გამოცდილება არსებობს.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D88DC78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4F0E6E">
        <w:rPr>
          <w:rFonts w:ascii="Sylfaen" w:hAnsi="Sylfaen"/>
          <w:sz w:val="24"/>
          <w:szCs w:val="24"/>
          <w:lang w:val="ka-GE"/>
        </w:rPr>
        <w:t>იმ პაციენტებში, რომლებსაც აღენიშნებათ საშუალო სიმძიმის გულის უკმარისობა, პრეპარატის უსაფრთხოების დამადასტურებელი კლინიკური მონაცემების არარსებობის გამო, მოქსონიდინი სიფრთხილით უნდა და</w:t>
      </w:r>
      <w:r>
        <w:rPr>
          <w:rFonts w:ascii="Sylfaen" w:hAnsi="Sylfaen"/>
          <w:sz w:val="24"/>
          <w:szCs w:val="24"/>
          <w:lang w:val="ka-GE"/>
        </w:rPr>
        <w:t>ი</w:t>
      </w:r>
      <w:r w:rsidRPr="004F0E6E">
        <w:rPr>
          <w:rFonts w:ascii="Sylfaen" w:hAnsi="Sylfaen"/>
          <w:sz w:val="24"/>
          <w:szCs w:val="24"/>
          <w:lang w:val="ka-GE"/>
        </w:rPr>
        <w:t>ნიშნოს.</w:t>
      </w:r>
    </w:p>
    <w:p w14:paraId="067ED657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510D04">
        <w:rPr>
          <w:rFonts w:ascii="Sylfaen" w:hAnsi="Sylfaen"/>
          <w:sz w:val="24"/>
          <w:szCs w:val="24"/>
          <w:lang w:val="ka-GE"/>
        </w:rPr>
        <w:t>სიფრთხილეა საჭირო მოქსონიდინის დანიშვნისას თირკმლის ფუნქციის დარღვევის მქონე პაციენტებში, რადგან მოქსონიდინი ძირითადად თირკმელებით გამოიყოფა.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510D04">
        <w:rPr>
          <w:rFonts w:ascii="Sylfaen" w:hAnsi="Sylfaen"/>
          <w:sz w:val="24"/>
          <w:szCs w:val="24"/>
          <w:lang w:val="ka-GE"/>
        </w:rPr>
        <w:t>ასეთ პაციენტებში დოზის ტიტრაცია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2377">
        <w:rPr>
          <w:rFonts w:ascii="Sylfaen" w:hAnsi="Sylfaen"/>
          <w:sz w:val="24"/>
          <w:szCs w:val="24"/>
          <w:lang w:val="ka-GE"/>
        </w:rPr>
        <w:t>უნდა მოხდეს სიფრთხილით</w:t>
      </w:r>
      <w:r w:rsidRPr="00510D04">
        <w:rPr>
          <w:rFonts w:ascii="Sylfaen" w:hAnsi="Sylfaen"/>
          <w:sz w:val="24"/>
          <w:szCs w:val="24"/>
          <w:lang w:val="ka-GE"/>
        </w:rPr>
        <w:t>, განსაკუთრებით თერაპიის დასაწყისში.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F2377">
        <w:rPr>
          <w:rFonts w:ascii="Sylfaen" w:hAnsi="Sylfaen"/>
          <w:sz w:val="24"/>
          <w:szCs w:val="24"/>
          <w:lang w:val="ka-GE"/>
        </w:rPr>
        <w:t>რეკომენდებული საწყისი დღიური დოზაა</w:t>
      </w:r>
      <w:r>
        <w:rPr>
          <w:rFonts w:ascii="Sylfaen" w:hAnsi="Sylfaen"/>
          <w:sz w:val="24"/>
          <w:szCs w:val="24"/>
          <w:lang w:val="ka-GE"/>
        </w:rPr>
        <w:t xml:space="preserve"> 0.2</w:t>
      </w:r>
      <w:r w:rsidRPr="006F2377">
        <w:rPr>
          <w:rFonts w:ascii="Sylfaen" w:hAnsi="Sylfaen"/>
          <w:sz w:val="24"/>
          <w:szCs w:val="24"/>
          <w:lang w:val="ka-GE"/>
        </w:rPr>
        <w:t>მგ და შეიძლება გაიზარდოს მაქსიმუმ 0.4 მგ-მდე დღეში თირკმლის ფუნქციის საშუალო სიმძიმის დარღვევის დროს  (</w:t>
      </w:r>
      <w:r>
        <w:rPr>
          <w:rFonts w:ascii="Sylfaen" w:hAnsi="Sylfaen"/>
          <w:sz w:val="24"/>
          <w:szCs w:val="24"/>
        </w:rPr>
        <w:t>GFR</w:t>
      </w:r>
      <w:r w:rsidRPr="006F2377">
        <w:rPr>
          <w:rFonts w:ascii="Sylfaen" w:hAnsi="Sylfaen"/>
          <w:sz w:val="24"/>
          <w:szCs w:val="24"/>
          <w:lang w:val="ka-GE"/>
        </w:rPr>
        <w:t xml:space="preserve"> &gt; 30 მლ/წთ, მაგრამ &lt; 60 მლ/წთ) და მაქსიმუმ 0.3 მგ-მდე დღეში თირკმლის ფუნქციის მძიმე დარღვევის დროს (</w:t>
      </w:r>
      <w:r>
        <w:rPr>
          <w:rFonts w:ascii="Sylfaen" w:hAnsi="Sylfaen"/>
          <w:sz w:val="24"/>
          <w:szCs w:val="24"/>
        </w:rPr>
        <w:t>GFR</w:t>
      </w:r>
      <w:r w:rsidRPr="006F2377">
        <w:rPr>
          <w:rFonts w:ascii="Sylfaen" w:hAnsi="Sylfaen"/>
          <w:sz w:val="24"/>
          <w:szCs w:val="24"/>
          <w:lang w:val="ka-GE"/>
        </w:rPr>
        <w:t xml:space="preserve"> &lt; 30 მლ/წთ), </w:t>
      </w:r>
      <w:r w:rsidRPr="00AB33CD">
        <w:rPr>
          <w:rFonts w:ascii="Sylfaen" w:hAnsi="Sylfaen"/>
          <w:sz w:val="24"/>
          <w:szCs w:val="24"/>
          <w:lang w:val="ka-GE"/>
        </w:rPr>
        <w:t>თუ არის კლინიკური ჩვენება და კარგად გადაიტანება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4AF18D10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B33CD">
        <w:rPr>
          <w:rFonts w:ascii="Sylfaen" w:hAnsi="Sylfaen"/>
          <w:sz w:val="24"/>
          <w:szCs w:val="24"/>
          <w:lang w:val="ka-GE"/>
        </w:rPr>
        <w:t>თუ მოქსონიდინი გამოიყენება ბეტა-ბლოკატორთან ერთად და საჭიროა შეწყდეს მკურნალობა ორივე პრეპარატით, ჯერ უნდა შეწყდეს ბეტა-ბლოკატორის მიღება, ხოლო რამდენიმე დღის შემდეგ - მოქსონიდინის.</w:t>
      </w:r>
    </w:p>
    <w:p w14:paraId="2FBD8744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DA34BE">
        <w:rPr>
          <w:rFonts w:ascii="Sylfaen" w:hAnsi="Sylfaen"/>
          <w:sz w:val="24"/>
          <w:szCs w:val="24"/>
          <w:lang w:val="ka-GE"/>
        </w:rPr>
        <w:t>ჯერჯერობით, მოქსონიდინით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მკურნალობის შეწყვეტის შემდეგ არ გამოვლენილა არტერიული წნევის მომატების ეფექტი.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A34BE">
        <w:rPr>
          <w:rFonts w:ascii="Sylfaen" w:hAnsi="Sylfaen"/>
          <w:sz w:val="24"/>
          <w:szCs w:val="24"/>
          <w:lang w:val="ka-GE"/>
        </w:rPr>
        <w:t>თუმცა, მოქსონიდინით მკურნალობის უეცარი შეწყვეტა არ არის მიზანშეწონილი, დოზა უნდა შემცირდეს თანდათანობით, ორი კვირის განმავლობაში.</w:t>
      </w:r>
    </w:p>
    <w:p w14:paraId="14FAF720" w14:textId="77777777" w:rsid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BB5E27">
        <w:rPr>
          <w:rFonts w:ascii="Sylfaen" w:hAnsi="Sylfaen"/>
          <w:sz w:val="24"/>
          <w:szCs w:val="24"/>
          <w:lang w:val="ka-GE"/>
        </w:rPr>
        <w:t>ხანდაზმულ პაციენტებში გულ-სისხლძარღვთა გართულებების განვითარების რისკი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შეიძლება გაიზარდოს.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BB5E27">
        <w:rPr>
          <w:rFonts w:ascii="Sylfaen" w:hAnsi="Sylfaen"/>
          <w:sz w:val="24"/>
          <w:szCs w:val="24"/>
          <w:lang w:val="ka-GE"/>
        </w:rPr>
        <w:t>ამიტომ, თერაპია უნდა დაიწყოს ყველაზე დაბალი დოზით და დოზა უნდა გაიზარდოს სიფრთხილით, რათა თავიდან იქნას აცილებული სერიოზული შედეგები, რომლებიც შეიძლება გამოიწვიოს ამ რეაქციებმა.</w:t>
      </w:r>
    </w:p>
    <w:p w14:paraId="7AE73BAC" w14:textId="77777777" w:rsidR="007B5126" w:rsidRPr="00E2693F" w:rsidRDefault="007B5126" w:rsidP="00E2693F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DA34BE">
        <w:rPr>
          <w:rFonts w:ascii="Sylfaen" w:hAnsi="Sylfaen"/>
          <w:sz w:val="24"/>
          <w:szCs w:val="24"/>
          <w:lang w:val="ka-GE"/>
        </w:rPr>
        <w:t>მოქსონიდინი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B74C0">
        <w:rPr>
          <w:rFonts w:ascii="Sylfaen" w:hAnsi="Sylfaen" w:cs="Sylfaen"/>
          <w:sz w:val="24"/>
          <w:szCs w:val="24"/>
          <w:lang w:val="ka-GE"/>
        </w:rPr>
        <w:t>შეიცავს ლაქტოზას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0B74C0">
        <w:rPr>
          <w:rFonts w:ascii="Sylfaen" w:hAnsi="Sylfaen" w:cs="Sylfaen"/>
          <w:sz w:val="24"/>
          <w:szCs w:val="24"/>
          <w:lang w:val="ka-GE"/>
        </w:rPr>
        <w:t>ეს პრეპარატი არ უნდა და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0B74C0">
        <w:rPr>
          <w:rFonts w:ascii="Sylfaen" w:hAnsi="Sylfaen" w:cs="Sylfaen"/>
          <w:sz w:val="24"/>
          <w:szCs w:val="24"/>
          <w:lang w:val="ka-GE"/>
        </w:rPr>
        <w:t>ნიშნო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Pr="000B74C0">
        <w:rPr>
          <w:rFonts w:ascii="Sylfaen" w:hAnsi="Sylfaen" w:cs="Sylfaen"/>
          <w:sz w:val="24"/>
          <w:szCs w:val="24"/>
          <w:lang w:val="ka-GE"/>
        </w:rPr>
        <w:t>პაციენტებ</w:t>
      </w:r>
      <w:r>
        <w:rPr>
          <w:rFonts w:ascii="Sylfaen" w:hAnsi="Sylfaen" w:cs="Sylfaen"/>
          <w:sz w:val="24"/>
          <w:szCs w:val="24"/>
          <w:lang w:val="ka-GE"/>
        </w:rPr>
        <w:t xml:space="preserve">ში, </w:t>
      </w:r>
      <w:r w:rsidRPr="000B74C0">
        <w:rPr>
          <w:rFonts w:ascii="Sylfaen" w:hAnsi="Sylfaen" w:cs="Sylfaen"/>
          <w:sz w:val="24"/>
          <w:szCs w:val="24"/>
          <w:lang w:val="ka-GE"/>
        </w:rPr>
        <w:t xml:space="preserve">რომელთაც აღენიშნებათ  გალაქტოზის აუტანლობის იშვიათი მემკვიდრეობითი ფორმა, </w:t>
      </w:r>
      <w:r>
        <w:rPr>
          <w:rFonts w:ascii="Sylfaen" w:hAnsi="Sylfaen" w:cs="Sylfaen"/>
          <w:sz w:val="24"/>
          <w:szCs w:val="24"/>
          <w:lang w:val="ka-GE"/>
        </w:rPr>
        <w:t>ლაპ-</w:t>
      </w:r>
      <w:r w:rsidRPr="000B74C0">
        <w:rPr>
          <w:rFonts w:ascii="Sylfaen" w:hAnsi="Sylfaen" w:cs="Sylfaen"/>
          <w:sz w:val="24"/>
          <w:szCs w:val="24"/>
          <w:lang w:val="ka-GE"/>
        </w:rPr>
        <w:t>ლაქტაზას დეფიციტი ან გლუკოზა-გალაქტოზის მალაბსორბცია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13E92668" w14:textId="77777777" w:rsidR="00585C35" w:rsidRPr="00585C35" w:rsidRDefault="00585C35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85C35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72730D10" w14:textId="77777777" w:rsidR="00D41256" w:rsidRPr="00D41256" w:rsidRDefault="00D41256" w:rsidP="00D41256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D41256">
        <w:rPr>
          <w:rFonts w:ascii="Sylfaen" w:hAnsi="Sylfaen"/>
          <w:sz w:val="24"/>
          <w:szCs w:val="24"/>
          <w:lang w:val="ka-GE"/>
        </w:rPr>
        <w:t>მოქსონიდინი უკუნაჩვენებია პაციენტებში, რომელთაც აღენიშნებათ:</w:t>
      </w:r>
    </w:p>
    <w:p w14:paraId="42C9223D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მომატებული მგრძნობელობა აქტიური ნივთიერების ან რომელიმე შემავსებლის მიმართ.</w:t>
      </w:r>
    </w:p>
    <w:p w14:paraId="393348B7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D756A8">
        <w:rPr>
          <w:rFonts w:ascii="Sylfaen" w:hAnsi="Sylfaen" w:cs="Sylfaen"/>
          <w:sz w:val="24"/>
          <w:szCs w:val="24"/>
          <w:lang w:val="ka-GE"/>
        </w:rPr>
        <w:t>სინუსური კვანძის სისუსტის სინდრომი</w:t>
      </w:r>
    </w:p>
    <w:p w14:paraId="7F79640D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ბრადიკარდია (</w:t>
      </w:r>
      <w:r>
        <w:rPr>
          <w:rFonts w:ascii="Sylfaen" w:hAnsi="Sylfaen" w:cs="Sylfaen"/>
          <w:sz w:val="24"/>
          <w:szCs w:val="24"/>
          <w:lang w:val="ka-GE"/>
        </w:rPr>
        <w:t>მ</w:t>
      </w:r>
      <w:r w:rsidRPr="00E42F8F">
        <w:rPr>
          <w:rFonts w:ascii="Sylfaen" w:hAnsi="Sylfaen" w:cs="Sylfaen"/>
          <w:sz w:val="24"/>
          <w:szCs w:val="24"/>
          <w:lang w:val="ka-GE"/>
        </w:rPr>
        <w:t>ოსვენებულ მდგომარეობაში &lt;50 დარტყმა/წუთში)</w:t>
      </w:r>
    </w:p>
    <w:p w14:paraId="6F00432D" w14:textId="77777777" w:rsidR="00D41256" w:rsidRDefault="00D41256" w:rsidP="00D41256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მე-2 და მე-3 ხარისხის ატრიოვენტრიკულური ბლოკადა</w:t>
      </w:r>
    </w:p>
    <w:p w14:paraId="781E0A4F" w14:textId="77777777" w:rsidR="00D41256" w:rsidRPr="00D874AC" w:rsidRDefault="00D41256" w:rsidP="00D874AC">
      <w:pPr>
        <w:pStyle w:val="ListParagraph"/>
        <w:numPr>
          <w:ilvl w:val="0"/>
          <w:numId w:val="6"/>
        </w:numPr>
        <w:spacing w:after="0"/>
        <w:ind w:right="-96"/>
        <w:jc w:val="both"/>
        <w:rPr>
          <w:rFonts w:ascii="Sylfaen" w:hAnsi="Sylfaen" w:cs="Sylfaen"/>
          <w:sz w:val="24"/>
          <w:szCs w:val="24"/>
          <w:lang w:val="ka-GE"/>
        </w:rPr>
      </w:pPr>
      <w:r w:rsidRPr="00E42F8F">
        <w:rPr>
          <w:rFonts w:ascii="Sylfaen" w:hAnsi="Sylfaen" w:cs="Sylfaen"/>
          <w:sz w:val="24"/>
          <w:szCs w:val="24"/>
          <w:lang w:val="ka-GE"/>
        </w:rPr>
        <w:t>გულის უკმარისობა</w:t>
      </w:r>
    </w:p>
    <w:p w14:paraId="337E675F" w14:textId="77777777" w:rsidR="005759F0" w:rsidRDefault="005759F0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759F0">
        <w:rPr>
          <w:rFonts w:ascii="Sylfaen" w:hAnsi="Sylfaen" w:cs="Sylfaen"/>
          <w:b/>
          <w:bCs/>
          <w:sz w:val="24"/>
          <w:szCs w:val="24"/>
          <w:lang w:val="ka-GE"/>
        </w:rPr>
        <w:t xml:space="preserve">ურთიერთქმედება   სხვა   სამკურნალო   საშუალებებთან   </w:t>
      </w:r>
    </w:p>
    <w:p w14:paraId="135065EE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t>მოქსონიდინისა და სხვა ანტიჰიპერტენზიული საშუალებების ერთდროული გამოყენება ადიტიურ ეფექტს იწვევს.</w:t>
      </w:r>
    </w:p>
    <w:p w14:paraId="0E631AB4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5448A">
        <w:rPr>
          <w:rFonts w:ascii="Sylfaen" w:hAnsi="Sylfaen" w:cs="Sylfaen"/>
          <w:sz w:val="24"/>
          <w:szCs w:val="24"/>
          <w:lang w:val="ka-GE"/>
        </w:rPr>
        <w:lastRenderedPageBreak/>
        <w:t>ვინაიდან</w:t>
      </w:r>
      <w:r>
        <w:rPr>
          <w:rFonts w:ascii="Sylfaen" w:hAnsi="Sylfaen" w:cs="Sylfaen"/>
          <w:sz w:val="24"/>
          <w:szCs w:val="24"/>
        </w:rPr>
        <w:t>,</w:t>
      </w:r>
      <w:r w:rsidRPr="0005448A">
        <w:rPr>
          <w:rFonts w:ascii="Sylfaen" w:hAnsi="Sylfaen" w:cs="Sylfaen"/>
          <w:sz w:val="24"/>
          <w:szCs w:val="24"/>
          <w:lang w:val="ka-GE"/>
        </w:rPr>
        <w:t xml:space="preserve"> ტრიციკლურმა ანტიდეპრესანტებმა შეიძლება შეამცირონ ცენტრალური მოქმედების ანტიჰიპერტენზიული საშუალებების ეფექტურობა, ტრიციკლური ანტიდეპრესანტების მოქსონიდინთან ერთად გამოყენება რეკომენდებული არ არის.</w:t>
      </w:r>
    </w:p>
    <w:p w14:paraId="0B042A8F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F04975">
        <w:rPr>
          <w:rFonts w:ascii="Sylfaen" w:hAnsi="Sylfaen" w:cs="Sylfaen"/>
          <w:sz w:val="24"/>
          <w:szCs w:val="24"/>
          <w:lang w:val="ka-GE"/>
        </w:rPr>
        <w:t>მოქსონიდინმა შეიძლება გააძლიეროს ტრიციკლური ანტიდეპრესანტების (მოერიდეთ ერთდროულ მიღებას), ტრანკვილიზატორების, ალკოჰოლის, სედატიური და საძილე საშუალებების სედატიური ეფექტი.</w:t>
      </w:r>
    </w:p>
    <w:p w14:paraId="39E16825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65940">
        <w:rPr>
          <w:rFonts w:ascii="Sylfaen" w:hAnsi="Sylfaen" w:cs="Sylfaen"/>
          <w:sz w:val="24"/>
          <w:szCs w:val="24"/>
          <w:lang w:val="ka-GE"/>
        </w:rPr>
        <w:t xml:space="preserve">მოქსონიდინმა </w:t>
      </w:r>
      <w:r>
        <w:rPr>
          <w:rFonts w:ascii="Sylfaen" w:hAnsi="Sylfaen" w:cs="Sylfaen"/>
          <w:sz w:val="24"/>
          <w:szCs w:val="24"/>
          <w:lang w:val="ka-GE"/>
        </w:rPr>
        <w:t>გაზარდა</w:t>
      </w:r>
      <w:r w:rsidRPr="00C65940">
        <w:rPr>
          <w:rFonts w:ascii="Sylfaen" w:hAnsi="Sylfaen" w:cs="Sylfaen"/>
          <w:sz w:val="24"/>
          <w:szCs w:val="24"/>
          <w:lang w:val="ka-GE"/>
        </w:rPr>
        <w:t xml:space="preserve"> კოგნიტური დაქვეითება პაციენტებში, რომლებიც იღებ</w:t>
      </w:r>
      <w:r>
        <w:rPr>
          <w:rFonts w:ascii="Sylfaen" w:hAnsi="Sylfaen" w:cs="Sylfaen"/>
          <w:sz w:val="24"/>
          <w:szCs w:val="24"/>
          <w:lang w:val="ka-GE"/>
        </w:rPr>
        <w:t>დნ</w:t>
      </w:r>
      <w:r w:rsidRPr="00C65940">
        <w:rPr>
          <w:rFonts w:ascii="Sylfaen" w:hAnsi="Sylfaen" w:cs="Sylfaen"/>
          <w:sz w:val="24"/>
          <w:szCs w:val="24"/>
          <w:lang w:val="ka-GE"/>
        </w:rPr>
        <w:t>ენ ლორაზეპამს.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65940">
        <w:rPr>
          <w:rFonts w:ascii="Sylfaen" w:hAnsi="Sylfaen" w:cs="Sylfaen"/>
          <w:sz w:val="24"/>
          <w:szCs w:val="24"/>
          <w:lang w:val="ka-GE"/>
        </w:rPr>
        <w:t>მოქსონიდინთან ერთად გამოყენებისას, შესაძლოა გაძლიერდეს ბენზოდიაზეპინების სედატიური ეფექტი.</w:t>
      </w:r>
    </w:p>
    <w:p w14:paraId="17653620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მოქსონიდინი გამოიყოფა მილაკოვანი სეკრეციის გზით.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B5F88">
        <w:rPr>
          <w:rFonts w:ascii="Sylfaen" w:hAnsi="Sylfaen" w:cs="Sylfaen"/>
          <w:sz w:val="24"/>
          <w:szCs w:val="24"/>
          <w:lang w:val="ka-GE"/>
        </w:rPr>
        <w:t>არ არის გამორიცხული ურთიერთქმედება სხვა პრეპარატებთან, რომლებიც გამოიყოფა მილაკოვანი სეკრეციის გზით.</w:t>
      </w:r>
    </w:p>
    <w:p w14:paraId="20DA2592" w14:textId="77777777" w:rsidR="008E6EF5" w:rsidRP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B5F88">
        <w:rPr>
          <w:rFonts w:ascii="Sylfaen" w:hAnsi="Sylfaen" w:cs="Sylfaen"/>
          <w:sz w:val="24"/>
          <w:szCs w:val="24"/>
          <w:lang w:val="ka-GE"/>
        </w:rPr>
        <w:t>ტოლაზოლინს შეუძლია დოზადამოკიდებულად შეამციროს მოქსონიდინის ეფექტი.</w:t>
      </w:r>
    </w:p>
    <w:p w14:paraId="6BE01180" w14:textId="77777777" w:rsidR="009F40E5" w:rsidRDefault="009F40E5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9F40E5">
        <w:rPr>
          <w:rFonts w:ascii="Sylfaen" w:hAnsi="Sylfaen" w:cs="Sylfaen"/>
          <w:b/>
          <w:bCs/>
          <w:sz w:val="24"/>
          <w:szCs w:val="24"/>
          <w:lang w:val="ka-GE"/>
        </w:rPr>
        <w:t>დოზის  გადაჭარბება</w:t>
      </w:r>
    </w:p>
    <w:p w14:paraId="0E0C55F0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სიმპტომები</w:t>
      </w:r>
    </w:p>
    <w:p w14:paraId="0A49842D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01EA0">
        <w:rPr>
          <w:rFonts w:ascii="Sylfaen" w:hAnsi="Sylfaen" w:cs="Sylfaen"/>
          <w:sz w:val="24"/>
          <w:szCs w:val="24"/>
          <w:lang w:val="ka-GE"/>
        </w:rPr>
        <w:t>დოზის გადაჭარბების რამდენიმე დაფიქსირებულ შემთხვევაში, 19.6 მგ დოზა იქნა მიღებული პერორალურად, ლეტალური შედეგის გარეშე.</w:t>
      </w:r>
      <w:r>
        <w:rPr>
          <w:rFonts w:ascii="Sylfaen" w:hAnsi="Sylfaen" w:cs="Sylfaen"/>
          <w:sz w:val="24"/>
          <w:szCs w:val="24"/>
          <w:lang w:val="ka-GE"/>
        </w:rPr>
        <w:t xml:space="preserve"> გამოვლინდა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 შემდეგი ნიშნები და სიმპტომები: თავის ტკივილი, სედაცია, ძილიანობა, ჰიპოტენზია, თავბრუსხვევა, ასთენია, ბრადიკარდია, პირის სიმშრალე, ღებინება, დაღლილობა და ტკივილი მუცლის ზედა ნაწილში.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მოქსონიდინის ფარმაკოდინამიკური თვისებების გათვალისწინებით, მოზრდილებში შესაძლებელია შემდეგი რეაქციების განვითარება: თავის ტკივილი, სედაცია, ძილიანობა, არტერიული ჰიპოტენზია, 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ორთოსტატული </w:t>
      </w:r>
      <w:r>
        <w:rPr>
          <w:rFonts w:ascii="Sylfaen" w:hAnsi="Sylfaen" w:cs="Sylfaen"/>
          <w:sz w:val="24"/>
          <w:szCs w:val="24"/>
          <w:lang w:val="ka-GE"/>
        </w:rPr>
        <w:t>დისრეგულაცი</w:t>
      </w:r>
      <w:r w:rsidRPr="00EA6B70">
        <w:rPr>
          <w:rFonts w:ascii="Sylfaen" w:hAnsi="Sylfaen" w:cs="Sylfaen"/>
          <w:sz w:val="24"/>
          <w:szCs w:val="24"/>
          <w:lang w:val="ka-GE"/>
        </w:rPr>
        <w:t>ა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, თავბრუსხვევა, ასთენია, ბრადიკარდია, პირის სიმშრალე,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26F01">
        <w:rPr>
          <w:rFonts w:ascii="Sylfaen" w:hAnsi="Sylfaen" w:cs="Sylfaen"/>
          <w:sz w:val="24"/>
          <w:szCs w:val="24"/>
          <w:lang w:val="ka-GE"/>
        </w:rPr>
        <w:t xml:space="preserve"> დაღლილობა და ტკივილი მუცლის ზედა ნაწილში.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იშვიათ შემთხვევებში შეიძლება განვითარდეს ღებინება და არტერიული წნევის ხანმოკლე პარადოქსული მატება.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მძიმე შემთხვევაში რეკომენდებულია მკაცრი მეთვალყურეობა, განსაკუთრებით ცნობიერების დარღვევისა და </w:t>
      </w:r>
      <w:r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შემთხვევაში.</w:t>
      </w:r>
    </w:p>
    <w:p w14:paraId="4160575D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>გარდა ამისა, ცხოველებზე დიდი დოზები</w:t>
      </w:r>
      <w:r>
        <w:rPr>
          <w:rFonts w:ascii="Sylfaen" w:hAnsi="Sylfaen" w:cs="Sylfaen"/>
          <w:sz w:val="24"/>
          <w:szCs w:val="24"/>
          <w:lang w:val="ka-GE"/>
        </w:rPr>
        <w:t>ს გამოყენებით</w:t>
      </w:r>
      <w:r w:rsidRPr="00EA6B70">
        <w:rPr>
          <w:rFonts w:ascii="Sylfaen" w:hAnsi="Sylfaen" w:cs="Sylfaen"/>
          <w:sz w:val="24"/>
          <w:szCs w:val="24"/>
          <w:lang w:val="ka-GE"/>
        </w:rPr>
        <w:t xml:space="preserve"> ჩატარებული რამდენიმე კვლევის თანახმად, შესაძლოა განვითარდეს გარდამავალი ჰიპერტენზია, ტაქიკარდია და ჰიპერგლიკემია.</w:t>
      </w:r>
    </w:p>
    <w:p w14:paraId="28045A49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მკურნალობა</w:t>
      </w:r>
    </w:p>
    <w:p w14:paraId="4A0871A5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A6B7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მძიმე შემთხვევაში, განსაკუთრებით რეკომენდებულია ცნობიერების დარღვევისა და </w:t>
      </w:r>
      <w:r w:rsidRPr="0076616C">
        <w:rPr>
          <w:rFonts w:ascii="Sylfaen" w:hAnsi="Sylfaen" w:cs="Sylfaen"/>
          <w:sz w:val="24"/>
          <w:szCs w:val="24"/>
          <w:lang w:val="ka-GE"/>
        </w:rPr>
        <w:t>რესპირატორული დეპრესიის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A6B70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E6EF5">
        <w:rPr>
          <w:rFonts w:ascii="Sylfaen" w:hAnsi="Sylfaen" w:cs="Sylfaen"/>
          <w:sz w:val="24"/>
          <w:szCs w:val="24"/>
          <w:lang w:val="ka-GE"/>
        </w:rPr>
        <w:t>მკურნალობა მოიცავს კუჭის ამორეცხვას (თუ ეს პროცედურა ტარდება მიღებიდან მალევე</w:t>
      </w:r>
      <w:r>
        <w:rPr>
          <w:rFonts w:ascii="Sylfaen" w:hAnsi="Sylfaen" w:cs="Sylfaen"/>
          <w:sz w:val="24"/>
          <w:szCs w:val="24"/>
          <w:lang w:val="ka-GE"/>
        </w:rPr>
        <w:t xml:space="preserve">), </w:t>
      </w:r>
      <w:r w:rsidRPr="008E6EF5">
        <w:rPr>
          <w:rFonts w:ascii="Sylfaen" w:hAnsi="Sylfaen" w:cs="Sylfaen"/>
          <w:sz w:val="24"/>
          <w:szCs w:val="24"/>
          <w:lang w:val="ka-GE"/>
        </w:rPr>
        <w:t>აქტივირებული ნახშირის და საფაღარათო საშუალებების მიღებას, სიმპტომურ მკურნალობა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Pr="008E6EF5">
        <w:rPr>
          <w:rFonts w:ascii="Sylfaen" w:hAnsi="Sylfaen" w:cs="Sylfaen"/>
          <w:sz w:val="24"/>
          <w:szCs w:val="24"/>
          <w:lang w:val="ka-GE"/>
        </w:rPr>
        <w:t>.</w:t>
      </w:r>
    </w:p>
    <w:p w14:paraId="40FC9996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185B5F">
        <w:rPr>
          <w:rFonts w:ascii="Sylfaen" w:hAnsi="Sylfaen" w:cs="Sylfaen"/>
          <w:sz w:val="24"/>
          <w:szCs w:val="24"/>
          <w:lang w:val="ka-GE"/>
        </w:rPr>
        <w:t>სპეციფიკური ანტიდოტი არ არის ცნობილი.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59CF6BF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644A32">
        <w:rPr>
          <w:rFonts w:ascii="Sylfaen" w:hAnsi="Sylfaen" w:cs="Sylfaen"/>
          <w:sz w:val="24"/>
          <w:szCs w:val="24"/>
          <w:lang w:val="ka-GE"/>
        </w:rPr>
        <w:t>ჰიპოტენზიის შემთხვევაში განიხილება ცირკულირებადი სისხლის მოცულობის აღდგენა სითხის და დოფამინის შეყვანით.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ბრადიკარდიის მკურნალობა შესაძლებელია ატროპინით.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44A32">
        <w:rPr>
          <w:rFonts w:ascii="Sylfaen" w:hAnsi="Sylfaen" w:cs="Sylfaen"/>
          <w:sz w:val="24"/>
          <w:szCs w:val="24"/>
          <w:lang w:val="ka-GE"/>
        </w:rPr>
        <w:t>ალფა-ადრენორეცეპტორების ანტაგონისტებმა შეიძლება შეამცირონ ან გააქრონ მოქსონიდინის დოზის გადაჭარბებისას განვითარებული პარადოქსული ჰიპერტენზიული ეფექტები.</w:t>
      </w:r>
    </w:p>
    <w:p w14:paraId="61B2BC66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A41FCC">
        <w:rPr>
          <w:rFonts w:ascii="Sylfaen" w:hAnsi="Sylfaen" w:cs="Sylfaen"/>
          <w:b/>
          <w:sz w:val="24"/>
          <w:szCs w:val="24"/>
          <w:lang w:val="ka-GE"/>
        </w:rPr>
        <w:t>ბავშვები</w:t>
      </w:r>
    </w:p>
    <w:p w14:paraId="20F28C0B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E40313">
        <w:rPr>
          <w:rFonts w:ascii="Sylfaen" w:hAnsi="Sylfaen" w:cs="Sylfaen"/>
          <w:sz w:val="24"/>
          <w:szCs w:val="24"/>
          <w:lang w:val="ka-GE"/>
        </w:rPr>
        <w:lastRenderedPageBreak/>
        <w:t>მოქსონიდინის შემთხვევითი დოზის გადაჭარბების შემთხვევა დაფიქსირდა 2 წლის ბავშვში: ბავშვმა მიიღო მოქსონიდინის უცნობი რაოდენობა.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მაქსიმალური დოზა, რომლის მიღებაც </w:t>
      </w:r>
      <w:r>
        <w:rPr>
          <w:rFonts w:ascii="Sylfaen" w:hAnsi="Sylfaen" w:cs="Sylfaen"/>
          <w:sz w:val="24"/>
          <w:szCs w:val="24"/>
          <w:lang w:val="ka-GE"/>
        </w:rPr>
        <w:t>შეეძლო, იყო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14 მგ.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40313">
        <w:rPr>
          <w:rFonts w:ascii="Sylfaen" w:hAnsi="Sylfaen" w:cs="Sylfaen"/>
          <w:sz w:val="24"/>
          <w:szCs w:val="24"/>
          <w:lang w:val="ka-GE"/>
        </w:rPr>
        <w:t>ბავშვს აღენიშნებოდა შემდეგი სიმპტომები: სედაცია, კომა, არტერიული ჰიპოტენზია, მიოზი და დისპნოე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  <w:r w:rsidRPr="00E40313">
        <w:rPr>
          <w:rFonts w:ascii="Sylfaen" w:hAnsi="Sylfaen" w:cs="Sylfaen"/>
          <w:sz w:val="24"/>
          <w:szCs w:val="24"/>
          <w:lang w:val="ka-GE"/>
        </w:rPr>
        <w:t>კუჭის ამორეცხვ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>, გლუკოზის ინფუზი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>, ხელოვნურ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ვენტილაცი</w:t>
      </w:r>
      <w:r>
        <w:rPr>
          <w:rFonts w:ascii="Sylfaen" w:hAnsi="Sylfaen" w:cs="Sylfaen"/>
          <w:sz w:val="24"/>
          <w:szCs w:val="24"/>
          <w:lang w:val="ka-GE"/>
        </w:rPr>
        <w:t>ის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და მოსვენებ</w:t>
      </w:r>
      <w:r>
        <w:rPr>
          <w:rFonts w:ascii="Sylfaen" w:hAnsi="Sylfaen" w:cs="Sylfaen"/>
          <w:sz w:val="24"/>
          <w:szCs w:val="24"/>
          <w:lang w:val="ka-GE"/>
        </w:rPr>
        <w:t>ის შედეგად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სრულ</w:t>
      </w:r>
      <w:r>
        <w:rPr>
          <w:rFonts w:ascii="Sylfaen" w:hAnsi="Sylfaen" w:cs="Sylfaen"/>
          <w:sz w:val="24"/>
          <w:szCs w:val="24"/>
          <w:lang w:val="ka-GE"/>
        </w:rPr>
        <w:t>ად</w:t>
      </w:r>
      <w:r w:rsidRPr="00E40313">
        <w:rPr>
          <w:rFonts w:ascii="Sylfaen" w:hAnsi="Sylfaen" w:cs="Sylfaen"/>
          <w:sz w:val="24"/>
          <w:szCs w:val="24"/>
          <w:lang w:val="ka-GE"/>
        </w:rPr>
        <w:t xml:space="preserve"> გაქრა </w:t>
      </w:r>
      <w:r w:rsidRPr="009A5389">
        <w:rPr>
          <w:rFonts w:ascii="Sylfaen" w:hAnsi="Sylfaen" w:cs="Sylfaen"/>
          <w:sz w:val="24"/>
          <w:szCs w:val="24"/>
          <w:lang w:val="ka-GE"/>
        </w:rPr>
        <w:t>11 საათის განმავლობაში.</w:t>
      </w:r>
    </w:p>
    <w:p w14:paraId="13F3468F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შენახვის  პირობები </w:t>
      </w:r>
    </w:p>
    <w:p w14:paraId="76E69724" w14:textId="77777777" w:rsidR="00B5770D" w:rsidRPr="00985691" w:rsidRDefault="00985691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ინახება</w:t>
      </w:r>
      <w:r w:rsidR="00B5770D" w:rsidRPr="00985691">
        <w:rPr>
          <w:rFonts w:ascii="Sylfaen" w:hAnsi="Sylfaen" w:cs="Sylfaen"/>
          <w:sz w:val="24"/>
          <w:szCs w:val="24"/>
          <w:lang w:val="ka-GE"/>
        </w:rPr>
        <w:t xml:space="preserve"> არაუმეტეს 30°C ტემპერატურის პირობებში, სინათლისა და ნესტისგან დაცულ ადგილას.</w:t>
      </w:r>
    </w:p>
    <w:p w14:paraId="0C5C3990" w14:textId="77777777" w:rsidR="00003E22" w:rsidRDefault="00B5770D" w:rsidP="00003E22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985691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785F37EA" w14:textId="77777777" w:rsidR="00003E22" w:rsidRDefault="00003E22" w:rsidP="00003E22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 xml:space="preserve">გაცემის </w:t>
      </w:r>
      <w:r>
        <w:rPr>
          <w:rFonts w:ascii="Sylfaen" w:hAnsi="Sylfaen" w:cs="Sylfaen"/>
          <w:b/>
          <w:noProof/>
          <w:color w:val="000000"/>
          <w:lang w:val="ka-GE"/>
        </w:rPr>
        <w:t>წესი:</w:t>
      </w:r>
    </w:p>
    <w:p w14:paraId="3FB23FCB" w14:textId="24A2107C" w:rsidR="00003E22" w:rsidRPr="00003E22" w:rsidRDefault="00003E22" w:rsidP="00003E22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 w:rsidRPr="00003E22">
        <w:rPr>
          <w:rFonts w:ascii="Sylfaen" w:hAnsi="Sylfaen" w:cs="Sylfaen"/>
          <w:bCs/>
          <w:noProof/>
          <w:color w:val="000000"/>
          <w:lang w:val="ka-GE"/>
        </w:rPr>
        <w:t>ფარმაცევტული</w:t>
      </w:r>
      <w:r w:rsidRPr="00003E22">
        <w:rPr>
          <w:rFonts w:ascii="Sylfaen" w:hAnsi="Sylfaen"/>
          <w:bCs/>
          <w:noProof/>
          <w:color w:val="000000"/>
          <w:lang w:val="ka-GE"/>
        </w:rPr>
        <w:t xml:space="preserve"> </w:t>
      </w:r>
      <w:r w:rsidRPr="00003E22">
        <w:rPr>
          <w:rFonts w:ascii="Sylfaen" w:hAnsi="Sylfaen" w:cs="Sylfaen"/>
          <w:bCs/>
          <w:noProof/>
          <w:color w:val="000000"/>
          <w:lang w:val="ka-GE"/>
        </w:rPr>
        <w:t>პროდუქტის</w:t>
      </w:r>
      <w:r w:rsidRPr="00003E22">
        <w:rPr>
          <w:rFonts w:ascii="Sylfaen" w:hAnsi="Sylfaen"/>
          <w:bCs/>
          <w:noProof/>
          <w:color w:val="000000"/>
          <w:lang w:val="ka-GE"/>
        </w:rPr>
        <w:t xml:space="preserve"> </w:t>
      </w:r>
      <w:r w:rsidRPr="00003E22">
        <w:rPr>
          <w:rFonts w:ascii="Sylfaen" w:hAnsi="Sylfaen" w:cs="Sylfaen"/>
          <w:bCs/>
          <w:noProof/>
          <w:color w:val="000000"/>
          <w:lang w:val="ka-GE"/>
        </w:rPr>
        <w:t>ჯგუფი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 xml:space="preserve">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6AEF026F" w14:textId="77777777" w:rsidR="00003E22" w:rsidRPr="00985691" w:rsidRDefault="00003E22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A663D44" w14:textId="77777777" w:rsidR="00B5770D" w:rsidRPr="00985691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985691">
        <w:rPr>
          <w:rFonts w:ascii="Sylfaen" w:hAnsi="Sylfaen" w:cs="Sylfaen"/>
          <w:b/>
          <w:bCs/>
          <w:sz w:val="24"/>
          <w:szCs w:val="24"/>
          <w:lang w:val="ka-GE"/>
        </w:rPr>
        <w:t>შეფუთვა</w:t>
      </w:r>
    </w:p>
    <w:p w14:paraId="6F49557B" w14:textId="77777777" w:rsidR="00B5770D" w:rsidRPr="00985691" w:rsidRDefault="00985691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3</w:t>
      </w:r>
      <w:r w:rsidR="00B5770D" w:rsidRPr="00985691">
        <w:rPr>
          <w:rFonts w:ascii="Sylfaen" w:hAnsi="Sylfaen" w:cs="Sylfaen"/>
          <w:sz w:val="24"/>
          <w:szCs w:val="24"/>
          <w:lang w:val="ka-GE"/>
        </w:rPr>
        <w:t>x10 ტაბლეტი დაფასოებულია Alu/Alu ბლისტერში, რომელიც ინსტრუქციასთან ერთად მოთავსებულია მუყაოს კოლოფში.</w:t>
      </w:r>
    </w:p>
    <w:p w14:paraId="6B615295" w14:textId="77777777" w:rsidR="00B5770D" w:rsidRDefault="00B5770D" w:rsidP="00165EC8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ვარგისიანობის ვადა</w:t>
      </w:r>
    </w:p>
    <w:p w14:paraId="0FAA048F" w14:textId="77777777" w:rsidR="008E6EF5" w:rsidRDefault="00985691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985691">
        <w:rPr>
          <w:rFonts w:ascii="Sylfaen" w:hAnsi="Sylfaen" w:cs="Sylfaen"/>
          <w:bCs/>
          <w:sz w:val="24"/>
          <w:szCs w:val="24"/>
          <w:lang w:val="ka-GE"/>
        </w:rPr>
        <w:t>24</w:t>
      </w:r>
      <w:r w:rsidR="00B5770D" w:rsidRPr="00985691">
        <w:rPr>
          <w:rFonts w:ascii="Sylfaen" w:hAnsi="Sylfaen" w:cs="Sylfaen"/>
          <w:bCs/>
          <w:sz w:val="24"/>
          <w:szCs w:val="24"/>
          <w:lang w:val="ka-GE"/>
        </w:rPr>
        <w:t>თვე</w:t>
      </w:r>
    </w:p>
    <w:p w14:paraId="087DA11E" w14:textId="77777777" w:rsidR="008E6EF5" w:rsidRDefault="008E6EF5" w:rsidP="008E6EF5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 BASE MEDICO PRIVATE LIMITED-ის მიერ</w:t>
      </w:r>
    </w:p>
    <w:p w14:paraId="569AB418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/>
          <w:sz w:val="24"/>
          <w:szCs w:val="24"/>
          <w:lang w:val="ka-GE"/>
        </w:rPr>
      </w:pPr>
      <w:r w:rsidRPr="008E6EF5">
        <w:rPr>
          <w:rFonts w:ascii="Sylfaen" w:hAnsi="Sylfaen"/>
          <w:sz w:val="24"/>
          <w:szCs w:val="24"/>
          <w:lang w:val="ka-GE"/>
        </w:rPr>
        <w:t>ინდოეთი, ვადოდარა</w:t>
      </w:r>
      <w:r>
        <w:rPr>
          <w:rFonts w:ascii="Sylfaen" w:hAnsi="Sylfaen"/>
          <w:sz w:val="24"/>
          <w:szCs w:val="24"/>
          <w:lang w:val="ka-GE"/>
        </w:rPr>
        <w:t>,</w:t>
      </w:r>
      <w:r w:rsidRPr="008E6EF5">
        <w:rPr>
          <w:rFonts w:ascii="Sylfaen" w:hAnsi="Sylfaen"/>
          <w:sz w:val="24"/>
          <w:szCs w:val="24"/>
          <w:lang w:val="ka-GE"/>
        </w:rPr>
        <w:t xml:space="preserve"> 391775, ტალუკა სავლი, სოფელი ტუნდავი, Essar ბენზინგასამართ სადგურთან ახლოს, Survey No. 570</w:t>
      </w:r>
    </w:p>
    <w:p w14:paraId="07FBDF67" w14:textId="77777777" w:rsidR="008E6EF5" w:rsidRDefault="008E6EF5" w:rsidP="008E6EF5">
      <w:pPr>
        <w:pStyle w:val="ListParagraph"/>
        <w:numPr>
          <w:ilvl w:val="0"/>
          <w:numId w:val="3"/>
        </w:numPr>
        <w:tabs>
          <w:tab w:val="left" w:pos="0"/>
        </w:tabs>
        <w:spacing w:after="0"/>
        <w:ind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Pr="00985691">
        <w:rPr>
          <w:rFonts w:ascii="Sylfaen" w:hAnsi="Sylfaen" w:cs="Sylfaen"/>
          <w:b/>
          <w:bCs/>
          <w:sz w:val="24"/>
          <w:szCs w:val="24"/>
          <w:lang w:val="ka-GE"/>
        </w:rPr>
        <w:t>Ri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veca Pharmaceuticals Pvt. Ltd.-სთვის</w:t>
      </w:r>
    </w:p>
    <w:p w14:paraId="64B62E5C" w14:textId="77777777" w:rsid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8E6EF5">
        <w:rPr>
          <w:rFonts w:ascii="Sylfaen" w:hAnsi="Sylfaen"/>
          <w:bCs/>
          <w:sz w:val="24"/>
          <w:szCs w:val="24"/>
          <w:lang w:val="ka-GE"/>
        </w:rPr>
        <w:t>ინდოეთი, გუჯარათი, აჰმადაბადი - 380054, ბოდაკდევი, Judges Bunglow, Primate, 203/C</w:t>
      </w:r>
    </w:p>
    <w:p w14:paraId="3C1D6540" w14:textId="77777777" w:rsidR="008E6EF5" w:rsidRPr="008E6EF5" w:rsidRDefault="008E6EF5" w:rsidP="008E6EF5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5705F">
        <w:rPr>
          <w:rFonts w:ascii="Sylfaen" w:hAnsi="Sylfaen"/>
          <w:bCs/>
          <w:sz w:val="24"/>
          <w:szCs w:val="24"/>
          <w:lang w:val="ka-GE"/>
        </w:rPr>
        <w:t xml:space="preserve">ელ-ფოსტა: </w:t>
      </w:r>
      <w:hyperlink r:id="rId5" w:history="1">
        <w:r w:rsidRPr="00C5705F">
          <w:rPr>
            <w:rStyle w:val="Hyperlink"/>
            <w:rFonts w:ascii="Sylfaen" w:hAnsi="Sylfaen"/>
            <w:bCs/>
            <w:sz w:val="24"/>
            <w:szCs w:val="24"/>
          </w:rPr>
          <w:t>info@rivecapharma.com</w:t>
        </w:r>
      </w:hyperlink>
      <w:r w:rsidRPr="00C5705F">
        <w:rPr>
          <w:rFonts w:ascii="Sylfaen" w:hAnsi="Sylfaen"/>
          <w:bCs/>
          <w:sz w:val="24"/>
          <w:szCs w:val="24"/>
        </w:rPr>
        <w:t xml:space="preserve"> </w:t>
      </w:r>
    </w:p>
    <w:p w14:paraId="4EC21C52" w14:textId="77777777" w:rsidR="00B5770D" w:rsidRPr="0035509A" w:rsidRDefault="00B5770D" w:rsidP="00165EC8">
      <w:pPr>
        <w:tabs>
          <w:tab w:val="left" w:pos="0"/>
        </w:tabs>
        <w:spacing w:after="0"/>
        <w:ind w:left="-630" w:right="-720"/>
        <w:jc w:val="both"/>
        <w:rPr>
          <w:rFonts w:ascii="Sylfaen" w:hAnsi="Sylfaen" w:cs="Sylfaen"/>
          <w:bCs/>
          <w:i/>
          <w:sz w:val="24"/>
          <w:szCs w:val="24"/>
          <w:lang w:val="ka-GE"/>
        </w:rPr>
      </w:pPr>
      <w:r w:rsidRPr="00985691">
        <w:rPr>
          <w:rFonts w:ascii="Sylfaen" w:hAnsi="Sylfaen" w:cs="Sylfaen"/>
          <w:bCs/>
          <w:i/>
          <w:sz w:val="24"/>
          <w:szCs w:val="24"/>
          <w:lang w:val="ka-GE"/>
        </w:rPr>
        <w:t xml:space="preserve">ხელმოწერილია/ბეჭედდასმულია </w:t>
      </w:r>
    </w:p>
    <w:p w14:paraId="07C547FD" w14:textId="77777777" w:rsidR="00DA4EBC" w:rsidRDefault="00DA4EBC" w:rsidP="00165EC8">
      <w:pPr>
        <w:tabs>
          <w:tab w:val="left" w:pos="0"/>
        </w:tabs>
        <w:ind w:right="-720" w:hanging="450"/>
      </w:pPr>
    </w:p>
    <w:sectPr w:rsidR="00DA4EBC" w:rsidSect="0035509A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D29DF"/>
    <w:multiLevelType w:val="hybridMultilevel"/>
    <w:tmpl w:val="8CBED1C2"/>
    <w:lvl w:ilvl="0" w:tplc="C5A4DC0E">
      <w:start w:val="1"/>
      <w:numFmt w:val="decimal"/>
      <w:lvlText w:val="%1."/>
      <w:lvlJc w:val="left"/>
      <w:pPr>
        <w:ind w:left="-630" w:hanging="360"/>
      </w:pPr>
    </w:lvl>
    <w:lvl w:ilvl="1" w:tplc="04090019">
      <w:start w:val="1"/>
      <w:numFmt w:val="lowerLetter"/>
      <w:lvlText w:val="%2."/>
      <w:lvlJc w:val="left"/>
      <w:pPr>
        <w:ind w:left="9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0409000F">
      <w:start w:val="1"/>
      <w:numFmt w:val="decimal"/>
      <w:lvlText w:val="%4."/>
      <w:lvlJc w:val="left"/>
      <w:pPr>
        <w:ind w:left="1530" w:hanging="360"/>
      </w:pPr>
    </w:lvl>
    <w:lvl w:ilvl="4" w:tplc="04090019">
      <w:start w:val="1"/>
      <w:numFmt w:val="lowerLetter"/>
      <w:lvlText w:val="%5."/>
      <w:lvlJc w:val="left"/>
      <w:pPr>
        <w:ind w:left="2250" w:hanging="360"/>
      </w:pPr>
    </w:lvl>
    <w:lvl w:ilvl="5" w:tplc="0409001B">
      <w:start w:val="1"/>
      <w:numFmt w:val="lowerRoman"/>
      <w:lvlText w:val="%6."/>
      <w:lvlJc w:val="right"/>
      <w:pPr>
        <w:ind w:left="2970" w:hanging="180"/>
      </w:pPr>
    </w:lvl>
    <w:lvl w:ilvl="6" w:tplc="0409000F">
      <w:start w:val="1"/>
      <w:numFmt w:val="decimal"/>
      <w:lvlText w:val="%7."/>
      <w:lvlJc w:val="left"/>
      <w:pPr>
        <w:ind w:left="3690" w:hanging="360"/>
      </w:pPr>
    </w:lvl>
    <w:lvl w:ilvl="7" w:tplc="04090019">
      <w:start w:val="1"/>
      <w:numFmt w:val="lowerLetter"/>
      <w:lvlText w:val="%8."/>
      <w:lvlJc w:val="left"/>
      <w:pPr>
        <w:ind w:left="4410" w:hanging="360"/>
      </w:pPr>
    </w:lvl>
    <w:lvl w:ilvl="8" w:tplc="0409001B">
      <w:start w:val="1"/>
      <w:numFmt w:val="lowerRoman"/>
      <w:lvlText w:val="%9."/>
      <w:lvlJc w:val="right"/>
      <w:pPr>
        <w:ind w:left="5130" w:hanging="180"/>
      </w:pPr>
    </w:lvl>
  </w:abstractNum>
  <w:abstractNum w:abstractNumId="1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</w:lvl>
    <w:lvl w:ilvl="1">
      <w:start w:val="1"/>
      <w:numFmt w:val="decimal"/>
      <w:isLgl/>
      <w:lvlText w:val="%1.%2."/>
      <w:lvlJc w:val="left"/>
      <w:pPr>
        <w:ind w:left="-585" w:hanging="405"/>
      </w:pPr>
    </w:lvl>
    <w:lvl w:ilvl="2">
      <w:start w:val="1"/>
      <w:numFmt w:val="decimal"/>
      <w:isLgl/>
      <w:lvlText w:val="%1.%2.%3."/>
      <w:lvlJc w:val="left"/>
      <w:pPr>
        <w:ind w:left="-270" w:hanging="720"/>
      </w:pPr>
    </w:lvl>
    <w:lvl w:ilvl="3">
      <w:start w:val="1"/>
      <w:numFmt w:val="decimal"/>
      <w:isLgl/>
      <w:lvlText w:val="%1.%2.%3.%4."/>
      <w:lvlJc w:val="left"/>
      <w:pPr>
        <w:ind w:left="-270" w:hanging="720"/>
      </w:pPr>
    </w:lvl>
    <w:lvl w:ilvl="4">
      <w:start w:val="1"/>
      <w:numFmt w:val="decimal"/>
      <w:isLgl/>
      <w:lvlText w:val="%1.%2.%3.%4.%5."/>
      <w:lvlJc w:val="left"/>
      <w:pPr>
        <w:ind w:left="90" w:hanging="1080"/>
      </w:pPr>
    </w:lvl>
    <w:lvl w:ilvl="5">
      <w:start w:val="1"/>
      <w:numFmt w:val="decimal"/>
      <w:isLgl/>
      <w:lvlText w:val="%1.%2.%3.%4.%5.%6."/>
      <w:lvlJc w:val="left"/>
      <w:pPr>
        <w:ind w:left="90" w:hanging="1080"/>
      </w:pPr>
    </w:lvl>
    <w:lvl w:ilvl="6">
      <w:start w:val="1"/>
      <w:numFmt w:val="decimal"/>
      <w:isLgl/>
      <w:lvlText w:val="%1.%2.%3.%4.%5.%6.%7."/>
      <w:lvlJc w:val="left"/>
      <w:pPr>
        <w:ind w:left="450" w:hanging="1440"/>
      </w:p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</w:lvl>
  </w:abstractNum>
  <w:abstractNum w:abstractNumId="2" w15:restartNumberingAfterBreak="0">
    <w:nsid w:val="5D90230F"/>
    <w:multiLevelType w:val="hybridMultilevel"/>
    <w:tmpl w:val="4246E966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5E8614D9"/>
    <w:multiLevelType w:val="multilevel"/>
    <w:tmpl w:val="03E02B82"/>
    <w:lvl w:ilvl="0">
      <w:start w:val="1"/>
      <w:numFmt w:val="decimal"/>
      <w:lvlText w:val="%1."/>
      <w:lvlJc w:val="left"/>
      <w:pPr>
        <w:ind w:left="-2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0" w:hanging="1800"/>
      </w:pPr>
      <w:rPr>
        <w:rFonts w:hint="default"/>
      </w:rPr>
    </w:lvl>
  </w:abstractNum>
  <w:abstractNum w:abstractNumId="4" w15:restartNumberingAfterBreak="0">
    <w:nsid w:val="6CCB79D7"/>
    <w:multiLevelType w:val="hybridMultilevel"/>
    <w:tmpl w:val="189A3F34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num w:numId="1" w16cid:durableId="6317893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8649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3745345">
    <w:abstractNumId w:val="3"/>
  </w:num>
  <w:num w:numId="4" w16cid:durableId="409693404">
    <w:abstractNumId w:val="0"/>
  </w:num>
  <w:num w:numId="5" w16cid:durableId="1186287217">
    <w:abstractNumId w:val="4"/>
  </w:num>
  <w:num w:numId="6" w16cid:durableId="53655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9C6"/>
    <w:rsid w:val="00003E22"/>
    <w:rsid w:val="00032148"/>
    <w:rsid w:val="00036AF1"/>
    <w:rsid w:val="00040917"/>
    <w:rsid w:val="00044BE6"/>
    <w:rsid w:val="0009170E"/>
    <w:rsid w:val="000B018C"/>
    <w:rsid w:val="00165EC8"/>
    <w:rsid w:val="00167933"/>
    <w:rsid w:val="00175092"/>
    <w:rsid w:val="00196076"/>
    <w:rsid w:val="001C2D5F"/>
    <w:rsid w:val="002252ED"/>
    <w:rsid w:val="00244AB3"/>
    <w:rsid w:val="00251F52"/>
    <w:rsid w:val="0026300E"/>
    <w:rsid w:val="00272AE1"/>
    <w:rsid w:val="002A7EBD"/>
    <w:rsid w:val="002E2572"/>
    <w:rsid w:val="00317DFD"/>
    <w:rsid w:val="003347BA"/>
    <w:rsid w:val="00352A23"/>
    <w:rsid w:val="0035509A"/>
    <w:rsid w:val="003A49B3"/>
    <w:rsid w:val="003E69DC"/>
    <w:rsid w:val="00403660"/>
    <w:rsid w:val="00407170"/>
    <w:rsid w:val="004255AB"/>
    <w:rsid w:val="00443EC6"/>
    <w:rsid w:val="004963E8"/>
    <w:rsid w:val="00523E8B"/>
    <w:rsid w:val="00532B8E"/>
    <w:rsid w:val="005759F0"/>
    <w:rsid w:val="005812D6"/>
    <w:rsid w:val="00585C35"/>
    <w:rsid w:val="0059528B"/>
    <w:rsid w:val="005A7547"/>
    <w:rsid w:val="005E13EB"/>
    <w:rsid w:val="00614800"/>
    <w:rsid w:val="006227FE"/>
    <w:rsid w:val="00636C1E"/>
    <w:rsid w:val="00640B1F"/>
    <w:rsid w:val="00696DBD"/>
    <w:rsid w:val="006C37EC"/>
    <w:rsid w:val="006D1B4B"/>
    <w:rsid w:val="00755D8B"/>
    <w:rsid w:val="00776E68"/>
    <w:rsid w:val="007911A9"/>
    <w:rsid w:val="007B5126"/>
    <w:rsid w:val="007B52BE"/>
    <w:rsid w:val="007C2ED5"/>
    <w:rsid w:val="007C71FE"/>
    <w:rsid w:val="007F33CA"/>
    <w:rsid w:val="007F4A44"/>
    <w:rsid w:val="00802E8A"/>
    <w:rsid w:val="0081601B"/>
    <w:rsid w:val="008212FB"/>
    <w:rsid w:val="008321F6"/>
    <w:rsid w:val="008418A3"/>
    <w:rsid w:val="00862FFA"/>
    <w:rsid w:val="0087136E"/>
    <w:rsid w:val="00871F92"/>
    <w:rsid w:val="0089388F"/>
    <w:rsid w:val="008A10BA"/>
    <w:rsid w:val="008B07E3"/>
    <w:rsid w:val="008E6EF5"/>
    <w:rsid w:val="00963C88"/>
    <w:rsid w:val="00985691"/>
    <w:rsid w:val="00986CAA"/>
    <w:rsid w:val="009F40E5"/>
    <w:rsid w:val="00A04DCE"/>
    <w:rsid w:val="00A14CFB"/>
    <w:rsid w:val="00A15057"/>
    <w:rsid w:val="00A24A46"/>
    <w:rsid w:val="00A31B8F"/>
    <w:rsid w:val="00A42015"/>
    <w:rsid w:val="00A44D44"/>
    <w:rsid w:val="00A5237D"/>
    <w:rsid w:val="00A849B8"/>
    <w:rsid w:val="00A850D6"/>
    <w:rsid w:val="00A91572"/>
    <w:rsid w:val="00AF7EB3"/>
    <w:rsid w:val="00B025FD"/>
    <w:rsid w:val="00B5770D"/>
    <w:rsid w:val="00B63E2C"/>
    <w:rsid w:val="00B749C6"/>
    <w:rsid w:val="00B97CC7"/>
    <w:rsid w:val="00BB36B7"/>
    <w:rsid w:val="00C11524"/>
    <w:rsid w:val="00C224FA"/>
    <w:rsid w:val="00C24AC2"/>
    <w:rsid w:val="00C50EAB"/>
    <w:rsid w:val="00C6341C"/>
    <w:rsid w:val="00C826F3"/>
    <w:rsid w:val="00C8369E"/>
    <w:rsid w:val="00CB5C14"/>
    <w:rsid w:val="00CC4E15"/>
    <w:rsid w:val="00CF3E95"/>
    <w:rsid w:val="00D20547"/>
    <w:rsid w:val="00D41256"/>
    <w:rsid w:val="00D64AA8"/>
    <w:rsid w:val="00D874AC"/>
    <w:rsid w:val="00DA4EBC"/>
    <w:rsid w:val="00DC6056"/>
    <w:rsid w:val="00DE527F"/>
    <w:rsid w:val="00DE6474"/>
    <w:rsid w:val="00E10B8A"/>
    <w:rsid w:val="00E203E4"/>
    <w:rsid w:val="00E2693F"/>
    <w:rsid w:val="00E5541B"/>
    <w:rsid w:val="00E941A0"/>
    <w:rsid w:val="00EB130A"/>
    <w:rsid w:val="00EB1D1F"/>
    <w:rsid w:val="00ED1562"/>
    <w:rsid w:val="00ED1A89"/>
    <w:rsid w:val="00F25C60"/>
    <w:rsid w:val="00F26244"/>
    <w:rsid w:val="00F312F8"/>
    <w:rsid w:val="00FA1E1A"/>
    <w:rsid w:val="00F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89D11"/>
  <w15:chartTrackingRefBased/>
  <w15:docId w15:val="{586FA675-B9AD-4592-B5FF-22D49C39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7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770D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5770D"/>
    <w:rPr>
      <w:rFonts w:ascii="Times New Roman" w:eastAsiaTheme="minorEastAsia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B5770D"/>
    <w:pPr>
      <w:ind w:left="720"/>
      <w:contextualSpacing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B5770D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150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iveca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7</Pages>
  <Words>2151</Words>
  <Characters>12265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Nanuli Janiashvili</cp:lastModifiedBy>
  <cp:revision>112</cp:revision>
  <dcterms:created xsi:type="dcterms:W3CDTF">2025-07-27T09:51:00Z</dcterms:created>
  <dcterms:modified xsi:type="dcterms:W3CDTF">2026-06-24T10:56:00Z</dcterms:modified>
</cp:coreProperties>
</file>