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6747D" w14:textId="633603CD" w:rsidR="00706791" w:rsidRPr="003A2047" w:rsidRDefault="003D1E52" w:rsidP="00A95BA5">
      <w:pPr>
        <w:shd w:val="clear" w:color="auto" w:fill="FFFFFF"/>
        <w:spacing w:after="0" w:line="20" w:lineRule="atLeast"/>
        <w:ind w:left="0" w:firstLine="0"/>
        <w:outlineLvl w:val="0"/>
        <w:rPr>
          <w:rFonts w:ascii="Sylfaen" w:hAnsi="Sylfaen"/>
          <w:b/>
          <w:sz w:val="24"/>
          <w:szCs w:val="24"/>
        </w:rPr>
      </w:pPr>
      <w:r w:rsidRPr="003A2047">
        <w:rPr>
          <w:rFonts w:ascii="Sylfaen" w:hAnsi="Sylfaen"/>
          <w:b/>
          <w:sz w:val="24"/>
          <w:szCs w:val="24"/>
        </w:rPr>
        <w:t xml:space="preserve">                                      </w:t>
      </w:r>
      <w:r w:rsidR="00C35C67" w:rsidRPr="003A2047">
        <w:rPr>
          <w:rFonts w:ascii="Sylfaen" w:hAnsi="Sylfaen"/>
          <w:b/>
          <w:sz w:val="24"/>
          <w:szCs w:val="24"/>
        </w:rPr>
        <w:t xml:space="preserve">         </w:t>
      </w:r>
      <w:r w:rsidR="002A772D" w:rsidRPr="003A2047">
        <w:rPr>
          <w:rFonts w:ascii="Sylfaen" w:hAnsi="Sylfaen"/>
          <w:b/>
          <w:sz w:val="24"/>
          <w:szCs w:val="24"/>
        </w:rPr>
        <w:t xml:space="preserve"> </w:t>
      </w:r>
      <w:r w:rsidR="00706791" w:rsidRPr="003A2047">
        <w:rPr>
          <w:rFonts w:ascii="Sylfaen" w:hAnsi="Sylfaen"/>
          <w:b/>
          <w:sz w:val="24"/>
          <w:szCs w:val="24"/>
        </w:rPr>
        <w:t>გამოყენების ინსტრუქცია</w:t>
      </w:r>
    </w:p>
    <w:p w14:paraId="1834B8A9" w14:textId="6554A02A" w:rsidR="00125AFD" w:rsidRDefault="00B8316F" w:rsidP="00A95BA5">
      <w:pPr>
        <w:spacing w:after="0" w:line="20" w:lineRule="atLeast"/>
        <w:ind w:left="0"/>
        <w:rPr>
          <w:rFonts w:ascii="Sylfaen" w:hAnsi="Sylfaen"/>
          <w:b/>
          <w:sz w:val="24"/>
          <w:szCs w:val="24"/>
        </w:rPr>
      </w:pPr>
      <w:bookmarkStart w:id="0" w:name="_Hlk176339754"/>
      <w:r w:rsidRPr="003A2047">
        <w:rPr>
          <w:rFonts w:ascii="Sylfaen" w:hAnsi="Sylfaen"/>
          <w:b/>
          <w:bCs/>
          <w:kern w:val="0"/>
          <w:sz w:val="24"/>
          <w:szCs w:val="24"/>
          <w14:ligatures w14:val="none"/>
        </w:rPr>
        <w:t xml:space="preserve">              </w:t>
      </w:r>
      <w:bookmarkEnd w:id="0"/>
      <w:r w:rsidR="002A772D" w:rsidRPr="003A2047">
        <w:rPr>
          <w:rFonts w:ascii="Sylfaen" w:hAnsi="Sylfaen"/>
          <w:b/>
          <w:sz w:val="24"/>
          <w:szCs w:val="24"/>
        </w:rPr>
        <w:t xml:space="preserve">                                                 ემფაჟი 10  </w:t>
      </w:r>
    </w:p>
    <w:p w14:paraId="01A39EB4" w14:textId="1D52F9BC" w:rsidR="00F371F3" w:rsidRDefault="00F371F3" w:rsidP="00F371F3">
      <w:pPr>
        <w:rPr>
          <w:b/>
          <w:bCs/>
          <w:kern w:val="0"/>
          <w:sz w:val="24"/>
          <w:szCs w:val="24"/>
          <w14:ligatures w14:val="none"/>
        </w:rPr>
      </w:pPr>
      <w:r>
        <w:rPr>
          <w:b/>
          <w:bCs/>
          <w:kern w:val="0"/>
          <w:sz w:val="24"/>
          <w:szCs w:val="24"/>
          <w14:ligatures w14:val="none"/>
        </w:rPr>
        <w:t xml:space="preserve">                                                          EMPHAGE </w:t>
      </w:r>
      <w:r>
        <w:rPr>
          <w:b/>
          <w:bCs/>
          <w:kern w:val="0"/>
          <w:sz w:val="24"/>
          <w:szCs w:val="24"/>
          <w:vertAlign w:val="superscript"/>
          <w14:ligatures w14:val="none"/>
        </w:rPr>
        <w:t xml:space="preserve">® </w:t>
      </w:r>
      <w:r>
        <w:rPr>
          <w:b/>
          <w:bCs/>
          <w:kern w:val="0"/>
          <w:sz w:val="24"/>
          <w:szCs w:val="24"/>
          <w14:ligatures w14:val="none"/>
        </w:rPr>
        <w:t>10</w:t>
      </w:r>
    </w:p>
    <w:p w14:paraId="7D0C1988" w14:textId="77777777" w:rsidR="00F371F3" w:rsidRDefault="00F371F3" w:rsidP="00F371F3">
      <w:pPr>
        <w:tabs>
          <w:tab w:val="center" w:pos="2594"/>
        </w:tabs>
        <w:spacing w:after="0" w:line="20" w:lineRule="atLeast"/>
        <w:ind w:left="0" w:firstLine="0"/>
        <w:rPr>
          <w:b/>
          <w:sz w:val="24"/>
          <w:szCs w:val="24"/>
        </w:rPr>
      </w:pPr>
    </w:p>
    <w:p w14:paraId="7B89B89C" w14:textId="61089991" w:rsidR="00AE4DD4" w:rsidRPr="003A2047" w:rsidRDefault="00AE4DD4" w:rsidP="00A95BA5">
      <w:pPr>
        <w:spacing w:after="0" w:line="20" w:lineRule="atLeast"/>
        <w:ind w:left="0" w:right="141" w:firstLine="0"/>
        <w:rPr>
          <w:rFonts w:ascii="Sylfaen" w:hAnsi="Sylfaen"/>
          <w:b/>
          <w:sz w:val="24"/>
          <w:szCs w:val="24"/>
        </w:rPr>
      </w:pPr>
    </w:p>
    <w:p w14:paraId="66E076E8" w14:textId="77777777" w:rsidR="00AE4DD4" w:rsidRPr="003A2047" w:rsidRDefault="00AE4DD4" w:rsidP="00A95BA5">
      <w:pPr>
        <w:tabs>
          <w:tab w:val="center" w:pos="2594"/>
        </w:tabs>
        <w:spacing w:after="0" w:line="20" w:lineRule="atLeast"/>
        <w:ind w:left="0" w:right="141" w:firstLine="0"/>
        <w:rPr>
          <w:rFonts w:ascii="Sylfaen" w:hAnsi="Sylfaen"/>
          <w:b/>
          <w:bCs/>
          <w:sz w:val="24"/>
          <w:szCs w:val="24"/>
        </w:rPr>
      </w:pPr>
    </w:p>
    <w:p w14:paraId="72FBDA7E" w14:textId="77777777" w:rsidR="00706791" w:rsidRPr="003A2047" w:rsidRDefault="00706791" w:rsidP="00A95BA5">
      <w:pPr>
        <w:shd w:val="clear" w:color="auto" w:fill="FFFFFF"/>
        <w:spacing w:after="0" w:line="240" w:lineRule="auto"/>
        <w:ind w:right="141"/>
        <w:jc w:val="both"/>
        <w:rPr>
          <w:rFonts w:ascii="Sylfaen" w:hAnsi="Sylfaen"/>
          <w:b/>
          <w:bCs/>
          <w:sz w:val="24"/>
          <w:szCs w:val="24"/>
        </w:rPr>
      </w:pPr>
      <w:bookmarkStart w:id="1" w:name="_Hlk173836914"/>
      <w:bookmarkStart w:id="2" w:name="_Hlk176339948"/>
      <w:bookmarkStart w:id="3" w:name="_Hlk176350805"/>
      <w:r w:rsidRPr="003A2047">
        <w:rPr>
          <w:rFonts w:ascii="Sylfaen" w:hAnsi="Sylfaen"/>
          <w:b/>
          <w:bCs/>
          <w:sz w:val="24"/>
          <w:szCs w:val="24"/>
        </w:rPr>
        <w:t>სამედიცინო პროდუქტის დასახელება</w:t>
      </w:r>
    </w:p>
    <w:p w14:paraId="6203463F" w14:textId="448670CD" w:rsidR="00B2459D" w:rsidRPr="0082636D" w:rsidRDefault="00BE5A59" w:rsidP="00A95BA5">
      <w:pPr>
        <w:spacing w:after="0" w:line="20" w:lineRule="atLeast"/>
        <w:ind w:left="0" w:right="141"/>
        <w:rPr>
          <w:rFonts w:ascii="Sylfaen" w:hAnsi="Sylfaen"/>
          <w:b/>
          <w:sz w:val="24"/>
          <w:szCs w:val="24"/>
        </w:rPr>
      </w:pPr>
      <w:r w:rsidRPr="0082636D">
        <w:rPr>
          <w:rFonts w:ascii="Sylfaen" w:hAnsi="Sylfaen"/>
          <w:b/>
          <w:sz w:val="24"/>
          <w:szCs w:val="24"/>
        </w:rPr>
        <w:t>ემფაჟი</w:t>
      </w:r>
      <w:r w:rsidR="0082636D">
        <w:rPr>
          <w:rFonts w:ascii="Sylfaen" w:hAnsi="Sylfaen"/>
          <w:b/>
          <w:sz w:val="24"/>
          <w:szCs w:val="24"/>
        </w:rPr>
        <w:t xml:space="preserve"> </w:t>
      </w:r>
      <w:r w:rsidR="0082636D">
        <w:rPr>
          <w:rFonts w:ascii="Sylfaen" w:hAnsi="Sylfaen"/>
          <w:b/>
          <w:sz w:val="24"/>
          <w:szCs w:val="24"/>
          <w:vertAlign w:val="superscript"/>
        </w:rPr>
        <w:t>®</w:t>
      </w:r>
      <w:r w:rsidRPr="0082636D">
        <w:rPr>
          <w:rFonts w:ascii="Sylfaen" w:hAnsi="Sylfaen"/>
          <w:b/>
          <w:sz w:val="24"/>
          <w:szCs w:val="24"/>
        </w:rPr>
        <w:t xml:space="preserve"> </w:t>
      </w:r>
      <w:bookmarkEnd w:id="1"/>
      <w:r w:rsidRPr="0082636D">
        <w:rPr>
          <w:rFonts w:ascii="Sylfaen" w:hAnsi="Sylfaen"/>
          <w:b/>
          <w:sz w:val="24"/>
          <w:szCs w:val="24"/>
        </w:rPr>
        <w:t>10</w:t>
      </w:r>
      <w:bookmarkStart w:id="4" w:name="_Hlk173839325"/>
    </w:p>
    <w:bookmarkEnd w:id="2"/>
    <w:bookmarkEnd w:id="3"/>
    <w:bookmarkEnd w:id="4"/>
    <w:p w14:paraId="30392C89" w14:textId="77777777" w:rsidR="003D1E52" w:rsidRPr="003A2047" w:rsidRDefault="003D1E52" w:rsidP="00A95BA5">
      <w:pPr>
        <w:spacing w:after="0" w:line="20" w:lineRule="atLeast"/>
        <w:ind w:left="0" w:right="141"/>
        <w:rPr>
          <w:rFonts w:ascii="Sylfaen" w:hAnsi="Sylfaen"/>
          <w:b/>
          <w:bCs/>
          <w:sz w:val="24"/>
          <w:szCs w:val="24"/>
        </w:rPr>
      </w:pPr>
    </w:p>
    <w:p w14:paraId="2C19971A" w14:textId="3039B09C" w:rsidR="00706791" w:rsidRPr="003A2047" w:rsidRDefault="004E7AF0" w:rsidP="00A95BA5">
      <w:pPr>
        <w:spacing w:after="0" w:line="20" w:lineRule="atLeast"/>
        <w:ind w:left="0" w:right="141"/>
        <w:rPr>
          <w:rFonts w:ascii="Sylfaen" w:hAnsi="Sylfaen" w:cs="Sylfaen"/>
          <w:b/>
          <w:bCs/>
          <w:sz w:val="24"/>
          <w:szCs w:val="24"/>
        </w:rPr>
      </w:pPr>
      <w:r w:rsidRPr="003A2047">
        <w:rPr>
          <w:rFonts w:ascii="Sylfaen" w:hAnsi="Sylfaen"/>
          <w:b/>
          <w:bCs/>
          <w:sz w:val="24"/>
          <w:szCs w:val="24"/>
        </w:rPr>
        <w:t>ხარისხობრივი და რაოდენობრივი შემადგენლობა</w:t>
      </w:r>
    </w:p>
    <w:p w14:paraId="090200CC" w14:textId="74A23B0A" w:rsidR="00B2459D" w:rsidRPr="003A2047" w:rsidRDefault="00C60731" w:rsidP="00A95BA5">
      <w:pPr>
        <w:spacing w:after="0" w:line="20" w:lineRule="atLeast"/>
        <w:ind w:left="0" w:right="141"/>
        <w:rPr>
          <w:rFonts w:ascii="Sylfaen" w:hAnsi="Sylfaen"/>
          <w:b/>
          <w:bCs/>
          <w:sz w:val="24"/>
          <w:szCs w:val="24"/>
        </w:rPr>
      </w:pPr>
      <w:r w:rsidRPr="003A2047">
        <w:rPr>
          <w:rFonts w:ascii="Sylfaen" w:hAnsi="Sylfaen"/>
          <w:b/>
          <w:sz w:val="24"/>
          <w:szCs w:val="24"/>
        </w:rPr>
        <w:t xml:space="preserve">ემფაჟი </w:t>
      </w:r>
      <w:r w:rsidR="0082636D">
        <w:rPr>
          <w:rFonts w:ascii="Sylfaen" w:hAnsi="Sylfaen"/>
          <w:b/>
          <w:sz w:val="24"/>
          <w:szCs w:val="24"/>
        </w:rPr>
        <w:t>®</w:t>
      </w:r>
      <w:r w:rsidRPr="003A2047">
        <w:rPr>
          <w:rFonts w:ascii="Sylfaen" w:hAnsi="Sylfaen"/>
          <w:b/>
          <w:sz w:val="24"/>
          <w:szCs w:val="24"/>
        </w:rPr>
        <w:t>10</w:t>
      </w:r>
    </w:p>
    <w:p w14:paraId="32265BA2" w14:textId="11517B80" w:rsidR="00DE4A6C" w:rsidRDefault="000D60B7" w:rsidP="00A95BA5">
      <w:pPr>
        <w:spacing w:after="0" w:line="20" w:lineRule="atLeast"/>
        <w:ind w:left="0" w:right="141" w:firstLine="0"/>
        <w:rPr>
          <w:rFonts w:ascii="Sylfaen" w:hAnsi="Sylfaen"/>
          <w:sz w:val="24"/>
          <w:szCs w:val="24"/>
        </w:rPr>
      </w:pPr>
      <w:bookmarkStart w:id="5" w:name="_Hlk176340150"/>
      <w:r w:rsidRPr="003A2047">
        <w:rPr>
          <w:rFonts w:ascii="Sylfaen" w:hAnsi="Sylfaen"/>
          <w:sz w:val="24"/>
          <w:szCs w:val="24"/>
        </w:rPr>
        <w:t xml:space="preserve">თითოეული </w:t>
      </w:r>
      <w:r w:rsidR="00706791" w:rsidRPr="003A2047">
        <w:rPr>
          <w:rFonts w:ascii="Sylfaen" w:hAnsi="Sylfaen"/>
          <w:sz w:val="24"/>
          <w:szCs w:val="24"/>
        </w:rPr>
        <w:t>აპკიანი გარსით დაფარული ტაბლეტი შეიცავს:</w:t>
      </w:r>
      <w:bookmarkStart w:id="6" w:name="_Hlk176340589"/>
      <w:r w:rsidR="00706791" w:rsidRPr="003A2047">
        <w:rPr>
          <w:rFonts w:ascii="Sylfaen" w:hAnsi="Sylfaen"/>
          <w:sz w:val="24"/>
          <w:szCs w:val="24"/>
        </w:rPr>
        <w:t xml:space="preserve"> </w:t>
      </w:r>
      <w:bookmarkEnd w:id="5"/>
      <w:bookmarkEnd w:id="6"/>
      <w:r w:rsidR="00974F99" w:rsidRPr="003A2047">
        <w:rPr>
          <w:rFonts w:ascii="Sylfaen" w:hAnsi="Sylfaen"/>
          <w:sz w:val="24"/>
          <w:szCs w:val="24"/>
        </w:rPr>
        <w:t xml:space="preserve">10 მგ </w:t>
      </w:r>
      <w:r w:rsidR="00706791" w:rsidRPr="003A2047">
        <w:rPr>
          <w:rFonts w:ascii="Sylfaen" w:hAnsi="Sylfaen"/>
          <w:sz w:val="24"/>
          <w:szCs w:val="24"/>
        </w:rPr>
        <w:t>ემ</w:t>
      </w:r>
      <w:r w:rsidR="00974F99" w:rsidRPr="00807153">
        <w:rPr>
          <w:rFonts w:ascii="Sylfaen" w:hAnsi="Sylfaen"/>
          <w:sz w:val="24"/>
          <w:szCs w:val="24"/>
        </w:rPr>
        <w:t>პ</w:t>
      </w:r>
      <w:r w:rsidR="00706791" w:rsidRPr="00807153">
        <w:rPr>
          <w:rFonts w:ascii="Sylfaen" w:hAnsi="Sylfaen"/>
          <w:sz w:val="24"/>
          <w:szCs w:val="24"/>
        </w:rPr>
        <w:t>ა</w:t>
      </w:r>
      <w:r w:rsidR="00706791" w:rsidRPr="003A2047">
        <w:rPr>
          <w:rFonts w:ascii="Sylfaen" w:hAnsi="Sylfaen"/>
          <w:sz w:val="24"/>
          <w:szCs w:val="24"/>
        </w:rPr>
        <w:t>გლიფლოზინს</w:t>
      </w:r>
      <w:r w:rsidR="00974F99" w:rsidRPr="003A2047">
        <w:rPr>
          <w:rFonts w:ascii="Sylfaen" w:hAnsi="Sylfaen"/>
          <w:sz w:val="24"/>
          <w:szCs w:val="24"/>
        </w:rPr>
        <w:t>.</w:t>
      </w:r>
      <w:r w:rsidR="00706791" w:rsidRPr="003A2047">
        <w:rPr>
          <w:rFonts w:ascii="Sylfaen" w:hAnsi="Sylfaen"/>
          <w:sz w:val="24"/>
          <w:szCs w:val="24"/>
        </w:rPr>
        <w:t xml:space="preserve"> </w:t>
      </w:r>
      <w:r w:rsidR="00706791" w:rsidRPr="0082636D">
        <w:rPr>
          <w:rFonts w:ascii="Sylfaen" w:hAnsi="Sylfaen"/>
          <w:i/>
          <w:iCs/>
          <w:sz w:val="24"/>
          <w:szCs w:val="24"/>
        </w:rPr>
        <w:t>დამხმარე ნივთიერებები:</w:t>
      </w:r>
      <w:r w:rsidR="00706791" w:rsidRPr="003A2047">
        <w:rPr>
          <w:rFonts w:ascii="Sylfaen" w:hAnsi="Sylfaen"/>
          <w:sz w:val="24"/>
          <w:szCs w:val="24"/>
        </w:rPr>
        <w:t xml:space="preserve"> </w:t>
      </w:r>
      <w:r w:rsidR="00DE4A6C">
        <w:rPr>
          <w:rFonts w:ascii="Sylfaen" w:hAnsi="Sylfaen"/>
          <w:sz w:val="24"/>
          <w:szCs w:val="24"/>
        </w:rPr>
        <w:t>მომზადებული გრანულები (</w:t>
      </w:r>
      <w:r w:rsidR="00DE4A6C" w:rsidRPr="003A2047">
        <w:rPr>
          <w:rFonts w:ascii="Sylfaen" w:hAnsi="Sylfaen"/>
          <w:sz w:val="24"/>
          <w:szCs w:val="24"/>
        </w:rPr>
        <w:t>მიკროკრისტალური ცელულოზა</w:t>
      </w:r>
      <w:r w:rsidR="00DE4A6C">
        <w:rPr>
          <w:rFonts w:ascii="Sylfaen" w:hAnsi="Sylfaen"/>
          <w:sz w:val="24"/>
          <w:szCs w:val="24"/>
        </w:rPr>
        <w:t xml:space="preserve">, </w:t>
      </w:r>
      <w:r w:rsidR="00757493">
        <w:rPr>
          <w:rFonts w:ascii="Sylfaen" w:hAnsi="Sylfaen"/>
          <w:sz w:val="24"/>
          <w:szCs w:val="24"/>
        </w:rPr>
        <w:t>პოვიდონი, კროსპოვიდონი</w:t>
      </w:r>
      <w:r w:rsidR="009923EF">
        <w:rPr>
          <w:rFonts w:ascii="Sylfaen" w:hAnsi="Sylfaen"/>
          <w:sz w:val="24"/>
          <w:szCs w:val="24"/>
        </w:rPr>
        <w:t>)</w:t>
      </w:r>
      <w:r w:rsidR="0082636D">
        <w:rPr>
          <w:rFonts w:ascii="Sylfaen" w:hAnsi="Sylfaen"/>
          <w:sz w:val="24"/>
          <w:szCs w:val="24"/>
        </w:rPr>
        <w:t>,</w:t>
      </w:r>
      <w:r w:rsidR="009923EF">
        <w:rPr>
          <w:rFonts w:ascii="Sylfaen" w:hAnsi="Sylfaen"/>
          <w:sz w:val="24"/>
          <w:szCs w:val="24"/>
        </w:rPr>
        <w:t xml:space="preserve"> </w:t>
      </w:r>
      <w:r w:rsidR="009923EF" w:rsidRPr="003A2047">
        <w:rPr>
          <w:rFonts w:ascii="Sylfaen" w:hAnsi="Sylfaen"/>
          <w:sz w:val="24"/>
          <w:szCs w:val="24"/>
        </w:rPr>
        <w:t>მიკროკრისტალური ცელულოზა</w:t>
      </w:r>
      <w:r w:rsidR="009923EF">
        <w:rPr>
          <w:rFonts w:ascii="Sylfaen" w:hAnsi="Sylfaen"/>
          <w:sz w:val="24"/>
          <w:szCs w:val="24"/>
        </w:rPr>
        <w:t xml:space="preserve">, </w:t>
      </w:r>
      <w:r w:rsidR="00757493">
        <w:rPr>
          <w:rFonts w:ascii="Sylfaen" w:hAnsi="Sylfaen"/>
          <w:sz w:val="24"/>
          <w:szCs w:val="24"/>
        </w:rPr>
        <w:t xml:space="preserve"> </w:t>
      </w:r>
      <w:r w:rsidR="009923EF">
        <w:rPr>
          <w:rFonts w:ascii="Sylfaen" w:hAnsi="Sylfaen"/>
          <w:sz w:val="24"/>
          <w:szCs w:val="24"/>
        </w:rPr>
        <w:t xml:space="preserve">მაგნიუმის სტეარატი, </w:t>
      </w:r>
      <w:r w:rsidR="009923EF" w:rsidRPr="003A2047">
        <w:rPr>
          <w:rFonts w:ascii="Sylfaen" w:hAnsi="Sylfaen"/>
          <w:sz w:val="24"/>
          <w:szCs w:val="24"/>
        </w:rPr>
        <w:t>სილიციუმი</w:t>
      </w:r>
      <w:r w:rsidR="009923EF">
        <w:rPr>
          <w:rFonts w:ascii="Sylfaen" w:hAnsi="Sylfaen"/>
          <w:sz w:val="24"/>
          <w:szCs w:val="24"/>
        </w:rPr>
        <w:t xml:space="preserve"> </w:t>
      </w:r>
      <w:r w:rsidR="009923EF" w:rsidRPr="003A2047">
        <w:rPr>
          <w:rFonts w:ascii="Sylfaen" w:hAnsi="Sylfaen"/>
          <w:sz w:val="24"/>
          <w:szCs w:val="24"/>
        </w:rPr>
        <w:t>კოლოიდური</w:t>
      </w:r>
      <w:r w:rsidR="009923EF">
        <w:rPr>
          <w:rFonts w:ascii="Sylfaen" w:hAnsi="Sylfaen"/>
          <w:sz w:val="24"/>
          <w:szCs w:val="24"/>
        </w:rPr>
        <w:t xml:space="preserve"> </w:t>
      </w:r>
      <w:r w:rsidR="009923EF" w:rsidRPr="003A2047">
        <w:rPr>
          <w:rFonts w:ascii="Sylfaen" w:hAnsi="Sylfaen"/>
          <w:sz w:val="24"/>
          <w:szCs w:val="24"/>
        </w:rPr>
        <w:t>უწყლო</w:t>
      </w:r>
      <w:r w:rsidR="009923EF">
        <w:rPr>
          <w:rFonts w:ascii="Sylfaen" w:hAnsi="Sylfaen"/>
          <w:sz w:val="24"/>
          <w:szCs w:val="24"/>
        </w:rPr>
        <w:t>, კროსპოვიდონი, ჰიდროქსიპროპილმეთილ ცელულოზა, ტიტანიუმის დიოქსიდი, გასუფთავებული ტალკი, საღებავი</w:t>
      </w:r>
      <w:r w:rsidR="009923EF" w:rsidRPr="009923EF">
        <w:t xml:space="preserve"> </w:t>
      </w:r>
      <w:r w:rsidR="009923EF" w:rsidRPr="009923EF">
        <w:rPr>
          <w:rFonts w:ascii="Sylfaen" w:hAnsi="Sylfaen"/>
          <w:sz w:val="24"/>
          <w:szCs w:val="24"/>
        </w:rPr>
        <w:t>PB Blue</w:t>
      </w:r>
      <w:r w:rsidR="009923EF">
        <w:rPr>
          <w:rFonts w:ascii="Sylfaen" w:hAnsi="Sylfaen"/>
          <w:sz w:val="24"/>
          <w:szCs w:val="24"/>
        </w:rPr>
        <w:t xml:space="preserve">. </w:t>
      </w:r>
    </w:p>
    <w:p w14:paraId="7F7D03E6" w14:textId="77777777" w:rsidR="00DE4A6C" w:rsidRDefault="00DE4A6C" w:rsidP="00A95BA5">
      <w:pPr>
        <w:spacing w:after="0" w:line="20" w:lineRule="atLeast"/>
        <w:ind w:left="0" w:right="141" w:firstLine="0"/>
        <w:rPr>
          <w:rFonts w:ascii="Sylfaen" w:hAnsi="Sylfaen"/>
          <w:sz w:val="24"/>
          <w:szCs w:val="24"/>
        </w:rPr>
      </w:pPr>
    </w:p>
    <w:p w14:paraId="698FD660" w14:textId="0CAE07C2" w:rsidR="00430AB5" w:rsidRPr="003A2047" w:rsidRDefault="009923EF" w:rsidP="00A95BA5">
      <w:pPr>
        <w:spacing w:after="0" w:line="20" w:lineRule="atLeast"/>
        <w:ind w:left="0" w:right="141"/>
        <w:rPr>
          <w:rFonts w:ascii="Sylfaen" w:hAnsi="Sylfaen" w:cs="Sylfaen"/>
          <w:b/>
          <w:sz w:val="24"/>
          <w:szCs w:val="24"/>
        </w:rPr>
      </w:pPr>
      <w:r>
        <w:rPr>
          <w:rFonts w:ascii="Sylfaen" w:hAnsi="Sylfaen"/>
          <w:b/>
          <w:sz w:val="24"/>
          <w:szCs w:val="24"/>
        </w:rPr>
        <w:t>ფ</w:t>
      </w:r>
      <w:r w:rsidR="00430AB5" w:rsidRPr="003A2047">
        <w:rPr>
          <w:rFonts w:ascii="Sylfaen" w:hAnsi="Sylfaen"/>
          <w:b/>
          <w:sz w:val="24"/>
          <w:szCs w:val="24"/>
        </w:rPr>
        <w:t>არმაცევტული ფორმა</w:t>
      </w:r>
    </w:p>
    <w:p w14:paraId="10B8BCCC" w14:textId="75A2706B" w:rsidR="004E7AF0" w:rsidRPr="003A2047" w:rsidRDefault="00430AB5" w:rsidP="00A95BA5">
      <w:pPr>
        <w:spacing w:after="0" w:line="20" w:lineRule="atLeast"/>
        <w:ind w:left="0" w:right="141"/>
        <w:rPr>
          <w:rFonts w:ascii="Sylfaen" w:hAnsi="Sylfaen"/>
          <w:sz w:val="24"/>
          <w:szCs w:val="24"/>
        </w:rPr>
      </w:pPr>
      <w:r w:rsidRPr="003A2047">
        <w:rPr>
          <w:rFonts w:ascii="Sylfaen" w:hAnsi="Sylfaen"/>
          <w:sz w:val="24"/>
          <w:szCs w:val="24"/>
        </w:rPr>
        <w:t>აპკიანი გარსით დაფარული ტაბლეტი  10 მგ</w:t>
      </w:r>
      <w:r w:rsidR="00744105">
        <w:rPr>
          <w:rFonts w:ascii="Sylfaen" w:hAnsi="Sylfaen"/>
          <w:sz w:val="24"/>
          <w:szCs w:val="24"/>
        </w:rPr>
        <w:t>.</w:t>
      </w:r>
    </w:p>
    <w:p w14:paraId="08116171" w14:textId="77777777" w:rsidR="00822EAE" w:rsidRPr="003A2047" w:rsidRDefault="00822EAE" w:rsidP="00A95BA5">
      <w:pPr>
        <w:spacing w:after="0" w:line="20" w:lineRule="atLeast"/>
        <w:ind w:left="0" w:right="141"/>
        <w:rPr>
          <w:rFonts w:ascii="Sylfaen" w:hAnsi="Sylfaen"/>
          <w:sz w:val="24"/>
          <w:szCs w:val="24"/>
        </w:rPr>
      </w:pPr>
    </w:p>
    <w:p w14:paraId="3DAC21A5" w14:textId="72F9B350" w:rsidR="00822EAE" w:rsidRPr="003A2047" w:rsidRDefault="002E4854" w:rsidP="00A95BA5">
      <w:pPr>
        <w:pStyle w:val="NoSpacing"/>
        <w:spacing w:line="276" w:lineRule="auto"/>
        <w:ind w:left="142" w:right="141" w:hanging="709"/>
        <w:rPr>
          <w:rFonts w:ascii="Sylfaen" w:eastAsia="Arial" w:hAnsi="Sylfaen" w:cs="Times New Roman"/>
          <w:b/>
          <w:bCs/>
          <w:sz w:val="24"/>
          <w:szCs w:val="24"/>
        </w:rPr>
      </w:pPr>
      <w:r w:rsidRPr="003A2047">
        <w:rPr>
          <w:rFonts w:ascii="Sylfaen" w:hAnsi="Sylfaen"/>
          <w:b/>
          <w:sz w:val="24"/>
          <w:szCs w:val="24"/>
        </w:rPr>
        <w:t xml:space="preserve">         ფარმაკოთერაპიული ჯგუფი: </w:t>
      </w:r>
    </w:p>
    <w:p w14:paraId="16D2DE8E" w14:textId="12CC320E" w:rsidR="001D37B6" w:rsidRPr="003A2047" w:rsidRDefault="00D64FC6" w:rsidP="00A95BA5">
      <w:pPr>
        <w:spacing w:after="0" w:line="240" w:lineRule="auto"/>
        <w:ind w:left="0" w:right="141" w:firstLine="0"/>
        <w:jc w:val="both"/>
        <w:rPr>
          <w:rFonts w:ascii="Sylfaen" w:hAnsi="Sylfaen"/>
          <w:color w:val="auto"/>
          <w:kern w:val="0"/>
          <w:sz w:val="24"/>
          <w:szCs w:val="24"/>
          <w14:ligatures w14:val="none"/>
        </w:rPr>
      </w:pPr>
      <w:hyperlink r:id="rId6" w:history="1">
        <w:r w:rsidRPr="003A2047">
          <w:rPr>
            <w:rFonts w:ascii="Sylfaen" w:hAnsi="Sylfaen"/>
            <w:color w:val="auto"/>
            <w:sz w:val="24"/>
            <w:szCs w:val="24"/>
            <w:bdr w:val="none" w:sz="0" w:space="0" w:color="auto" w:frame="1"/>
            <w:shd w:val="clear" w:color="auto" w:fill="FFFFFF"/>
          </w:rPr>
          <w:t>საჭმლის მომნელებელი ტრაქტი და მეტაბოლიზმი.</w:t>
        </w:r>
      </w:hyperlink>
      <w:r w:rsidRPr="003A2047">
        <w:rPr>
          <w:rFonts w:ascii="Sylfaen" w:hAnsi="Sylfaen"/>
          <w:color w:val="auto"/>
          <w:sz w:val="24"/>
          <w:szCs w:val="24"/>
          <w:bdr w:val="none" w:sz="0" w:space="0" w:color="auto" w:frame="1"/>
          <w:shd w:val="clear" w:color="auto" w:fill="FFFFFF"/>
        </w:rPr>
        <w:t xml:space="preserve"> </w:t>
      </w:r>
      <w:r w:rsidRPr="003A2047">
        <w:rPr>
          <w:rFonts w:ascii="Sylfaen" w:hAnsi="Sylfaen"/>
          <w:color w:val="auto"/>
          <w:sz w:val="24"/>
          <w:szCs w:val="24"/>
        </w:rPr>
        <w:t>პრეპარატ</w:t>
      </w:r>
      <w:r w:rsidR="002120D9" w:rsidRPr="003A2047">
        <w:rPr>
          <w:rFonts w:ascii="Sylfaen" w:hAnsi="Sylfaen"/>
          <w:color w:val="auto"/>
          <w:sz w:val="24"/>
          <w:szCs w:val="24"/>
        </w:rPr>
        <w:t>ებ</w:t>
      </w:r>
      <w:r w:rsidRPr="003A2047">
        <w:rPr>
          <w:rFonts w:ascii="Sylfaen" w:hAnsi="Sylfaen"/>
          <w:color w:val="auto"/>
          <w:sz w:val="24"/>
          <w:szCs w:val="24"/>
        </w:rPr>
        <w:t>ი, რომლ</w:t>
      </w:r>
      <w:r w:rsidR="002120D9" w:rsidRPr="003A2047">
        <w:rPr>
          <w:rFonts w:ascii="Sylfaen" w:hAnsi="Sylfaen"/>
          <w:color w:val="auto"/>
          <w:sz w:val="24"/>
          <w:szCs w:val="24"/>
        </w:rPr>
        <w:t>ებ</w:t>
      </w:r>
      <w:r w:rsidRPr="003A2047">
        <w:rPr>
          <w:rFonts w:ascii="Sylfaen" w:hAnsi="Sylfaen"/>
          <w:color w:val="auto"/>
          <w:sz w:val="24"/>
          <w:szCs w:val="24"/>
        </w:rPr>
        <w:t>იც გამოიყენება დიაბეტის დროს.</w:t>
      </w:r>
      <w:r w:rsidRPr="003A2047">
        <w:rPr>
          <w:rFonts w:ascii="Sylfaen" w:hAnsi="Sylfaen"/>
          <w:color w:val="auto"/>
          <w:sz w:val="24"/>
          <w:szCs w:val="24"/>
          <w:bdr w:val="none" w:sz="0" w:space="0" w:color="auto" w:frame="1"/>
          <w:shd w:val="clear" w:color="auto" w:fill="FFFFFF"/>
        </w:rPr>
        <w:t xml:space="preserve"> </w:t>
      </w:r>
      <w:hyperlink r:id="rId7" w:history="1">
        <w:r w:rsidRPr="003A2047">
          <w:rPr>
            <w:rFonts w:ascii="Sylfaen" w:hAnsi="Sylfaen"/>
            <w:color w:val="auto"/>
            <w:sz w:val="24"/>
            <w:szCs w:val="24"/>
            <w:bdr w:val="none" w:sz="0" w:space="0" w:color="auto" w:frame="1"/>
            <w:shd w:val="clear" w:color="auto" w:fill="FFFFFF"/>
          </w:rPr>
          <w:t>მედიკამენტები, რომლებიც ამცირებენ სისხლში გლუკოზის დონეს, გარდა ინსულინისა.</w:t>
        </w:r>
      </w:hyperlink>
      <w:r w:rsidR="002120D9" w:rsidRPr="003A2047">
        <w:rPr>
          <w:rFonts w:ascii="Sylfaen" w:hAnsi="Sylfaen"/>
          <w:color w:val="auto"/>
          <w:sz w:val="24"/>
          <w:szCs w:val="24"/>
        </w:rPr>
        <w:t xml:space="preserve"> </w:t>
      </w:r>
      <w:r w:rsidRPr="003A2047">
        <w:rPr>
          <w:rFonts w:ascii="Sylfaen" w:hAnsi="Sylfaen"/>
          <w:color w:val="auto"/>
          <w:sz w:val="24"/>
          <w:szCs w:val="24"/>
        </w:rPr>
        <w:t xml:space="preserve">ნატრიუმ-გლუკოზის თანატრანსპორტიორი 2 (SGLT2) ინჰიბიტორები. </w:t>
      </w:r>
      <w:hyperlink r:id="rId8" w:history="1">
        <w:r w:rsidRPr="003A2047">
          <w:rPr>
            <w:rFonts w:ascii="Sylfaen" w:hAnsi="Sylfaen"/>
            <w:color w:val="auto"/>
            <w:sz w:val="24"/>
            <w:szCs w:val="24"/>
            <w:bdr w:val="none" w:sz="0" w:space="0" w:color="auto" w:frame="1"/>
            <w:shd w:val="clear" w:color="auto" w:fill="FFFFFF"/>
          </w:rPr>
          <w:t>ემპაგლიფლოზინი</w:t>
        </w:r>
      </w:hyperlink>
      <w:r w:rsidR="002120D9" w:rsidRPr="003A2047">
        <w:rPr>
          <w:rFonts w:ascii="Sylfaen" w:hAnsi="Sylfaen"/>
          <w:color w:val="auto"/>
          <w:sz w:val="24"/>
          <w:szCs w:val="24"/>
          <w:bdr w:val="none" w:sz="0" w:space="0" w:color="auto" w:frame="1"/>
          <w:shd w:val="clear" w:color="auto" w:fill="FFFFFF"/>
        </w:rPr>
        <w:t>.</w:t>
      </w:r>
      <w:r w:rsidRPr="003A2047">
        <w:rPr>
          <w:rFonts w:ascii="Sylfaen" w:hAnsi="Sylfaen"/>
          <w:color w:val="auto"/>
          <w:sz w:val="24"/>
          <w:szCs w:val="24"/>
          <w:shd w:val="clear" w:color="auto" w:fill="FFFFFF"/>
        </w:rPr>
        <w:t> </w:t>
      </w:r>
    </w:p>
    <w:p w14:paraId="3FB8ACFD" w14:textId="44C23D7C" w:rsidR="001D37B6" w:rsidRPr="003A2047" w:rsidRDefault="001D37B6" w:rsidP="00A95BA5">
      <w:pPr>
        <w:spacing w:after="0" w:line="240" w:lineRule="auto"/>
        <w:ind w:left="0" w:right="141" w:firstLine="0"/>
        <w:jc w:val="both"/>
        <w:rPr>
          <w:rFonts w:ascii="Sylfaen" w:hAnsi="Sylfaen"/>
          <w:color w:val="auto"/>
          <w:kern w:val="0"/>
          <w:sz w:val="24"/>
          <w:szCs w:val="24"/>
          <w14:ligatures w14:val="none"/>
        </w:rPr>
      </w:pPr>
      <w:r w:rsidRPr="003A2047">
        <w:rPr>
          <w:rFonts w:ascii="Sylfaen" w:hAnsi="Sylfaen"/>
          <w:color w:val="auto"/>
          <w:sz w:val="24"/>
          <w:szCs w:val="24"/>
        </w:rPr>
        <w:t>ATC კოდი</w:t>
      </w:r>
      <w:r w:rsidR="00C35C67" w:rsidRPr="003A2047">
        <w:rPr>
          <w:rFonts w:ascii="Sylfaen" w:hAnsi="Sylfaen"/>
          <w:color w:val="auto"/>
          <w:sz w:val="24"/>
          <w:szCs w:val="24"/>
        </w:rPr>
        <w:t>:</w:t>
      </w:r>
      <w:r w:rsidRPr="003A2047">
        <w:rPr>
          <w:rFonts w:ascii="Sylfaen" w:hAnsi="Sylfaen"/>
          <w:color w:val="auto"/>
          <w:sz w:val="24"/>
          <w:szCs w:val="24"/>
        </w:rPr>
        <w:t xml:space="preserve"> A10BK03</w:t>
      </w:r>
    </w:p>
    <w:p w14:paraId="27234FD5" w14:textId="77777777" w:rsidR="00822EAE" w:rsidRPr="003A2047" w:rsidRDefault="00822EAE" w:rsidP="00A95BA5">
      <w:pPr>
        <w:spacing w:after="0" w:line="20" w:lineRule="atLeast"/>
        <w:ind w:left="0" w:right="141" w:firstLine="0"/>
        <w:rPr>
          <w:rFonts w:ascii="Sylfaen" w:hAnsi="Sylfaen"/>
          <w:color w:val="auto"/>
          <w:sz w:val="24"/>
          <w:szCs w:val="24"/>
        </w:rPr>
      </w:pPr>
    </w:p>
    <w:p w14:paraId="337D10EB" w14:textId="77777777" w:rsidR="00A77C50" w:rsidRPr="003A2047" w:rsidRDefault="00A77C50" w:rsidP="00A95BA5">
      <w:pPr>
        <w:spacing w:after="0" w:line="240" w:lineRule="auto"/>
        <w:ind w:left="0" w:right="141" w:firstLine="0"/>
        <w:jc w:val="both"/>
        <w:rPr>
          <w:rFonts w:ascii="Sylfaen" w:hAnsi="Sylfaen" w:cs="Sylfaen"/>
          <w:b/>
          <w:sz w:val="24"/>
          <w:szCs w:val="24"/>
        </w:rPr>
      </w:pPr>
      <w:r w:rsidRPr="003A2047">
        <w:rPr>
          <w:rFonts w:ascii="Sylfaen" w:hAnsi="Sylfaen"/>
          <w:b/>
          <w:sz w:val="24"/>
          <w:szCs w:val="24"/>
        </w:rPr>
        <w:t>ფარმაკოლოგიური თვისებები</w:t>
      </w:r>
    </w:p>
    <w:p w14:paraId="7B7C38F4" w14:textId="2E63533D"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მოქმედების მექანიზმი</w:t>
      </w:r>
    </w:p>
    <w:p w14:paraId="67A1D835" w14:textId="0384E023"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ემპაგლიფლოზინი არის შექცევადი, ძლიერ</w:t>
      </w:r>
      <w:r w:rsidR="001159A7" w:rsidRPr="003A2047">
        <w:rPr>
          <w:rFonts w:ascii="Sylfaen" w:hAnsi="Sylfaen"/>
          <w:sz w:val="24"/>
          <w:szCs w:val="24"/>
        </w:rPr>
        <w:t>ი</w:t>
      </w:r>
      <w:r w:rsidRPr="003A2047">
        <w:rPr>
          <w:rFonts w:ascii="Sylfaen" w:hAnsi="Sylfaen"/>
          <w:sz w:val="24"/>
          <w:szCs w:val="24"/>
        </w:rPr>
        <w:t xml:space="preserve"> და </w:t>
      </w:r>
      <w:r w:rsidR="00644F3D" w:rsidRPr="003A2047">
        <w:rPr>
          <w:rFonts w:ascii="Sylfaen" w:hAnsi="Sylfaen" w:cs="Sylfaen"/>
          <w:sz w:val="24"/>
          <w:szCs w:val="24"/>
        </w:rPr>
        <w:t>სელექციური</w:t>
      </w:r>
      <w:r w:rsidRPr="003A2047">
        <w:rPr>
          <w:rFonts w:ascii="Sylfaen" w:hAnsi="Sylfaen"/>
          <w:sz w:val="24"/>
          <w:szCs w:val="24"/>
        </w:rPr>
        <w:t xml:space="preserve"> კონკურენტუნარიანი ნატრიუმ-გლუკოზას თანატრანსპორტერი 2 (SGLT2)</w:t>
      </w:r>
      <w:r w:rsidR="00C35C67" w:rsidRPr="003A2047">
        <w:rPr>
          <w:rFonts w:ascii="Sylfaen" w:hAnsi="Sylfaen"/>
          <w:sz w:val="24"/>
          <w:szCs w:val="24"/>
        </w:rPr>
        <w:t>-ს ინჰიბიტორი</w:t>
      </w:r>
      <w:r w:rsidRPr="003A2047">
        <w:rPr>
          <w:rFonts w:ascii="Sylfaen" w:hAnsi="Sylfaen"/>
          <w:sz w:val="24"/>
          <w:szCs w:val="24"/>
        </w:rPr>
        <w:t xml:space="preserve">. ემპაგლიფლოზინი არ აინჰიბირებს გლუკოზის სხვა გადამტანებს, რომლებიც მნიშვნელოვანია გლუკოზის ტრანსპორტირებისთვის პერიფერიულ ქსოვილებში და 5000-ჯერ </w:t>
      </w:r>
      <w:r w:rsidR="00C35C67" w:rsidRPr="003A2047">
        <w:rPr>
          <w:rFonts w:ascii="Sylfaen" w:hAnsi="Sylfaen"/>
          <w:sz w:val="24"/>
          <w:szCs w:val="24"/>
        </w:rPr>
        <w:t>უფრო სელექციურია</w:t>
      </w:r>
      <w:r w:rsidRPr="003A2047">
        <w:rPr>
          <w:rFonts w:ascii="Sylfaen" w:hAnsi="Sylfaen"/>
          <w:sz w:val="24"/>
          <w:szCs w:val="24"/>
        </w:rPr>
        <w:t xml:space="preserve"> SGLT2-ის</w:t>
      </w:r>
      <w:r w:rsidR="00C35C67" w:rsidRPr="003A2047">
        <w:rPr>
          <w:rFonts w:ascii="Sylfaen" w:hAnsi="Sylfaen"/>
          <w:sz w:val="24"/>
          <w:szCs w:val="24"/>
        </w:rPr>
        <w:t xml:space="preserve"> მიმართ</w:t>
      </w:r>
      <w:r w:rsidRPr="003A2047">
        <w:rPr>
          <w:rFonts w:ascii="Sylfaen" w:hAnsi="Sylfaen"/>
          <w:sz w:val="24"/>
          <w:szCs w:val="24"/>
        </w:rPr>
        <w:t xml:space="preserve"> SGLT1-თან შედარებით,</w:t>
      </w:r>
      <w:r w:rsidR="00C35C67" w:rsidRPr="003A2047">
        <w:rPr>
          <w:rFonts w:ascii="Sylfaen" w:hAnsi="Sylfaen"/>
          <w:sz w:val="24"/>
          <w:szCs w:val="24"/>
        </w:rPr>
        <w:t xml:space="preserve"> ეს არის</w:t>
      </w:r>
      <w:r w:rsidRPr="003A2047">
        <w:rPr>
          <w:rFonts w:ascii="Sylfaen" w:hAnsi="Sylfaen"/>
          <w:sz w:val="24"/>
          <w:szCs w:val="24"/>
        </w:rPr>
        <w:t xml:space="preserve"> მთავარი გადამტანი, რომელიც პასუხისმგებელია ნაწლავში გლუკოზის შეწოვაზე. SGLT2</w:t>
      </w:r>
      <w:r w:rsidR="0038328D" w:rsidRPr="003A2047">
        <w:rPr>
          <w:rFonts w:ascii="Sylfaen" w:hAnsi="Sylfaen"/>
          <w:sz w:val="24"/>
          <w:szCs w:val="24"/>
        </w:rPr>
        <w:t>-ს ახასიათებს</w:t>
      </w:r>
      <w:r w:rsidRPr="003A2047">
        <w:rPr>
          <w:rFonts w:ascii="Sylfaen" w:hAnsi="Sylfaen"/>
          <w:sz w:val="24"/>
          <w:szCs w:val="24"/>
        </w:rPr>
        <w:t xml:space="preserve"> ძლიერ გამოხატული</w:t>
      </w:r>
      <w:r w:rsidR="0038328D" w:rsidRPr="003A2047">
        <w:rPr>
          <w:rFonts w:ascii="Sylfaen" w:hAnsi="Sylfaen"/>
          <w:sz w:val="24"/>
          <w:szCs w:val="24"/>
        </w:rPr>
        <w:t xml:space="preserve"> ექსპრესია</w:t>
      </w:r>
      <w:r w:rsidRPr="003A2047">
        <w:rPr>
          <w:rFonts w:ascii="Sylfaen" w:hAnsi="Sylfaen"/>
          <w:sz w:val="24"/>
          <w:szCs w:val="24"/>
        </w:rPr>
        <w:t xml:space="preserve"> თირკმელებში, ხოლო სხვა ქსოვილებში </w:t>
      </w:r>
      <w:r w:rsidR="0038328D" w:rsidRPr="003A2047">
        <w:rPr>
          <w:rFonts w:ascii="Sylfaen" w:hAnsi="Sylfaen"/>
          <w:sz w:val="24"/>
          <w:szCs w:val="24"/>
        </w:rPr>
        <w:t>ნაკლებად არის გამოხატული</w:t>
      </w:r>
      <w:r w:rsidRPr="003A2047">
        <w:rPr>
          <w:rFonts w:ascii="Sylfaen" w:hAnsi="Sylfaen"/>
          <w:sz w:val="24"/>
          <w:szCs w:val="24"/>
        </w:rPr>
        <w:t xml:space="preserve"> ან  ძალიან  უმნიშვნელოა. როგორც პირველადი გადამტანი, ის პასუხისმგებელია გლომერულური ფილტრატიდან გლუკოზის</w:t>
      </w:r>
      <w:r w:rsidR="0038328D" w:rsidRPr="003A2047">
        <w:rPr>
          <w:rFonts w:ascii="Sylfaen" w:hAnsi="Sylfaen"/>
          <w:sz w:val="24"/>
          <w:szCs w:val="24"/>
        </w:rPr>
        <w:t xml:space="preserve"> სისხლძარღვებში</w:t>
      </w:r>
      <w:r w:rsidRPr="003A2047">
        <w:rPr>
          <w:rFonts w:ascii="Sylfaen" w:hAnsi="Sylfaen"/>
          <w:sz w:val="24"/>
          <w:szCs w:val="24"/>
        </w:rPr>
        <w:t xml:space="preserve"> რეაბსორბციაზე. ტიპი</w:t>
      </w:r>
      <w:r w:rsidR="008E0B13" w:rsidRPr="003A2047">
        <w:rPr>
          <w:rFonts w:ascii="Sylfaen" w:hAnsi="Sylfaen"/>
          <w:sz w:val="24"/>
          <w:szCs w:val="24"/>
        </w:rPr>
        <w:t xml:space="preserve"> </w:t>
      </w:r>
      <w:r w:rsidRPr="003A2047">
        <w:rPr>
          <w:rFonts w:ascii="Sylfaen" w:hAnsi="Sylfaen"/>
          <w:sz w:val="24"/>
          <w:szCs w:val="24"/>
        </w:rPr>
        <w:t>2 დიაბეტის და ჰიპერგლიკემიის მქონე პაციენტებში უფრო მეტი გლუკოზა იფილტრება და შეიწოვება.</w:t>
      </w:r>
    </w:p>
    <w:p w14:paraId="46F054ED" w14:textId="2504FBE6"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ემპაგლიფლოზინი აუმჯობესებს გლიკემიის კონტროლს ტიპი</w:t>
      </w:r>
      <w:r w:rsidR="008E0B13" w:rsidRPr="003A2047">
        <w:rPr>
          <w:rFonts w:ascii="Sylfaen" w:hAnsi="Sylfaen"/>
          <w:sz w:val="24"/>
          <w:szCs w:val="24"/>
        </w:rPr>
        <w:t xml:space="preserve"> 2</w:t>
      </w:r>
      <w:r w:rsidRPr="003A2047">
        <w:rPr>
          <w:rFonts w:ascii="Sylfaen" w:hAnsi="Sylfaen"/>
          <w:sz w:val="24"/>
          <w:szCs w:val="24"/>
        </w:rPr>
        <w:t xml:space="preserve"> დიაბეტის მქონე პაციენტებში გლუკოზის რეაბსორბციის შემცირებით. გლუკოზის ოდენობა, რომელიც გამოიყოფა თირკმელებით ამ გლუკოურეზული მექანიზმით, დამოკიდებულია სისხლში გლუკოზის კონცენტრაციაზე და GFR-ზე. SGLT2-ის დათრგუნვა ტიპი 2 დიაბეტის და </w:t>
      </w:r>
      <w:r w:rsidRPr="003A2047">
        <w:rPr>
          <w:rFonts w:ascii="Sylfaen" w:hAnsi="Sylfaen"/>
          <w:sz w:val="24"/>
          <w:szCs w:val="24"/>
        </w:rPr>
        <w:lastRenderedPageBreak/>
        <w:t xml:space="preserve">ჰიპერგლიკემიის მქონე პაციენტებში იწვევს შარდში გლუკოზის ჭარბ ექსკრეციას. გარდა ამისა, ემპაგლიფლოზინის ინიცირება ზრდის ნატრიუმის ექსკრეციას, რაც </w:t>
      </w:r>
      <w:r w:rsidR="008E0B13" w:rsidRPr="003A2047">
        <w:rPr>
          <w:rFonts w:ascii="Sylfaen" w:hAnsi="Sylfaen"/>
          <w:sz w:val="24"/>
          <w:szCs w:val="24"/>
        </w:rPr>
        <w:t xml:space="preserve">განაპირობებს </w:t>
      </w:r>
      <w:r w:rsidRPr="003A2047">
        <w:rPr>
          <w:rFonts w:ascii="Sylfaen" w:hAnsi="Sylfaen"/>
          <w:sz w:val="24"/>
          <w:szCs w:val="24"/>
        </w:rPr>
        <w:t>ოსმოსურ დიურეზს და ინტრავასკულარული მოცულობის შემცირებას.</w:t>
      </w:r>
    </w:p>
    <w:p w14:paraId="0CF6E29D" w14:textId="2EB1E724"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ტიპი 2 დიაბეტის მქონე პაციენტებში, შარდში გლუკოზის ექსკრეცია იზრდება ემპაგლიფლოზინის პირველი დოზის მიღებისთანავე და გრძელდება დოზებს შორის 24-საათიანი ინტერვალის განმავლობაში. შარდში გლუკოზის გაზრდილი ექსკრეცია </w:t>
      </w:r>
      <w:r w:rsidR="008E0B13" w:rsidRPr="003A2047">
        <w:rPr>
          <w:rFonts w:ascii="Sylfaen" w:hAnsi="Sylfaen"/>
          <w:sz w:val="24"/>
          <w:szCs w:val="24"/>
        </w:rPr>
        <w:t>აღინიშნება</w:t>
      </w:r>
      <w:r w:rsidRPr="003A2047">
        <w:rPr>
          <w:rFonts w:ascii="Sylfaen" w:hAnsi="Sylfaen"/>
          <w:sz w:val="24"/>
          <w:szCs w:val="24"/>
        </w:rPr>
        <w:t xml:space="preserve"> 4-კვირიანი მკურნალობის პერიოდის</w:t>
      </w:r>
      <w:r w:rsidR="00116DB2" w:rsidRPr="003A2047">
        <w:rPr>
          <w:rFonts w:ascii="Sylfaen" w:hAnsi="Sylfaen"/>
          <w:sz w:val="24"/>
          <w:szCs w:val="24"/>
        </w:rPr>
        <w:t xml:space="preserve"> განმავლობაში</w:t>
      </w:r>
      <w:r w:rsidRPr="003A2047">
        <w:rPr>
          <w:rFonts w:ascii="Sylfaen" w:hAnsi="Sylfaen"/>
          <w:sz w:val="24"/>
          <w:szCs w:val="24"/>
        </w:rPr>
        <w:t>, საშუალოდ დაახლოებით 78 გ/დღე</w:t>
      </w:r>
      <w:r w:rsidR="008E0B13" w:rsidRPr="003A2047">
        <w:rPr>
          <w:rFonts w:ascii="Sylfaen" w:hAnsi="Sylfaen"/>
          <w:sz w:val="24"/>
          <w:szCs w:val="24"/>
        </w:rPr>
        <w:t>ში</w:t>
      </w:r>
      <w:r w:rsidRPr="003A2047">
        <w:rPr>
          <w:rFonts w:ascii="Sylfaen" w:hAnsi="Sylfaen"/>
          <w:sz w:val="24"/>
          <w:szCs w:val="24"/>
        </w:rPr>
        <w:t>. შარდში გლუკოზის გაზრდილი ექსკრეცია იწვევს პლაზმაში გლუკოზის დონის მყისიერ შემცირებას ტიპი 2 დიაბეტის მქონე პაციენტებში.</w:t>
      </w:r>
    </w:p>
    <w:p w14:paraId="766064B1" w14:textId="1BBC1700"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ემპაგლიფლოზინი აუმჯობესებს პლაზმაში გლუკოზის დონეს როგორც უზმოზე, ასევე ჭამის შემდეგ. ემპაგლიფლოზინის მოქმედების მექანიზმი </w:t>
      </w:r>
      <w:r w:rsidR="00116DB2" w:rsidRPr="003A2047">
        <w:rPr>
          <w:rFonts w:ascii="Sylfaen" w:hAnsi="Sylfaen"/>
          <w:sz w:val="24"/>
          <w:szCs w:val="24"/>
        </w:rPr>
        <w:t xml:space="preserve">არ არის </w:t>
      </w:r>
      <w:r w:rsidRPr="003A2047">
        <w:rPr>
          <w:rFonts w:ascii="Sylfaen" w:hAnsi="Sylfaen"/>
          <w:sz w:val="24"/>
          <w:szCs w:val="24"/>
        </w:rPr>
        <w:t>დამოკიდებელი ბეტა უჯრედების ფუნქცი</w:t>
      </w:r>
      <w:r w:rsidR="00EA32D5" w:rsidRPr="003A2047">
        <w:rPr>
          <w:rFonts w:ascii="Sylfaen" w:hAnsi="Sylfaen"/>
          <w:sz w:val="24"/>
          <w:szCs w:val="24"/>
        </w:rPr>
        <w:t>აზე</w:t>
      </w:r>
      <w:r w:rsidRPr="003A2047">
        <w:rPr>
          <w:rFonts w:ascii="Sylfaen" w:hAnsi="Sylfaen"/>
          <w:sz w:val="24"/>
          <w:szCs w:val="24"/>
        </w:rPr>
        <w:t xml:space="preserve"> და ინსულინის</w:t>
      </w:r>
      <w:r w:rsidR="00116DB2" w:rsidRPr="003A2047">
        <w:rPr>
          <w:rFonts w:ascii="Sylfaen" w:hAnsi="Sylfaen"/>
          <w:sz w:val="24"/>
          <w:szCs w:val="24"/>
        </w:rPr>
        <w:t xml:space="preserve"> </w:t>
      </w:r>
      <w:r w:rsidR="00C51D8B" w:rsidRPr="003A2047">
        <w:rPr>
          <w:rFonts w:ascii="Sylfaen" w:hAnsi="Sylfaen"/>
          <w:sz w:val="24"/>
          <w:szCs w:val="24"/>
        </w:rPr>
        <w:t>მოქმედებაზე</w:t>
      </w:r>
      <w:r w:rsidR="00116DB2" w:rsidRPr="003A2047">
        <w:rPr>
          <w:rFonts w:ascii="Sylfaen" w:hAnsi="Sylfaen"/>
          <w:sz w:val="24"/>
          <w:szCs w:val="24"/>
        </w:rPr>
        <w:t xml:space="preserve">, </w:t>
      </w:r>
      <w:r w:rsidRPr="003A2047">
        <w:rPr>
          <w:rFonts w:ascii="Sylfaen" w:hAnsi="Sylfaen"/>
          <w:sz w:val="24"/>
          <w:szCs w:val="24"/>
        </w:rPr>
        <w:t xml:space="preserve">რაც </w:t>
      </w:r>
      <w:r w:rsidR="00116DB2" w:rsidRPr="003A2047">
        <w:rPr>
          <w:rFonts w:ascii="Sylfaen" w:hAnsi="Sylfaen"/>
          <w:sz w:val="24"/>
          <w:szCs w:val="24"/>
        </w:rPr>
        <w:t>განაპირობებს</w:t>
      </w:r>
      <w:r w:rsidRPr="003A2047">
        <w:rPr>
          <w:rFonts w:ascii="Sylfaen" w:hAnsi="Sylfaen"/>
          <w:sz w:val="24"/>
          <w:szCs w:val="24"/>
        </w:rPr>
        <w:t xml:space="preserve"> ჰიპოგლიკემიის დაბალ რისკს. აღინიშნა ბეტა უჯრედების ფუნქციის გაუმჯობესება. გარდა ამისა, შარდში გლუკოზის გამოყოფა იწვევს კალორიების დაკარგვას, რაც ასოცირდება სხეულის ცხიმის დაკლებასთან და სხეულის წონის შემცირებასთან. ემპაგლიფლოზინით გამოვლენილ გლუკოზურიას თან ახლავს დიურეზი, რამაც შეიძლება ხელი შეუწყოს არტერიული წნევის მდგრად და ზომიერ შემცირებას.</w:t>
      </w:r>
    </w:p>
    <w:p w14:paraId="6B03DB53" w14:textId="46E22FAC"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ემპაგლიფლოზინი ასევე ამცირებს ნატრიუმის რეაბსორბციას და ზრდის ნატრიუმის მიწოდებას დისტალურ მილაკებში. ამან შეიძლება გავლენა მოახდინოს მთელ რიგ ფიზიოლოგიურ ფუნქციებზე, მათ შორის, მაგრამ არ შემოიფარგლება: გაზრდილი ტუბ</w:t>
      </w:r>
      <w:r w:rsidR="00CD3B48" w:rsidRPr="003A2047">
        <w:rPr>
          <w:rFonts w:ascii="Sylfaen" w:hAnsi="Sylfaen"/>
          <w:sz w:val="24"/>
          <w:szCs w:val="24"/>
        </w:rPr>
        <w:t>უ</w:t>
      </w:r>
      <w:r w:rsidRPr="003A2047">
        <w:rPr>
          <w:rFonts w:ascii="Sylfaen" w:hAnsi="Sylfaen"/>
          <w:sz w:val="24"/>
          <w:szCs w:val="24"/>
        </w:rPr>
        <w:t>ლო</w:t>
      </w:r>
      <w:r w:rsidR="00CD3B48" w:rsidRPr="003A2047">
        <w:rPr>
          <w:rFonts w:ascii="Sylfaen" w:hAnsi="Sylfaen"/>
          <w:sz w:val="24"/>
          <w:szCs w:val="24"/>
        </w:rPr>
        <w:t>გლო</w:t>
      </w:r>
      <w:r w:rsidRPr="003A2047">
        <w:rPr>
          <w:rFonts w:ascii="Sylfaen" w:hAnsi="Sylfaen"/>
          <w:sz w:val="24"/>
          <w:szCs w:val="24"/>
        </w:rPr>
        <w:t xml:space="preserve">მერულური უკუკავშირი და დაქვეითებული ინტრაგლომერულური წნევა, გულის წინა და შემდგომი დატვირთვის შემცირება, სიმპათიკური აქტივობის დაქვეითება და მარცხენა პარკუჭის კედლის სტრესის დაქვეითება, რაც დასტურდება NT-proBNP-ის </w:t>
      </w:r>
      <w:r w:rsidR="00CD3B48" w:rsidRPr="003A2047">
        <w:rPr>
          <w:rFonts w:ascii="Sylfaen" w:hAnsi="Sylfaen"/>
          <w:sz w:val="24"/>
          <w:szCs w:val="24"/>
        </w:rPr>
        <w:t xml:space="preserve">უფრო </w:t>
      </w:r>
      <w:r w:rsidRPr="003A2047">
        <w:rPr>
          <w:rFonts w:ascii="Sylfaen" w:hAnsi="Sylfaen"/>
          <w:sz w:val="24"/>
          <w:szCs w:val="24"/>
        </w:rPr>
        <w:t>დაბალი მ</w:t>
      </w:r>
      <w:r w:rsidR="00CD3B48" w:rsidRPr="003A2047">
        <w:rPr>
          <w:rFonts w:ascii="Sylfaen" w:hAnsi="Sylfaen"/>
          <w:sz w:val="24"/>
          <w:szCs w:val="24"/>
        </w:rPr>
        <w:t>აჩვენებლე</w:t>
      </w:r>
      <w:r w:rsidRPr="003A2047">
        <w:rPr>
          <w:rFonts w:ascii="Sylfaen" w:hAnsi="Sylfaen"/>
          <w:sz w:val="24"/>
          <w:szCs w:val="24"/>
        </w:rPr>
        <w:t>ბით, რომელსაც შეუძლია სასარგებლო გავლენა მოახდინოს გულის რემოდელირებაზე, შევსების წნევაზე და დიასტოლურ ფუნქციაზე, აგრეთვე თირკმლის სტრუქტურისა და ფუნქციის შენარჩუნებაზე. სხვა ეფექტები, როგორიცაა ჰემატოკრიტის მომატება, სხეულის წონის დაქვეითება და არტერიული წნევის დაქვეითება,</w:t>
      </w:r>
      <w:r w:rsidR="00C51D8B" w:rsidRPr="003A2047">
        <w:rPr>
          <w:rFonts w:ascii="Sylfaen" w:hAnsi="Sylfaen"/>
          <w:sz w:val="24"/>
          <w:szCs w:val="24"/>
        </w:rPr>
        <w:t>რამაც</w:t>
      </w:r>
      <w:r w:rsidRPr="003A2047">
        <w:rPr>
          <w:rFonts w:ascii="Sylfaen" w:hAnsi="Sylfaen"/>
          <w:sz w:val="24"/>
          <w:szCs w:val="24"/>
        </w:rPr>
        <w:t xml:space="preserve"> შე</w:t>
      </w:r>
      <w:r w:rsidR="00C51D8B" w:rsidRPr="003A2047">
        <w:rPr>
          <w:rFonts w:ascii="Sylfaen" w:hAnsi="Sylfaen"/>
          <w:sz w:val="24"/>
          <w:szCs w:val="24"/>
        </w:rPr>
        <w:t>საძლებელია</w:t>
      </w:r>
      <w:r w:rsidRPr="003A2047">
        <w:rPr>
          <w:rFonts w:ascii="Sylfaen" w:hAnsi="Sylfaen"/>
          <w:sz w:val="24"/>
          <w:szCs w:val="24"/>
        </w:rPr>
        <w:t xml:space="preserve"> კიდევ უფრო შეუწყოს ხელი გულსა და თირკმელებზე სასარგებლო ეფექტებს.</w:t>
      </w:r>
    </w:p>
    <w:p w14:paraId="0E01F744" w14:textId="77777777"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კლინიკური ეფექტურობა და უსაფრთხოება</w:t>
      </w:r>
    </w:p>
    <w:p w14:paraId="7C77A5C5" w14:textId="77777777"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ტიპი 2 შაქრიანი დიაბეტი</w:t>
      </w:r>
    </w:p>
    <w:p w14:paraId="04F2D4ED" w14:textId="3E4C5524"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გლიკემიური კონტროლის გაუმჯობესება და გულ-სისხლძარღვთა </w:t>
      </w:r>
      <w:r w:rsidR="00EA32D5" w:rsidRPr="003A2047">
        <w:rPr>
          <w:rFonts w:ascii="Sylfaen" w:hAnsi="Sylfaen"/>
          <w:sz w:val="24"/>
          <w:szCs w:val="24"/>
        </w:rPr>
        <w:t>დაავადებების</w:t>
      </w:r>
      <w:r w:rsidRPr="003A2047">
        <w:rPr>
          <w:rFonts w:ascii="Sylfaen" w:hAnsi="Sylfaen"/>
          <w:sz w:val="24"/>
          <w:szCs w:val="24"/>
        </w:rPr>
        <w:t xml:space="preserve"> და სიკვდილიანობის შემცირება ტიპი 2 დიაბეტის მკურნალობის განუყოფელი ნაწილია.</w:t>
      </w:r>
    </w:p>
    <w:p w14:paraId="7BC62800" w14:textId="76143760"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ემპაგლიფლოზინით მკურნალობა მონოთერაპიის სახით და მეტფორმინთან, პიოგლიტაზონთან, სულფონილშარდოვანას, DPP-4 ინჰიბიტორებთან და ინსულინთან ერთად იწვევს HbA1c-ის, პლაზმური გლუკოზის, სხეულის წონის და სისტოლური და დიასტოლური არტერიული წნევის კლინიკურად მნიშვნელოვან გაუმჯობესებას. ემპაგლიფლოზინი 25 მგ იწვევდა პაციენტ</w:t>
      </w:r>
      <w:r w:rsidR="00655628" w:rsidRPr="003A2047">
        <w:rPr>
          <w:rFonts w:ascii="Sylfaen" w:hAnsi="Sylfaen"/>
          <w:sz w:val="24"/>
          <w:szCs w:val="24"/>
        </w:rPr>
        <w:t>ების რაოდენობის</w:t>
      </w:r>
      <w:r w:rsidRPr="003A2047">
        <w:rPr>
          <w:rFonts w:ascii="Sylfaen" w:hAnsi="Sylfaen"/>
          <w:sz w:val="24"/>
          <w:szCs w:val="24"/>
        </w:rPr>
        <w:t xml:space="preserve"> ზრდას, რომლებმაც მიაღწიეს HbA1c-ის სამიზნე 7%-ზე ნაკლებ დონეს და იმ პაციენტების რაოდენობის შემცირებას, რომლებსაც ესაჭიროებათ გლიკემიური კონტროლი ემპაგლიფლოზინთან 10 მგ და პლაცებოსთან შედარებით. გარდა ამისა, ემპაგლიფლოზინი, როგორც სტანდარტული თერაპიის დამხმარე საშუალება, ამცირებ</w:t>
      </w:r>
      <w:r w:rsidR="00655628" w:rsidRPr="003A2047">
        <w:rPr>
          <w:rFonts w:ascii="Sylfaen" w:hAnsi="Sylfaen"/>
          <w:sz w:val="24"/>
          <w:szCs w:val="24"/>
        </w:rPr>
        <w:t>ს</w:t>
      </w:r>
      <w:r w:rsidRPr="003A2047">
        <w:rPr>
          <w:rFonts w:ascii="Sylfaen" w:hAnsi="Sylfaen"/>
          <w:sz w:val="24"/>
          <w:szCs w:val="24"/>
        </w:rPr>
        <w:t xml:space="preserve"> გულ-სისხლძარღვთა სიკვდილიანობას </w:t>
      </w:r>
      <w:r w:rsidR="00655628" w:rsidRPr="003A2047">
        <w:rPr>
          <w:rFonts w:ascii="Sylfaen" w:hAnsi="Sylfaen"/>
          <w:sz w:val="24"/>
          <w:szCs w:val="24"/>
        </w:rPr>
        <w:t xml:space="preserve">პაციენტებში </w:t>
      </w:r>
      <w:r w:rsidRPr="003A2047">
        <w:rPr>
          <w:rFonts w:ascii="Sylfaen" w:hAnsi="Sylfaen"/>
          <w:sz w:val="24"/>
          <w:szCs w:val="24"/>
        </w:rPr>
        <w:t>2 ტიპის დიაბეტი</w:t>
      </w:r>
      <w:r w:rsidR="00655628" w:rsidRPr="003A2047">
        <w:rPr>
          <w:rFonts w:ascii="Sylfaen" w:hAnsi="Sylfaen"/>
          <w:sz w:val="24"/>
          <w:szCs w:val="24"/>
        </w:rPr>
        <w:t>თ</w:t>
      </w:r>
      <w:r w:rsidR="00B6117E" w:rsidRPr="003A2047">
        <w:rPr>
          <w:rFonts w:ascii="Sylfaen" w:hAnsi="Sylfaen"/>
          <w:sz w:val="24"/>
          <w:szCs w:val="24"/>
        </w:rPr>
        <w:t xml:space="preserve"> </w:t>
      </w:r>
      <w:r w:rsidRPr="003A2047">
        <w:rPr>
          <w:rFonts w:ascii="Sylfaen" w:hAnsi="Sylfaen"/>
          <w:sz w:val="24"/>
          <w:szCs w:val="24"/>
        </w:rPr>
        <w:t>და და</w:t>
      </w:r>
      <w:r w:rsidR="00655628" w:rsidRPr="003A2047">
        <w:rPr>
          <w:rFonts w:ascii="Sylfaen" w:hAnsi="Sylfaen"/>
          <w:sz w:val="24"/>
          <w:szCs w:val="24"/>
        </w:rPr>
        <w:t>დასტურებული</w:t>
      </w:r>
      <w:r w:rsidRPr="003A2047">
        <w:rPr>
          <w:rFonts w:ascii="Sylfaen" w:hAnsi="Sylfaen"/>
          <w:sz w:val="24"/>
          <w:szCs w:val="24"/>
        </w:rPr>
        <w:t xml:space="preserve"> გულ-სისხლძარღვთა დაავადებ</w:t>
      </w:r>
      <w:r w:rsidR="00655628" w:rsidRPr="003A2047">
        <w:rPr>
          <w:rFonts w:ascii="Sylfaen" w:hAnsi="Sylfaen"/>
          <w:sz w:val="24"/>
          <w:szCs w:val="24"/>
        </w:rPr>
        <w:t>ით</w:t>
      </w:r>
      <w:r w:rsidRPr="003A2047">
        <w:rPr>
          <w:rFonts w:ascii="Sylfaen" w:hAnsi="Sylfaen"/>
          <w:sz w:val="24"/>
          <w:szCs w:val="24"/>
        </w:rPr>
        <w:t>.</w:t>
      </w:r>
    </w:p>
    <w:p w14:paraId="01B97196" w14:textId="7C018124" w:rsidR="00822EAE" w:rsidRPr="003A2047" w:rsidRDefault="00822EAE" w:rsidP="00A95BA5">
      <w:pPr>
        <w:spacing w:after="0" w:line="20" w:lineRule="atLeast"/>
        <w:ind w:left="0" w:right="141" w:firstLine="0"/>
        <w:rPr>
          <w:rFonts w:ascii="Sylfaen" w:hAnsi="Sylfaen"/>
          <w:sz w:val="24"/>
          <w:szCs w:val="24"/>
        </w:rPr>
      </w:pPr>
    </w:p>
    <w:p w14:paraId="43C79596" w14:textId="117D6400" w:rsidR="00822EAE" w:rsidRPr="003A2047" w:rsidRDefault="00822EAE" w:rsidP="00A95BA5">
      <w:pPr>
        <w:tabs>
          <w:tab w:val="center" w:pos="1877"/>
        </w:tabs>
        <w:spacing w:after="0" w:line="20" w:lineRule="atLeast"/>
        <w:ind w:left="0" w:right="141" w:firstLine="0"/>
        <w:rPr>
          <w:rFonts w:ascii="Sylfaen" w:hAnsi="Sylfaen"/>
          <w:sz w:val="24"/>
          <w:szCs w:val="24"/>
        </w:rPr>
      </w:pPr>
      <w:r w:rsidRPr="003A2047">
        <w:rPr>
          <w:rFonts w:ascii="Sylfaen" w:hAnsi="Sylfaen"/>
          <w:b/>
          <w:sz w:val="24"/>
          <w:szCs w:val="24"/>
        </w:rPr>
        <w:t xml:space="preserve">ფარმაკოკინეტიკური თვისებები </w:t>
      </w:r>
    </w:p>
    <w:p w14:paraId="09C7950A" w14:textId="77777777" w:rsidR="007A5AB1" w:rsidRPr="003A2047" w:rsidRDefault="007A5AB1" w:rsidP="00A95BA5">
      <w:pPr>
        <w:spacing w:after="0" w:line="240" w:lineRule="auto"/>
        <w:ind w:left="0" w:right="141" w:firstLine="0"/>
        <w:jc w:val="both"/>
        <w:rPr>
          <w:rFonts w:ascii="Sylfaen" w:hAnsi="Sylfaen"/>
          <w:bCs/>
          <w:kern w:val="0"/>
          <w:sz w:val="24"/>
          <w:szCs w:val="24"/>
          <w:u w:val="single"/>
          <w14:ligatures w14:val="none"/>
        </w:rPr>
      </w:pPr>
      <w:r w:rsidRPr="003A2047">
        <w:rPr>
          <w:rFonts w:ascii="Sylfaen" w:hAnsi="Sylfaen"/>
          <w:bCs/>
          <w:sz w:val="24"/>
          <w:szCs w:val="24"/>
          <w:u w:val="single"/>
        </w:rPr>
        <w:t>აბსორბცია</w:t>
      </w:r>
    </w:p>
    <w:p w14:paraId="48AD43D9" w14:textId="112E9089"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bCs/>
          <w:sz w:val="24"/>
          <w:szCs w:val="24"/>
        </w:rPr>
        <w:t>ემპაგლიფლოზინის</w:t>
      </w:r>
      <w:r w:rsidRPr="003A2047">
        <w:rPr>
          <w:rFonts w:ascii="Sylfaen" w:hAnsi="Sylfaen"/>
          <w:sz w:val="24"/>
          <w:szCs w:val="24"/>
        </w:rPr>
        <w:t xml:space="preserve"> ფარმაკოკინეტიკა ფართოდ იქნა შესწავლილი ჯანმრთელ მოხალისეებსა და პაციენტებში, რომლებსაც აქვთ ტიპი 2 შაქრიანი დიაბეტი. პერორალური მიღების შემდეგ, ემპაგლიფლოზინი სწრაფად შეიწოვება, პლაზმაში მაქსიმალური კონცენტრაცია მიიღწევა საშუალო tmax 1,5 საათის შემდეგ. ამის შემდეგ, პლაზმური კონცენტრაციები მცირდება ორფაზიანი გზით სწრაფი განაწილების ფაზასა და შედარებით ნელ ტერმინალურ ფაზაში. საშუალო პლაზმური AUC და C</w:t>
      </w:r>
      <w:r w:rsidRPr="003A2047">
        <w:rPr>
          <w:rFonts w:ascii="Sylfaen" w:hAnsi="Sylfaen"/>
          <w:sz w:val="24"/>
          <w:szCs w:val="24"/>
          <w:vertAlign w:val="subscript"/>
        </w:rPr>
        <w:t>max</w:t>
      </w:r>
      <w:r w:rsidRPr="003A2047">
        <w:rPr>
          <w:rFonts w:ascii="Sylfaen" w:hAnsi="Sylfaen"/>
          <w:sz w:val="24"/>
          <w:szCs w:val="24"/>
        </w:rPr>
        <w:t xml:space="preserve"> სტაბილურ მდგომარეობაში იყო 1870 ნმოლ/ლ და 259 ნმოლ/ლ ემპაგლიფლოზინით 10 მგ და 4740 </w:t>
      </w:r>
      <w:bookmarkStart w:id="7" w:name="_Hlk179621779"/>
      <w:r w:rsidRPr="003A2047">
        <w:rPr>
          <w:rFonts w:ascii="Sylfaen" w:hAnsi="Sylfaen"/>
          <w:sz w:val="24"/>
          <w:szCs w:val="24"/>
        </w:rPr>
        <w:t>ნმოლ/სთ</w:t>
      </w:r>
      <w:bookmarkEnd w:id="7"/>
      <w:r w:rsidR="00A43CA0" w:rsidRPr="003A2047">
        <w:rPr>
          <w:rFonts w:ascii="Sylfaen" w:hAnsi="Sylfaen"/>
          <w:sz w:val="24"/>
          <w:szCs w:val="24"/>
        </w:rPr>
        <w:t xml:space="preserve"> და</w:t>
      </w:r>
      <w:r w:rsidRPr="003A2047">
        <w:rPr>
          <w:rFonts w:ascii="Sylfaen" w:hAnsi="Sylfaen"/>
          <w:sz w:val="24"/>
          <w:szCs w:val="24"/>
        </w:rPr>
        <w:t xml:space="preserve"> </w:t>
      </w:r>
      <w:r w:rsidR="00A43CA0" w:rsidRPr="003A2047">
        <w:rPr>
          <w:rFonts w:ascii="Sylfaen" w:hAnsi="Sylfaen"/>
          <w:sz w:val="24"/>
          <w:szCs w:val="24"/>
        </w:rPr>
        <w:t xml:space="preserve">687 ნმოლ/სთ </w:t>
      </w:r>
      <w:r w:rsidRPr="003A2047">
        <w:rPr>
          <w:rFonts w:ascii="Sylfaen" w:hAnsi="Sylfaen"/>
          <w:sz w:val="24"/>
          <w:szCs w:val="24"/>
        </w:rPr>
        <w:t>ემპაგლიფლოზინით 25 მგ დღეში ერთხელ. ემპაგლიფლოზინის სისტემური ზემოქმედება</w:t>
      </w:r>
      <w:r w:rsidR="002E1865" w:rsidRPr="003A2047">
        <w:rPr>
          <w:rFonts w:ascii="Sylfaen" w:hAnsi="Sylfaen"/>
          <w:sz w:val="24"/>
          <w:szCs w:val="24"/>
        </w:rPr>
        <w:t xml:space="preserve"> </w:t>
      </w:r>
      <w:r w:rsidR="002E1865" w:rsidRPr="003A2047">
        <w:rPr>
          <w:rFonts w:ascii="Sylfaen" w:hAnsi="Sylfaen" w:cs="Sylfaen"/>
          <w:sz w:val="24"/>
          <w:szCs w:val="24"/>
        </w:rPr>
        <w:t>იზრდება</w:t>
      </w:r>
      <w:r w:rsidRPr="003A2047">
        <w:rPr>
          <w:rFonts w:ascii="Sylfaen" w:hAnsi="Sylfaen"/>
          <w:sz w:val="24"/>
          <w:szCs w:val="24"/>
        </w:rPr>
        <w:t xml:space="preserve"> დოზის პროპორციულად. ემპაგლიფლოზინის ფარმაკოკინეტიკური პარამეტრები ერთჯერადად და წონასწორულ მდგომარეობაში  მსგავსი</w:t>
      </w:r>
      <w:r w:rsidR="002E1865" w:rsidRPr="003A2047">
        <w:rPr>
          <w:rFonts w:ascii="Sylfaen" w:hAnsi="Sylfaen"/>
          <w:sz w:val="24"/>
          <w:szCs w:val="24"/>
        </w:rPr>
        <w:t>ა</w:t>
      </w:r>
      <w:r w:rsidRPr="003A2047">
        <w:rPr>
          <w:rFonts w:ascii="Sylfaen" w:hAnsi="Sylfaen"/>
          <w:sz w:val="24"/>
          <w:szCs w:val="24"/>
        </w:rPr>
        <w:t xml:space="preserve">, რაც მიუთითებს ხაზოვან ფარმაკოკინეტიკაზე დროის მიხედვით. არ </w:t>
      </w:r>
      <w:r w:rsidR="002E1865" w:rsidRPr="003A2047">
        <w:rPr>
          <w:rFonts w:ascii="Sylfaen" w:hAnsi="Sylfaen"/>
          <w:sz w:val="24"/>
          <w:szCs w:val="24"/>
        </w:rPr>
        <w:t>არის</w:t>
      </w:r>
      <w:r w:rsidRPr="003A2047">
        <w:rPr>
          <w:rFonts w:ascii="Sylfaen" w:hAnsi="Sylfaen"/>
          <w:sz w:val="24"/>
          <w:szCs w:val="24"/>
        </w:rPr>
        <w:t xml:space="preserve"> კლინიკურად მნიშვნელოვანი განსხვავებები ემპაგლიფლოზინის ფარმაკოკინეტიკაში ჯანმრთელ მოხალისეებსა და 2 ტიპის დიაბეტის მქონე პაციენტებს შორის.</w:t>
      </w:r>
    </w:p>
    <w:p w14:paraId="6E3C30A8" w14:textId="6DBDD023" w:rsidR="00822EAE"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25 მგ ემპაგლიფლოზინის მიღებამ მაღალცხიმიანი, მაღალკალორიული საკვების  შემდეგ გამოიწვია ექსპოზიციის უმნიშვნელო შემცირება</w:t>
      </w:r>
      <w:r w:rsidR="00204F5F" w:rsidRPr="003A2047">
        <w:rPr>
          <w:rFonts w:ascii="Sylfaen" w:hAnsi="Sylfaen"/>
          <w:sz w:val="24"/>
          <w:szCs w:val="24"/>
        </w:rPr>
        <w:t xml:space="preserve"> უზმოზე მიღებასთან შედარებით</w:t>
      </w:r>
      <w:r w:rsidRPr="003A2047">
        <w:rPr>
          <w:rFonts w:ascii="Sylfaen" w:hAnsi="Sylfaen"/>
          <w:sz w:val="24"/>
          <w:szCs w:val="24"/>
        </w:rPr>
        <w:t>, AUC შემცირდა დაახლოებით 16%-ით და C</w:t>
      </w:r>
      <w:r w:rsidRPr="003A2047">
        <w:rPr>
          <w:rFonts w:ascii="Sylfaen" w:hAnsi="Sylfaen"/>
          <w:sz w:val="24"/>
          <w:szCs w:val="24"/>
          <w:vertAlign w:val="subscript"/>
        </w:rPr>
        <w:t>max</w:t>
      </w:r>
      <w:r w:rsidRPr="003A2047">
        <w:rPr>
          <w:rFonts w:ascii="Sylfaen" w:hAnsi="Sylfaen"/>
          <w:sz w:val="24"/>
          <w:szCs w:val="24"/>
        </w:rPr>
        <w:t xml:space="preserve"> შემცირდა დაახლოებით 37%-ით. </w:t>
      </w:r>
      <w:r w:rsidR="002E1865" w:rsidRPr="003A2047">
        <w:rPr>
          <w:rFonts w:ascii="Sylfaen" w:hAnsi="Sylfaen"/>
          <w:sz w:val="24"/>
          <w:szCs w:val="24"/>
        </w:rPr>
        <w:t xml:space="preserve">ემპაგლიფლოზინის </w:t>
      </w:r>
      <w:r w:rsidRPr="003A2047">
        <w:rPr>
          <w:rFonts w:ascii="Sylfaen" w:hAnsi="Sylfaen"/>
          <w:sz w:val="24"/>
          <w:szCs w:val="24"/>
        </w:rPr>
        <w:t>საკვების</w:t>
      </w:r>
      <w:r w:rsidR="002E1865" w:rsidRPr="003A2047">
        <w:rPr>
          <w:rFonts w:ascii="Sylfaen" w:hAnsi="Sylfaen"/>
          <w:sz w:val="24"/>
          <w:szCs w:val="24"/>
        </w:rPr>
        <w:t xml:space="preserve"> მიღებასთან</w:t>
      </w:r>
      <w:r w:rsidRPr="003A2047">
        <w:rPr>
          <w:rFonts w:ascii="Sylfaen" w:hAnsi="Sylfaen"/>
          <w:sz w:val="24"/>
          <w:szCs w:val="24"/>
        </w:rPr>
        <w:t xml:space="preserve"> და</w:t>
      </w:r>
      <w:r w:rsidR="002E1865" w:rsidRPr="003A2047">
        <w:rPr>
          <w:rFonts w:ascii="Sylfaen" w:hAnsi="Sylfaen"/>
          <w:sz w:val="24"/>
          <w:szCs w:val="24"/>
        </w:rPr>
        <w:t>კავშირებული</w:t>
      </w:r>
      <w:r w:rsidRPr="003A2047">
        <w:rPr>
          <w:rFonts w:ascii="Sylfaen" w:hAnsi="Sylfaen"/>
          <w:sz w:val="24"/>
          <w:szCs w:val="24"/>
        </w:rPr>
        <w:t xml:space="preserve"> </w:t>
      </w:r>
      <w:r w:rsidR="002E1865" w:rsidRPr="003A2047">
        <w:rPr>
          <w:rFonts w:ascii="Sylfaen" w:hAnsi="Sylfaen"/>
          <w:sz w:val="24"/>
          <w:szCs w:val="24"/>
        </w:rPr>
        <w:t>ფარმაკოკინეტიკური ე</w:t>
      </w:r>
      <w:r w:rsidRPr="003A2047">
        <w:rPr>
          <w:rFonts w:ascii="Sylfaen" w:hAnsi="Sylfaen"/>
          <w:sz w:val="24"/>
          <w:szCs w:val="24"/>
        </w:rPr>
        <w:t>ფექტი არ ჩაითვალა კლინიკურად მნიშვნელოვ</w:t>
      </w:r>
      <w:r w:rsidR="002E1865" w:rsidRPr="003A2047">
        <w:rPr>
          <w:rFonts w:ascii="Sylfaen" w:hAnsi="Sylfaen"/>
          <w:sz w:val="24"/>
          <w:szCs w:val="24"/>
        </w:rPr>
        <w:t>ნად</w:t>
      </w:r>
      <w:r w:rsidRPr="003A2047">
        <w:rPr>
          <w:rFonts w:ascii="Sylfaen" w:hAnsi="Sylfaen"/>
          <w:sz w:val="24"/>
          <w:szCs w:val="24"/>
        </w:rPr>
        <w:t xml:space="preserve"> და ემპაგლიფლოზინი</w:t>
      </w:r>
      <w:r w:rsidR="002E1865" w:rsidRPr="003A2047">
        <w:rPr>
          <w:rFonts w:ascii="Sylfaen" w:hAnsi="Sylfaen"/>
          <w:sz w:val="24"/>
          <w:szCs w:val="24"/>
        </w:rPr>
        <w:t>ს</w:t>
      </w:r>
      <w:r w:rsidRPr="003A2047">
        <w:rPr>
          <w:rFonts w:ascii="Sylfaen" w:hAnsi="Sylfaen"/>
          <w:sz w:val="24"/>
          <w:szCs w:val="24"/>
        </w:rPr>
        <w:t xml:space="preserve"> </w:t>
      </w:r>
      <w:r w:rsidR="002E1865" w:rsidRPr="003A2047">
        <w:rPr>
          <w:rFonts w:ascii="Sylfaen" w:hAnsi="Sylfaen"/>
          <w:sz w:val="24"/>
          <w:szCs w:val="24"/>
        </w:rPr>
        <w:t>მიღება</w:t>
      </w:r>
      <w:r w:rsidRPr="003A2047">
        <w:rPr>
          <w:rFonts w:ascii="Sylfaen" w:hAnsi="Sylfaen"/>
          <w:sz w:val="24"/>
          <w:szCs w:val="24"/>
        </w:rPr>
        <w:t xml:space="preserve"> შე</w:t>
      </w:r>
      <w:r w:rsidR="002E1865" w:rsidRPr="003A2047">
        <w:rPr>
          <w:rFonts w:ascii="Sylfaen" w:hAnsi="Sylfaen"/>
          <w:sz w:val="24"/>
          <w:szCs w:val="24"/>
        </w:rPr>
        <w:t xml:space="preserve">საძლებელია </w:t>
      </w:r>
      <w:r w:rsidRPr="003A2047">
        <w:rPr>
          <w:rFonts w:ascii="Sylfaen" w:hAnsi="Sylfaen"/>
          <w:sz w:val="24"/>
          <w:szCs w:val="24"/>
        </w:rPr>
        <w:t xml:space="preserve"> საკვებთან ერთად ან მის გარეშე.</w:t>
      </w:r>
    </w:p>
    <w:p w14:paraId="6C62BA6D" w14:textId="35234652" w:rsidR="00822EAE" w:rsidRPr="003A2047" w:rsidRDefault="00895D21" w:rsidP="00A95BA5">
      <w:pPr>
        <w:pStyle w:val="Heading2"/>
        <w:spacing w:line="20" w:lineRule="atLeast"/>
        <w:ind w:left="0" w:right="141" w:firstLine="0"/>
        <w:rPr>
          <w:rFonts w:ascii="Sylfaen" w:hAnsi="Sylfaen"/>
          <w:sz w:val="24"/>
          <w:szCs w:val="24"/>
        </w:rPr>
      </w:pPr>
      <w:r w:rsidRPr="003A2047">
        <w:rPr>
          <w:rFonts w:ascii="Sylfaen" w:hAnsi="Sylfaen"/>
          <w:sz w:val="24"/>
          <w:szCs w:val="24"/>
        </w:rPr>
        <w:t>განაწილება</w:t>
      </w:r>
      <w:r w:rsidR="00822EAE" w:rsidRPr="003A2047">
        <w:rPr>
          <w:rFonts w:ascii="Sylfaen" w:hAnsi="Sylfaen"/>
          <w:sz w:val="24"/>
          <w:szCs w:val="24"/>
        </w:rPr>
        <w:t xml:space="preserve"> </w:t>
      </w:r>
    </w:p>
    <w:p w14:paraId="1266E1ED" w14:textId="2B683DF0" w:rsidR="007A5AB1"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პოპულაციის ფარმაკოკინეტიკური ანალიზის საფუძველზე, განაწილების მოცულობა სტაბილურ მდგომარეობაში შე</w:t>
      </w:r>
      <w:r w:rsidR="00895D21" w:rsidRPr="003A2047">
        <w:rPr>
          <w:rFonts w:ascii="Sylfaen" w:hAnsi="Sylfaen"/>
          <w:sz w:val="24"/>
          <w:szCs w:val="24"/>
        </w:rPr>
        <w:t>ადგენს</w:t>
      </w:r>
      <w:r w:rsidRPr="003A2047">
        <w:rPr>
          <w:rFonts w:ascii="Sylfaen" w:hAnsi="Sylfaen"/>
          <w:sz w:val="24"/>
          <w:szCs w:val="24"/>
        </w:rPr>
        <w:t xml:space="preserve"> 73,8 ლ. ჯანმრთელ მოხალისეებში [14C]-ემპაგლიფლოზინის პერორალური მიღების შემდეგ, ერითროციტების</w:t>
      </w:r>
      <w:r w:rsidR="00204F5F" w:rsidRPr="003A2047">
        <w:rPr>
          <w:rFonts w:ascii="Sylfaen" w:hAnsi="Sylfaen"/>
          <w:sz w:val="24"/>
          <w:szCs w:val="24"/>
        </w:rPr>
        <w:t xml:space="preserve"> განაწილება</w:t>
      </w:r>
      <w:r w:rsidRPr="003A2047">
        <w:rPr>
          <w:rFonts w:ascii="Sylfaen" w:hAnsi="Sylfaen"/>
          <w:sz w:val="24"/>
          <w:szCs w:val="24"/>
        </w:rPr>
        <w:t xml:space="preserve">  დაახლოებით 37%</w:t>
      </w:r>
      <w:r w:rsidR="00895D21" w:rsidRPr="003A2047">
        <w:rPr>
          <w:rFonts w:ascii="Sylfaen" w:hAnsi="Sylfaen"/>
          <w:sz w:val="24"/>
          <w:szCs w:val="24"/>
        </w:rPr>
        <w:t xml:space="preserve"> შეადგენს</w:t>
      </w:r>
      <w:r w:rsidRPr="003A2047">
        <w:rPr>
          <w:rFonts w:ascii="Sylfaen" w:hAnsi="Sylfaen"/>
          <w:sz w:val="24"/>
          <w:szCs w:val="24"/>
        </w:rPr>
        <w:t>, ხოლო პლაზმის ცილებთან შეკავშირება  86%</w:t>
      </w:r>
      <w:r w:rsidR="00204F5F" w:rsidRPr="003A2047">
        <w:rPr>
          <w:rFonts w:ascii="Sylfaen" w:hAnsi="Sylfaen"/>
          <w:sz w:val="24"/>
          <w:szCs w:val="24"/>
        </w:rPr>
        <w:t xml:space="preserve"> შეადგენს</w:t>
      </w:r>
      <w:r w:rsidRPr="003A2047">
        <w:rPr>
          <w:rFonts w:ascii="Sylfaen" w:hAnsi="Sylfaen"/>
          <w:sz w:val="24"/>
          <w:szCs w:val="24"/>
        </w:rPr>
        <w:t>.</w:t>
      </w:r>
    </w:p>
    <w:p w14:paraId="0FF5FBC5" w14:textId="77777777" w:rsidR="007A5AB1" w:rsidRPr="003A2047" w:rsidRDefault="007A5AB1" w:rsidP="00A95BA5">
      <w:pPr>
        <w:spacing w:after="0" w:line="240" w:lineRule="auto"/>
        <w:ind w:left="0" w:right="141" w:firstLine="0"/>
        <w:jc w:val="both"/>
        <w:rPr>
          <w:rFonts w:ascii="Sylfaen" w:hAnsi="Sylfaen"/>
          <w:kern w:val="0"/>
          <w:sz w:val="24"/>
          <w:szCs w:val="24"/>
          <w:u w:val="single"/>
          <w14:ligatures w14:val="none"/>
        </w:rPr>
      </w:pPr>
      <w:r w:rsidRPr="003A2047">
        <w:rPr>
          <w:rFonts w:ascii="Sylfaen" w:hAnsi="Sylfaen"/>
          <w:sz w:val="24"/>
          <w:szCs w:val="24"/>
          <w:u w:val="single"/>
        </w:rPr>
        <w:t>ბიოტრანსფორმაცია</w:t>
      </w:r>
    </w:p>
    <w:p w14:paraId="1BE7F332" w14:textId="7FF00C24" w:rsidR="009A054B" w:rsidRPr="003A2047" w:rsidRDefault="007A5AB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თითოეული მეტაბოლიტის სისტემური ზემოქმედება იყო წამალთან დაკავშირებული მთლიანი მასალის 10%-ზე ნაკლები. </w:t>
      </w:r>
      <w:r w:rsidR="001571AA" w:rsidRPr="003A2047">
        <w:rPr>
          <w:rFonts w:ascii="Sylfaen" w:hAnsi="Sylfaen"/>
          <w:i/>
          <w:iCs/>
          <w:sz w:val="24"/>
          <w:szCs w:val="24"/>
        </w:rPr>
        <w:t>In vitro</w:t>
      </w:r>
      <w:r w:rsidRPr="003A2047">
        <w:rPr>
          <w:rFonts w:ascii="Sylfaen" w:hAnsi="Sylfaen"/>
          <w:sz w:val="24"/>
          <w:szCs w:val="24"/>
        </w:rPr>
        <w:t xml:space="preserve"> კვლევებმა აჩვენა, რომ ემპაგლიფლოზინის ძირითადი მეტაბოლური გზა ადამიანებში არის გლუკურონიდაცია ურიდინ 5'-დიფოსფო-გლუკურონოსილტრანსფერაზაებით UGT2B7, UGT1A3, UGT1A8 და UGT1A9.</w:t>
      </w:r>
    </w:p>
    <w:p w14:paraId="0C8CF370" w14:textId="77777777" w:rsidR="00822EAE" w:rsidRPr="003A2047" w:rsidRDefault="00822EAE" w:rsidP="00A95BA5">
      <w:pPr>
        <w:pStyle w:val="Heading2"/>
        <w:spacing w:line="20" w:lineRule="atLeast"/>
        <w:ind w:left="0" w:right="141"/>
        <w:jc w:val="both"/>
        <w:rPr>
          <w:rFonts w:ascii="Sylfaen" w:hAnsi="Sylfaen"/>
          <w:sz w:val="24"/>
          <w:szCs w:val="24"/>
        </w:rPr>
      </w:pPr>
      <w:r w:rsidRPr="003A2047">
        <w:rPr>
          <w:rFonts w:ascii="Sylfaen" w:hAnsi="Sylfaen"/>
          <w:sz w:val="24"/>
          <w:szCs w:val="24"/>
        </w:rPr>
        <w:t>ელიმინაცია</w:t>
      </w:r>
      <w:r w:rsidRPr="003A2047">
        <w:rPr>
          <w:rFonts w:ascii="Sylfaen" w:hAnsi="Sylfaen"/>
          <w:sz w:val="24"/>
          <w:szCs w:val="24"/>
          <w:u w:val="none"/>
        </w:rPr>
        <w:t xml:space="preserve"> </w:t>
      </w:r>
    </w:p>
    <w:p w14:paraId="62B8C45A" w14:textId="6ECFBB51"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ემპაგლიფლოზინის სავარაუდო ტერმინალური ნახევარგამოყოფის პერიოდი </w:t>
      </w:r>
      <w:r w:rsidR="00204F5F" w:rsidRPr="003A2047">
        <w:rPr>
          <w:rFonts w:ascii="Sylfaen" w:hAnsi="Sylfaen"/>
          <w:sz w:val="24"/>
          <w:szCs w:val="24"/>
        </w:rPr>
        <w:t>შეადგენს</w:t>
      </w:r>
      <w:r w:rsidRPr="003A2047">
        <w:rPr>
          <w:rFonts w:ascii="Sylfaen" w:hAnsi="Sylfaen"/>
          <w:sz w:val="24"/>
          <w:szCs w:val="24"/>
        </w:rPr>
        <w:t xml:space="preserve"> 12.4 საათ</w:t>
      </w:r>
      <w:r w:rsidR="00A12A32" w:rsidRPr="003A2047">
        <w:rPr>
          <w:rFonts w:ascii="Sylfaen" w:hAnsi="Sylfaen"/>
          <w:sz w:val="24"/>
          <w:szCs w:val="24"/>
        </w:rPr>
        <w:t>ს</w:t>
      </w:r>
      <w:r w:rsidRPr="003A2047">
        <w:rPr>
          <w:rFonts w:ascii="Sylfaen" w:hAnsi="Sylfaen"/>
          <w:sz w:val="24"/>
          <w:szCs w:val="24"/>
        </w:rPr>
        <w:t xml:space="preserve"> და სავარაუდო პერორალური კლირენსი</w:t>
      </w:r>
      <w:r w:rsidR="00984B1C" w:rsidRPr="003A2047">
        <w:rPr>
          <w:rFonts w:ascii="Sylfaen" w:hAnsi="Sylfaen"/>
          <w:sz w:val="24"/>
          <w:szCs w:val="24"/>
        </w:rPr>
        <w:t>ა</w:t>
      </w:r>
      <w:r w:rsidRPr="003A2047">
        <w:rPr>
          <w:rFonts w:ascii="Sylfaen" w:hAnsi="Sylfaen"/>
          <w:sz w:val="24"/>
          <w:szCs w:val="24"/>
        </w:rPr>
        <w:t xml:space="preserve"> 10.6 ლ/სთ. პრეპარატის ერთჯერადი დღიური დოზით, პლაზმაში ემპაგლიფლოზინის წონასწორული კონცენტრაცია მიიღწევა მეხუთე დოზით. ნახევარგამოყოფის პერიოდიდან გამომდინარე, წონასწორულ მდგომარეობაში დაფიქსირდა პლაზმური AUC-ის 22%-მდე დაგროვება. ჯანმრთელ მოხალისეებში [14C]-ემპაგლიფლოზინის პერორალური მიღების შემდეგ, პრეპარატის რადიოაქტიურობის დაახლოებით 96% გამოიყოფა განავლით (41%) ან შარდით (54%). </w:t>
      </w:r>
    </w:p>
    <w:p w14:paraId="7AA195E5" w14:textId="77777777" w:rsidR="005D6AC9" w:rsidRPr="003A2047" w:rsidRDefault="005D6AC9" w:rsidP="00A95BA5">
      <w:pPr>
        <w:spacing w:after="0" w:line="240" w:lineRule="auto"/>
        <w:ind w:left="0" w:right="141" w:firstLine="0"/>
        <w:rPr>
          <w:rFonts w:ascii="Sylfaen" w:hAnsi="Sylfaen"/>
          <w:kern w:val="0"/>
          <w:sz w:val="24"/>
          <w:szCs w:val="24"/>
          <w14:ligatures w14:val="none"/>
        </w:rPr>
      </w:pPr>
      <w:r w:rsidRPr="003A2047">
        <w:rPr>
          <w:rFonts w:ascii="Sylfaen" w:hAnsi="Sylfaen"/>
          <w:i/>
          <w:sz w:val="24"/>
          <w:szCs w:val="24"/>
        </w:rPr>
        <w:t>განსაკუთრებული მოსახლეობა</w:t>
      </w:r>
    </w:p>
    <w:p w14:paraId="2400680E" w14:textId="77777777" w:rsidR="005D6AC9" w:rsidRPr="003A2047" w:rsidRDefault="005D6AC9" w:rsidP="00A95BA5">
      <w:pPr>
        <w:spacing w:after="0" w:line="240" w:lineRule="auto"/>
        <w:ind w:left="0" w:right="141" w:firstLine="0"/>
        <w:rPr>
          <w:rFonts w:ascii="Sylfaen" w:hAnsi="Sylfaen"/>
          <w:kern w:val="0"/>
          <w:sz w:val="24"/>
          <w:szCs w:val="24"/>
          <w14:ligatures w14:val="none"/>
        </w:rPr>
      </w:pPr>
      <w:r w:rsidRPr="003A2047">
        <w:rPr>
          <w:rFonts w:ascii="Sylfaen" w:hAnsi="Sylfaen"/>
          <w:i/>
          <w:sz w:val="24"/>
          <w:szCs w:val="24"/>
        </w:rPr>
        <w:t>თირკმლის უკმარისობა</w:t>
      </w:r>
    </w:p>
    <w:p w14:paraId="3EA4B049" w14:textId="1FF6D306"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lastRenderedPageBreak/>
        <w:t xml:space="preserve">პაციენტებში თირკმლის მსუბუქი, ზომიერი ან მძიმე უკმარისობით (eGFR &lt;30-დან &lt;90 მლ/წთ/1.73 მ2) და პაციენტებში თირკმლის უკმარისობით/თირკმელების დაავადების ბოლო სტადიით (ESRD), ემპაგლიფლოზინის AUC გაიზარდა დაახლოებით 18%, 20%, 66% და 48%-ით, თირკმლის ნორმალური ფუნქციის მქონე პაციენტებთან შედარებით. ემპაგლიფლოზინის პიკური პლაზმური დონეები მსგავსი იყო იმ ადამიანებში, ვისაც ჰქონდა ზომიერი თირკმლების უკმარისობა და თირკმლის უკმარისობა/ESKD, იმ პაციენტებთან შედარებით, რომელთაც ჰქონდათ ნორმალური თირკმლის ფუნქცია. ემპაგლიფლოზინის პიკური პლაზმური დონეები დაახლოებით 20%-ით უფრო მაღალი იყო მსუბუქი და მძიმე თირკმლის უკმარისობის მქონე პაციენტებში, ვიდრე ნორმალური თირკმლის ფუნქციის მქონე პაციენტებში. </w:t>
      </w:r>
    </w:p>
    <w:p w14:paraId="4F0BBA22"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ღვიძლის უკმარისობა</w:t>
      </w:r>
    </w:p>
    <w:p w14:paraId="0FF08D7C" w14:textId="74A5DF0B"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Child-Pugh კლასიფიკაციის მიხედვით, მსუბუქი, ზომიერი და მძიმე ღვიძლის უკმარისობის მქონე პაციენტებში ემპაგლიფლოზინის AUC </w:t>
      </w:r>
      <w:r w:rsidR="00497D48" w:rsidRPr="003A2047">
        <w:rPr>
          <w:rFonts w:ascii="Sylfaen" w:hAnsi="Sylfaen"/>
          <w:sz w:val="24"/>
          <w:szCs w:val="24"/>
        </w:rPr>
        <w:t>იზრდება</w:t>
      </w:r>
      <w:r w:rsidRPr="003A2047">
        <w:rPr>
          <w:rFonts w:ascii="Sylfaen" w:hAnsi="Sylfaen"/>
          <w:sz w:val="24"/>
          <w:szCs w:val="24"/>
        </w:rPr>
        <w:t xml:space="preserve"> დაახლოებით 23%, 47% და 75%-ით, ხოლო Cmax - დაახლოებით 4%, 23% და 48%-ით, ნორმალური ღვიძლის ფუნქციის მქონე პაციენტებთან შედარებით.</w:t>
      </w:r>
    </w:p>
    <w:p w14:paraId="1A708D70"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სხეულის მასის ინდექსი</w:t>
      </w:r>
    </w:p>
    <w:p w14:paraId="6AEECEC9"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პოპულაციის ფარმაკოკინეტიკური ანალიზის მიხედვით, სხეულის მასის ინდექსს არ ჰქონდა კლინიკურად მნიშვნელოვანი გავლენა ემპაგლიფლოზინის ფარმაკოკინეტიკაზე. ამ ანალიზში, AUC შეფასდა 5.82%, 10.4% და 17.3%-ით დაბლა იმ პირებში, ვისაც ჰქონდა BMI 30, 35 და 45 კგ/მ², შესაბამისად, შედარებით იმ პირებთან, რომელთაც ჰქონდათ სხეულის მასის ინდექსი 25 კგ/მ².</w:t>
      </w:r>
    </w:p>
    <w:p w14:paraId="667FF1B3"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სქესი</w:t>
      </w:r>
    </w:p>
    <w:p w14:paraId="55684375"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სქესს არ ჰქონდა კლინიკურად მნიშვნელოვანი გავლენა ემპაგლიფლოზინის ფარმაკოკინეტიკაზე პოპულაციის ფარმაკოკინეტიკური ანალიზის დროს.</w:t>
      </w:r>
    </w:p>
    <w:p w14:paraId="1BF0BAC5"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რასა</w:t>
      </w:r>
    </w:p>
    <w:p w14:paraId="7D39D42E" w14:textId="04CDC589"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პოპულაციის ფარმაკოკინეტიკური ანალიზის დროს, AUC იყო 13.5%-ით მაღალი აზიელებში სხეულის მასის ინდექსით 25 კგ/მ2, არა</w:t>
      </w:r>
      <w:r w:rsidR="002A27FA" w:rsidRPr="003A2047">
        <w:rPr>
          <w:rFonts w:ascii="Sylfaen" w:hAnsi="Sylfaen"/>
          <w:sz w:val="24"/>
          <w:szCs w:val="24"/>
        </w:rPr>
        <w:t xml:space="preserve"> </w:t>
      </w:r>
      <w:r w:rsidRPr="003A2047">
        <w:rPr>
          <w:rFonts w:ascii="Sylfaen" w:hAnsi="Sylfaen"/>
          <w:sz w:val="24"/>
          <w:szCs w:val="24"/>
        </w:rPr>
        <w:t>აზიელებთან შედარებით, სხეულის მასის ინდექსით 25 კგ/მ2.</w:t>
      </w:r>
    </w:p>
    <w:p w14:paraId="2E8DE6E4"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ხანდაზმულები</w:t>
      </w:r>
    </w:p>
    <w:p w14:paraId="14DF8E2D"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ასაკს არ ჰქონდა კლინიკურად მნიშვნელოვანი გავლენა ემპაგლიფლოზინის ფარმაკოკინეტიკაზე პოპულაციის ფარმაკოკინეტიკური ანალიზის დროს.</w:t>
      </w:r>
    </w:p>
    <w:p w14:paraId="5F5E038D"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პედიატრიული მოსახლეობა</w:t>
      </w:r>
    </w:p>
    <w:p w14:paraId="0A2EE4C7" w14:textId="411EFB4F"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დაკვირვებული კავშირი ექსპოზიციასა და რეაქციას შორის ზოგადად მსგავსი იყო როგორც მოზრდილებში, ასევე ბავშვებში და მოზარდებში. პერორალურად მიღებისას, ემპაგლიფლოზინი იწვევდა ექსპოზიციის დონეს, რომელიც მსგავსი იყო ზრდასრულ პაციენტებში დაკვირვებულ დონესთან.</w:t>
      </w:r>
    </w:p>
    <w:p w14:paraId="440B5F2A" w14:textId="7893849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დაკვირვებული საშუალო გეომეტრიული კონცენტრაციები და გეომეტრიული საშუალო კონცენტრაციები მიღებიდან 1,5 საათის შემდეგ წონასწორულ მდგომარეობაში იყო 26,6 ნმოლ/ლ და 308 ნმოლ/ლ ემპაგლიფლოზინით 10 მგ ერთხელ დღეში და 67,0 ნმოლ/ლ და  525 ნმოლ/ლ</w:t>
      </w:r>
      <w:r w:rsidR="00D1141B" w:rsidRPr="003A2047">
        <w:rPr>
          <w:rFonts w:ascii="Sylfaen" w:hAnsi="Sylfaen"/>
          <w:sz w:val="24"/>
          <w:szCs w:val="24"/>
        </w:rPr>
        <w:t xml:space="preserve"> 25 მგ</w:t>
      </w:r>
      <w:r w:rsidRPr="003A2047">
        <w:rPr>
          <w:rFonts w:ascii="Sylfaen" w:hAnsi="Sylfaen"/>
          <w:sz w:val="24"/>
          <w:szCs w:val="24"/>
        </w:rPr>
        <w:t xml:space="preserve"> ერთხელ ყოველდღიურად</w:t>
      </w:r>
      <w:r w:rsidR="00497D48" w:rsidRPr="003A2047">
        <w:rPr>
          <w:rFonts w:ascii="Sylfaen" w:hAnsi="Sylfaen"/>
          <w:sz w:val="24"/>
          <w:szCs w:val="24"/>
        </w:rPr>
        <w:t xml:space="preserve"> მიღებისას</w:t>
      </w:r>
      <w:r w:rsidRPr="003A2047">
        <w:rPr>
          <w:rFonts w:ascii="Sylfaen" w:hAnsi="Sylfaen"/>
          <w:sz w:val="24"/>
          <w:szCs w:val="24"/>
        </w:rPr>
        <w:t>.</w:t>
      </w:r>
    </w:p>
    <w:p w14:paraId="04B87AE6" w14:textId="77777777" w:rsidR="009A054B" w:rsidRPr="003A2047" w:rsidRDefault="009A054B" w:rsidP="00A95BA5">
      <w:pPr>
        <w:pStyle w:val="Heading2"/>
        <w:tabs>
          <w:tab w:val="center" w:pos="1683"/>
        </w:tabs>
        <w:spacing w:line="20" w:lineRule="atLeast"/>
        <w:ind w:left="0" w:right="141" w:firstLine="0"/>
        <w:rPr>
          <w:rFonts w:ascii="Sylfaen" w:hAnsi="Sylfaen"/>
          <w:b/>
          <w:sz w:val="24"/>
          <w:szCs w:val="24"/>
          <w:u w:val="none"/>
        </w:rPr>
      </w:pPr>
    </w:p>
    <w:p w14:paraId="114077D7" w14:textId="7606FA2D" w:rsidR="004E7AF0" w:rsidRPr="003A2047" w:rsidRDefault="004E7AF0" w:rsidP="00A95BA5">
      <w:pPr>
        <w:pStyle w:val="Heading2"/>
        <w:tabs>
          <w:tab w:val="center" w:pos="1683"/>
        </w:tabs>
        <w:spacing w:line="20" w:lineRule="atLeast"/>
        <w:ind w:left="0" w:right="141" w:firstLine="0"/>
        <w:rPr>
          <w:rFonts w:ascii="Sylfaen" w:hAnsi="Sylfaen"/>
          <w:sz w:val="24"/>
          <w:szCs w:val="24"/>
        </w:rPr>
      </w:pPr>
      <w:r w:rsidRPr="003A2047">
        <w:rPr>
          <w:rFonts w:ascii="Sylfaen" w:hAnsi="Sylfaen"/>
          <w:b/>
          <w:sz w:val="24"/>
          <w:szCs w:val="24"/>
          <w:u w:val="none"/>
        </w:rPr>
        <w:t xml:space="preserve">თერაპიული ჩვენებები </w:t>
      </w:r>
      <w:r w:rsidRPr="003A2047">
        <w:rPr>
          <w:rFonts w:ascii="Sylfaen" w:hAnsi="Sylfaen"/>
          <w:b/>
          <w:sz w:val="24"/>
          <w:szCs w:val="24"/>
        </w:rPr>
        <w:t xml:space="preserve"> </w:t>
      </w:r>
    </w:p>
    <w:p w14:paraId="4E8DBD9B" w14:textId="7F3012C0" w:rsidR="009A054B" w:rsidRPr="003A2047" w:rsidRDefault="009A054B"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შაქრიანი დიაბეტი</w:t>
      </w:r>
      <w:r w:rsidR="00A37B28" w:rsidRPr="003A2047">
        <w:rPr>
          <w:rFonts w:ascii="Sylfaen" w:hAnsi="Sylfaen"/>
          <w:sz w:val="24"/>
          <w:szCs w:val="24"/>
        </w:rPr>
        <w:t xml:space="preserve"> ტიპი 2</w:t>
      </w:r>
    </w:p>
    <w:p w14:paraId="2EAFC744" w14:textId="724C496E" w:rsidR="009A054B" w:rsidRPr="003A2047" w:rsidRDefault="00254984" w:rsidP="00A95BA5">
      <w:pPr>
        <w:spacing w:after="0" w:line="240" w:lineRule="auto"/>
        <w:ind w:left="0" w:right="141" w:firstLine="0"/>
        <w:jc w:val="both"/>
        <w:rPr>
          <w:rFonts w:ascii="Sylfaen" w:hAnsi="Sylfaen"/>
          <w:kern w:val="0"/>
          <w:sz w:val="24"/>
          <w:szCs w:val="24"/>
          <w14:ligatures w14:val="none"/>
        </w:rPr>
      </w:pPr>
      <w:bookmarkStart w:id="8" w:name="_Hlk176515204"/>
      <w:r w:rsidRPr="003A2047">
        <w:rPr>
          <w:rFonts w:ascii="Sylfaen" w:hAnsi="Sylfaen"/>
          <w:sz w:val="24"/>
          <w:szCs w:val="24"/>
        </w:rPr>
        <w:lastRenderedPageBreak/>
        <w:t>ემფა</w:t>
      </w:r>
      <w:r w:rsidR="00152AE9" w:rsidRPr="003A2047">
        <w:rPr>
          <w:rFonts w:ascii="Sylfaen" w:hAnsi="Sylfaen"/>
          <w:sz w:val="24"/>
          <w:szCs w:val="24"/>
        </w:rPr>
        <w:t>ჟ</w:t>
      </w:r>
      <w:r w:rsidRPr="003A2047">
        <w:rPr>
          <w:rFonts w:ascii="Sylfaen" w:hAnsi="Sylfaen"/>
          <w:sz w:val="24"/>
          <w:szCs w:val="24"/>
        </w:rPr>
        <w:t>ი</w:t>
      </w:r>
      <w:bookmarkEnd w:id="8"/>
      <w:r w:rsidRPr="003A2047">
        <w:rPr>
          <w:rFonts w:ascii="Sylfaen" w:hAnsi="Sylfaen"/>
          <w:sz w:val="24"/>
          <w:szCs w:val="24"/>
        </w:rPr>
        <w:t xml:space="preserve"> ნაჩვენებია მოზრდილებში და 10 წელზე უფროსი ასაკის ბავშვებში </w:t>
      </w:r>
      <w:r w:rsidR="009C4144" w:rsidRPr="003A2047">
        <w:rPr>
          <w:rFonts w:ascii="Sylfaen" w:hAnsi="Sylfaen"/>
          <w:sz w:val="24"/>
          <w:szCs w:val="24"/>
        </w:rPr>
        <w:t>რთულად</w:t>
      </w:r>
      <w:r w:rsidRPr="003A2047">
        <w:rPr>
          <w:rFonts w:ascii="Sylfaen" w:hAnsi="Sylfaen"/>
          <w:sz w:val="24"/>
          <w:szCs w:val="24"/>
        </w:rPr>
        <w:t xml:space="preserve"> კონტროლირებადი ტიპი 2 შაქრიანი დიაბეტის სამკურნალოდ, როგორც დიეტისა და ვარჯიშის დამხმარე საშუალება</w:t>
      </w:r>
      <w:r w:rsidR="00A37B28" w:rsidRPr="003A2047">
        <w:rPr>
          <w:rFonts w:ascii="Sylfaen" w:hAnsi="Sylfaen"/>
          <w:sz w:val="24"/>
          <w:szCs w:val="24"/>
        </w:rPr>
        <w:t>.</w:t>
      </w:r>
    </w:p>
    <w:p w14:paraId="287C3B05" w14:textId="7108B60A" w:rsidR="009A054B" w:rsidRPr="003A2047" w:rsidRDefault="009A054B"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 როგორც მონოთერაპია, როდესაც მეტფორმინი </w:t>
      </w:r>
      <w:r w:rsidR="009C4144" w:rsidRPr="003A2047">
        <w:rPr>
          <w:rFonts w:ascii="Sylfaen" w:hAnsi="Sylfaen"/>
          <w:sz w:val="24"/>
          <w:szCs w:val="24"/>
        </w:rPr>
        <w:t>არ გამოიყენება</w:t>
      </w:r>
      <w:r w:rsidRPr="003A2047">
        <w:rPr>
          <w:rFonts w:ascii="Sylfaen" w:hAnsi="Sylfaen"/>
          <w:sz w:val="24"/>
          <w:szCs w:val="24"/>
        </w:rPr>
        <w:t xml:space="preserve"> აუტანლობის გამო</w:t>
      </w:r>
    </w:p>
    <w:p w14:paraId="40F0F4F3" w14:textId="09613D65" w:rsidR="009A054B" w:rsidRPr="003A2047" w:rsidRDefault="009A054B"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w:t>
      </w:r>
      <w:r w:rsidR="000269FA" w:rsidRPr="003A2047">
        <w:rPr>
          <w:rFonts w:ascii="Sylfaen" w:hAnsi="Sylfaen"/>
          <w:sz w:val="24"/>
          <w:szCs w:val="24"/>
        </w:rPr>
        <w:t xml:space="preserve"> </w:t>
      </w:r>
      <w:r w:rsidRPr="003A2047">
        <w:rPr>
          <w:rFonts w:ascii="Sylfaen" w:hAnsi="Sylfaen"/>
          <w:sz w:val="24"/>
          <w:szCs w:val="24"/>
        </w:rPr>
        <w:t>როგორც დამხმარე საშუალება დიაბეტის სამკურნალოდ სხვა სამკურნალო საშუალებებთან</w:t>
      </w:r>
      <w:r w:rsidR="000269FA" w:rsidRPr="003A2047">
        <w:rPr>
          <w:rFonts w:ascii="Sylfaen" w:hAnsi="Sylfaen"/>
          <w:sz w:val="24"/>
          <w:szCs w:val="24"/>
        </w:rPr>
        <w:t>.</w:t>
      </w:r>
    </w:p>
    <w:p w14:paraId="76F1E8B6" w14:textId="570257B3" w:rsidR="009A054B" w:rsidRPr="003A2047" w:rsidRDefault="009A054B"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კვლევის შედეგები მედიკამენტების კომბინაციებთან, გლიკემიურ კონტროლზე ეფექტებთან, გულ-სისხლძარღვთა და თირკმელების მოვლენებთან და პოპულაციებთან დაკავშირებით.</w:t>
      </w:r>
    </w:p>
    <w:p w14:paraId="39799789" w14:textId="77777777" w:rsidR="009A054B" w:rsidRPr="003A2047" w:rsidRDefault="009A054B"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გულის უკმარისობა</w:t>
      </w:r>
    </w:p>
    <w:p w14:paraId="08B741B5" w14:textId="2A25B25A" w:rsidR="009A054B" w:rsidRPr="003A2047" w:rsidRDefault="00152AE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ემფაჟი </w:t>
      </w:r>
      <w:r w:rsidR="00254984" w:rsidRPr="003A2047">
        <w:rPr>
          <w:rFonts w:ascii="Sylfaen" w:hAnsi="Sylfaen"/>
          <w:sz w:val="24"/>
          <w:szCs w:val="24"/>
        </w:rPr>
        <w:t>ნაჩვენებია მოზრდილებში სიმპტომური გულის ქრონიკული უკმარისობის სამკურნალოდ.</w:t>
      </w:r>
    </w:p>
    <w:p w14:paraId="7960758C" w14:textId="77777777" w:rsidR="009A054B" w:rsidRPr="003A2047" w:rsidRDefault="009A054B"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თირკმელების ქრონიკული დაავადება</w:t>
      </w:r>
    </w:p>
    <w:p w14:paraId="6A3159EB" w14:textId="675109AB" w:rsidR="009A054B" w:rsidRPr="003A2047" w:rsidRDefault="00152AE9" w:rsidP="00A95BA5">
      <w:pPr>
        <w:spacing w:after="0" w:line="20" w:lineRule="atLeast"/>
        <w:ind w:right="141"/>
        <w:jc w:val="both"/>
        <w:rPr>
          <w:rFonts w:ascii="Sylfaen" w:hAnsi="Sylfaen"/>
          <w:b/>
          <w:sz w:val="24"/>
          <w:szCs w:val="24"/>
        </w:rPr>
      </w:pPr>
      <w:r w:rsidRPr="003A2047">
        <w:rPr>
          <w:rFonts w:ascii="Sylfaen" w:hAnsi="Sylfaen"/>
          <w:sz w:val="24"/>
          <w:szCs w:val="24"/>
        </w:rPr>
        <w:t xml:space="preserve">ემფაჟი </w:t>
      </w:r>
      <w:r w:rsidR="00254984" w:rsidRPr="003A2047">
        <w:rPr>
          <w:rFonts w:ascii="Sylfaen" w:hAnsi="Sylfaen"/>
          <w:sz w:val="24"/>
          <w:szCs w:val="24"/>
        </w:rPr>
        <w:t>ნაჩვენებია მოზრდილებში თირკმელების ქრონიკული დაავადების</w:t>
      </w:r>
      <w:r w:rsidR="00A37B28" w:rsidRPr="003A2047">
        <w:rPr>
          <w:rFonts w:ascii="Sylfaen" w:hAnsi="Sylfaen"/>
          <w:sz w:val="24"/>
          <w:szCs w:val="24"/>
        </w:rPr>
        <w:t xml:space="preserve"> </w:t>
      </w:r>
      <w:r w:rsidR="00254984" w:rsidRPr="003A2047">
        <w:rPr>
          <w:rFonts w:ascii="Sylfaen" w:hAnsi="Sylfaen"/>
          <w:sz w:val="24"/>
          <w:szCs w:val="24"/>
        </w:rPr>
        <w:t>სამკურნალოდ.</w:t>
      </w:r>
    </w:p>
    <w:p w14:paraId="58508B93" w14:textId="77777777" w:rsidR="009A054B" w:rsidRPr="003A2047" w:rsidRDefault="009A054B" w:rsidP="00A95BA5">
      <w:pPr>
        <w:spacing w:after="0" w:line="20" w:lineRule="atLeast"/>
        <w:ind w:left="284" w:right="141" w:hanging="284"/>
        <w:jc w:val="both"/>
        <w:rPr>
          <w:rFonts w:ascii="Sylfaen" w:hAnsi="Sylfaen"/>
          <w:b/>
          <w:sz w:val="24"/>
          <w:szCs w:val="24"/>
        </w:rPr>
      </w:pPr>
    </w:p>
    <w:p w14:paraId="3DAC5321" w14:textId="16716D84" w:rsidR="00D96668" w:rsidRPr="003A2047" w:rsidRDefault="004E7AF0" w:rsidP="00A95BA5">
      <w:pPr>
        <w:spacing w:after="0" w:line="20" w:lineRule="atLeast"/>
        <w:ind w:left="284" w:right="141" w:hanging="284"/>
        <w:rPr>
          <w:rFonts w:ascii="Sylfaen" w:hAnsi="Sylfaen"/>
          <w:b/>
          <w:sz w:val="24"/>
          <w:szCs w:val="24"/>
        </w:rPr>
      </w:pPr>
      <w:r w:rsidRPr="003A2047">
        <w:rPr>
          <w:rFonts w:ascii="Sylfaen" w:hAnsi="Sylfaen" w:cs="Sylfaen"/>
          <w:b/>
          <w:sz w:val="24"/>
          <w:szCs w:val="24"/>
        </w:rPr>
        <w:t>დოზ</w:t>
      </w:r>
      <w:r w:rsidR="00A37B28" w:rsidRPr="003A2047">
        <w:rPr>
          <w:rFonts w:ascii="Sylfaen" w:hAnsi="Sylfaen" w:cs="Sylfaen"/>
          <w:b/>
          <w:sz w:val="24"/>
          <w:szCs w:val="24"/>
        </w:rPr>
        <w:t>ირება</w:t>
      </w:r>
      <w:r w:rsidRPr="003A2047">
        <w:rPr>
          <w:rFonts w:ascii="Sylfaen" w:hAnsi="Sylfaen"/>
          <w:b/>
          <w:sz w:val="24"/>
          <w:szCs w:val="24"/>
        </w:rPr>
        <w:t xml:space="preserve"> </w:t>
      </w:r>
      <w:r w:rsidRPr="003A2047">
        <w:rPr>
          <w:rFonts w:ascii="Sylfaen" w:hAnsi="Sylfaen" w:cs="Sylfaen"/>
          <w:b/>
          <w:sz w:val="24"/>
          <w:szCs w:val="24"/>
        </w:rPr>
        <w:t>და</w:t>
      </w:r>
      <w:r w:rsidRPr="003A2047">
        <w:rPr>
          <w:rFonts w:ascii="Sylfaen" w:hAnsi="Sylfaen"/>
          <w:b/>
          <w:sz w:val="24"/>
          <w:szCs w:val="24"/>
        </w:rPr>
        <w:t xml:space="preserve"> </w:t>
      </w:r>
      <w:r w:rsidRPr="003A2047">
        <w:rPr>
          <w:rFonts w:ascii="Sylfaen" w:hAnsi="Sylfaen" w:cs="Sylfaen"/>
          <w:b/>
          <w:sz w:val="24"/>
          <w:szCs w:val="24"/>
        </w:rPr>
        <w:t>მიღების</w:t>
      </w:r>
      <w:r w:rsidRPr="003A2047">
        <w:rPr>
          <w:rFonts w:ascii="Sylfaen" w:hAnsi="Sylfaen"/>
          <w:b/>
          <w:sz w:val="24"/>
          <w:szCs w:val="24"/>
        </w:rPr>
        <w:t xml:space="preserve"> </w:t>
      </w:r>
      <w:r w:rsidRPr="003A2047">
        <w:rPr>
          <w:rFonts w:ascii="Sylfaen" w:hAnsi="Sylfaen" w:cs="Sylfaen"/>
          <w:b/>
          <w:sz w:val="24"/>
          <w:szCs w:val="24"/>
        </w:rPr>
        <w:t>წესები</w:t>
      </w:r>
    </w:p>
    <w:p w14:paraId="01FB0901" w14:textId="2FB0DAEF" w:rsidR="00D96668" w:rsidRPr="003A2047" w:rsidRDefault="000305A5"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დოზირება</w:t>
      </w:r>
    </w:p>
    <w:p w14:paraId="16950CEF" w14:textId="391B010B" w:rsidR="00D96668" w:rsidRPr="003A2047" w:rsidRDefault="00B579F9"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 xml:space="preserve">შაქრიანი დიაბეტი </w:t>
      </w:r>
      <w:r w:rsidR="00D96668" w:rsidRPr="003A2047">
        <w:rPr>
          <w:rFonts w:ascii="Sylfaen" w:hAnsi="Sylfaen"/>
          <w:i/>
          <w:iCs/>
          <w:sz w:val="24"/>
          <w:szCs w:val="24"/>
        </w:rPr>
        <w:t xml:space="preserve">ტიპი 2 </w:t>
      </w:r>
    </w:p>
    <w:p w14:paraId="6F1DEEB0" w14:textId="67966C3E"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რეკომენდებული საწყისი დოზაა 10 მგ </w:t>
      </w:r>
      <w:r w:rsidR="00152AE9" w:rsidRPr="003A2047">
        <w:rPr>
          <w:rFonts w:ascii="Sylfaen" w:hAnsi="Sylfaen" w:cs="Sylfaen"/>
          <w:sz w:val="24"/>
          <w:szCs w:val="24"/>
        </w:rPr>
        <w:t>ემფაჟ</w:t>
      </w:r>
      <w:r w:rsidRPr="003A2047">
        <w:rPr>
          <w:rFonts w:ascii="Sylfaen" w:hAnsi="Sylfaen"/>
          <w:sz w:val="24"/>
          <w:szCs w:val="24"/>
        </w:rPr>
        <w:t xml:space="preserve">ი დღეში ერთხელ მონოთერაპიისა და დიაბეტის სხვა სამკურნალო საშუალებებთან კომბინირებული თერაპიისთვის. პაციენტებში, რომლებიც იტანენ ემფაჟის 10 მგ დღეში ერთხელ, </w:t>
      </w:r>
      <w:r w:rsidR="00792022" w:rsidRPr="003A2047">
        <w:rPr>
          <w:rFonts w:ascii="Sylfaen" w:hAnsi="Sylfaen"/>
          <w:sz w:val="24"/>
          <w:szCs w:val="24"/>
        </w:rPr>
        <w:t xml:space="preserve">გამოთვლილი </w:t>
      </w:r>
      <w:r w:rsidRPr="003A2047">
        <w:rPr>
          <w:rFonts w:ascii="Sylfaen" w:hAnsi="Sylfaen"/>
          <w:sz w:val="24"/>
          <w:szCs w:val="24"/>
        </w:rPr>
        <w:t>გლომერულური ფილტრაციის</w:t>
      </w:r>
      <w:r w:rsidR="000305A5" w:rsidRPr="003A2047">
        <w:rPr>
          <w:rFonts w:ascii="Sylfaen" w:hAnsi="Sylfaen"/>
          <w:sz w:val="24"/>
          <w:szCs w:val="24"/>
        </w:rPr>
        <w:t xml:space="preserve"> </w:t>
      </w:r>
      <w:r w:rsidR="009E76F4" w:rsidRPr="003A2047">
        <w:rPr>
          <w:rFonts w:ascii="Sylfaen" w:hAnsi="Sylfaen" w:cs="Sylfaen"/>
          <w:sz w:val="24"/>
          <w:szCs w:val="24"/>
        </w:rPr>
        <w:t>სიჩქარ</w:t>
      </w:r>
      <w:r w:rsidR="003D048F" w:rsidRPr="003A2047">
        <w:rPr>
          <w:rFonts w:ascii="Sylfaen" w:hAnsi="Sylfaen" w:cs="Sylfaen"/>
          <w:sz w:val="24"/>
          <w:szCs w:val="24"/>
        </w:rPr>
        <w:t>ით</w:t>
      </w:r>
      <w:r w:rsidRPr="003A2047">
        <w:rPr>
          <w:rFonts w:ascii="Sylfaen" w:hAnsi="Sylfaen"/>
          <w:sz w:val="24"/>
          <w:szCs w:val="24"/>
        </w:rPr>
        <w:t xml:space="preserve"> (eGFR) ≥ 60 მლ/წთ/1,73 მ</w:t>
      </w:r>
      <w:r w:rsidRPr="003A2047">
        <w:rPr>
          <w:rFonts w:ascii="Sylfaen" w:hAnsi="Sylfaen"/>
          <w:sz w:val="24"/>
          <w:szCs w:val="24"/>
          <w:vertAlign w:val="superscript"/>
        </w:rPr>
        <w:t>2</w:t>
      </w:r>
      <w:r w:rsidRPr="003A2047">
        <w:rPr>
          <w:rFonts w:ascii="Sylfaen" w:hAnsi="Sylfaen"/>
          <w:sz w:val="24"/>
          <w:szCs w:val="24"/>
        </w:rPr>
        <w:t xml:space="preserve"> და საჭიროებენ გლიკემიის მკაცრ კონტროლს, დოზა შეიძლება გაიზარდოს 25 მგ-მდე დღეში ერთხელ. მაქსიმალური დღიური დოზა 25 </w:t>
      </w:r>
      <w:r w:rsidR="000305A5" w:rsidRPr="003A2047">
        <w:rPr>
          <w:rFonts w:ascii="Sylfaen" w:hAnsi="Sylfaen"/>
          <w:sz w:val="24"/>
          <w:szCs w:val="24"/>
        </w:rPr>
        <w:t>მგ</w:t>
      </w:r>
      <w:r w:rsidRPr="003A2047">
        <w:rPr>
          <w:rFonts w:ascii="Sylfaen" w:hAnsi="Sylfaen"/>
          <w:sz w:val="24"/>
          <w:szCs w:val="24"/>
        </w:rPr>
        <w:t>.</w:t>
      </w:r>
    </w:p>
    <w:p w14:paraId="6A5AB9D1" w14:textId="77777777" w:rsidR="00D96668" w:rsidRPr="003A2047" w:rsidRDefault="00D96668"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გულის უკმარისობა</w:t>
      </w:r>
    </w:p>
    <w:p w14:paraId="359765B6" w14:textId="1E97B29A"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რეკომენდირებული დოზაა 10 მგ </w:t>
      </w:r>
      <w:r w:rsidR="00152AE9" w:rsidRPr="003A2047">
        <w:rPr>
          <w:rFonts w:ascii="Sylfaen" w:hAnsi="Sylfaen" w:cs="Sylfaen"/>
          <w:sz w:val="24"/>
          <w:szCs w:val="24"/>
        </w:rPr>
        <w:t>ემფაჟ</w:t>
      </w:r>
      <w:r w:rsidRPr="003A2047">
        <w:rPr>
          <w:rFonts w:ascii="Sylfaen" w:hAnsi="Sylfaen"/>
          <w:sz w:val="24"/>
          <w:szCs w:val="24"/>
        </w:rPr>
        <w:t>ი დღეში ერთხელ.</w:t>
      </w:r>
    </w:p>
    <w:p w14:paraId="0C25C858" w14:textId="77777777" w:rsidR="00D96668" w:rsidRPr="003A2047" w:rsidRDefault="00D96668"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თირკმელების ქრონიკული დაავადება</w:t>
      </w:r>
    </w:p>
    <w:p w14:paraId="2083878D" w14:textId="1872EAAD"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რეკომენდირებული დოზაა 10 მგ </w:t>
      </w:r>
      <w:r w:rsidR="00152AE9" w:rsidRPr="003A2047">
        <w:rPr>
          <w:rFonts w:ascii="Sylfaen" w:hAnsi="Sylfaen" w:cs="Sylfaen"/>
          <w:sz w:val="24"/>
          <w:szCs w:val="24"/>
        </w:rPr>
        <w:t>ემფაჟ</w:t>
      </w:r>
      <w:r w:rsidRPr="003A2047">
        <w:rPr>
          <w:rFonts w:ascii="Sylfaen" w:hAnsi="Sylfaen"/>
          <w:sz w:val="24"/>
          <w:szCs w:val="24"/>
        </w:rPr>
        <w:t>ი დღეში ერთხელ.</w:t>
      </w:r>
    </w:p>
    <w:p w14:paraId="70F3ECCF" w14:textId="77777777" w:rsidR="00D96668" w:rsidRPr="003A2047" w:rsidRDefault="00D96668"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ყველა ჩვენება</w:t>
      </w:r>
    </w:p>
    <w:p w14:paraId="58D0B111" w14:textId="549AA7C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თუ </w:t>
      </w:r>
      <w:r w:rsidR="00152AE9" w:rsidRPr="003A2047">
        <w:rPr>
          <w:rFonts w:ascii="Sylfaen" w:hAnsi="Sylfaen" w:cs="Sylfaen"/>
          <w:sz w:val="24"/>
          <w:szCs w:val="24"/>
        </w:rPr>
        <w:t>ემფაჟ</w:t>
      </w:r>
      <w:r w:rsidRPr="003A2047">
        <w:rPr>
          <w:rFonts w:ascii="Sylfaen" w:hAnsi="Sylfaen"/>
          <w:sz w:val="24"/>
          <w:szCs w:val="24"/>
        </w:rPr>
        <w:t>ი გამოიყენება სულფონილშარდოვანასთან ან ინსულინთან ერთად, შეიძლება განიხილოს სულფონილშარდოვანას ან ინსულინის დოზის შემცირება ჰიპოგლიკემიის რისკის შესამცირებლად.</w:t>
      </w:r>
    </w:p>
    <w:p w14:paraId="5925BA5B"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დოზის გამოტოვების შემთხვევაში, ის უნდა იქნას მიღებული როგორც კი პაციენტს გაახსენდება; თუმცა, არ უნდა მიიღოთ ორმაგი დოზა იმავე დღეს.</w:t>
      </w:r>
    </w:p>
    <w:p w14:paraId="176B2574"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განსაკუთრებული მოსახლეობა</w:t>
      </w:r>
    </w:p>
    <w:p w14:paraId="0488984E"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თირკმლის უკმარისობა</w:t>
      </w:r>
    </w:p>
    <w:p w14:paraId="07478E8E" w14:textId="733D8FB5"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შეზღუდული გამოცდილების გამო, არ არის რეკომენდებული ემფაჟით მკურნალობის დაწყება პაციენტებში</w:t>
      </w:r>
      <w:r w:rsidR="00D8759C" w:rsidRPr="003A2047">
        <w:rPr>
          <w:rFonts w:ascii="Sylfaen" w:hAnsi="Sylfaen"/>
          <w:kern w:val="0"/>
          <w:sz w:val="24"/>
          <w:szCs w:val="24"/>
          <w14:ligatures w14:val="none"/>
        </w:rPr>
        <w:t xml:space="preserve"> eGFR</w:t>
      </w:r>
      <w:r w:rsidRPr="003A2047">
        <w:rPr>
          <w:rFonts w:ascii="Sylfaen" w:hAnsi="Sylfaen"/>
          <w:sz w:val="24"/>
          <w:szCs w:val="24"/>
        </w:rPr>
        <w:t xml:space="preserve"> &lt;20 მლ/წთ/1,73 მ</w:t>
      </w:r>
      <w:r w:rsidRPr="003A2047">
        <w:rPr>
          <w:rFonts w:ascii="Sylfaen" w:hAnsi="Sylfaen"/>
          <w:sz w:val="24"/>
          <w:szCs w:val="24"/>
          <w:vertAlign w:val="superscript"/>
        </w:rPr>
        <w:t>2</w:t>
      </w:r>
      <w:r w:rsidRPr="003A2047">
        <w:rPr>
          <w:rFonts w:ascii="Sylfaen" w:hAnsi="Sylfaen"/>
          <w:sz w:val="24"/>
          <w:szCs w:val="24"/>
        </w:rPr>
        <w:t>.</w:t>
      </w:r>
    </w:p>
    <w:p w14:paraId="5F348320" w14:textId="7CD58BFE"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პაციენტებისთვის </w:t>
      </w:r>
      <w:r w:rsidR="00B579F9" w:rsidRPr="003A2047">
        <w:rPr>
          <w:rFonts w:ascii="Sylfaen" w:hAnsi="Sylfaen"/>
          <w:sz w:val="24"/>
          <w:szCs w:val="24"/>
        </w:rPr>
        <w:t>e</w:t>
      </w:r>
      <w:r w:rsidRPr="003A2047">
        <w:rPr>
          <w:rFonts w:ascii="Sylfaen" w:hAnsi="Sylfaen"/>
          <w:sz w:val="24"/>
          <w:szCs w:val="24"/>
        </w:rPr>
        <w:t>GFR &lt;60 მლ/წთ/1,73 მ</w:t>
      </w:r>
      <w:r w:rsidRPr="003A2047">
        <w:rPr>
          <w:rFonts w:ascii="Sylfaen" w:hAnsi="Sylfaen"/>
          <w:sz w:val="24"/>
          <w:szCs w:val="24"/>
          <w:vertAlign w:val="superscript"/>
        </w:rPr>
        <w:t>2</w:t>
      </w:r>
      <w:r w:rsidRPr="003A2047">
        <w:rPr>
          <w:rFonts w:ascii="Sylfaen" w:hAnsi="Sylfaen"/>
          <w:sz w:val="24"/>
          <w:szCs w:val="24"/>
        </w:rPr>
        <w:t xml:space="preserve">, ემფაჟის დღიური </w:t>
      </w:r>
      <w:bookmarkStart w:id="9" w:name="_Hlk176516263"/>
      <w:r w:rsidRPr="003A2047">
        <w:rPr>
          <w:rFonts w:ascii="Sylfaen" w:hAnsi="Sylfaen"/>
          <w:sz w:val="24"/>
          <w:szCs w:val="24"/>
        </w:rPr>
        <w:t>დოზაა</w:t>
      </w:r>
      <w:bookmarkEnd w:id="9"/>
      <w:r w:rsidRPr="003A2047">
        <w:rPr>
          <w:rFonts w:ascii="Sylfaen" w:hAnsi="Sylfaen"/>
          <w:sz w:val="24"/>
          <w:szCs w:val="24"/>
        </w:rPr>
        <w:t xml:space="preserve"> 10 მგ.</w:t>
      </w:r>
    </w:p>
    <w:p w14:paraId="7C973C89" w14:textId="010E1FBD"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ტიპი 2 შაქრიანი დიაბეტის მქონე პაციენტებში, ემფაჟის გლუკოზის შემცირების ეფექტურობა მცირდება პაციენტებში </w:t>
      </w:r>
      <w:r w:rsidR="00E75A2B" w:rsidRPr="003A2047">
        <w:rPr>
          <w:rFonts w:ascii="Sylfaen" w:hAnsi="Sylfaen"/>
          <w:kern w:val="0"/>
          <w:sz w:val="24"/>
          <w:szCs w:val="24"/>
          <w14:ligatures w14:val="none"/>
        </w:rPr>
        <w:t>eGFR</w:t>
      </w:r>
      <w:r w:rsidRPr="003A2047">
        <w:rPr>
          <w:rFonts w:ascii="Sylfaen" w:hAnsi="Sylfaen"/>
          <w:sz w:val="24"/>
          <w:szCs w:val="24"/>
        </w:rPr>
        <w:t>&lt;45 მლ/წთ/1,73 მ</w:t>
      </w:r>
      <w:r w:rsidRPr="003A2047">
        <w:rPr>
          <w:rFonts w:ascii="Sylfaen" w:hAnsi="Sylfaen"/>
          <w:sz w:val="24"/>
          <w:szCs w:val="24"/>
          <w:vertAlign w:val="superscript"/>
        </w:rPr>
        <w:t>2</w:t>
      </w:r>
      <w:r w:rsidRPr="003A2047">
        <w:rPr>
          <w:rFonts w:ascii="Sylfaen" w:hAnsi="Sylfaen"/>
          <w:sz w:val="24"/>
          <w:szCs w:val="24"/>
        </w:rPr>
        <w:t xml:space="preserve"> და სავარაუდოდ არ არსებობს პაციენტებში </w:t>
      </w:r>
      <w:r w:rsidR="00E75A2B" w:rsidRPr="003A2047">
        <w:rPr>
          <w:rFonts w:ascii="Sylfaen" w:hAnsi="Sylfaen"/>
          <w:kern w:val="0"/>
          <w:sz w:val="24"/>
          <w:szCs w:val="24"/>
          <w14:ligatures w14:val="none"/>
        </w:rPr>
        <w:t>eGFR</w:t>
      </w:r>
      <w:r w:rsidRPr="003A2047">
        <w:rPr>
          <w:rFonts w:ascii="Sylfaen" w:hAnsi="Sylfaen"/>
          <w:sz w:val="24"/>
          <w:szCs w:val="24"/>
        </w:rPr>
        <w:t xml:space="preserve"> &lt;30 მლ/წთ/1,73</w:t>
      </w:r>
      <w:r w:rsidR="009E76F4" w:rsidRPr="003A2047">
        <w:rPr>
          <w:rFonts w:ascii="Sylfaen" w:hAnsi="Sylfaen"/>
          <w:sz w:val="24"/>
          <w:szCs w:val="24"/>
        </w:rPr>
        <w:t xml:space="preserve"> </w:t>
      </w:r>
      <w:r w:rsidRPr="003A2047">
        <w:rPr>
          <w:rFonts w:ascii="Sylfaen" w:hAnsi="Sylfaen"/>
          <w:sz w:val="24"/>
          <w:szCs w:val="24"/>
        </w:rPr>
        <w:t>მ</w:t>
      </w:r>
      <w:r w:rsidRPr="003A2047">
        <w:rPr>
          <w:rFonts w:ascii="Sylfaen" w:hAnsi="Sylfaen"/>
          <w:sz w:val="24"/>
          <w:szCs w:val="24"/>
          <w:vertAlign w:val="superscript"/>
        </w:rPr>
        <w:t>2</w:t>
      </w:r>
      <w:r w:rsidRPr="003A2047">
        <w:rPr>
          <w:rFonts w:ascii="Sylfaen" w:hAnsi="Sylfaen"/>
          <w:sz w:val="24"/>
          <w:szCs w:val="24"/>
        </w:rPr>
        <w:t>. ამიტომ, თუ eGFR დაეცემა 45 მლ/წთ/1,73 მ</w:t>
      </w:r>
      <w:r w:rsidRPr="003A2047">
        <w:rPr>
          <w:rFonts w:ascii="Sylfaen" w:hAnsi="Sylfaen"/>
          <w:sz w:val="24"/>
          <w:szCs w:val="24"/>
          <w:vertAlign w:val="superscript"/>
        </w:rPr>
        <w:t>2</w:t>
      </w:r>
      <w:r w:rsidRPr="003A2047">
        <w:rPr>
          <w:rFonts w:ascii="Sylfaen" w:hAnsi="Sylfaen"/>
          <w:sz w:val="24"/>
          <w:szCs w:val="24"/>
        </w:rPr>
        <w:t>-ზე ქვემოთ, საჭიროების შემთხვევაში უნდა განიხილებოდეს გლუკოზის შემამცირებელი დამატებითი მკურნალობა.</w:t>
      </w:r>
    </w:p>
    <w:p w14:paraId="50FA52C6"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lastRenderedPageBreak/>
        <w:t>ღვიძლის უკმარისობა</w:t>
      </w:r>
    </w:p>
    <w:p w14:paraId="2E464B46" w14:textId="5DA2DC1B" w:rsidR="00D96668" w:rsidRPr="003A2047" w:rsidRDefault="00E85E3E"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ღვიძლ</w:t>
      </w:r>
      <w:r w:rsidR="00D96668" w:rsidRPr="003A2047">
        <w:rPr>
          <w:rFonts w:ascii="Sylfaen" w:hAnsi="Sylfaen"/>
          <w:sz w:val="24"/>
          <w:szCs w:val="24"/>
        </w:rPr>
        <w:t xml:space="preserve">ის უკმარისობის მქონე პაციენტებისთვის დოზის კორექცია საჭირო არ არის. ღვიძლის მძიმე უკმარისობის მქონე პაციენტებში ემფაჟის ექსპოზიცია იზრდება. ღვიძლის მძიმე უკმარისობის მქონე პაციენტებში თერაპიული გამოცდილება შეზღუდულია და არ არის რეკომენდებული ამ პოპულაციაში გამოყენება </w:t>
      </w:r>
    </w:p>
    <w:p w14:paraId="59C291FF"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ხანდაზმულები</w:t>
      </w:r>
    </w:p>
    <w:p w14:paraId="1867CE1D" w14:textId="4B12BB83"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არ არის რეკომენდებული დოზის კორექცია ასაკის მიხედვით. 75 წელზე უფროსი ასაკის პაციენტებში გასათვალისწინებელია მოცულობის შემცირების გაზრდილი რისკი.</w:t>
      </w:r>
    </w:p>
    <w:p w14:paraId="615AE648"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i/>
          <w:sz w:val="24"/>
          <w:szCs w:val="24"/>
        </w:rPr>
        <w:t>პედიატრიული მოსახლეობა</w:t>
      </w:r>
    </w:p>
    <w:p w14:paraId="77413763" w14:textId="695967AC"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რეკომენდებული საწყისი დოზაა 10 მგ ემფაჟი დღეში ერთხელ. პაციენტებში, რომლებიც იტანენ ემფაჟს 10 მგ დღეში ერთხელ და საჭიროებენ დამატებით გლიკემიურ კონტროლს, დოზა შეიძლება გაიზარდოს 25 მგ-მდე დღეში ერთხელ. მონაცემები ბავშვებისთვის eGFR &lt;60 მლ/წთ/1,73 მ² და ბავშვებისთვის &lt;10 წლამდე მიუწვდომელია.</w:t>
      </w:r>
    </w:p>
    <w:p w14:paraId="1BF6CC00" w14:textId="4BE2EEDF"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ემფაჟის უსაფრთხოება და ეფექტურობა გულის უკმარისობის სამკურნალოდ ან თირკმლების ქრონიკული დაავადების სამკურნალოდ 18 წლამდე ასაკის ბავშვებში დადგენილი არ არის. მონაცემები არ არის ხელმისაწვდომი.</w:t>
      </w:r>
    </w:p>
    <w:p w14:paraId="65FCD95D" w14:textId="603BFDCF" w:rsidR="00D96668" w:rsidRPr="003A2047" w:rsidRDefault="004F1D8E"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მიღების</w:t>
      </w:r>
      <w:r w:rsidR="00D96668" w:rsidRPr="003A2047">
        <w:rPr>
          <w:rFonts w:ascii="Sylfaen" w:hAnsi="Sylfaen"/>
          <w:i/>
          <w:iCs/>
          <w:sz w:val="24"/>
          <w:szCs w:val="24"/>
        </w:rPr>
        <w:t xml:space="preserve"> მეთოდი</w:t>
      </w:r>
    </w:p>
    <w:p w14:paraId="302BBBEC" w14:textId="77777777" w:rsidR="00D96668" w:rsidRPr="003A2047" w:rsidRDefault="00D96668"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ტაბლეტების მიღება შესაძლებელია საკვებთან ერთად ან მის გარეშე, გადაყლაპეთ მთლიანად და დააყოლეთ წყალი.</w:t>
      </w:r>
    </w:p>
    <w:p w14:paraId="63F07650" w14:textId="77777777" w:rsidR="00881FCB" w:rsidRPr="003A2047" w:rsidRDefault="00881FCB" w:rsidP="00A95BA5">
      <w:pPr>
        <w:spacing w:after="0" w:line="20" w:lineRule="atLeast"/>
        <w:ind w:left="0" w:right="141" w:firstLine="0"/>
        <w:rPr>
          <w:rFonts w:ascii="Sylfaen" w:hAnsi="Sylfaen"/>
          <w:sz w:val="24"/>
          <w:szCs w:val="24"/>
        </w:rPr>
      </w:pPr>
    </w:p>
    <w:p w14:paraId="00646A47" w14:textId="6FF7E6FB" w:rsidR="002E4854" w:rsidRPr="003A2047" w:rsidRDefault="002E4854" w:rsidP="00A95BA5">
      <w:pPr>
        <w:tabs>
          <w:tab w:val="center" w:pos="1462"/>
        </w:tabs>
        <w:spacing w:after="0" w:line="20" w:lineRule="atLeast"/>
        <w:ind w:left="0" w:right="141" w:firstLine="0"/>
        <w:rPr>
          <w:rFonts w:ascii="Sylfaen" w:hAnsi="Sylfaen"/>
          <w:b/>
          <w:sz w:val="24"/>
          <w:szCs w:val="24"/>
        </w:rPr>
      </w:pPr>
      <w:r w:rsidRPr="003A2047">
        <w:rPr>
          <w:rFonts w:ascii="Sylfaen" w:hAnsi="Sylfaen"/>
          <w:b/>
          <w:sz w:val="24"/>
          <w:szCs w:val="24"/>
        </w:rPr>
        <w:t xml:space="preserve">არასასურველი ეფექტი </w:t>
      </w:r>
    </w:p>
    <w:p w14:paraId="47F72E33" w14:textId="330D19D1" w:rsidR="00881AAB" w:rsidRPr="003A2047" w:rsidRDefault="00881AAB" w:rsidP="00A95BA5">
      <w:pPr>
        <w:shd w:val="clear" w:color="auto" w:fill="FFFFFF"/>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ყველაზე ხშირად მოხსენებული გვერდითი რეაქცია იყო ჰიპოგლიკემია სულფონილშარდოვანას ან ინსულინთან ერთად გამოყენებისას.</w:t>
      </w:r>
    </w:p>
    <w:p w14:paraId="6493EE71" w14:textId="66DC1ECE" w:rsidR="00881FCB" w:rsidRPr="003A2047" w:rsidRDefault="00881FCB" w:rsidP="00A95BA5">
      <w:pPr>
        <w:spacing w:after="0" w:line="240" w:lineRule="auto"/>
        <w:ind w:right="141"/>
        <w:jc w:val="both"/>
        <w:rPr>
          <w:rFonts w:ascii="Sylfaen" w:hAnsi="Sylfaen"/>
          <w:kern w:val="0"/>
          <w:sz w:val="24"/>
          <w:szCs w:val="24"/>
          <w14:ligatures w14:val="none"/>
        </w:rPr>
      </w:pPr>
      <w:r w:rsidRPr="003A2047">
        <w:rPr>
          <w:rFonts w:ascii="Sylfaen" w:hAnsi="Sylfaen"/>
          <w:sz w:val="24"/>
          <w:szCs w:val="24"/>
        </w:rPr>
        <w:t>გვერდითი რეაქციები, კლასიფიცირებული</w:t>
      </w:r>
      <w:r w:rsidR="00F70B54" w:rsidRPr="003A2047">
        <w:rPr>
          <w:rFonts w:ascii="Sylfaen" w:hAnsi="Sylfaen"/>
          <w:sz w:val="24"/>
          <w:szCs w:val="24"/>
        </w:rPr>
        <w:t>ა</w:t>
      </w:r>
      <w:r w:rsidRPr="003A2047">
        <w:rPr>
          <w:rFonts w:ascii="Sylfaen" w:hAnsi="Sylfaen"/>
          <w:sz w:val="24"/>
          <w:szCs w:val="24"/>
        </w:rPr>
        <w:t xml:space="preserve"> სისტემის ორგანოთა კლასის და MedDRA უპირატესი ტერმინების მიხედვით,  პაციენტებში, რომლებიც იღებდნენ ემპაგლიფლოზინს პლაცებოზე კონტროლირებად კვლევებში, წარმოდგენილია ქვემოთ მოცემულ ცხრილში (ცხრილი 1).</w:t>
      </w:r>
    </w:p>
    <w:p w14:paraId="1A2F414A" w14:textId="77777777" w:rsidR="00881FCB" w:rsidRPr="003A2047" w:rsidRDefault="00881FCB"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გვერდითი რეაქციები ჩამოთვლილია აბსოლუტური სიხშირით. შემთხვევების სიხშირე განისაზღვრება, როგორც ძალიან ხშირი (≥ 1/10), ხშირი (≥ 1/100 - &lt;1/10), არახშირი (≥ 1/1,000 - &lt;1/100), იშვიათი (≥ 1/10,000 - &lt; 1/1000) ან ძალიან იშვიათი (&lt;1/10000) და უცნობი (შეუძლებელია შეფასდეს არსებული მონაცემებით).</w:t>
      </w:r>
    </w:p>
    <w:p w14:paraId="21E87E5D" w14:textId="1C45336A" w:rsidR="00881FCB" w:rsidRPr="003A2047" w:rsidRDefault="00881FCB" w:rsidP="00A95BA5">
      <w:pPr>
        <w:spacing w:after="0" w:line="240" w:lineRule="auto"/>
        <w:ind w:left="0" w:right="141" w:firstLine="0"/>
        <w:jc w:val="both"/>
        <w:rPr>
          <w:rFonts w:ascii="Sylfaen" w:hAnsi="Sylfaen" w:cs="Sylfaen"/>
          <w:sz w:val="24"/>
          <w:szCs w:val="24"/>
        </w:rPr>
      </w:pPr>
      <w:r w:rsidRPr="003A2047">
        <w:rPr>
          <w:rFonts w:ascii="Sylfaen" w:hAnsi="Sylfaen"/>
          <w:sz w:val="24"/>
          <w:szCs w:val="24"/>
        </w:rPr>
        <w:t>ცხრილი</w:t>
      </w:r>
      <w:r w:rsidR="004F1D8E" w:rsidRPr="003A2047">
        <w:rPr>
          <w:rFonts w:ascii="Sylfaen" w:hAnsi="Sylfaen"/>
          <w:sz w:val="24"/>
          <w:szCs w:val="24"/>
        </w:rPr>
        <w:t xml:space="preserve"> </w:t>
      </w:r>
      <w:r w:rsidRPr="003A2047">
        <w:rPr>
          <w:rFonts w:ascii="Sylfaen" w:hAnsi="Sylfaen"/>
          <w:sz w:val="24"/>
          <w:szCs w:val="24"/>
        </w:rPr>
        <w:t xml:space="preserve">1: </w:t>
      </w:r>
      <w:r w:rsidR="002A27FA" w:rsidRPr="003A2047">
        <w:rPr>
          <w:rFonts w:ascii="Sylfaen" w:hAnsi="Sylfaen" w:cs="Sylfaen"/>
          <w:sz w:val="24"/>
          <w:szCs w:val="24"/>
        </w:rPr>
        <w:t>გვერდითი</w:t>
      </w:r>
      <w:r w:rsidR="002A27FA" w:rsidRPr="003A2047">
        <w:rPr>
          <w:rFonts w:ascii="Sylfaen" w:hAnsi="Sylfaen"/>
          <w:sz w:val="24"/>
          <w:szCs w:val="24"/>
        </w:rPr>
        <w:t xml:space="preserve"> </w:t>
      </w:r>
      <w:r w:rsidR="002A27FA" w:rsidRPr="003A2047">
        <w:rPr>
          <w:rFonts w:ascii="Sylfaen" w:hAnsi="Sylfaen" w:cs="Sylfaen"/>
          <w:sz w:val="24"/>
          <w:szCs w:val="24"/>
        </w:rPr>
        <w:t>რეაქციების</w:t>
      </w:r>
      <w:r w:rsidR="002A27FA" w:rsidRPr="003A2047">
        <w:rPr>
          <w:rFonts w:ascii="Sylfaen" w:hAnsi="Sylfaen"/>
          <w:sz w:val="24"/>
          <w:szCs w:val="24"/>
        </w:rPr>
        <w:t xml:space="preserve"> </w:t>
      </w:r>
      <w:r w:rsidR="002A27FA" w:rsidRPr="003A2047">
        <w:rPr>
          <w:rFonts w:ascii="Sylfaen" w:hAnsi="Sylfaen" w:cs="Sylfaen"/>
          <w:sz w:val="24"/>
          <w:szCs w:val="24"/>
        </w:rPr>
        <w:t>ცხრილი</w:t>
      </w:r>
      <w:r w:rsidR="002A27FA" w:rsidRPr="003A2047">
        <w:rPr>
          <w:rFonts w:ascii="Sylfaen" w:hAnsi="Sylfaen"/>
          <w:sz w:val="24"/>
          <w:szCs w:val="24"/>
        </w:rPr>
        <w:t xml:space="preserve"> </w:t>
      </w:r>
      <w:r w:rsidR="002A27FA" w:rsidRPr="003A2047">
        <w:rPr>
          <w:rFonts w:ascii="Sylfaen" w:hAnsi="Sylfaen" w:cs="Sylfaen"/>
          <w:sz w:val="24"/>
          <w:szCs w:val="24"/>
        </w:rPr>
        <w:t>სია</w:t>
      </w:r>
      <w:r w:rsidR="002A27FA" w:rsidRPr="003A2047">
        <w:rPr>
          <w:rFonts w:ascii="Sylfaen" w:hAnsi="Sylfaen"/>
          <w:sz w:val="24"/>
          <w:szCs w:val="24"/>
        </w:rPr>
        <w:t xml:space="preserve"> (MedDRA) </w:t>
      </w:r>
      <w:r w:rsidR="002A27FA" w:rsidRPr="003A2047">
        <w:rPr>
          <w:rFonts w:ascii="Sylfaen" w:hAnsi="Sylfaen" w:cs="Sylfaen"/>
          <w:sz w:val="24"/>
          <w:szCs w:val="24"/>
        </w:rPr>
        <w:t>პლაცებოზე</w:t>
      </w:r>
      <w:r w:rsidR="002A27FA" w:rsidRPr="003A2047">
        <w:rPr>
          <w:rFonts w:ascii="Sylfaen" w:hAnsi="Sylfaen"/>
          <w:sz w:val="24"/>
          <w:szCs w:val="24"/>
        </w:rPr>
        <w:t xml:space="preserve"> </w:t>
      </w:r>
      <w:r w:rsidR="002A27FA" w:rsidRPr="003A2047">
        <w:rPr>
          <w:rFonts w:ascii="Sylfaen" w:hAnsi="Sylfaen" w:cs="Sylfaen"/>
          <w:sz w:val="24"/>
          <w:szCs w:val="24"/>
        </w:rPr>
        <w:t>კონტროლირებადი</w:t>
      </w:r>
      <w:r w:rsidR="002A27FA" w:rsidRPr="003A2047">
        <w:rPr>
          <w:rFonts w:ascii="Sylfaen" w:hAnsi="Sylfaen"/>
          <w:sz w:val="24"/>
          <w:szCs w:val="24"/>
        </w:rPr>
        <w:t xml:space="preserve"> </w:t>
      </w:r>
      <w:r w:rsidR="002A27FA" w:rsidRPr="003A2047">
        <w:rPr>
          <w:rFonts w:ascii="Sylfaen" w:hAnsi="Sylfaen" w:cs="Sylfaen"/>
          <w:sz w:val="24"/>
          <w:szCs w:val="24"/>
        </w:rPr>
        <w:t>კვლევებიდან</w:t>
      </w:r>
      <w:r w:rsidR="002A27FA" w:rsidRPr="003A2047">
        <w:rPr>
          <w:rFonts w:ascii="Sylfaen" w:hAnsi="Sylfaen"/>
          <w:sz w:val="24"/>
          <w:szCs w:val="24"/>
        </w:rPr>
        <w:t xml:space="preserve"> </w:t>
      </w:r>
      <w:r w:rsidR="002A27FA" w:rsidRPr="003A2047">
        <w:rPr>
          <w:rFonts w:ascii="Sylfaen" w:hAnsi="Sylfaen" w:cs="Sylfaen"/>
          <w:sz w:val="24"/>
          <w:szCs w:val="24"/>
        </w:rPr>
        <w:t>და</w:t>
      </w:r>
      <w:r w:rsidR="002A27FA" w:rsidRPr="003A2047">
        <w:rPr>
          <w:rFonts w:ascii="Sylfaen" w:hAnsi="Sylfaen"/>
          <w:sz w:val="24"/>
          <w:szCs w:val="24"/>
        </w:rPr>
        <w:t xml:space="preserve"> </w:t>
      </w:r>
      <w:r w:rsidR="002A27FA" w:rsidRPr="003A2047">
        <w:rPr>
          <w:rFonts w:ascii="Sylfaen" w:hAnsi="Sylfaen" w:cs="Sylfaen"/>
          <w:sz w:val="24"/>
          <w:szCs w:val="24"/>
        </w:rPr>
        <w:t>პოსტმარკეტინგული</w:t>
      </w:r>
      <w:r w:rsidR="002A27FA" w:rsidRPr="003A2047">
        <w:rPr>
          <w:rFonts w:ascii="Sylfaen" w:hAnsi="Sylfaen"/>
          <w:sz w:val="24"/>
          <w:szCs w:val="24"/>
        </w:rPr>
        <w:t xml:space="preserve"> </w:t>
      </w:r>
      <w:r w:rsidR="002A27FA" w:rsidRPr="003A2047">
        <w:rPr>
          <w:rFonts w:ascii="Sylfaen" w:hAnsi="Sylfaen" w:cs="Sylfaen"/>
          <w:sz w:val="24"/>
          <w:szCs w:val="24"/>
        </w:rPr>
        <w:t>გამოცდილებიდან</w:t>
      </w:r>
    </w:p>
    <w:p w14:paraId="48FE7762" w14:textId="77777777" w:rsidR="002A772D" w:rsidRPr="003A2047" w:rsidRDefault="002A772D" w:rsidP="00A95BA5">
      <w:pPr>
        <w:spacing w:after="0" w:line="240" w:lineRule="auto"/>
        <w:ind w:left="0" w:right="141" w:firstLine="0"/>
        <w:jc w:val="both"/>
        <w:rPr>
          <w:rFonts w:ascii="Sylfaen" w:hAnsi="Sylfaen"/>
          <w:kern w:val="0"/>
          <w:sz w:val="24"/>
          <w:szCs w:val="24"/>
          <w14:ligatures w14:val="none"/>
        </w:rPr>
      </w:pPr>
    </w:p>
    <w:tbl>
      <w:tblPr>
        <w:tblW w:w="10490" w:type="dxa"/>
        <w:tblCellSpacing w:w="0" w:type="dxa"/>
        <w:tblInd w:w="-292"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1845"/>
        <w:gridCol w:w="1985"/>
        <w:gridCol w:w="2270"/>
        <w:gridCol w:w="1699"/>
        <w:gridCol w:w="1701"/>
        <w:gridCol w:w="990"/>
      </w:tblGrid>
      <w:tr w:rsidR="005D5914" w:rsidRPr="003A2047" w14:paraId="0BB1496C"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5019C8B3" w14:textId="77777777" w:rsidR="00881FCB" w:rsidRPr="003A2047" w:rsidRDefault="00881FCB" w:rsidP="00125AFD">
            <w:pPr>
              <w:spacing w:after="0" w:line="240" w:lineRule="auto"/>
              <w:ind w:left="240" w:right="141" w:firstLine="0"/>
              <w:jc w:val="both"/>
              <w:rPr>
                <w:rFonts w:ascii="Sylfaen" w:hAnsi="Sylfaen"/>
                <w:color w:val="auto"/>
                <w:kern w:val="0"/>
                <w:sz w:val="24"/>
                <w:szCs w:val="24"/>
                <w14:ligatures w14:val="none"/>
              </w:rPr>
            </w:pPr>
            <w:r w:rsidRPr="003A2047">
              <w:rPr>
                <w:rFonts w:ascii="Sylfaen" w:hAnsi="Sylfaen"/>
                <w:b/>
                <w:color w:val="auto"/>
                <w:sz w:val="24"/>
                <w:szCs w:val="24"/>
              </w:rPr>
              <w:t>სისტემის ორგანოთა კლასი</w:t>
            </w:r>
          </w:p>
        </w:tc>
        <w:tc>
          <w:tcPr>
            <w:tcW w:w="946" w:type="pct"/>
            <w:tcBorders>
              <w:top w:val="outset" w:sz="6" w:space="0" w:color="auto"/>
              <w:left w:val="outset" w:sz="6" w:space="0" w:color="auto"/>
              <w:bottom w:val="outset" w:sz="6" w:space="0" w:color="auto"/>
              <w:right w:val="outset" w:sz="6" w:space="0" w:color="auto"/>
            </w:tcBorders>
            <w:hideMark/>
          </w:tcPr>
          <w:p w14:paraId="4E895B6A" w14:textId="77777777" w:rsidR="00125AFD" w:rsidRDefault="00125AFD" w:rsidP="00A95BA5">
            <w:pPr>
              <w:spacing w:after="0" w:line="240" w:lineRule="auto"/>
              <w:ind w:left="0" w:right="141" w:firstLine="0"/>
              <w:rPr>
                <w:rFonts w:ascii="Sylfaen" w:hAnsi="Sylfaen"/>
                <w:b/>
                <w:color w:val="auto"/>
                <w:sz w:val="24"/>
                <w:szCs w:val="24"/>
              </w:rPr>
            </w:pPr>
          </w:p>
          <w:p w14:paraId="08355120" w14:textId="004D7E86" w:rsidR="00881FCB" w:rsidRPr="003A2047" w:rsidRDefault="00125AFD" w:rsidP="00A95BA5">
            <w:pPr>
              <w:spacing w:after="0" w:line="240" w:lineRule="auto"/>
              <w:ind w:left="0" w:right="141" w:firstLine="0"/>
              <w:rPr>
                <w:rFonts w:ascii="Sylfaen" w:hAnsi="Sylfaen"/>
                <w:color w:val="auto"/>
                <w:kern w:val="0"/>
                <w:sz w:val="24"/>
                <w:szCs w:val="24"/>
                <w14:ligatures w14:val="none"/>
              </w:rPr>
            </w:pPr>
            <w:r>
              <w:rPr>
                <w:rFonts w:ascii="Sylfaen" w:hAnsi="Sylfaen"/>
                <w:b/>
                <w:color w:val="auto"/>
                <w:sz w:val="24"/>
                <w:szCs w:val="24"/>
              </w:rPr>
              <w:t xml:space="preserve"> </w:t>
            </w:r>
            <w:r w:rsidR="00881FCB" w:rsidRPr="003A2047">
              <w:rPr>
                <w:rFonts w:ascii="Sylfaen" w:hAnsi="Sylfaen"/>
                <w:b/>
                <w:color w:val="auto"/>
                <w:sz w:val="24"/>
                <w:szCs w:val="24"/>
              </w:rPr>
              <w:t>ძალიან ხშირი</w:t>
            </w:r>
          </w:p>
        </w:tc>
        <w:tc>
          <w:tcPr>
            <w:tcW w:w="1082" w:type="pct"/>
            <w:tcBorders>
              <w:top w:val="outset" w:sz="6" w:space="0" w:color="auto"/>
              <w:left w:val="outset" w:sz="6" w:space="0" w:color="auto"/>
              <w:bottom w:val="outset" w:sz="6" w:space="0" w:color="auto"/>
              <w:right w:val="outset" w:sz="6" w:space="0" w:color="auto"/>
            </w:tcBorders>
            <w:hideMark/>
          </w:tcPr>
          <w:p w14:paraId="49FF1564" w14:textId="77777777" w:rsidR="00125AFD" w:rsidRDefault="00125AFD" w:rsidP="00A95BA5">
            <w:pPr>
              <w:spacing w:after="0" w:line="240" w:lineRule="auto"/>
              <w:ind w:left="0" w:right="141" w:firstLine="0"/>
              <w:rPr>
                <w:rFonts w:ascii="Sylfaen" w:hAnsi="Sylfaen"/>
                <w:b/>
                <w:color w:val="auto"/>
                <w:sz w:val="24"/>
                <w:szCs w:val="24"/>
              </w:rPr>
            </w:pPr>
            <w:r>
              <w:rPr>
                <w:rFonts w:ascii="Sylfaen" w:hAnsi="Sylfaen"/>
                <w:b/>
                <w:color w:val="auto"/>
                <w:sz w:val="24"/>
                <w:szCs w:val="24"/>
              </w:rPr>
              <w:t xml:space="preserve">         </w:t>
            </w:r>
          </w:p>
          <w:p w14:paraId="0075E0CA" w14:textId="41DBA8F5" w:rsidR="00881FCB" w:rsidRPr="003A2047" w:rsidRDefault="00125AFD" w:rsidP="00A95BA5">
            <w:pPr>
              <w:spacing w:after="0" w:line="240" w:lineRule="auto"/>
              <w:ind w:left="0" w:right="141" w:firstLine="0"/>
              <w:rPr>
                <w:rFonts w:ascii="Sylfaen" w:hAnsi="Sylfaen"/>
                <w:color w:val="auto"/>
                <w:kern w:val="0"/>
                <w:sz w:val="24"/>
                <w:szCs w:val="24"/>
                <w14:ligatures w14:val="none"/>
              </w:rPr>
            </w:pPr>
            <w:r>
              <w:rPr>
                <w:rFonts w:ascii="Sylfaen" w:hAnsi="Sylfaen"/>
                <w:b/>
                <w:color w:val="auto"/>
                <w:sz w:val="24"/>
                <w:szCs w:val="24"/>
              </w:rPr>
              <w:t xml:space="preserve">           </w:t>
            </w:r>
            <w:r w:rsidR="00881FCB" w:rsidRPr="003A2047">
              <w:rPr>
                <w:rFonts w:ascii="Sylfaen" w:hAnsi="Sylfaen"/>
                <w:b/>
                <w:color w:val="auto"/>
                <w:sz w:val="24"/>
                <w:szCs w:val="24"/>
              </w:rPr>
              <w:t>ხშირი</w:t>
            </w:r>
          </w:p>
        </w:tc>
        <w:tc>
          <w:tcPr>
            <w:tcW w:w="810" w:type="pct"/>
            <w:tcBorders>
              <w:top w:val="outset" w:sz="6" w:space="0" w:color="auto"/>
              <w:left w:val="outset" w:sz="6" w:space="0" w:color="auto"/>
              <w:bottom w:val="outset" w:sz="6" w:space="0" w:color="auto"/>
              <w:right w:val="outset" w:sz="6" w:space="0" w:color="auto"/>
            </w:tcBorders>
            <w:hideMark/>
          </w:tcPr>
          <w:p w14:paraId="0E3E9CF7" w14:textId="77777777" w:rsidR="00125AFD" w:rsidRDefault="00125AFD" w:rsidP="00A95BA5">
            <w:pPr>
              <w:spacing w:after="0" w:line="240" w:lineRule="auto"/>
              <w:ind w:left="0" w:right="141" w:firstLine="0"/>
              <w:rPr>
                <w:rFonts w:ascii="Sylfaen" w:hAnsi="Sylfaen"/>
                <w:b/>
                <w:color w:val="auto"/>
                <w:sz w:val="24"/>
                <w:szCs w:val="24"/>
              </w:rPr>
            </w:pPr>
            <w:r>
              <w:rPr>
                <w:rFonts w:ascii="Sylfaen" w:hAnsi="Sylfaen"/>
                <w:b/>
                <w:color w:val="auto"/>
                <w:sz w:val="24"/>
                <w:szCs w:val="24"/>
              </w:rPr>
              <w:t xml:space="preserve">   </w:t>
            </w:r>
          </w:p>
          <w:p w14:paraId="453D66A5" w14:textId="58A58CA2" w:rsidR="00881FCB" w:rsidRPr="003A2047" w:rsidRDefault="00125AFD" w:rsidP="00A95BA5">
            <w:pPr>
              <w:spacing w:after="0" w:line="240" w:lineRule="auto"/>
              <w:ind w:left="0" w:right="141" w:firstLine="0"/>
              <w:rPr>
                <w:rFonts w:ascii="Sylfaen" w:hAnsi="Sylfaen"/>
                <w:color w:val="auto"/>
                <w:kern w:val="0"/>
                <w:sz w:val="24"/>
                <w:szCs w:val="24"/>
                <w14:ligatures w14:val="none"/>
              </w:rPr>
            </w:pPr>
            <w:r>
              <w:rPr>
                <w:rFonts w:ascii="Sylfaen" w:hAnsi="Sylfaen"/>
                <w:b/>
                <w:color w:val="auto"/>
                <w:sz w:val="24"/>
                <w:szCs w:val="24"/>
              </w:rPr>
              <w:t xml:space="preserve">   </w:t>
            </w:r>
            <w:r w:rsidR="00881FCB" w:rsidRPr="003A2047">
              <w:rPr>
                <w:rFonts w:ascii="Sylfaen" w:hAnsi="Sylfaen"/>
                <w:b/>
                <w:color w:val="auto"/>
                <w:sz w:val="24"/>
                <w:szCs w:val="24"/>
              </w:rPr>
              <w:t>არახშირი</w:t>
            </w:r>
          </w:p>
        </w:tc>
        <w:tc>
          <w:tcPr>
            <w:tcW w:w="811" w:type="pct"/>
            <w:tcBorders>
              <w:top w:val="outset" w:sz="6" w:space="0" w:color="auto"/>
              <w:left w:val="outset" w:sz="6" w:space="0" w:color="auto"/>
              <w:bottom w:val="outset" w:sz="6" w:space="0" w:color="auto"/>
              <w:right w:val="outset" w:sz="6" w:space="0" w:color="auto"/>
            </w:tcBorders>
            <w:hideMark/>
          </w:tcPr>
          <w:p w14:paraId="57199ED1" w14:textId="77777777" w:rsidR="00125AFD" w:rsidRDefault="00125AFD" w:rsidP="00A95BA5">
            <w:pPr>
              <w:spacing w:after="0" w:line="240" w:lineRule="auto"/>
              <w:ind w:left="0" w:right="141" w:firstLine="0"/>
              <w:rPr>
                <w:rFonts w:ascii="Sylfaen" w:hAnsi="Sylfaen"/>
                <w:b/>
                <w:color w:val="auto"/>
                <w:sz w:val="24"/>
                <w:szCs w:val="24"/>
              </w:rPr>
            </w:pPr>
            <w:r>
              <w:rPr>
                <w:rFonts w:ascii="Sylfaen" w:hAnsi="Sylfaen"/>
                <w:b/>
                <w:color w:val="auto"/>
                <w:sz w:val="24"/>
                <w:szCs w:val="24"/>
              </w:rPr>
              <w:t xml:space="preserve">  </w:t>
            </w:r>
          </w:p>
          <w:p w14:paraId="5F97A9CC" w14:textId="39210971" w:rsidR="00881FCB" w:rsidRPr="003A2047" w:rsidRDefault="00125AFD" w:rsidP="00A95BA5">
            <w:pPr>
              <w:spacing w:after="0" w:line="240" w:lineRule="auto"/>
              <w:ind w:left="0" w:right="141" w:firstLine="0"/>
              <w:rPr>
                <w:rFonts w:ascii="Sylfaen" w:hAnsi="Sylfaen"/>
                <w:color w:val="auto"/>
                <w:kern w:val="0"/>
                <w:sz w:val="24"/>
                <w:szCs w:val="24"/>
                <w14:ligatures w14:val="none"/>
              </w:rPr>
            </w:pPr>
            <w:r>
              <w:rPr>
                <w:rFonts w:ascii="Sylfaen" w:hAnsi="Sylfaen"/>
                <w:b/>
                <w:color w:val="auto"/>
                <w:sz w:val="24"/>
                <w:szCs w:val="24"/>
              </w:rPr>
              <w:t xml:space="preserve">  </w:t>
            </w:r>
            <w:r w:rsidR="00881FCB" w:rsidRPr="003A2047">
              <w:rPr>
                <w:rFonts w:ascii="Sylfaen" w:hAnsi="Sylfaen"/>
                <w:b/>
                <w:color w:val="auto"/>
                <w:sz w:val="24"/>
                <w:szCs w:val="24"/>
              </w:rPr>
              <w:t>იშვიათი</w:t>
            </w:r>
          </w:p>
        </w:tc>
        <w:tc>
          <w:tcPr>
            <w:tcW w:w="473" w:type="pct"/>
            <w:tcBorders>
              <w:top w:val="outset" w:sz="6" w:space="0" w:color="auto"/>
              <w:left w:val="outset" w:sz="6" w:space="0" w:color="auto"/>
              <w:bottom w:val="outset" w:sz="6" w:space="0" w:color="auto"/>
              <w:right w:val="outset" w:sz="6" w:space="0" w:color="auto"/>
            </w:tcBorders>
            <w:hideMark/>
          </w:tcPr>
          <w:p w14:paraId="25673CF1" w14:textId="77777777" w:rsidR="00125AFD" w:rsidRDefault="00881FCB" w:rsidP="00A95BA5">
            <w:pPr>
              <w:spacing w:after="0" w:line="240" w:lineRule="auto"/>
              <w:ind w:left="0" w:right="141" w:firstLine="0"/>
              <w:rPr>
                <w:rFonts w:ascii="Sylfaen" w:hAnsi="Sylfaen"/>
                <w:b/>
                <w:color w:val="auto"/>
                <w:sz w:val="24"/>
                <w:szCs w:val="24"/>
              </w:rPr>
            </w:pPr>
            <w:r w:rsidRPr="003A2047">
              <w:rPr>
                <w:rFonts w:ascii="Sylfaen" w:hAnsi="Sylfaen"/>
                <w:b/>
                <w:color w:val="auto"/>
                <w:sz w:val="24"/>
                <w:szCs w:val="24"/>
              </w:rPr>
              <w:t>ძალი</w:t>
            </w:r>
          </w:p>
          <w:p w14:paraId="6D8087DF" w14:textId="6CB2E0CE" w:rsidR="005D5914" w:rsidRDefault="00881FCB" w:rsidP="00A95BA5">
            <w:pPr>
              <w:spacing w:after="0" w:line="240" w:lineRule="auto"/>
              <w:ind w:left="0" w:right="141" w:firstLine="0"/>
              <w:rPr>
                <w:rFonts w:ascii="Sylfaen" w:hAnsi="Sylfaen"/>
                <w:b/>
                <w:color w:val="auto"/>
                <w:sz w:val="24"/>
                <w:szCs w:val="24"/>
              </w:rPr>
            </w:pPr>
            <w:r w:rsidRPr="003A2047">
              <w:rPr>
                <w:rFonts w:ascii="Sylfaen" w:hAnsi="Sylfaen"/>
                <w:b/>
                <w:color w:val="auto"/>
                <w:sz w:val="24"/>
                <w:szCs w:val="24"/>
              </w:rPr>
              <w:t>ან იშვია</w:t>
            </w:r>
          </w:p>
          <w:p w14:paraId="5859E4F4" w14:textId="37DB2754"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b/>
                <w:color w:val="auto"/>
                <w:sz w:val="24"/>
                <w:szCs w:val="24"/>
              </w:rPr>
              <w:t>თი</w:t>
            </w:r>
          </w:p>
        </w:tc>
      </w:tr>
      <w:tr w:rsidR="005D5914" w:rsidRPr="003A2047" w14:paraId="57F8E669"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2B5A737A"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i/>
                <w:color w:val="auto"/>
                <w:sz w:val="24"/>
                <w:szCs w:val="24"/>
              </w:rPr>
              <w:t>ინფექციები და ინფექციური დაავადებები</w:t>
            </w:r>
          </w:p>
        </w:tc>
        <w:tc>
          <w:tcPr>
            <w:tcW w:w="946" w:type="pct"/>
            <w:tcBorders>
              <w:top w:val="outset" w:sz="6" w:space="0" w:color="auto"/>
              <w:left w:val="outset" w:sz="6" w:space="0" w:color="auto"/>
              <w:bottom w:val="outset" w:sz="6" w:space="0" w:color="auto"/>
              <w:right w:val="outset" w:sz="6" w:space="0" w:color="auto"/>
            </w:tcBorders>
            <w:hideMark/>
          </w:tcPr>
          <w:p w14:paraId="480CCE7C"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1082" w:type="pct"/>
            <w:tcBorders>
              <w:top w:val="outset" w:sz="6" w:space="0" w:color="auto"/>
              <w:left w:val="outset" w:sz="6" w:space="0" w:color="auto"/>
              <w:bottom w:val="outset" w:sz="6" w:space="0" w:color="auto"/>
              <w:right w:val="outset" w:sz="6" w:space="0" w:color="auto"/>
            </w:tcBorders>
            <w:hideMark/>
          </w:tcPr>
          <w:p w14:paraId="2E5A499C"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 xml:space="preserve">ვაგინალური მონილიაზი, ვულვოვაგინიტი, ბალანიტი და სხვა </w:t>
            </w:r>
            <w:r w:rsidRPr="003A2047">
              <w:rPr>
                <w:rFonts w:ascii="Sylfaen" w:hAnsi="Sylfaen"/>
                <w:color w:val="auto"/>
                <w:sz w:val="24"/>
                <w:szCs w:val="24"/>
              </w:rPr>
              <w:lastRenderedPageBreak/>
              <w:t>გენიტალური ინფექციები</w:t>
            </w:r>
            <w:r w:rsidRPr="003A2047">
              <w:rPr>
                <w:rFonts w:ascii="Sylfaen" w:hAnsi="Sylfaen"/>
                <w:color w:val="auto"/>
                <w:sz w:val="24"/>
                <w:szCs w:val="24"/>
                <w:vertAlign w:val="superscript"/>
              </w:rPr>
              <w:t>a</w:t>
            </w:r>
          </w:p>
          <w:p w14:paraId="58C6A1FD"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საშარდე გზების ინფექცია (პიელონეფრიტის და უროსეფსისის ჩათვლით)</w:t>
            </w:r>
            <w:r w:rsidRPr="003A2047">
              <w:rPr>
                <w:rFonts w:ascii="Sylfaen" w:hAnsi="Sylfaen"/>
                <w:color w:val="auto"/>
                <w:sz w:val="24"/>
                <w:szCs w:val="24"/>
                <w:vertAlign w:val="superscript"/>
              </w:rPr>
              <w:t>a</w:t>
            </w:r>
          </w:p>
        </w:tc>
        <w:tc>
          <w:tcPr>
            <w:tcW w:w="810" w:type="pct"/>
            <w:tcBorders>
              <w:top w:val="outset" w:sz="6" w:space="0" w:color="auto"/>
              <w:left w:val="outset" w:sz="6" w:space="0" w:color="auto"/>
              <w:bottom w:val="outset" w:sz="6" w:space="0" w:color="auto"/>
              <w:right w:val="outset" w:sz="6" w:space="0" w:color="auto"/>
            </w:tcBorders>
            <w:hideMark/>
          </w:tcPr>
          <w:p w14:paraId="57414937"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811" w:type="pct"/>
            <w:tcBorders>
              <w:top w:val="outset" w:sz="6" w:space="0" w:color="auto"/>
              <w:left w:val="outset" w:sz="6" w:space="0" w:color="auto"/>
              <w:bottom w:val="outset" w:sz="6" w:space="0" w:color="auto"/>
              <w:right w:val="outset" w:sz="6" w:space="0" w:color="auto"/>
            </w:tcBorders>
            <w:hideMark/>
          </w:tcPr>
          <w:p w14:paraId="7EA2A8CE" w14:textId="40F39135" w:rsidR="00881FCB" w:rsidRPr="005D5914" w:rsidRDefault="00881FCB" w:rsidP="00A95BA5">
            <w:pPr>
              <w:spacing w:after="0" w:line="240" w:lineRule="auto"/>
              <w:ind w:left="0" w:right="141" w:firstLine="0"/>
              <w:rPr>
                <w:rFonts w:ascii="Sylfaen" w:hAnsi="Sylfaen"/>
                <w:color w:val="auto"/>
                <w:sz w:val="24"/>
                <w:szCs w:val="24"/>
              </w:rPr>
            </w:pPr>
            <w:r w:rsidRPr="003A2047">
              <w:rPr>
                <w:rFonts w:ascii="Sylfaen" w:hAnsi="Sylfaen"/>
                <w:color w:val="auto"/>
                <w:sz w:val="24"/>
                <w:szCs w:val="24"/>
              </w:rPr>
              <w:t xml:space="preserve">პერინეუმის ნეკროზული </w:t>
            </w:r>
            <w:r w:rsidR="00255F3B" w:rsidRPr="003A2047">
              <w:rPr>
                <w:rFonts w:ascii="Sylfaen" w:hAnsi="Sylfaen"/>
                <w:color w:val="auto"/>
                <w:sz w:val="24"/>
                <w:szCs w:val="24"/>
              </w:rPr>
              <w:t>ფა</w:t>
            </w:r>
            <w:r w:rsidR="00F70B54" w:rsidRPr="003A2047">
              <w:rPr>
                <w:rFonts w:ascii="Sylfaen" w:hAnsi="Sylfaen"/>
                <w:color w:val="auto"/>
                <w:sz w:val="24"/>
                <w:szCs w:val="24"/>
              </w:rPr>
              <w:t>სციიტი</w:t>
            </w:r>
            <w:r w:rsidRPr="003A2047">
              <w:rPr>
                <w:rFonts w:ascii="Sylfaen" w:hAnsi="Sylfaen"/>
                <w:color w:val="auto"/>
                <w:sz w:val="24"/>
                <w:szCs w:val="24"/>
              </w:rPr>
              <w:t xml:space="preserve"> (ფურნიეს განგრენა)*.</w:t>
            </w:r>
          </w:p>
        </w:tc>
        <w:tc>
          <w:tcPr>
            <w:tcW w:w="473" w:type="pct"/>
            <w:tcBorders>
              <w:top w:val="outset" w:sz="6" w:space="0" w:color="auto"/>
              <w:left w:val="outset" w:sz="6" w:space="0" w:color="auto"/>
              <w:bottom w:val="outset" w:sz="6" w:space="0" w:color="auto"/>
              <w:right w:val="outset" w:sz="6" w:space="0" w:color="auto"/>
            </w:tcBorders>
            <w:hideMark/>
          </w:tcPr>
          <w:p w14:paraId="4132E145"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r>
      <w:tr w:rsidR="005D5914" w:rsidRPr="003A2047" w14:paraId="212DCB53"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784CF533" w14:textId="77777777" w:rsidR="00F70B54" w:rsidRPr="003A2047" w:rsidRDefault="00881FCB" w:rsidP="00A95BA5">
            <w:pPr>
              <w:spacing w:after="0" w:line="240" w:lineRule="auto"/>
              <w:ind w:left="0" w:right="141" w:firstLine="0"/>
              <w:rPr>
                <w:rFonts w:ascii="Sylfaen" w:hAnsi="Sylfaen"/>
                <w:i/>
                <w:color w:val="auto"/>
                <w:sz w:val="24"/>
                <w:szCs w:val="24"/>
              </w:rPr>
            </w:pPr>
            <w:r w:rsidRPr="003A2047">
              <w:rPr>
                <w:rFonts w:ascii="Sylfaen" w:hAnsi="Sylfaen"/>
                <w:i/>
                <w:color w:val="auto"/>
                <w:sz w:val="24"/>
                <w:szCs w:val="24"/>
              </w:rPr>
              <w:t>მეტაბოლიზ</w:t>
            </w:r>
          </w:p>
          <w:p w14:paraId="02AC3BE4" w14:textId="224CD325"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i/>
                <w:color w:val="auto"/>
                <w:sz w:val="24"/>
                <w:szCs w:val="24"/>
              </w:rPr>
              <w:t>მის და კვების დარღვევები</w:t>
            </w:r>
          </w:p>
        </w:tc>
        <w:tc>
          <w:tcPr>
            <w:tcW w:w="946" w:type="pct"/>
            <w:tcBorders>
              <w:top w:val="outset" w:sz="6" w:space="0" w:color="auto"/>
              <w:left w:val="outset" w:sz="6" w:space="0" w:color="auto"/>
              <w:bottom w:val="outset" w:sz="6" w:space="0" w:color="auto"/>
              <w:right w:val="outset" w:sz="6" w:space="0" w:color="auto"/>
            </w:tcBorders>
            <w:hideMark/>
          </w:tcPr>
          <w:p w14:paraId="248242F7" w14:textId="1C5F1815"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ჰიპოგლიკემია (სულფონილშარდოვანას ან ინსულინთან ერთად გამოყენებისა</w:t>
            </w:r>
            <w:r w:rsidR="00C46F63">
              <w:rPr>
                <w:rFonts w:ascii="Sylfaen" w:hAnsi="Sylfaen"/>
                <w:color w:val="auto"/>
                <w:sz w:val="24"/>
                <w:szCs w:val="24"/>
              </w:rPr>
              <w:t>ს</w:t>
            </w:r>
            <w:r w:rsidRPr="003A2047">
              <w:rPr>
                <w:rFonts w:ascii="Sylfaen" w:hAnsi="Sylfaen"/>
                <w:color w:val="auto"/>
                <w:sz w:val="24"/>
                <w:szCs w:val="24"/>
              </w:rPr>
              <w:t>)</w:t>
            </w:r>
            <w:r w:rsidRPr="003A2047">
              <w:rPr>
                <w:rFonts w:ascii="Sylfaen" w:hAnsi="Sylfaen"/>
                <w:color w:val="auto"/>
                <w:sz w:val="24"/>
                <w:szCs w:val="24"/>
                <w:vertAlign w:val="superscript"/>
              </w:rPr>
              <w:t>a</w:t>
            </w:r>
          </w:p>
        </w:tc>
        <w:tc>
          <w:tcPr>
            <w:tcW w:w="1082" w:type="pct"/>
            <w:tcBorders>
              <w:top w:val="outset" w:sz="6" w:space="0" w:color="auto"/>
              <w:left w:val="outset" w:sz="6" w:space="0" w:color="auto"/>
              <w:bottom w:val="outset" w:sz="6" w:space="0" w:color="auto"/>
              <w:right w:val="outset" w:sz="6" w:space="0" w:color="auto"/>
            </w:tcBorders>
            <w:hideMark/>
          </w:tcPr>
          <w:p w14:paraId="344FCCDC"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წყურვილის გრძნობა</w:t>
            </w:r>
          </w:p>
        </w:tc>
        <w:tc>
          <w:tcPr>
            <w:tcW w:w="810" w:type="pct"/>
            <w:tcBorders>
              <w:top w:val="outset" w:sz="6" w:space="0" w:color="auto"/>
              <w:left w:val="outset" w:sz="6" w:space="0" w:color="auto"/>
              <w:bottom w:val="outset" w:sz="6" w:space="0" w:color="auto"/>
              <w:right w:val="outset" w:sz="6" w:space="0" w:color="auto"/>
            </w:tcBorders>
            <w:hideMark/>
          </w:tcPr>
          <w:p w14:paraId="7472D734"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კეტოაციდოზი *</w:t>
            </w:r>
          </w:p>
        </w:tc>
        <w:tc>
          <w:tcPr>
            <w:tcW w:w="811" w:type="pct"/>
            <w:tcBorders>
              <w:top w:val="outset" w:sz="6" w:space="0" w:color="auto"/>
              <w:left w:val="outset" w:sz="6" w:space="0" w:color="auto"/>
              <w:bottom w:val="outset" w:sz="6" w:space="0" w:color="auto"/>
              <w:right w:val="outset" w:sz="6" w:space="0" w:color="auto"/>
            </w:tcBorders>
            <w:hideMark/>
          </w:tcPr>
          <w:p w14:paraId="74B6EA70"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473" w:type="pct"/>
            <w:tcBorders>
              <w:top w:val="outset" w:sz="6" w:space="0" w:color="auto"/>
              <w:left w:val="outset" w:sz="6" w:space="0" w:color="auto"/>
              <w:bottom w:val="outset" w:sz="6" w:space="0" w:color="auto"/>
              <w:right w:val="outset" w:sz="6" w:space="0" w:color="auto"/>
            </w:tcBorders>
            <w:hideMark/>
          </w:tcPr>
          <w:p w14:paraId="284CB0F7"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r>
      <w:tr w:rsidR="005D5914" w:rsidRPr="003A2047" w14:paraId="3A252A50"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74DDEF96" w14:textId="502CB1E1" w:rsidR="00881FCB" w:rsidRPr="003A2047" w:rsidRDefault="00A77C50"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კუჭ-ნაწლავის დარღვევები</w:t>
            </w:r>
          </w:p>
        </w:tc>
        <w:tc>
          <w:tcPr>
            <w:tcW w:w="946" w:type="pct"/>
            <w:tcBorders>
              <w:top w:val="outset" w:sz="6" w:space="0" w:color="auto"/>
              <w:left w:val="outset" w:sz="6" w:space="0" w:color="auto"/>
              <w:bottom w:val="outset" w:sz="6" w:space="0" w:color="auto"/>
              <w:right w:val="outset" w:sz="6" w:space="0" w:color="auto"/>
            </w:tcBorders>
            <w:hideMark/>
          </w:tcPr>
          <w:p w14:paraId="013D55CA"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1082" w:type="pct"/>
            <w:tcBorders>
              <w:top w:val="outset" w:sz="6" w:space="0" w:color="auto"/>
              <w:left w:val="outset" w:sz="6" w:space="0" w:color="auto"/>
              <w:bottom w:val="outset" w:sz="6" w:space="0" w:color="auto"/>
              <w:right w:val="outset" w:sz="6" w:space="0" w:color="auto"/>
            </w:tcBorders>
            <w:hideMark/>
          </w:tcPr>
          <w:p w14:paraId="2910E972"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ყაბზობა</w:t>
            </w:r>
          </w:p>
        </w:tc>
        <w:tc>
          <w:tcPr>
            <w:tcW w:w="810" w:type="pct"/>
            <w:tcBorders>
              <w:top w:val="outset" w:sz="6" w:space="0" w:color="auto"/>
              <w:left w:val="outset" w:sz="6" w:space="0" w:color="auto"/>
              <w:bottom w:val="outset" w:sz="6" w:space="0" w:color="auto"/>
              <w:right w:val="outset" w:sz="6" w:space="0" w:color="auto"/>
            </w:tcBorders>
            <w:hideMark/>
          </w:tcPr>
          <w:p w14:paraId="08D883B3"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811" w:type="pct"/>
            <w:tcBorders>
              <w:top w:val="outset" w:sz="6" w:space="0" w:color="auto"/>
              <w:left w:val="outset" w:sz="6" w:space="0" w:color="auto"/>
              <w:bottom w:val="outset" w:sz="6" w:space="0" w:color="auto"/>
              <w:right w:val="outset" w:sz="6" w:space="0" w:color="auto"/>
            </w:tcBorders>
            <w:hideMark/>
          </w:tcPr>
          <w:p w14:paraId="75411B5D"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473" w:type="pct"/>
            <w:tcBorders>
              <w:top w:val="outset" w:sz="6" w:space="0" w:color="auto"/>
              <w:left w:val="outset" w:sz="6" w:space="0" w:color="auto"/>
              <w:bottom w:val="outset" w:sz="6" w:space="0" w:color="auto"/>
              <w:right w:val="outset" w:sz="6" w:space="0" w:color="auto"/>
            </w:tcBorders>
            <w:hideMark/>
          </w:tcPr>
          <w:p w14:paraId="5DC3C338"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r>
      <w:tr w:rsidR="005D5914" w:rsidRPr="003A2047" w14:paraId="5DA3EEF9"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3ED51947"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i/>
                <w:color w:val="auto"/>
                <w:sz w:val="24"/>
                <w:szCs w:val="24"/>
              </w:rPr>
              <w:t>კანისა და კანქვეშა ქსოვილის დარღვევები</w:t>
            </w:r>
          </w:p>
        </w:tc>
        <w:tc>
          <w:tcPr>
            <w:tcW w:w="946" w:type="pct"/>
            <w:tcBorders>
              <w:top w:val="outset" w:sz="6" w:space="0" w:color="auto"/>
              <w:left w:val="outset" w:sz="6" w:space="0" w:color="auto"/>
              <w:bottom w:val="outset" w:sz="6" w:space="0" w:color="auto"/>
              <w:right w:val="outset" w:sz="6" w:space="0" w:color="auto"/>
            </w:tcBorders>
            <w:hideMark/>
          </w:tcPr>
          <w:p w14:paraId="103786F2"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1082" w:type="pct"/>
            <w:tcBorders>
              <w:top w:val="outset" w:sz="6" w:space="0" w:color="auto"/>
              <w:left w:val="outset" w:sz="6" w:space="0" w:color="auto"/>
              <w:bottom w:val="outset" w:sz="6" w:space="0" w:color="auto"/>
              <w:right w:val="outset" w:sz="6" w:space="0" w:color="auto"/>
            </w:tcBorders>
            <w:hideMark/>
          </w:tcPr>
          <w:p w14:paraId="3D40B6B3" w14:textId="61E26E5D"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 xml:space="preserve">ქავილი </w:t>
            </w:r>
          </w:p>
          <w:p w14:paraId="76ADC11F"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გამონაყარი</w:t>
            </w:r>
          </w:p>
        </w:tc>
        <w:tc>
          <w:tcPr>
            <w:tcW w:w="810" w:type="pct"/>
            <w:tcBorders>
              <w:top w:val="outset" w:sz="6" w:space="0" w:color="auto"/>
              <w:left w:val="outset" w:sz="6" w:space="0" w:color="auto"/>
              <w:bottom w:val="outset" w:sz="6" w:space="0" w:color="auto"/>
              <w:right w:val="outset" w:sz="6" w:space="0" w:color="auto"/>
            </w:tcBorders>
            <w:hideMark/>
          </w:tcPr>
          <w:p w14:paraId="02D6C923"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ჭინჭრის ციება</w:t>
            </w:r>
          </w:p>
          <w:p w14:paraId="04EEF565"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ანგიონევროზული შეშუპება</w:t>
            </w:r>
          </w:p>
        </w:tc>
        <w:tc>
          <w:tcPr>
            <w:tcW w:w="811" w:type="pct"/>
            <w:tcBorders>
              <w:top w:val="outset" w:sz="6" w:space="0" w:color="auto"/>
              <w:left w:val="outset" w:sz="6" w:space="0" w:color="auto"/>
              <w:bottom w:val="outset" w:sz="6" w:space="0" w:color="auto"/>
              <w:right w:val="outset" w:sz="6" w:space="0" w:color="auto"/>
            </w:tcBorders>
            <w:hideMark/>
          </w:tcPr>
          <w:p w14:paraId="5E48E794"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473" w:type="pct"/>
            <w:tcBorders>
              <w:top w:val="outset" w:sz="6" w:space="0" w:color="auto"/>
              <w:left w:val="outset" w:sz="6" w:space="0" w:color="auto"/>
              <w:bottom w:val="outset" w:sz="6" w:space="0" w:color="auto"/>
              <w:right w:val="outset" w:sz="6" w:space="0" w:color="auto"/>
            </w:tcBorders>
            <w:hideMark/>
          </w:tcPr>
          <w:p w14:paraId="2DE8F8F7"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r>
      <w:tr w:rsidR="005D5914" w:rsidRPr="003A2047" w14:paraId="056BA678"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7513BF17"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i/>
                <w:color w:val="auto"/>
                <w:sz w:val="24"/>
                <w:szCs w:val="24"/>
              </w:rPr>
              <w:t>სისხლძარღვთა დარღვევები</w:t>
            </w:r>
          </w:p>
        </w:tc>
        <w:tc>
          <w:tcPr>
            <w:tcW w:w="946" w:type="pct"/>
            <w:tcBorders>
              <w:top w:val="outset" w:sz="6" w:space="0" w:color="auto"/>
              <w:left w:val="outset" w:sz="6" w:space="0" w:color="auto"/>
              <w:bottom w:val="outset" w:sz="6" w:space="0" w:color="auto"/>
              <w:right w:val="outset" w:sz="6" w:space="0" w:color="auto"/>
            </w:tcBorders>
            <w:hideMark/>
          </w:tcPr>
          <w:p w14:paraId="1196C022"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მოცულობის შემცირება</w:t>
            </w:r>
            <w:r w:rsidRPr="003A2047">
              <w:rPr>
                <w:rFonts w:ascii="Sylfaen" w:hAnsi="Sylfaen"/>
                <w:color w:val="auto"/>
                <w:sz w:val="24"/>
                <w:szCs w:val="24"/>
                <w:vertAlign w:val="superscript"/>
              </w:rPr>
              <w:t>a</w:t>
            </w:r>
          </w:p>
        </w:tc>
        <w:tc>
          <w:tcPr>
            <w:tcW w:w="1082" w:type="pct"/>
            <w:tcBorders>
              <w:top w:val="outset" w:sz="6" w:space="0" w:color="auto"/>
              <w:left w:val="outset" w:sz="6" w:space="0" w:color="auto"/>
              <w:bottom w:val="outset" w:sz="6" w:space="0" w:color="auto"/>
              <w:right w:val="outset" w:sz="6" w:space="0" w:color="auto"/>
            </w:tcBorders>
            <w:hideMark/>
          </w:tcPr>
          <w:p w14:paraId="5F5585AE"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810" w:type="pct"/>
            <w:tcBorders>
              <w:top w:val="outset" w:sz="6" w:space="0" w:color="auto"/>
              <w:left w:val="outset" w:sz="6" w:space="0" w:color="auto"/>
              <w:bottom w:val="outset" w:sz="6" w:space="0" w:color="auto"/>
              <w:right w:val="outset" w:sz="6" w:space="0" w:color="auto"/>
            </w:tcBorders>
            <w:hideMark/>
          </w:tcPr>
          <w:p w14:paraId="6EF6604A"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811" w:type="pct"/>
            <w:tcBorders>
              <w:top w:val="outset" w:sz="6" w:space="0" w:color="auto"/>
              <w:left w:val="outset" w:sz="6" w:space="0" w:color="auto"/>
              <w:bottom w:val="outset" w:sz="6" w:space="0" w:color="auto"/>
              <w:right w:val="outset" w:sz="6" w:space="0" w:color="auto"/>
            </w:tcBorders>
            <w:hideMark/>
          </w:tcPr>
          <w:p w14:paraId="7CD8EF4A"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473" w:type="pct"/>
            <w:tcBorders>
              <w:top w:val="outset" w:sz="6" w:space="0" w:color="auto"/>
              <w:left w:val="outset" w:sz="6" w:space="0" w:color="auto"/>
              <w:bottom w:val="outset" w:sz="6" w:space="0" w:color="auto"/>
              <w:right w:val="outset" w:sz="6" w:space="0" w:color="auto"/>
            </w:tcBorders>
            <w:hideMark/>
          </w:tcPr>
          <w:p w14:paraId="2960E631"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r>
      <w:tr w:rsidR="005D5914" w:rsidRPr="003A2047" w14:paraId="0B9DF597"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0DDDF3B5" w14:textId="5BF2AC8A" w:rsidR="00881FCB" w:rsidRPr="003A2047" w:rsidRDefault="00A77C50"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i/>
                <w:color w:val="auto"/>
                <w:sz w:val="24"/>
                <w:szCs w:val="24"/>
              </w:rPr>
              <w:t>თირკმელების და შარდის დარღვევები</w:t>
            </w:r>
          </w:p>
        </w:tc>
        <w:tc>
          <w:tcPr>
            <w:tcW w:w="946" w:type="pct"/>
            <w:tcBorders>
              <w:top w:val="outset" w:sz="6" w:space="0" w:color="auto"/>
              <w:left w:val="outset" w:sz="6" w:space="0" w:color="auto"/>
              <w:bottom w:val="outset" w:sz="6" w:space="0" w:color="auto"/>
              <w:right w:val="outset" w:sz="6" w:space="0" w:color="auto"/>
            </w:tcBorders>
            <w:hideMark/>
          </w:tcPr>
          <w:p w14:paraId="16DB1D61"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1082" w:type="pct"/>
            <w:tcBorders>
              <w:top w:val="outset" w:sz="6" w:space="0" w:color="auto"/>
              <w:left w:val="outset" w:sz="6" w:space="0" w:color="auto"/>
              <w:bottom w:val="outset" w:sz="6" w:space="0" w:color="auto"/>
              <w:right w:val="outset" w:sz="6" w:space="0" w:color="auto"/>
            </w:tcBorders>
            <w:hideMark/>
          </w:tcPr>
          <w:p w14:paraId="6F02D5AC"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გახშირებული შარდვა</w:t>
            </w:r>
            <w:r w:rsidRPr="003A2047">
              <w:rPr>
                <w:rFonts w:ascii="Sylfaen" w:hAnsi="Sylfaen"/>
                <w:color w:val="auto"/>
                <w:sz w:val="24"/>
                <w:szCs w:val="24"/>
                <w:vertAlign w:val="superscript"/>
              </w:rPr>
              <w:t>a</w:t>
            </w:r>
          </w:p>
        </w:tc>
        <w:tc>
          <w:tcPr>
            <w:tcW w:w="810" w:type="pct"/>
            <w:tcBorders>
              <w:top w:val="outset" w:sz="6" w:space="0" w:color="auto"/>
              <w:left w:val="outset" w:sz="6" w:space="0" w:color="auto"/>
              <w:bottom w:val="outset" w:sz="6" w:space="0" w:color="auto"/>
              <w:right w:val="outset" w:sz="6" w:space="0" w:color="auto"/>
            </w:tcBorders>
            <w:hideMark/>
          </w:tcPr>
          <w:p w14:paraId="5ACC139B"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დიზურია</w:t>
            </w:r>
          </w:p>
        </w:tc>
        <w:tc>
          <w:tcPr>
            <w:tcW w:w="811" w:type="pct"/>
            <w:tcBorders>
              <w:top w:val="outset" w:sz="6" w:space="0" w:color="auto"/>
              <w:left w:val="outset" w:sz="6" w:space="0" w:color="auto"/>
              <w:bottom w:val="outset" w:sz="6" w:space="0" w:color="auto"/>
              <w:right w:val="outset" w:sz="6" w:space="0" w:color="auto"/>
            </w:tcBorders>
            <w:hideMark/>
          </w:tcPr>
          <w:p w14:paraId="6218FF58"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473" w:type="pct"/>
            <w:tcBorders>
              <w:top w:val="outset" w:sz="6" w:space="0" w:color="auto"/>
              <w:left w:val="outset" w:sz="6" w:space="0" w:color="auto"/>
              <w:bottom w:val="outset" w:sz="6" w:space="0" w:color="auto"/>
              <w:right w:val="outset" w:sz="6" w:space="0" w:color="auto"/>
            </w:tcBorders>
            <w:hideMark/>
          </w:tcPr>
          <w:p w14:paraId="2800EC45" w14:textId="77777777" w:rsidR="005D5914" w:rsidRDefault="00881FCB" w:rsidP="00A95BA5">
            <w:pPr>
              <w:spacing w:after="0" w:line="240" w:lineRule="auto"/>
              <w:ind w:left="0" w:right="141" w:firstLine="0"/>
              <w:rPr>
                <w:rFonts w:ascii="Sylfaen" w:hAnsi="Sylfaen"/>
                <w:color w:val="auto"/>
                <w:sz w:val="24"/>
                <w:szCs w:val="24"/>
              </w:rPr>
            </w:pPr>
            <w:r w:rsidRPr="003A2047">
              <w:rPr>
                <w:rFonts w:ascii="Sylfaen" w:hAnsi="Sylfaen"/>
                <w:color w:val="auto"/>
                <w:sz w:val="24"/>
                <w:szCs w:val="24"/>
              </w:rPr>
              <w:t>ტუბუ</w:t>
            </w:r>
          </w:p>
          <w:p w14:paraId="0E74F4AC" w14:textId="77777777" w:rsidR="005D5914" w:rsidRDefault="00881FCB" w:rsidP="00A95BA5">
            <w:pPr>
              <w:spacing w:after="0" w:line="240" w:lineRule="auto"/>
              <w:ind w:left="0" w:right="141" w:firstLine="0"/>
              <w:rPr>
                <w:rFonts w:ascii="Sylfaen" w:hAnsi="Sylfaen"/>
                <w:color w:val="auto"/>
                <w:sz w:val="24"/>
                <w:szCs w:val="24"/>
              </w:rPr>
            </w:pPr>
            <w:r w:rsidRPr="003A2047">
              <w:rPr>
                <w:rFonts w:ascii="Sylfaen" w:hAnsi="Sylfaen"/>
                <w:color w:val="auto"/>
                <w:sz w:val="24"/>
                <w:szCs w:val="24"/>
              </w:rPr>
              <w:t>ლო-ინტერსტიციული ნეფრი</w:t>
            </w:r>
          </w:p>
          <w:p w14:paraId="7408AB3B" w14:textId="4674EB55"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ტი</w:t>
            </w:r>
          </w:p>
        </w:tc>
      </w:tr>
      <w:tr w:rsidR="005D5914" w:rsidRPr="003A2047" w14:paraId="762284B0" w14:textId="77777777" w:rsidTr="00C46F63">
        <w:trPr>
          <w:tblCellSpacing w:w="0" w:type="dxa"/>
        </w:trPr>
        <w:tc>
          <w:tcPr>
            <w:tcW w:w="879" w:type="pct"/>
            <w:tcBorders>
              <w:top w:val="outset" w:sz="6" w:space="0" w:color="auto"/>
              <w:left w:val="outset" w:sz="6" w:space="0" w:color="auto"/>
              <w:bottom w:val="outset" w:sz="6" w:space="0" w:color="auto"/>
              <w:right w:val="outset" w:sz="6" w:space="0" w:color="auto"/>
            </w:tcBorders>
            <w:hideMark/>
          </w:tcPr>
          <w:p w14:paraId="45E35EC6"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i/>
                <w:color w:val="auto"/>
                <w:sz w:val="24"/>
                <w:szCs w:val="24"/>
              </w:rPr>
              <w:t>გამოკვლევები</w:t>
            </w:r>
          </w:p>
        </w:tc>
        <w:tc>
          <w:tcPr>
            <w:tcW w:w="946" w:type="pct"/>
            <w:tcBorders>
              <w:top w:val="outset" w:sz="6" w:space="0" w:color="auto"/>
              <w:left w:val="outset" w:sz="6" w:space="0" w:color="auto"/>
              <w:bottom w:val="outset" w:sz="6" w:space="0" w:color="auto"/>
              <w:right w:val="outset" w:sz="6" w:space="0" w:color="auto"/>
            </w:tcBorders>
            <w:hideMark/>
          </w:tcPr>
          <w:p w14:paraId="3EB79F42"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1082" w:type="pct"/>
            <w:tcBorders>
              <w:top w:val="outset" w:sz="6" w:space="0" w:color="auto"/>
              <w:left w:val="outset" w:sz="6" w:space="0" w:color="auto"/>
              <w:bottom w:val="outset" w:sz="6" w:space="0" w:color="auto"/>
              <w:right w:val="outset" w:sz="6" w:space="0" w:color="auto"/>
            </w:tcBorders>
            <w:hideMark/>
          </w:tcPr>
          <w:p w14:paraId="25656BD6" w14:textId="6430D376" w:rsidR="00881FCB" w:rsidRPr="003A2047" w:rsidRDefault="00A77C50"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შრატის ლიპიდები</w:t>
            </w:r>
            <w:r w:rsidR="00255F3B" w:rsidRPr="003A2047">
              <w:rPr>
                <w:rFonts w:ascii="Sylfaen" w:hAnsi="Sylfaen"/>
                <w:color w:val="auto"/>
                <w:sz w:val="24"/>
                <w:szCs w:val="24"/>
              </w:rPr>
              <w:t>ს</w:t>
            </w:r>
            <w:r w:rsidRPr="003A2047">
              <w:rPr>
                <w:rFonts w:ascii="Sylfaen" w:hAnsi="Sylfaen"/>
                <w:color w:val="auto"/>
                <w:sz w:val="24"/>
                <w:szCs w:val="24"/>
              </w:rPr>
              <w:t xml:space="preserve"> გაზრდა</w:t>
            </w:r>
          </w:p>
        </w:tc>
        <w:tc>
          <w:tcPr>
            <w:tcW w:w="810" w:type="pct"/>
            <w:tcBorders>
              <w:top w:val="outset" w:sz="6" w:space="0" w:color="auto"/>
              <w:left w:val="outset" w:sz="6" w:space="0" w:color="auto"/>
              <w:bottom w:val="outset" w:sz="6" w:space="0" w:color="auto"/>
              <w:right w:val="outset" w:sz="6" w:space="0" w:color="auto"/>
            </w:tcBorders>
            <w:hideMark/>
          </w:tcPr>
          <w:p w14:paraId="3EE6C7CF"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სისხლში კრეატინინის დონის მომატება/გლომერულური ფილტრაციის სიჩქარის დაქვეითება</w:t>
            </w:r>
            <w:r w:rsidRPr="003A2047">
              <w:rPr>
                <w:rFonts w:ascii="Sylfaen" w:hAnsi="Sylfaen"/>
                <w:color w:val="auto"/>
                <w:sz w:val="24"/>
                <w:szCs w:val="24"/>
                <w:vertAlign w:val="superscript"/>
              </w:rPr>
              <w:t>a</w:t>
            </w:r>
          </w:p>
          <w:p w14:paraId="72E22AE6" w14:textId="77777777" w:rsidR="005D5914" w:rsidRDefault="00881FCB" w:rsidP="00A95BA5">
            <w:pPr>
              <w:spacing w:after="0" w:line="240" w:lineRule="auto"/>
              <w:ind w:left="0" w:right="141" w:firstLine="0"/>
              <w:rPr>
                <w:rFonts w:ascii="Sylfaen" w:hAnsi="Sylfaen"/>
                <w:color w:val="auto"/>
                <w:sz w:val="24"/>
                <w:szCs w:val="24"/>
              </w:rPr>
            </w:pPr>
            <w:r w:rsidRPr="003A2047">
              <w:rPr>
                <w:rFonts w:ascii="Sylfaen" w:hAnsi="Sylfaen"/>
                <w:color w:val="auto"/>
                <w:sz w:val="24"/>
                <w:szCs w:val="24"/>
              </w:rPr>
              <w:t>გაზრდილი ჰემატოკრი</w:t>
            </w:r>
          </w:p>
          <w:p w14:paraId="368C2C96" w14:textId="76E9655A" w:rsidR="00881FCB" w:rsidRPr="003A2047" w:rsidRDefault="00881FCB" w:rsidP="00A95BA5">
            <w:pPr>
              <w:spacing w:after="0" w:line="240" w:lineRule="auto"/>
              <w:ind w:left="0" w:right="141" w:firstLine="0"/>
              <w:rPr>
                <w:rFonts w:ascii="Sylfaen" w:hAnsi="Sylfaen"/>
                <w:color w:val="auto"/>
                <w:kern w:val="0"/>
                <w:sz w:val="24"/>
                <w:szCs w:val="24"/>
                <w14:ligatures w14:val="none"/>
              </w:rPr>
            </w:pPr>
            <w:r w:rsidRPr="003A2047">
              <w:rPr>
                <w:rFonts w:ascii="Sylfaen" w:hAnsi="Sylfaen"/>
                <w:color w:val="auto"/>
                <w:sz w:val="24"/>
                <w:szCs w:val="24"/>
              </w:rPr>
              <w:t>ტი</w:t>
            </w:r>
            <w:r w:rsidRPr="003A2047">
              <w:rPr>
                <w:rFonts w:ascii="Sylfaen" w:hAnsi="Sylfaen"/>
                <w:color w:val="auto"/>
                <w:sz w:val="24"/>
                <w:szCs w:val="24"/>
                <w:vertAlign w:val="superscript"/>
              </w:rPr>
              <w:t>a</w:t>
            </w:r>
          </w:p>
        </w:tc>
        <w:tc>
          <w:tcPr>
            <w:tcW w:w="811" w:type="pct"/>
            <w:tcBorders>
              <w:top w:val="outset" w:sz="6" w:space="0" w:color="auto"/>
              <w:left w:val="outset" w:sz="6" w:space="0" w:color="auto"/>
              <w:bottom w:val="outset" w:sz="6" w:space="0" w:color="auto"/>
              <w:right w:val="outset" w:sz="6" w:space="0" w:color="auto"/>
            </w:tcBorders>
            <w:hideMark/>
          </w:tcPr>
          <w:p w14:paraId="3A974EE9"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c>
          <w:tcPr>
            <w:tcW w:w="473" w:type="pct"/>
            <w:tcBorders>
              <w:top w:val="outset" w:sz="6" w:space="0" w:color="auto"/>
              <w:left w:val="outset" w:sz="6" w:space="0" w:color="auto"/>
              <w:bottom w:val="outset" w:sz="6" w:space="0" w:color="auto"/>
              <w:right w:val="outset" w:sz="6" w:space="0" w:color="auto"/>
            </w:tcBorders>
            <w:hideMark/>
          </w:tcPr>
          <w:p w14:paraId="59BB0102" w14:textId="77777777" w:rsidR="00881FCB" w:rsidRPr="003A2047" w:rsidRDefault="00881FCB" w:rsidP="00A95BA5">
            <w:pPr>
              <w:spacing w:after="0" w:line="240" w:lineRule="auto"/>
              <w:ind w:left="0" w:right="141" w:firstLine="0"/>
              <w:rPr>
                <w:rFonts w:ascii="Sylfaen" w:hAnsi="Sylfaen"/>
                <w:color w:val="auto"/>
                <w:kern w:val="0"/>
                <w:sz w:val="24"/>
                <w:szCs w:val="24"/>
                <w14:ligatures w14:val="none"/>
              </w:rPr>
            </w:pPr>
          </w:p>
        </w:tc>
      </w:tr>
    </w:tbl>
    <w:p w14:paraId="356D3CBD" w14:textId="77777777" w:rsidR="00A95BA5" w:rsidRPr="003A2047" w:rsidRDefault="00A95BA5" w:rsidP="00A95BA5">
      <w:pPr>
        <w:spacing w:after="0" w:line="240" w:lineRule="auto"/>
        <w:ind w:left="0" w:right="141" w:firstLine="0"/>
        <w:rPr>
          <w:rFonts w:ascii="Sylfaen" w:hAnsi="Sylfaen"/>
          <w:sz w:val="24"/>
          <w:szCs w:val="24"/>
          <w:vertAlign w:val="superscript"/>
        </w:rPr>
      </w:pPr>
    </w:p>
    <w:p w14:paraId="096EC778" w14:textId="48D1D88C" w:rsidR="00881FCB" w:rsidRPr="003A2047" w:rsidRDefault="00881FCB" w:rsidP="00A95BA5">
      <w:pPr>
        <w:spacing w:after="0" w:line="240" w:lineRule="auto"/>
        <w:ind w:left="0" w:right="141" w:firstLine="0"/>
        <w:rPr>
          <w:rFonts w:ascii="Sylfaen" w:hAnsi="Sylfaen"/>
          <w:kern w:val="0"/>
          <w:sz w:val="24"/>
          <w:szCs w:val="24"/>
          <w14:ligatures w14:val="none"/>
        </w:rPr>
      </w:pPr>
      <w:r w:rsidRPr="003A2047">
        <w:rPr>
          <w:rFonts w:ascii="Sylfaen" w:hAnsi="Sylfaen"/>
          <w:sz w:val="24"/>
          <w:szCs w:val="24"/>
          <w:vertAlign w:val="superscript"/>
        </w:rPr>
        <w:lastRenderedPageBreak/>
        <w:t>a </w:t>
      </w:r>
      <w:r w:rsidRPr="003A2047">
        <w:rPr>
          <w:rFonts w:ascii="Sylfaen" w:hAnsi="Sylfaen"/>
          <w:sz w:val="24"/>
          <w:szCs w:val="24"/>
        </w:rPr>
        <w:t>დამატებითი ინფორმაციისთვის იხილეთ ქვემოთ მოცემულ</w:t>
      </w:r>
      <w:r w:rsidR="00AF2004" w:rsidRPr="003A2047">
        <w:rPr>
          <w:rFonts w:ascii="Sylfaen" w:hAnsi="Sylfaen"/>
          <w:sz w:val="24"/>
          <w:szCs w:val="24"/>
        </w:rPr>
        <w:t>ი</w:t>
      </w:r>
      <w:r w:rsidRPr="003A2047">
        <w:rPr>
          <w:rFonts w:ascii="Sylfaen" w:hAnsi="Sylfaen"/>
          <w:sz w:val="24"/>
          <w:szCs w:val="24"/>
        </w:rPr>
        <w:t xml:space="preserve"> ქვეგანყოფილებე</w:t>
      </w:r>
      <w:r w:rsidR="00AF2004" w:rsidRPr="003A2047">
        <w:rPr>
          <w:rFonts w:ascii="Sylfaen" w:hAnsi="Sylfaen"/>
          <w:sz w:val="24"/>
          <w:szCs w:val="24"/>
        </w:rPr>
        <w:t>ბი</w:t>
      </w:r>
      <w:r w:rsidRPr="003A2047">
        <w:rPr>
          <w:rFonts w:ascii="Sylfaen" w:hAnsi="Sylfaen"/>
          <w:sz w:val="24"/>
          <w:szCs w:val="24"/>
        </w:rPr>
        <w:t xml:space="preserve"> </w:t>
      </w:r>
    </w:p>
    <w:p w14:paraId="6F0C49C9" w14:textId="6D5A7082" w:rsidR="00003BDC" w:rsidRPr="003A2047" w:rsidRDefault="00881FCB" w:rsidP="00A95BA5">
      <w:pPr>
        <w:spacing w:after="0" w:line="240" w:lineRule="auto"/>
        <w:ind w:left="0" w:right="141" w:firstLine="0"/>
        <w:rPr>
          <w:rFonts w:ascii="Sylfaen" w:hAnsi="Sylfaen"/>
          <w:kern w:val="0"/>
          <w:sz w:val="24"/>
          <w:szCs w:val="24"/>
          <w14:ligatures w14:val="none"/>
        </w:rPr>
      </w:pPr>
      <w:r w:rsidRPr="003A2047">
        <w:rPr>
          <w:rFonts w:ascii="Sylfaen" w:hAnsi="Sylfaen"/>
          <w:sz w:val="24"/>
          <w:szCs w:val="24"/>
        </w:rPr>
        <w:t>*იხილეთ  „განსაკუთრებული გაფრთხილებები და სიფრთხილის ზომები გამოყენებისას“</w:t>
      </w:r>
    </w:p>
    <w:p w14:paraId="7F38148B" w14:textId="77777777" w:rsidR="003A08D6" w:rsidRPr="003A2047" w:rsidRDefault="003A08D6" w:rsidP="00A95BA5">
      <w:pPr>
        <w:shd w:val="clear" w:color="auto" w:fill="FFFFFF"/>
        <w:spacing w:after="0" w:line="240" w:lineRule="auto"/>
        <w:ind w:left="0" w:right="141" w:firstLine="0"/>
        <w:rPr>
          <w:rFonts w:ascii="Sylfaen" w:hAnsi="Sylfaen" w:cs="Arial"/>
          <w:kern w:val="0"/>
          <w:sz w:val="24"/>
          <w:szCs w:val="24"/>
          <w14:ligatures w14:val="none"/>
        </w:rPr>
      </w:pPr>
    </w:p>
    <w:p w14:paraId="74C68D53" w14:textId="77777777" w:rsidR="004F26A4" w:rsidRPr="003A2047" w:rsidRDefault="004F26A4" w:rsidP="00A95BA5">
      <w:pPr>
        <w:spacing w:after="0" w:line="20" w:lineRule="atLeast"/>
        <w:ind w:left="0" w:right="141"/>
        <w:rPr>
          <w:rFonts w:ascii="Sylfaen" w:hAnsi="Sylfaen"/>
          <w:b/>
          <w:sz w:val="24"/>
          <w:szCs w:val="24"/>
        </w:rPr>
      </w:pPr>
      <w:r w:rsidRPr="003A2047">
        <w:rPr>
          <w:rFonts w:ascii="Sylfaen" w:hAnsi="Sylfaen"/>
          <w:b/>
          <w:sz w:val="24"/>
          <w:szCs w:val="24"/>
        </w:rPr>
        <w:t>უკუჩვენებები</w:t>
      </w:r>
    </w:p>
    <w:p w14:paraId="23B6943D" w14:textId="0028AC35" w:rsidR="004E7AF0" w:rsidRPr="003A2047" w:rsidRDefault="004F26A4" w:rsidP="00A95BA5">
      <w:pPr>
        <w:spacing w:after="0" w:line="20" w:lineRule="atLeast"/>
        <w:ind w:left="0" w:right="141"/>
        <w:rPr>
          <w:rFonts w:ascii="Sylfaen" w:hAnsi="Sylfaen"/>
          <w:bCs/>
          <w:sz w:val="24"/>
          <w:szCs w:val="24"/>
        </w:rPr>
      </w:pPr>
      <w:r w:rsidRPr="003A2047">
        <w:rPr>
          <w:rFonts w:ascii="Sylfaen" w:hAnsi="Sylfaen"/>
          <w:sz w:val="24"/>
          <w:szCs w:val="24"/>
        </w:rPr>
        <w:t xml:space="preserve">ჰიპერმგრძნობელობა აქტიური ნივთიერების ან რომელიმე დამხმარე ნივთიერების მიმართ.  </w:t>
      </w:r>
    </w:p>
    <w:p w14:paraId="4FD5D706" w14:textId="77777777" w:rsidR="002E4854" w:rsidRPr="003A2047" w:rsidRDefault="002E4854" w:rsidP="00A95BA5">
      <w:pPr>
        <w:pStyle w:val="Heading3"/>
        <w:tabs>
          <w:tab w:val="center" w:pos="3981"/>
        </w:tabs>
        <w:spacing w:after="0" w:line="20" w:lineRule="atLeast"/>
        <w:ind w:left="0" w:right="141" w:firstLine="0"/>
        <w:rPr>
          <w:rFonts w:ascii="Sylfaen" w:hAnsi="Sylfaen"/>
          <w:sz w:val="24"/>
          <w:szCs w:val="24"/>
        </w:rPr>
      </w:pPr>
    </w:p>
    <w:p w14:paraId="7DB75076" w14:textId="77777777" w:rsidR="004F26A4" w:rsidRPr="003A2047" w:rsidRDefault="004F26A4" w:rsidP="00A95BA5">
      <w:pPr>
        <w:spacing w:after="0" w:line="240" w:lineRule="auto"/>
        <w:ind w:left="0" w:right="141" w:firstLine="0"/>
        <w:jc w:val="both"/>
        <w:rPr>
          <w:rFonts w:ascii="Sylfaen" w:hAnsi="Sylfaen"/>
          <w:b/>
          <w:sz w:val="24"/>
          <w:szCs w:val="24"/>
        </w:rPr>
      </w:pPr>
      <w:r w:rsidRPr="003A2047">
        <w:rPr>
          <w:rFonts w:ascii="Sylfaen" w:hAnsi="Sylfaen"/>
          <w:b/>
          <w:sz w:val="24"/>
          <w:szCs w:val="24"/>
        </w:rPr>
        <w:t>ურთიერთქმედება სხვა სამკურნალო საშუალებებთან და ურთიერთქმედების სხვა ფორმები</w:t>
      </w:r>
    </w:p>
    <w:p w14:paraId="256A54BB" w14:textId="77777777" w:rsidR="004F26A4" w:rsidRPr="003A2047" w:rsidRDefault="004F26A4" w:rsidP="00A95BA5">
      <w:pPr>
        <w:spacing w:after="0" w:line="240" w:lineRule="auto"/>
        <w:ind w:left="0" w:right="141" w:firstLine="0"/>
        <w:jc w:val="both"/>
        <w:rPr>
          <w:rFonts w:ascii="Sylfaen" w:hAnsi="Sylfaen"/>
          <w:i/>
          <w:kern w:val="0"/>
          <w:sz w:val="24"/>
          <w:szCs w:val="24"/>
          <w14:ligatures w14:val="none"/>
        </w:rPr>
      </w:pPr>
      <w:r w:rsidRPr="003A2047">
        <w:rPr>
          <w:rFonts w:ascii="Sylfaen" w:hAnsi="Sylfaen"/>
          <w:i/>
          <w:sz w:val="24"/>
          <w:szCs w:val="24"/>
        </w:rPr>
        <w:t>შარდმდენი საშუალებები</w:t>
      </w:r>
    </w:p>
    <w:p w14:paraId="63A8BA40" w14:textId="0CE065E5" w:rsidR="004F26A4" w:rsidRPr="003A2047" w:rsidRDefault="004F26A4" w:rsidP="00A95BA5">
      <w:pPr>
        <w:spacing w:after="0" w:line="240" w:lineRule="auto"/>
        <w:ind w:left="0" w:right="141" w:firstLine="0"/>
        <w:jc w:val="both"/>
        <w:rPr>
          <w:rFonts w:ascii="Sylfaen" w:hAnsi="Sylfaen"/>
          <w:iCs/>
          <w:kern w:val="0"/>
          <w:sz w:val="24"/>
          <w:szCs w:val="24"/>
          <w14:ligatures w14:val="none"/>
        </w:rPr>
      </w:pPr>
      <w:r w:rsidRPr="003A2047">
        <w:rPr>
          <w:rFonts w:ascii="Sylfaen" w:hAnsi="Sylfaen"/>
          <w:iCs/>
          <w:sz w:val="24"/>
          <w:szCs w:val="24"/>
        </w:rPr>
        <w:t xml:space="preserve">ემპაგლიფლოზინმა შეიძლება </w:t>
      </w:r>
      <w:r w:rsidR="00BC6BD2" w:rsidRPr="003A2047">
        <w:rPr>
          <w:rFonts w:ascii="Sylfaen" w:hAnsi="Sylfaen"/>
          <w:iCs/>
          <w:sz w:val="24"/>
          <w:szCs w:val="24"/>
        </w:rPr>
        <w:t>გააძლიეროს</w:t>
      </w:r>
      <w:r w:rsidRPr="003A2047">
        <w:rPr>
          <w:rFonts w:ascii="Sylfaen" w:hAnsi="Sylfaen"/>
          <w:iCs/>
          <w:sz w:val="24"/>
          <w:szCs w:val="24"/>
        </w:rPr>
        <w:t xml:space="preserve"> თიაზიდური და მარყუჟოვანი დიურეზუ</w:t>
      </w:r>
      <w:r w:rsidR="005A3AE8" w:rsidRPr="003A2047">
        <w:rPr>
          <w:rFonts w:ascii="Sylfaen" w:hAnsi="Sylfaen"/>
          <w:iCs/>
          <w:sz w:val="24"/>
          <w:szCs w:val="24"/>
        </w:rPr>
        <w:t>ლი საშუალებების</w:t>
      </w:r>
      <w:r w:rsidRPr="003A2047">
        <w:rPr>
          <w:rFonts w:ascii="Sylfaen" w:hAnsi="Sylfaen"/>
          <w:iCs/>
          <w:sz w:val="24"/>
          <w:szCs w:val="24"/>
        </w:rPr>
        <w:t xml:space="preserve"> დიურეზული ეფექტი და შეიძლება გაზარდოს დეჰიდრატაციისა და ჰიპოტენზიის რისკი.</w:t>
      </w:r>
    </w:p>
    <w:p w14:paraId="5466E8BB" w14:textId="5927FD59" w:rsidR="004F26A4" w:rsidRPr="003A2047" w:rsidRDefault="004F26A4" w:rsidP="00A95BA5">
      <w:pPr>
        <w:spacing w:after="0" w:line="240" w:lineRule="auto"/>
        <w:ind w:left="0" w:right="141" w:firstLine="0"/>
        <w:jc w:val="both"/>
        <w:rPr>
          <w:rFonts w:ascii="Sylfaen" w:hAnsi="Sylfaen"/>
          <w:i/>
          <w:kern w:val="0"/>
          <w:sz w:val="24"/>
          <w:szCs w:val="24"/>
          <w14:ligatures w14:val="none"/>
        </w:rPr>
      </w:pPr>
      <w:r w:rsidRPr="003A2047">
        <w:rPr>
          <w:rFonts w:ascii="Sylfaen" w:hAnsi="Sylfaen"/>
          <w:i/>
          <w:sz w:val="24"/>
          <w:szCs w:val="24"/>
        </w:rPr>
        <w:t xml:space="preserve">ინსულინი </w:t>
      </w:r>
    </w:p>
    <w:p w14:paraId="3A80C0EC" w14:textId="1D468C41" w:rsidR="004F26A4" w:rsidRPr="003A2047" w:rsidRDefault="004F26A4" w:rsidP="00A95BA5">
      <w:pPr>
        <w:spacing w:after="0" w:line="240" w:lineRule="auto"/>
        <w:ind w:left="0" w:right="141" w:firstLine="0"/>
        <w:jc w:val="both"/>
        <w:rPr>
          <w:rFonts w:ascii="Sylfaen" w:hAnsi="Sylfaen"/>
          <w:iCs/>
          <w:kern w:val="0"/>
          <w:sz w:val="24"/>
          <w:szCs w:val="24"/>
          <w14:ligatures w14:val="none"/>
        </w:rPr>
      </w:pPr>
      <w:r w:rsidRPr="003A2047">
        <w:rPr>
          <w:rFonts w:ascii="Sylfaen" w:hAnsi="Sylfaen"/>
          <w:iCs/>
          <w:sz w:val="24"/>
          <w:szCs w:val="24"/>
        </w:rPr>
        <w:t>ინსულინი და ინსულინის სეკრე</w:t>
      </w:r>
      <w:r w:rsidR="00BC6BD2" w:rsidRPr="003A2047">
        <w:rPr>
          <w:rFonts w:ascii="Sylfaen" w:hAnsi="Sylfaen"/>
          <w:iCs/>
          <w:sz w:val="24"/>
          <w:szCs w:val="24"/>
        </w:rPr>
        <w:t>ციაზე მოქმედი პრეპარატები</w:t>
      </w:r>
      <w:r w:rsidRPr="003A2047">
        <w:rPr>
          <w:rFonts w:ascii="Sylfaen" w:hAnsi="Sylfaen"/>
          <w:iCs/>
          <w:sz w:val="24"/>
          <w:szCs w:val="24"/>
        </w:rPr>
        <w:t xml:space="preserve">, როგორიცაა სულფონილშარდოვანა, </w:t>
      </w:r>
      <w:r w:rsidR="00BC6BD2" w:rsidRPr="003A2047">
        <w:rPr>
          <w:rFonts w:ascii="Sylfaen" w:hAnsi="Sylfaen"/>
          <w:iCs/>
          <w:sz w:val="24"/>
          <w:szCs w:val="24"/>
        </w:rPr>
        <w:t>ზრდის</w:t>
      </w:r>
      <w:r w:rsidRPr="003A2047">
        <w:rPr>
          <w:rFonts w:ascii="Sylfaen" w:hAnsi="Sylfaen"/>
          <w:iCs/>
          <w:sz w:val="24"/>
          <w:szCs w:val="24"/>
        </w:rPr>
        <w:t xml:space="preserve"> ჰიპოგლიკემიის რისკ</w:t>
      </w:r>
      <w:r w:rsidR="00BC6BD2" w:rsidRPr="003A2047">
        <w:rPr>
          <w:rFonts w:ascii="Sylfaen" w:hAnsi="Sylfaen"/>
          <w:iCs/>
          <w:sz w:val="24"/>
          <w:szCs w:val="24"/>
        </w:rPr>
        <w:t>ს</w:t>
      </w:r>
      <w:r w:rsidRPr="003A2047">
        <w:rPr>
          <w:rFonts w:ascii="Sylfaen" w:hAnsi="Sylfaen"/>
          <w:iCs/>
          <w:sz w:val="24"/>
          <w:szCs w:val="24"/>
        </w:rPr>
        <w:t xml:space="preserve">. ამიტომ, </w:t>
      </w:r>
      <w:r w:rsidR="00BC6BD2" w:rsidRPr="003A2047">
        <w:rPr>
          <w:rFonts w:ascii="Sylfaen" w:hAnsi="Sylfaen"/>
          <w:iCs/>
          <w:sz w:val="24"/>
          <w:szCs w:val="24"/>
        </w:rPr>
        <w:t xml:space="preserve">ემპაგლიფლოზინთან ერთდროულად გამოყენებისას </w:t>
      </w:r>
      <w:r w:rsidRPr="003A2047">
        <w:rPr>
          <w:rFonts w:ascii="Sylfaen" w:hAnsi="Sylfaen"/>
          <w:iCs/>
          <w:sz w:val="24"/>
          <w:szCs w:val="24"/>
        </w:rPr>
        <w:t xml:space="preserve"> ჰიპოგლიკემიის რისკის შესამცირებლად</w:t>
      </w:r>
      <w:r w:rsidR="00BC6BD2" w:rsidRPr="003A2047">
        <w:rPr>
          <w:rFonts w:ascii="Sylfaen" w:hAnsi="Sylfaen"/>
          <w:iCs/>
          <w:sz w:val="24"/>
          <w:szCs w:val="24"/>
        </w:rPr>
        <w:t xml:space="preserve"> </w:t>
      </w:r>
      <w:r w:rsidR="003F01D0" w:rsidRPr="003A2047">
        <w:rPr>
          <w:rFonts w:ascii="Sylfaen" w:hAnsi="Sylfaen"/>
          <w:iCs/>
          <w:sz w:val="24"/>
          <w:szCs w:val="24"/>
        </w:rPr>
        <w:t xml:space="preserve">შესაძლებელია </w:t>
      </w:r>
      <w:r w:rsidR="00BC6BD2" w:rsidRPr="003A2047">
        <w:rPr>
          <w:rFonts w:ascii="Sylfaen" w:hAnsi="Sylfaen"/>
          <w:iCs/>
          <w:sz w:val="24"/>
          <w:szCs w:val="24"/>
        </w:rPr>
        <w:t>საჭირო გახდეს</w:t>
      </w:r>
      <w:r w:rsidRPr="003A2047">
        <w:rPr>
          <w:rFonts w:ascii="Sylfaen" w:hAnsi="Sylfaen"/>
          <w:iCs/>
          <w:sz w:val="24"/>
          <w:szCs w:val="24"/>
        </w:rPr>
        <w:t xml:space="preserve">, ინსულინის ან ინსულინის </w:t>
      </w:r>
      <w:r w:rsidR="00BC6BD2" w:rsidRPr="003A2047">
        <w:rPr>
          <w:rFonts w:ascii="Sylfaen" w:hAnsi="Sylfaen"/>
          <w:iCs/>
          <w:sz w:val="24"/>
          <w:szCs w:val="24"/>
        </w:rPr>
        <w:t>სეკრეციაზე მოქმედი პრეპარატების</w:t>
      </w:r>
      <w:r w:rsidRPr="003A2047">
        <w:rPr>
          <w:rFonts w:ascii="Sylfaen" w:hAnsi="Sylfaen"/>
          <w:iCs/>
          <w:sz w:val="24"/>
          <w:szCs w:val="24"/>
        </w:rPr>
        <w:t xml:space="preserve"> </w:t>
      </w:r>
      <w:r w:rsidR="00BC6BD2" w:rsidRPr="003A2047">
        <w:rPr>
          <w:rFonts w:ascii="Sylfaen" w:hAnsi="Sylfaen"/>
          <w:iCs/>
          <w:sz w:val="24"/>
          <w:szCs w:val="24"/>
        </w:rPr>
        <w:t>დოზების შემცირ</w:t>
      </w:r>
      <w:r w:rsidR="003F01D0" w:rsidRPr="003A2047">
        <w:rPr>
          <w:rFonts w:ascii="Sylfaen" w:hAnsi="Sylfaen"/>
          <w:iCs/>
          <w:sz w:val="24"/>
          <w:szCs w:val="24"/>
        </w:rPr>
        <w:t>ება.</w:t>
      </w:r>
    </w:p>
    <w:p w14:paraId="782003A9" w14:textId="3C72346A"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ემპაგლიფლოზინმა შეიძლება გაზარდოს ლითიუმის თირკმელებით გამოყოფა და შეამციროს სისხლში ლითიუმის დონე. ემპაგლიფლოზინი</w:t>
      </w:r>
      <w:r w:rsidR="003F01D0" w:rsidRPr="003A2047">
        <w:rPr>
          <w:rFonts w:ascii="Sylfaen" w:hAnsi="Sylfaen"/>
          <w:sz w:val="24"/>
          <w:szCs w:val="24"/>
        </w:rPr>
        <w:t>თ მკურნალობის</w:t>
      </w:r>
      <w:r w:rsidRPr="003A2047">
        <w:rPr>
          <w:rFonts w:ascii="Sylfaen" w:hAnsi="Sylfaen"/>
          <w:sz w:val="24"/>
          <w:szCs w:val="24"/>
        </w:rPr>
        <w:t xml:space="preserve"> დაწყებ</w:t>
      </w:r>
      <w:r w:rsidR="003F01D0" w:rsidRPr="003A2047">
        <w:rPr>
          <w:rFonts w:ascii="Sylfaen" w:hAnsi="Sylfaen"/>
          <w:sz w:val="24"/>
          <w:szCs w:val="24"/>
        </w:rPr>
        <w:t>ამდე</w:t>
      </w:r>
      <w:r w:rsidRPr="003A2047">
        <w:rPr>
          <w:rFonts w:ascii="Sylfaen" w:hAnsi="Sylfaen"/>
          <w:sz w:val="24"/>
          <w:szCs w:val="24"/>
        </w:rPr>
        <w:t xml:space="preserve"> და  დოზი</w:t>
      </w:r>
      <w:r w:rsidR="003F01D0" w:rsidRPr="003A2047">
        <w:rPr>
          <w:rFonts w:ascii="Sylfaen" w:hAnsi="Sylfaen"/>
          <w:sz w:val="24"/>
          <w:szCs w:val="24"/>
        </w:rPr>
        <w:t>რები</w:t>
      </w:r>
      <w:r w:rsidRPr="003A2047">
        <w:rPr>
          <w:rFonts w:ascii="Sylfaen" w:hAnsi="Sylfaen"/>
          <w:sz w:val="24"/>
          <w:szCs w:val="24"/>
        </w:rPr>
        <w:t xml:space="preserve">ს ცვლილების შემდეგ </w:t>
      </w:r>
      <w:r w:rsidR="005A3AE8" w:rsidRPr="003A2047">
        <w:rPr>
          <w:rFonts w:ascii="Sylfaen" w:hAnsi="Sylfaen"/>
          <w:sz w:val="24"/>
          <w:szCs w:val="24"/>
        </w:rPr>
        <w:t xml:space="preserve">აუცილებელია </w:t>
      </w:r>
      <w:r w:rsidRPr="003A2047">
        <w:rPr>
          <w:rFonts w:ascii="Sylfaen" w:hAnsi="Sylfaen"/>
          <w:sz w:val="24"/>
          <w:szCs w:val="24"/>
        </w:rPr>
        <w:t xml:space="preserve">შრატში ლითიუმის </w:t>
      </w:r>
      <w:r w:rsidR="005A3AE8" w:rsidRPr="003A2047">
        <w:rPr>
          <w:rFonts w:ascii="Sylfaen" w:hAnsi="Sylfaen"/>
          <w:sz w:val="24"/>
          <w:szCs w:val="24"/>
        </w:rPr>
        <w:t xml:space="preserve"> </w:t>
      </w:r>
      <w:r w:rsidRPr="003A2047">
        <w:rPr>
          <w:rFonts w:ascii="Sylfaen" w:hAnsi="Sylfaen"/>
          <w:sz w:val="24"/>
          <w:szCs w:val="24"/>
        </w:rPr>
        <w:t>კონცენტრაცი</w:t>
      </w:r>
      <w:r w:rsidR="005A3AE8" w:rsidRPr="003A2047">
        <w:rPr>
          <w:rFonts w:ascii="Sylfaen" w:hAnsi="Sylfaen"/>
          <w:sz w:val="24"/>
          <w:szCs w:val="24"/>
        </w:rPr>
        <w:t>ის მონიტორინგი</w:t>
      </w:r>
      <w:r w:rsidR="00EC41F9" w:rsidRPr="003A2047">
        <w:rPr>
          <w:rFonts w:ascii="Sylfaen" w:hAnsi="Sylfaen"/>
          <w:sz w:val="24"/>
          <w:szCs w:val="24"/>
        </w:rPr>
        <w:t xml:space="preserve"> </w:t>
      </w:r>
      <w:r w:rsidRPr="003A2047">
        <w:rPr>
          <w:rFonts w:ascii="Sylfaen" w:hAnsi="Sylfaen"/>
          <w:sz w:val="24"/>
          <w:szCs w:val="24"/>
        </w:rPr>
        <w:t xml:space="preserve">. </w:t>
      </w:r>
    </w:p>
    <w:p w14:paraId="7F39754F"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ინ ვიტრო კვლევებზე დაყრდნობით, ემპაგლიფლოზინი არ თრგუნავს, არ ააქტიურებს და არ იწვევს CYP450 იზოფორმებს. ემპაგლიფლოზინი არ აინჰიბირებს UGT1A1, UGT1A3, UGT1A8, UGT1A9 ან UGT2B7. ამიტომ, წამლებთან ურთიერთქმედება, რომელიც მოიცავს ძირითად CYP450 და UGT იზოფორმებს ემპაგლიფლოზინთან და ამ ფერმენტების ერთდროულად მიღებულ სუბსტრატებთან, ნაკლებად სავარაუდოა.</w:t>
      </w:r>
    </w:p>
    <w:p w14:paraId="5A564EE9"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ემპაგლიფლოზინი არ აინჰიბირებს P-gp-ს თერაპიულ დოზებში. ინ ვიტრო კვლევებზე დაყრდნობით, ნაკლებად სავარაუდოა, რომ ემპაგლიფლოზინი ურთიერთქმედებს აქტიურ ნივთიერებებთან, რომლებიც წარმოადგენენ P-gp სუბსტრატებს. დიგოქსინის, P-gp სუბსტრატის, ემპაგლიფლოზინთან ერთდროულმა გამოყენებამ გამოიწვია დიგოქსინის AUC 6%-ით და დიგოქსინის C</w:t>
      </w:r>
      <w:r w:rsidRPr="003A2047">
        <w:rPr>
          <w:rFonts w:ascii="Sylfaen" w:hAnsi="Sylfaen"/>
          <w:sz w:val="24"/>
          <w:szCs w:val="24"/>
          <w:vertAlign w:val="subscript"/>
        </w:rPr>
        <w:t>max</w:t>
      </w:r>
      <w:r w:rsidRPr="003A2047">
        <w:rPr>
          <w:rFonts w:ascii="Sylfaen" w:hAnsi="Sylfaen"/>
          <w:sz w:val="24"/>
          <w:szCs w:val="24"/>
        </w:rPr>
        <w:t xml:space="preserve"> 14%-ით ზრდა. ეს ცვლილებები არ ითვლება კლინიკურად რელევანტურად.</w:t>
      </w:r>
    </w:p>
    <w:p w14:paraId="3C1E1A2F"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ემპაგლიფლოზინი არ აინჰიბირებს ადამიანის ათვისების გადამტანებს, როგორიცაა OAT3, OATP1B1 და OATP1B3, in vitro პლაზმაში კლინიკურად რელევანტურ კონცენტრაციებში, ამიტომ პრეპარატის ურთიერთქმედება ამ შეწოვის გადამტანების სუბსტრატებთან ნაკლებად სავარაუდოა.</w:t>
      </w:r>
    </w:p>
    <w:p w14:paraId="69DF593C"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ჯანმრთელ მოხალისეებში ჩატარებულმა ურთიერთქმედების კვლევებმა აჩვენა, რომ ემპაგლიფლოზინს არ აქვს კლინიკურად მნიშვნელოვანი გავლენა მეტფორმინის, გლიმეპირიდის, პიოგლიტაზონის, სიტაგლიპტინის, ლინაგლიპტინის, სიმვასტატინის, ვარფარინის, რამიპრილის, დიგოქსინის, დიურეზულების და ორალური კონტრაცეპტივების ფარმაკოკინეტიკაზე.</w:t>
      </w:r>
    </w:p>
    <w:p w14:paraId="386F3CAC"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პედიატრიული მოსახლეობა</w:t>
      </w:r>
    </w:p>
    <w:p w14:paraId="422B3C2C" w14:textId="286DCB3A" w:rsidR="00525E41" w:rsidRPr="003A2047" w:rsidRDefault="00525E41" w:rsidP="00A95BA5">
      <w:pPr>
        <w:pStyle w:val="Heading3"/>
        <w:tabs>
          <w:tab w:val="center" w:pos="1013"/>
        </w:tabs>
        <w:spacing w:after="0" w:line="20" w:lineRule="atLeast"/>
        <w:ind w:left="0" w:right="141" w:firstLine="0"/>
        <w:jc w:val="both"/>
        <w:rPr>
          <w:rFonts w:ascii="Sylfaen" w:hAnsi="Sylfaen"/>
          <w:sz w:val="24"/>
          <w:szCs w:val="24"/>
        </w:rPr>
      </w:pPr>
      <w:r w:rsidRPr="003A2047">
        <w:rPr>
          <w:rFonts w:ascii="Sylfaen" w:hAnsi="Sylfaen"/>
          <w:b w:val="0"/>
          <w:sz w:val="24"/>
          <w:szCs w:val="24"/>
        </w:rPr>
        <w:lastRenderedPageBreak/>
        <w:t>ურთიერთქმედების კვლევები ჩატარდა მხოლოდ მოზრდილებში</w:t>
      </w:r>
      <w:r w:rsidR="00755B58" w:rsidRPr="003A2047">
        <w:rPr>
          <w:rFonts w:ascii="Sylfaen" w:hAnsi="Sylfaen"/>
          <w:b w:val="0"/>
          <w:sz w:val="24"/>
          <w:szCs w:val="24"/>
        </w:rPr>
        <w:t>.</w:t>
      </w:r>
    </w:p>
    <w:p w14:paraId="7637F497" w14:textId="77777777" w:rsidR="00525E41" w:rsidRPr="003A2047" w:rsidRDefault="00525E41" w:rsidP="00A95BA5">
      <w:pPr>
        <w:pStyle w:val="Heading3"/>
        <w:tabs>
          <w:tab w:val="center" w:pos="1013"/>
        </w:tabs>
        <w:spacing w:after="0" w:line="20" w:lineRule="atLeast"/>
        <w:ind w:left="0" w:right="141" w:firstLine="0"/>
        <w:jc w:val="both"/>
        <w:rPr>
          <w:rFonts w:ascii="Sylfaen" w:hAnsi="Sylfaen"/>
          <w:sz w:val="24"/>
          <w:szCs w:val="24"/>
        </w:rPr>
      </w:pPr>
    </w:p>
    <w:p w14:paraId="0D4A4C3A" w14:textId="0FB036EE" w:rsidR="002E4854" w:rsidRPr="003A2047" w:rsidRDefault="002E4854" w:rsidP="00A95BA5">
      <w:pPr>
        <w:pStyle w:val="Heading3"/>
        <w:tabs>
          <w:tab w:val="center" w:pos="1013"/>
        </w:tabs>
        <w:spacing w:after="0" w:line="20" w:lineRule="atLeast"/>
        <w:ind w:left="0" w:right="141" w:firstLine="0"/>
        <w:jc w:val="both"/>
        <w:rPr>
          <w:rFonts w:ascii="Sylfaen" w:hAnsi="Sylfaen"/>
          <w:sz w:val="24"/>
          <w:szCs w:val="24"/>
        </w:rPr>
      </w:pPr>
      <w:r w:rsidRPr="003A2047">
        <w:rPr>
          <w:rFonts w:ascii="Sylfaen" w:hAnsi="Sylfaen"/>
          <w:sz w:val="24"/>
          <w:szCs w:val="24"/>
        </w:rPr>
        <w:t xml:space="preserve">დოზის გადაჭარბება </w:t>
      </w:r>
    </w:p>
    <w:p w14:paraId="0F2A9A47" w14:textId="3485891A" w:rsidR="005D6AC9" w:rsidRPr="003A2047" w:rsidRDefault="0079511C" w:rsidP="00A95BA5">
      <w:pPr>
        <w:spacing w:after="0" w:line="240" w:lineRule="auto"/>
        <w:ind w:right="141"/>
        <w:jc w:val="both"/>
        <w:rPr>
          <w:rFonts w:ascii="Sylfaen" w:hAnsi="Sylfaen"/>
          <w:i/>
          <w:iCs/>
          <w:kern w:val="0"/>
          <w:sz w:val="24"/>
          <w:szCs w:val="24"/>
          <w14:ligatures w14:val="none"/>
        </w:rPr>
      </w:pPr>
      <w:r w:rsidRPr="003A2047">
        <w:rPr>
          <w:rFonts w:ascii="Sylfaen" w:hAnsi="Sylfaen"/>
          <w:b/>
          <w:sz w:val="24"/>
          <w:szCs w:val="24"/>
        </w:rPr>
        <w:t xml:space="preserve"> </w:t>
      </w:r>
      <w:r w:rsidRPr="003A2047">
        <w:rPr>
          <w:rFonts w:ascii="Sylfaen" w:hAnsi="Sylfaen"/>
          <w:i/>
          <w:sz w:val="24"/>
          <w:szCs w:val="24"/>
        </w:rPr>
        <w:t>სიმპტომები</w:t>
      </w:r>
    </w:p>
    <w:p w14:paraId="706D41B3" w14:textId="74A7582C"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კონტროლირებად კლინიკურ კვლევებში, ემპაგლიფლოზინის 800 მგ-მდე ერთჯერადი დოზ</w:t>
      </w:r>
      <w:r w:rsidR="00BC6BD2" w:rsidRPr="003A2047">
        <w:rPr>
          <w:rFonts w:ascii="Sylfaen" w:hAnsi="Sylfaen"/>
          <w:sz w:val="24"/>
          <w:szCs w:val="24"/>
        </w:rPr>
        <w:t>ის</w:t>
      </w:r>
      <w:r w:rsidRPr="003A2047">
        <w:rPr>
          <w:rFonts w:ascii="Sylfaen" w:hAnsi="Sylfaen"/>
          <w:sz w:val="24"/>
          <w:szCs w:val="24"/>
        </w:rPr>
        <w:t xml:space="preserve"> ჯანმრთელ მოხალისეებში</w:t>
      </w:r>
      <w:r w:rsidR="00BC6BD2" w:rsidRPr="003A2047">
        <w:rPr>
          <w:rFonts w:ascii="Sylfaen" w:hAnsi="Sylfaen"/>
          <w:sz w:val="24"/>
          <w:szCs w:val="24"/>
        </w:rPr>
        <w:t xml:space="preserve"> გამოყენებისას</w:t>
      </w:r>
      <w:r w:rsidRPr="003A2047">
        <w:rPr>
          <w:rFonts w:ascii="Sylfaen" w:hAnsi="Sylfaen"/>
          <w:sz w:val="24"/>
          <w:szCs w:val="24"/>
        </w:rPr>
        <w:t xml:space="preserve"> და 100 მგ-მდე ემპაგლიფლოზინის მრავალჯერადი დოზ</w:t>
      </w:r>
      <w:r w:rsidR="00BC6BD2" w:rsidRPr="003A2047">
        <w:rPr>
          <w:rFonts w:ascii="Sylfaen" w:hAnsi="Sylfaen"/>
          <w:sz w:val="24"/>
          <w:szCs w:val="24"/>
        </w:rPr>
        <w:t>ის</w:t>
      </w:r>
      <w:r w:rsidRPr="003A2047">
        <w:rPr>
          <w:rFonts w:ascii="Sylfaen" w:hAnsi="Sylfaen"/>
          <w:sz w:val="24"/>
          <w:szCs w:val="24"/>
        </w:rPr>
        <w:t xml:space="preserve"> ტიპი 2 დიაბეტის მქონე პაციენტებში</w:t>
      </w:r>
      <w:r w:rsidR="00BC6BD2" w:rsidRPr="003A2047">
        <w:rPr>
          <w:rFonts w:ascii="Sylfaen" w:hAnsi="Sylfaen"/>
          <w:sz w:val="24"/>
          <w:szCs w:val="24"/>
        </w:rPr>
        <w:t xml:space="preserve"> გამოყენებისას</w:t>
      </w:r>
      <w:r w:rsidRPr="003A2047">
        <w:rPr>
          <w:rFonts w:ascii="Sylfaen" w:hAnsi="Sylfaen"/>
          <w:sz w:val="24"/>
          <w:szCs w:val="24"/>
        </w:rPr>
        <w:t xml:space="preserve"> არ აჩვენებდნენ ტოქსიკურობას. ემპაგლიფლოზინმა გაზარდა შარდში გლუკოზის გამოყოფა, რის შედეგადაც გაიზარდა შარდის მოცულობა. შარდის მოცულობის დაფიქსირებული ზრდა არ იყო დოზასთან დაკავშირებული და არ არის კლინიკურად მნიშვნელოვანი. ადამიანებში 800 მგ-ზე მაღალი დოზების შესახებ გამოცდილება არ არსებობს.</w:t>
      </w:r>
    </w:p>
    <w:p w14:paraId="2A7E5ACD" w14:textId="77777777" w:rsidR="005D6AC9" w:rsidRPr="003A2047" w:rsidRDefault="005D6AC9"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sz w:val="24"/>
          <w:szCs w:val="24"/>
        </w:rPr>
        <w:t>თერაპია</w:t>
      </w:r>
    </w:p>
    <w:p w14:paraId="4C6E3E2B" w14:textId="77777777" w:rsidR="005D6AC9" w:rsidRPr="003A2047" w:rsidRDefault="005D6AC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დოზის გადაჭარბების შემთხვევაში მკურნალობა უნდა დაიწყოს პაციენტის კლინიკური სტატუსის შესაბამისად. ემპაგლიფლოზინის ელიმინაცია ჰემოდიალიზის დროს არ არის შესწავლილი.</w:t>
      </w:r>
    </w:p>
    <w:p w14:paraId="0E028D04" w14:textId="3C53CD57" w:rsidR="005D6AC9" w:rsidRPr="003A2047" w:rsidRDefault="005D6AC9" w:rsidP="00A95BA5">
      <w:pPr>
        <w:spacing w:after="0" w:line="240" w:lineRule="auto"/>
        <w:ind w:left="-426" w:right="141"/>
        <w:jc w:val="both"/>
        <w:rPr>
          <w:rFonts w:ascii="Sylfaen" w:hAnsi="Sylfaen"/>
          <w:b/>
          <w:sz w:val="24"/>
          <w:szCs w:val="24"/>
        </w:rPr>
      </w:pPr>
    </w:p>
    <w:p w14:paraId="2CE1D5AD" w14:textId="02D1435C" w:rsidR="002E4854" w:rsidRPr="003A2047" w:rsidRDefault="005D6AC9" w:rsidP="00A95BA5">
      <w:pPr>
        <w:spacing w:after="0" w:line="240" w:lineRule="auto"/>
        <w:ind w:left="-426" w:right="141"/>
        <w:rPr>
          <w:rFonts w:ascii="Sylfaen" w:hAnsi="Sylfaen"/>
          <w:b/>
          <w:sz w:val="24"/>
          <w:szCs w:val="24"/>
        </w:rPr>
      </w:pPr>
      <w:r w:rsidRPr="003A2047">
        <w:rPr>
          <w:rFonts w:ascii="Sylfaen" w:hAnsi="Sylfaen"/>
          <w:b/>
          <w:sz w:val="24"/>
          <w:szCs w:val="24"/>
        </w:rPr>
        <w:t xml:space="preserve">       ორსულობა, ლაქტაცია და ნაყოფიერება</w:t>
      </w:r>
    </w:p>
    <w:p w14:paraId="6464582B" w14:textId="77777777" w:rsidR="00703C46" w:rsidRPr="003A2047" w:rsidRDefault="00703C46"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ორსულობა</w:t>
      </w:r>
    </w:p>
    <w:p w14:paraId="789751FE" w14:textId="40BC95EC" w:rsidR="00703C46" w:rsidRPr="003A2047" w:rsidRDefault="00703C46"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ორსულ ქალებში ემპაგლიფლოზინის გამოყენების შესახებ მონაცემები არ არსებობს. ცხოველთა კვლევები აჩვენებს, რომ ემპაგლიფლოზინი პლაცენტაში მხოლოდ ძალიან მცირე რაოდენობით აღწევს ორსულობის გვიან ეტაპზე, მაგრამ არ მიუთითებს ადრეულ ემბრიონულ განვითარებაზე პირდაპირ ან ირიბ ზიანზე. თუმცა, ცხოველებზე ჩატარებულმა კვლევებმა აჩვენა უარყოფითი გავლენა პოსტნატალურ განვითარებაზე. პრევენციული ღონისძიების სახით, მიზანშეწონილია ორსულობის დროს </w:t>
      </w:r>
      <w:r w:rsidR="00CB3AB6" w:rsidRPr="003A2047">
        <w:rPr>
          <w:rFonts w:ascii="Sylfaen" w:hAnsi="Sylfaen"/>
          <w:kern w:val="0"/>
          <w:sz w:val="24"/>
          <w:szCs w:val="24"/>
          <w14:ligatures w14:val="none"/>
        </w:rPr>
        <w:t>ემფაჟ</w:t>
      </w:r>
      <w:r w:rsidR="00CB3AB6" w:rsidRPr="003A2047">
        <w:rPr>
          <w:rFonts w:ascii="Sylfaen" w:hAnsi="Sylfaen"/>
          <w:sz w:val="24"/>
          <w:szCs w:val="24"/>
        </w:rPr>
        <w:t>ი-ს</w:t>
      </w:r>
      <w:r w:rsidR="00CB3AB6">
        <w:rPr>
          <w:rFonts w:ascii="Sylfaen" w:hAnsi="Sylfaen"/>
          <w:sz w:val="24"/>
          <w:szCs w:val="24"/>
        </w:rPr>
        <w:t xml:space="preserve"> </w:t>
      </w:r>
      <w:r w:rsidRPr="003A2047">
        <w:rPr>
          <w:rFonts w:ascii="Sylfaen" w:hAnsi="Sylfaen"/>
          <w:sz w:val="24"/>
          <w:szCs w:val="24"/>
        </w:rPr>
        <w:t>გამოყენების თავიდან აცილება.</w:t>
      </w:r>
    </w:p>
    <w:p w14:paraId="60317E73" w14:textId="77777777" w:rsidR="00703C46" w:rsidRPr="003A2047" w:rsidRDefault="00703C46"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ძუძუთი კვება</w:t>
      </w:r>
    </w:p>
    <w:p w14:paraId="65CCE14F" w14:textId="33135FCE" w:rsidR="00703C46" w:rsidRPr="003A2047" w:rsidRDefault="00703C46"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ადამიანებში არ არსებობს მონაცემები ემპაგლიფლოზინის რძეში გამოყოფის შესახებ. ცხოველებში არსებული ტოქსიკოლოგიური მონაცემები მიუთითებს, რომ ემპაგლიფლოზინი გამოიყოფა რძეში. არ არის გამორიცხული რისკი ახალშობილებისთვის/ჩვილებისთვის. </w:t>
      </w:r>
      <w:bookmarkStart w:id="10" w:name="_Hlk179609207"/>
      <w:r w:rsidR="00E03800" w:rsidRPr="003A2047">
        <w:rPr>
          <w:rFonts w:ascii="Sylfaen" w:hAnsi="Sylfaen"/>
          <w:kern w:val="0"/>
          <w:sz w:val="24"/>
          <w:szCs w:val="24"/>
          <w14:ligatures w14:val="none"/>
        </w:rPr>
        <w:t>ემფაჟ</w:t>
      </w:r>
      <w:r w:rsidRPr="003A2047">
        <w:rPr>
          <w:rFonts w:ascii="Sylfaen" w:hAnsi="Sylfaen"/>
          <w:sz w:val="24"/>
          <w:szCs w:val="24"/>
        </w:rPr>
        <w:t>ი</w:t>
      </w:r>
      <w:bookmarkEnd w:id="10"/>
      <w:r w:rsidRPr="003A2047">
        <w:rPr>
          <w:rFonts w:ascii="Sylfaen" w:hAnsi="Sylfaen"/>
          <w:sz w:val="24"/>
          <w:szCs w:val="24"/>
        </w:rPr>
        <w:t xml:space="preserve"> არ უნდა იქნას გამოყენებული ძუძუთი კვების დროს.</w:t>
      </w:r>
    </w:p>
    <w:p w14:paraId="7FEC843D" w14:textId="77777777" w:rsidR="00703C46" w:rsidRPr="003A2047" w:rsidRDefault="00703C46"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ფერტილობა</w:t>
      </w:r>
    </w:p>
    <w:p w14:paraId="70063CB7" w14:textId="0699D445" w:rsidR="00703C46" w:rsidRPr="003A2047" w:rsidRDefault="00703C46" w:rsidP="00A95BA5">
      <w:pPr>
        <w:tabs>
          <w:tab w:val="center" w:pos="2495"/>
        </w:tabs>
        <w:spacing w:after="0" w:line="20" w:lineRule="atLeast"/>
        <w:ind w:left="0" w:right="141" w:firstLine="0"/>
        <w:jc w:val="both"/>
        <w:rPr>
          <w:rFonts w:ascii="Sylfaen" w:hAnsi="Sylfaen"/>
          <w:b/>
          <w:sz w:val="24"/>
          <w:szCs w:val="24"/>
        </w:rPr>
      </w:pPr>
      <w:r w:rsidRPr="003A2047">
        <w:rPr>
          <w:rFonts w:ascii="Sylfaen" w:hAnsi="Sylfaen"/>
          <w:sz w:val="24"/>
          <w:szCs w:val="24"/>
        </w:rPr>
        <w:t xml:space="preserve">არ ჩატარებულა კვლევები </w:t>
      </w:r>
      <w:r w:rsidR="00E03800" w:rsidRPr="003A2047">
        <w:rPr>
          <w:rFonts w:ascii="Sylfaen" w:hAnsi="Sylfaen"/>
          <w:kern w:val="0"/>
          <w:sz w:val="24"/>
          <w:szCs w:val="24"/>
          <w14:ligatures w14:val="none"/>
        </w:rPr>
        <w:t>ემფაჟ</w:t>
      </w:r>
      <w:r w:rsidR="00E03800" w:rsidRPr="003A2047">
        <w:rPr>
          <w:rFonts w:ascii="Sylfaen" w:hAnsi="Sylfaen"/>
          <w:sz w:val="24"/>
          <w:szCs w:val="24"/>
        </w:rPr>
        <w:t>ი</w:t>
      </w:r>
      <w:r w:rsidR="00310A80" w:rsidRPr="003A2047">
        <w:rPr>
          <w:rFonts w:ascii="Sylfaen" w:hAnsi="Sylfaen"/>
          <w:sz w:val="24"/>
          <w:szCs w:val="24"/>
        </w:rPr>
        <w:t>-</w:t>
      </w:r>
      <w:r w:rsidRPr="003A2047">
        <w:rPr>
          <w:rFonts w:ascii="Sylfaen" w:hAnsi="Sylfaen"/>
          <w:sz w:val="24"/>
          <w:szCs w:val="24"/>
        </w:rPr>
        <w:t>ს ზემოქმედებაზე ადამიანის ნაყოფიერებაზე. ცხოველებზე ჩატარებულმა კვლევებმა არ აჩვენა პირდაპირი ან არაპირდაპირი მავნე ზემოქმედება ნაყოფიერებაზე</w:t>
      </w:r>
    </w:p>
    <w:p w14:paraId="7861E32E" w14:textId="77777777" w:rsidR="00703C46" w:rsidRPr="003A2047" w:rsidRDefault="00703C46" w:rsidP="00A95BA5">
      <w:pPr>
        <w:tabs>
          <w:tab w:val="center" w:pos="2495"/>
        </w:tabs>
        <w:spacing w:after="0" w:line="20" w:lineRule="atLeast"/>
        <w:ind w:left="0" w:right="141" w:firstLine="0"/>
        <w:jc w:val="both"/>
        <w:rPr>
          <w:rFonts w:ascii="Sylfaen" w:hAnsi="Sylfaen"/>
          <w:b/>
          <w:sz w:val="24"/>
          <w:szCs w:val="24"/>
        </w:rPr>
      </w:pPr>
    </w:p>
    <w:p w14:paraId="60F272C3" w14:textId="15B914DB" w:rsidR="00525E41" w:rsidRPr="003A2047" w:rsidRDefault="004E7AF0" w:rsidP="00A95BA5">
      <w:pPr>
        <w:tabs>
          <w:tab w:val="center" w:pos="2495"/>
        </w:tabs>
        <w:spacing w:after="0" w:line="20" w:lineRule="atLeast"/>
        <w:ind w:left="0" w:right="141" w:firstLine="0"/>
        <w:rPr>
          <w:rFonts w:ascii="Sylfaen" w:hAnsi="Sylfaen"/>
          <w:b/>
          <w:sz w:val="24"/>
          <w:szCs w:val="24"/>
        </w:rPr>
      </w:pPr>
      <w:r w:rsidRPr="003A2047">
        <w:rPr>
          <w:rFonts w:ascii="Sylfaen" w:hAnsi="Sylfaen"/>
          <w:b/>
          <w:sz w:val="24"/>
          <w:szCs w:val="24"/>
        </w:rPr>
        <w:t xml:space="preserve">სპეციალური გაფრთხილებები და უსაფრთხოების ზომები გამოყენებისას </w:t>
      </w:r>
    </w:p>
    <w:p w14:paraId="50298286" w14:textId="5A2ED600" w:rsidR="00525E41" w:rsidRPr="003A2047" w:rsidRDefault="00525E41" w:rsidP="00A95BA5">
      <w:pPr>
        <w:spacing w:after="0" w:line="240" w:lineRule="auto"/>
        <w:ind w:right="141"/>
        <w:jc w:val="both"/>
        <w:rPr>
          <w:rFonts w:ascii="Sylfaen" w:hAnsi="Sylfaen"/>
          <w:kern w:val="0"/>
          <w:sz w:val="24"/>
          <w:szCs w:val="24"/>
          <w14:ligatures w14:val="none"/>
        </w:rPr>
      </w:pPr>
      <w:r w:rsidRPr="003A2047">
        <w:rPr>
          <w:rFonts w:ascii="Sylfaen" w:hAnsi="Sylfaen"/>
          <w:sz w:val="24"/>
          <w:szCs w:val="24"/>
        </w:rPr>
        <w:t>ზოგადი</w:t>
      </w:r>
    </w:p>
    <w:p w14:paraId="638126CB" w14:textId="31A1E4A5" w:rsidR="00525E41" w:rsidRPr="003A2047" w:rsidRDefault="00A84CB5"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ემფაჟი არ უნდა იქნას გამოყენებული ტიპის 1 შაქრიანი დიაბეტის მქონე პაციენტებში.</w:t>
      </w:r>
    </w:p>
    <w:p w14:paraId="6CBA2AF6"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კეტოაციდოზი</w:t>
      </w:r>
    </w:p>
    <w:p w14:paraId="3D0F0AD1" w14:textId="6774C6D9"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კეტოაციდოზის შემთხვევები, სიცოცხლისათვის საშიში და ფატალური შემთხვევების ჩათვლით, დაფიქსირდა შაქრიანი დიაბეტის მქონე პაციენტებში, რომლებიც მკურნალობდნენ SGLT2 ინჰიბიტორებით. ზოგიერთ შემთხვევაში დაავადების გამოვლინება </w:t>
      </w:r>
      <w:r w:rsidRPr="003A2047">
        <w:rPr>
          <w:rFonts w:ascii="Sylfaen" w:hAnsi="Sylfaen"/>
          <w:sz w:val="24"/>
          <w:szCs w:val="24"/>
        </w:rPr>
        <w:lastRenderedPageBreak/>
        <w:t xml:space="preserve">იყო ატიპიური - სისხლში გლუკოზის მხოლოდ ზომიერი მატება, 14 მმოლ/ლ (250 მგ/დლ) ქვემოთ. </w:t>
      </w:r>
    </w:p>
    <w:p w14:paraId="051EB9B0"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კეტოაციდოზის განვითარების რისკი გასათვალისწინებელია არასპეციფიკური სიმპტომების გამოვლენის შემთხვევაში, როგორიცაა გულისრევა, ღებინება, ანორექსია, მუცლის ტკივილი, მომატებული წყურვილი, ქოშინი, დაბნეულობა, უჩვეულო დაღლილობა ან ძილიანობა. თუ ეს სიმპტომები გამოჩნდება, პაციენტები დაუყოვნებლივ უნდა შემოწმდეს კეტოაციდოზზე, სისხლში გლუკოზის დონის მიუხედავად.</w:t>
      </w:r>
    </w:p>
    <w:p w14:paraId="06C64C8A" w14:textId="7890D628"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კეტოაციდოზის ეჭვის ან </w:t>
      </w:r>
      <w:r w:rsidR="005953DE" w:rsidRPr="003A2047">
        <w:rPr>
          <w:rFonts w:ascii="Sylfaen" w:hAnsi="Sylfaen"/>
          <w:sz w:val="24"/>
          <w:szCs w:val="24"/>
        </w:rPr>
        <w:t>დადასტურების</w:t>
      </w:r>
      <w:r w:rsidRPr="003A2047">
        <w:rPr>
          <w:rFonts w:ascii="Sylfaen" w:hAnsi="Sylfaen"/>
          <w:sz w:val="24"/>
          <w:szCs w:val="24"/>
        </w:rPr>
        <w:t xml:space="preserve"> შემთხვევაში, </w:t>
      </w:r>
      <w:bookmarkStart w:id="11" w:name="_Hlk176520298"/>
      <w:r w:rsidRPr="003A2047">
        <w:rPr>
          <w:rFonts w:ascii="Sylfaen" w:hAnsi="Sylfaen"/>
          <w:sz w:val="24"/>
          <w:szCs w:val="24"/>
        </w:rPr>
        <w:t>ემფაჟით</w:t>
      </w:r>
      <w:bookmarkEnd w:id="11"/>
      <w:r w:rsidRPr="003A2047">
        <w:rPr>
          <w:rFonts w:ascii="Sylfaen" w:hAnsi="Sylfaen"/>
          <w:sz w:val="24"/>
          <w:szCs w:val="24"/>
        </w:rPr>
        <w:t xml:space="preserve"> მკურნალობა დაუყოვნებლივ უნდა შეწყდეს.</w:t>
      </w:r>
    </w:p>
    <w:p w14:paraId="0072F512" w14:textId="599F7F7A"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მკურნალობა უნდა შეწყდეს იმ პაციენტებში, რომლებიც ჰოსპიტალიზებული არიან მძიმე ოპერაციის ან მწვავე მძიმე დაავადების გამო. ამ პაციენტებში რეკომენდებულია კეტონების მონიტორინგი. სისხლში კეტონის სხეულების დონის განსაზღვრა უფრო სასურველია ვიდრე შარდში. ემფაჟით მკურნალობა შეიძლება განახლდეს, როდესაც კეტონის მნიშვნელობები ნორმალურია და პაციენტის მდგომარეობა დასტაბილურდება.</w:t>
      </w:r>
    </w:p>
    <w:p w14:paraId="55306A16" w14:textId="258A1151"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ემფაჟის მიღების დაწყებამდე გაითვალისწინეთ თქვენს სამედიცინო ისტორიაში არსებული ფაქტორები, რომლებმაც შეიძლება გამოიწვიოს კეტოაციდოზის განვითარება.</w:t>
      </w:r>
    </w:p>
    <w:p w14:paraId="3D62B0D3" w14:textId="4AD1CEC4"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კეტოაციდოზის განვითარების რისკის ქვეშ მყოფი პაციენტები მოიცავს ბეტა უჯრედების ფუნქციის დაბალი რეზერვის მქონე პაციენტებს (მაგ., ტიპი 2 დიაბეტის მქონე პაციენტები C-პეპტიდის დაბალი დონით ან ლატენტური აუტოიმუნური დიაბეტი მოზრდილებში (LADA) ან პაციენტები პანკრეატიტის ანამნეზში), პაციენტები, ისეთი დაავადებებით რომლებიც იწვევს საკვების შეზღუდვას ან მძიმე დეჰიდრატაცია, პაციენტები, რომლებსაც ინსულინის დოზები შეუმცირეს და პაციენტები, რომლებსაც აქვთ ინსულინის გაზრდილი საჭიროება მწვავე ავადმყოფობის, ქირურგიული ჩარევის ან ალკოჰოლის ბოროტად გამოყენების გამო. ამ პაციენტებში SGLT2 ინჰიბიტორები სიფრთხილით უნდა იქნას გამოყენებული.</w:t>
      </w:r>
    </w:p>
    <w:p w14:paraId="0E266400" w14:textId="3B6A9C96"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არ არის რეკომენდებული SGLT2 ინჰიბიტორის მკურნალობის ხელახალი დაწყება პაციენტებში, რომლებსაც აქვთ ადრე არსებული კეტოაციდოზი, გამოვლენილი, SGLT2 ინჰიბიტორის მიღებისას, თუ სხვა აშკარა გამომწვევი ფაქტორი არ არის გამოვლენილი და გ</w:t>
      </w:r>
      <w:r w:rsidR="005953DE" w:rsidRPr="003A2047">
        <w:rPr>
          <w:rFonts w:ascii="Sylfaen" w:hAnsi="Sylfaen"/>
          <w:sz w:val="24"/>
          <w:szCs w:val="24"/>
        </w:rPr>
        <w:t>არკვეული</w:t>
      </w:r>
      <w:r w:rsidRPr="003A2047">
        <w:rPr>
          <w:rFonts w:ascii="Sylfaen" w:hAnsi="Sylfaen"/>
          <w:sz w:val="24"/>
          <w:szCs w:val="24"/>
        </w:rPr>
        <w:t>.</w:t>
      </w:r>
    </w:p>
    <w:p w14:paraId="71D70334" w14:textId="3052F1E7" w:rsidR="00525E41" w:rsidRPr="003A2047" w:rsidRDefault="00BD0C9D"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ემფაჟი  არ უნდა იქნას გამოყენებული ტიპის 1 შაქრიანი დიაბეტის მქონე პაციენტებში. 1 ტიპის შაქრიანი დიაბეტის მქონე პაციენტებში ჩატარებული კლინიკური კვლევების მონაცემებმა აჩვენა კეტოაციდოზის გაზრდილი სიხშირე პაციენტებში, რომლებიც იღებდნენ ემპაგლიფლოზინს 10 მგ და 25 მგ ინსულინ</w:t>
      </w:r>
      <w:r w:rsidR="003B373A" w:rsidRPr="003A2047">
        <w:rPr>
          <w:rFonts w:ascii="Sylfaen" w:hAnsi="Sylfaen"/>
          <w:sz w:val="24"/>
          <w:szCs w:val="24"/>
        </w:rPr>
        <w:t>თან ერთდროულად.</w:t>
      </w:r>
      <w:r w:rsidRPr="003A2047">
        <w:rPr>
          <w:rFonts w:ascii="Sylfaen" w:hAnsi="Sylfaen"/>
          <w:sz w:val="24"/>
          <w:szCs w:val="24"/>
        </w:rPr>
        <w:t xml:space="preserve"> </w:t>
      </w:r>
    </w:p>
    <w:p w14:paraId="60A2CC5D"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თირკმლის უკმარისობა</w:t>
      </w:r>
    </w:p>
    <w:p w14:paraId="6086E9F8"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შეზღუდული გამოცდილების გამო, არ არის რეკომენდებული ემფაჟით მკურნალობის დაწყება პაციენტებში eGFR &lt;20 მლ/წთ/1,73 </w:t>
      </w:r>
      <w:r w:rsidRPr="003A2047">
        <w:rPr>
          <w:rFonts w:ascii="Sylfaen" w:hAnsi="Sylfaen"/>
          <w:sz w:val="24"/>
          <w:szCs w:val="24"/>
          <w:vertAlign w:val="superscript"/>
        </w:rPr>
        <w:t>2</w:t>
      </w:r>
      <w:r w:rsidRPr="003A2047">
        <w:rPr>
          <w:rFonts w:ascii="Sylfaen" w:hAnsi="Sylfaen"/>
          <w:sz w:val="24"/>
          <w:szCs w:val="24"/>
        </w:rPr>
        <w:t>.</w:t>
      </w:r>
    </w:p>
    <w:p w14:paraId="32CAB54C" w14:textId="035B3A54"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პაციენტებისთვის </w:t>
      </w:r>
      <w:r w:rsidR="003B373A" w:rsidRPr="003A2047">
        <w:rPr>
          <w:rFonts w:ascii="Sylfaen" w:hAnsi="Sylfaen"/>
          <w:sz w:val="24"/>
          <w:szCs w:val="24"/>
        </w:rPr>
        <w:t>e</w:t>
      </w:r>
      <w:r w:rsidRPr="003A2047">
        <w:rPr>
          <w:rFonts w:ascii="Sylfaen" w:hAnsi="Sylfaen"/>
          <w:sz w:val="24"/>
          <w:szCs w:val="24"/>
        </w:rPr>
        <w:t>GFR &lt;60 მლ/წთ/1,73 მ</w:t>
      </w:r>
      <w:r w:rsidRPr="003A2047">
        <w:rPr>
          <w:rFonts w:ascii="Sylfaen" w:hAnsi="Sylfaen"/>
          <w:sz w:val="24"/>
          <w:szCs w:val="24"/>
          <w:vertAlign w:val="superscript"/>
        </w:rPr>
        <w:t>2</w:t>
      </w:r>
      <w:r w:rsidRPr="003A2047">
        <w:rPr>
          <w:rFonts w:ascii="Sylfaen" w:hAnsi="Sylfaen"/>
          <w:sz w:val="24"/>
          <w:szCs w:val="24"/>
        </w:rPr>
        <w:t>, ემფაჟის დღიური დოზაა 10 მგ.</w:t>
      </w:r>
    </w:p>
    <w:p w14:paraId="2599F529" w14:textId="1BE22DD9"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ემპაგლიფლოზინის გლუკოზის შემცირების ეფექტურობა დამოკიდებულია თირკმლის ფუნქციაზე და მცირდება პაციენტებში </w:t>
      </w:r>
      <w:r w:rsidR="003B373A" w:rsidRPr="003A2047">
        <w:rPr>
          <w:rFonts w:ascii="Sylfaen" w:hAnsi="Sylfaen"/>
          <w:sz w:val="24"/>
          <w:szCs w:val="24"/>
        </w:rPr>
        <w:t>e</w:t>
      </w:r>
      <w:r w:rsidRPr="003A2047">
        <w:rPr>
          <w:rFonts w:ascii="Sylfaen" w:hAnsi="Sylfaen"/>
          <w:sz w:val="24"/>
          <w:szCs w:val="24"/>
        </w:rPr>
        <w:t xml:space="preserve">GFR &lt;45 მლ/წთ/1.73 მ2 და სავარაუდოდ არ არსებობს პაციენტებში </w:t>
      </w:r>
      <w:r w:rsidR="003B373A" w:rsidRPr="003A2047">
        <w:rPr>
          <w:rFonts w:ascii="Sylfaen" w:hAnsi="Sylfaen"/>
          <w:sz w:val="24"/>
          <w:szCs w:val="24"/>
        </w:rPr>
        <w:t>e</w:t>
      </w:r>
      <w:r w:rsidRPr="003A2047">
        <w:rPr>
          <w:rFonts w:ascii="Sylfaen" w:hAnsi="Sylfaen"/>
          <w:sz w:val="24"/>
          <w:szCs w:val="24"/>
        </w:rPr>
        <w:t>GFR &lt;30 მლ/წთ/1.73 მ2.</w:t>
      </w:r>
    </w:p>
    <w:p w14:paraId="1E5EE37D"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თირკმლის ფუნქციის მონიტორინგი</w:t>
      </w:r>
    </w:p>
    <w:p w14:paraId="3949F1BA"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თირკმლის ფუნქციის შეფასება რეკომენდებულია შემდეგნაირად:</w:t>
      </w:r>
    </w:p>
    <w:p w14:paraId="64CB32B4" w14:textId="04C3CEA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 </w:t>
      </w:r>
      <w:r w:rsidR="00152AE9" w:rsidRPr="003A2047">
        <w:rPr>
          <w:rFonts w:ascii="Sylfaen" w:hAnsi="Sylfaen" w:cs="Sylfaen"/>
          <w:sz w:val="24"/>
          <w:szCs w:val="24"/>
        </w:rPr>
        <w:t>ემფაჟ</w:t>
      </w:r>
      <w:r w:rsidRPr="003A2047">
        <w:rPr>
          <w:rFonts w:ascii="Sylfaen" w:hAnsi="Sylfaen"/>
          <w:sz w:val="24"/>
          <w:szCs w:val="24"/>
        </w:rPr>
        <w:t>ის მიღების დაწყებამდე და პერიოდულად მკურნალობის პერიოდში, ე.ი. წელიწადში ერთხელ მაინც.</w:t>
      </w:r>
    </w:p>
    <w:p w14:paraId="6264FDD4"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lastRenderedPageBreak/>
        <w:t>- ნებისმიერი თანმხლები მედიკამენტის დაწყებამდე, რომელმაც შეიძლება უარყოფითი გავლენა მოახდინოს თირკმელების ფუნქციაზე.</w:t>
      </w:r>
    </w:p>
    <w:p w14:paraId="576A9112"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მოცულობის დაქვეითების რისკი</w:t>
      </w:r>
    </w:p>
    <w:p w14:paraId="2E4C3E53" w14:textId="4D77FBC5"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SGLT2 ინჰიბიტორების მოქმედების პრინციპიდან გამომდინარე, გლუკოზურიას თანმხლები ოსმოსური დიურეზი</w:t>
      </w:r>
      <w:r w:rsidR="003B373A" w:rsidRPr="003A2047">
        <w:rPr>
          <w:rFonts w:ascii="Sylfaen" w:hAnsi="Sylfaen"/>
          <w:sz w:val="24"/>
          <w:szCs w:val="24"/>
        </w:rPr>
        <w:t xml:space="preserve"> იწვევს</w:t>
      </w:r>
      <w:r w:rsidRPr="003A2047">
        <w:rPr>
          <w:rFonts w:ascii="Sylfaen" w:hAnsi="Sylfaen"/>
          <w:sz w:val="24"/>
          <w:szCs w:val="24"/>
        </w:rPr>
        <w:t xml:space="preserve"> არტერიული წნევის ზომიერ დაქვეითება</w:t>
      </w:r>
      <w:r w:rsidR="003B373A" w:rsidRPr="003A2047">
        <w:rPr>
          <w:rFonts w:ascii="Sylfaen" w:hAnsi="Sylfaen"/>
          <w:sz w:val="24"/>
          <w:szCs w:val="24"/>
        </w:rPr>
        <w:t>ს</w:t>
      </w:r>
      <w:r w:rsidRPr="003A2047">
        <w:rPr>
          <w:rFonts w:ascii="Sylfaen" w:hAnsi="Sylfaen"/>
          <w:sz w:val="24"/>
          <w:szCs w:val="24"/>
        </w:rPr>
        <w:t xml:space="preserve">. ამიტომ, სიფრთხილეა რეკომენდებული იმ პაციენტებში, რომლებსაც ემპაგლიფლოზინით </w:t>
      </w:r>
      <w:r w:rsidR="003B373A" w:rsidRPr="003A2047">
        <w:rPr>
          <w:rFonts w:ascii="Sylfaen" w:hAnsi="Sylfaen"/>
          <w:sz w:val="24"/>
          <w:szCs w:val="24"/>
        </w:rPr>
        <w:t>მკურნალობისას</w:t>
      </w:r>
      <w:r w:rsidR="00E4154D" w:rsidRPr="003A2047">
        <w:rPr>
          <w:rFonts w:ascii="Sylfaen" w:hAnsi="Sylfaen"/>
          <w:sz w:val="24"/>
          <w:szCs w:val="24"/>
        </w:rPr>
        <w:t xml:space="preserve"> მაღალი აქვთ</w:t>
      </w:r>
      <w:r w:rsidR="003B373A" w:rsidRPr="003A2047">
        <w:rPr>
          <w:rFonts w:ascii="Sylfaen" w:hAnsi="Sylfaen"/>
          <w:sz w:val="24"/>
          <w:szCs w:val="24"/>
        </w:rPr>
        <w:t xml:space="preserve">  </w:t>
      </w:r>
      <w:r w:rsidRPr="003A2047">
        <w:rPr>
          <w:rFonts w:ascii="Sylfaen" w:hAnsi="Sylfaen"/>
          <w:sz w:val="24"/>
          <w:szCs w:val="24"/>
        </w:rPr>
        <w:t>არტერიული წნევის დაქვეითებ</w:t>
      </w:r>
      <w:r w:rsidR="00E4154D" w:rsidRPr="003A2047">
        <w:rPr>
          <w:rFonts w:ascii="Sylfaen" w:hAnsi="Sylfaen"/>
          <w:sz w:val="24"/>
          <w:szCs w:val="24"/>
        </w:rPr>
        <w:t>ის განვითარების რისკი</w:t>
      </w:r>
      <w:r w:rsidRPr="003A2047">
        <w:rPr>
          <w:rFonts w:ascii="Sylfaen" w:hAnsi="Sylfaen"/>
          <w:sz w:val="24"/>
          <w:szCs w:val="24"/>
        </w:rPr>
        <w:t>, მათ შორის არიან, ცნობილი გულ-სისხლძარღვთა დაავადებების მქონე პაციენტები, რომლებიც იღებენ ანტიჰიპერტენზიულ თერაპიას</w:t>
      </w:r>
      <w:r w:rsidR="00E4154D" w:rsidRPr="003A2047">
        <w:rPr>
          <w:rFonts w:ascii="Sylfaen" w:hAnsi="Sylfaen"/>
          <w:sz w:val="24"/>
          <w:szCs w:val="24"/>
        </w:rPr>
        <w:t>,</w:t>
      </w:r>
      <w:r w:rsidRPr="003A2047">
        <w:rPr>
          <w:rFonts w:ascii="Sylfaen" w:hAnsi="Sylfaen"/>
          <w:sz w:val="24"/>
          <w:szCs w:val="24"/>
        </w:rPr>
        <w:t xml:space="preserve"> ჰიპოტენზიი</w:t>
      </w:r>
      <w:r w:rsidR="00E4154D" w:rsidRPr="003A2047">
        <w:rPr>
          <w:rFonts w:ascii="Sylfaen" w:hAnsi="Sylfaen"/>
          <w:sz w:val="24"/>
          <w:szCs w:val="24"/>
        </w:rPr>
        <w:t>თ</w:t>
      </w:r>
      <w:r w:rsidRPr="003A2047">
        <w:rPr>
          <w:rFonts w:ascii="Sylfaen" w:hAnsi="Sylfaen"/>
          <w:sz w:val="24"/>
          <w:szCs w:val="24"/>
        </w:rPr>
        <w:t xml:space="preserve"> ანამნეზში და 75 წელზე უფროსი ასაკის პაციენტები.</w:t>
      </w:r>
    </w:p>
    <w:p w14:paraId="3DFFC760" w14:textId="5DAF157C"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პაციენტებში, რომლებსაც შეიძლება ჰქონდეთ დეჰიდრატაცია (მაგ.,კუჭ-ნაწლავის დაავადების გამო), რეკომენდირებულია მოცულობის სტატუსის </w:t>
      </w:r>
      <w:r w:rsidR="00152AE9" w:rsidRPr="003A2047">
        <w:rPr>
          <w:rFonts w:ascii="Sylfaen" w:hAnsi="Sylfaen"/>
          <w:sz w:val="24"/>
          <w:szCs w:val="24"/>
        </w:rPr>
        <w:t>ყურადღებით</w:t>
      </w:r>
      <w:r w:rsidRPr="003A2047">
        <w:rPr>
          <w:rFonts w:ascii="Sylfaen" w:hAnsi="Sylfaen"/>
          <w:sz w:val="24"/>
          <w:szCs w:val="24"/>
        </w:rPr>
        <w:t xml:space="preserve"> მონიტორინგი (მაგ. ფიზიკური გამოკვლევა, არტერიული წნევის გაზომვა, ლაბორატორიული ტესტები ჰემატოკრიტის ჩათვლით) და ელექტროლიტების მონიტორინგი მათთვის, ვინც ღებულობს </w:t>
      </w:r>
      <w:r w:rsidR="00152AE9" w:rsidRPr="003A2047">
        <w:rPr>
          <w:rFonts w:ascii="Sylfaen" w:hAnsi="Sylfaen" w:cs="Sylfaen"/>
          <w:sz w:val="24"/>
          <w:szCs w:val="24"/>
        </w:rPr>
        <w:t>ემფაჟ</w:t>
      </w:r>
      <w:r w:rsidRPr="003A2047">
        <w:rPr>
          <w:rFonts w:ascii="Sylfaen" w:hAnsi="Sylfaen"/>
          <w:sz w:val="24"/>
          <w:szCs w:val="24"/>
        </w:rPr>
        <w:t xml:space="preserve">ს. უნდა განიხილებოდეს ემპაგლიფლოზინით მკურნალობის დროებითი შეწყვეტა სითხის დაკარგვის </w:t>
      </w:r>
      <w:r w:rsidR="00E4154D" w:rsidRPr="003A2047">
        <w:rPr>
          <w:rFonts w:ascii="Sylfaen" w:hAnsi="Sylfaen"/>
          <w:sz w:val="24"/>
          <w:szCs w:val="24"/>
        </w:rPr>
        <w:t>ა</w:t>
      </w:r>
      <w:r w:rsidRPr="003A2047">
        <w:rPr>
          <w:rFonts w:ascii="Sylfaen" w:hAnsi="Sylfaen"/>
          <w:sz w:val="24"/>
          <w:szCs w:val="24"/>
        </w:rPr>
        <w:t>ღ</w:t>
      </w:r>
      <w:r w:rsidR="00E4154D" w:rsidRPr="003A2047">
        <w:rPr>
          <w:rFonts w:ascii="Sylfaen" w:hAnsi="Sylfaen"/>
          <w:sz w:val="24"/>
          <w:szCs w:val="24"/>
        </w:rPr>
        <w:t>დგენამდე</w:t>
      </w:r>
      <w:r w:rsidRPr="003A2047">
        <w:rPr>
          <w:rFonts w:ascii="Sylfaen" w:hAnsi="Sylfaen"/>
          <w:sz w:val="24"/>
          <w:szCs w:val="24"/>
        </w:rPr>
        <w:t>.</w:t>
      </w:r>
    </w:p>
    <w:p w14:paraId="189083D2"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ხანდაზმულები</w:t>
      </w:r>
    </w:p>
    <w:p w14:paraId="7B1DCFE0" w14:textId="1647CE4C" w:rsidR="00525E41" w:rsidRPr="003A2047" w:rsidRDefault="00152AE9"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cs="Sylfaen"/>
          <w:sz w:val="24"/>
          <w:szCs w:val="24"/>
        </w:rPr>
        <w:t>ემფაჟ</w:t>
      </w:r>
      <w:r w:rsidR="00525E41" w:rsidRPr="003A2047">
        <w:rPr>
          <w:rFonts w:ascii="Sylfaen" w:hAnsi="Sylfaen"/>
          <w:sz w:val="24"/>
          <w:szCs w:val="24"/>
        </w:rPr>
        <w:t>ის ეფექტი შარდში გლუკოზის ექსკრეციაზე დაკავშირებულია ოსმოსურ დიურეზთან, რამაც შეიძლება გავლენა მოახდინოს ჰიდრატაციის სტატუსზე. 75 წელზე უფროსი ასაკის პაციენტებს შეიძლება ჰქონდეთ მოცულობის დაქვეითების რისკი. უფრო მეტ პაციენტს, რომლებიც იღებდნენ ემპაგლიფლოზინს, აღენიშნებოდა მოცულობის შემცირებასთან დაკავშირებული გვერდითი რეაქციები პლაცებოსთან შედარებით. ამიტომ განსაკუთრებული ყურადღება უნდა მიექცეს მათი საკვების რაოდენობას იმ წამლების ერთდროული გამოყენების შემთხვევაში, რამაც შეიძლება გამოიწვიოს სითხის მოცულობის შემცირება (მაგალითად, დიურეზულები, აგფ ინჰიბიტორები).</w:t>
      </w:r>
    </w:p>
    <w:p w14:paraId="41BCB43E"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საშარდე გზების გართულებული ინფექციები</w:t>
      </w:r>
    </w:p>
    <w:p w14:paraId="7F5B8FB4" w14:textId="6DFB7100"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საშარდე გზების გართულებული ინფექციების შემთხვევები, მათ შორის პიელონეფრიტი და უროსეფსისი, დაფიქსირდა პაციენტებში, რომლებიც იღებდნენ ემპაგლიფლოზინს. საშარდე გზების გართულებული ინფექციების მქონე პაციენტებში გათვალისწინებული უნდა იყოს ემპაგლიფლოზინის მიღების დროებითი შეწყვეტა.</w:t>
      </w:r>
    </w:p>
    <w:p w14:paraId="76A4DCC8" w14:textId="451F47DD"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პერინეუმის ნეკროზული ფა</w:t>
      </w:r>
      <w:r w:rsidR="008372B6" w:rsidRPr="003A2047">
        <w:rPr>
          <w:rFonts w:ascii="Sylfaen" w:hAnsi="Sylfaen"/>
          <w:sz w:val="24"/>
          <w:szCs w:val="24"/>
        </w:rPr>
        <w:t>სცი</w:t>
      </w:r>
      <w:r w:rsidRPr="003A2047">
        <w:rPr>
          <w:rFonts w:ascii="Sylfaen" w:hAnsi="Sylfaen"/>
          <w:sz w:val="24"/>
          <w:szCs w:val="24"/>
        </w:rPr>
        <w:t>იტი (ფურნიეს განგრენა)*.</w:t>
      </w:r>
    </w:p>
    <w:p w14:paraId="2DB6D02E" w14:textId="3AD69944"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ნეკროზული პერინეალური ფა</w:t>
      </w:r>
      <w:r w:rsidR="008372B6" w:rsidRPr="003A2047">
        <w:rPr>
          <w:rFonts w:ascii="Sylfaen" w:hAnsi="Sylfaen"/>
          <w:sz w:val="24"/>
          <w:szCs w:val="24"/>
        </w:rPr>
        <w:t>სც</w:t>
      </w:r>
      <w:r w:rsidRPr="003A2047">
        <w:rPr>
          <w:rFonts w:ascii="Sylfaen" w:hAnsi="Sylfaen"/>
          <w:sz w:val="24"/>
          <w:szCs w:val="24"/>
        </w:rPr>
        <w:t>იიტის შემთხვევები (ასევე ცნობილი როგორც ფურნიეს განგრენა) დაფიქსირდა შაქრიანი დიაბეტის მქონე ქალებში და მამაკაცებში, რომლებიც იღებდნენ SGLT2 ინჰიბიტორებს. ეს არის იშვიათი, მაგრამ სერიოზული და პოტენციურად სიცოცხლისათვის საშიში მოვლენა, რომელიც საჭიროებს სასწრაფო ოპერაციას და ანტიბიოტიკებით მკურნალობას.</w:t>
      </w:r>
    </w:p>
    <w:p w14:paraId="595D415D" w14:textId="513EDCA1"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პაციენტებს უნდა მიეცეთ რჩევა, მიმართონ ექიმს, თუ აღენიშნებათ ტკივილის, მგრძნობელობის, ერითემის ან შეშუპების სიმპტომების კომბინაცია სასქესო ან პერინეალურ მიდამოში, ასევე ცხელება ან სისუსტე. გაითვალისწინეთ, რომ ნეკროზულ ფა</w:t>
      </w:r>
      <w:r w:rsidR="008372B6" w:rsidRPr="003A2047">
        <w:rPr>
          <w:rFonts w:ascii="Sylfaen" w:hAnsi="Sylfaen"/>
          <w:sz w:val="24"/>
          <w:szCs w:val="24"/>
        </w:rPr>
        <w:t>სც</w:t>
      </w:r>
      <w:r w:rsidRPr="003A2047">
        <w:rPr>
          <w:rFonts w:ascii="Sylfaen" w:hAnsi="Sylfaen"/>
          <w:sz w:val="24"/>
          <w:szCs w:val="24"/>
        </w:rPr>
        <w:t xml:space="preserve">იიტს შეიძლება წინ უძღოდეს უროგენიტალური ინფექცია ან პერინეალური აბსცესი. ფურნიეს განგრენაზე ეჭვის შემთხვევაში, </w:t>
      </w:r>
      <w:r w:rsidR="00841EE0" w:rsidRPr="003A2047">
        <w:rPr>
          <w:rFonts w:ascii="Sylfaen" w:hAnsi="Sylfaen"/>
          <w:kern w:val="0"/>
          <w:sz w:val="24"/>
          <w:szCs w:val="24"/>
          <w14:ligatures w14:val="none"/>
        </w:rPr>
        <w:t>ემფაჟის</w:t>
      </w:r>
      <w:r w:rsidRPr="003A2047">
        <w:rPr>
          <w:rFonts w:ascii="Sylfaen" w:hAnsi="Sylfaen"/>
          <w:sz w:val="24"/>
          <w:szCs w:val="24"/>
        </w:rPr>
        <w:t xml:space="preserve"> მიღება უნდა შეწყდეს და დაუყოვნებლივ დაიწყოს მკურნალობა (ანტიბიოტიკების და ქირურგიული ჩარევის ჩათვლით).</w:t>
      </w:r>
    </w:p>
    <w:p w14:paraId="69A15FA7"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ქვედა კიდურების ამპუტაციები</w:t>
      </w:r>
    </w:p>
    <w:p w14:paraId="6EDF85D2" w14:textId="00D8D089"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lastRenderedPageBreak/>
        <w:t xml:space="preserve">გრძელვადიან კლინიკურ კვლევებში სხვა SGLT2 ინჰიბიტორთან ერთად აღინიშნა ქვედა კიდურების (ძირითადად თითების) ამპუტაციების ზრდა. უცნობია არის თუ არა ეს </w:t>
      </w:r>
      <w:r w:rsidR="00841EE0" w:rsidRPr="003A2047">
        <w:rPr>
          <w:rFonts w:ascii="Sylfaen" w:hAnsi="Sylfaen"/>
          <w:sz w:val="24"/>
          <w:szCs w:val="24"/>
        </w:rPr>
        <w:t>ამ ჟგუფის პრეპარატების</w:t>
      </w:r>
      <w:r w:rsidRPr="003A2047">
        <w:rPr>
          <w:rFonts w:ascii="Sylfaen" w:hAnsi="Sylfaen"/>
          <w:sz w:val="24"/>
          <w:szCs w:val="24"/>
        </w:rPr>
        <w:t xml:space="preserve"> ეფექტი. როგორც დიაბეტის მქონე ყველა პაციენტს, მნიშვნელოვანია პაციენტების კონსულტაცია ფეხის რეგულარული პროფილაქტიკური მოვლის შესახებ.</w:t>
      </w:r>
    </w:p>
    <w:p w14:paraId="101DC8AC"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ღვიძლის დაზიანება</w:t>
      </w:r>
    </w:p>
    <w:p w14:paraId="61A819DE"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ღვიძლის დაზიანების შემთხვევები დაფიქსირდა ემპაგლიფლოზინის კლინიკურ კვლევებში. ემპაგლიფლოზინსა და ღვიძლის დაზიანებას შორის მიზეზ-შედეგობრივი კავშირი დადგენილი არ არის.</w:t>
      </w:r>
    </w:p>
    <w:p w14:paraId="145CB228" w14:textId="77777777" w:rsidR="002A772D"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 xml:space="preserve">მომატებული ჰემატოკრიტი </w:t>
      </w:r>
    </w:p>
    <w:p w14:paraId="42BF28D5" w14:textId="5888D4E8"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sz w:val="24"/>
          <w:szCs w:val="24"/>
        </w:rPr>
        <w:t>ემპაგლიფლოზინით მკურნალობისას აღინიშნა ჰემატოკრიტის მომატება.</w:t>
      </w:r>
    </w:p>
    <w:p w14:paraId="3A8E3F82"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თირკმელების ქრონიკული დაავადება</w:t>
      </w:r>
    </w:p>
    <w:p w14:paraId="7E2726AE"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ალბუმინურიის მქონე პაციენტებმა შეიძლება მიიღონ მეტი სარგებილი ემპაგლიფლოზინით მკურნალობით.</w:t>
      </w:r>
    </w:p>
    <w:p w14:paraId="759EACA1"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შარდის ლაბორატორიული შეფასებები</w:t>
      </w:r>
    </w:p>
    <w:p w14:paraId="635191C0" w14:textId="5CF68F3E"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პრეპარატის მოქმედების მექანიზმიდან გამომდინარე, პაციენტებს, რომლებიც იღებენ </w:t>
      </w:r>
      <w:r w:rsidR="00E03800" w:rsidRPr="003A2047">
        <w:rPr>
          <w:rFonts w:ascii="Sylfaen" w:hAnsi="Sylfaen"/>
          <w:sz w:val="24"/>
          <w:szCs w:val="24"/>
        </w:rPr>
        <w:t>ემფაჟს</w:t>
      </w:r>
      <w:r w:rsidRPr="003A2047">
        <w:rPr>
          <w:rFonts w:ascii="Sylfaen" w:hAnsi="Sylfaen"/>
          <w:sz w:val="24"/>
          <w:szCs w:val="24"/>
        </w:rPr>
        <w:t>, უტარდებათ შარდის გლუკოზის ანალიზი.</w:t>
      </w:r>
    </w:p>
    <w:p w14:paraId="0A80BCAF" w14:textId="20E59DDC"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არ არის რეკომენდებული გლიკემიური კონტროლის მონიტორინგი 1,5-AG ანალიზის გამოყენებით, რადგან არასანდოა გლიკემიური კონტროლის შესაფასებლად პაციენტებში, რომლებიც იღებენ SGLT2 ინჰიბიტორებს. რეკომენდებულია გლიკემიის კონტროლის ალტერნატიული მეთოდების გამოყენება.</w:t>
      </w:r>
    </w:p>
    <w:p w14:paraId="07D33F59" w14:textId="77777777" w:rsidR="00525E41" w:rsidRPr="003A2047" w:rsidRDefault="00525E41" w:rsidP="00A95BA5">
      <w:pPr>
        <w:spacing w:after="0" w:line="240" w:lineRule="auto"/>
        <w:ind w:left="0" w:right="141" w:firstLine="0"/>
        <w:jc w:val="both"/>
        <w:rPr>
          <w:rFonts w:ascii="Sylfaen" w:hAnsi="Sylfaen"/>
          <w:i/>
          <w:iCs/>
          <w:kern w:val="0"/>
          <w:sz w:val="24"/>
          <w:szCs w:val="24"/>
          <w14:ligatures w14:val="none"/>
        </w:rPr>
      </w:pPr>
      <w:r w:rsidRPr="003A2047">
        <w:rPr>
          <w:rFonts w:ascii="Sylfaen" w:hAnsi="Sylfaen"/>
          <w:i/>
          <w:iCs/>
          <w:sz w:val="24"/>
          <w:szCs w:val="24"/>
        </w:rPr>
        <w:t>ლაქტოზა</w:t>
      </w:r>
    </w:p>
    <w:p w14:paraId="4E31EE88" w14:textId="77777777" w:rsidR="00525E41" w:rsidRPr="003A2047" w:rsidRDefault="00525E41"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ტაბლეტები შეიცავს ლაქტოზას. პაციენტებმა იშვიათი მემკვიდრეობითი პრობლემებით გალაქტოზას აუტანლობით, ლაქტაზას სრული დეფიციტით ან გლუკოზა-გალაქტოზას მალაბსორბციით არ უნდა მიიღონ ეს პრეპარატი.</w:t>
      </w:r>
    </w:p>
    <w:p w14:paraId="63BA7E4D" w14:textId="6EABD935" w:rsidR="00430223" w:rsidRPr="003A2047" w:rsidRDefault="00430223" w:rsidP="00A95BA5">
      <w:pPr>
        <w:pStyle w:val="Heading3"/>
        <w:tabs>
          <w:tab w:val="center" w:pos="2606"/>
        </w:tabs>
        <w:spacing w:after="0" w:line="20" w:lineRule="atLeast"/>
        <w:ind w:left="0" w:right="141" w:firstLine="0"/>
        <w:rPr>
          <w:rFonts w:ascii="Sylfaen" w:hAnsi="Sylfaen"/>
          <w:sz w:val="24"/>
          <w:szCs w:val="24"/>
        </w:rPr>
      </w:pPr>
      <w:r w:rsidRPr="003A2047">
        <w:rPr>
          <w:rFonts w:ascii="Sylfaen" w:hAnsi="Sylfaen"/>
          <w:sz w:val="24"/>
          <w:szCs w:val="24"/>
        </w:rPr>
        <w:t xml:space="preserve">გავლენა ავტომობილის ტარების და დანადგარების გამოყენების უნარზე </w:t>
      </w:r>
    </w:p>
    <w:p w14:paraId="5E1397C9" w14:textId="3D51ACE4" w:rsidR="00D96668" w:rsidRPr="003A2047" w:rsidRDefault="001B38E7" w:rsidP="00A95BA5">
      <w:pPr>
        <w:spacing w:after="0" w:line="240" w:lineRule="auto"/>
        <w:ind w:left="0" w:right="141" w:firstLine="0"/>
        <w:jc w:val="both"/>
        <w:rPr>
          <w:rFonts w:ascii="Sylfaen" w:hAnsi="Sylfaen"/>
          <w:kern w:val="0"/>
          <w:sz w:val="24"/>
          <w:szCs w:val="24"/>
          <w14:ligatures w14:val="none"/>
        </w:rPr>
      </w:pPr>
      <w:r w:rsidRPr="003A2047">
        <w:rPr>
          <w:rFonts w:ascii="Sylfaen" w:hAnsi="Sylfaen"/>
          <w:sz w:val="24"/>
          <w:szCs w:val="24"/>
        </w:rPr>
        <w:t xml:space="preserve">ემფაჟი უმნიშვნელო გავლენას ახდენს ავტომობილის მართვისა და დანადგარების გამოყენების უნარზე. პაციენტებს უნდა მიეცეთ რეკომენდაცია, მიიღონ სიფრთხილის ზომები ჰიპოგლიკემიის თავიდან აცილების მიზნით მანქანის მართვისას და მექანიზმებთან მუშაობისას, განსაკუთრებით თუ </w:t>
      </w:r>
      <w:r w:rsidR="00152AE9" w:rsidRPr="003A2047">
        <w:rPr>
          <w:rFonts w:ascii="Sylfaen" w:hAnsi="Sylfaen" w:cs="Sylfaen"/>
          <w:sz w:val="24"/>
          <w:szCs w:val="24"/>
        </w:rPr>
        <w:t>ემფაჟ</w:t>
      </w:r>
      <w:r w:rsidRPr="003A2047">
        <w:rPr>
          <w:rFonts w:ascii="Sylfaen" w:hAnsi="Sylfaen"/>
          <w:sz w:val="24"/>
          <w:szCs w:val="24"/>
        </w:rPr>
        <w:t>ი გამოიყენება სულფონილშარდოვანას და/ან ინსულინთან ერთად.</w:t>
      </w:r>
    </w:p>
    <w:p w14:paraId="22DF9FB9" w14:textId="1A6686D1" w:rsidR="004E7AF0" w:rsidRPr="003A2047" w:rsidRDefault="004E7AF0" w:rsidP="00A95BA5">
      <w:pPr>
        <w:spacing w:after="0" w:line="20" w:lineRule="atLeast"/>
        <w:ind w:left="0" w:right="141" w:firstLine="0"/>
        <w:rPr>
          <w:rFonts w:ascii="Sylfaen" w:hAnsi="Sylfaen"/>
          <w:sz w:val="24"/>
          <w:szCs w:val="24"/>
        </w:rPr>
      </w:pPr>
    </w:p>
    <w:p w14:paraId="58978222" w14:textId="77777777" w:rsidR="005D6AC9" w:rsidRPr="003A2047" w:rsidRDefault="00BC74F1" w:rsidP="00A95BA5">
      <w:pPr>
        <w:spacing w:after="0" w:line="20" w:lineRule="atLeast"/>
        <w:ind w:left="-426" w:right="141"/>
        <w:rPr>
          <w:rFonts w:ascii="Sylfaen" w:hAnsi="Sylfaen"/>
          <w:b/>
          <w:sz w:val="24"/>
          <w:szCs w:val="24"/>
        </w:rPr>
      </w:pPr>
      <w:r w:rsidRPr="003A2047">
        <w:rPr>
          <w:rFonts w:ascii="Sylfaen" w:hAnsi="Sylfaen"/>
          <w:b/>
          <w:sz w:val="24"/>
          <w:szCs w:val="24"/>
        </w:rPr>
        <w:t xml:space="preserve">        შეფუთვაში:</w:t>
      </w:r>
    </w:p>
    <w:p w14:paraId="3DC39C74" w14:textId="67FACEEE" w:rsidR="003944EA" w:rsidRPr="003A2047" w:rsidRDefault="003944EA" w:rsidP="00A95BA5">
      <w:pPr>
        <w:spacing w:after="0" w:line="20" w:lineRule="atLeast"/>
        <w:ind w:left="1560" w:right="141" w:hanging="1560"/>
        <w:rPr>
          <w:rFonts w:ascii="Sylfaen" w:hAnsi="Sylfaen"/>
          <w:sz w:val="24"/>
          <w:szCs w:val="24"/>
        </w:rPr>
      </w:pPr>
      <w:r w:rsidRPr="003A2047">
        <w:rPr>
          <w:rFonts w:ascii="Sylfaen" w:hAnsi="Sylfaen"/>
          <w:b/>
          <w:sz w:val="24"/>
          <w:szCs w:val="24"/>
        </w:rPr>
        <w:t xml:space="preserve">ემფაჟი 10: </w:t>
      </w:r>
      <w:r w:rsidRPr="003A2047">
        <w:rPr>
          <w:rFonts w:ascii="Sylfaen" w:hAnsi="Sylfaen"/>
          <w:sz w:val="24"/>
          <w:szCs w:val="24"/>
        </w:rPr>
        <w:t>1</w:t>
      </w:r>
      <w:r w:rsidR="00744105">
        <w:rPr>
          <w:rFonts w:ascii="Sylfaen" w:hAnsi="Sylfaen"/>
          <w:sz w:val="24"/>
          <w:szCs w:val="24"/>
        </w:rPr>
        <w:t>4</w:t>
      </w:r>
      <w:r w:rsidRPr="003A2047">
        <w:rPr>
          <w:rFonts w:ascii="Sylfaen" w:hAnsi="Sylfaen"/>
          <w:sz w:val="24"/>
          <w:szCs w:val="24"/>
        </w:rPr>
        <w:t xml:space="preserve"> ტაბლეტი თითოეულ ბლისტერში</w:t>
      </w:r>
      <w:r w:rsidR="00B8316F" w:rsidRPr="003A2047">
        <w:rPr>
          <w:rFonts w:ascii="Sylfaen" w:hAnsi="Sylfaen"/>
          <w:sz w:val="24"/>
          <w:szCs w:val="24"/>
        </w:rPr>
        <w:t>,</w:t>
      </w:r>
      <w:r w:rsidRPr="003A2047">
        <w:rPr>
          <w:rFonts w:ascii="Sylfaen" w:hAnsi="Sylfaen"/>
          <w:sz w:val="24"/>
          <w:szCs w:val="24"/>
        </w:rPr>
        <w:t xml:space="preserve"> </w:t>
      </w:r>
      <w:r w:rsidR="00744105">
        <w:rPr>
          <w:rFonts w:ascii="Sylfaen" w:hAnsi="Sylfaen"/>
          <w:sz w:val="24"/>
          <w:szCs w:val="24"/>
        </w:rPr>
        <w:t>2</w:t>
      </w:r>
      <w:r w:rsidRPr="003A2047">
        <w:rPr>
          <w:rFonts w:ascii="Sylfaen" w:hAnsi="Sylfaen"/>
          <w:sz w:val="24"/>
          <w:szCs w:val="24"/>
        </w:rPr>
        <w:t xml:space="preserve"> ბლისტერი თითო </w:t>
      </w:r>
      <w:bookmarkStart w:id="12" w:name="_Hlk179665846"/>
      <w:r w:rsidR="00F046BE" w:rsidRPr="003A2047">
        <w:rPr>
          <w:rFonts w:ascii="Sylfaen" w:hAnsi="Sylfaen" w:cs="Sylfaen"/>
          <w:sz w:val="24"/>
          <w:szCs w:val="24"/>
        </w:rPr>
        <w:t>ინსტრუქციით</w:t>
      </w:r>
      <w:bookmarkEnd w:id="12"/>
      <w:r w:rsidRPr="003A2047">
        <w:rPr>
          <w:rFonts w:ascii="Sylfaen" w:hAnsi="Sylfaen"/>
          <w:sz w:val="24"/>
          <w:szCs w:val="24"/>
        </w:rPr>
        <w:t xml:space="preserve"> თითოეულ კოლოფში.</w:t>
      </w:r>
    </w:p>
    <w:p w14:paraId="3D5FDEFD" w14:textId="41ADA262" w:rsidR="003944EA" w:rsidRPr="003A2047" w:rsidRDefault="003944EA" w:rsidP="00D532BB">
      <w:pPr>
        <w:spacing w:after="0" w:line="20" w:lineRule="atLeast"/>
        <w:ind w:right="141"/>
        <w:rPr>
          <w:rFonts w:ascii="Sylfaen" w:hAnsi="Sylfaen"/>
          <w:sz w:val="24"/>
          <w:szCs w:val="24"/>
        </w:rPr>
      </w:pPr>
      <w:r w:rsidRPr="003A2047">
        <w:rPr>
          <w:rFonts w:ascii="Sylfaen" w:hAnsi="Sylfaen"/>
          <w:b/>
          <w:sz w:val="24"/>
          <w:szCs w:val="24"/>
        </w:rPr>
        <w:t xml:space="preserve">                                                </w:t>
      </w:r>
    </w:p>
    <w:p w14:paraId="43163FB3" w14:textId="06E2F04D" w:rsidR="004E7AF0" w:rsidRPr="003A2047" w:rsidRDefault="004E7AF0" w:rsidP="00A95BA5">
      <w:pPr>
        <w:tabs>
          <w:tab w:val="center" w:pos="980"/>
        </w:tabs>
        <w:spacing w:after="0" w:line="20" w:lineRule="atLeast"/>
        <w:ind w:left="0" w:right="141" w:firstLine="0"/>
        <w:rPr>
          <w:rFonts w:ascii="Sylfaen" w:hAnsi="Sylfaen"/>
          <w:sz w:val="24"/>
          <w:szCs w:val="24"/>
        </w:rPr>
      </w:pPr>
      <w:r w:rsidRPr="003A2047">
        <w:rPr>
          <w:rFonts w:ascii="Sylfaen" w:hAnsi="Sylfaen"/>
          <w:b/>
          <w:sz w:val="24"/>
          <w:szCs w:val="24"/>
        </w:rPr>
        <w:t xml:space="preserve">შენახვის ვადა </w:t>
      </w:r>
    </w:p>
    <w:p w14:paraId="479688F9" w14:textId="534CA994" w:rsidR="004E7AF0" w:rsidRPr="003A2047" w:rsidRDefault="009923EF" w:rsidP="00A95BA5">
      <w:pPr>
        <w:spacing w:after="0" w:line="20" w:lineRule="atLeast"/>
        <w:ind w:left="0" w:right="141"/>
        <w:rPr>
          <w:rFonts w:ascii="Sylfaen" w:hAnsi="Sylfaen"/>
          <w:sz w:val="24"/>
          <w:szCs w:val="24"/>
        </w:rPr>
      </w:pPr>
      <w:r>
        <w:rPr>
          <w:rFonts w:ascii="Sylfaen" w:hAnsi="Sylfaen"/>
          <w:sz w:val="24"/>
          <w:szCs w:val="24"/>
        </w:rPr>
        <w:t>36 თვე</w:t>
      </w:r>
      <w:r w:rsidR="003944EA" w:rsidRPr="003A2047">
        <w:rPr>
          <w:rFonts w:ascii="Sylfaen" w:hAnsi="Sylfaen"/>
          <w:sz w:val="24"/>
          <w:szCs w:val="24"/>
        </w:rPr>
        <w:t xml:space="preserve">. </w:t>
      </w:r>
    </w:p>
    <w:p w14:paraId="75BDD2A1" w14:textId="442EEB91" w:rsidR="00BC74F1" w:rsidRPr="003A2047" w:rsidRDefault="00BC74F1" w:rsidP="00A95BA5">
      <w:pPr>
        <w:spacing w:after="0" w:line="276" w:lineRule="auto"/>
        <w:ind w:left="-426" w:right="141"/>
        <w:jc w:val="both"/>
        <w:rPr>
          <w:rFonts w:ascii="Sylfaen" w:hAnsi="Sylfaen"/>
          <w:sz w:val="24"/>
          <w:szCs w:val="24"/>
        </w:rPr>
      </w:pPr>
      <w:r w:rsidRPr="003A2047">
        <w:rPr>
          <w:rFonts w:ascii="Sylfaen" w:hAnsi="Sylfaen"/>
          <w:sz w:val="24"/>
          <w:szCs w:val="24"/>
        </w:rPr>
        <w:t xml:space="preserve">       არ გამოიყენოთ პრეპარატი ვარგისობის ვადის გასვლის შემდეგ. </w:t>
      </w:r>
    </w:p>
    <w:p w14:paraId="75119537" w14:textId="77777777" w:rsidR="004E7AF0" w:rsidRPr="003A2047" w:rsidRDefault="004E7AF0" w:rsidP="00A95BA5">
      <w:pPr>
        <w:spacing w:after="0" w:line="20" w:lineRule="atLeast"/>
        <w:ind w:left="0" w:right="141" w:firstLine="0"/>
        <w:rPr>
          <w:rFonts w:ascii="Sylfaen" w:hAnsi="Sylfaen"/>
          <w:sz w:val="24"/>
          <w:szCs w:val="24"/>
        </w:rPr>
      </w:pPr>
      <w:r w:rsidRPr="003A2047">
        <w:rPr>
          <w:rFonts w:ascii="Sylfaen" w:hAnsi="Sylfaen"/>
          <w:sz w:val="24"/>
          <w:szCs w:val="24"/>
        </w:rPr>
        <w:t xml:space="preserve"> </w:t>
      </w:r>
    </w:p>
    <w:p w14:paraId="2910A85C" w14:textId="54E2F216" w:rsidR="004E7AF0" w:rsidRPr="003A2047" w:rsidRDefault="00BC74F1" w:rsidP="00A95BA5">
      <w:pPr>
        <w:spacing w:after="0" w:line="276" w:lineRule="auto"/>
        <w:ind w:left="-426" w:right="141"/>
        <w:jc w:val="both"/>
        <w:rPr>
          <w:rFonts w:ascii="Sylfaen" w:hAnsi="Sylfaen"/>
          <w:sz w:val="24"/>
          <w:szCs w:val="24"/>
        </w:rPr>
      </w:pPr>
      <w:r w:rsidRPr="003A2047">
        <w:rPr>
          <w:rFonts w:ascii="Sylfaen" w:hAnsi="Sylfaen"/>
          <w:b/>
          <w:sz w:val="24"/>
          <w:szCs w:val="24"/>
        </w:rPr>
        <w:t xml:space="preserve">        შენახვის პირობები:</w:t>
      </w:r>
      <w:r w:rsidRPr="003A2047">
        <w:rPr>
          <w:rFonts w:ascii="Sylfaen" w:hAnsi="Sylfaen"/>
          <w:sz w:val="24"/>
          <w:szCs w:val="24"/>
        </w:rPr>
        <w:t xml:space="preserve"> </w:t>
      </w:r>
    </w:p>
    <w:p w14:paraId="13B5A617" w14:textId="06957341" w:rsidR="001E5B15" w:rsidRPr="003A2047" w:rsidRDefault="001E5B15" w:rsidP="00A95BA5">
      <w:pPr>
        <w:spacing w:before="2"/>
        <w:ind w:left="-142" w:right="141" w:firstLine="142"/>
        <w:jc w:val="both"/>
        <w:rPr>
          <w:rFonts w:ascii="Sylfaen" w:hAnsi="Sylfaen"/>
          <w:sz w:val="24"/>
          <w:szCs w:val="24"/>
        </w:rPr>
      </w:pPr>
      <w:r w:rsidRPr="003A2047">
        <w:rPr>
          <w:rFonts w:ascii="Sylfaen" w:hAnsi="Sylfaen"/>
          <w:sz w:val="24"/>
          <w:szCs w:val="24"/>
        </w:rPr>
        <w:t xml:space="preserve">ინახება 30°C-ზე დაბალ ტემპერატურაზე. </w:t>
      </w:r>
    </w:p>
    <w:p w14:paraId="3AB17A6D" w14:textId="77777777" w:rsidR="001E5B15" w:rsidRPr="003A2047" w:rsidRDefault="001E5B15" w:rsidP="00A95BA5">
      <w:pPr>
        <w:spacing w:before="2"/>
        <w:ind w:left="-142" w:right="141" w:firstLine="142"/>
        <w:jc w:val="both"/>
        <w:rPr>
          <w:rFonts w:ascii="Sylfaen" w:hAnsi="Sylfaen"/>
          <w:sz w:val="24"/>
          <w:szCs w:val="24"/>
        </w:rPr>
      </w:pPr>
      <w:r w:rsidRPr="003A2047">
        <w:rPr>
          <w:rFonts w:ascii="Sylfaen" w:hAnsi="Sylfaen"/>
          <w:sz w:val="24"/>
          <w:szCs w:val="24"/>
        </w:rPr>
        <w:t>დაიცავით სინათლისა და ტენიანობისგან.</w:t>
      </w:r>
    </w:p>
    <w:p w14:paraId="45D08C07" w14:textId="30DB5F20" w:rsidR="004E7AF0" w:rsidRPr="003A2047" w:rsidRDefault="001E5B15" w:rsidP="00A95BA5">
      <w:pPr>
        <w:spacing w:before="2"/>
        <w:ind w:left="-142" w:right="141" w:firstLine="142"/>
        <w:jc w:val="both"/>
        <w:rPr>
          <w:rFonts w:ascii="Sylfaen" w:hAnsi="Sylfaen"/>
          <w:sz w:val="24"/>
          <w:szCs w:val="24"/>
        </w:rPr>
      </w:pPr>
      <w:r w:rsidRPr="003A2047">
        <w:rPr>
          <w:rFonts w:ascii="Sylfaen" w:hAnsi="Sylfaen"/>
          <w:sz w:val="24"/>
          <w:szCs w:val="24"/>
        </w:rPr>
        <w:t>შეინახეთ  ბავშვებისთვის მიუწვდომელ ადგილას.</w:t>
      </w:r>
    </w:p>
    <w:p w14:paraId="143BE2FE" w14:textId="54E71856" w:rsidR="00CD50C7" w:rsidRPr="003A2047" w:rsidRDefault="004E7AF0" w:rsidP="00A95BA5">
      <w:pPr>
        <w:spacing w:after="0" w:line="20" w:lineRule="atLeast"/>
        <w:ind w:left="0" w:right="141" w:firstLine="0"/>
        <w:rPr>
          <w:rFonts w:ascii="Sylfaen" w:hAnsi="Sylfaen"/>
          <w:sz w:val="24"/>
          <w:szCs w:val="24"/>
        </w:rPr>
      </w:pPr>
      <w:r w:rsidRPr="003A2047">
        <w:rPr>
          <w:rFonts w:ascii="Sylfaen" w:hAnsi="Sylfaen"/>
          <w:sz w:val="24"/>
          <w:szCs w:val="24"/>
        </w:rPr>
        <w:lastRenderedPageBreak/>
        <w:t xml:space="preserve"> </w:t>
      </w:r>
    </w:p>
    <w:p w14:paraId="606ED672" w14:textId="77777777" w:rsidR="002238BF" w:rsidRDefault="002238BF" w:rsidP="002238BF">
      <w:pPr>
        <w:autoSpaceDE w:val="0"/>
        <w:autoSpaceDN w:val="0"/>
        <w:adjustRightInd w:val="0"/>
        <w:jc w:val="both"/>
        <w:rPr>
          <w:rFonts w:ascii="Sylfaen" w:hAnsi="Sylfaen" w:cs="Sylfaen"/>
          <w:b/>
          <w:noProof/>
        </w:rPr>
      </w:pPr>
      <w:r w:rsidRPr="000F4D22">
        <w:rPr>
          <w:rFonts w:ascii="Sylfaen" w:hAnsi="Sylfaen" w:cs="Sylfaen"/>
          <w:b/>
          <w:noProof/>
        </w:rPr>
        <w:t>გაცემის რეჟიმი:</w:t>
      </w:r>
    </w:p>
    <w:p w14:paraId="1725B8A5" w14:textId="77777777" w:rsidR="002238BF" w:rsidRPr="000F4D22" w:rsidRDefault="002238BF" w:rsidP="002238BF">
      <w:pPr>
        <w:autoSpaceDE w:val="0"/>
        <w:autoSpaceDN w:val="0"/>
        <w:adjustRightInd w:val="0"/>
        <w:jc w:val="both"/>
        <w:rPr>
          <w:rFonts w:ascii="Sylfaen" w:hAnsi="Sylfaen" w:cs="Sylfaen"/>
          <w:noProof/>
        </w:rPr>
      </w:pPr>
      <w:r w:rsidRPr="000F4D22">
        <w:rPr>
          <w:rFonts w:ascii="Sylfaen" w:hAnsi="Sylfaen" w:cs="Sylfaen"/>
          <w:b/>
          <w:noProof/>
        </w:rPr>
        <w:t>ფარმაცევტული</w:t>
      </w:r>
      <w:r w:rsidRPr="000F4D22">
        <w:rPr>
          <w:rFonts w:ascii="Sylfaen" w:hAnsi="Sylfaen"/>
          <w:b/>
          <w:noProof/>
        </w:rPr>
        <w:t xml:space="preserve"> </w:t>
      </w:r>
      <w:r w:rsidRPr="000F4D22">
        <w:rPr>
          <w:rFonts w:ascii="Sylfaen" w:hAnsi="Sylfaen" w:cs="Sylfaen"/>
          <w:b/>
          <w:noProof/>
        </w:rPr>
        <w:t>პროდუქტის</w:t>
      </w:r>
      <w:r w:rsidRPr="000F4D22">
        <w:rPr>
          <w:rFonts w:ascii="Sylfaen" w:hAnsi="Sylfaen"/>
          <w:b/>
          <w:noProof/>
        </w:rPr>
        <w:t xml:space="preserve"> </w:t>
      </w:r>
      <w:r w:rsidRPr="000F4D22">
        <w:rPr>
          <w:rFonts w:ascii="Sylfaen" w:hAnsi="Sylfaen" w:cs="Sylfaen"/>
          <w:b/>
          <w:noProof/>
        </w:rPr>
        <w:t>ჯგუფი -</w:t>
      </w:r>
      <w:r w:rsidRPr="00CB3AB6">
        <w:rPr>
          <w:rFonts w:ascii="Sylfaen" w:hAnsi="Sylfaen" w:cs="Sylfaen"/>
          <w:noProof/>
        </w:rPr>
        <w:t xml:space="preserve"> </w:t>
      </w:r>
      <w:r w:rsidRPr="00490528">
        <w:rPr>
          <w:rFonts w:ascii="Sylfaen" w:hAnsi="Sylfaen" w:cs="Sylfaen"/>
          <w:noProof/>
        </w:rPr>
        <w:t>II, გაიცემა ფორმა №3 რეცეპტით</w:t>
      </w:r>
    </w:p>
    <w:p w14:paraId="06E9B8C8" w14:textId="77777777" w:rsidR="005D5914" w:rsidRDefault="004F7920" w:rsidP="00A95BA5">
      <w:pPr>
        <w:ind w:left="-142" w:right="141"/>
        <w:jc w:val="both"/>
        <w:rPr>
          <w:rFonts w:ascii="Sylfaen" w:hAnsi="Sylfaen"/>
          <w:sz w:val="24"/>
          <w:szCs w:val="24"/>
        </w:rPr>
      </w:pPr>
      <w:r w:rsidRPr="003A2047">
        <w:rPr>
          <w:rFonts w:ascii="Sylfaen" w:hAnsi="Sylfaen"/>
          <w:sz w:val="24"/>
          <w:szCs w:val="24"/>
        </w:rPr>
        <w:t xml:space="preserve">  </w:t>
      </w:r>
    </w:p>
    <w:p w14:paraId="1DDE2B51" w14:textId="13A464CF" w:rsidR="004F7920" w:rsidRPr="003A2047" w:rsidRDefault="005D5914" w:rsidP="00A95BA5">
      <w:pPr>
        <w:ind w:left="-142" w:right="141"/>
        <w:jc w:val="both"/>
        <w:rPr>
          <w:rFonts w:ascii="Sylfaen" w:hAnsi="Sylfaen"/>
          <w:b/>
          <w:color w:val="auto"/>
          <w:sz w:val="24"/>
          <w:szCs w:val="24"/>
        </w:rPr>
      </w:pPr>
      <w:r>
        <w:rPr>
          <w:rFonts w:ascii="Sylfaen" w:hAnsi="Sylfaen"/>
          <w:sz w:val="24"/>
          <w:szCs w:val="24"/>
        </w:rPr>
        <w:t xml:space="preserve">  </w:t>
      </w:r>
      <w:r w:rsidR="004F7920" w:rsidRPr="003A2047">
        <w:rPr>
          <w:rFonts w:ascii="Sylfaen" w:hAnsi="Sylfaen"/>
          <w:sz w:val="24"/>
          <w:szCs w:val="24"/>
        </w:rPr>
        <w:t xml:space="preserve"> </w:t>
      </w:r>
      <w:r w:rsidR="004F7920" w:rsidRPr="003A2047">
        <w:rPr>
          <w:rFonts w:ascii="Sylfaen" w:hAnsi="Sylfaen"/>
          <w:b/>
          <w:sz w:val="24"/>
          <w:szCs w:val="24"/>
        </w:rPr>
        <w:t>მწარმოებელი:</w:t>
      </w:r>
    </w:p>
    <w:p w14:paraId="3AF06CC6" w14:textId="77777777" w:rsidR="00807153" w:rsidRPr="00807153" w:rsidRDefault="00807153" w:rsidP="00807153">
      <w:pPr>
        <w:ind w:right="141"/>
        <w:rPr>
          <w:rFonts w:ascii="Sylfaen" w:hAnsi="Sylfaen"/>
          <w:sz w:val="24"/>
          <w:szCs w:val="24"/>
        </w:rPr>
      </w:pPr>
      <w:r w:rsidRPr="00807153">
        <w:rPr>
          <w:rFonts w:ascii="Sylfaen" w:hAnsi="Sylfaen"/>
          <w:sz w:val="24"/>
          <w:szCs w:val="24"/>
        </w:rPr>
        <w:t>DRUG INTERNATIONAL LIMITED</w:t>
      </w:r>
    </w:p>
    <w:p w14:paraId="3489B183" w14:textId="6D7B1D71" w:rsidR="00807153" w:rsidRDefault="00807153" w:rsidP="00807153">
      <w:pPr>
        <w:ind w:right="141"/>
        <w:rPr>
          <w:rFonts w:ascii="Sylfaen" w:hAnsi="Sylfaen"/>
          <w:sz w:val="24"/>
          <w:szCs w:val="24"/>
          <w:lang w:val="ru-RU"/>
        </w:rPr>
      </w:pPr>
      <w:r w:rsidRPr="00807153">
        <w:rPr>
          <w:rFonts w:ascii="Sylfaen" w:hAnsi="Sylfaen"/>
          <w:sz w:val="24"/>
          <w:szCs w:val="24"/>
        </w:rPr>
        <w:t xml:space="preserve">ტანგი, </w:t>
      </w:r>
      <w:r w:rsidR="00744105">
        <w:rPr>
          <w:rFonts w:ascii="Sylfaen" w:hAnsi="Sylfaen"/>
          <w:sz w:val="24"/>
          <w:szCs w:val="24"/>
        </w:rPr>
        <w:t>გ</w:t>
      </w:r>
      <w:r w:rsidRPr="00807153">
        <w:rPr>
          <w:rFonts w:ascii="Sylfaen" w:hAnsi="Sylfaen"/>
          <w:sz w:val="24"/>
          <w:szCs w:val="24"/>
        </w:rPr>
        <w:t>აზიპური, ბანგლადეში.</w:t>
      </w:r>
    </w:p>
    <w:p w14:paraId="0C7FE51F" w14:textId="77777777" w:rsidR="00766A51" w:rsidRDefault="00766A51" w:rsidP="00807153">
      <w:pPr>
        <w:ind w:right="141"/>
        <w:rPr>
          <w:rFonts w:ascii="Sylfaen" w:hAnsi="Sylfaen"/>
          <w:sz w:val="24"/>
          <w:szCs w:val="24"/>
          <w:lang w:val="ru-RU"/>
        </w:rPr>
      </w:pPr>
    </w:p>
    <w:p w14:paraId="1B7D83C6" w14:textId="77777777" w:rsidR="00766A51" w:rsidRDefault="00766A51" w:rsidP="00807153">
      <w:pPr>
        <w:ind w:right="141"/>
        <w:rPr>
          <w:rFonts w:ascii="Sylfaen" w:hAnsi="Sylfaen"/>
          <w:sz w:val="24"/>
          <w:szCs w:val="24"/>
          <w:lang w:val="ru-RU"/>
        </w:rPr>
      </w:pPr>
    </w:p>
    <w:p w14:paraId="41FD0D03" w14:textId="77777777" w:rsidR="00766A51" w:rsidRDefault="00766A51" w:rsidP="00807153">
      <w:pPr>
        <w:ind w:right="141"/>
        <w:rPr>
          <w:rFonts w:ascii="Sylfaen" w:hAnsi="Sylfaen"/>
          <w:sz w:val="24"/>
          <w:szCs w:val="24"/>
          <w:lang w:val="ru-RU"/>
        </w:rPr>
      </w:pPr>
    </w:p>
    <w:p w14:paraId="3BC681F4" w14:textId="77777777" w:rsidR="00766A51" w:rsidRDefault="00766A51" w:rsidP="00807153">
      <w:pPr>
        <w:ind w:right="141"/>
        <w:rPr>
          <w:rFonts w:ascii="Sylfaen" w:hAnsi="Sylfaen"/>
          <w:sz w:val="24"/>
          <w:szCs w:val="24"/>
          <w:lang w:val="ru-RU"/>
        </w:rPr>
      </w:pPr>
    </w:p>
    <w:p w14:paraId="5CE5EE2D" w14:textId="77777777" w:rsidR="00766A51" w:rsidRDefault="00766A51" w:rsidP="00807153">
      <w:pPr>
        <w:ind w:right="141"/>
        <w:rPr>
          <w:rFonts w:ascii="Sylfaen" w:hAnsi="Sylfaen"/>
          <w:i/>
          <w:iCs/>
          <w:sz w:val="24"/>
          <w:szCs w:val="24"/>
        </w:rPr>
      </w:pPr>
      <w:r w:rsidRPr="00766A51">
        <w:rPr>
          <w:rFonts w:ascii="Sylfaen" w:hAnsi="Sylfaen"/>
          <w:i/>
          <w:iCs/>
          <w:sz w:val="24"/>
          <w:szCs w:val="24"/>
          <w:lang w:val="ru-RU"/>
        </w:rPr>
        <w:t xml:space="preserve">                                                                                 </w:t>
      </w:r>
    </w:p>
    <w:p w14:paraId="57A96376" w14:textId="77777777" w:rsidR="00766A51" w:rsidRDefault="00766A51" w:rsidP="00807153">
      <w:pPr>
        <w:ind w:right="141"/>
        <w:rPr>
          <w:rFonts w:ascii="Sylfaen" w:hAnsi="Sylfaen"/>
          <w:i/>
          <w:iCs/>
          <w:sz w:val="24"/>
          <w:szCs w:val="24"/>
        </w:rPr>
      </w:pPr>
      <w:r>
        <w:rPr>
          <w:rFonts w:ascii="Sylfaen" w:hAnsi="Sylfaen"/>
          <w:i/>
          <w:iCs/>
          <w:sz w:val="24"/>
          <w:szCs w:val="24"/>
        </w:rPr>
        <w:t xml:space="preserve">                                                                                   </w:t>
      </w:r>
    </w:p>
    <w:sectPr w:rsidR="00766A51" w:rsidSect="002A772D">
      <w:pgSz w:w="12240" w:h="15840"/>
      <w:pgMar w:top="567" w:right="474"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0CFF"/>
    <w:multiLevelType w:val="hybridMultilevel"/>
    <w:tmpl w:val="8736CDAC"/>
    <w:lvl w:ilvl="0" w:tplc="F4B4409A">
      <w:start w:val="1"/>
      <w:numFmt w:val="bullet"/>
      <w:lvlText w:val="•"/>
      <w:lvlJc w:val="left"/>
      <w:pPr>
        <w:ind w:left="1004" w:hanging="36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39E376A7"/>
    <w:multiLevelType w:val="hybridMultilevel"/>
    <w:tmpl w:val="6980CD04"/>
    <w:lvl w:ilvl="0" w:tplc="A73A0E6A">
      <w:start w:val="1"/>
      <w:numFmt w:val="bullet"/>
      <w:lvlText w:val="-"/>
      <w:lvlJc w:val="left"/>
      <w:pPr>
        <w:ind w:left="56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5B3C7158">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B1082378">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4B4409A">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D1461464">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91D41086">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2A0446C6">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474F10C">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5DA502A">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4FBB75C6"/>
    <w:multiLevelType w:val="multilevel"/>
    <w:tmpl w:val="05389E1A"/>
    <w:lvl w:ilvl="0">
      <w:start w:val="4"/>
      <w:numFmt w:val="decimal"/>
      <w:lvlText w:val="%1"/>
      <w:lvlJc w:val="left"/>
      <w:pPr>
        <w:ind w:left="360" w:hanging="360"/>
      </w:pPr>
      <w:rPr>
        <w:rFonts w:hint="default"/>
        <w:b/>
        <w:u w:val="none"/>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800" w:hanging="1800"/>
      </w:pPr>
      <w:rPr>
        <w:rFonts w:hint="default"/>
        <w:b/>
        <w:u w:val="none"/>
      </w:rPr>
    </w:lvl>
  </w:abstractNum>
  <w:num w:numId="1" w16cid:durableId="30812269">
    <w:abstractNumId w:val="1"/>
  </w:num>
  <w:num w:numId="2" w16cid:durableId="524096004">
    <w:abstractNumId w:val="2"/>
  </w:num>
  <w:num w:numId="3" w16cid:durableId="1856995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A86"/>
    <w:rsid w:val="00003BDC"/>
    <w:rsid w:val="00011CB5"/>
    <w:rsid w:val="00014A16"/>
    <w:rsid w:val="000269FA"/>
    <w:rsid w:val="000305A5"/>
    <w:rsid w:val="00032369"/>
    <w:rsid w:val="00043BC4"/>
    <w:rsid w:val="00051340"/>
    <w:rsid w:val="00055A89"/>
    <w:rsid w:val="0006036D"/>
    <w:rsid w:val="00097547"/>
    <w:rsid w:val="000C64C2"/>
    <w:rsid w:val="000D60B7"/>
    <w:rsid w:val="000E3907"/>
    <w:rsid w:val="001159A7"/>
    <w:rsid w:val="00116DB2"/>
    <w:rsid w:val="001205B0"/>
    <w:rsid w:val="001236B4"/>
    <w:rsid w:val="00125AFD"/>
    <w:rsid w:val="00150816"/>
    <w:rsid w:val="00152AE9"/>
    <w:rsid w:val="001571AA"/>
    <w:rsid w:val="00166916"/>
    <w:rsid w:val="00167C78"/>
    <w:rsid w:val="0018413A"/>
    <w:rsid w:val="001A2F65"/>
    <w:rsid w:val="001B38E7"/>
    <w:rsid w:val="001C4A0E"/>
    <w:rsid w:val="001D37B6"/>
    <w:rsid w:val="001D3E3C"/>
    <w:rsid w:val="001E5B15"/>
    <w:rsid w:val="001F1E41"/>
    <w:rsid w:val="001F510F"/>
    <w:rsid w:val="00204F5F"/>
    <w:rsid w:val="002120D9"/>
    <w:rsid w:val="002238BF"/>
    <w:rsid w:val="00243AB6"/>
    <w:rsid w:val="00254984"/>
    <w:rsid w:val="00255F3B"/>
    <w:rsid w:val="002634AA"/>
    <w:rsid w:val="00266306"/>
    <w:rsid w:val="00266E06"/>
    <w:rsid w:val="00271DB6"/>
    <w:rsid w:val="002725E3"/>
    <w:rsid w:val="0028134B"/>
    <w:rsid w:val="002A18F0"/>
    <w:rsid w:val="002A27FA"/>
    <w:rsid w:val="002A772D"/>
    <w:rsid w:val="002C07D7"/>
    <w:rsid w:val="002D3039"/>
    <w:rsid w:val="002E1865"/>
    <w:rsid w:val="002E4854"/>
    <w:rsid w:val="002E7694"/>
    <w:rsid w:val="002F3861"/>
    <w:rsid w:val="00310A80"/>
    <w:rsid w:val="0031422B"/>
    <w:rsid w:val="00323FF3"/>
    <w:rsid w:val="00341FA5"/>
    <w:rsid w:val="00346737"/>
    <w:rsid w:val="00351A6E"/>
    <w:rsid w:val="003527E2"/>
    <w:rsid w:val="00373DC9"/>
    <w:rsid w:val="00380F90"/>
    <w:rsid w:val="0038328D"/>
    <w:rsid w:val="00383A3C"/>
    <w:rsid w:val="00383D87"/>
    <w:rsid w:val="00387304"/>
    <w:rsid w:val="003944EA"/>
    <w:rsid w:val="003A08D6"/>
    <w:rsid w:val="003A0DC6"/>
    <w:rsid w:val="003A2047"/>
    <w:rsid w:val="003A5E85"/>
    <w:rsid w:val="003B373A"/>
    <w:rsid w:val="003B3B86"/>
    <w:rsid w:val="003C76E9"/>
    <w:rsid w:val="003D048F"/>
    <w:rsid w:val="003D1E52"/>
    <w:rsid w:val="003E3D96"/>
    <w:rsid w:val="003F01D0"/>
    <w:rsid w:val="004060A7"/>
    <w:rsid w:val="00412A86"/>
    <w:rsid w:val="00415A00"/>
    <w:rsid w:val="00415DED"/>
    <w:rsid w:val="00430223"/>
    <w:rsid w:val="00430AB5"/>
    <w:rsid w:val="00497D48"/>
    <w:rsid w:val="004A3F73"/>
    <w:rsid w:val="004B37F9"/>
    <w:rsid w:val="004C7236"/>
    <w:rsid w:val="004E7AF0"/>
    <w:rsid w:val="004F1D8E"/>
    <w:rsid w:val="004F26A4"/>
    <w:rsid w:val="004F7920"/>
    <w:rsid w:val="00525E41"/>
    <w:rsid w:val="00537875"/>
    <w:rsid w:val="0054513D"/>
    <w:rsid w:val="005518C3"/>
    <w:rsid w:val="0057159F"/>
    <w:rsid w:val="005953DE"/>
    <w:rsid w:val="005A3AE8"/>
    <w:rsid w:val="005C5202"/>
    <w:rsid w:val="005D0122"/>
    <w:rsid w:val="005D1A7A"/>
    <w:rsid w:val="005D5914"/>
    <w:rsid w:val="005D6AC9"/>
    <w:rsid w:val="005F00E6"/>
    <w:rsid w:val="00602BE5"/>
    <w:rsid w:val="00607991"/>
    <w:rsid w:val="006205ED"/>
    <w:rsid w:val="00644F3D"/>
    <w:rsid w:val="00655628"/>
    <w:rsid w:val="0067769C"/>
    <w:rsid w:val="00691DFA"/>
    <w:rsid w:val="006C0CD2"/>
    <w:rsid w:val="006C11A0"/>
    <w:rsid w:val="006E4068"/>
    <w:rsid w:val="00703C46"/>
    <w:rsid w:val="00706791"/>
    <w:rsid w:val="00727C7A"/>
    <w:rsid w:val="00731A10"/>
    <w:rsid w:val="0073536B"/>
    <w:rsid w:val="00744105"/>
    <w:rsid w:val="00755B58"/>
    <w:rsid w:val="00757493"/>
    <w:rsid w:val="00766A51"/>
    <w:rsid w:val="007716F8"/>
    <w:rsid w:val="00774C0A"/>
    <w:rsid w:val="00785093"/>
    <w:rsid w:val="00792022"/>
    <w:rsid w:val="00794F2D"/>
    <w:rsid w:val="0079511C"/>
    <w:rsid w:val="007A5AB1"/>
    <w:rsid w:val="007B0505"/>
    <w:rsid w:val="007D2186"/>
    <w:rsid w:val="007D458A"/>
    <w:rsid w:val="007F3474"/>
    <w:rsid w:val="00804EB6"/>
    <w:rsid w:val="00807153"/>
    <w:rsid w:val="00810AD7"/>
    <w:rsid w:val="00815B7D"/>
    <w:rsid w:val="00822EAE"/>
    <w:rsid w:val="0082636D"/>
    <w:rsid w:val="008372B6"/>
    <w:rsid w:val="00841EE0"/>
    <w:rsid w:val="00872E1A"/>
    <w:rsid w:val="00881AAB"/>
    <w:rsid w:val="00881FCB"/>
    <w:rsid w:val="0089320B"/>
    <w:rsid w:val="00895D21"/>
    <w:rsid w:val="008C7D66"/>
    <w:rsid w:val="008E0B13"/>
    <w:rsid w:val="00926802"/>
    <w:rsid w:val="00942C13"/>
    <w:rsid w:val="00966790"/>
    <w:rsid w:val="00974F99"/>
    <w:rsid w:val="0097579A"/>
    <w:rsid w:val="00975B18"/>
    <w:rsid w:val="00984B1C"/>
    <w:rsid w:val="009923EF"/>
    <w:rsid w:val="009A054B"/>
    <w:rsid w:val="009C4144"/>
    <w:rsid w:val="009C471D"/>
    <w:rsid w:val="009D3D26"/>
    <w:rsid w:val="009D4241"/>
    <w:rsid w:val="009E76F4"/>
    <w:rsid w:val="00A12A32"/>
    <w:rsid w:val="00A21D49"/>
    <w:rsid w:val="00A22465"/>
    <w:rsid w:val="00A32768"/>
    <w:rsid w:val="00A37B28"/>
    <w:rsid w:val="00A43CA0"/>
    <w:rsid w:val="00A73EA1"/>
    <w:rsid w:val="00A77C50"/>
    <w:rsid w:val="00A80A89"/>
    <w:rsid w:val="00A84CB5"/>
    <w:rsid w:val="00A95BA5"/>
    <w:rsid w:val="00AB016B"/>
    <w:rsid w:val="00AB7E29"/>
    <w:rsid w:val="00AE4DD4"/>
    <w:rsid w:val="00AE69AD"/>
    <w:rsid w:val="00AF2004"/>
    <w:rsid w:val="00B15E20"/>
    <w:rsid w:val="00B2459D"/>
    <w:rsid w:val="00B32E68"/>
    <w:rsid w:val="00B45693"/>
    <w:rsid w:val="00B579F9"/>
    <w:rsid w:val="00B6117E"/>
    <w:rsid w:val="00B6240B"/>
    <w:rsid w:val="00B8316F"/>
    <w:rsid w:val="00B90D89"/>
    <w:rsid w:val="00BC6BD2"/>
    <w:rsid w:val="00BC74F1"/>
    <w:rsid w:val="00BD0C9D"/>
    <w:rsid w:val="00BE5A59"/>
    <w:rsid w:val="00BE7BE8"/>
    <w:rsid w:val="00BF6301"/>
    <w:rsid w:val="00C00E67"/>
    <w:rsid w:val="00C17FFC"/>
    <w:rsid w:val="00C240F3"/>
    <w:rsid w:val="00C35C67"/>
    <w:rsid w:val="00C366F3"/>
    <w:rsid w:val="00C3673F"/>
    <w:rsid w:val="00C435FD"/>
    <w:rsid w:val="00C45415"/>
    <w:rsid w:val="00C46F63"/>
    <w:rsid w:val="00C517C2"/>
    <w:rsid w:val="00C51D8B"/>
    <w:rsid w:val="00C51EEF"/>
    <w:rsid w:val="00C60731"/>
    <w:rsid w:val="00C76340"/>
    <w:rsid w:val="00C81F99"/>
    <w:rsid w:val="00CA139B"/>
    <w:rsid w:val="00CB3AB6"/>
    <w:rsid w:val="00CB7202"/>
    <w:rsid w:val="00CD3B48"/>
    <w:rsid w:val="00CD50C7"/>
    <w:rsid w:val="00D03934"/>
    <w:rsid w:val="00D1141B"/>
    <w:rsid w:val="00D32C3D"/>
    <w:rsid w:val="00D532BB"/>
    <w:rsid w:val="00D61CE9"/>
    <w:rsid w:val="00D64FC6"/>
    <w:rsid w:val="00D74CBA"/>
    <w:rsid w:val="00D75755"/>
    <w:rsid w:val="00D8759C"/>
    <w:rsid w:val="00D96668"/>
    <w:rsid w:val="00DA7989"/>
    <w:rsid w:val="00DB20C4"/>
    <w:rsid w:val="00DB3D87"/>
    <w:rsid w:val="00DB4DF9"/>
    <w:rsid w:val="00DE4A6C"/>
    <w:rsid w:val="00E00437"/>
    <w:rsid w:val="00E03800"/>
    <w:rsid w:val="00E3143D"/>
    <w:rsid w:val="00E4154D"/>
    <w:rsid w:val="00E75A2B"/>
    <w:rsid w:val="00E83E11"/>
    <w:rsid w:val="00E85D74"/>
    <w:rsid w:val="00E85E3E"/>
    <w:rsid w:val="00E922F8"/>
    <w:rsid w:val="00EA17D2"/>
    <w:rsid w:val="00EA32D5"/>
    <w:rsid w:val="00EC20ED"/>
    <w:rsid w:val="00EC41F9"/>
    <w:rsid w:val="00EC4CBB"/>
    <w:rsid w:val="00ED2AFB"/>
    <w:rsid w:val="00EF2832"/>
    <w:rsid w:val="00F046BE"/>
    <w:rsid w:val="00F05F4D"/>
    <w:rsid w:val="00F209D0"/>
    <w:rsid w:val="00F371F3"/>
    <w:rsid w:val="00F37FC5"/>
    <w:rsid w:val="00F47856"/>
    <w:rsid w:val="00F6069F"/>
    <w:rsid w:val="00F70B54"/>
    <w:rsid w:val="00F909A0"/>
    <w:rsid w:val="00FB0DBB"/>
    <w:rsid w:val="00FD4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BFF45"/>
  <w15:chartTrackingRefBased/>
  <w15:docId w15:val="{6ECA98C9-359A-44F3-A38C-CEB93E0E6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AF0"/>
    <w:pPr>
      <w:spacing w:after="11" w:line="247"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rsid w:val="004E7AF0"/>
    <w:pPr>
      <w:keepNext/>
      <w:keepLines/>
      <w:spacing w:after="12" w:line="247" w:lineRule="auto"/>
      <w:ind w:left="10" w:right="4"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rsid w:val="004E7AF0"/>
    <w:pPr>
      <w:keepNext/>
      <w:keepLines/>
      <w:spacing w:after="0" w:line="256" w:lineRule="auto"/>
      <w:ind w:left="10" w:hanging="10"/>
      <w:outlineLvl w:val="1"/>
    </w:pPr>
    <w:rPr>
      <w:rFonts w:ascii="Times New Roman" w:eastAsia="Times New Roman" w:hAnsi="Times New Roman" w:cs="Times New Roman"/>
      <w:color w:val="000000"/>
      <w:u w:val="single" w:color="000000"/>
    </w:rPr>
  </w:style>
  <w:style w:type="paragraph" w:styleId="Heading3">
    <w:name w:val="heading 3"/>
    <w:next w:val="Normal"/>
    <w:link w:val="Heading3Char"/>
    <w:uiPriority w:val="9"/>
    <w:unhideWhenUsed/>
    <w:qFormat/>
    <w:rsid w:val="004E7AF0"/>
    <w:pPr>
      <w:keepNext/>
      <w:keepLines/>
      <w:spacing w:after="12" w:line="247" w:lineRule="auto"/>
      <w:ind w:left="10" w:right="4"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AF0"/>
    <w:rPr>
      <w:rFonts w:ascii="Times New Roman" w:eastAsia="Times New Roman" w:hAnsi="Times New Roman" w:cs="Times New Roman"/>
      <w:b/>
      <w:color w:val="000000"/>
    </w:rPr>
  </w:style>
  <w:style w:type="character" w:customStyle="1" w:styleId="Heading2Char">
    <w:name w:val="Heading 2 Char"/>
    <w:basedOn w:val="DefaultParagraphFont"/>
    <w:link w:val="Heading2"/>
    <w:uiPriority w:val="9"/>
    <w:rsid w:val="004E7AF0"/>
    <w:rPr>
      <w:rFonts w:ascii="Times New Roman" w:eastAsia="Times New Roman" w:hAnsi="Times New Roman" w:cs="Times New Roman"/>
      <w:color w:val="000000"/>
      <w:u w:val="single" w:color="000000"/>
    </w:rPr>
  </w:style>
  <w:style w:type="character" w:customStyle="1" w:styleId="Heading3Char">
    <w:name w:val="Heading 3 Char"/>
    <w:basedOn w:val="DefaultParagraphFont"/>
    <w:link w:val="Heading3"/>
    <w:uiPriority w:val="9"/>
    <w:rsid w:val="004E7AF0"/>
    <w:rPr>
      <w:rFonts w:ascii="Times New Roman" w:eastAsia="Times New Roman" w:hAnsi="Times New Roman" w:cs="Times New Roman"/>
      <w:b/>
      <w:color w:val="000000"/>
    </w:rPr>
  </w:style>
  <w:style w:type="character" w:styleId="Hyperlink">
    <w:name w:val="Hyperlink"/>
    <w:basedOn w:val="DefaultParagraphFont"/>
    <w:uiPriority w:val="99"/>
    <w:unhideWhenUsed/>
    <w:rsid w:val="004E7AF0"/>
    <w:rPr>
      <w:color w:val="0563C1" w:themeColor="hyperlink"/>
      <w:u w:val="single"/>
    </w:rPr>
  </w:style>
  <w:style w:type="table" w:customStyle="1" w:styleId="TableGrid">
    <w:name w:val="TableGrid"/>
    <w:rsid w:val="004E7AF0"/>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387304"/>
    <w:pPr>
      <w:ind w:left="720"/>
      <w:contextualSpacing/>
    </w:pPr>
  </w:style>
  <w:style w:type="paragraph" w:styleId="NoSpacing">
    <w:name w:val="No Spacing"/>
    <w:uiPriority w:val="1"/>
    <w:qFormat/>
    <w:rsid w:val="00822EAE"/>
    <w:pPr>
      <w:spacing w:after="0" w:line="240" w:lineRule="auto"/>
    </w:pPr>
    <w:rPr>
      <w:kern w:val="0"/>
      <w14:ligatures w14:val="none"/>
    </w:rPr>
  </w:style>
  <w:style w:type="character" w:styleId="UnresolvedMention">
    <w:name w:val="Unresolved Mention"/>
    <w:basedOn w:val="DefaultParagraphFont"/>
    <w:uiPriority w:val="99"/>
    <w:semiHidden/>
    <w:unhideWhenUsed/>
    <w:rsid w:val="00B2459D"/>
    <w:rPr>
      <w:color w:val="605E5C"/>
      <w:shd w:val="clear" w:color="auto" w:fill="E1DFDD"/>
    </w:rPr>
  </w:style>
  <w:style w:type="character" w:styleId="CommentReference">
    <w:name w:val="annotation reference"/>
    <w:basedOn w:val="DefaultParagraphFont"/>
    <w:uiPriority w:val="99"/>
    <w:semiHidden/>
    <w:unhideWhenUsed/>
    <w:rsid w:val="008E0B13"/>
    <w:rPr>
      <w:sz w:val="16"/>
      <w:szCs w:val="16"/>
    </w:rPr>
  </w:style>
  <w:style w:type="paragraph" w:styleId="CommentText">
    <w:name w:val="annotation text"/>
    <w:basedOn w:val="Normal"/>
    <w:link w:val="CommentTextChar"/>
    <w:uiPriority w:val="99"/>
    <w:semiHidden/>
    <w:unhideWhenUsed/>
    <w:rsid w:val="008E0B13"/>
    <w:pPr>
      <w:spacing w:line="240" w:lineRule="auto"/>
    </w:pPr>
    <w:rPr>
      <w:sz w:val="20"/>
      <w:szCs w:val="20"/>
    </w:rPr>
  </w:style>
  <w:style w:type="character" w:customStyle="1" w:styleId="CommentTextChar">
    <w:name w:val="Comment Text Char"/>
    <w:basedOn w:val="DefaultParagraphFont"/>
    <w:link w:val="CommentText"/>
    <w:uiPriority w:val="99"/>
    <w:semiHidden/>
    <w:rsid w:val="008E0B1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E0B13"/>
    <w:rPr>
      <w:b/>
      <w:bCs/>
    </w:rPr>
  </w:style>
  <w:style w:type="character" w:customStyle="1" w:styleId="CommentSubjectChar">
    <w:name w:val="Comment Subject Char"/>
    <w:basedOn w:val="CommentTextChar"/>
    <w:link w:val="CommentSubject"/>
    <w:uiPriority w:val="99"/>
    <w:semiHidden/>
    <w:rsid w:val="008E0B13"/>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19236">
      <w:bodyDiv w:val="1"/>
      <w:marLeft w:val="0"/>
      <w:marRight w:val="0"/>
      <w:marTop w:val="0"/>
      <w:marBottom w:val="0"/>
      <w:divBdr>
        <w:top w:val="none" w:sz="0" w:space="0" w:color="auto"/>
        <w:left w:val="none" w:sz="0" w:space="0" w:color="auto"/>
        <w:bottom w:val="none" w:sz="0" w:space="0" w:color="auto"/>
        <w:right w:val="none" w:sz="0" w:space="0" w:color="auto"/>
      </w:divBdr>
    </w:div>
    <w:div w:id="472915203">
      <w:bodyDiv w:val="1"/>
      <w:marLeft w:val="0"/>
      <w:marRight w:val="0"/>
      <w:marTop w:val="0"/>
      <w:marBottom w:val="0"/>
      <w:divBdr>
        <w:top w:val="none" w:sz="0" w:space="0" w:color="auto"/>
        <w:left w:val="none" w:sz="0" w:space="0" w:color="auto"/>
        <w:bottom w:val="none" w:sz="0" w:space="0" w:color="auto"/>
        <w:right w:val="none" w:sz="0" w:space="0" w:color="auto"/>
      </w:divBdr>
    </w:div>
    <w:div w:id="192815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cddd.fhi.no/atc_ddd_index/?code=A10BK03" TargetMode="External"/><Relationship Id="rId3" Type="http://schemas.openxmlformats.org/officeDocument/2006/relationships/styles" Target="styles.xml"/><Relationship Id="rId7" Type="http://schemas.openxmlformats.org/officeDocument/2006/relationships/hyperlink" Target="https://atcddd.fhi.no/atc_ddd_index/?code=A10B&amp;showdescription=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tcddd.fhi.no/atc_ddd_index/?code=A&amp;showdescription=n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84201-F48C-4A59-A3FF-251B15272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Pages>
  <Words>4097</Words>
  <Characters>23355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89</cp:revision>
  <cp:lastPrinted>2026-07-10T12:47:00Z</cp:lastPrinted>
  <dcterms:created xsi:type="dcterms:W3CDTF">2024-08-05T09:07:00Z</dcterms:created>
  <dcterms:modified xsi:type="dcterms:W3CDTF">2026-07-15T08:51:00Z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b2b7113fb8c6eb772c34ce1b14a26e9a6af08d6f044d3a7ad2a20993fe014217</vt:lpwstr>
  </property>
</Properties>
</file>